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0A" w:rsidRPr="00957C03" w:rsidRDefault="0043020A" w:rsidP="009A7B7E">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957C03">
        <w:rPr>
          <w:rFonts w:ascii="Book Antiqua" w:hAnsi="Book Antiqua"/>
          <w:b/>
          <w:color w:val="0033CC"/>
          <w:sz w:val="24"/>
        </w:rPr>
        <w:t>Name of journal:</w:t>
      </w:r>
      <w:r w:rsidRPr="00957C03">
        <w:rPr>
          <w:rFonts w:ascii="Book Antiqua" w:hAnsi="Book Antiqua"/>
          <w:b/>
          <w:color w:val="000000"/>
          <w:sz w:val="24"/>
        </w:rPr>
        <w:t xml:space="preserve"> </w:t>
      </w:r>
      <w:bookmarkStart w:id="4" w:name="OLE_LINK718"/>
      <w:bookmarkStart w:id="5" w:name="OLE_LINK719"/>
      <w:r w:rsidRPr="00957C03">
        <w:rPr>
          <w:rFonts w:ascii="Book Antiqua" w:hAnsi="Book Antiqua"/>
          <w:i/>
          <w:color w:val="000000"/>
          <w:sz w:val="24"/>
        </w:rPr>
        <w:t>World Journal of Gastroenterology</w:t>
      </w:r>
      <w:bookmarkEnd w:id="4"/>
      <w:bookmarkEnd w:id="5"/>
    </w:p>
    <w:p w:rsidR="0043020A" w:rsidRPr="00957C03" w:rsidRDefault="0043020A" w:rsidP="009A7B7E">
      <w:pPr>
        <w:adjustRightInd w:val="0"/>
        <w:snapToGrid w:val="0"/>
        <w:spacing w:line="360" w:lineRule="auto"/>
        <w:jc w:val="both"/>
        <w:rPr>
          <w:rFonts w:ascii="Book Antiqua" w:hAnsi="Book Antiqua" w:cs="宋体"/>
          <w:b/>
          <w:i/>
          <w:color w:val="000000"/>
          <w:lang w:eastAsia="zh-CN"/>
        </w:rPr>
      </w:pPr>
      <w:r w:rsidRPr="00957C03">
        <w:rPr>
          <w:rFonts w:ascii="Book Antiqua" w:hAnsi="Book Antiqua" w:cs="Arial"/>
          <w:b/>
          <w:color w:val="0033CC"/>
        </w:rPr>
        <w:t>ESPS Manuscript NO:</w:t>
      </w:r>
      <w:r w:rsidRPr="00957C03">
        <w:rPr>
          <w:rFonts w:ascii="Book Antiqua" w:hAnsi="Book Antiqua" w:cs="Arial"/>
          <w:b/>
          <w:color w:val="222222"/>
        </w:rPr>
        <w:t xml:space="preserve"> </w:t>
      </w:r>
      <w:r w:rsidRPr="00957C03">
        <w:rPr>
          <w:rFonts w:ascii="Book Antiqua" w:hAnsi="Book Antiqua" w:cs="Arial"/>
          <w:b/>
          <w:color w:val="222222"/>
          <w:lang w:eastAsia="zh-CN"/>
        </w:rPr>
        <w:t>5927</w:t>
      </w:r>
    </w:p>
    <w:p w:rsidR="0043020A" w:rsidRDefault="0043020A" w:rsidP="009A7B7E">
      <w:pPr>
        <w:suppressAutoHyphens/>
        <w:autoSpaceDE w:val="0"/>
        <w:autoSpaceDN w:val="0"/>
        <w:adjustRightInd w:val="0"/>
        <w:snapToGrid w:val="0"/>
        <w:spacing w:line="360" w:lineRule="auto"/>
        <w:jc w:val="both"/>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957C03">
        <w:rPr>
          <w:rFonts w:ascii="Book Antiqua" w:hAnsi="Book Antiqua"/>
          <w:b/>
          <w:color w:val="0033CC"/>
        </w:rPr>
        <w:t>Columns:</w:t>
      </w:r>
      <w:r w:rsidRPr="00957C03">
        <w:rPr>
          <w:rFonts w:ascii="Book Antiqua" w:hAnsi="Book Antiqua"/>
          <w:b/>
          <w:color w:val="000000"/>
        </w:rPr>
        <w:t xml:space="preserve"> </w:t>
      </w:r>
      <w:r w:rsidRPr="00957C03">
        <w:rPr>
          <w:rFonts w:ascii="Book Antiqua" w:hAnsi="Book Antiqua"/>
          <w:b/>
          <w:color w:val="000000"/>
          <w:lang w:eastAsia="zh-CN"/>
        </w:rPr>
        <w:t>TOPIC HIGHLIGHT</w:t>
      </w:r>
    </w:p>
    <w:p w:rsidR="0043020A" w:rsidRPr="00957C03" w:rsidRDefault="0043020A" w:rsidP="009A7B7E">
      <w:pPr>
        <w:suppressAutoHyphens/>
        <w:autoSpaceDE w:val="0"/>
        <w:autoSpaceDN w:val="0"/>
        <w:adjustRightInd w:val="0"/>
        <w:snapToGrid w:val="0"/>
        <w:spacing w:line="360" w:lineRule="auto"/>
        <w:jc w:val="both"/>
        <w:rPr>
          <w:rFonts w:ascii="Book Antiqua" w:hAnsi="Book Antiqua"/>
          <w:b/>
          <w:color w:val="000000"/>
          <w:lang w:eastAsia="zh-CN"/>
        </w:rPr>
      </w:pPr>
    </w:p>
    <w:p w:rsidR="0043020A" w:rsidRPr="00946CB7" w:rsidRDefault="0043020A" w:rsidP="00946CB7">
      <w:pPr>
        <w:spacing w:line="360" w:lineRule="auto"/>
        <w:jc w:val="both"/>
        <w:rPr>
          <w:rFonts w:ascii="Book Antiqua" w:hAnsi="Book Antiqua"/>
          <w:b/>
          <w:color w:val="000000"/>
          <w:lang w:eastAsia="zh-CN"/>
        </w:rPr>
      </w:pPr>
      <w:r w:rsidRPr="00413338">
        <w:rPr>
          <w:rFonts w:ascii="Book Antiqua" w:hAnsi="Book Antiqua" w:cs="TwCenMT-Bold"/>
          <w:bCs/>
        </w:rPr>
        <w:t>WJG 20th Anniversary Special Issues</w:t>
      </w:r>
      <w:r w:rsidRPr="00413338">
        <w:rPr>
          <w:rFonts w:ascii="Book Antiqua" w:hAnsi="Book Antiqua"/>
        </w:rPr>
        <w:t xml:space="preserve"> (</w:t>
      </w:r>
      <w:r>
        <w:rPr>
          <w:rFonts w:ascii="Book Antiqua" w:hAnsi="Book Antiqua"/>
          <w:lang w:eastAsia="zh-CN"/>
        </w:rPr>
        <w:t>3</w:t>
      </w:r>
      <w:r w:rsidRPr="00413338">
        <w:rPr>
          <w:rFonts w:ascii="Book Antiqua" w:hAnsi="Book Antiqua"/>
        </w:rPr>
        <w:t xml:space="preserve">): </w:t>
      </w:r>
      <w:r w:rsidRPr="00957C03">
        <w:rPr>
          <w:rFonts w:ascii="Book Antiqua" w:hAnsi="Book Antiqua"/>
          <w:color w:val="000000"/>
        </w:rPr>
        <w:t>Inflammatory bowel disease</w:t>
      </w:r>
    </w:p>
    <w:bookmarkEnd w:id="0"/>
    <w:bookmarkEnd w:id="1"/>
    <w:bookmarkEnd w:id="2"/>
    <w:bookmarkEnd w:id="3"/>
    <w:bookmarkEnd w:id="6"/>
    <w:bookmarkEnd w:id="7"/>
    <w:bookmarkEnd w:id="8"/>
    <w:bookmarkEnd w:id="9"/>
    <w:bookmarkEnd w:id="10"/>
    <w:bookmarkEnd w:id="11"/>
    <w:bookmarkEnd w:id="12"/>
    <w:bookmarkEnd w:id="13"/>
    <w:bookmarkEnd w:id="14"/>
    <w:p w:rsidR="0043020A" w:rsidRPr="00957C03" w:rsidRDefault="0043020A" w:rsidP="009A7B7E">
      <w:pPr>
        <w:snapToGrid w:val="0"/>
        <w:spacing w:line="360" w:lineRule="auto"/>
        <w:jc w:val="both"/>
        <w:rPr>
          <w:rFonts w:ascii="Book Antiqua" w:hAnsi="Book Antiqua" w:cs="Tahoma"/>
          <w:b/>
          <w:color w:val="000000"/>
          <w:shd w:val="clear" w:color="auto" w:fill="FFFFFF"/>
          <w:lang w:eastAsia="zh-CN"/>
        </w:rPr>
      </w:pPr>
    </w:p>
    <w:p w:rsidR="0043020A" w:rsidRPr="00957C03" w:rsidRDefault="0043020A" w:rsidP="009A7B7E">
      <w:pPr>
        <w:snapToGrid w:val="0"/>
        <w:spacing w:line="360" w:lineRule="auto"/>
        <w:jc w:val="both"/>
        <w:rPr>
          <w:rFonts w:ascii="Book Antiqua" w:hAnsi="Book Antiqua" w:cs="Tahoma"/>
          <w:b/>
          <w:color w:val="000000"/>
          <w:shd w:val="clear" w:color="auto" w:fill="FFFFFF"/>
        </w:rPr>
      </w:pPr>
      <w:r w:rsidRPr="00957C03">
        <w:rPr>
          <w:rFonts w:ascii="Book Antiqua" w:hAnsi="Book Antiqua" w:cs="Tahoma"/>
          <w:b/>
          <w:color w:val="000000"/>
          <w:shd w:val="clear" w:color="auto" w:fill="FFFFFF"/>
        </w:rPr>
        <w:t xml:space="preserve">Management of intestinal failure in inflammatory bowel disease: Small intestinal transplantation or home parenteral nutrition? </w:t>
      </w:r>
    </w:p>
    <w:p w:rsidR="0043020A" w:rsidRPr="00957C03" w:rsidRDefault="0043020A" w:rsidP="009A7B7E">
      <w:pPr>
        <w:snapToGrid w:val="0"/>
        <w:spacing w:line="360" w:lineRule="auto"/>
        <w:jc w:val="both"/>
        <w:rPr>
          <w:rFonts w:ascii="Book Antiqua" w:hAnsi="Book Antiqua" w:cs="Tahoma"/>
          <w:color w:val="000000"/>
          <w:shd w:val="clear" w:color="auto" w:fill="FFFFFF"/>
        </w:rPr>
      </w:pPr>
    </w:p>
    <w:p w:rsidR="0043020A" w:rsidRPr="00957C03" w:rsidRDefault="0043020A" w:rsidP="009A7B7E">
      <w:pPr>
        <w:snapToGrid w:val="0"/>
        <w:spacing w:line="360" w:lineRule="auto"/>
        <w:jc w:val="both"/>
        <w:rPr>
          <w:rFonts w:ascii="Book Antiqua" w:hAnsi="Book Antiqua" w:cs="Tahoma"/>
          <w:shd w:val="clear" w:color="auto" w:fill="FFFFFF"/>
        </w:rPr>
      </w:pPr>
      <w:r w:rsidRPr="00957C03">
        <w:rPr>
          <w:rFonts w:ascii="Book Antiqua" w:hAnsi="Book Antiqua" w:cs="Tahoma"/>
        </w:rPr>
        <w:t>Harrison</w:t>
      </w:r>
      <w:r w:rsidRPr="00957C03">
        <w:rPr>
          <w:rFonts w:ascii="Book Antiqua" w:hAnsi="Book Antiqua" w:cs="Tahoma"/>
          <w:color w:val="000000"/>
          <w:shd w:val="clear" w:color="auto" w:fill="FFFFFF"/>
        </w:rPr>
        <w:t xml:space="preserve"> </w:t>
      </w:r>
      <w:r w:rsidRPr="00957C03">
        <w:rPr>
          <w:rFonts w:ascii="Book Antiqua" w:hAnsi="Book Antiqua" w:cs="Tahoma"/>
          <w:color w:val="000000"/>
          <w:shd w:val="clear" w:color="auto" w:fill="FFFFFF"/>
          <w:lang w:eastAsia="zh-CN"/>
        </w:rPr>
        <w:t xml:space="preserve">E </w:t>
      </w:r>
      <w:r w:rsidRPr="00957C03">
        <w:rPr>
          <w:rFonts w:ascii="Book Antiqua" w:hAnsi="Book Antiqua" w:cs="Tahoma"/>
          <w:i/>
          <w:color w:val="000000"/>
          <w:shd w:val="clear" w:color="auto" w:fill="FFFFFF"/>
          <w:lang w:eastAsia="zh-CN"/>
        </w:rPr>
        <w:t>et al</w:t>
      </w:r>
      <w:r w:rsidRPr="00957C03">
        <w:rPr>
          <w:rFonts w:ascii="Book Antiqua" w:hAnsi="Book Antiqua" w:cs="Tahoma"/>
          <w:color w:val="000000"/>
          <w:shd w:val="clear" w:color="auto" w:fill="FFFFFF"/>
          <w:lang w:eastAsia="zh-CN"/>
        </w:rPr>
        <w:t xml:space="preserve">. </w:t>
      </w:r>
      <w:r w:rsidRPr="00957C03">
        <w:rPr>
          <w:rFonts w:ascii="Book Antiqua" w:hAnsi="Book Antiqua" w:cs="Tahoma"/>
          <w:color w:val="000000"/>
          <w:shd w:val="clear" w:color="auto" w:fill="FFFFFF"/>
        </w:rPr>
        <w:t xml:space="preserve">Management of intestinal failure in IBD </w:t>
      </w:r>
    </w:p>
    <w:p w:rsidR="0043020A" w:rsidRPr="00957C03" w:rsidRDefault="0043020A" w:rsidP="009A7B7E">
      <w:pPr>
        <w:snapToGrid w:val="0"/>
        <w:spacing w:line="360" w:lineRule="auto"/>
        <w:jc w:val="both"/>
        <w:rPr>
          <w:rFonts w:ascii="Book Antiqua" w:hAnsi="Book Antiqua" w:cs="Tahoma"/>
          <w:u w:val="single"/>
          <w:shd w:val="clear" w:color="auto" w:fill="FFFFFF"/>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rPr>
        <w:t xml:space="preserve">Elizabeth Harrison, Philip Allan, </w:t>
      </w:r>
      <w:proofErr w:type="spellStart"/>
      <w:r w:rsidRPr="00957C03">
        <w:rPr>
          <w:rFonts w:ascii="Book Antiqua" w:hAnsi="Book Antiqua" w:cs="Tahoma"/>
        </w:rPr>
        <w:t>Amrutha</w:t>
      </w:r>
      <w:proofErr w:type="spellEnd"/>
      <w:r w:rsidRPr="00957C03">
        <w:rPr>
          <w:rFonts w:ascii="Book Antiqua" w:hAnsi="Book Antiqua" w:cs="Tahoma"/>
        </w:rPr>
        <w:t xml:space="preserve"> </w:t>
      </w:r>
      <w:proofErr w:type="spellStart"/>
      <w:r w:rsidRPr="00957C03">
        <w:rPr>
          <w:rFonts w:ascii="Book Antiqua" w:hAnsi="Book Antiqua" w:cs="Tahoma"/>
        </w:rPr>
        <w:t>Ramu</w:t>
      </w:r>
      <w:proofErr w:type="spellEnd"/>
      <w:r w:rsidRPr="00957C03">
        <w:rPr>
          <w:rFonts w:ascii="Book Antiqua" w:hAnsi="Book Antiqua" w:cs="Tahoma"/>
        </w:rPr>
        <w:t xml:space="preserve">, Anil Vaidya, Simon Travis, Simon </w:t>
      </w:r>
      <w:proofErr w:type="spellStart"/>
      <w:r w:rsidRPr="00957C03">
        <w:rPr>
          <w:rFonts w:ascii="Book Antiqua" w:hAnsi="Book Antiqua" w:cs="Tahoma"/>
        </w:rPr>
        <w:t>Lal</w:t>
      </w:r>
      <w:proofErr w:type="spellEnd"/>
    </w:p>
    <w:p w:rsidR="0043020A" w:rsidRPr="00957C03" w:rsidRDefault="0043020A" w:rsidP="009A7B7E">
      <w:pPr>
        <w:snapToGrid w:val="0"/>
        <w:spacing w:line="360" w:lineRule="auto"/>
        <w:jc w:val="both"/>
        <w:rPr>
          <w:rStyle w:val="a6"/>
          <w:rFonts w:ascii="Book Antiqua" w:hAnsi="Book Antiqua" w:cs="Tahoma"/>
          <w:lang w:eastAsia="zh-CN"/>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 xml:space="preserve">Elizabeth Harrison, Philip Allan, </w:t>
      </w:r>
      <w:proofErr w:type="spellStart"/>
      <w:r w:rsidRPr="00957C03">
        <w:rPr>
          <w:rFonts w:ascii="Book Antiqua" w:hAnsi="Book Antiqua" w:cs="Tahoma"/>
          <w:b/>
        </w:rPr>
        <w:t>Amrutha</w:t>
      </w:r>
      <w:proofErr w:type="spellEnd"/>
      <w:r w:rsidRPr="00957C03">
        <w:rPr>
          <w:rFonts w:ascii="Book Antiqua" w:hAnsi="Book Antiqua" w:cs="Tahoma"/>
          <w:b/>
        </w:rPr>
        <w:t xml:space="preserve"> </w:t>
      </w:r>
      <w:proofErr w:type="spellStart"/>
      <w:r w:rsidRPr="00957C03">
        <w:rPr>
          <w:rFonts w:ascii="Book Antiqua" w:hAnsi="Book Antiqua" w:cs="Tahoma"/>
          <w:b/>
        </w:rPr>
        <w:t>Ramu</w:t>
      </w:r>
      <w:proofErr w:type="spellEnd"/>
      <w:r w:rsidRPr="00957C03">
        <w:rPr>
          <w:rFonts w:ascii="Book Antiqua" w:hAnsi="Book Antiqua" w:cs="Tahoma"/>
          <w:b/>
        </w:rPr>
        <w:t xml:space="preserve">, Simon </w:t>
      </w:r>
      <w:proofErr w:type="spellStart"/>
      <w:r w:rsidRPr="00957C03">
        <w:rPr>
          <w:rFonts w:ascii="Book Antiqua" w:hAnsi="Book Antiqua" w:cs="Tahoma"/>
          <w:b/>
        </w:rPr>
        <w:t>Lal</w:t>
      </w:r>
      <w:proofErr w:type="spellEnd"/>
      <w:r w:rsidRPr="00957C03">
        <w:rPr>
          <w:rFonts w:ascii="Book Antiqua" w:hAnsi="Book Antiqua" w:cs="Tahoma"/>
          <w:b/>
          <w:lang w:eastAsia="zh-CN"/>
        </w:rPr>
        <w:t>,</w:t>
      </w:r>
      <w:r w:rsidRPr="00957C03">
        <w:rPr>
          <w:rFonts w:ascii="Book Antiqua" w:hAnsi="Book Antiqua" w:cs="Tahoma"/>
          <w:b/>
          <w:vertAlign w:val="superscript"/>
          <w:lang w:eastAsia="zh-CN"/>
        </w:rPr>
        <w:t xml:space="preserve"> </w:t>
      </w:r>
      <w:r w:rsidRPr="00957C03">
        <w:rPr>
          <w:rFonts w:ascii="Book Antiqua" w:hAnsi="Book Antiqua" w:cs="Tahoma"/>
        </w:rPr>
        <w:t>Intestinal Failure Unit, Salford Royal NHS Foundation Trust, Greater Manchester M6 8HD, United Kingdom</w:t>
      </w:r>
    </w:p>
    <w:p w:rsidR="0043020A" w:rsidRPr="00957C03" w:rsidRDefault="0043020A" w:rsidP="009A7B7E">
      <w:pPr>
        <w:snapToGrid w:val="0"/>
        <w:spacing w:line="360" w:lineRule="auto"/>
        <w:jc w:val="both"/>
        <w:rPr>
          <w:rFonts w:ascii="Book Antiqua" w:hAnsi="Book Antiqua" w:cs="Tahoma"/>
          <w:lang w:eastAsia="zh-CN"/>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 xml:space="preserve">Philip Allan, </w:t>
      </w:r>
      <w:proofErr w:type="spellStart"/>
      <w:r w:rsidRPr="00957C03">
        <w:rPr>
          <w:rFonts w:ascii="Book Antiqua" w:hAnsi="Book Antiqua" w:cs="Tahoma"/>
          <w:b/>
        </w:rPr>
        <w:t>Amrutha</w:t>
      </w:r>
      <w:proofErr w:type="spellEnd"/>
      <w:r w:rsidRPr="00957C03">
        <w:rPr>
          <w:rFonts w:ascii="Book Antiqua" w:hAnsi="Book Antiqua" w:cs="Tahoma"/>
          <w:b/>
        </w:rPr>
        <w:t xml:space="preserve"> </w:t>
      </w:r>
      <w:proofErr w:type="spellStart"/>
      <w:r w:rsidRPr="00957C03">
        <w:rPr>
          <w:rFonts w:ascii="Book Antiqua" w:hAnsi="Book Antiqua" w:cs="Tahoma"/>
          <w:b/>
        </w:rPr>
        <w:t>Ramu</w:t>
      </w:r>
      <w:proofErr w:type="spellEnd"/>
      <w:r w:rsidRPr="00957C03">
        <w:rPr>
          <w:rFonts w:ascii="Book Antiqua" w:hAnsi="Book Antiqua" w:cs="Tahoma"/>
          <w:b/>
        </w:rPr>
        <w:t xml:space="preserve">, Simon Travis, </w:t>
      </w:r>
      <w:r w:rsidRPr="00957C03">
        <w:rPr>
          <w:rStyle w:val="companyprofilelink"/>
          <w:rFonts w:ascii="Book Antiqua" w:hAnsi="Book Antiqua" w:cs="Tahoma"/>
        </w:rPr>
        <w:t>Translational Gastroenterology Unit, Oxford University Hospitals NHS Trust, Oxford OX3 6RP,</w:t>
      </w:r>
      <w:r w:rsidRPr="00957C03">
        <w:rPr>
          <w:rFonts w:ascii="Book Antiqua" w:hAnsi="Book Antiqua" w:cs="Tahoma"/>
        </w:rPr>
        <w:t xml:space="preserve"> United Kingdom</w:t>
      </w:r>
    </w:p>
    <w:p w:rsidR="0043020A" w:rsidRPr="00957C03" w:rsidRDefault="0043020A" w:rsidP="009A7B7E">
      <w:pPr>
        <w:snapToGrid w:val="0"/>
        <w:spacing w:line="360" w:lineRule="auto"/>
        <w:jc w:val="both"/>
        <w:rPr>
          <w:rStyle w:val="companyprofilelink"/>
          <w:rFonts w:ascii="Book Antiqua" w:hAnsi="Book Antiqua" w:cs="Tahoma"/>
          <w:lang w:eastAsia="zh-CN"/>
        </w:rPr>
      </w:pPr>
    </w:p>
    <w:p w:rsidR="0043020A" w:rsidRPr="00957C03" w:rsidRDefault="0043020A" w:rsidP="009A7B7E">
      <w:pPr>
        <w:snapToGrid w:val="0"/>
        <w:spacing w:line="360" w:lineRule="auto"/>
        <w:jc w:val="both"/>
        <w:rPr>
          <w:rStyle w:val="companyprofilelink"/>
          <w:rFonts w:ascii="Book Antiqua" w:hAnsi="Book Antiqua" w:cs="Tahoma"/>
        </w:rPr>
      </w:pPr>
      <w:r w:rsidRPr="00957C03">
        <w:rPr>
          <w:rFonts w:ascii="Book Antiqua" w:hAnsi="Book Antiqua" w:cs="Tahoma"/>
          <w:b/>
        </w:rPr>
        <w:t xml:space="preserve">Anil Vaidya, </w:t>
      </w:r>
      <w:r w:rsidRPr="00957C03">
        <w:rPr>
          <w:rStyle w:val="companyprofilelink"/>
          <w:rFonts w:ascii="Book Antiqua" w:hAnsi="Book Antiqua" w:cs="Tahoma"/>
        </w:rPr>
        <w:t>Transplant Centre, Oxford University Hospitals NHS Trust, Oxford</w:t>
      </w:r>
      <w:r w:rsidRPr="00957C03">
        <w:rPr>
          <w:rStyle w:val="companyprofilelink"/>
          <w:rFonts w:ascii="Book Antiqua" w:hAnsi="Book Antiqua" w:cs="Tahoma"/>
          <w:lang w:eastAsia="zh-CN"/>
        </w:rPr>
        <w:t xml:space="preserve"> </w:t>
      </w:r>
      <w:r w:rsidRPr="00957C03">
        <w:rPr>
          <w:rStyle w:val="companyprofilelink"/>
          <w:rFonts w:ascii="Book Antiqua" w:hAnsi="Book Antiqua" w:cs="Tahoma"/>
        </w:rPr>
        <w:t>OX3 7LE,</w:t>
      </w:r>
      <w:r w:rsidRPr="00957C03">
        <w:rPr>
          <w:rFonts w:ascii="Book Antiqua" w:hAnsi="Book Antiqua" w:cs="Tahoma"/>
        </w:rPr>
        <w:t xml:space="preserve"> United Kingdom</w:t>
      </w:r>
      <w:r w:rsidRPr="00957C03">
        <w:rPr>
          <w:rStyle w:val="companyprofilelink"/>
          <w:rFonts w:ascii="Book Antiqua" w:hAnsi="Book Antiqua" w:cs="Tahoma"/>
        </w:rPr>
        <w:t xml:space="preserve"> </w:t>
      </w:r>
    </w:p>
    <w:p w:rsidR="0043020A" w:rsidRPr="00957C03" w:rsidRDefault="0043020A" w:rsidP="009A7B7E">
      <w:pPr>
        <w:snapToGrid w:val="0"/>
        <w:spacing w:line="360" w:lineRule="auto"/>
        <w:ind w:left="360"/>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 xml:space="preserve">Author contributions: </w:t>
      </w:r>
      <w:proofErr w:type="spellStart"/>
      <w:r w:rsidRPr="00957C03">
        <w:rPr>
          <w:rFonts w:ascii="Book Antiqua" w:hAnsi="Book Antiqua" w:cs="Tahoma"/>
        </w:rPr>
        <w:t>Lal</w:t>
      </w:r>
      <w:proofErr w:type="spellEnd"/>
      <w:r w:rsidRPr="00957C03">
        <w:rPr>
          <w:rFonts w:ascii="Book Antiqua" w:hAnsi="Book Antiqua" w:cs="Tahoma"/>
        </w:rPr>
        <w:t xml:space="preserve"> S devised, reviewed and edited the article</w:t>
      </w:r>
      <w:r w:rsidRPr="00957C03">
        <w:rPr>
          <w:rFonts w:ascii="Book Antiqua" w:hAnsi="Book Antiqua" w:cs="Tahoma"/>
          <w:lang w:eastAsia="zh-CN"/>
        </w:rPr>
        <w:t>;</w:t>
      </w:r>
      <w:r w:rsidRPr="00957C03">
        <w:rPr>
          <w:rFonts w:ascii="Book Antiqua" w:hAnsi="Book Antiqua" w:cs="Tahoma"/>
        </w:rPr>
        <w:t xml:space="preserve"> Harrison E and</w:t>
      </w:r>
      <w:r w:rsidRPr="00957C03">
        <w:rPr>
          <w:rFonts w:ascii="Book Antiqua" w:hAnsi="Book Antiqua" w:cs="Tahoma"/>
          <w:b/>
        </w:rPr>
        <w:t xml:space="preserve"> </w:t>
      </w:r>
      <w:r w:rsidRPr="00957C03">
        <w:rPr>
          <w:rFonts w:ascii="Book Antiqua" w:hAnsi="Book Antiqua" w:cs="Tahoma"/>
        </w:rPr>
        <w:t>Allan P wrote and edited the article</w:t>
      </w:r>
      <w:r w:rsidRPr="00957C03">
        <w:rPr>
          <w:rFonts w:ascii="Book Antiqua" w:hAnsi="Book Antiqua" w:cs="Tahoma"/>
          <w:lang w:eastAsia="zh-CN"/>
        </w:rPr>
        <w:t>;</w:t>
      </w:r>
      <w:r w:rsidRPr="00957C03">
        <w:rPr>
          <w:rFonts w:ascii="Book Antiqua" w:hAnsi="Book Antiqua" w:cs="Tahoma"/>
        </w:rPr>
        <w:t xml:space="preserve"> </w:t>
      </w:r>
      <w:proofErr w:type="spellStart"/>
      <w:r w:rsidRPr="00957C03">
        <w:rPr>
          <w:rFonts w:ascii="Book Antiqua" w:hAnsi="Book Antiqua" w:cs="Tahoma"/>
        </w:rPr>
        <w:t>Ramu</w:t>
      </w:r>
      <w:proofErr w:type="spellEnd"/>
      <w:r w:rsidRPr="00957C03">
        <w:rPr>
          <w:rFonts w:ascii="Book Antiqua" w:hAnsi="Book Antiqua" w:cs="Tahoma"/>
        </w:rPr>
        <w:t xml:space="preserve"> A, Vaidya A and Travis S reviewed and edited the article. </w:t>
      </w:r>
    </w:p>
    <w:p w:rsidR="0043020A" w:rsidRPr="00957C03" w:rsidRDefault="0043020A" w:rsidP="009A7B7E">
      <w:pPr>
        <w:snapToGrid w:val="0"/>
        <w:spacing w:line="360" w:lineRule="auto"/>
        <w:jc w:val="both"/>
        <w:rPr>
          <w:rFonts w:ascii="Book Antiqua" w:hAnsi="Book Antiqua" w:cs="Tahoma"/>
          <w:lang w:eastAsia="zh-CN"/>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 xml:space="preserve">Correspondence to: </w:t>
      </w:r>
      <w:proofErr w:type="spellStart"/>
      <w:r w:rsidRPr="00957C03">
        <w:rPr>
          <w:rFonts w:ascii="Book Antiqua" w:hAnsi="Book Antiqua" w:cs="Tahoma"/>
          <w:b/>
          <w:lang w:eastAsia="zh-CN"/>
        </w:rPr>
        <w:t>Dr.</w:t>
      </w:r>
      <w:proofErr w:type="spellEnd"/>
      <w:r w:rsidRPr="00957C03">
        <w:rPr>
          <w:rFonts w:ascii="Book Antiqua" w:hAnsi="Book Antiqua" w:cs="Tahoma"/>
          <w:b/>
          <w:lang w:eastAsia="zh-CN"/>
        </w:rPr>
        <w:t xml:space="preserve"> </w:t>
      </w:r>
      <w:r w:rsidRPr="00957C03">
        <w:rPr>
          <w:rFonts w:ascii="Book Antiqua" w:hAnsi="Book Antiqua" w:cs="Tahoma"/>
          <w:b/>
        </w:rPr>
        <w:t>Elizabeth Harrison,</w:t>
      </w:r>
      <w:r w:rsidRPr="00957C03">
        <w:rPr>
          <w:rFonts w:ascii="Book Antiqua" w:hAnsi="Book Antiqua" w:cs="Tahoma"/>
        </w:rPr>
        <w:t xml:space="preserve"> Intestinal Failure Unit, Salford Royal NHS Foundation Trust,</w:t>
      </w:r>
      <w:r>
        <w:rPr>
          <w:rFonts w:ascii="Book Antiqua" w:hAnsi="Book Antiqua" w:cs="Tahoma"/>
          <w:lang w:eastAsia="zh-CN"/>
        </w:rPr>
        <w:t xml:space="preserve"> </w:t>
      </w:r>
      <w:r w:rsidRPr="00957C03">
        <w:rPr>
          <w:rFonts w:ascii="Book Antiqua" w:hAnsi="Book Antiqua" w:cs="Tahoma"/>
        </w:rPr>
        <w:t>Clinical Sciences Building, Greater Manchester M6 8HD,</w:t>
      </w:r>
      <w:r>
        <w:rPr>
          <w:rFonts w:ascii="Book Antiqua" w:hAnsi="Book Antiqua" w:cs="Tahoma"/>
          <w:lang w:eastAsia="zh-CN"/>
        </w:rPr>
        <w:t xml:space="preserve"> </w:t>
      </w:r>
      <w:r w:rsidRPr="00957C03">
        <w:rPr>
          <w:rFonts w:ascii="Book Antiqua" w:hAnsi="Book Antiqua" w:cs="Tahoma"/>
        </w:rPr>
        <w:t xml:space="preserve">United Kingdom. </w:t>
      </w:r>
      <w:hyperlink r:id="rId8" w:history="1">
        <w:r w:rsidRPr="00957C03">
          <w:rPr>
            <w:rStyle w:val="a7"/>
            <w:rFonts w:ascii="Book Antiqua" w:hAnsi="Book Antiqua" w:cs="Tahoma"/>
          </w:rPr>
          <w:t>elizabeth.harrison-3@manchester.ac.uk</w:t>
        </w:r>
      </w:hyperlink>
    </w:p>
    <w:p w:rsidR="0043020A" w:rsidRPr="00957C03" w:rsidRDefault="0043020A" w:rsidP="009A7B7E">
      <w:pPr>
        <w:snapToGrid w:val="0"/>
        <w:spacing w:line="360" w:lineRule="auto"/>
        <w:jc w:val="both"/>
        <w:rPr>
          <w:rFonts w:ascii="Book Antiqua" w:hAnsi="Book Antiqua" w:cs="Tahoma"/>
          <w:lang w:eastAsia="zh-CN"/>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 xml:space="preserve">Telephone: </w:t>
      </w:r>
      <w:r w:rsidRPr="00957C03">
        <w:rPr>
          <w:rFonts w:ascii="Book Antiqua" w:hAnsi="Book Antiqua" w:cs="Tahoma"/>
        </w:rPr>
        <w:t>+44-161-2061442</w:t>
      </w:r>
      <w:r w:rsidRPr="00957C03">
        <w:rPr>
          <w:rFonts w:ascii="Book Antiqua" w:hAnsi="Book Antiqua" w:cs="Tahoma"/>
          <w:lang w:eastAsia="zh-CN"/>
        </w:rPr>
        <w:t xml:space="preserve">  </w:t>
      </w:r>
      <w:r w:rsidRPr="00957C03">
        <w:rPr>
          <w:rFonts w:ascii="Book Antiqua" w:hAnsi="Book Antiqua" w:cs="Tahoma"/>
          <w:b/>
          <w:lang w:eastAsia="zh-CN"/>
        </w:rPr>
        <w:t xml:space="preserve">              Fax: </w:t>
      </w:r>
      <w:r w:rsidRPr="00957C03">
        <w:rPr>
          <w:rFonts w:ascii="Book Antiqua" w:hAnsi="Book Antiqua" w:cs="Tahoma"/>
          <w:lang w:eastAsia="zh-CN"/>
        </w:rPr>
        <w:t>+</w:t>
      </w:r>
      <w:r w:rsidRPr="00957C03">
        <w:rPr>
          <w:rFonts w:ascii="Book Antiqua" w:hAnsi="Book Antiqua" w:cs="Tahoma"/>
        </w:rPr>
        <w:t>44-161-2061442</w:t>
      </w:r>
    </w:p>
    <w:p w:rsidR="0043020A" w:rsidRPr="00957C03" w:rsidRDefault="0043020A" w:rsidP="009A7B7E">
      <w:pPr>
        <w:snapToGrid w:val="0"/>
        <w:spacing w:line="360" w:lineRule="auto"/>
        <w:jc w:val="both"/>
        <w:rPr>
          <w:rFonts w:ascii="Book Antiqua" w:hAnsi="Book Antiqua" w:cs="Tahoma"/>
          <w:b/>
          <w:lang w:eastAsia="zh-CN"/>
        </w:rPr>
      </w:pPr>
      <w:r w:rsidRPr="00957C03">
        <w:rPr>
          <w:rFonts w:ascii="Book Antiqua" w:hAnsi="Book Antiqua" w:cs="Tahoma"/>
          <w:b/>
        </w:rPr>
        <w:t xml:space="preserve">Received: </w:t>
      </w:r>
      <w:r w:rsidRPr="00957C03">
        <w:rPr>
          <w:rFonts w:ascii="Book Antiqua" w:hAnsi="Book Antiqua" w:cs="Tahoma"/>
          <w:lang w:eastAsia="zh-CN"/>
        </w:rPr>
        <w:t>September 28, 2013</w:t>
      </w:r>
      <w:r w:rsidRPr="00957C03">
        <w:rPr>
          <w:rFonts w:ascii="Book Antiqua" w:hAnsi="Book Antiqua" w:cs="Tahoma"/>
          <w:b/>
          <w:lang w:eastAsia="zh-CN"/>
        </w:rPr>
        <w:t xml:space="preserve">  </w:t>
      </w:r>
      <w:r w:rsidRPr="00957C03">
        <w:rPr>
          <w:rFonts w:ascii="Book Antiqua" w:hAnsi="Book Antiqua" w:cs="Tahoma"/>
          <w:b/>
        </w:rPr>
        <w:tab/>
      </w:r>
      <w:r>
        <w:rPr>
          <w:rFonts w:ascii="Book Antiqua" w:hAnsi="Book Antiqua" w:cs="Tahoma"/>
          <w:b/>
          <w:lang w:eastAsia="zh-CN"/>
        </w:rPr>
        <w:t xml:space="preserve">      </w:t>
      </w:r>
      <w:r w:rsidRPr="00957C03">
        <w:rPr>
          <w:rFonts w:ascii="Book Antiqua" w:hAnsi="Book Antiqua" w:cs="Tahoma"/>
          <w:b/>
        </w:rPr>
        <w:t xml:space="preserve">Revised: </w:t>
      </w:r>
      <w:r w:rsidRPr="00957C03">
        <w:rPr>
          <w:rFonts w:ascii="Book Antiqua" w:hAnsi="Book Antiqua" w:cs="Tahoma"/>
          <w:lang w:eastAsia="zh-CN"/>
        </w:rPr>
        <w:t>November 21, 2013</w:t>
      </w:r>
      <w:r w:rsidRPr="00957C03">
        <w:rPr>
          <w:rFonts w:ascii="Book Antiqua" w:hAnsi="Book Antiqua" w:cs="Tahoma"/>
          <w:b/>
        </w:rPr>
        <w:tab/>
      </w:r>
    </w:p>
    <w:p w:rsidR="0058648D" w:rsidRPr="0064057D" w:rsidRDefault="0043020A" w:rsidP="0058648D">
      <w:pPr>
        <w:rPr>
          <w:rFonts w:ascii="Book Antiqua" w:hAnsi="Book Antiqua"/>
        </w:rPr>
      </w:pPr>
      <w:r w:rsidRPr="00957C03">
        <w:rPr>
          <w:rFonts w:ascii="Book Antiqua" w:hAnsi="Book Antiqua" w:cs="Tahoma"/>
          <w:b/>
        </w:rPr>
        <w:t xml:space="preserve">Accepted: </w:t>
      </w:r>
      <w:r w:rsidR="0058648D" w:rsidRPr="0064057D">
        <w:rPr>
          <w:rFonts w:ascii="Book Antiqua" w:hAnsi="Book Antiqua"/>
        </w:rPr>
        <w:t>January 14, 2014</w:t>
      </w:r>
    </w:p>
    <w:p w:rsidR="0043020A" w:rsidRDefault="0043020A" w:rsidP="009A7B7E">
      <w:pPr>
        <w:snapToGrid w:val="0"/>
        <w:spacing w:line="360" w:lineRule="auto"/>
        <w:jc w:val="both"/>
        <w:rPr>
          <w:rFonts w:ascii="Book Antiqua" w:hAnsi="Book Antiqua" w:cs="Tahoma"/>
          <w:b/>
        </w:rPr>
      </w:pPr>
      <w:bookmarkStart w:id="15" w:name="_GoBack"/>
      <w:bookmarkEnd w:id="15"/>
      <w:r w:rsidRPr="00957C03">
        <w:rPr>
          <w:rFonts w:ascii="Book Antiqua" w:hAnsi="Book Antiqua" w:cs="Tahoma"/>
          <w:b/>
        </w:rPr>
        <w:tab/>
      </w: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Published online:</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lang w:eastAsia="zh-CN"/>
        </w:rPr>
      </w:pP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b/>
        </w:rPr>
        <w:t xml:space="preserve">Abstract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Inflammatory bowel disease and </w:t>
      </w:r>
      <w:proofErr w:type="spellStart"/>
      <w:r w:rsidRPr="00957C03">
        <w:rPr>
          <w:rFonts w:ascii="Book Antiqua" w:hAnsi="Book Antiqua" w:cs="Tahoma"/>
        </w:rPr>
        <w:t>Crohn’s</w:t>
      </w:r>
      <w:proofErr w:type="spellEnd"/>
      <w:r w:rsidRPr="00957C03">
        <w:rPr>
          <w:rFonts w:ascii="Book Antiqua" w:hAnsi="Book Antiqua" w:cs="Tahoma"/>
        </w:rPr>
        <w:t xml:space="preserve"> disease in particular, is a common cause of intestinal failure. Current therapeutic options include home parenteral nutrition and intestinal transplantation. For most patients, home intravenous therapy including parenteral nutrition, with a good probability of long-term survival, is the favoured choice. However, in selected patients, with specific features that may shorten survival or complicate home parenteral nutrition, intestinal transplantation presents a viable alternative. We present survival, complications, quality of life and economic considerations that currently influence individualised decision-making between home parenteral nutrition and intestinal transplantation.</w:t>
      </w:r>
    </w:p>
    <w:p w:rsidR="0043020A" w:rsidRPr="00957C03" w:rsidRDefault="0043020A" w:rsidP="009A7B7E">
      <w:pPr>
        <w:snapToGrid w:val="0"/>
        <w:spacing w:line="360" w:lineRule="auto"/>
        <w:jc w:val="both"/>
        <w:rPr>
          <w:rFonts w:ascii="Book Antiqua" w:hAnsi="Book Antiqua" w:cs="Tahoma"/>
          <w:lang w:eastAsia="zh-CN"/>
        </w:rPr>
      </w:pPr>
    </w:p>
    <w:p w:rsidR="0043020A" w:rsidRPr="00957C03" w:rsidRDefault="0043020A" w:rsidP="009A7B7E">
      <w:pPr>
        <w:adjustRightInd w:val="0"/>
        <w:snapToGrid w:val="0"/>
        <w:spacing w:line="360" w:lineRule="auto"/>
        <w:jc w:val="both"/>
        <w:rPr>
          <w:rFonts w:ascii="Book Antiqua" w:hAnsi="Book Antiqua"/>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r w:rsidRPr="00957C03">
        <w:rPr>
          <w:rFonts w:ascii="Book Antiqua" w:hAnsi="Book Antiqua"/>
        </w:rPr>
        <w:t>© 201</w:t>
      </w:r>
      <w:r>
        <w:rPr>
          <w:rFonts w:ascii="Book Antiqua" w:hAnsi="Book Antiqua"/>
        </w:rPr>
        <w:t>4</w:t>
      </w:r>
      <w:r w:rsidRPr="00957C03">
        <w:rPr>
          <w:rFonts w:ascii="Book Antiqua" w:hAnsi="Book Antiqua"/>
        </w:rPr>
        <w:t xml:space="preserve"> </w:t>
      </w:r>
      <w:proofErr w:type="spellStart"/>
      <w:r w:rsidRPr="00957C03">
        <w:rPr>
          <w:rFonts w:ascii="Book Antiqua" w:hAnsi="Book Antiqua"/>
        </w:rPr>
        <w:t>Baishideng</w:t>
      </w:r>
      <w:proofErr w:type="spellEnd"/>
      <w:r w:rsidRPr="00957C03">
        <w:rPr>
          <w:rFonts w:ascii="Book Antiqua" w:hAnsi="Book Antiqua"/>
        </w:rPr>
        <w:t xml:space="preserve"> Publishing Group Co., Limited. All rights reserved.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rsidR="0043020A" w:rsidRPr="00957C03" w:rsidRDefault="0043020A" w:rsidP="009A7B7E">
      <w:pPr>
        <w:snapToGrid w:val="0"/>
        <w:spacing w:line="360" w:lineRule="auto"/>
        <w:jc w:val="both"/>
        <w:rPr>
          <w:rFonts w:ascii="Book Antiqua" w:hAnsi="Book Antiqua" w:cs="Tahoma"/>
          <w:lang w:eastAsia="zh-CN"/>
        </w:rPr>
      </w:pPr>
    </w:p>
    <w:p w:rsidR="0043020A" w:rsidRPr="00957C03" w:rsidRDefault="0043020A" w:rsidP="009A7B7E">
      <w:pPr>
        <w:snapToGrid w:val="0"/>
        <w:spacing w:line="360" w:lineRule="auto"/>
        <w:jc w:val="both"/>
        <w:rPr>
          <w:rFonts w:ascii="Book Antiqua" w:hAnsi="Book Antiqua" w:cs="Tahoma"/>
          <w:lang w:eastAsia="zh-CN"/>
        </w:rPr>
      </w:pPr>
      <w:r w:rsidRPr="00957C03">
        <w:rPr>
          <w:rFonts w:ascii="Book Antiqua" w:hAnsi="Book Antiqua" w:cs="Tahoma"/>
          <w:b/>
        </w:rPr>
        <w:t>Key words</w:t>
      </w:r>
      <w:r w:rsidRPr="00957C03">
        <w:rPr>
          <w:rFonts w:ascii="Book Antiqua" w:hAnsi="Book Antiqua" w:cs="Tahoma"/>
        </w:rPr>
        <w:t>:</w:t>
      </w:r>
      <w:r w:rsidRPr="00957C03">
        <w:rPr>
          <w:rFonts w:ascii="Book Antiqua" w:hAnsi="Book Antiqua" w:cs="Tahoma"/>
          <w:b/>
        </w:rPr>
        <w:t xml:space="preserve"> </w:t>
      </w:r>
      <w:r w:rsidRPr="00957C03">
        <w:rPr>
          <w:rFonts w:ascii="Book Antiqua" w:hAnsi="Book Antiqua" w:cs="Tahoma"/>
        </w:rPr>
        <w:t xml:space="preserve">Inflammatory bowel disease; </w:t>
      </w:r>
      <w:proofErr w:type="spellStart"/>
      <w:r w:rsidRPr="00957C03">
        <w:rPr>
          <w:rFonts w:ascii="Book Antiqua" w:hAnsi="Book Antiqua" w:cs="Tahoma"/>
        </w:rPr>
        <w:t>Crohn’s</w:t>
      </w:r>
      <w:proofErr w:type="spellEnd"/>
      <w:r w:rsidRPr="00957C03">
        <w:rPr>
          <w:rFonts w:ascii="Book Antiqua" w:hAnsi="Book Antiqua" w:cs="Tahoma"/>
        </w:rPr>
        <w:t xml:space="preserve"> disease; Intestinal failure; Intestinal transplantation; Home parenteral nutrition; Survival; Complications; Quality of life</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宋体"/>
          <w:b/>
          <w:lang w:eastAsia="zh-CN"/>
        </w:rPr>
      </w:pPr>
      <w:bookmarkStart w:id="151" w:name="OLE_LINK1196"/>
      <w:bookmarkStart w:id="152" w:name="OLE_LINK1154"/>
      <w:bookmarkStart w:id="153" w:name="OLE_LINK1155"/>
      <w:bookmarkStart w:id="154" w:name="OLE_LINK1322"/>
      <w:bookmarkStart w:id="155" w:name="OLE_LINK1044"/>
      <w:bookmarkStart w:id="156" w:name="OLE_LINK1224"/>
      <w:bookmarkStart w:id="157" w:name="OLE_LINK1225"/>
      <w:bookmarkStart w:id="158" w:name="OLE_LINK1634"/>
      <w:bookmarkStart w:id="159" w:name="OLE_LINK1635"/>
      <w:bookmarkStart w:id="160" w:name="OLE_LINK1762"/>
      <w:bookmarkStart w:id="161" w:name="OLE_LINK1763"/>
      <w:bookmarkStart w:id="162" w:name="OLE_LINK1764"/>
      <w:bookmarkStart w:id="163" w:name="OLE_LINK1939"/>
      <w:bookmarkStart w:id="164" w:name="OLE_LINK2194"/>
      <w:bookmarkStart w:id="165" w:name="OLE_LINK2878"/>
      <w:r w:rsidRPr="00957C03">
        <w:rPr>
          <w:rFonts w:ascii="Book Antiqua" w:hAnsi="Book Antiqua" w:cs="宋体"/>
          <w:b/>
        </w:rPr>
        <w:t>Core tip:</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57C03">
        <w:rPr>
          <w:rFonts w:ascii="Book Antiqua" w:hAnsi="Book Antiqua" w:cs="Tahoma"/>
        </w:rPr>
        <w:t xml:space="preserve"> In this review we describe and compare the principal options for the management of intestinal failure in patients with inflammatory bowel disease: home parenteral nutrition and intestinal transplantation. We describe patient survival, complications and quality of life considerations that influence individualised decision-making between approaches. As survival from transplantation improves, decision-making is likely to change.</w:t>
      </w:r>
    </w:p>
    <w:p w:rsidR="0043020A" w:rsidRPr="00957C03" w:rsidRDefault="0043020A" w:rsidP="009A7B7E">
      <w:pPr>
        <w:adjustRightInd w:val="0"/>
        <w:snapToGrid w:val="0"/>
        <w:spacing w:line="360" w:lineRule="auto"/>
        <w:ind w:rightChars="-19" w:right="-46"/>
        <w:jc w:val="both"/>
        <w:rPr>
          <w:rFonts w:ascii="Book Antiqua" w:hAnsi="Book Antiqua"/>
        </w:rPr>
      </w:pPr>
      <w:r w:rsidRPr="00957C03">
        <w:rPr>
          <w:rFonts w:ascii="Book Antiqua" w:hAnsi="Book Antiqua" w:cs="Tahoma"/>
        </w:rPr>
        <w:lastRenderedPageBreak/>
        <w:t>Harrison</w:t>
      </w:r>
      <w:r w:rsidRPr="00957C03">
        <w:rPr>
          <w:rFonts w:ascii="Book Antiqua" w:hAnsi="Book Antiqua" w:cs="Tahoma"/>
          <w:lang w:eastAsia="zh-CN"/>
        </w:rPr>
        <w:t xml:space="preserve"> E</w:t>
      </w:r>
      <w:r w:rsidRPr="00957C03">
        <w:rPr>
          <w:rFonts w:ascii="Book Antiqua" w:hAnsi="Book Antiqua" w:cs="Tahoma"/>
        </w:rPr>
        <w:t>, Allan</w:t>
      </w:r>
      <w:r w:rsidRPr="00957C03">
        <w:rPr>
          <w:rFonts w:ascii="Book Antiqua" w:hAnsi="Book Antiqua" w:cs="Tahoma"/>
          <w:lang w:eastAsia="zh-CN"/>
        </w:rPr>
        <w:t xml:space="preserve"> P</w:t>
      </w:r>
      <w:r w:rsidRPr="00957C03">
        <w:rPr>
          <w:rFonts w:ascii="Book Antiqua" w:hAnsi="Book Antiqua" w:cs="Tahoma"/>
        </w:rPr>
        <w:t xml:space="preserve">, </w:t>
      </w:r>
      <w:proofErr w:type="spellStart"/>
      <w:r w:rsidRPr="00957C03">
        <w:rPr>
          <w:rFonts w:ascii="Book Antiqua" w:hAnsi="Book Antiqua" w:cs="Tahoma"/>
        </w:rPr>
        <w:t>Ramu</w:t>
      </w:r>
      <w:proofErr w:type="spellEnd"/>
      <w:r w:rsidRPr="00957C03">
        <w:rPr>
          <w:rFonts w:ascii="Book Antiqua" w:hAnsi="Book Antiqua" w:cs="Tahoma"/>
          <w:lang w:eastAsia="zh-CN"/>
        </w:rPr>
        <w:t xml:space="preserve"> A</w:t>
      </w:r>
      <w:r w:rsidRPr="00957C03">
        <w:rPr>
          <w:rFonts w:ascii="Book Antiqua" w:hAnsi="Book Antiqua" w:cs="Tahoma"/>
        </w:rPr>
        <w:t>, Vaidya</w:t>
      </w:r>
      <w:r w:rsidRPr="00957C03">
        <w:rPr>
          <w:rFonts w:ascii="Book Antiqua" w:hAnsi="Book Antiqua" w:cs="Tahoma"/>
          <w:lang w:eastAsia="zh-CN"/>
        </w:rPr>
        <w:t xml:space="preserve"> A</w:t>
      </w:r>
      <w:r w:rsidRPr="00957C03">
        <w:rPr>
          <w:rFonts w:ascii="Book Antiqua" w:hAnsi="Book Antiqua" w:cs="Tahoma"/>
        </w:rPr>
        <w:t>, Travis</w:t>
      </w:r>
      <w:r w:rsidRPr="00957C03">
        <w:rPr>
          <w:rFonts w:ascii="Book Antiqua" w:hAnsi="Book Antiqua" w:cs="Tahoma"/>
          <w:lang w:eastAsia="zh-CN"/>
        </w:rPr>
        <w:t xml:space="preserve"> S</w:t>
      </w:r>
      <w:r w:rsidRPr="00957C03">
        <w:rPr>
          <w:rFonts w:ascii="Book Antiqua" w:hAnsi="Book Antiqua" w:cs="Tahoma"/>
        </w:rPr>
        <w:t xml:space="preserve">, </w:t>
      </w:r>
      <w:proofErr w:type="spellStart"/>
      <w:r w:rsidRPr="00957C03">
        <w:rPr>
          <w:rFonts w:ascii="Book Antiqua" w:hAnsi="Book Antiqua" w:cs="Tahoma"/>
        </w:rPr>
        <w:t>Lal</w:t>
      </w:r>
      <w:proofErr w:type="spellEnd"/>
      <w:r w:rsidRPr="00957C03">
        <w:rPr>
          <w:rFonts w:ascii="Book Antiqua" w:hAnsi="Book Antiqua" w:cs="Tahoma"/>
          <w:lang w:eastAsia="zh-CN"/>
        </w:rPr>
        <w:t xml:space="preserve"> S. </w:t>
      </w:r>
      <w:r w:rsidRPr="00957C03">
        <w:rPr>
          <w:rFonts w:ascii="Book Antiqua" w:hAnsi="Book Antiqua" w:cs="Tahoma"/>
          <w:color w:val="000000"/>
          <w:shd w:val="clear" w:color="auto" w:fill="FFFFFF"/>
        </w:rPr>
        <w:t xml:space="preserve">Management of intestinal failure in inflammatory bowel disease: Small intestinal transplantation or home parenteral nutrition? </w:t>
      </w:r>
      <w:bookmarkStart w:id="166" w:name="OLE_LINK335"/>
      <w:bookmarkStart w:id="167" w:name="OLE_LINK336"/>
      <w:bookmarkStart w:id="168" w:name="OLE_LINK87"/>
      <w:bookmarkStart w:id="169" w:name="OLE_LINK97"/>
      <w:bookmarkStart w:id="170" w:name="OLE_LINK1297"/>
      <w:bookmarkStart w:id="171" w:name="OLE_LINK1298"/>
      <w:bookmarkStart w:id="172" w:name="OLE_LINK1689"/>
      <w:bookmarkStart w:id="173" w:name="OLE_LINK144"/>
      <w:bookmarkStart w:id="174" w:name="OLE_LINK152"/>
      <w:bookmarkStart w:id="175" w:name="OLE_LINK163"/>
      <w:bookmarkStart w:id="176" w:name="OLE_LINK1895"/>
      <w:bookmarkStart w:id="177" w:name="OLE_LINK1897"/>
      <w:bookmarkStart w:id="178" w:name="OLE_LINK1937"/>
      <w:bookmarkStart w:id="179" w:name="OLE_LINK2087"/>
      <w:bookmarkStart w:id="180" w:name="OLE_LINK2088"/>
      <w:bookmarkStart w:id="181" w:name="OLE_LINK2569"/>
      <w:bookmarkStart w:id="182" w:name="OLE_LINK2570"/>
      <w:bookmarkStart w:id="183" w:name="OLE_LINK2127"/>
      <w:bookmarkStart w:id="184" w:name="OLE_LINK2128"/>
      <w:bookmarkStart w:id="185" w:name="OLE_LINK2200"/>
      <w:bookmarkStart w:id="186" w:name="OLE_LINK2113"/>
      <w:bookmarkStart w:id="187" w:name="OLE_LINK2391"/>
      <w:bookmarkStart w:id="188" w:name="OLE_LINK2392"/>
      <w:bookmarkStart w:id="189" w:name="OLE_LINK2499"/>
      <w:bookmarkStart w:id="190" w:name="OLE_LINK2782"/>
      <w:bookmarkStart w:id="191" w:name="OLE_LINK2783"/>
      <w:bookmarkStart w:id="192" w:name="OLE_LINK2667"/>
      <w:bookmarkStart w:id="193" w:name="OLE_LINK2668"/>
      <w:bookmarkStart w:id="194" w:name="OLE_LINK2766"/>
      <w:bookmarkStart w:id="195" w:name="OLE_LINK3008"/>
      <w:bookmarkStart w:id="196" w:name="OLE_LINK3156"/>
      <w:bookmarkStart w:id="197" w:name="OLE_LINK3303"/>
      <w:bookmarkStart w:id="198" w:name="OLE_LINK3304"/>
      <w:bookmarkStart w:id="199" w:name="OLE_LINK2689"/>
      <w:bookmarkStart w:id="200" w:name="OLE_LINK2588"/>
      <w:bookmarkStart w:id="201" w:name="OLE_LINK2769"/>
      <w:bookmarkStart w:id="202" w:name="OLE_LINK3019"/>
      <w:bookmarkStart w:id="203" w:name="OLE_LINK3020"/>
      <w:r w:rsidRPr="00957C03">
        <w:rPr>
          <w:rFonts w:ascii="Book Antiqua" w:hAnsi="Book Antiqua"/>
          <w:i/>
        </w:rPr>
        <w:t xml:space="preserve">World J </w:t>
      </w:r>
      <w:proofErr w:type="spellStart"/>
      <w:r w:rsidRPr="00957C03">
        <w:rPr>
          <w:rFonts w:ascii="Book Antiqua" w:hAnsi="Book Antiqua"/>
          <w:i/>
        </w:rPr>
        <w:t>Gastroenterol</w:t>
      </w:r>
      <w:proofErr w:type="spellEnd"/>
      <w:r w:rsidRPr="00957C03">
        <w:rPr>
          <w:rFonts w:ascii="Book Antiqua" w:hAnsi="Book Antiqua"/>
        </w:rPr>
        <w:t xml:space="preserve"> </w:t>
      </w:r>
      <w:bookmarkEnd w:id="166"/>
      <w:bookmarkEnd w:id="167"/>
      <w:r w:rsidRPr="00957C03">
        <w:rPr>
          <w:rFonts w:ascii="Book Antiqua" w:hAnsi="Book Antiqua"/>
        </w:rPr>
        <w:t>201</w:t>
      </w:r>
      <w:r>
        <w:rPr>
          <w:rFonts w:ascii="Book Antiqua" w:hAnsi="Book Antiqua"/>
        </w:rPr>
        <w:t>4</w:t>
      </w:r>
      <w:r w:rsidRPr="00957C03">
        <w:rPr>
          <w:rFonts w:ascii="Book Antiqua" w:hAnsi="Book Antiqua"/>
        </w:rPr>
        <w:t xml:space="preserve">;  </w:t>
      </w:r>
    </w:p>
    <w:p w:rsidR="0043020A" w:rsidRPr="00957C03" w:rsidRDefault="0043020A" w:rsidP="009A7B7E">
      <w:pPr>
        <w:pStyle w:val="p0"/>
        <w:adjustRightInd w:val="0"/>
        <w:snapToGrid w:val="0"/>
        <w:spacing w:line="360" w:lineRule="auto"/>
        <w:jc w:val="both"/>
        <w:rPr>
          <w:rFonts w:ascii="Book Antiqua" w:hAnsi="Book Antiqua"/>
          <w:sz w:val="24"/>
          <w:szCs w:val="24"/>
        </w:rPr>
      </w:pPr>
      <w:bookmarkStart w:id="204" w:name="OLE_LINK404"/>
      <w:bookmarkStart w:id="205" w:name="OLE_LINK405"/>
      <w:bookmarkStart w:id="206" w:name="OLE_LINK406"/>
      <w:bookmarkStart w:id="207" w:name="OLE_LINK407"/>
      <w:bookmarkStart w:id="208" w:name="OLE_LINK629"/>
      <w:bookmarkStart w:id="209" w:name="OLE_LINK630"/>
      <w:bookmarkStart w:id="210" w:name="OLE_LINK1908"/>
      <w:bookmarkStart w:id="211" w:name="OLE_LINK1864"/>
      <w:bookmarkStart w:id="212" w:name="OLE_LINK2809"/>
      <w:bookmarkStart w:id="213" w:name="OLE_LINK2930"/>
      <w:bookmarkStart w:id="214" w:name="OLE_LINK2296"/>
      <w:bookmarkStart w:id="215" w:name="OLE_LINK2297"/>
      <w:bookmarkStart w:id="216" w:name="OLE_LINK1016"/>
      <w:bookmarkStart w:id="217" w:name="OLE_LINK401"/>
      <w:bookmarkStart w:id="218" w:name="OLE_LINK402"/>
      <w:bookmarkStart w:id="219" w:name="OLE_LINK99"/>
      <w:bookmarkStart w:id="220" w:name="OLE_LINK100"/>
      <w:bookmarkStart w:id="221" w:name="OLE_LINK271"/>
      <w:bookmarkStart w:id="222" w:name="OLE_LINK272"/>
      <w:bookmarkStart w:id="223" w:name="OLE_LINK300"/>
      <w:bookmarkStart w:id="224" w:name="OLE_LINK302"/>
      <w:bookmarkStart w:id="225" w:name="OLE_LINK1824"/>
      <w:bookmarkStart w:id="226" w:name="OLE_LINK1825"/>
      <w:bookmarkStart w:id="227" w:name="OLE_LINK1945"/>
      <w:bookmarkStart w:id="228" w:name="OLE_LINK1826"/>
      <w:bookmarkStart w:id="229" w:name="OLE_LINK1921"/>
      <w:bookmarkStart w:id="230" w:name="OLE_LINK1912"/>
      <w:bookmarkStart w:id="231" w:name="OLE_LINK1974"/>
      <w:bookmarkStart w:id="232" w:name="OLE_LINK1975"/>
      <w:bookmarkStart w:id="233" w:name="OLE_LINK1946"/>
      <w:bookmarkStart w:id="234" w:name="OLE_LINK1998"/>
      <w:bookmarkStart w:id="235" w:name="OLE_LINK2000"/>
      <w:bookmarkStart w:id="236" w:name="OLE_LINK1944"/>
      <w:bookmarkStart w:id="237" w:name="OLE_LINK2001"/>
      <w:bookmarkStart w:id="238" w:name="OLE_LINK2307"/>
      <w:bookmarkStart w:id="239" w:name="OLE_LINK2453"/>
      <w:bookmarkStart w:id="240" w:name="OLE_LINK2454"/>
      <w:bookmarkStart w:id="241" w:name="OLE_LINK2228"/>
      <w:bookmarkStart w:id="242" w:name="OLE_LINK2346"/>
      <w:bookmarkStart w:id="243" w:name="OLE_LINK2389"/>
      <w:bookmarkStart w:id="244" w:name="OLE_LINK2550"/>
      <w:bookmarkStart w:id="245" w:name="OLE_LINK2551"/>
      <w:bookmarkStart w:id="246" w:name="OLE_LINK2394"/>
      <w:bookmarkStart w:id="247" w:name="OLE_LINK2860"/>
      <w:bookmarkStart w:id="248" w:name="OLE_LINK2644"/>
      <w:bookmarkStart w:id="249" w:name="OLE_LINK2879"/>
      <w:bookmarkStart w:id="250" w:name="OLE_LINK2880"/>
      <w:bookmarkStart w:id="251" w:name="OLE_LINK2966"/>
      <w:bookmarkStart w:id="252" w:name="OLE_LINK2967"/>
      <w:bookmarkStart w:id="253" w:name="OLE_LINK2589"/>
      <w:bookmarkStart w:id="254" w:name="OLE_LINK2590"/>
      <w:bookmarkStart w:id="255" w:name="OLE_LINK206"/>
      <w:bookmarkStart w:id="256" w:name="OLE_LINK449"/>
      <w:bookmarkStart w:id="257" w:name="OLE_LINK450"/>
      <w:bookmarkStart w:id="258" w:name="OLE_LINK456"/>
      <w:bookmarkStart w:id="259" w:name="OLE_LINK705"/>
      <w:bookmarkStart w:id="260" w:name="OLE_LINK522"/>
      <w:bookmarkStart w:id="261" w:name="OLE_LINK621"/>
      <w:bookmarkStart w:id="262" w:name="OLE_LINK1242"/>
      <w:bookmarkStart w:id="263" w:name="OLE_LINK1102"/>
      <w:bookmarkStart w:id="264" w:name="OLE_LINK1103"/>
      <w:bookmarkStart w:id="265" w:name="OLE_LINK1546"/>
      <w:bookmarkStart w:id="266" w:name="OLE_LINK2014"/>
      <w:bookmarkStart w:id="267" w:name="OLE_LINK2015"/>
      <w:bookmarkStart w:id="268" w:name="OLE_LINK2138"/>
      <w:bookmarkStart w:id="269" w:name="OLE_LINK2139"/>
      <w:bookmarkStart w:id="270" w:name="OLE_LINK2202"/>
      <w:bookmarkStart w:id="271" w:name="OLE_LINK2203"/>
      <w:bookmarkStart w:id="272" w:name="OLE_LINK2205"/>
      <w:bookmarkStart w:id="273" w:name="OLE_LINK2206"/>
      <w:bookmarkStart w:id="274" w:name="OLE_LINK2485"/>
      <w:bookmarkStart w:id="275" w:name="OLE_LINK2398"/>
      <w:bookmarkEnd w:id="168"/>
      <w:bookmarkEnd w:id="169"/>
      <w:bookmarkEnd w:id="170"/>
      <w:bookmarkEnd w:id="171"/>
      <w:bookmarkEnd w:id="172"/>
      <w:r w:rsidRPr="00957C03">
        <w:rPr>
          <w:rFonts w:ascii="Book Antiqua" w:hAnsi="Book Antiqua"/>
          <w:b/>
          <w:bCs/>
          <w:sz w:val="24"/>
          <w:szCs w:val="24"/>
        </w:rPr>
        <w:t>Available from:</w:t>
      </w:r>
      <w:r w:rsidRPr="00957C03">
        <w:rPr>
          <w:rFonts w:ascii="Book Antiqua" w:hAnsi="Book Antiqua"/>
          <w:sz w:val="24"/>
          <w:szCs w:val="24"/>
        </w:rPr>
        <w:t xml:space="preserve"> </w:t>
      </w:r>
      <w:bookmarkEnd w:id="204"/>
      <w:bookmarkEnd w:id="205"/>
      <w:r w:rsidRPr="00957C03">
        <w:rPr>
          <w:rFonts w:ascii="Book Antiqua" w:hAnsi="Book Antiqua"/>
          <w:color w:val="000000"/>
          <w:sz w:val="24"/>
          <w:szCs w:val="24"/>
        </w:rPr>
        <w:t>URL:</w:t>
      </w:r>
      <w:bookmarkEnd w:id="206"/>
      <w:bookmarkEnd w:id="207"/>
      <w:bookmarkEnd w:id="208"/>
      <w:bookmarkEnd w:id="209"/>
      <w:bookmarkEnd w:id="210"/>
      <w:bookmarkEnd w:id="211"/>
      <w:bookmarkEnd w:id="212"/>
      <w:bookmarkEnd w:id="213"/>
      <w:r w:rsidRPr="00957C03">
        <w:rPr>
          <w:rFonts w:ascii="Book Antiqua" w:hAnsi="Book Antiqua"/>
          <w:color w:val="000000"/>
          <w:sz w:val="24"/>
          <w:szCs w:val="24"/>
        </w:rPr>
        <w:t xml:space="preserve"> </w:t>
      </w:r>
      <w:bookmarkEnd w:id="214"/>
      <w:bookmarkEnd w:id="215"/>
      <w:bookmarkEnd w:id="216"/>
      <w:r w:rsidRPr="00957C03">
        <w:rPr>
          <w:rFonts w:ascii="Book Antiqua" w:hAnsi="Book Antiqua"/>
          <w:color w:val="000000"/>
          <w:sz w:val="24"/>
          <w:szCs w:val="24"/>
        </w:rPr>
        <w:t>http://</w:t>
      </w:r>
      <w:bookmarkEnd w:id="217"/>
      <w:bookmarkEnd w:id="218"/>
      <w:r w:rsidRPr="00957C03">
        <w:rPr>
          <w:rFonts w:ascii="Book Antiqua" w:hAnsi="Book Antiqua"/>
          <w:color w:val="000000"/>
          <w:sz w:val="24"/>
          <w:szCs w:val="24"/>
        </w:rPr>
        <w:t xml:space="preserve">www.wjgnet.com/esps/  </w:t>
      </w:r>
    </w:p>
    <w:p w:rsidR="0043020A" w:rsidRPr="00957C03" w:rsidRDefault="0043020A" w:rsidP="009A7B7E">
      <w:pPr>
        <w:snapToGrid w:val="0"/>
        <w:spacing w:line="360" w:lineRule="auto"/>
        <w:jc w:val="both"/>
        <w:rPr>
          <w:rFonts w:ascii="Book Antiqua" w:hAnsi="Book Antiqua" w:cs="Tahoma"/>
          <w:lang w:eastAsia="zh-CN"/>
        </w:rPr>
      </w:pPr>
      <w:bookmarkStart w:id="276" w:name="OLE_LINK399"/>
      <w:bookmarkStart w:id="277" w:name="OLE_LINK400"/>
      <w:bookmarkStart w:id="278" w:name="OLE_LINK494"/>
      <w:bookmarkStart w:id="279" w:name="OLE_LINK495"/>
      <w:bookmarkStart w:id="280" w:name="OLE_LINK607"/>
      <w:bookmarkStart w:id="281" w:name="OLE_LINK608"/>
      <w:bookmarkStart w:id="282" w:name="OLE_LINK609"/>
      <w:bookmarkStart w:id="283" w:name="OLE_LINK727"/>
      <w:bookmarkStart w:id="284" w:name="OLE_LINK853"/>
      <w:bookmarkStart w:id="285" w:name="OLE_LINK585"/>
      <w:bookmarkStart w:id="286" w:name="OLE_LINK689"/>
      <w:bookmarkStart w:id="287" w:name="OLE_LINK539"/>
      <w:bookmarkEnd w:id="173"/>
      <w:bookmarkEnd w:id="174"/>
      <w:bookmarkEnd w:id="175"/>
      <w:bookmarkEnd w:id="219"/>
      <w:bookmarkEnd w:id="220"/>
      <w:bookmarkEnd w:id="221"/>
      <w:bookmarkEnd w:id="222"/>
      <w:bookmarkEnd w:id="223"/>
      <w:bookmarkEnd w:id="224"/>
      <w:r w:rsidRPr="00957C03">
        <w:rPr>
          <w:rFonts w:ascii="Book Antiqua" w:hAnsi="Book Antiqua"/>
          <w:b/>
          <w:bCs/>
          <w:kern w:val="2"/>
        </w:rPr>
        <w:t xml:space="preserve">DOI: </w:t>
      </w:r>
      <w:r w:rsidRPr="00957C03">
        <w:rPr>
          <w:rFonts w:ascii="Book Antiqua" w:hAnsi="Book Antiqua"/>
          <w:bCs/>
          <w:kern w:val="2"/>
        </w:rPr>
        <w:t>http://dx.doi.org/10.3748/wjg.v19.i0.0000</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43020A" w:rsidRPr="00957C03" w:rsidRDefault="0043020A" w:rsidP="009A7B7E">
      <w:pPr>
        <w:snapToGrid w:val="0"/>
        <w:spacing w:line="360" w:lineRule="auto"/>
        <w:jc w:val="both"/>
        <w:rPr>
          <w:rFonts w:ascii="Book Antiqua" w:hAnsi="Book Antiqua" w:cs="Tahoma"/>
          <w:b/>
          <w:lang w:eastAsia="zh-CN"/>
        </w:rPr>
      </w:pPr>
    </w:p>
    <w:p w:rsidR="0043020A" w:rsidRPr="00957C03" w:rsidRDefault="0043020A" w:rsidP="009A7B7E">
      <w:pPr>
        <w:snapToGrid w:val="0"/>
        <w:spacing w:line="360" w:lineRule="auto"/>
        <w:jc w:val="both"/>
        <w:rPr>
          <w:rFonts w:ascii="Book Antiqua" w:hAnsi="Book Antiqua" w:cs="Tahoma"/>
          <w:b/>
          <w:lang w:eastAsia="zh-CN"/>
        </w:rPr>
      </w:pP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b/>
        </w:rPr>
        <w:t>INTRODUCTION</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Intestinal failure (IF) may result from obstruction, </w:t>
      </w:r>
      <w:proofErr w:type="spellStart"/>
      <w:r w:rsidRPr="00957C03">
        <w:rPr>
          <w:rFonts w:ascii="Book Antiqua" w:hAnsi="Book Antiqua" w:cs="Tahoma"/>
        </w:rPr>
        <w:t>dysmotility</w:t>
      </w:r>
      <w:proofErr w:type="spellEnd"/>
      <w:r w:rsidRPr="00957C03">
        <w:rPr>
          <w:rFonts w:ascii="Book Antiqua" w:hAnsi="Book Antiqua" w:cs="Tahoma"/>
        </w:rPr>
        <w:t xml:space="preserve">, surgical resection, congenital defect or disease-associated loss of </w:t>
      </w:r>
      <w:proofErr w:type="gramStart"/>
      <w:r w:rsidRPr="00957C03">
        <w:rPr>
          <w:rFonts w:ascii="Book Antiqua" w:hAnsi="Book Antiqua" w:cs="Tahoma"/>
        </w:rPr>
        <w:t>absorption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w:t>
      </w:r>
      <w:r w:rsidRPr="00957C03">
        <w:rPr>
          <w:rFonts w:ascii="Book Antiqua" w:hAnsi="Book Antiqua" w:cs="Tahoma"/>
        </w:rPr>
        <w:t xml:space="preserve">. It is characterized by the inability to maintain protein-energy, fluid, electrolyte and/or micronutrient balance </w:t>
      </w:r>
      <w:r w:rsidRPr="00957C03">
        <w:rPr>
          <w:rFonts w:ascii="Book Antiqua" w:hAnsi="Book Antiqua" w:cs="Tahoma"/>
          <w:noProof/>
          <w:vertAlign w:val="superscript"/>
        </w:rPr>
        <w:t>[1]</w:t>
      </w:r>
      <w:r w:rsidRPr="00957C03">
        <w:rPr>
          <w:rFonts w:ascii="Book Antiqua" w:hAnsi="Book Antiqua" w:cs="Tahoma"/>
        </w:rPr>
        <w:t>. Three categories exist: types 1, 2 and 3</w:t>
      </w:r>
      <w:r w:rsidRPr="00957C03">
        <w:rPr>
          <w:rFonts w:ascii="Book Antiqua" w:hAnsi="Book Antiqua" w:cs="Tahoma"/>
          <w:noProof/>
          <w:vertAlign w:val="superscript"/>
        </w:rPr>
        <w:t>[2]</w:t>
      </w:r>
      <w:r w:rsidRPr="00957C03">
        <w:rPr>
          <w:rFonts w:ascii="Book Antiqua" w:hAnsi="Book Antiqua" w:cs="Tahoma"/>
        </w:rPr>
        <w:t xml:space="preserve">. Type 1 generally occurs post-operatively and is self-limiting </w:t>
      </w:r>
      <w:r>
        <w:rPr>
          <w:rFonts w:ascii="Book Antiqua" w:hAnsi="Book Antiqua" w:cs="Tahoma"/>
          <w:lang w:eastAsia="zh-CN"/>
        </w:rPr>
        <w:t>[</w:t>
      </w:r>
      <w:r w:rsidRPr="00957C03">
        <w:rPr>
          <w:rFonts w:ascii="Book Antiqua" w:hAnsi="Book Antiqua" w:cs="Tahoma"/>
        </w:rPr>
        <w:t>such as a patient developing an ileus, requiring short-term parenteral nutritional (PN) support for days or even weeks</w:t>
      </w:r>
      <w:r>
        <w:rPr>
          <w:rFonts w:ascii="Book Antiqua" w:hAnsi="Book Antiqua" w:cs="Tahoma"/>
          <w:lang w:eastAsia="zh-CN"/>
        </w:rPr>
        <w:t>]</w:t>
      </w:r>
      <w:r w:rsidRPr="00957C03">
        <w:rPr>
          <w:rFonts w:ascii="Book Antiqua" w:hAnsi="Book Antiqua" w:cs="Tahoma"/>
        </w:rPr>
        <w:t>. Type 2 most commonly develops in individuals with sepsis following major intestinal resection. Patients require nutritional support for many weeks or mo</w:t>
      </w:r>
      <w:r w:rsidRPr="00957C03">
        <w:rPr>
          <w:rFonts w:ascii="Book Antiqua" w:hAnsi="Book Antiqua" w:cs="Tahoma"/>
          <w:lang w:eastAsia="zh-CN"/>
        </w:rPr>
        <w:t>nths</w:t>
      </w:r>
      <w:r w:rsidRPr="00957C03">
        <w:rPr>
          <w:rFonts w:ascii="Book Antiqua" w:hAnsi="Book Antiqua" w:cs="Tahoma"/>
        </w:rPr>
        <w:t xml:space="preserve">, pending definitive surgery that may reverse dependency on PN. Type 3 is irreversible, for which long-term home parenteral nutrition (HPN) is required and is the focus of this article. </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Intestinal failure in inflammatory bowel disease</w:t>
      </w:r>
    </w:p>
    <w:p w:rsidR="0043020A" w:rsidRPr="00957C03" w:rsidRDefault="0043020A" w:rsidP="009A7B7E">
      <w:pPr>
        <w:snapToGrid w:val="0"/>
        <w:spacing w:line="360" w:lineRule="auto"/>
        <w:jc w:val="both"/>
        <w:rPr>
          <w:rFonts w:ascii="Book Antiqua" w:hAnsi="Book Antiqua" w:cs="Tahoma"/>
        </w:rPr>
      </w:pPr>
      <w:proofErr w:type="spellStart"/>
      <w:r w:rsidRPr="00957C03">
        <w:rPr>
          <w:rFonts w:ascii="Book Antiqua" w:hAnsi="Book Antiqua" w:cs="Tahoma"/>
        </w:rPr>
        <w:t>Crohn’s</w:t>
      </w:r>
      <w:proofErr w:type="spellEnd"/>
      <w:r w:rsidRPr="00957C03">
        <w:rPr>
          <w:rFonts w:ascii="Book Antiqua" w:hAnsi="Book Antiqua" w:cs="Tahoma"/>
        </w:rPr>
        <w:t xml:space="preserve"> disease (CD) is most commonly associated with Type 3 IF, but the overall incidence is low. The point prevalence of Type 3 IF as a percentage of all causes in the United Kingdom in ulcerative colitis (UC) is 3% and 29% in </w:t>
      </w:r>
      <w:proofErr w:type="gramStart"/>
      <w:r w:rsidRPr="00957C03">
        <w:rPr>
          <w:rFonts w:ascii="Book Antiqua" w:hAnsi="Book Antiqua" w:cs="Tahoma"/>
        </w:rPr>
        <w:t>CD</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w:t>
      </w:r>
      <w:r w:rsidRPr="00957C03">
        <w:rPr>
          <w:rFonts w:ascii="Book Antiqua" w:hAnsi="Book Antiqua" w:cs="Tahoma"/>
        </w:rPr>
        <w:t>. UC is much less commonly associated with Type 3 IF because the small intestine is uninvolved, although IF can still occur through complications arising from delayed colectomy in immunocompromised patients, early re-operation, or mesenteric infarction after colectomy.</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When IF does occur in patients with CD, it is usually due to one of three reasons: as a result of complications of surgery for intra-abdominal sepsis, extensive primary small bowel disease impairing nutrient absorption, or uncomplicated sequential resection leading to a shortened small bowel. The first is the principal cause of IF in </w:t>
      </w:r>
      <w:proofErr w:type="gramStart"/>
      <w:r w:rsidRPr="00957C03">
        <w:rPr>
          <w:rFonts w:ascii="Book Antiqua" w:hAnsi="Book Antiqua" w:cs="Tahoma"/>
        </w:rPr>
        <w:lastRenderedPageBreak/>
        <w:t>CD</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w:t>
      </w:r>
      <w:r w:rsidRPr="00957C03">
        <w:rPr>
          <w:rFonts w:ascii="Book Antiqua" w:hAnsi="Book Antiqua" w:cs="Tahoma"/>
        </w:rPr>
        <w:t xml:space="preserve">. Following a first small bowel resection, the reported risk of IF in patients with CD at 5, 10, 15 and 20 years is 0.8%, 3.6%, 6.1% and 8.5% </w:t>
      </w:r>
      <w:proofErr w:type="gramStart"/>
      <w:r w:rsidRPr="00957C03">
        <w:rPr>
          <w:rFonts w:ascii="Book Antiqua" w:hAnsi="Book Antiqua" w:cs="Tahoma"/>
        </w:rPr>
        <w:t>respectively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w:t>
      </w:r>
      <w:r w:rsidRPr="00957C03">
        <w:rPr>
          <w:rFonts w:ascii="Book Antiqua" w:hAnsi="Book Antiqua" w:cs="Tahoma"/>
        </w:rPr>
        <w:t xml:space="preserve">. Predisposing factors to Type 3 IF in CD include younger age at diagnosis and (at first operation) </w:t>
      </w:r>
      <w:proofErr w:type="spellStart"/>
      <w:r w:rsidRPr="00957C03">
        <w:rPr>
          <w:rFonts w:ascii="Book Antiqua" w:hAnsi="Book Antiqua" w:cs="Tahoma"/>
        </w:rPr>
        <w:t>stricturing</w:t>
      </w:r>
      <w:proofErr w:type="spellEnd"/>
      <w:r w:rsidRPr="00957C03">
        <w:rPr>
          <w:rFonts w:ascii="Book Antiqua" w:hAnsi="Book Antiqua" w:cs="Tahoma"/>
        </w:rPr>
        <w:t xml:space="preserve"> disease or family history of inflammatory bowel </w:t>
      </w:r>
      <w:proofErr w:type="gramStart"/>
      <w:r w:rsidRPr="00957C03">
        <w:rPr>
          <w:rFonts w:ascii="Book Antiqua" w:hAnsi="Book Antiqua" w:cs="Tahoma"/>
        </w:rPr>
        <w:t>disease</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w:t>
      </w:r>
      <w:r w:rsidRPr="00957C03">
        <w:rPr>
          <w:rFonts w:ascii="Book Antiqua" w:hAnsi="Book Antiqua" w:cs="Tahoma"/>
        </w:rPr>
        <w:t>. In addition, the CD susceptibili</w:t>
      </w:r>
      <w:r w:rsidRPr="00957C03">
        <w:rPr>
          <w:rFonts w:ascii="Book Antiqua" w:hAnsi="Book Antiqua" w:cs="Tahoma"/>
          <w:color w:val="000000"/>
        </w:rPr>
        <w:t xml:space="preserve">ty gene </w:t>
      </w:r>
      <w:r w:rsidRPr="00957C03">
        <w:rPr>
          <w:rFonts w:ascii="Book Antiqua" w:hAnsi="Book Antiqua" w:cs="Tahoma"/>
          <w:bCs/>
          <w:color w:val="000000"/>
        </w:rPr>
        <w:t xml:space="preserve">nucleotide-binding </w:t>
      </w:r>
      <w:proofErr w:type="spellStart"/>
      <w:r w:rsidRPr="00957C03">
        <w:rPr>
          <w:rFonts w:ascii="Book Antiqua" w:hAnsi="Book Antiqua" w:cs="Tahoma"/>
          <w:bCs/>
          <w:color w:val="000000"/>
        </w:rPr>
        <w:t>oligomerization</w:t>
      </w:r>
      <w:proofErr w:type="spellEnd"/>
      <w:r w:rsidRPr="00957C03">
        <w:rPr>
          <w:rFonts w:ascii="Book Antiqua" w:hAnsi="Book Antiqua" w:cs="Tahoma"/>
          <w:bCs/>
          <w:color w:val="000000"/>
        </w:rPr>
        <w:t xml:space="preserve"> domain-containing protein 2</w:t>
      </w:r>
      <w:r w:rsidRPr="00957C03">
        <w:rPr>
          <w:rFonts w:ascii="Book Antiqua" w:hAnsi="Book Antiqua" w:cs="Tahoma"/>
          <w:color w:val="000000"/>
        </w:rPr>
        <w:t xml:space="preserve"> (NOD2) is associated with IF in patients without </w:t>
      </w:r>
      <w:proofErr w:type="gramStart"/>
      <w:r w:rsidRPr="00957C03">
        <w:rPr>
          <w:rFonts w:ascii="Book Antiqua" w:hAnsi="Book Antiqua" w:cs="Tahoma"/>
          <w:color w:val="000000"/>
        </w:rPr>
        <w:t>CD</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7]</w:t>
      </w:r>
      <w:r w:rsidRPr="00957C03">
        <w:rPr>
          <w:rFonts w:ascii="Book Antiqua" w:hAnsi="Book Antiqua" w:cs="Tahoma"/>
          <w:color w:val="000000"/>
        </w:rPr>
        <w:t>. Whether this also applies to CD remains to be p</w:t>
      </w:r>
      <w:r w:rsidRPr="00957C03">
        <w:rPr>
          <w:rFonts w:ascii="Book Antiqua" w:hAnsi="Book Antiqua" w:cs="Tahoma"/>
        </w:rPr>
        <w:t xml:space="preserve">roven, despite established associations between NOD2 mutation and small bowel </w:t>
      </w:r>
      <w:proofErr w:type="gramStart"/>
      <w:r w:rsidRPr="00957C03">
        <w:rPr>
          <w:rFonts w:ascii="Book Antiqua" w:hAnsi="Book Antiqua" w:cs="Tahoma"/>
        </w:rPr>
        <w:t>CD</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MANAGEMENT OPTIONS FOR INTESTINAL FAILIURE</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Three options exist for the management of patients with Type 3 IF: HPN, intestinal transplantation (</w:t>
      </w:r>
      <w:proofErr w:type="spellStart"/>
      <w:r w:rsidRPr="00957C03">
        <w:rPr>
          <w:rFonts w:ascii="Book Antiqua" w:hAnsi="Book Antiqua" w:cs="Tahoma"/>
        </w:rPr>
        <w:t>ITx</w:t>
      </w:r>
      <w:proofErr w:type="spellEnd"/>
      <w:r w:rsidRPr="00957C03">
        <w:rPr>
          <w:rFonts w:ascii="Book Antiqua" w:hAnsi="Book Antiqua" w:cs="Tahoma"/>
        </w:rPr>
        <w:t xml:space="preserve">) and intestinal lengthening. </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Home parenteral nutrition</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HPN has formed the standard of care for managing patients with type 3 IF for several </w:t>
      </w:r>
      <w:proofErr w:type="gramStart"/>
      <w:r w:rsidRPr="00957C03">
        <w:rPr>
          <w:rFonts w:ascii="Book Antiqua" w:hAnsi="Book Antiqua" w:cs="Tahoma"/>
        </w:rPr>
        <w:t>decades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9,10]</w:t>
      </w:r>
      <w:r w:rsidRPr="00957C03">
        <w:rPr>
          <w:rFonts w:ascii="Book Antiqua" w:hAnsi="Book Antiqua" w:cs="Tahoma"/>
        </w:rPr>
        <w:t xml:space="preserve">. Early regimes were complicated, but solutions have evolved to mixed-nutrient, stable, </w:t>
      </w:r>
      <w:r w:rsidRPr="00957C03">
        <w:rPr>
          <w:rFonts w:ascii="Book Antiqua" w:hAnsi="Book Antiqua" w:cs="Tahoma"/>
          <w:lang w:eastAsia="zh-CN"/>
        </w:rPr>
        <w:t>“</w:t>
      </w:r>
      <w:r w:rsidRPr="00957C03">
        <w:rPr>
          <w:rFonts w:ascii="Book Antiqua" w:hAnsi="Book Antiqua" w:cs="Tahoma"/>
        </w:rPr>
        <w:t>single</w:t>
      </w:r>
      <w:r w:rsidRPr="00957C03">
        <w:rPr>
          <w:rFonts w:ascii="Book Antiqua" w:hAnsi="Book Antiqua" w:cs="Tahoma"/>
          <w:lang w:eastAsia="zh-CN"/>
        </w:rPr>
        <w:t>”</w:t>
      </w:r>
      <w:r w:rsidRPr="00957C03">
        <w:rPr>
          <w:rFonts w:ascii="Book Antiqua" w:hAnsi="Book Antiqua" w:cs="Tahoma"/>
        </w:rPr>
        <w:t xml:space="preserve"> or ‘bipartite’ bags, meeting a patient’s tailored nutritional </w:t>
      </w:r>
      <w:proofErr w:type="gramStart"/>
      <w:r w:rsidRPr="00957C03">
        <w:rPr>
          <w:rFonts w:ascii="Book Antiqua" w:hAnsi="Book Antiqua" w:cs="Tahoma"/>
        </w:rPr>
        <w:t>requirements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9,11]</w:t>
      </w:r>
      <w:r w:rsidRPr="00957C03">
        <w:rPr>
          <w:rFonts w:ascii="Book Antiqua" w:hAnsi="Book Antiqua" w:cs="Tahoma"/>
        </w:rPr>
        <w:t xml:space="preserve">. These solutions can be delivered through long-term percutaneous intravenous catheters, specialised pumps and patients specially trained in self-administration, or specifically trained nursing staff. CD is the principal indication for HPN in the United Kingdom, although other disease aetiologies, such as cancer, form the principal indication in other </w:t>
      </w:r>
      <w:proofErr w:type="gramStart"/>
      <w:r w:rsidRPr="00957C03">
        <w:rPr>
          <w:rFonts w:ascii="Book Antiqua" w:hAnsi="Book Antiqua" w:cs="Tahoma"/>
        </w:rPr>
        <w:t>countries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12-15]</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i/>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Intestinal transplantation</w:t>
      </w:r>
    </w:p>
    <w:p w:rsidR="0043020A" w:rsidRPr="00957C03" w:rsidRDefault="0043020A" w:rsidP="009A7B7E">
      <w:pPr>
        <w:snapToGrid w:val="0"/>
        <w:spacing w:line="360" w:lineRule="auto"/>
        <w:jc w:val="both"/>
        <w:rPr>
          <w:rFonts w:ascii="Book Antiqua" w:hAnsi="Book Antiqua" w:cs="Tahoma"/>
          <w:color w:val="000000"/>
        </w:rPr>
      </w:pPr>
      <w:r w:rsidRPr="00957C03">
        <w:rPr>
          <w:rFonts w:ascii="Book Antiqua" w:hAnsi="Book Antiqua" w:cs="Tahoma"/>
        </w:rPr>
        <w:t xml:space="preserve">The first human small bowel transplant was in 1964 but, like many early organ transplants, the graft failed to </w:t>
      </w:r>
      <w:proofErr w:type="gramStart"/>
      <w:r w:rsidRPr="00957C03">
        <w:rPr>
          <w:rFonts w:ascii="Book Antiqua" w:hAnsi="Book Antiqua" w:cs="Tahoma"/>
        </w:rPr>
        <w:t>survive</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16,17]</w:t>
      </w:r>
      <w:r w:rsidRPr="00957C03">
        <w:rPr>
          <w:rFonts w:ascii="Book Antiqua" w:hAnsi="Book Antiqua" w:cs="Tahoma"/>
        </w:rPr>
        <w:t xml:space="preserve">. It was only after refinements in immunosuppression that </w:t>
      </w:r>
      <w:proofErr w:type="spellStart"/>
      <w:r w:rsidRPr="00957C03">
        <w:rPr>
          <w:rFonts w:ascii="Book Antiqua" w:hAnsi="Book Antiqua" w:cs="Tahoma"/>
        </w:rPr>
        <w:t>ITx</w:t>
      </w:r>
      <w:proofErr w:type="spellEnd"/>
      <w:r w:rsidRPr="00957C03">
        <w:rPr>
          <w:rFonts w:ascii="Book Antiqua" w:hAnsi="Book Antiqua" w:cs="Tahoma"/>
        </w:rPr>
        <w:t xml:space="preserve"> started to show promise, with the first successful small bowel (+liver) transplant taking place in 1988, enabling the recipient to achieve nutritional </w:t>
      </w:r>
      <w:proofErr w:type="gramStart"/>
      <w:r w:rsidRPr="00957C03">
        <w:rPr>
          <w:rFonts w:ascii="Book Antiqua" w:hAnsi="Book Antiqua" w:cs="Tahoma"/>
        </w:rPr>
        <w:t>autonomy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18]</w:t>
      </w:r>
      <w:r w:rsidRPr="00957C03">
        <w:rPr>
          <w:rFonts w:ascii="Book Antiqua" w:hAnsi="Book Antiqua" w:cs="Tahoma"/>
        </w:rPr>
        <w:t xml:space="preserve">. With further advances in immunosuppression and operative techniques, the number of transplants performed annually rose until 2005, since when it has remained </w:t>
      </w:r>
      <w:proofErr w:type="gramStart"/>
      <w:r w:rsidRPr="00957C03">
        <w:rPr>
          <w:rFonts w:ascii="Book Antiqua" w:hAnsi="Book Antiqua" w:cs="Tahoma"/>
        </w:rPr>
        <w:t>stable</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19]</w:t>
      </w:r>
      <w:r w:rsidRPr="00957C03">
        <w:rPr>
          <w:rFonts w:ascii="Book Antiqua" w:hAnsi="Book Antiqua" w:cs="Tahoma"/>
        </w:rPr>
        <w:t xml:space="preserve">. In the United Kingdom alone, the number of </w:t>
      </w:r>
      <w:r w:rsidRPr="00957C03">
        <w:rPr>
          <w:rFonts w:ascii="Book Antiqua" w:hAnsi="Book Antiqua" w:cs="Tahoma"/>
        </w:rPr>
        <w:lastRenderedPageBreak/>
        <w:t xml:space="preserve">intestinal transplants has increased from single figures (2000-2008) to 14-22/year </w:t>
      </w:r>
      <w:r w:rsidRPr="00957C03">
        <w:rPr>
          <w:rFonts w:ascii="Book Antiqua" w:hAnsi="Book Antiqua" w:cs="Tahoma"/>
          <w:color w:val="000000"/>
        </w:rPr>
        <w:t>(2011-2013</w:t>
      </w:r>
      <w:proofErr w:type="gramStart"/>
      <w:r w:rsidRPr="00957C03">
        <w:rPr>
          <w:rFonts w:ascii="Book Antiqua" w:hAnsi="Book Antiqua" w:cs="Tahoma"/>
          <w:color w:val="000000"/>
        </w:rPr>
        <w:t>)</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20]</w:t>
      </w:r>
      <w:r w:rsidRPr="00957C03">
        <w:rPr>
          <w:rFonts w:ascii="Book Antiqua" w:hAnsi="Book Antiqua" w:cs="Tahoma"/>
          <w:color w:val="000000"/>
        </w:rPr>
        <w:t xml:space="preserve">. Currently, 100 </w:t>
      </w:r>
      <w:proofErr w:type="spellStart"/>
      <w:r w:rsidRPr="00957C03">
        <w:rPr>
          <w:rFonts w:ascii="Book Antiqua" w:hAnsi="Book Antiqua" w:cs="Tahoma"/>
          <w:color w:val="000000"/>
        </w:rPr>
        <w:t>ITxs</w:t>
      </w:r>
      <w:proofErr w:type="spellEnd"/>
      <w:r w:rsidRPr="00957C03">
        <w:rPr>
          <w:rFonts w:ascii="Book Antiqua" w:hAnsi="Book Antiqua" w:cs="Tahoma"/>
          <w:color w:val="000000"/>
        </w:rPr>
        <w:t xml:space="preserve"> are performed per year in adults, primarily in North America and Europe; 65% of </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transplants between 2006 and 2011 were indicated for short bowel syndrome (SBS), of which 13% were in patients with </w:t>
      </w:r>
      <w:proofErr w:type="gramStart"/>
      <w:r w:rsidRPr="00957C03">
        <w:rPr>
          <w:rFonts w:ascii="Book Antiqua" w:hAnsi="Book Antiqua" w:cs="Tahoma"/>
          <w:color w:val="000000"/>
        </w:rPr>
        <w:t>CD</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19]</w:t>
      </w:r>
      <w:r w:rsidRPr="00957C03">
        <w:rPr>
          <w:rFonts w:ascii="Book Antiqua" w:hAnsi="Book Antiqua" w:cs="Tahoma"/>
          <w:color w:val="000000"/>
        </w:rPr>
        <w:t xml:space="preserve">. The number of transplants performed annually in other parts of the world, such as Asia and South America, is much lower, but gradually </w:t>
      </w:r>
      <w:proofErr w:type="gramStart"/>
      <w:r w:rsidRPr="00957C03">
        <w:rPr>
          <w:rFonts w:ascii="Book Antiqua" w:hAnsi="Book Antiqua" w:cs="Tahoma"/>
          <w:color w:val="000000"/>
        </w:rPr>
        <w:t>increasing</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19]</w:t>
      </w:r>
      <w:r w:rsidRPr="00957C03">
        <w:rPr>
          <w:rFonts w:ascii="Book Antiqua" w:hAnsi="Book Antiqua" w:cs="Tahoma"/>
          <w:color w:val="000000"/>
        </w:rPr>
        <w:t xml:space="preserve">. In total, 20 </w:t>
      </w:r>
      <w:proofErr w:type="spellStart"/>
      <w:r w:rsidRPr="00957C03">
        <w:rPr>
          <w:rFonts w:ascii="Book Antiqua" w:hAnsi="Book Antiqua" w:cs="Tahoma"/>
          <w:color w:val="000000"/>
        </w:rPr>
        <w:t>ITxs</w:t>
      </w:r>
      <w:proofErr w:type="spellEnd"/>
      <w:r w:rsidRPr="00957C03">
        <w:rPr>
          <w:rFonts w:ascii="Book Antiqua" w:hAnsi="Book Antiqua" w:cs="Tahoma"/>
          <w:color w:val="000000"/>
        </w:rPr>
        <w:t xml:space="preserve"> were reported to have been performed in Japan between 1996-2010, while Australia and India have both recently reported their first </w:t>
      </w:r>
      <w:proofErr w:type="gramStart"/>
      <w:r w:rsidRPr="00957C03">
        <w:rPr>
          <w:rFonts w:ascii="Book Antiqua" w:hAnsi="Book Antiqua" w:cs="Tahoma"/>
          <w:color w:val="000000"/>
        </w:rPr>
        <w:t>cases</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21-23]</w:t>
      </w:r>
      <w:r w:rsidRPr="00957C03">
        <w:rPr>
          <w:rFonts w:ascii="Book Antiqua" w:hAnsi="Book Antiqua" w:cs="Tahoma"/>
          <w:color w:val="000000"/>
        </w:rPr>
        <w:t xml:space="preserve">. To the best of our knowledge, there are no published reports of </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in Africa.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At present, three types of graft transplants are performed: isolated intestinal, combined liver-intestinal and </w:t>
      </w:r>
      <w:proofErr w:type="spellStart"/>
      <w:r w:rsidRPr="00957C03">
        <w:rPr>
          <w:rFonts w:ascii="Book Antiqua" w:hAnsi="Book Antiqua" w:cs="Tahoma"/>
        </w:rPr>
        <w:t>multivisceral</w:t>
      </w:r>
      <w:proofErr w:type="spellEnd"/>
      <w:r w:rsidRPr="00957C03">
        <w:rPr>
          <w:rFonts w:ascii="Book Antiqua" w:hAnsi="Book Antiqua" w:cs="Tahoma"/>
        </w:rPr>
        <w:t xml:space="preserve"> transplantation. Combined liver-intestinal grafts include intestine, duodenum, liver and pancreas. </w:t>
      </w:r>
      <w:proofErr w:type="spellStart"/>
      <w:r w:rsidRPr="00957C03">
        <w:rPr>
          <w:rFonts w:ascii="Book Antiqua" w:hAnsi="Book Antiqua" w:cs="Tahoma"/>
        </w:rPr>
        <w:t>Multivisceral</w:t>
      </w:r>
      <w:proofErr w:type="spellEnd"/>
      <w:r w:rsidRPr="00957C03">
        <w:rPr>
          <w:rFonts w:ascii="Book Antiqua" w:hAnsi="Book Antiqua" w:cs="Tahoma"/>
        </w:rPr>
        <w:t xml:space="preserve"> grafts include intestine, stomach, duodenum, pancreas, possibly liver and colon, or other organs. At present, isolated small intestinal transplants are the commonest, although abdominal wall transplantation is increasingly combined with intestinal transplantation and provides a readily accessible marker for </w:t>
      </w:r>
      <w:proofErr w:type="gramStart"/>
      <w:r w:rsidRPr="00957C03">
        <w:rPr>
          <w:rFonts w:ascii="Book Antiqua" w:hAnsi="Book Antiqua" w:cs="Tahoma"/>
        </w:rPr>
        <w:t>rejection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19,24]</w:t>
      </w:r>
      <w:r w:rsidRPr="00957C03">
        <w:rPr>
          <w:rFonts w:ascii="Book Antiqua" w:hAnsi="Book Antiqua" w:cs="Tahoma"/>
        </w:rPr>
        <w:t xml:space="preserve">.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Currently, the choice between HPN and </w:t>
      </w:r>
      <w:proofErr w:type="spellStart"/>
      <w:r w:rsidRPr="00957C03">
        <w:rPr>
          <w:rFonts w:ascii="Book Antiqua" w:hAnsi="Book Antiqua" w:cs="Tahoma"/>
        </w:rPr>
        <w:t>ITx</w:t>
      </w:r>
      <w:proofErr w:type="spellEnd"/>
      <w:r w:rsidRPr="00957C03">
        <w:rPr>
          <w:rFonts w:ascii="Book Antiqua" w:hAnsi="Book Antiqua" w:cs="Tahoma"/>
        </w:rPr>
        <w:t xml:space="preserve"> as primary therapeutic options for patients with type 3 IF is principally driven by predicted survival outcome. Thus, HPN, with its superior long-term survival, remains the first-line management option for most patients with type 3 IF, with </w:t>
      </w:r>
      <w:proofErr w:type="spellStart"/>
      <w:r w:rsidRPr="00957C03">
        <w:rPr>
          <w:rFonts w:ascii="Book Antiqua" w:hAnsi="Book Antiqua" w:cs="Tahoma"/>
        </w:rPr>
        <w:t>ITx</w:t>
      </w:r>
      <w:proofErr w:type="spellEnd"/>
      <w:r w:rsidRPr="00957C03">
        <w:rPr>
          <w:rFonts w:ascii="Book Antiqua" w:hAnsi="Book Antiqua" w:cs="Tahoma"/>
        </w:rPr>
        <w:t xml:space="preserve"> being reserved primarily for those with HPN-associated complications and/or high risk of death from their underlying disease (Table 1). However, if transplant experience and survival continues to improve, other factors, such as patients’ quality of life (</w:t>
      </w:r>
      <w:proofErr w:type="spellStart"/>
      <w:r w:rsidRPr="00957C03">
        <w:rPr>
          <w:rFonts w:ascii="Book Antiqua" w:hAnsi="Book Antiqua" w:cs="Tahoma"/>
        </w:rPr>
        <w:t>QoL</w:t>
      </w:r>
      <w:proofErr w:type="spellEnd"/>
      <w:r w:rsidRPr="00957C03">
        <w:rPr>
          <w:rFonts w:ascii="Book Antiqua" w:hAnsi="Book Antiqua" w:cs="Tahoma"/>
        </w:rPr>
        <w:t xml:space="preserve">), will enter decision-making when balancing HPN against </w:t>
      </w:r>
      <w:proofErr w:type="spellStart"/>
      <w:r w:rsidRPr="00957C03">
        <w:rPr>
          <w:rFonts w:ascii="Book Antiqua" w:hAnsi="Book Antiqua" w:cs="Tahoma"/>
        </w:rPr>
        <w:t>ITx</w:t>
      </w:r>
      <w:proofErr w:type="spellEnd"/>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Intestinal lengthening</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Intestinal lengthening procedures involve the lengthways division of a dilated small intestine and subsequent end-to-end anastomosis (‘Bianchi procedure</w:t>
      </w:r>
      <w:r w:rsidRPr="00957C03">
        <w:rPr>
          <w:rFonts w:ascii="Book Antiqua" w:hAnsi="Book Antiqua" w:cs="Tahoma"/>
          <w:lang w:eastAsia="zh-CN"/>
        </w:rPr>
        <w:t>”</w:t>
      </w:r>
      <w:r w:rsidRPr="00957C03">
        <w:rPr>
          <w:rFonts w:ascii="Book Antiqua" w:hAnsi="Book Antiqua" w:cs="Tahoma"/>
        </w:rPr>
        <w:t>) or sequential zig-</w:t>
      </w:r>
      <w:proofErr w:type="spellStart"/>
      <w:r w:rsidRPr="00957C03">
        <w:rPr>
          <w:rFonts w:ascii="Book Antiqua" w:hAnsi="Book Antiqua" w:cs="Tahoma"/>
        </w:rPr>
        <w:t>zag</w:t>
      </w:r>
      <w:proofErr w:type="spellEnd"/>
      <w:r w:rsidRPr="00957C03">
        <w:rPr>
          <w:rFonts w:ascii="Book Antiqua" w:hAnsi="Book Antiqua" w:cs="Tahoma"/>
        </w:rPr>
        <w:t xml:space="preserve"> stapling of a dilated small intestine (serial transverse </w:t>
      </w:r>
      <w:proofErr w:type="spellStart"/>
      <w:r w:rsidRPr="00957C03">
        <w:rPr>
          <w:rFonts w:ascii="Book Antiqua" w:hAnsi="Book Antiqua" w:cs="Tahoma"/>
        </w:rPr>
        <w:t>enteroplasty</w:t>
      </w:r>
      <w:proofErr w:type="spellEnd"/>
      <w:r w:rsidRPr="00957C03">
        <w:rPr>
          <w:rFonts w:ascii="Book Antiqua" w:hAnsi="Book Antiqua" w:cs="Tahoma"/>
        </w:rPr>
        <w:t xml:space="preserve"> or </w:t>
      </w:r>
      <w:r w:rsidRPr="00957C03">
        <w:rPr>
          <w:rFonts w:ascii="Book Antiqua" w:hAnsi="Book Antiqua" w:cs="Tahoma"/>
          <w:lang w:eastAsia="zh-CN"/>
        </w:rPr>
        <w:t>“</w:t>
      </w:r>
      <w:r w:rsidRPr="00957C03">
        <w:rPr>
          <w:rFonts w:ascii="Book Antiqua" w:hAnsi="Book Antiqua" w:cs="Tahoma"/>
        </w:rPr>
        <w:t>STEP procedure</w:t>
      </w:r>
      <w:r w:rsidRPr="00957C03">
        <w:rPr>
          <w:rFonts w:ascii="Book Antiqua" w:hAnsi="Book Antiqua" w:cs="Tahoma"/>
          <w:lang w:eastAsia="zh-CN"/>
        </w:rPr>
        <w:t>”</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25-28]</w:t>
      </w:r>
      <w:r w:rsidRPr="00957C03">
        <w:rPr>
          <w:rFonts w:ascii="Book Antiqua" w:hAnsi="Book Antiqua" w:cs="Tahoma"/>
        </w:rPr>
        <w:t xml:space="preserve">. Lengthening techniques were pioneered in children with SBS, and have rarely been performed in adults, although recent European and American </w:t>
      </w:r>
      <w:r w:rsidRPr="00957C03">
        <w:rPr>
          <w:rFonts w:ascii="Book Antiqua" w:hAnsi="Book Antiqua" w:cs="Tahoma"/>
        </w:rPr>
        <w:lastRenderedPageBreak/>
        <w:t xml:space="preserve">experience suggests they may be a viable treatment option for SBS. However, as only one series has reported their use in 2 patients with CD, lengthening procedures will not be discussed further in this </w:t>
      </w:r>
      <w:proofErr w:type="gramStart"/>
      <w:r w:rsidRPr="00957C03">
        <w:rPr>
          <w:rFonts w:ascii="Book Antiqua" w:hAnsi="Book Antiqua" w:cs="Tahoma"/>
        </w:rPr>
        <w:t>review</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29]</w:t>
      </w:r>
      <w:r w:rsidRPr="00957C03">
        <w:rPr>
          <w:rFonts w:ascii="Book Antiqua" w:hAnsi="Book Antiqua" w:cs="Tahoma"/>
        </w:rPr>
        <w:t xml:space="preserve">. Instead, this review will focus on the choice between HPN and </w:t>
      </w:r>
      <w:proofErr w:type="spellStart"/>
      <w:r w:rsidRPr="00957C03">
        <w:rPr>
          <w:rFonts w:ascii="Book Antiqua" w:hAnsi="Book Antiqua" w:cs="Tahoma"/>
        </w:rPr>
        <w:t>ITx</w:t>
      </w:r>
      <w:proofErr w:type="spellEnd"/>
      <w:r w:rsidRPr="00957C03">
        <w:rPr>
          <w:rFonts w:ascii="Book Antiqua" w:hAnsi="Book Antiqua" w:cs="Tahoma"/>
        </w:rPr>
        <w:t xml:space="preserve"> in patients with type 3 IF.</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PATIENT SURVIVAL</w:t>
      </w: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Survival on home parenteral nutrition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HPN series provide survival information, alth</w:t>
      </w:r>
      <w:r w:rsidRPr="00957C03">
        <w:rPr>
          <w:rFonts w:ascii="Book Antiqua" w:hAnsi="Book Antiqua" w:cs="Tahoma"/>
          <w:color w:val="000000"/>
        </w:rPr>
        <w:t xml:space="preserve">ough series (Table 2) excluding cancer as a primary disease indication clearly have more relevance to IBD and </w:t>
      </w:r>
      <w:proofErr w:type="spellStart"/>
      <w:proofErr w:type="gramStart"/>
      <w:r w:rsidRPr="00957C03">
        <w:rPr>
          <w:rFonts w:ascii="Book Antiqua" w:hAnsi="Book Antiqua" w:cs="Tahoma"/>
          <w:color w:val="000000"/>
        </w:rPr>
        <w:t>ITx</w:t>
      </w:r>
      <w:proofErr w:type="spellEnd"/>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14,30-32]</w:t>
      </w:r>
      <w:r w:rsidRPr="00957C03">
        <w:rPr>
          <w:rFonts w:ascii="Book Antiqua" w:hAnsi="Book Antiqua" w:cs="Tahoma"/>
          <w:color w:val="000000"/>
        </w:rPr>
        <w:t xml:space="preserve">. Of the latter, one series (1986-2001; </w:t>
      </w:r>
      <w:r w:rsidRPr="00957C03">
        <w:rPr>
          <w:rFonts w:ascii="Book Antiqua" w:hAnsi="Book Antiqua" w:cs="Tahoma"/>
          <w:i/>
          <w:color w:val="000000"/>
        </w:rPr>
        <w:t>n</w:t>
      </w:r>
      <w:r w:rsidRPr="00957C03">
        <w:rPr>
          <w:rFonts w:ascii="Book Antiqua" w:hAnsi="Book Antiqua" w:cs="Tahoma"/>
          <w:color w:val="000000"/>
        </w:rPr>
        <w:t xml:space="preserve"> = 40) reported 1, 3 and 5 year probability survivals on HPN of 97%, 82% and 67</w:t>
      </w:r>
      <w:proofErr w:type="gramStart"/>
      <w:r w:rsidRPr="00957C03">
        <w:rPr>
          <w:rFonts w:ascii="Book Antiqua" w:hAnsi="Book Antiqua" w:cs="Tahoma"/>
          <w:color w:val="000000"/>
        </w:rPr>
        <w:t>%</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31]</w:t>
      </w:r>
      <w:r w:rsidRPr="00957C03">
        <w:rPr>
          <w:rFonts w:ascii="Book Antiqua" w:hAnsi="Book Antiqua" w:cs="Tahoma"/>
          <w:color w:val="000000"/>
        </w:rPr>
        <w:t xml:space="preserve">. Another study (1990-2006; </w:t>
      </w:r>
      <w:r w:rsidRPr="00957C03">
        <w:rPr>
          <w:rFonts w:ascii="Book Antiqua" w:hAnsi="Book Antiqua" w:cs="Tahoma"/>
          <w:i/>
          <w:color w:val="000000"/>
        </w:rPr>
        <w:t>n</w:t>
      </w:r>
      <w:r w:rsidRPr="00957C03">
        <w:rPr>
          <w:rFonts w:ascii="Book Antiqua" w:hAnsi="Book Antiqua" w:cs="Tahoma"/>
          <w:color w:val="000000"/>
        </w:rPr>
        <w:t xml:space="preserve"> = 2</w:t>
      </w:r>
      <w:r w:rsidRPr="00957C03">
        <w:rPr>
          <w:rFonts w:ascii="Book Antiqua" w:hAnsi="Book Antiqua" w:cs="Tahoma"/>
        </w:rPr>
        <w:t>68) excluding malignancy, but only including patients with SBS, reported 1, 5 and 10-year actuarial HPN survivals of 94%, 70% and 52%</w:t>
      </w:r>
      <w:r w:rsidRPr="00957C03">
        <w:rPr>
          <w:rFonts w:ascii="Book Antiqua" w:hAnsi="Book Antiqua" w:cs="Tahoma"/>
          <w:noProof/>
          <w:vertAlign w:val="superscript"/>
        </w:rPr>
        <w:t>[30]</w:t>
      </w:r>
      <w:r w:rsidRPr="00957C03">
        <w:rPr>
          <w:rFonts w:ascii="Book Antiqua" w:hAnsi="Book Antiqua" w:cs="Tahoma"/>
        </w:rPr>
        <w:t xml:space="preserve">. However, as 46% regained nutritional independence, most within 1 year, and only 6% had CD, this study does not represent </w:t>
      </w:r>
      <w:proofErr w:type="spellStart"/>
      <w:r w:rsidRPr="00957C03">
        <w:rPr>
          <w:rFonts w:ascii="Book Antiqua" w:hAnsi="Book Antiqua" w:cs="Tahoma"/>
        </w:rPr>
        <w:t>ITx</w:t>
      </w:r>
      <w:proofErr w:type="spellEnd"/>
      <w:r w:rsidRPr="00957C03">
        <w:rPr>
          <w:rFonts w:ascii="Book Antiqua" w:hAnsi="Book Antiqua" w:cs="Tahoma"/>
        </w:rPr>
        <w:t xml:space="preserve"> candidates or most patients with CD needing intravenous nutritional support. Indeed another study (1979-2003; </w:t>
      </w:r>
      <w:r w:rsidRPr="00957C03">
        <w:rPr>
          <w:rFonts w:ascii="Book Antiqua" w:hAnsi="Book Antiqua" w:cs="Tahoma"/>
          <w:i/>
        </w:rPr>
        <w:t>n</w:t>
      </w:r>
      <w:r w:rsidRPr="00957C03">
        <w:rPr>
          <w:rFonts w:ascii="Book Antiqua" w:hAnsi="Book Antiqua" w:cs="Tahoma"/>
        </w:rPr>
        <w:t xml:space="preserve"> = 188), including 7% with malignancy (4% active neoplasia; 3% </w:t>
      </w:r>
      <w:proofErr w:type="spellStart"/>
      <w:r w:rsidRPr="00957C03">
        <w:rPr>
          <w:rFonts w:ascii="Book Antiqua" w:hAnsi="Book Antiqua" w:cs="Tahoma"/>
        </w:rPr>
        <w:t>desmoid</w:t>
      </w:r>
      <w:proofErr w:type="spellEnd"/>
      <w:r w:rsidRPr="00957C03">
        <w:rPr>
          <w:rFonts w:ascii="Book Antiqua" w:hAnsi="Book Antiqua" w:cs="Tahoma"/>
        </w:rPr>
        <w:t>), showed that patients with CD on HPN (</w:t>
      </w:r>
      <w:r w:rsidRPr="00957C03">
        <w:rPr>
          <w:rFonts w:ascii="Book Antiqua" w:hAnsi="Book Antiqua" w:cs="Tahoma"/>
          <w:i/>
        </w:rPr>
        <w:t>n</w:t>
      </w:r>
      <w:r w:rsidRPr="00957C03">
        <w:rPr>
          <w:rFonts w:ascii="Book Antiqua" w:hAnsi="Book Antiqua" w:cs="Tahoma"/>
        </w:rPr>
        <w:t xml:space="preserve"> = 60) had a better 5-year probability survival than all other patients (87% </w:t>
      </w:r>
      <w:r w:rsidRPr="00957C03">
        <w:rPr>
          <w:rFonts w:ascii="Book Antiqua" w:hAnsi="Book Antiqua" w:cs="Tahoma"/>
          <w:i/>
        </w:rPr>
        <w:t>vs</w:t>
      </w:r>
      <w:r w:rsidRPr="00957C03">
        <w:rPr>
          <w:rFonts w:ascii="Book Antiqua" w:hAnsi="Book Antiqua" w:cs="Tahoma"/>
        </w:rPr>
        <w:t xml:space="preserve"> 77%</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33]</w:t>
      </w:r>
      <w:r w:rsidRPr="00957C03">
        <w:rPr>
          <w:rFonts w:ascii="Book Antiqua" w:hAnsi="Book Antiqua" w:cs="Tahoma"/>
        </w:rPr>
        <w:t>. This is further supported by a review of case series, which reported the 10-year survival rate for patients with CD to be 88% in comparison to 62% for SBS due to other causes and 60% for pseudo-</w:t>
      </w:r>
      <w:proofErr w:type="gramStart"/>
      <w:r w:rsidRPr="00957C03">
        <w:rPr>
          <w:rFonts w:ascii="Book Antiqua" w:hAnsi="Book Antiqua" w:cs="Tahoma"/>
        </w:rPr>
        <w:t>obstruction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34]</w:t>
      </w:r>
      <w:r w:rsidRPr="00957C03">
        <w:rPr>
          <w:rFonts w:ascii="Book Antiqua" w:hAnsi="Book Antiqua" w:cs="Tahoma"/>
        </w:rPr>
        <w:t>. Thus, in general, patients with CD have the best probability of surviving long-term on HPN, which may reflect their age or limited co-morbidity (compared, for example, with those with SBS from mesenteric infarction). However, not all patients with CD have similar chances of long-term survival, as generic series show that having &lt;</w:t>
      </w:r>
      <w:r w:rsidRPr="00957C03">
        <w:rPr>
          <w:rFonts w:ascii="Book Antiqua" w:hAnsi="Book Antiqua" w:cs="Tahoma"/>
          <w:lang w:eastAsia="zh-CN"/>
        </w:rPr>
        <w:t xml:space="preserve"> </w:t>
      </w:r>
      <w:r w:rsidRPr="00957C03">
        <w:rPr>
          <w:rFonts w:ascii="Book Antiqua" w:hAnsi="Book Antiqua" w:cs="Tahoma"/>
        </w:rPr>
        <w:t>50</w:t>
      </w:r>
      <w:r w:rsidRPr="00957C03">
        <w:rPr>
          <w:rFonts w:ascii="Book Antiqua" w:hAnsi="Book Antiqua" w:cs="Tahoma"/>
          <w:lang w:eastAsia="zh-CN"/>
        </w:rPr>
        <w:t xml:space="preserve"> </w:t>
      </w:r>
      <w:r w:rsidRPr="00957C03">
        <w:rPr>
          <w:rFonts w:ascii="Book Antiqua" w:hAnsi="Book Antiqua" w:cs="Tahoma"/>
        </w:rPr>
        <w:t>cm of remaining small bowel (relative risk 7.7) or an end-</w:t>
      </w:r>
      <w:proofErr w:type="spellStart"/>
      <w:r w:rsidRPr="00957C03">
        <w:rPr>
          <w:rFonts w:ascii="Book Antiqua" w:hAnsi="Book Antiqua" w:cs="Tahoma"/>
        </w:rPr>
        <w:t>enterostomy</w:t>
      </w:r>
      <w:proofErr w:type="spellEnd"/>
      <w:r w:rsidRPr="00957C03">
        <w:rPr>
          <w:rFonts w:ascii="Book Antiqua" w:hAnsi="Book Antiqua" w:cs="Tahoma"/>
        </w:rPr>
        <w:t xml:space="preserve"> (relative risk 6.2) are associated with worse survival</w:t>
      </w:r>
      <w:r w:rsidRPr="00957C03">
        <w:rPr>
          <w:rFonts w:ascii="Book Antiqua" w:hAnsi="Book Antiqua" w:cs="Tahoma"/>
          <w:noProof/>
          <w:vertAlign w:val="superscript"/>
        </w:rPr>
        <w:t>[35,36]</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Survival following intestinal transplantation </w:t>
      </w:r>
    </w:p>
    <w:p w:rsidR="0043020A" w:rsidRPr="00957C03" w:rsidRDefault="0043020A" w:rsidP="009A7B7E">
      <w:pPr>
        <w:snapToGrid w:val="0"/>
        <w:spacing w:line="360" w:lineRule="auto"/>
        <w:jc w:val="both"/>
        <w:rPr>
          <w:rFonts w:ascii="Book Antiqua" w:hAnsi="Book Antiqua" w:cs="Tahoma"/>
          <w:color w:val="000000"/>
        </w:rPr>
      </w:pPr>
      <w:r w:rsidRPr="00957C03">
        <w:rPr>
          <w:rFonts w:ascii="Book Antiqua" w:hAnsi="Book Antiqua" w:cs="Tahoma"/>
        </w:rPr>
        <w:t>Survival followin</w:t>
      </w:r>
      <w:r w:rsidRPr="00957C03">
        <w:rPr>
          <w:rFonts w:ascii="Book Antiqua" w:hAnsi="Book Antiqua" w:cs="Tahoma"/>
          <w:color w:val="000000"/>
        </w:rPr>
        <w:t xml:space="preserve">g </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(Table 2) currently appears </w:t>
      </w:r>
      <w:r w:rsidRPr="00957C03">
        <w:rPr>
          <w:rFonts w:ascii="Book Antiqua" w:hAnsi="Book Antiqua" w:cs="Tahoma"/>
        </w:rPr>
        <w:t xml:space="preserve">worse than for patients on HPN, with the American National Registry reporting 1, 3 and 5-year survivals of 77%, 61% </w:t>
      </w:r>
      <w:r w:rsidRPr="00957C03">
        <w:rPr>
          <w:rFonts w:ascii="Book Antiqua" w:hAnsi="Book Antiqua" w:cs="Tahoma"/>
        </w:rPr>
        <w:lastRenderedPageBreak/>
        <w:t xml:space="preserve">and 51% for all primary adult </w:t>
      </w:r>
      <w:proofErr w:type="spellStart"/>
      <w:r w:rsidRPr="00957C03">
        <w:rPr>
          <w:rFonts w:ascii="Book Antiqua" w:hAnsi="Book Antiqua" w:cs="Tahoma"/>
        </w:rPr>
        <w:t>ITxs</w:t>
      </w:r>
      <w:proofErr w:type="spellEnd"/>
      <w:r w:rsidRPr="00957C03">
        <w:rPr>
          <w:rFonts w:ascii="Book Antiqua" w:hAnsi="Book Antiqua" w:cs="Tahoma"/>
        </w:rPr>
        <w:t xml:space="preserve"> (1987-2009; </w:t>
      </w:r>
      <w:r w:rsidRPr="00957C03">
        <w:rPr>
          <w:rFonts w:ascii="Book Antiqua" w:hAnsi="Book Antiqua" w:cs="Tahoma"/>
          <w:i/>
        </w:rPr>
        <w:t>n</w:t>
      </w:r>
      <w:r w:rsidRPr="00957C03">
        <w:rPr>
          <w:rFonts w:ascii="Book Antiqua" w:hAnsi="Book Antiqua" w:cs="Tahoma"/>
        </w:rPr>
        <w:t xml:space="preserve"> = 687)</w:t>
      </w:r>
      <w:r w:rsidRPr="00957C03">
        <w:rPr>
          <w:rFonts w:ascii="Book Antiqua" w:hAnsi="Book Antiqua" w:cs="Tahoma"/>
          <w:noProof/>
          <w:vertAlign w:val="superscript"/>
        </w:rPr>
        <w:t>[37]</w:t>
      </w:r>
      <w:r w:rsidRPr="00957C03">
        <w:rPr>
          <w:rFonts w:ascii="Book Antiqua" w:hAnsi="Book Antiqua" w:cs="Tahoma"/>
        </w:rPr>
        <w:t>. The trouble with direct comparisons with HPN survival data is, however, simple: the patient populations differ, since only a minority on HPN and predominantly those with established complications from HPN would be considered to be transplant candidates. Series highlight that graft and patient survival have improved considerably since earlier transplants; the American National Registry demonstrates a rise in 1-year survival from 69% in 1998 to 79% in 2007</w:t>
      </w:r>
      <w:r w:rsidRPr="00957C03">
        <w:rPr>
          <w:rFonts w:ascii="Book Antiqua" w:hAnsi="Book Antiqua" w:cs="Tahoma"/>
          <w:noProof/>
          <w:vertAlign w:val="superscript"/>
        </w:rPr>
        <w:t>[38]</w:t>
      </w:r>
      <w:r w:rsidRPr="00957C03">
        <w:rPr>
          <w:rFonts w:ascii="Book Antiqua" w:hAnsi="Book Antiqua" w:cs="Tahoma"/>
        </w:rPr>
        <w:t xml:space="preserve">. This improvement is particularly evident in centres performing larger case volumes; for example, 5-year survival in Pittsburgh improved from 40% in </w:t>
      </w:r>
      <w:r w:rsidRPr="00957C03">
        <w:rPr>
          <w:rFonts w:ascii="Book Antiqua" w:hAnsi="Book Antiqua" w:cs="Tahoma"/>
          <w:color w:val="000000"/>
        </w:rPr>
        <w:t>1990-1994 to 68% in 2001-2003</w:t>
      </w:r>
      <w:r w:rsidRPr="00957C03">
        <w:rPr>
          <w:rFonts w:ascii="Book Antiqua" w:hAnsi="Book Antiqua" w:cs="Tahoma"/>
          <w:noProof/>
          <w:color w:val="000000"/>
          <w:vertAlign w:val="superscript"/>
        </w:rPr>
        <w:t>[19,39]</w:t>
      </w:r>
      <w:r w:rsidRPr="00957C03">
        <w:rPr>
          <w:rFonts w:ascii="Book Antiqua" w:hAnsi="Book Antiqua" w:cs="Tahoma"/>
          <w:color w:val="000000"/>
        </w:rPr>
        <w:t xml:space="preserve">.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Th</w:t>
      </w:r>
      <w:r w:rsidRPr="00957C03">
        <w:rPr>
          <w:rFonts w:ascii="Book Antiqua" w:hAnsi="Book Antiqua" w:cs="Tahoma"/>
          <w:color w:val="000000"/>
        </w:rPr>
        <w:t xml:space="preserve">ere are few survival data specific to adults with CD, with only one multi-centre series (1987-2009; </w:t>
      </w:r>
      <w:r w:rsidRPr="00957C03">
        <w:rPr>
          <w:rFonts w:ascii="Book Antiqua" w:hAnsi="Book Antiqua" w:cs="Tahoma"/>
          <w:i/>
          <w:color w:val="000000"/>
        </w:rPr>
        <w:t>n</w:t>
      </w:r>
      <w:r w:rsidRPr="00957C03">
        <w:rPr>
          <w:rFonts w:ascii="Book Antiqua" w:hAnsi="Book Antiqua" w:cs="Tahoma"/>
          <w:color w:val="000000"/>
        </w:rPr>
        <w:t xml:space="preserve"> = 86) reporting 1, 3 and 5-year survivals of 79%, 53% and 43% in patients with CD as the primary cause of </w:t>
      </w:r>
      <w:proofErr w:type="gramStart"/>
      <w:r w:rsidRPr="00957C03">
        <w:rPr>
          <w:rFonts w:ascii="Book Antiqua" w:hAnsi="Book Antiqua" w:cs="Tahoma"/>
          <w:color w:val="000000"/>
        </w:rPr>
        <w:t>IF</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24]</w:t>
      </w:r>
      <w:r w:rsidRPr="00957C03">
        <w:rPr>
          <w:rFonts w:ascii="Book Antiqua" w:hAnsi="Book Antiqua" w:cs="Tahoma"/>
          <w:color w:val="000000"/>
        </w:rPr>
        <w:t xml:space="preserve">. As in other series, 5-year survival from more recent procedures (2001-2009) has increased (62% isolated </w:t>
      </w:r>
      <w:proofErr w:type="spellStart"/>
      <w:r w:rsidRPr="00957C03">
        <w:rPr>
          <w:rFonts w:ascii="Book Antiqua" w:hAnsi="Book Antiqua" w:cs="Tahoma"/>
          <w:color w:val="000000"/>
        </w:rPr>
        <w:t>ITx</w:t>
      </w:r>
      <w:proofErr w:type="spellEnd"/>
      <w:r w:rsidRPr="00957C03">
        <w:rPr>
          <w:rFonts w:ascii="Book Antiqua" w:hAnsi="Book Antiqua" w:cs="Tahoma"/>
          <w:color w:val="000000"/>
        </w:rPr>
        <w:t>; 57% liver-</w:t>
      </w:r>
      <w:proofErr w:type="spellStart"/>
      <w:r w:rsidRPr="00957C03">
        <w:rPr>
          <w:rFonts w:ascii="Book Antiqua" w:hAnsi="Book Antiqua" w:cs="Tahoma"/>
          <w:color w:val="000000"/>
        </w:rPr>
        <w:t>ITx</w:t>
      </w:r>
      <w:proofErr w:type="spellEnd"/>
      <w:r w:rsidRPr="00957C03">
        <w:rPr>
          <w:rFonts w:ascii="Book Antiqua" w:hAnsi="Book Antiqua" w:cs="Tahoma"/>
          <w:color w:val="000000"/>
        </w:rPr>
        <w:t>). Post-</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survival in adults with CD therefore appears comparable to those of other diseases. As with all patients, negative predictors for post-</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survival in CD include age &gt;</w:t>
      </w:r>
      <w:r w:rsidRPr="00957C03">
        <w:rPr>
          <w:rFonts w:ascii="Book Antiqua" w:hAnsi="Book Antiqua" w:cs="Tahoma"/>
          <w:color w:val="000000"/>
          <w:lang w:eastAsia="zh-CN"/>
        </w:rPr>
        <w:t xml:space="preserve"> </w:t>
      </w:r>
      <w:r w:rsidRPr="00957C03">
        <w:rPr>
          <w:rFonts w:ascii="Book Antiqua" w:hAnsi="Book Antiqua" w:cs="Tahoma"/>
          <w:color w:val="000000"/>
        </w:rPr>
        <w:t xml:space="preserve">40 </w:t>
      </w:r>
      <w:r w:rsidRPr="00957C03">
        <w:rPr>
          <w:rFonts w:ascii="Book Antiqua" w:hAnsi="Book Antiqua" w:cs="Tahoma"/>
          <w:color w:val="000000"/>
          <w:lang w:eastAsia="zh-CN"/>
        </w:rPr>
        <w:t xml:space="preserve">years </w:t>
      </w:r>
      <w:r w:rsidRPr="00957C03">
        <w:rPr>
          <w:rFonts w:ascii="Book Antiqua" w:hAnsi="Book Antiqua" w:cs="Tahoma"/>
          <w:color w:val="000000"/>
        </w:rPr>
        <w:t xml:space="preserve">and hospitalization prior to </w:t>
      </w:r>
      <w:proofErr w:type="spellStart"/>
      <w:proofErr w:type="gramStart"/>
      <w:r w:rsidRPr="00957C03">
        <w:rPr>
          <w:rFonts w:ascii="Book Antiqua" w:hAnsi="Book Antiqua" w:cs="Tahoma"/>
          <w:color w:val="000000"/>
        </w:rPr>
        <w:t>ITx</w:t>
      </w:r>
      <w:proofErr w:type="spellEnd"/>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24,37]</w:t>
      </w:r>
      <w:r w:rsidRPr="00957C03">
        <w:rPr>
          <w:rFonts w:ascii="Book Antiqua" w:hAnsi="Book Antiqua" w:cs="Tahoma"/>
          <w:color w:val="000000"/>
        </w:rPr>
        <w:t>. Furthermore, although the presence of NOD2 mutations are associated with an increased risk of rejection, graft loss and death in all patients post-</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this effect is not specific to </w:t>
      </w:r>
      <w:proofErr w:type="gramStart"/>
      <w:r w:rsidRPr="00957C03">
        <w:rPr>
          <w:rFonts w:ascii="Book Antiqua" w:hAnsi="Book Antiqua" w:cs="Tahoma"/>
          <w:color w:val="000000"/>
        </w:rPr>
        <w:t>CD</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40]</w:t>
      </w:r>
      <w:r w:rsidRPr="00957C03">
        <w:rPr>
          <w:rFonts w:ascii="Book Antiqua" w:hAnsi="Book Antiqua" w:cs="Tahoma"/>
          <w:color w:val="000000"/>
        </w:rPr>
        <w:t>.</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HOME PARENTERAL NUTRITION COMPLICATIONS</w:t>
      </w: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Catheter-related complications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Complication</w:t>
      </w:r>
      <w:r w:rsidRPr="00957C03">
        <w:rPr>
          <w:rFonts w:ascii="Book Antiqua" w:hAnsi="Book Antiqua" w:cs="Tahoma"/>
          <w:color w:val="000000"/>
        </w:rPr>
        <w:t>s (Table 3) including catheter-related blood stream infections (CRBSI) and central venous thrombosis (CVT) are a</w:t>
      </w:r>
      <w:r w:rsidRPr="00957C03">
        <w:rPr>
          <w:rFonts w:ascii="Book Antiqua" w:hAnsi="Book Antiqua" w:cs="Tahoma"/>
        </w:rPr>
        <w:t xml:space="preserve"> significant cause of morbidity in patients requiring HPN and form part of the indications for </w:t>
      </w:r>
      <w:proofErr w:type="spellStart"/>
      <w:r w:rsidRPr="00957C03">
        <w:rPr>
          <w:rFonts w:ascii="Book Antiqua" w:hAnsi="Book Antiqua" w:cs="Tahoma"/>
        </w:rPr>
        <w:t>ITx</w:t>
      </w:r>
      <w:proofErr w:type="spellEnd"/>
      <w:r w:rsidRPr="00957C03">
        <w:rPr>
          <w:rFonts w:ascii="Book Antiqua" w:hAnsi="Book Antiqua" w:cs="Tahoma"/>
        </w:rPr>
        <w:t xml:space="preserve"> (Table 1).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Reported rates of CRBSI vary from 0.1-2.41/1000 catheter </w:t>
      </w:r>
      <w:proofErr w:type="gramStart"/>
      <w:r w:rsidRPr="00957C03">
        <w:rPr>
          <w:rFonts w:ascii="Book Antiqua" w:hAnsi="Book Antiqua" w:cs="Tahoma"/>
        </w:rPr>
        <w:t>days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41-43]</w:t>
      </w:r>
      <w:r w:rsidRPr="00957C03">
        <w:rPr>
          <w:rFonts w:ascii="Book Antiqua" w:hAnsi="Book Antiqua" w:cs="Tahoma"/>
        </w:rPr>
        <w:t xml:space="preserve">. Centre practices may influence rates; for example, increased use of lipid infusions or catheter use for infusions other than PN, are associated with an increase in </w:t>
      </w:r>
      <w:proofErr w:type="gramStart"/>
      <w:r w:rsidRPr="00957C03">
        <w:rPr>
          <w:rFonts w:ascii="Book Antiqua" w:hAnsi="Book Antiqua" w:cs="Tahoma"/>
        </w:rPr>
        <w:t>CRBSI</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44]</w:t>
      </w:r>
      <w:r w:rsidRPr="00957C03">
        <w:rPr>
          <w:rFonts w:ascii="Book Antiqua" w:hAnsi="Book Antiqua" w:cs="Tahoma"/>
        </w:rPr>
        <w:t xml:space="preserve">. CD may also increase risk, with one series of patients with CD describing 57% of patients having at least one CRBSI within the 7.9 years follow-up, and another series comparing patients with and without CD, reporting an association between CD and infections, attributed to immunosuppression and/or genetic </w:t>
      </w:r>
      <w:proofErr w:type="gramStart"/>
      <w:r w:rsidRPr="00957C03">
        <w:rPr>
          <w:rFonts w:ascii="Book Antiqua" w:hAnsi="Book Antiqua" w:cs="Tahoma"/>
        </w:rPr>
        <w:t>immunodeficiency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5,45]</w:t>
      </w:r>
      <w:r w:rsidRPr="00957C03">
        <w:rPr>
          <w:rFonts w:ascii="Book Antiqua" w:hAnsi="Book Antiqua" w:cs="Tahoma"/>
        </w:rPr>
        <w:t xml:space="preserve">. </w:t>
      </w:r>
      <w:r w:rsidRPr="00957C03">
        <w:rPr>
          <w:rFonts w:ascii="Book Antiqua" w:hAnsi="Book Antiqua" w:cs="Tahoma"/>
        </w:rPr>
        <w:lastRenderedPageBreak/>
        <w:t xml:space="preserve">Most CRBSI are bacterial (some are fungal) and remain a major concern, with between 4.5% and 16% of all HPN deaths attributed to </w:t>
      </w:r>
      <w:proofErr w:type="gramStart"/>
      <w:r w:rsidRPr="00957C03">
        <w:rPr>
          <w:rFonts w:ascii="Book Antiqua" w:hAnsi="Book Antiqua" w:cs="Tahoma"/>
        </w:rPr>
        <w:t>CRBSI</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35,36,46]</w:t>
      </w:r>
      <w:r w:rsidRPr="00957C03">
        <w:rPr>
          <w:rFonts w:ascii="Book Antiqua" w:hAnsi="Book Antiqua" w:cs="Tahoma"/>
        </w:rPr>
        <w:t xml:space="preserve">. It is however clear that meticulous patient and carer training can achieve the very low CRBSI rates reported by some </w:t>
      </w:r>
      <w:proofErr w:type="gramStart"/>
      <w:r w:rsidRPr="00957C03">
        <w:rPr>
          <w:rFonts w:ascii="Book Antiqua" w:hAnsi="Book Antiqua" w:cs="Tahoma"/>
        </w:rPr>
        <w:t>centres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41,43]</w:t>
      </w:r>
      <w:r w:rsidRPr="00957C03">
        <w:rPr>
          <w:rFonts w:ascii="Book Antiqua" w:hAnsi="Book Antiqua" w:cs="Tahoma"/>
        </w:rPr>
        <w:t>.</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Catheter-related CVT is less common than CRBSI, with recent series reporting 0.06-0.16 episodes of CVT/1000 d </w:t>
      </w:r>
      <w:proofErr w:type="gramStart"/>
      <w:r w:rsidRPr="00957C03">
        <w:rPr>
          <w:rFonts w:ascii="Book Antiqua" w:hAnsi="Book Antiqua" w:cs="Tahoma"/>
        </w:rPr>
        <w:t>PN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33,43,47]</w:t>
      </w:r>
      <w:r w:rsidRPr="00957C03">
        <w:rPr>
          <w:rFonts w:ascii="Book Antiqua" w:hAnsi="Book Antiqua" w:cs="Tahoma"/>
        </w:rPr>
        <w:t xml:space="preserve">. Nevertheless, at one centre, the mean number of </w:t>
      </w:r>
      <w:proofErr w:type="spellStart"/>
      <w:r w:rsidRPr="00957C03">
        <w:rPr>
          <w:rFonts w:ascii="Book Antiqua" w:hAnsi="Book Antiqua" w:cs="Tahoma"/>
        </w:rPr>
        <w:t>thrombosed</w:t>
      </w:r>
      <w:proofErr w:type="spellEnd"/>
      <w:r w:rsidRPr="00957C03">
        <w:rPr>
          <w:rFonts w:ascii="Book Antiqua" w:hAnsi="Book Antiqua" w:cs="Tahoma"/>
        </w:rPr>
        <w:t xml:space="preserve"> central veins per patient at the point of </w:t>
      </w:r>
      <w:proofErr w:type="spellStart"/>
      <w:r w:rsidRPr="00957C03">
        <w:rPr>
          <w:rFonts w:ascii="Book Antiqua" w:hAnsi="Book Antiqua" w:cs="Tahoma"/>
        </w:rPr>
        <w:t>ITx</w:t>
      </w:r>
      <w:proofErr w:type="spellEnd"/>
      <w:r w:rsidRPr="00957C03">
        <w:rPr>
          <w:rFonts w:ascii="Book Antiqua" w:hAnsi="Book Antiqua" w:cs="Tahoma"/>
        </w:rPr>
        <w:t xml:space="preserve"> assessment, was 1.495</w:t>
      </w:r>
      <w:r w:rsidRPr="00957C03">
        <w:rPr>
          <w:rFonts w:ascii="Book Antiqua" w:hAnsi="Book Antiqua" w:cs="Tahoma"/>
          <w:noProof/>
          <w:vertAlign w:val="superscript"/>
        </w:rPr>
        <w:t>[48]</w:t>
      </w:r>
      <w:r w:rsidRPr="00957C03">
        <w:rPr>
          <w:rFonts w:ascii="Book Antiqua" w:hAnsi="Book Antiqua" w:cs="Tahoma"/>
        </w:rPr>
        <w:t xml:space="preserve">. In an older series of patients with CD on HPN (1987-2009; </w:t>
      </w:r>
      <w:r w:rsidRPr="00957C03">
        <w:rPr>
          <w:rFonts w:ascii="Book Antiqua" w:hAnsi="Book Antiqua" w:cs="Tahoma"/>
          <w:i/>
        </w:rPr>
        <w:t>n</w:t>
      </w:r>
      <w:r w:rsidRPr="00957C03">
        <w:rPr>
          <w:rFonts w:ascii="Book Antiqua" w:hAnsi="Book Antiqua" w:cs="Tahoma"/>
        </w:rPr>
        <w:t xml:space="preserve"> = 86), 50% were reported to have exhausted vascular </w:t>
      </w:r>
      <w:proofErr w:type="gramStart"/>
      <w:r w:rsidRPr="00957C03">
        <w:rPr>
          <w:rFonts w:ascii="Book Antiqua" w:hAnsi="Book Antiqua" w:cs="Tahoma"/>
        </w:rPr>
        <w:t>access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24]</w:t>
      </w:r>
      <w:r w:rsidRPr="00957C03">
        <w:rPr>
          <w:rFonts w:ascii="Book Antiqua" w:hAnsi="Book Antiqua" w:cs="Tahoma"/>
        </w:rPr>
        <w:t xml:space="preserve">. This is clearly a concern for patients facing </w:t>
      </w:r>
      <w:proofErr w:type="spellStart"/>
      <w:r w:rsidRPr="00957C03">
        <w:rPr>
          <w:rFonts w:ascii="Book Antiqua" w:hAnsi="Book Antiqua" w:cs="Tahoma"/>
        </w:rPr>
        <w:t>ITx</w:t>
      </w:r>
      <w:proofErr w:type="spellEnd"/>
      <w:r w:rsidRPr="00957C03">
        <w:rPr>
          <w:rFonts w:ascii="Book Antiqua" w:hAnsi="Book Antiqua" w:cs="Tahoma"/>
        </w:rPr>
        <w:t xml:space="preserve">, where vascular access is of paramount importance. CVT remains a prime consideration when determining an individual’s referral for </w:t>
      </w:r>
      <w:proofErr w:type="spellStart"/>
      <w:r w:rsidRPr="00957C03">
        <w:rPr>
          <w:rFonts w:ascii="Book Antiqua" w:hAnsi="Book Antiqua" w:cs="Tahoma"/>
        </w:rPr>
        <w:t>ITx</w:t>
      </w:r>
      <w:proofErr w:type="spellEnd"/>
      <w:r w:rsidRPr="00957C03">
        <w:rPr>
          <w:rFonts w:ascii="Book Antiqua" w:hAnsi="Book Antiqua" w:cs="Tahoma"/>
        </w:rPr>
        <w:t xml:space="preserve"> </w:t>
      </w:r>
      <w:proofErr w:type="gramStart"/>
      <w:r w:rsidRPr="00957C03">
        <w:rPr>
          <w:rFonts w:ascii="Book Antiqua" w:hAnsi="Book Antiqua" w:cs="Tahoma"/>
        </w:rPr>
        <w:t>assessment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48,49]</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Intestinal failure-associated liver disease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Intestinal failure-associated liver disease (IFALD) in children can be graded as early/mild, established/moderate and late/severe based on biochemical, histological and clinical </w:t>
      </w:r>
      <w:proofErr w:type="gramStart"/>
      <w:r w:rsidRPr="00957C03">
        <w:rPr>
          <w:rFonts w:ascii="Book Antiqua" w:hAnsi="Book Antiqua" w:cs="Tahoma"/>
        </w:rPr>
        <w:t>parameters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50]</w:t>
      </w:r>
      <w:r w:rsidRPr="00957C03">
        <w:rPr>
          <w:rFonts w:ascii="Book Antiqua" w:hAnsi="Book Antiqua" w:cs="Tahoma"/>
        </w:rPr>
        <w:t>. With late disease, clinical and radiological signs of liver failure are accompanied by extensive hepatic fibrosis. IFALD incidence varies between centres, with one series reporting no patient with a bilirubin &gt;</w:t>
      </w:r>
      <w:r w:rsidRPr="00957C03">
        <w:rPr>
          <w:rFonts w:ascii="Book Antiqua" w:hAnsi="Book Antiqua" w:cs="Tahoma"/>
          <w:lang w:eastAsia="zh-CN"/>
        </w:rPr>
        <w:t xml:space="preserve"> </w:t>
      </w:r>
      <w:r w:rsidRPr="00957C03">
        <w:rPr>
          <w:rFonts w:ascii="Book Antiqua" w:hAnsi="Book Antiqua" w:cs="Tahoma"/>
        </w:rPr>
        <w:t xml:space="preserve">50, no decompensated liver disease or IFALD-related deaths in 107 HPN patients over a median of </w:t>
      </w:r>
      <w:r w:rsidRPr="00957C03">
        <w:rPr>
          <w:rFonts w:ascii="Book Antiqua" w:hAnsi="Book Antiqua" w:cs="Tahoma"/>
          <w:lang w:val="en-US"/>
        </w:rPr>
        <w:t xml:space="preserve">40 </w:t>
      </w:r>
      <w:proofErr w:type="spellStart"/>
      <w:r w:rsidRPr="00957C03">
        <w:rPr>
          <w:rFonts w:ascii="Book Antiqua" w:hAnsi="Book Antiqua" w:cs="Tahoma"/>
          <w:lang w:val="en-US"/>
        </w:rPr>
        <w:t>mo</w:t>
      </w:r>
      <w:proofErr w:type="spellEnd"/>
      <w:r w:rsidRPr="00957C03">
        <w:rPr>
          <w:rFonts w:ascii="Book Antiqua" w:hAnsi="Book Antiqua" w:cs="Tahoma"/>
          <w:lang w:val="en-US"/>
        </w:rPr>
        <w:t xml:space="preserve"> (range: 4-252</w:t>
      </w:r>
      <w:r w:rsidRPr="009C29AD">
        <w:rPr>
          <w:rFonts w:ascii="Book Antiqua" w:hAnsi="Book Antiqua" w:cs="Tahoma"/>
          <w:lang w:val="en-US"/>
        </w:rPr>
        <w:t xml:space="preserve"> </w:t>
      </w:r>
      <w:proofErr w:type="spellStart"/>
      <w:r w:rsidRPr="00957C03">
        <w:rPr>
          <w:rFonts w:ascii="Book Antiqua" w:hAnsi="Book Antiqua" w:cs="Tahoma"/>
          <w:lang w:val="en-US"/>
        </w:rPr>
        <w:t>mo</w:t>
      </w:r>
      <w:proofErr w:type="spellEnd"/>
      <w:r w:rsidRPr="00957C03">
        <w:rPr>
          <w:rFonts w:ascii="Book Antiqua" w:hAnsi="Book Antiqua" w:cs="Tahoma"/>
          <w:lang w:val="en-US"/>
        </w:rPr>
        <w:t>)</w:t>
      </w:r>
      <w:r w:rsidRPr="00957C03">
        <w:rPr>
          <w:rFonts w:ascii="Book Antiqua" w:hAnsi="Book Antiqua" w:cs="Tahoma"/>
          <w:noProof/>
          <w:vertAlign w:val="superscript"/>
          <w:lang w:val="en-US"/>
        </w:rPr>
        <w:t>[51]</w:t>
      </w:r>
      <w:r w:rsidRPr="00957C03">
        <w:rPr>
          <w:rFonts w:ascii="Book Antiqua" w:hAnsi="Book Antiqua" w:cs="Tahoma"/>
        </w:rPr>
        <w:t xml:space="preserve">. Meanwhile, at the other extreme, another series of 90 HPN patients (median HPN duration </w:t>
      </w:r>
      <w:r w:rsidRPr="00957C03">
        <w:rPr>
          <w:rFonts w:ascii="Book Antiqua" w:hAnsi="Book Antiqua" w:cs="Tahoma"/>
          <w:lang w:val="en-US"/>
        </w:rPr>
        <w:t xml:space="preserve">49 </w:t>
      </w:r>
      <w:proofErr w:type="spellStart"/>
      <w:r w:rsidRPr="00957C03">
        <w:rPr>
          <w:rFonts w:ascii="Book Antiqua" w:hAnsi="Book Antiqua" w:cs="Tahoma"/>
          <w:lang w:val="en-US"/>
        </w:rPr>
        <w:t>mo</w:t>
      </w:r>
      <w:proofErr w:type="spellEnd"/>
      <w:r w:rsidRPr="00957C03">
        <w:rPr>
          <w:rFonts w:ascii="Book Antiqua" w:hAnsi="Book Antiqua" w:cs="Tahoma"/>
          <w:lang w:val="en-US"/>
        </w:rPr>
        <w:t>, range</w:t>
      </w:r>
      <w:r>
        <w:rPr>
          <w:rFonts w:ascii="Book Antiqua" w:hAnsi="Book Antiqua" w:cs="Tahoma"/>
          <w:lang w:val="en-US" w:eastAsia="zh-CN"/>
        </w:rPr>
        <w:t>:</w:t>
      </w:r>
      <w:r w:rsidRPr="00957C03">
        <w:rPr>
          <w:rFonts w:ascii="Book Antiqua" w:hAnsi="Book Antiqua" w:cs="Tahoma"/>
          <w:lang w:val="en-US"/>
        </w:rPr>
        <w:t xml:space="preserve"> 6-198</w:t>
      </w:r>
      <w:r w:rsidRPr="009C29AD">
        <w:rPr>
          <w:rFonts w:ascii="Book Antiqua" w:hAnsi="Book Antiqua" w:cs="Tahoma"/>
          <w:lang w:val="en-US"/>
        </w:rPr>
        <w:t xml:space="preserve"> </w:t>
      </w:r>
      <w:proofErr w:type="spellStart"/>
      <w:r w:rsidRPr="00957C03">
        <w:rPr>
          <w:rFonts w:ascii="Book Antiqua" w:hAnsi="Book Antiqua" w:cs="Tahoma"/>
          <w:lang w:val="en-US"/>
        </w:rPr>
        <w:t>mo</w:t>
      </w:r>
      <w:proofErr w:type="spellEnd"/>
      <w:r w:rsidRPr="00957C03">
        <w:rPr>
          <w:rFonts w:ascii="Book Antiqua" w:hAnsi="Book Antiqua" w:cs="Tahoma"/>
          <w:lang w:val="en-US"/>
        </w:rPr>
        <w:t xml:space="preserve">) </w:t>
      </w:r>
      <w:r w:rsidRPr="00957C03">
        <w:rPr>
          <w:rFonts w:ascii="Book Antiqua" w:hAnsi="Book Antiqua" w:cs="Tahoma"/>
        </w:rPr>
        <w:t>reported complicated liver disease (as defined by bilirubin &gt;</w:t>
      </w:r>
      <w:r w:rsidRPr="00957C03">
        <w:rPr>
          <w:rFonts w:ascii="Book Antiqua" w:hAnsi="Book Antiqua" w:cs="Tahoma"/>
          <w:lang w:eastAsia="zh-CN"/>
        </w:rPr>
        <w:t xml:space="preserve"> </w:t>
      </w:r>
      <w:r w:rsidRPr="00957C03">
        <w:rPr>
          <w:rFonts w:ascii="Book Antiqua" w:hAnsi="Book Antiqua" w:cs="Tahoma"/>
        </w:rPr>
        <w:t xml:space="preserve">60, decompensation or fibrosis/cirrhosis on biopsy) in 50% of patients at 6 years; there were 6 IFALD-related deaths in the latter </w:t>
      </w:r>
      <w:proofErr w:type="gramStart"/>
      <w:r w:rsidRPr="00957C03">
        <w:rPr>
          <w:rFonts w:ascii="Book Antiqua" w:hAnsi="Book Antiqua" w:cs="Tahoma"/>
        </w:rPr>
        <w:t>series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52]</w:t>
      </w:r>
      <w:r w:rsidRPr="00957C03">
        <w:rPr>
          <w:rFonts w:ascii="Book Antiqua" w:hAnsi="Book Antiqua" w:cs="Tahoma"/>
        </w:rPr>
        <w:t>. IFALD is associated with increased risk of death on HPN, but in light of its variable frequency, mortality also differs between centres (0%-22% of deaths</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51-53]</w:t>
      </w:r>
      <w:r w:rsidRPr="00957C03">
        <w:rPr>
          <w:rFonts w:ascii="Book Antiqua" w:hAnsi="Book Antiqua" w:cs="Tahoma"/>
        </w:rPr>
        <w:t>. These differences may reflect differing HPN management decisions, leading to variable exposure to risk factors, such as excess calories (especially lipids), underlying diseases (</w:t>
      </w:r>
      <w:r w:rsidRPr="00957C03">
        <w:rPr>
          <w:rFonts w:ascii="Book Antiqua" w:hAnsi="Book Antiqua" w:cs="Tahoma"/>
          <w:i/>
        </w:rPr>
        <w:t>e.g.</w:t>
      </w:r>
      <w:r w:rsidRPr="00957C03">
        <w:rPr>
          <w:rFonts w:ascii="Book Antiqua" w:hAnsi="Book Antiqua" w:cs="Tahoma"/>
          <w:lang w:eastAsia="zh-CN"/>
        </w:rPr>
        <w:t>,</w:t>
      </w:r>
      <w:r w:rsidRPr="00957C03">
        <w:rPr>
          <w:rFonts w:ascii="Book Antiqua" w:hAnsi="Book Antiqua" w:cs="Tahoma"/>
        </w:rPr>
        <w:t xml:space="preserve"> bacterial overgrowth in CD) and recurrent episodes of sepsis</w:t>
      </w:r>
      <w:r w:rsidRPr="00957C03">
        <w:rPr>
          <w:rFonts w:ascii="Book Antiqua" w:hAnsi="Book Antiqua" w:cs="Tahoma"/>
          <w:noProof/>
          <w:vertAlign w:val="superscript"/>
        </w:rPr>
        <w:t>[51,52,54,55]</w:t>
      </w:r>
      <w:r w:rsidRPr="00957C03">
        <w:rPr>
          <w:rFonts w:ascii="Book Antiqua" w:hAnsi="Book Antiqua" w:cs="Tahoma"/>
        </w:rPr>
        <w:t xml:space="preserve">. Careful PN lipid formulation certainly seems to have a role in prevention and </w:t>
      </w:r>
      <w:proofErr w:type="gramStart"/>
      <w:r w:rsidRPr="00957C03">
        <w:rPr>
          <w:rFonts w:ascii="Book Antiqua" w:hAnsi="Book Antiqua" w:cs="Tahoma"/>
        </w:rPr>
        <w:t>treatment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51,52,56]</w:t>
      </w:r>
      <w:r w:rsidRPr="00957C03">
        <w:rPr>
          <w:rFonts w:ascii="Book Antiqua" w:hAnsi="Book Antiqua" w:cs="Tahoma"/>
        </w:rPr>
        <w:t xml:space="preserve">. </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lastRenderedPageBreak/>
        <w:t xml:space="preserve">Given its association with death, IFALD is an indication for </w:t>
      </w:r>
      <w:proofErr w:type="spellStart"/>
      <w:r w:rsidRPr="00957C03">
        <w:rPr>
          <w:rFonts w:ascii="Book Antiqua" w:hAnsi="Book Antiqua" w:cs="Tahoma"/>
        </w:rPr>
        <w:t>ITx</w:t>
      </w:r>
      <w:proofErr w:type="spellEnd"/>
      <w:r w:rsidRPr="00957C03">
        <w:rPr>
          <w:rFonts w:ascii="Book Antiqua" w:hAnsi="Book Antiqua" w:cs="Tahoma"/>
        </w:rPr>
        <w:t xml:space="preserve"> in most </w:t>
      </w:r>
      <w:proofErr w:type="gramStart"/>
      <w:r w:rsidRPr="00957C03">
        <w:rPr>
          <w:rFonts w:ascii="Book Antiqua" w:hAnsi="Book Antiqua" w:cs="Tahoma"/>
        </w:rPr>
        <w:t>countries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53,57]</w:t>
      </w:r>
      <w:r w:rsidRPr="00957C03">
        <w:rPr>
          <w:rFonts w:ascii="Book Antiqua" w:hAnsi="Book Antiqua" w:cs="Tahoma"/>
        </w:rPr>
        <w:t xml:space="preserve">. Patients with impending (raised bilirubin, progressive thrombocytopenia, or splenomegaly) or overt liver failure (portal hypertension, </w:t>
      </w:r>
      <w:proofErr w:type="spellStart"/>
      <w:r w:rsidRPr="00957C03">
        <w:rPr>
          <w:rFonts w:ascii="Book Antiqua" w:hAnsi="Book Antiqua" w:cs="Tahoma"/>
        </w:rPr>
        <w:t>hepatosplenomegaly</w:t>
      </w:r>
      <w:proofErr w:type="spellEnd"/>
      <w:r w:rsidRPr="00957C03">
        <w:rPr>
          <w:rFonts w:ascii="Book Antiqua" w:hAnsi="Book Antiqua" w:cs="Tahoma"/>
        </w:rPr>
        <w:t xml:space="preserve">, fibrosis, or cirrhosis) should be considered for </w:t>
      </w:r>
      <w:proofErr w:type="spellStart"/>
      <w:proofErr w:type="gramStart"/>
      <w:r w:rsidRPr="00957C03">
        <w:rPr>
          <w:rFonts w:ascii="Book Antiqua" w:hAnsi="Book Antiqua" w:cs="Tahoma"/>
        </w:rPr>
        <w:t>ITx</w:t>
      </w:r>
      <w:proofErr w:type="spellEnd"/>
      <w:r w:rsidRPr="00957C03">
        <w:rPr>
          <w:rFonts w:ascii="Book Antiqua" w:hAnsi="Book Antiqua" w:cs="Tahoma"/>
          <w:noProof/>
          <w:vertAlign w:val="superscript"/>
        </w:rPr>
        <w:t>[</w:t>
      </w:r>
      <w:proofErr w:type="gramEnd"/>
      <w:r w:rsidRPr="00957C03">
        <w:rPr>
          <w:rFonts w:ascii="Book Antiqua" w:hAnsi="Book Antiqua" w:cs="Tahoma"/>
          <w:noProof/>
          <w:vertAlign w:val="superscript"/>
        </w:rPr>
        <w:t>53,57]</w:t>
      </w:r>
      <w:r w:rsidRPr="00957C03">
        <w:rPr>
          <w:rFonts w:ascii="Book Antiqua" w:hAnsi="Book Antiqua" w:cs="Tahoma"/>
        </w:rPr>
        <w:t>. Traditionally, stratification of waiting times for liver-</w:t>
      </w:r>
      <w:proofErr w:type="spellStart"/>
      <w:r w:rsidRPr="00957C03">
        <w:rPr>
          <w:rFonts w:ascii="Book Antiqua" w:hAnsi="Book Antiqua" w:cs="Tahoma"/>
        </w:rPr>
        <w:t>ITx</w:t>
      </w:r>
      <w:proofErr w:type="spellEnd"/>
      <w:r w:rsidRPr="00957C03">
        <w:rPr>
          <w:rFonts w:ascii="Book Antiqua" w:hAnsi="Book Antiqua" w:cs="Tahoma"/>
        </w:rPr>
        <w:t xml:space="preserve"> was influenced by the model for end-stage liver disease (MELD), and paediatric version, </w:t>
      </w:r>
      <w:proofErr w:type="spellStart"/>
      <w:r w:rsidRPr="009C29AD">
        <w:rPr>
          <w:rFonts w:ascii="Book Antiqua" w:hAnsi="Book Antiqua" w:cs="Tahoma"/>
        </w:rPr>
        <w:t>pediatric</w:t>
      </w:r>
      <w:proofErr w:type="spellEnd"/>
      <w:r w:rsidRPr="009C29AD">
        <w:rPr>
          <w:rFonts w:ascii="Book Antiqua" w:hAnsi="Book Antiqua" w:cs="Tahoma"/>
        </w:rPr>
        <w:t xml:space="preserve"> end-stage liver disease</w:t>
      </w:r>
      <w:r w:rsidRPr="00957C03">
        <w:rPr>
          <w:rFonts w:ascii="Book Antiqua" w:hAnsi="Book Antiqua" w:cs="Tahoma"/>
        </w:rPr>
        <w:t>. However, deaths on the waiting list in those awaiting combined liver-</w:t>
      </w:r>
      <w:proofErr w:type="spellStart"/>
      <w:r w:rsidRPr="00957C03">
        <w:rPr>
          <w:rFonts w:ascii="Book Antiqua" w:hAnsi="Book Antiqua" w:cs="Tahoma"/>
        </w:rPr>
        <w:t>ITx</w:t>
      </w:r>
      <w:proofErr w:type="spellEnd"/>
      <w:r w:rsidRPr="00957C03">
        <w:rPr>
          <w:rFonts w:ascii="Book Antiqua" w:hAnsi="Book Antiqua" w:cs="Tahoma"/>
        </w:rPr>
        <w:t xml:space="preserve"> were 8 times higher compared to liver alone</w:t>
      </w:r>
      <w:r w:rsidRPr="00957C03">
        <w:rPr>
          <w:rFonts w:ascii="Book Antiqua" w:hAnsi="Book Antiqua" w:cs="Tahoma"/>
          <w:noProof/>
          <w:vertAlign w:val="superscript"/>
        </w:rPr>
        <w:t>[38]</w:t>
      </w:r>
      <w:r w:rsidRPr="00957C03">
        <w:rPr>
          <w:rFonts w:ascii="Book Antiqua" w:hAnsi="Book Antiqua" w:cs="Tahoma"/>
        </w:rPr>
        <w:t xml:space="preserve">. As a result these scores were adjusted to incorporate a sliding scale of 10% mortality at 3 </w:t>
      </w:r>
      <w:proofErr w:type="gramStart"/>
      <w:r w:rsidRPr="00957C03">
        <w:rPr>
          <w:rFonts w:ascii="Book Antiqua" w:hAnsi="Book Antiqua" w:cs="Tahoma"/>
        </w:rPr>
        <w:t>mo</w:t>
      </w:r>
      <w:proofErr w:type="gramEnd"/>
      <w:r w:rsidRPr="00957C03">
        <w:rPr>
          <w:rFonts w:ascii="Book Antiqua" w:hAnsi="Book Antiqua" w:cs="Tahoma"/>
        </w:rPr>
        <w:t>. Over time this has reduced time waiting for a transplant, increased the number of liver-</w:t>
      </w:r>
      <w:proofErr w:type="spellStart"/>
      <w:r w:rsidRPr="00957C03">
        <w:rPr>
          <w:rFonts w:ascii="Book Antiqua" w:hAnsi="Book Antiqua" w:cs="Tahoma"/>
        </w:rPr>
        <w:t>ITx</w:t>
      </w:r>
      <w:proofErr w:type="spellEnd"/>
      <w:r w:rsidRPr="00957C03">
        <w:rPr>
          <w:rFonts w:ascii="Book Antiqua" w:hAnsi="Book Antiqua" w:cs="Tahoma"/>
        </w:rPr>
        <w:t xml:space="preserve"> and narrowed the gap between the two groups in both paediatric and adult </w:t>
      </w:r>
      <w:proofErr w:type="gramStart"/>
      <w:r w:rsidRPr="00957C03">
        <w:rPr>
          <w:rFonts w:ascii="Book Antiqua" w:hAnsi="Book Antiqua" w:cs="Tahoma"/>
        </w:rPr>
        <w:t>populations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58]</w:t>
      </w:r>
      <w:r w:rsidRPr="00957C03">
        <w:rPr>
          <w:rFonts w:ascii="Book Antiqua" w:hAnsi="Book Antiqua" w:cs="Tahoma"/>
        </w:rPr>
        <w:t xml:space="preserve">. In addition, the MELD score and C-reactive protein have been shown to be independent predictors of survival in IF and may also be considered as reasons for early </w:t>
      </w:r>
      <w:proofErr w:type="spellStart"/>
      <w:r w:rsidRPr="00957C03">
        <w:rPr>
          <w:rFonts w:ascii="Book Antiqua" w:hAnsi="Book Antiqua" w:cs="Tahoma"/>
        </w:rPr>
        <w:t>ITx</w:t>
      </w:r>
      <w:proofErr w:type="spellEnd"/>
      <w:r w:rsidRPr="00957C03">
        <w:rPr>
          <w:rFonts w:ascii="Book Antiqua" w:hAnsi="Book Antiqua" w:cs="Tahoma"/>
        </w:rPr>
        <w:t xml:space="preserve"> </w:t>
      </w:r>
      <w:proofErr w:type="gramStart"/>
      <w:r w:rsidRPr="00957C03">
        <w:rPr>
          <w:rFonts w:ascii="Book Antiqua" w:hAnsi="Book Antiqua" w:cs="Tahoma"/>
        </w:rPr>
        <w:t>assessment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59]</w:t>
      </w:r>
      <w:r w:rsidRPr="00957C03">
        <w:rPr>
          <w:rFonts w:ascii="Book Antiqua" w:hAnsi="Book Antiqua" w:cs="Tahoma"/>
        </w:rPr>
        <w:t xml:space="preserve">. Future areas for research include algorithms that may predict risk of developing IFALD. In reality, whilst liver biopsy remains the gold standard for assessing hepatic disease, non-invasive markers, such as </w:t>
      </w:r>
      <w:proofErr w:type="spellStart"/>
      <w:r w:rsidRPr="00957C03">
        <w:rPr>
          <w:rFonts w:ascii="Book Antiqua" w:hAnsi="Book Antiqua" w:cs="Tahoma"/>
        </w:rPr>
        <w:t>Fibroscan</w:t>
      </w:r>
      <w:proofErr w:type="spellEnd"/>
      <w:r w:rsidRPr="00957C03">
        <w:rPr>
          <w:rFonts w:ascii="Book Antiqua" w:hAnsi="Book Antiqua" w:cs="Tahoma"/>
        </w:rPr>
        <w:t xml:space="preserve">®, </w:t>
      </w:r>
      <w:proofErr w:type="gramStart"/>
      <w:r w:rsidRPr="00957C03">
        <w:rPr>
          <w:rFonts w:ascii="Book Antiqua" w:hAnsi="Book Antiqua" w:cs="Tahoma"/>
        </w:rPr>
        <w:t>are</w:t>
      </w:r>
      <w:proofErr w:type="gramEnd"/>
      <w:r w:rsidRPr="00957C03">
        <w:rPr>
          <w:rFonts w:ascii="Book Antiqua" w:hAnsi="Book Antiqua" w:cs="Tahoma"/>
        </w:rPr>
        <w:t xml:space="preserve"> gathering popularity. Rigorous data on its predictive value are needed. If a </w:t>
      </w:r>
      <w:proofErr w:type="spellStart"/>
      <w:r w:rsidRPr="00957C03">
        <w:rPr>
          <w:rFonts w:ascii="Book Antiqua" w:hAnsi="Book Antiqua" w:cs="Tahoma"/>
        </w:rPr>
        <w:t>Fibroscan</w:t>
      </w:r>
      <w:proofErr w:type="spellEnd"/>
      <w:r w:rsidRPr="00957C03">
        <w:rPr>
          <w:rFonts w:ascii="Book Antiqua" w:hAnsi="Book Antiqua" w:cs="Tahoma"/>
        </w:rPr>
        <w:t>® score equated to a level of hepatic injury that in turn predicted the risk of IFALD, then there would be a strong argument for tailoring lipid exposure and total caloric intake to reduce this risk. As yet there is insufficient evidence to justify its use as a monitoring tool for patients on HPN.</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Assessment tools</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The Cambridge-Miami (</w:t>
      </w:r>
      <w:proofErr w:type="spellStart"/>
      <w:r w:rsidRPr="00957C03">
        <w:rPr>
          <w:rFonts w:ascii="Book Antiqua" w:hAnsi="Book Antiqua" w:cs="Tahoma"/>
        </w:rPr>
        <w:t>CaMi</w:t>
      </w:r>
      <w:proofErr w:type="spellEnd"/>
      <w:r w:rsidRPr="00957C03">
        <w:rPr>
          <w:rFonts w:ascii="Book Antiqua" w:hAnsi="Book Antiqua" w:cs="Tahoma"/>
        </w:rPr>
        <w:t xml:space="preserve">) assessment tool has undergone preliminary validation to predict </w:t>
      </w:r>
      <w:proofErr w:type="spellStart"/>
      <w:r w:rsidRPr="00957C03">
        <w:rPr>
          <w:rFonts w:ascii="Book Antiqua" w:hAnsi="Book Antiqua" w:cs="Tahoma"/>
        </w:rPr>
        <w:t>ITx</w:t>
      </w:r>
      <w:proofErr w:type="spellEnd"/>
      <w:r w:rsidRPr="00957C03">
        <w:rPr>
          <w:rFonts w:ascii="Book Antiqua" w:hAnsi="Book Antiqua" w:cs="Tahoma"/>
        </w:rPr>
        <w:t xml:space="preserve"> outcome according to an individual’s venous access and co-</w:t>
      </w:r>
      <w:proofErr w:type="gramStart"/>
      <w:r w:rsidRPr="00957C03">
        <w:rPr>
          <w:rFonts w:ascii="Book Antiqua" w:hAnsi="Book Antiqua" w:cs="Tahoma"/>
        </w:rPr>
        <w:t>morbidity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48,49]</w:t>
      </w:r>
      <w:r w:rsidRPr="00957C03">
        <w:rPr>
          <w:rFonts w:ascii="Book Antiqua" w:hAnsi="Book Antiqua" w:cs="Tahoma"/>
        </w:rPr>
        <w:t xml:space="preserve">. It was developed as a pre-operative scoring system to help quantify the likelihood of survival after isolated </w:t>
      </w:r>
      <w:proofErr w:type="spellStart"/>
      <w:r w:rsidRPr="00957C03">
        <w:rPr>
          <w:rFonts w:ascii="Book Antiqua" w:hAnsi="Book Antiqua" w:cs="Tahoma"/>
        </w:rPr>
        <w:t>ITx</w:t>
      </w:r>
      <w:proofErr w:type="spellEnd"/>
      <w:r w:rsidRPr="00957C03">
        <w:rPr>
          <w:rFonts w:ascii="Book Antiqua" w:hAnsi="Book Antiqua" w:cs="Tahoma"/>
        </w:rPr>
        <w:t xml:space="preserve"> or as a composite graft, to help assess patients. The </w:t>
      </w:r>
      <w:r w:rsidRPr="00957C03">
        <w:rPr>
          <w:rStyle w:val="highlight"/>
          <w:rFonts w:ascii="Book Antiqua" w:hAnsi="Book Antiqua" w:cs="Tahoma"/>
        </w:rPr>
        <w:t>score</w:t>
      </w:r>
      <w:r w:rsidRPr="00957C03">
        <w:rPr>
          <w:rFonts w:ascii="Book Antiqua" w:hAnsi="Book Antiqua" w:cs="Tahoma"/>
        </w:rPr>
        <w:t xml:space="preserve"> combines risk factors for early-, medium-, and long-term survival, including loss of venous access and impairment of organs or systems not corrected by transplantation, each scored 0-3. Initial validation examined the preoperative scores of 20 patients who had received intestinal transplants either </w:t>
      </w:r>
      <w:r w:rsidRPr="00957C03">
        <w:rPr>
          <w:rFonts w:ascii="Book Antiqua" w:hAnsi="Book Antiqua" w:cs="Tahoma"/>
        </w:rPr>
        <w:lastRenderedPageBreak/>
        <w:t xml:space="preserve">isolated or as part of a cluster graft, who had either been followed up postoperatively for at least 10 years, or died within 10 years and compared with their survivals. A </w:t>
      </w:r>
      <w:proofErr w:type="spellStart"/>
      <w:r w:rsidRPr="00957C03">
        <w:rPr>
          <w:rFonts w:ascii="Book Antiqua" w:hAnsi="Book Antiqua" w:cs="Tahoma"/>
        </w:rPr>
        <w:t>CaMi</w:t>
      </w:r>
      <w:proofErr w:type="spellEnd"/>
      <w:r w:rsidRPr="00957C03">
        <w:rPr>
          <w:rFonts w:ascii="Book Antiqua" w:hAnsi="Book Antiqua" w:cs="Tahoma"/>
        </w:rPr>
        <w:t xml:space="preserve"> </w:t>
      </w:r>
      <w:r w:rsidRPr="00957C03">
        <w:rPr>
          <w:rStyle w:val="highlight"/>
          <w:rFonts w:ascii="Book Antiqua" w:hAnsi="Book Antiqua" w:cs="Tahoma"/>
        </w:rPr>
        <w:t>score</w:t>
      </w:r>
      <w:r w:rsidRPr="00957C03">
        <w:rPr>
          <w:rFonts w:ascii="Book Antiqua" w:hAnsi="Book Antiqua" w:cs="Tahoma"/>
        </w:rPr>
        <w:t xml:space="preserve"> &lt;</w:t>
      </w:r>
      <w:r w:rsidRPr="00957C03">
        <w:rPr>
          <w:rFonts w:ascii="Book Antiqua" w:hAnsi="Book Antiqua" w:cs="Tahoma"/>
          <w:lang w:eastAsia="zh-CN"/>
        </w:rPr>
        <w:t xml:space="preserve"> </w:t>
      </w:r>
      <w:r w:rsidRPr="00957C03">
        <w:rPr>
          <w:rFonts w:ascii="Book Antiqua" w:hAnsi="Book Antiqua" w:cs="Tahoma"/>
        </w:rPr>
        <w:t xml:space="preserve">3 was associated with survival </w:t>
      </w:r>
      <w:r w:rsidRPr="00957C03">
        <w:rPr>
          <w:rFonts w:ascii="Book Antiqua" w:hAnsi="Book Antiqua" w:cs="Tahoma"/>
          <w:lang w:eastAsia="zh-CN"/>
        </w:rPr>
        <w:t xml:space="preserve">≥ </w:t>
      </w:r>
      <w:r w:rsidRPr="00957C03">
        <w:rPr>
          <w:rFonts w:ascii="Book Antiqua" w:hAnsi="Book Antiqua" w:cs="Tahoma"/>
        </w:rPr>
        <w:t>3 years (12/12 patients) and &gt;</w:t>
      </w:r>
      <w:r w:rsidRPr="00957C03">
        <w:rPr>
          <w:rFonts w:ascii="Book Antiqua" w:hAnsi="Book Antiqua" w:cs="Tahoma"/>
          <w:lang w:eastAsia="zh-CN"/>
        </w:rPr>
        <w:t xml:space="preserve"> </w:t>
      </w:r>
      <w:r w:rsidRPr="00957C03">
        <w:rPr>
          <w:rFonts w:ascii="Book Antiqua" w:hAnsi="Book Antiqua" w:cs="Tahoma"/>
        </w:rPr>
        <w:t>3 with survival &lt;</w:t>
      </w:r>
      <w:r w:rsidRPr="00957C03">
        <w:rPr>
          <w:rFonts w:ascii="Book Antiqua" w:hAnsi="Book Antiqua" w:cs="Tahoma"/>
          <w:lang w:eastAsia="zh-CN"/>
        </w:rPr>
        <w:t xml:space="preserve"> </w:t>
      </w:r>
      <w:r w:rsidRPr="00957C03">
        <w:rPr>
          <w:rFonts w:ascii="Book Antiqua" w:hAnsi="Book Antiqua" w:cs="Tahoma"/>
        </w:rPr>
        <w:t xml:space="preserve">6 </w:t>
      </w:r>
      <w:proofErr w:type="spellStart"/>
      <w:r w:rsidRPr="00957C03">
        <w:rPr>
          <w:rFonts w:ascii="Book Antiqua" w:hAnsi="Book Antiqua" w:cs="Tahoma"/>
        </w:rPr>
        <w:t>mo</w:t>
      </w:r>
      <w:proofErr w:type="spellEnd"/>
      <w:r w:rsidRPr="00957C03">
        <w:rPr>
          <w:rFonts w:ascii="Book Antiqua" w:hAnsi="Book Antiqua" w:cs="Tahoma"/>
        </w:rPr>
        <w:t xml:space="preserve"> (4/4). It is simple, disease-specific and is undergoing prospective validation, but does not examine </w:t>
      </w:r>
      <w:proofErr w:type="spellStart"/>
      <w:r w:rsidRPr="00957C03">
        <w:rPr>
          <w:rFonts w:ascii="Book Antiqua" w:hAnsi="Book Antiqua" w:cs="Tahoma"/>
        </w:rPr>
        <w:t>QoL</w:t>
      </w:r>
      <w:proofErr w:type="spellEnd"/>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INTESTINAL TRANSPLANTATION COMPLICATIONS</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Po</w:t>
      </w:r>
      <w:r w:rsidRPr="00957C03">
        <w:rPr>
          <w:rFonts w:ascii="Book Antiqua" w:hAnsi="Book Antiqua" w:cs="Tahoma"/>
          <w:color w:val="000000"/>
        </w:rPr>
        <w:t>st-</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complications (Table 3) may result in graft failu</w:t>
      </w:r>
      <w:r w:rsidRPr="00957C03">
        <w:rPr>
          <w:rFonts w:ascii="Book Antiqua" w:hAnsi="Book Antiqua" w:cs="Tahoma"/>
        </w:rPr>
        <w:t xml:space="preserve">re or death. Graft failure leads to patients resuming HPN and the need to consider re-transplantation, which has a lower probability of success than the index </w:t>
      </w:r>
      <w:proofErr w:type="gramStart"/>
      <w:r w:rsidRPr="00957C03">
        <w:rPr>
          <w:rFonts w:ascii="Book Antiqua" w:hAnsi="Book Antiqua" w:cs="Tahoma"/>
        </w:rPr>
        <w:t>transplant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37]</w:t>
      </w:r>
      <w:r w:rsidRPr="00957C03">
        <w:rPr>
          <w:rFonts w:ascii="Book Antiqua" w:hAnsi="Book Antiqua" w:cs="Tahoma"/>
        </w:rPr>
        <w:t>. Graft failure is common, with reasons including allograft rejection, graft-</w:t>
      </w:r>
      <w:r w:rsidRPr="00957C03">
        <w:rPr>
          <w:rFonts w:ascii="Book Antiqua" w:hAnsi="Book Antiqua" w:cs="Tahoma"/>
          <w:i/>
        </w:rPr>
        <w:t>vs</w:t>
      </w:r>
      <w:r w:rsidRPr="00957C03">
        <w:rPr>
          <w:rFonts w:ascii="Book Antiqua" w:hAnsi="Book Antiqua" w:cs="Tahoma"/>
        </w:rPr>
        <w:t xml:space="preserve"> host disease (GVHD), infection, post-transplant </w:t>
      </w:r>
      <w:proofErr w:type="spellStart"/>
      <w:r w:rsidRPr="00957C03">
        <w:rPr>
          <w:rFonts w:ascii="Book Antiqua" w:hAnsi="Book Antiqua" w:cs="Tahoma"/>
        </w:rPr>
        <w:t>lymphoproliferative</w:t>
      </w:r>
      <w:proofErr w:type="spellEnd"/>
      <w:r w:rsidRPr="00957C03">
        <w:rPr>
          <w:rFonts w:ascii="Book Antiqua" w:hAnsi="Book Antiqua" w:cs="Tahoma"/>
        </w:rPr>
        <w:t xml:space="preserve"> disorder (PTLD), primary non-function, or technical complications</w:t>
      </w:r>
      <w:r w:rsidRPr="00957C03">
        <w:rPr>
          <w:rFonts w:ascii="Book Antiqua" w:hAnsi="Book Antiqua" w:cs="Tahoma"/>
          <w:noProof/>
          <w:vertAlign w:val="superscript"/>
        </w:rPr>
        <w:t>[39]</w:t>
      </w:r>
      <w:r w:rsidRPr="00957C03">
        <w:rPr>
          <w:rFonts w:ascii="Book Antiqua" w:hAnsi="Book Antiqua" w:cs="Tahoma"/>
        </w:rPr>
        <w:t>. Most graft failure occurs within the first few years. The North American Registry reported graft failure rates at 0.5, 1, 3 and 5 years of 16%, 26%, 46% and 48</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60]</w:t>
      </w:r>
      <w:r w:rsidRPr="00957C03">
        <w:rPr>
          <w:rFonts w:ascii="Book Antiqua" w:hAnsi="Book Antiqua" w:cs="Tahoma"/>
        </w:rPr>
        <w:t xml:space="preserve">. Graft survival in CD (2001-2009; </w:t>
      </w:r>
      <w:r w:rsidRPr="00957C03">
        <w:rPr>
          <w:rFonts w:ascii="Book Antiqua" w:hAnsi="Book Antiqua" w:cs="Tahoma"/>
          <w:i/>
        </w:rPr>
        <w:t>n</w:t>
      </w:r>
      <w:r w:rsidRPr="00957C03">
        <w:rPr>
          <w:rFonts w:ascii="Book Antiqua" w:hAnsi="Book Antiqua" w:cs="Tahoma"/>
        </w:rPr>
        <w:t xml:space="preserve"> = 63) at 1, 3 and 5 years is reported to be 90%, 65% and 52% for isolated-intestinal grafts and 65%, 57% and 57% for liver-intestinal grafts</w:t>
      </w:r>
      <w:r w:rsidRPr="00957C03">
        <w:rPr>
          <w:rFonts w:ascii="Book Antiqua" w:hAnsi="Book Antiqua" w:cs="Tahoma"/>
          <w:noProof/>
          <w:vertAlign w:val="superscript"/>
        </w:rPr>
        <w:t>[24]</w:t>
      </w:r>
      <w:r w:rsidRPr="00957C03">
        <w:rPr>
          <w:rFonts w:ascii="Book Antiqua" w:hAnsi="Book Antiqua" w:cs="Tahoma"/>
        </w:rPr>
        <w:t xml:space="preserve">. </w:t>
      </w:r>
      <w:proofErr w:type="gramStart"/>
      <w:r w:rsidRPr="00957C03">
        <w:rPr>
          <w:rFonts w:ascii="Book Antiqua" w:hAnsi="Book Antiqua" w:cs="Tahoma"/>
        </w:rPr>
        <w:t>Notably, the reason why liver-</w:t>
      </w:r>
      <w:proofErr w:type="spellStart"/>
      <w:r w:rsidRPr="00957C03">
        <w:rPr>
          <w:rFonts w:ascii="Book Antiqua" w:hAnsi="Book Antiqua" w:cs="Tahoma"/>
        </w:rPr>
        <w:t>ITx</w:t>
      </w:r>
      <w:proofErr w:type="spellEnd"/>
      <w:r w:rsidRPr="00957C03">
        <w:rPr>
          <w:rFonts w:ascii="Book Antiqua" w:hAnsi="Book Antiqua" w:cs="Tahoma"/>
        </w:rPr>
        <w:t xml:space="preserve"> grafts in the latter series of CD patients fared worse than in patients with other primary disease remains unexplored.</w:t>
      </w:r>
      <w:proofErr w:type="gramEnd"/>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Allograft rejection</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Rejection occurs via an immune-mediated response, which may be acute (cellular or vascular) or </w:t>
      </w:r>
      <w:proofErr w:type="gramStart"/>
      <w:r w:rsidRPr="00957C03">
        <w:rPr>
          <w:rFonts w:ascii="Book Antiqua" w:hAnsi="Book Antiqua" w:cs="Tahoma"/>
        </w:rPr>
        <w:t>chronic</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Although the incidence of rejection has fallen with improvements to immunosuppressive regimes, it remains a common problem. While not all episodes of rejection result in graft loss, they are associated with substantial </w:t>
      </w:r>
      <w:proofErr w:type="gramStart"/>
      <w:r w:rsidRPr="00957C03">
        <w:rPr>
          <w:rFonts w:ascii="Book Antiqua" w:hAnsi="Book Antiqua" w:cs="Tahoma"/>
        </w:rPr>
        <w:t>morbidity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Acute cellular rejection has been reported to occur in 50%-75% intestinal transplants (1990-2008; </w:t>
      </w:r>
      <w:r w:rsidRPr="00957C03">
        <w:rPr>
          <w:rFonts w:ascii="Book Antiqua" w:hAnsi="Book Antiqua" w:cs="Tahoma"/>
          <w:i/>
        </w:rPr>
        <w:t>n</w:t>
      </w:r>
      <w:r w:rsidRPr="00957C03">
        <w:rPr>
          <w:rFonts w:ascii="Book Antiqua" w:hAnsi="Book Antiqua" w:cs="Tahoma"/>
        </w:rPr>
        <w:t xml:space="preserve"> = 500) varying, with immunosuppressive regime, while acute vascular rejection occurred in 6% of isolated intestinal grafts (1990-2008; </w:t>
      </w:r>
      <w:r w:rsidRPr="00957C03">
        <w:rPr>
          <w:rFonts w:ascii="Book Antiqua" w:hAnsi="Book Antiqua" w:cs="Tahoma"/>
          <w:i/>
        </w:rPr>
        <w:t>n</w:t>
      </w:r>
      <w:r w:rsidRPr="00957C03">
        <w:rPr>
          <w:rFonts w:ascii="Book Antiqua" w:hAnsi="Book Antiqua" w:cs="Tahoma"/>
        </w:rPr>
        <w:t xml:space="preserve"> = 215), of which 92% responded to treatment with anti-lymphocyte </w:t>
      </w:r>
      <w:proofErr w:type="gramStart"/>
      <w:r w:rsidRPr="00957C03">
        <w:rPr>
          <w:rFonts w:ascii="Book Antiqua" w:hAnsi="Book Antiqua" w:cs="Tahoma"/>
        </w:rPr>
        <w:t>therapy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Chronic rejection occurred in 15% of all grafts (1990-2008; </w:t>
      </w:r>
      <w:r w:rsidRPr="00957C03">
        <w:rPr>
          <w:rFonts w:ascii="Book Antiqua" w:hAnsi="Book Antiqua" w:cs="Tahoma"/>
          <w:i/>
        </w:rPr>
        <w:t>n</w:t>
      </w:r>
      <w:r w:rsidRPr="00957C03">
        <w:rPr>
          <w:rFonts w:ascii="Book Antiqua" w:hAnsi="Book Antiqua" w:cs="Tahoma"/>
        </w:rPr>
        <w:t xml:space="preserve"> = 500), but as indicated above, liver-containing grafts showed a significantly better chance of avoiding </w:t>
      </w:r>
      <w:r w:rsidRPr="00957C03">
        <w:rPr>
          <w:rFonts w:ascii="Book Antiqua" w:hAnsi="Book Antiqua" w:cs="Tahoma"/>
        </w:rPr>
        <w:lastRenderedPageBreak/>
        <w:t>rejection than liver-free grafts, presumably due to the transplanted liver’s immune-protective properties</w:t>
      </w:r>
      <w:r w:rsidRPr="00957C03">
        <w:rPr>
          <w:rFonts w:ascii="Book Antiqua" w:hAnsi="Book Antiqua" w:cs="Tahoma"/>
          <w:noProof/>
          <w:vertAlign w:val="superscript"/>
        </w:rPr>
        <w:t>[39,61]</w:t>
      </w:r>
      <w:r w:rsidRPr="00957C03">
        <w:rPr>
          <w:rFonts w:ascii="Book Antiqua" w:hAnsi="Book Antiqua" w:cs="Tahoma"/>
        </w:rPr>
        <w:t>. In patients with CD, acute rejection has been reported to be the commonest cause of gra</w:t>
      </w:r>
      <w:r>
        <w:rPr>
          <w:rFonts w:ascii="Book Antiqua" w:hAnsi="Book Antiqua" w:cs="Tahoma"/>
        </w:rPr>
        <w:t xml:space="preserve">ft failure in the first 3 </w:t>
      </w:r>
      <w:proofErr w:type="spellStart"/>
      <w:r>
        <w:rPr>
          <w:rFonts w:ascii="Book Antiqua" w:hAnsi="Book Antiqua" w:cs="Tahoma"/>
        </w:rPr>
        <w:t>mo</w:t>
      </w:r>
      <w:proofErr w:type="spellEnd"/>
      <w:r w:rsidRPr="00957C03">
        <w:rPr>
          <w:rFonts w:ascii="Book Antiqua" w:hAnsi="Book Antiqua" w:cs="Tahoma"/>
        </w:rPr>
        <w:t xml:space="preserve"> (33%), while chronic rejection was the commonest cause between 1-5 years (28%</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24]</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Infection</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Immunosuppression minimises rejection, but renders recipients vulnerable to environmental and donor infections, with resultant morbidity and </w:t>
      </w:r>
      <w:proofErr w:type="gramStart"/>
      <w:r w:rsidRPr="00957C03">
        <w:rPr>
          <w:rFonts w:ascii="Book Antiqua" w:hAnsi="Book Antiqua" w:cs="Tahoma"/>
        </w:rPr>
        <w:t>mortality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62]</w:t>
      </w:r>
      <w:r w:rsidRPr="00957C03">
        <w:rPr>
          <w:rFonts w:ascii="Book Antiqua" w:hAnsi="Book Antiqua" w:cs="Tahoma"/>
        </w:rPr>
        <w:t xml:space="preserve">. Infections are the second commonest cause of graft failure, accounting for 11% failures in a general </w:t>
      </w:r>
      <w:proofErr w:type="spellStart"/>
      <w:r w:rsidRPr="00957C03">
        <w:rPr>
          <w:rFonts w:ascii="Book Antiqua" w:hAnsi="Book Antiqua" w:cs="Tahoma"/>
        </w:rPr>
        <w:t>ITx</w:t>
      </w:r>
      <w:proofErr w:type="spellEnd"/>
      <w:r w:rsidRPr="00957C03">
        <w:rPr>
          <w:rFonts w:ascii="Book Antiqua" w:hAnsi="Book Antiqua" w:cs="Tahoma"/>
        </w:rPr>
        <w:t xml:space="preserve"> series (1990-2008) and 18% (1987-2009) in a CD </w:t>
      </w:r>
      <w:proofErr w:type="spellStart"/>
      <w:r w:rsidRPr="00957C03">
        <w:rPr>
          <w:rFonts w:ascii="Book Antiqua" w:hAnsi="Book Antiqua" w:cs="Tahoma"/>
        </w:rPr>
        <w:t>ITx</w:t>
      </w:r>
      <w:proofErr w:type="spellEnd"/>
      <w:r w:rsidRPr="00957C03">
        <w:rPr>
          <w:rFonts w:ascii="Book Antiqua" w:hAnsi="Book Antiqua" w:cs="Tahoma"/>
        </w:rPr>
        <w:t xml:space="preserve"> series</w:t>
      </w:r>
      <w:r w:rsidRPr="00957C03">
        <w:rPr>
          <w:rFonts w:ascii="Book Antiqua" w:hAnsi="Book Antiqua" w:cs="Tahoma"/>
          <w:noProof/>
          <w:vertAlign w:val="superscript"/>
        </w:rPr>
        <w:t>[24,39]</w:t>
      </w:r>
      <w:r w:rsidRPr="00957C03">
        <w:rPr>
          <w:rFonts w:ascii="Book Antiqua" w:hAnsi="Book Antiqua" w:cs="Tahoma"/>
        </w:rPr>
        <w:t xml:space="preserve">.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In one study 100 infections were reported in 19 </w:t>
      </w:r>
      <w:proofErr w:type="spellStart"/>
      <w:r w:rsidRPr="00957C03">
        <w:rPr>
          <w:rFonts w:ascii="Book Antiqua" w:hAnsi="Book Antiqua" w:cs="Tahoma"/>
        </w:rPr>
        <w:t>ITx</w:t>
      </w:r>
      <w:proofErr w:type="spellEnd"/>
      <w:r w:rsidRPr="00957C03">
        <w:rPr>
          <w:rFonts w:ascii="Book Antiqua" w:hAnsi="Book Antiqua" w:cs="Tahoma"/>
        </w:rPr>
        <w:t xml:space="preserve"> recipients during a median 524 d (18 </w:t>
      </w:r>
      <w:proofErr w:type="spellStart"/>
      <w:r w:rsidRPr="00957C03">
        <w:rPr>
          <w:rFonts w:ascii="Book Antiqua" w:hAnsi="Book Antiqua" w:cs="Tahoma"/>
        </w:rPr>
        <w:t>mo</w:t>
      </w:r>
      <w:proofErr w:type="spellEnd"/>
      <w:r w:rsidRPr="00957C03">
        <w:rPr>
          <w:rFonts w:ascii="Book Antiqua" w:hAnsi="Book Antiqua" w:cs="Tahoma"/>
        </w:rPr>
        <w:t xml:space="preserve">) follow-up, with 94% having at least one bacterial </w:t>
      </w:r>
      <w:proofErr w:type="gramStart"/>
      <w:r w:rsidRPr="00957C03">
        <w:rPr>
          <w:rFonts w:ascii="Book Antiqua" w:hAnsi="Book Antiqua" w:cs="Tahoma"/>
        </w:rPr>
        <w:t>infection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63]</w:t>
      </w:r>
      <w:r w:rsidRPr="00957C03">
        <w:rPr>
          <w:rFonts w:ascii="Book Antiqua" w:hAnsi="Book Antiqua" w:cs="Tahoma"/>
        </w:rPr>
        <w:t xml:space="preserve">. A larger study (1994-2001; </w:t>
      </w:r>
      <w:r w:rsidRPr="00957C03">
        <w:rPr>
          <w:rFonts w:ascii="Book Antiqua" w:hAnsi="Book Antiqua" w:cs="Tahoma"/>
          <w:i/>
        </w:rPr>
        <w:t>n</w:t>
      </w:r>
      <w:r w:rsidRPr="00957C03">
        <w:rPr>
          <w:rFonts w:ascii="Book Antiqua" w:hAnsi="Book Antiqua" w:cs="Tahoma"/>
        </w:rPr>
        <w:t xml:space="preserve"> = 124) reported 2.6 episodes/</w:t>
      </w:r>
      <w:proofErr w:type="gramStart"/>
      <w:r w:rsidRPr="00957C03">
        <w:rPr>
          <w:rFonts w:ascii="Book Antiqua" w:hAnsi="Book Antiqua" w:cs="Tahoma"/>
        </w:rPr>
        <w:t>patient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64]</w:t>
      </w:r>
      <w:r w:rsidRPr="00957C03">
        <w:rPr>
          <w:rFonts w:ascii="Book Antiqua" w:hAnsi="Book Antiqua" w:cs="Tahoma"/>
        </w:rPr>
        <w:t>. Bacterial infections are commonest, representing 61% of infections in one series, with septicaemia in 15</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64]</w:t>
      </w:r>
      <w:r w:rsidRPr="00957C03">
        <w:rPr>
          <w:rFonts w:ascii="Book Antiqua" w:hAnsi="Book Antiqua" w:cs="Tahoma"/>
        </w:rPr>
        <w:t xml:space="preserve">. However, the risk of fatal bacterial infections has declined following changes to immunosuppression </w:t>
      </w:r>
      <w:proofErr w:type="gramStart"/>
      <w:r w:rsidRPr="00957C03">
        <w:rPr>
          <w:rFonts w:ascii="Book Antiqua" w:hAnsi="Book Antiqua" w:cs="Tahoma"/>
        </w:rPr>
        <w:t>regimes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Viral infections, particularly cytomegalovirus (CMV) and Epstein Barr virus (EBV), are potent causes of post-</w:t>
      </w:r>
      <w:proofErr w:type="spellStart"/>
      <w:r w:rsidRPr="00957C03">
        <w:rPr>
          <w:rFonts w:ascii="Book Antiqua" w:hAnsi="Book Antiqua" w:cs="Tahoma"/>
        </w:rPr>
        <w:t>ITx</w:t>
      </w:r>
      <w:proofErr w:type="spellEnd"/>
      <w:r w:rsidRPr="00957C03">
        <w:rPr>
          <w:rFonts w:ascii="Book Antiqua" w:hAnsi="Book Antiqua" w:cs="Tahoma"/>
        </w:rPr>
        <w:t xml:space="preserve"> morbidity, but the risk is declining, with altered immunosuppression regimes, viral monitoring and prophylaxis, and the matching of CMV donor to recipient status</w:t>
      </w:r>
      <w:r w:rsidRPr="00957C03">
        <w:rPr>
          <w:rFonts w:ascii="Book Antiqua" w:hAnsi="Book Antiqua" w:cs="Tahoma"/>
          <w:noProof/>
          <w:vertAlign w:val="superscript"/>
        </w:rPr>
        <w:t>[39,65,66]</w:t>
      </w:r>
      <w:r w:rsidRPr="00957C03">
        <w:rPr>
          <w:rFonts w:ascii="Book Antiqua" w:hAnsi="Book Antiqua" w:cs="Tahoma"/>
        </w:rPr>
        <w:t xml:space="preserve">. In a recent series, (2001-2008; </w:t>
      </w:r>
      <w:r w:rsidRPr="00957C03">
        <w:rPr>
          <w:rFonts w:ascii="Book Antiqua" w:hAnsi="Book Antiqua" w:cs="Tahoma"/>
          <w:i/>
        </w:rPr>
        <w:t>n</w:t>
      </w:r>
      <w:r w:rsidRPr="00957C03">
        <w:rPr>
          <w:rFonts w:ascii="Book Antiqua" w:hAnsi="Book Antiqua" w:cs="Tahoma"/>
        </w:rPr>
        <w:t xml:space="preserve"> = 322) 11% of </w:t>
      </w:r>
      <w:proofErr w:type="spellStart"/>
      <w:r w:rsidRPr="00957C03">
        <w:rPr>
          <w:rFonts w:ascii="Book Antiqua" w:hAnsi="Book Antiqua" w:cs="Tahoma"/>
        </w:rPr>
        <w:t>ITx</w:t>
      </w:r>
      <w:proofErr w:type="spellEnd"/>
      <w:r w:rsidRPr="00957C03">
        <w:rPr>
          <w:rFonts w:ascii="Book Antiqua" w:hAnsi="Book Antiqua" w:cs="Tahoma"/>
        </w:rPr>
        <w:t xml:space="preserve"> recipients were infected but none </w:t>
      </w:r>
      <w:proofErr w:type="gramStart"/>
      <w:r w:rsidRPr="00957C03">
        <w:rPr>
          <w:rFonts w:ascii="Book Antiqua" w:hAnsi="Book Antiqua" w:cs="Tahoma"/>
        </w:rPr>
        <w:t>died</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Graft vs host disease</w:t>
      </w:r>
    </w:p>
    <w:p w:rsidR="0043020A" w:rsidRPr="00957C03" w:rsidRDefault="0043020A" w:rsidP="009A7B7E">
      <w:pPr>
        <w:snapToGrid w:val="0"/>
        <w:spacing w:line="360" w:lineRule="auto"/>
        <w:jc w:val="both"/>
        <w:rPr>
          <w:rFonts w:ascii="Book Antiqua" w:hAnsi="Book Antiqua" w:cs="Tahoma"/>
        </w:rPr>
      </w:pPr>
      <w:proofErr w:type="spellStart"/>
      <w:r w:rsidRPr="00957C03">
        <w:rPr>
          <w:rFonts w:ascii="Book Antiqua" w:hAnsi="Book Antiqua" w:cs="Tahoma"/>
        </w:rPr>
        <w:t>ITx</w:t>
      </w:r>
      <w:proofErr w:type="spellEnd"/>
      <w:r w:rsidRPr="00957C03">
        <w:rPr>
          <w:rFonts w:ascii="Book Antiqua" w:hAnsi="Book Antiqua" w:cs="Tahoma"/>
        </w:rPr>
        <w:t xml:space="preserve"> recipients are at high risk of developing GVHD, with one centre (1994-2007; </w:t>
      </w:r>
      <w:r w:rsidRPr="00957C03">
        <w:rPr>
          <w:rFonts w:ascii="Book Antiqua" w:hAnsi="Book Antiqua" w:cs="Tahoma"/>
          <w:i/>
        </w:rPr>
        <w:t>n</w:t>
      </w:r>
      <w:r w:rsidRPr="00957C03">
        <w:rPr>
          <w:rFonts w:ascii="Book Antiqua" w:hAnsi="Book Antiqua" w:cs="Tahoma"/>
        </w:rPr>
        <w:t xml:space="preserve"> = 241) reporting GVHD in 9% of recipients, with children being at greatest risk (12.4% </w:t>
      </w:r>
      <w:r w:rsidRPr="00957C03">
        <w:rPr>
          <w:rFonts w:ascii="Book Antiqua" w:hAnsi="Book Antiqua" w:cs="Tahoma"/>
          <w:i/>
        </w:rPr>
        <w:t>vs</w:t>
      </w:r>
      <w:r w:rsidRPr="00957C03">
        <w:rPr>
          <w:rFonts w:ascii="Book Antiqua" w:hAnsi="Book Antiqua" w:cs="Tahoma"/>
        </w:rPr>
        <w:t xml:space="preserve"> 4.6% adults, </w:t>
      </w:r>
      <w:r w:rsidRPr="00957C03">
        <w:rPr>
          <w:rFonts w:ascii="Book Antiqua" w:hAnsi="Book Antiqua" w:cs="Tahoma"/>
          <w:i/>
        </w:rPr>
        <w:t>P</w:t>
      </w:r>
      <w:r w:rsidRPr="00957C03">
        <w:rPr>
          <w:rFonts w:ascii="Book Antiqua" w:hAnsi="Book Antiqua" w:cs="Tahoma"/>
        </w:rPr>
        <w:t xml:space="preserve"> = 0.05</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67]</w:t>
      </w:r>
      <w:r w:rsidRPr="00957C03">
        <w:rPr>
          <w:rFonts w:ascii="Book Antiqua" w:hAnsi="Book Antiqua" w:cs="Tahoma"/>
        </w:rPr>
        <w:t xml:space="preserve">. Isolated </w:t>
      </w:r>
      <w:proofErr w:type="spellStart"/>
      <w:r w:rsidRPr="00957C03">
        <w:rPr>
          <w:rFonts w:ascii="Book Antiqua" w:hAnsi="Book Antiqua" w:cs="Tahoma"/>
        </w:rPr>
        <w:t>ITx</w:t>
      </w:r>
      <w:proofErr w:type="spellEnd"/>
      <w:r w:rsidRPr="00957C03">
        <w:rPr>
          <w:rFonts w:ascii="Book Antiqua" w:hAnsi="Book Antiqua" w:cs="Tahoma"/>
        </w:rPr>
        <w:t xml:space="preserve"> have a lower risk than </w:t>
      </w:r>
      <w:proofErr w:type="spellStart"/>
      <w:r w:rsidRPr="00957C03">
        <w:rPr>
          <w:rFonts w:ascii="Book Antiqua" w:hAnsi="Book Antiqua" w:cs="Tahoma"/>
        </w:rPr>
        <w:t>multivisceral</w:t>
      </w:r>
      <w:proofErr w:type="spellEnd"/>
      <w:r w:rsidRPr="00957C03">
        <w:rPr>
          <w:rFonts w:ascii="Book Antiqua" w:hAnsi="Book Antiqua" w:cs="Tahoma"/>
        </w:rPr>
        <w:t xml:space="preserve"> grafts (4.4% </w:t>
      </w:r>
      <w:r w:rsidRPr="00957C03">
        <w:rPr>
          <w:rFonts w:ascii="Book Antiqua" w:hAnsi="Book Antiqua" w:cs="Tahoma"/>
          <w:i/>
        </w:rPr>
        <w:t>vs</w:t>
      </w:r>
      <w:r w:rsidRPr="00957C03">
        <w:rPr>
          <w:rFonts w:ascii="Book Antiqua" w:hAnsi="Book Antiqua" w:cs="Tahoma"/>
        </w:rPr>
        <w:t xml:space="preserve"> 13.2%, </w:t>
      </w:r>
      <w:r w:rsidRPr="00957C03">
        <w:rPr>
          <w:rFonts w:ascii="Book Antiqua" w:hAnsi="Book Antiqua" w:cs="Tahoma"/>
          <w:i/>
        </w:rPr>
        <w:t>P</w:t>
      </w:r>
      <w:r w:rsidRPr="00957C03">
        <w:rPr>
          <w:rFonts w:ascii="Book Antiqua" w:hAnsi="Book Antiqua" w:cs="Tahoma"/>
        </w:rPr>
        <w:t xml:space="preserve"> = 0.05). When GVHD does occur, it has a high mortality: in one series (1990-2008; </w:t>
      </w:r>
      <w:r w:rsidRPr="00957C03">
        <w:rPr>
          <w:rFonts w:ascii="Book Antiqua" w:hAnsi="Book Antiqua" w:cs="Tahoma"/>
          <w:i/>
        </w:rPr>
        <w:t>n</w:t>
      </w:r>
      <w:r w:rsidRPr="00957C03">
        <w:rPr>
          <w:rFonts w:ascii="Book Antiqua" w:hAnsi="Book Antiqua" w:cs="Tahoma"/>
        </w:rPr>
        <w:t xml:space="preserve"> = 500), 18% of those affected </w:t>
      </w:r>
      <w:proofErr w:type="gramStart"/>
      <w:r w:rsidRPr="00957C03">
        <w:rPr>
          <w:rFonts w:ascii="Book Antiqua" w:hAnsi="Book Antiqua" w:cs="Tahoma"/>
        </w:rPr>
        <w:t>died</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There are no data to show whether </w:t>
      </w:r>
      <w:proofErr w:type="spellStart"/>
      <w:r w:rsidRPr="00957C03">
        <w:rPr>
          <w:rFonts w:ascii="Book Antiqua" w:hAnsi="Book Antiqua" w:cs="Tahoma"/>
        </w:rPr>
        <w:t>ITx</w:t>
      </w:r>
      <w:proofErr w:type="spellEnd"/>
      <w:r w:rsidRPr="00957C03">
        <w:rPr>
          <w:rFonts w:ascii="Book Antiqua" w:hAnsi="Book Antiqua" w:cs="Tahoma"/>
        </w:rPr>
        <w:t xml:space="preserve"> recipients with CD as the primary disease have an altered incidence of GVHD.</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Post-transplant </w:t>
      </w:r>
      <w:proofErr w:type="spellStart"/>
      <w:r w:rsidRPr="00957C03">
        <w:rPr>
          <w:rFonts w:ascii="Book Antiqua" w:hAnsi="Book Antiqua" w:cs="Tahoma"/>
          <w:b/>
          <w:i/>
        </w:rPr>
        <w:t>lymphoproliferative</w:t>
      </w:r>
      <w:proofErr w:type="spellEnd"/>
      <w:r w:rsidRPr="00957C03">
        <w:rPr>
          <w:rFonts w:ascii="Book Antiqua" w:hAnsi="Book Antiqua" w:cs="Tahoma"/>
          <w:b/>
          <w:i/>
        </w:rPr>
        <w:t xml:space="preserve"> disease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Immunosuppression increases the risk of malignancy (8.7 times higher than general population), with the commonest being PTLD, which is associated with 1% of graft failures (2001-2008) and a high mortality (29% affected died; 1990-1995</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39,68,69]</w:t>
      </w:r>
      <w:r w:rsidRPr="00957C03">
        <w:rPr>
          <w:rFonts w:ascii="Book Antiqua" w:hAnsi="Book Antiqua" w:cs="Tahoma"/>
        </w:rPr>
        <w:t xml:space="preserve">. Recipients may be affected early or late following </w:t>
      </w:r>
      <w:proofErr w:type="spellStart"/>
      <w:r w:rsidRPr="00957C03">
        <w:rPr>
          <w:rFonts w:ascii="Book Antiqua" w:hAnsi="Book Antiqua" w:cs="Tahoma"/>
        </w:rPr>
        <w:t>ITx</w:t>
      </w:r>
      <w:proofErr w:type="spellEnd"/>
      <w:r w:rsidRPr="00957C03">
        <w:rPr>
          <w:rFonts w:ascii="Book Antiqua" w:hAnsi="Book Antiqua" w:cs="Tahoma"/>
        </w:rPr>
        <w:t>, as shown by rates of 2.5%, 5.3%, 7.2%, 8.2% and 10.2% at 0.5, 1, 2, 3 and 5 years post-</w:t>
      </w:r>
      <w:proofErr w:type="spellStart"/>
      <w:r w:rsidRPr="00957C03">
        <w:rPr>
          <w:rFonts w:ascii="Book Antiqua" w:hAnsi="Book Antiqua" w:cs="Tahoma"/>
        </w:rPr>
        <w:t>ITx</w:t>
      </w:r>
      <w:proofErr w:type="spellEnd"/>
      <w:r w:rsidRPr="00957C03">
        <w:rPr>
          <w:rFonts w:ascii="Book Antiqua" w:hAnsi="Book Antiqua" w:cs="Tahoma"/>
        </w:rPr>
        <w:t xml:space="preserve"> in one series (2005-2009</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60]</w:t>
      </w:r>
      <w:r w:rsidRPr="00957C03">
        <w:rPr>
          <w:rFonts w:ascii="Book Antiqua" w:hAnsi="Book Antiqua" w:cs="Tahoma"/>
        </w:rPr>
        <w:t xml:space="preserve">. Risk factors include EBV infection, which is present in 97%, immunosuppression and </w:t>
      </w:r>
      <w:proofErr w:type="gramStart"/>
      <w:r w:rsidRPr="00957C03">
        <w:rPr>
          <w:rFonts w:ascii="Book Antiqua" w:hAnsi="Book Antiqua" w:cs="Tahoma"/>
        </w:rPr>
        <w:t>splenectomy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CD has not been investigated as a risk factor for PTLD. </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Renal failure</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Renal dysfunction is common in patients requiring HPN due to chronic dehydration from SBS and oxalate nephropathy, associated with </w:t>
      </w:r>
      <w:proofErr w:type="spellStart"/>
      <w:r w:rsidRPr="00957C03">
        <w:rPr>
          <w:rFonts w:ascii="Book Antiqua" w:hAnsi="Book Antiqua" w:cs="Tahoma"/>
        </w:rPr>
        <w:t>jejuno</w:t>
      </w:r>
      <w:proofErr w:type="spellEnd"/>
      <w:r w:rsidRPr="00957C03">
        <w:rPr>
          <w:rFonts w:ascii="Book Antiqua" w:hAnsi="Book Antiqua" w:cs="Tahoma"/>
        </w:rPr>
        <w:t xml:space="preserve">-colonic anastomoses that are not uncommonly formed following CD resection. Although recurrent episodes of dehydration may be considered an indication for </w:t>
      </w:r>
      <w:proofErr w:type="spellStart"/>
      <w:r w:rsidRPr="00957C03">
        <w:rPr>
          <w:rFonts w:ascii="Book Antiqua" w:hAnsi="Book Antiqua" w:cs="Tahoma"/>
        </w:rPr>
        <w:t>ITx</w:t>
      </w:r>
      <w:proofErr w:type="spellEnd"/>
      <w:r w:rsidRPr="00957C03">
        <w:rPr>
          <w:rFonts w:ascii="Book Antiqua" w:hAnsi="Book Antiqua" w:cs="Tahoma"/>
        </w:rPr>
        <w:t xml:space="preserve">, the actuarial incidence of significant renal dysfunction as a referral criterion for </w:t>
      </w:r>
      <w:proofErr w:type="spellStart"/>
      <w:r w:rsidRPr="00957C03">
        <w:rPr>
          <w:rFonts w:ascii="Book Antiqua" w:hAnsi="Book Antiqua" w:cs="Tahoma"/>
        </w:rPr>
        <w:t>ITx</w:t>
      </w:r>
      <w:proofErr w:type="spellEnd"/>
      <w:r w:rsidRPr="00957C03">
        <w:rPr>
          <w:rFonts w:ascii="Book Antiqua" w:hAnsi="Book Antiqua" w:cs="Tahoma"/>
        </w:rPr>
        <w:t xml:space="preserve"> (usually including </w:t>
      </w:r>
      <w:proofErr w:type="spellStart"/>
      <w:r w:rsidRPr="00957C03">
        <w:rPr>
          <w:rFonts w:ascii="Book Antiqua" w:hAnsi="Book Antiqua" w:cs="Tahoma"/>
        </w:rPr>
        <w:t>multivisceral</w:t>
      </w:r>
      <w:proofErr w:type="spellEnd"/>
      <w:r w:rsidRPr="00957C03">
        <w:rPr>
          <w:rFonts w:ascii="Book Antiqua" w:hAnsi="Book Antiqua" w:cs="Tahoma"/>
        </w:rPr>
        <w:t xml:space="preserve"> transplant) is </w:t>
      </w:r>
      <w:proofErr w:type="gramStart"/>
      <w:r w:rsidRPr="00957C03">
        <w:rPr>
          <w:rFonts w:ascii="Book Antiqua" w:hAnsi="Book Antiqua" w:cs="Tahoma"/>
        </w:rPr>
        <w:t>uncommon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53]</w:t>
      </w:r>
      <w:r w:rsidRPr="00957C03">
        <w:rPr>
          <w:rFonts w:ascii="Book Antiqua" w:hAnsi="Book Antiqua" w:cs="Tahoma"/>
        </w:rPr>
        <w:t>.</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The risk of chronic renal failure is higher following </w:t>
      </w:r>
      <w:proofErr w:type="spellStart"/>
      <w:r w:rsidRPr="00957C03">
        <w:rPr>
          <w:rFonts w:ascii="Book Antiqua" w:hAnsi="Book Antiqua" w:cs="Tahoma"/>
        </w:rPr>
        <w:t>ITx</w:t>
      </w:r>
      <w:proofErr w:type="spellEnd"/>
      <w:r w:rsidRPr="00957C03">
        <w:rPr>
          <w:rFonts w:ascii="Book Antiqua" w:hAnsi="Book Antiqua" w:cs="Tahoma"/>
        </w:rPr>
        <w:t xml:space="preserve"> than in patients remaining on </w:t>
      </w:r>
      <w:proofErr w:type="gramStart"/>
      <w:r w:rsidRPr="00957C03">
        <w:rPr>
          <w:rFonts w:ascii="Book Antiqua" w:hAnsi="Book Antiqua" w:cs="Tahoma"/>
        </w:rPr>
        <w:t>HPN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70]</w:t>
      </w:r>
      <w:r w:rsidRPr="00957C03">
        <w:rPr>
          <w:rFonts w:ascii="Book Antiqua" w:hAnsi="Book Antiqua" w:cs="Tahoma"/>
        </w:rPr>
        <w:t xml:space="preserve">. In the first year following </w:t>
      </w:r>
      <w:proofErr w:type="spellStart"/>
      <w:r w:rsidRPr="00957C03">
        <w:rPr>
          <w:rFonts w:ascii="Book Antiqua" w:hAnsi="Book Antiqua" w:cs="Tahoma"/>
        </w:rPr>
        <w:t>ITx</w:t>
      </w:r>
      <w:proofErr w:type="spellEnd"/>
      <w:r w:rsidRPr="00957C03">
        <w:rPr>
          <w:rFonts w:ascii="Book Antiqua" w:hAnsi="Book Antiqua" w:cs="Tahoma"/>
        </w:rPr>
        <w:t xml:space="preserve">, 80% of adults experience an episode of acute kidney </w:t>
      </w:r>
      <w:proofErr w:type="gramStart"/>
      <w:r w:rsidRPr="00957C03">
        <w:rPr>
          <w:rFonts w:ascii="Book Antiqua" w:hAnsi="Book Antiqua" w:cs="Tahoma"/>
        </w:rPr>
        <w:t>injury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71]</w:t>
      </w:r>
      <w:r w:rsidRPr="00957C03">
        <w:rPr>
          <w:rFonts w:ascii="Book Antiqua" w:hAnsi="Book Antiqua" w:cs="Tahoma"/>
        </w:rPr>
        <w:t xml:space="preserve">. Isolated small intestinal recipients have a significant decline in renal function at 1 year, but </w:t>
      </w:r>
      <w:proofErr w:type="spellStart"/>
      <w:r w:rsidRPr="00957C03">
        <w:rPr>
          <w:rFonts w:ascii="Book Antiqua" w:hAnsi="Book Antiqua" w:cs="Tahoma"/>
        </w:rPr>
        <w:t>multivisceral</w:t>
      </w:r>
      <w:proofErr w:type="spellEnd"/>
      <w:r w:rsidRPr="00957C03">
        <w:rPr>
          <w:rFonts w:ascii="Book Antiqua" w:hAnsi="Book Antiqua" w:cs="Tahoma"/>
        </w:rPr>
        <w:t xml:space="preserve"> recipients do not, which may relate to their differing immunosuppressive regimes, since high dose </w:t>
      </w:r>
      <w:proofErr w:type="spellStart"/>
      <w:r w:rsidRPr="00957C03">
        <w:rPr>
          <w:rFonts w:ascii="Book Antiqua" w:hAnsi="Book Antiqua" w:cs="Tahoma"/>
        </w:rPr>
        <w:t>tacrolimus</w:t>
      </w:r>
      <w:proofErr w:type="spellEnd"/>
      <w:r w:rsidRPr="00957C03">
        <w:rPr>
          <w:rFonts w:ascii="Book Antiqua" w:hAnsi="Book Antiqua" w:cs="Tahoma"/>
        </w:rPr>
        <w:t xml:space="preserve"> is a risk </w:t>
      </w:r>
      <w:proofErr w:type="gramStart"/>
      <w:r w:rsidRPr="00957C03">
        <w:rPr>
          <w:rFonts w:ascii="Book Antiqua" w:hAnsi="Book Antiqua" w:cs="Tahoma"/>
        </w:rPr>
        <w:t>factor</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71-73]</w:t>
      </w:r>
      <w:r w:rsidRPr="00957C03">
        <w:rPr>
          <w:rFonts w:ascii="Book Antiqua" w:hAnsi="Book Antiqua" w:cs="Tahoma"/>
        </w:rPr>
        <w:t xml:space="preserve">. At one centre, 9% of surviving adult recipients required renal replacement therapy during a median follow-up of 7.6 years, with 50% attending for dialysis and 50% undergoing renal </w:t>
      </w:r>
      <w:proofErr w:type="gramStart"/>
      <w:r w:rsidRPr="00957C03">
        <w:rPr>
          <w:rFonts w:ascii="Book Antiqua" w:hAnsi="Book Antiqua" w:cs="Tahoma"/>
        </w:rPr>
        <w:t>transplant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74]</w:t>
      </w:r>
      <w:r w:rsidRPr="00957C03">
        <w:rPr>
          <w:rFonts w:ascii="Book Antiqua" w:hAnsi="Book Antiqua" w:cs="Tahoma"/>
        </w:rPr>
        <w:t xml:space="preserve">. Furthermore, renal dysfunction at 1 year is a risk factor for </w:t>
      </w:r>
      <w:proofErr w:type="gramStart"/>
      <w:r w:rsidRPr="00957C03">
        <w:rPr>
          <w:rFonts w:ascii="Book Antiqua" w:hAnsi="Book Antiqua" w:cs="Tahoma"/>
        </w:rPr>
        <w:t>mortality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72]</w:t>
      </w:r>
      <w:r w:rsidRPr="00957C03">
        <w:rPr>
          <w:rFonts w:ascii="Book Antiqua" w:hAnsi="Book Antiqua" w:cs="Tahoma"/>
        </w:rPr>
        <w:t xml:space="preserve">. Whether or not patients with CD undergoing </w:t>
      </w:r>
      <w:proofErr w:type="spellStart"/>
      <w:r w:rsidRPr="00957C03">
        <w:rPr>
          <w:rFonts w:ascii="Book Antiqua" w:hAnsi="Book Antiqua" w:cs="Tahoma"/>
        </w:rPr>
        <w:t>ITx</w:t>
      </w:r>
      <w:proofErr w:type="spellEnd"/>
      <w:r w:rsidRPr="00957C03">
        <w:rPr>
          <w:rFonts w:ascii="Book Antiqua" w:hAnsi="Book Antiqua" w:cs="Tahoma"/>
        </w:rPr>
        <w:t xml:space="preserve"> have an increased risk of renal impairment due to oxalate exposure or other factors remains unexplored. </w:t>
      </w:r>
    </w:p>
    <w:p w:rsidR="0043020A" w:rsidRPr="00957C03" w:rsidRDefault="0043020A" w:rsidP="009A7B7E">
      <w:pPr>
        <w:snapToGrid w:val="0"/>
        <w:spacing w:line="360" w:lineRule="auto"/>
        <w:jc w:val="both"/>
        <w:rPr>
          <w:rFonts w:ascii="Book Antiqua" w:hAnsi="Book Antiqua" w:cs="Tahoma"/>
          <w:u w:val="single"/>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Disease recurrence</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lastRenderedPageBreak/>
        <w:t xml:space="preserve">Patients may view </w:t>
      </w:r>
      <w:proofErr w:type="spellStart"/>
      <w:r w:rsidRPr="00957C03">
        <w:rPr>
          <w:rFonts w:ascii="Book Antiqua" w:hAnsi="Book Antiqua" w:cs="Tahoma"/>
        </w:rPr>
        <w:t>ITx</w:t>
      </w:r>
      <w:proofErr w:type="spellEnd"/>
      <w:r w:rsidRPr="00957C03">
        <w:rPr>
          <w:rFonts w:ascii="Book Antiqua" w:hAnsi="Book Antiqua" w:cs="Tahoma"/>
        </w:rPr>
        <w:t xml:space="preserve"> as a cure for CD and, theoretically, donor graft genetics may reduce the risk of CD recurrence. However, case reports describe 2 patients, transplanted in 1994, who later developed clinical and histological recurrence (7 months and 8 years post-</w:t>
      </w:r>
      <w:proofErr w:type="spellStart"/>
      <w:r w:rsidRPr="00957C03">
        <w:rPr>
          <w:rFonts w:ascii="Book Antiqua" w:hAnsi="Book Antiqua" w:cs="Tahoma"/>
        </w:rPr>
        <w:t>ITx</w:t>
      </w:r>
      <w:proofErr w:type="spellEnd"/>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75,76]</w:t>
      </w:r>
      <w:r w:rsidRPr="00957C03">
        <w:rPr>
          <w:rFonts w:ascii="Book Antiqua" w:hAnsi="Book Antiqua" w:cs="Tahoma"/>
        </w:rPr>
        <w:t xml:space="preserve">. In another series, up to 19% of </w:t>
      </w:r>
      <w:proofErr w:type="spellStart"/>
      <w:r w:rsidRPr="00957C03">
        <w:rPr>
          <w:rFonts w:ascii="Book Antiqua" w:hAnsi="Book Antiqua" w:cs="Tahoma"/>
        </w:rPr>
        <w:t>ITx</w:t>
      </w:r>
      <w:proofErr w:type="spellEnd"/>
      <w:r w:rsidRPr="00957C03">
        <w:rPr>
          <w:rFonts w:ascii="Book Antiqua" w:hAnsi="Book Antiqua" w:cs="Tahoma"/>
        </w:rPr>
        <w:t xml:space="preserve"> survivors with initial CD had a recurrence suggested on routine histological assessment, but this did not affect graft </w:t>
      </w:r>
      <w:proofErr w:type="gramStart"/>
      <w:r w:rsidRPr="00957C03">
        <w:rPr>
          <w:rFonts w:ascii="Book Antiqua" w:hAnsi="Book Antiqua" w:cs="Tahoma"/>
        </w:rPr>
        <w:t>function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74]</w:t>
      </w:r>
      <w:r w:rsidRPr="00957C03">
        <w:rPr>
          <w:rFonts w:ascii="Book Antiqua" w:hAnsi="Book Antiqua" w:cs="Tahoma"/>
        </w:rPr>
        <w:t>. Similarly, another small study reported asymptomatic CD recurrence in 50% (2/4) of patients, which was evident only on mucosal biopsy specimens (granulomatous enteritis</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77]</w:t>
      </w:r>
      <w:r w:rsidRPr="00957C03">
        <w:rPr>
          <w:rFonts w:ascii="Book Antiqua" w:hAnsi="Book Antiqua" w:cs="Tahoma"/>
        </w:rPr>
        <w:t>. Patients should therefore be advised that CD may reoccur in the grafted tissue, but that this may not manifest clinically, perhaps due to the effects of post-</w:t>
      </w:r>
      <w:proofErr w:type="spellStart"/>
      <w:r w:rsidRPr="00957C03">
        <w:rPr>
          <w:rFonts w:ascii="Book Antiqua" w:hAnsi="Book Antiqua" w:cs="Tahoma"/>
        </w:rPr>
        <w:t>ITx</w:t>
      </w:r>
      <w:proofErr w:type="spellEnd"/>
      <w:r w:rsidRPr="00957C03">
        <w:rPr>
          <w:rFonts w:ascii="Book Antiqua" w:hAnsi="Book Antiqua" w:cs="Tahoma"/>
        </w:rPr>
        <w:t xml:space="preserve"> immunosuppression.</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 xml:space="preserve">QUALITY OF LIFE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Generic and disease-orientated tools exist for the assessment of </w:t>
      </w:r>
      <w:proofErr w:type="spellStart"/>
      <w:r w:rsidRPr="00957C03">
        <w:rPr>
          <w:rFonts w:ascii="Book Antiqua" w:hAnsi="Book Antiqua" w:cs="Tahoma"/>
        </w:rPr>
        <w:t>QoL</w:t>
      </w:r>
      <w:proofErr w:type="spellEnd"/>
      <w:r w:rsidRPr="00957C03">
        <w:rPr>
          <w:rFonts w:ascii="Book Antiqua" w:hAnsi="Book Antiqua" w:cs="Tahoma"/>
        </w:rPr>
        <w:t xml:space="preserve">. Generic tools completed by patients on HPN and/or following </w:t>
      </w:r>
      <w:proofErr w:type="spellStart"/>
      <w:r w:rsidRPr="00957C03">
        <w:rPr>
          <w:rFonts w:ascii="Book Antiqua" w:hAnsi="Book Antiqua" w:cs="Tahoma"/>
        </w:rPr>
        <w:t>ITx</w:t>
      </w:r>
      <w:proofErr w:type="spellEnd"/>
      <w:r w:rsidRPr="00957C03">
        <w:rPr>
          <w:rFonts w:ascii="Book Antiqua" w:hAnsi="Book Antiqua" w:cs="Tahoma"/>
        </w:rPr>
        <w:t xml:space="preserve"> include the SF-36, </w:t>
      </w:r>
      <w:proofErr w:type="spellStart"/>
      <w:r w:rsidRPr="00957C03">
        <w:rPr>
          <w:rFonts w:ascii="Book Antiqua" w:hAnsi="Book Antiqua" w:cs="Tahoma"/>
        </w:rPr>
        <w:t>Karnofsky</w:t>
      </w:r>
      <w:proofErr w:type="spellEnd"/>
      <w:r w:rsidRPr="00957C03">
        <w:rPr>
          <w:rFonts w:ascii="Book Antiqua" w:hAnsi="Book Antiqua" w:cs="Tahoma"/>
        </w:rPr>
        <w:t xml:space="preserve"> performance score and </w:t>
      </w:r>
      <w:proofErr w:type="spellStart"/>
      <w:r w:rsidRPr="00957C03">
        <w:rPr>
          <w:rFonts w:ascii="Book Antiqua" w:hAnsi="Book Antiqua" w:cs="Tahoma"/>
        </w:rPr>
        <w:t>QoL</w:t>
      </w:r>
      <w:proofErr w:type="spellEnd"/>
      <w:r w:rsidRPr="00957C03">
        <w:rPr>
          <w:rFonts w:ascii="Book Antiqua" w:hAnsi="Book Antiqua" w:cs="Tahoma"/>
        </w:rPr>
        <w:t xml:space="preserve"> </w:t>
      </w:r>
      <w:proofErr w:type="gramStart"/>
      <w:r w:rsidRPr="00957C03">
        <w:rPr>
          <w:rFonts w:ascii="Book Antiqua" w:hAnsi="Book Antiqua" w:cs="Tahoma"/>
        </w:rPr>
        <w:t>Inventory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74,78-80]</w:t>
      </w:r>
      <w:r w:rsidRPr="00957C03">
        <w:rPr>
          <w:rFonts w:ascii="Book Antiqua" w:hAnsi="Book Antiqua" w:cs="Tahoma"/>
        </w:rPr>
        <w:t>. The value of generic tools, including EQ5D (</w:t>
      </w:r>
      <w:proofErr w:type="spellStart"/>
      <w:r w:rsidRPr="00957C03">
        <w:rPr>
          <w:rFonts w:ascii="Book Antiqua" w:hAnsi="Book Antiqua" w:cs="Tahoma"/>
        </w:rPr>
        <w:t>EuroQol</w:t>
      </w:r>
      <w:proofErr w:type="spellEnd"/>
      <w:r w:rsidRPr="00957C03">
        <w:rPr>
          <w:rFonts w:ascii="Book Antiqua" w:hAnsi="Book Antiqua" w:cs="Tahoma"/>
        </w:rPr>
        <w:t>) which is used by</w:t>
      </w:r>
      <w:r w:rsidRPr="00957C03">
        <w:rPr>
          <w:rFonts w:ascii="Book Antiqua" w:hAnsi="Book Antiqua" w:cs="Tahoma"/>
          <w:color w:val="000000"/>
        </w:rPr>
        <w:t xml:space="preserve"> National Institute of Clinical Excellence t</w:t>
      </w:r>
      <w:r w:rsidRPr="00957C03">
        <w:rPr>
          <w:rFonts w:ascii="Book Antiqua" w:hAnsi="Book Antiqua" w:cs="Tahoma"/>
        </w:rPr>
        <w:t xml:space="preserve">o calculate quality-adjusted life years, is that they are validated in many diseases, allowing comparisons with </w:t>
      </w:r>
      <w:proofErr w:type="spellStart"/>
      <w:r w:rsidRPr="00957C03">
        <w:rPr>
          <w:rFonts w:ascii="Book Antiqua" w:hAnsi="Book Antiqua" w:cs="Tahoma"/>
        </w:rPr>
        <w:t>QoL</w:t>
      </w:r>
      <w:proofErr w:type="spellEnd"/>
      <w:r w:rsidRPr="00957C03">
        <w:rPr>
          <w:rFonts w:ascii="Book Antiqua" w:hAnsi="Book Antiqua" w:cs="Tahoma"/>
        </w:rPr>
        <w:t xml:space="preserve"> in other chronic conditions, and in many languages</w:t>
      </w:r>
      <w:r w:rsidRPr="00957C03">
        <w:rPr>
          <w:rFonts w:ascii="Book Antiqua" w:hAnsi="Book Antiqua" w:cs="Tahoma"/>
          <w:noProof/>
          <w:vertAlign w:val="superscript"/>
        </w:rPr>
        <w:t>[81]</w:t>
      </w:r>
      <w:r w:rsidRPr="00957C03">
        <w:rPr>
          <w:rFonts w:ascii="Book Antiqua" w:hAnsi="Book Antiqua" w:cs="Tahoma"/>
        </w:rPr>
        <w:t>. Their disadvantage is that they give little weight to disease-specific factors, such as a stoma or need for parenteral fluids. Disease-orientated tools have been developed, including both the Short Bowel Syndrome-Quality of Life Scale for patients with SBS and the HPN-</w:t>
      </w:r>
      <w:proofErr w:type="spellStart"/>
      <w:r w:rsidRPr="00957C03">
        <w:rPr>
          <w:rFonts w:ascii="Book Antiqua" w:hAnsi="Book Antiqua" w:cs="Tahoma"/>
        </w:rPr>
        <w:t>QoL</w:t>
      </w:r>
      <w:proofErr w:type="spellEnd"/>
      <w:r w:rsidRPr="00957C03">
        <w:rPr>
          <w:rFonts w:ascii="Book Antiqua" w:hAnsi="Book Antiqua" w:cs="Tahoma"/>
        </w:rPr>
        <w:t>, for patients with IF on HPN</w:t>
      </w:r>
      <w:r w:rsidRPr="00957C03">
        <w:rPr>
          <w:rFonts w:ascii="Book Antiqua" w:hAnsi="Book Antiqua" w:cs="Tahoma"/>
          <w:noProof/>
          <w:vertAlign w:val="superscript"/>
        </w:rPr>
        <w:t>[82,83]</w:t>
      </w:r>
      <w:r w:rsidRPr="00957C03">
        <w:rPr>
          <w:rFonts w:ascii="Book Antiqua" w:hAnsi="Book Antiqua" w:cs="Tahoma"/>
        </w:rPr>
        <w:t>, which has been partially validated. An adapted version of the HPN-</w:t>
      </w:r>
      <w:proofErr w:type="spellStart"/>
      <w:r w:rsidRPr="00957C03">
        <w:rPr>
          <w:rFonts w:ascii="Book Antiqua" w:hAnsi="Book Antiqua" w:cs="Tahoma"/>
        </w:rPr>
        <w:t>QoL</w:t>
      </w:r>
      <w:proofErr w:type="spellEnd"/>
      <w:r w:rsidRPr="00957C03">
        <w:rPr>
          <w:rFonts w:ascii="Book Antiqua" w:hAnsi="Book Antiqua" w:cs="Tahoma"/>
        </w:rPr>
        <w:t xml:space="preserve"> has been used post-</w:t>
      </w:r>
      <w:proofErr w:type="spellStart"/>
      <w:proofErr w:type="gramStart"/>
      <w:r w:rsidRPr="00957C03">
        <w:rPr>
          <w:rFonts w:ascii="Book Antiqua" w:hAnsi="Book Antiqua" w:cs="Tahoma"/>
        </w:rPr>
        <w:t>ITx</w:t>
      </w:r>
      <w:proofErr w:type="spellEnd"/>
      <w:r w:rsidRPr="00957C03">
        <w:rPr>
          <w:rFonts w:ascii="Book Antiqua" w:hAnsi="Book Antiqua" w:cs="Tahoma"/>
          <w:noProof/>
          <w:vertAlign w:val="superscript"/>
        </w:rPr>
        <w:t>[</w:t>
      </w:r>
      <w:proofErr w:type="gramEnd"/>
      <w:r w:rsidRPr="00957C03">
        <w:rPr>
          <w:rFonts w:ascii="Book Antiqua" w:hAnsi="Book Antiqua" w:cs="Tahoma"/>
          <w:noProof/>
          <w:vertAlign w:val="superscript"/>
        </w:rPr>
        <w:t>84]</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i/>
        </w:rPr>
      </w:pPr>
      <w:r w:rsidRPr="00957C03">
        <w:rPr>
          <w:rFonts w:ascii="Book Antiqua" w:hAnsi="Book Antiqua" w:cs="Tahoma"/>
          <w:b/>
          <w:i/>
        </w:rPr>
        <w:t xml:space="preserve">Quality of life on home parenteral nutrition vs intestinal transplantation </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The SF-36 and an adapted version of HPN-</w:t>
      </w:r>
      <w:proofErr w:type="spellStart"/>
      <w:r w:rsidRPr="00957C03">
        <w:rPr>
          <w:rFonts w:ascii="Book Antiqua" w:hAnsi="Book Antiqua" w:cs="Tahoma"/>
        </w:rPr>
        <w:t>QoL</w:t>
      </w:r>
      <w:proofErr w:type="spellEnd"/>
      <w:r w:rsidRPr="00957C03">
        <w:rPr>
          <w:rFonts w:ascii="Book Antiqua" w:hAnsi="Book Antiqua" w:cs="Tahoma"/>
        </w:rPr>
        <w:t xml:space="preserve"> have been used to compare patients on HPN and following </w:t>
      </w:r>
      <w:proofErr w:type="spellStart"/>
      <w:r w:rsidRPr="00957C03">
        <w:rPr>
          <w:rFonts w:ascii="Book Antiqua" w:hAnsi="Book Antiqua" w:cs="Tahoma"/>
        </w:rPr>
        <w:t>ITx</w:t>
      </w:r>
      <w:proofErr w:type="spellEnd"/>
      <w:r w:rsidRPr="00957C03">
        <w:rPr>
          <w:rFonts w:ascii="Book Antiqua" w:hAnsi="Book Antiqua" w:cs="Tahoma"/>
        </w:rPr>
        <w:t>. One study using the adapted HPN-</w:t>
      </w:r>
      <w:proofErr w:type="spellStart"/>
      <w:r w:rsidRPr="00957C03">
        <w:rPr>
          <w:rFonts w:ascii="Book Antiqua" w:hAnsi="Book Antiqua" w:cs="Tahoma"/>
        </w:rPr>
        <w:t>QoL</w:t>
      </w:r>
      <w:proofErr w:type="spellEnd"/>
      <w:r w:rsidRPr="00957C03">
        <w:rPr>
          <w:rFonts w:ascii="Book Antiqua" w:hAnsi="Book Antiqua" w:cs="Tahoma"/>
        </w:rPr>
        <w:t xml:space="preserve">, found </w:t>
      </w:r>
      <w:proofErr w:type="spellStart"/>
      <w:r w:rsidRPr="00957C03">
        <w:rPr>
          <w:rFonts w:ascii="Book Antiqua" w:hAnsi="Book Antiqua" w:cs="Tahoma"/>
        </w:rPr>
        <w:t>ITx</w:t>
      </w:r>
      <w:proofErr w:type="spellEnd"/>
      <w:r w:rsidRPr="00957C03">
        <w:rPr>
          <w:rFonts w:ascii="Book Antiqua" w:hAnsi="Book Antiqua" w:cs="Tahoma"/>
        </w:rPr>
        <w:t xml:space="preserve"> recipients scored statistically better for ability to holiday/travel, fatigue, gastrointestinal symptoms, stoma management/bowel movements and global health status/quality of life and non-significantly better for eating </w:t>
      </w:r>
      <w:proofErr w:type="gramStart"/>
      <w:r w:rsidRPr="00957C03">
        <w:rPr>
          <w:rFonts w:ascii="Book Antiqua" w:hAnsi="Book Antiqua" w:cs="Tahoma"/>
        </w:rPr>
        <w:t>ability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84]</w:t>
      </w:r>
      <w:r w:rsidRPr="00957C03">
        <w:rPr>
          <w:rFonts w:ascii="Book Antiqua" w:hAnsi="Book Antiqua" w:cs="Tahoma"/>
        </w:rPr>
        <w:t xml:space="preserve">. However, </w:t>
      </w:r>
      <w:proofErr w:type="spellStart"/>
      <w:r w:rsidRPr="00957C03">
        <w:rPr>
          <w:rFonts w:ascii="Book Antiqua" w:hAnsi="Book Antiqua" w:cs="Tahoma"/>
        </w:rPr>
        <w:t>ITx</w:t>
      </w:r>
      <w:proofErr w:type="spellEnd"/>
      <w:r w:rsidRPr="00957C03">
        <w:rPr>
          <w:rFonts w:ascii="Book Antiqua" w:hAnsi="Book Antiqua" w:cs="Tahoma"/>
        </w:rPr>
        <w:t xml:space="preserve"> </w:t>
      </w:r>
      <w:r w:rsidRPr="00957C03">
        <w:rPr>
          <w:rFonts w:ascii="Book Antiqua" w:hAnsi="Book Antiqua" w:cs="Tahoma"/>
        </w:rPr>
        <w:lastRenderedPageBreak/>
        <w:t xml:space="preserve">recipients scored worse for sleeping pattern. Another study using SF-36, compared </w:t>
      </w:r>
      <w:proofErr w:type="spellStart"/>
      <w:r w:rsidRPr="00957C03">
        <w:rPr>
          <w:rFonts w:ascii="Book Antiqua" w:hAnsi="Book Antiqua" w:cs="Tahoma"/>
        </w:rPr>
        <w:t>ITx</w:t>
      </w:r>
      <w:proofErr w:type="spellEnd"/>
      <w:r w:rsidRPr="00957C03">
        <w:rPr>
          <w:rFonts w:ascii="Book Antiqua" w:hAnsi="Book Antiqua" w:cs="Tahoma"/>
        </w:rPr>
        <w:t xml:space="preserve"> recipients with patients stable on HPN and those with complicated IF on HPN, who were defined as those referred for </w:t>
      </w:r>
      <w:proofErr w:type="spellStart"/>
      <w:r w:rsidRPr="00957C03">
        <w:rPr>
          <w:rFonts w:ascii="Book Antiqua" w:hAnsi="Book Antiqua" w:cs="Tahoma"/>
        </w:rPr>
        <w:t>ITx</w:t>
      </w:r>
      <w:proofErr w:type="spellEnd"/>
      <w:r w:rsidRPr="00957C03">
        <w:rPr>
          <w:rFonts w:ascii="Book Antiqua" w:hAnsi="Book Antiqua" w:cs="Tahoma"/>
        </w:rPr>
        <w:t xml:space="preserve"> but who remained on HPN for whatever reason. Better </w:t>
      </w:r>
      <w:proofErr w:type="spellStart"/>
      <w:r w:rsidRPr="00957C03">
        <w:rPr>
          <w:rFonts w:ascii="Book Antiqua" w:hAnsi="Book Antiqua" w:cs="Tahoma"/>
        </w:rPr>
        <w:t>QoL</w:t>
      </w:r>
      <w:proofErr w:type="spellEnd"/>
      <w:r w:rsidRPr="00957C03">
        <w:rPr>
          <w:rFonts w:ascii="Book Antiqua" w:hAnsi="Book Antiqua" w:cs="Tahoma"/>
        </w:rPr>
        <w:t xml:space="preserve"> in </w:t>
      </w:r>
      <w:proofErr w:type="spellStart"/>
      <w:r w:rsidRPr="00957C03">
        <w:rPr>
          <w:rFonts w:ascii="Book Antiqua" w:hAnsi="Book Antiqua" w:cs="Tahoma"/>
        </w:rPr>
        <w:t>ITx</w:t>
      </w:r>
      <w:proofErr w:type="spellEnd"/>
      <w:r w:rsidRPr="00957C03">
        <w:rPr>
          <w:rFonts w:ascii="Book Antiqua" w:hAnsi="Book Antiqua" w:cs="Tahoma"/>
        </w:rPr>
        <w:t xml:space="preserve"> recipients and patients stable on HPN was reported than in those with complicated IF on HPN, suggesting that the benefit of </w:t>
      </w:r>
      <w:proofErr w:type="spellStart"/>
      <w:r w:rsidRPr="00957C03">
        <w:rPr>
          <w:rFonts w:ascii="Book Antiqua" w:hAnsi="Book Antiqua" w:cs="Tahoma"/>
        </w:rPr>
        <w:t>ITx</w:t>
      </w:r>
      <w:proofErr w:type="spellEnd"/>
      <w:r w:rsidRPr="00957C03">
        <w:rPr>
          <w:rFonts w:ascii="Book Antiqua" w:hAnsi="Book Antiqua" w:cs="Tahoma"/>
        </w:rPr>
        <w:t xml:space="preserve"> over HPN is limited to selected </w:t>
      </w:r>
      <w:proofErr w:type="gramStart"/>
      <w:r w:rsidRPr="00957C03">
        <w:rPr>
          <w:rFonts w:ascii="Book Antiqua" w:hAnsi="Book Antiqua" w:cs="Tahoma"/>
        </w:rPr>
        <w:t>patients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85]</w:t>
      </w:r>
      <w:r w:rsidRPr="00957C03">
        <w:rPr>
          <w:rFonts w:ascii="Book Antiqua" w:hAnsi="Book Antiqua" w:cs="Tahoma"/>
        </w:rPr>
        <w:t xml:space="preserve">. This is to be expected, since patients on stable HPN not being considered for </w:t>
      </w:r>
      <w:proofErr w:type="spellStart"/>
      <w:r w:rsidRPr="00957C03">
        <w:rPr>
          <w:rFonts w:ascii="Book Antiqua" w:hAnsi="Book Antiqua" w:cs="Tahoma"/>
        </w:rPr>
        <w:t>ITx</w:t>
      </w:r>
      <w:proofErr w:type="spellEnd"/>
      <w:r w:rsidRPr="00957C03">
        <w:rPr>
          <w:rFonts w:ascii="Book Antiqua" w:hAnsi="Book Antiqua" w:cs="Tahoma"/>
        </w:rPr>
        <w:t xml:space="preserve"> cannot reasonably be compared to </w:t>
      </w:r>
      <w:proofErr w:type="spellStart"/>
      <w:r w:rsidRPr="00957C03">
        <w:rPr>
          <w:rFonts w:ascii="Book Antiqua" w:hAnsi="Book Antiqua" w:cs="Tahoma"/>
        </w:rPr>
        <w:t>ITx</w:t>
      </w:r>
      <w:proofErr w:type="spellEnd"/>
      <w:r w:rsidRPr="00957C03">
        <w:rPr>
          <w:rFonts w:ascii="Book Antiqua" w:hAnsi="Book Antiqua" w:cs="Tahoma"/>
        </w:rPr>
        <w:t xml:space="preserve">. Another study, limited by low numbers from a single centre in the comparator group, compared </w:t>
      </w:r>
      <w:proofErr w:type="spellStart"/>
      <w:r w:rsidRPr="00957C03">
        <w:rPr>
          <w:rFonts w:ascii="Book Antiqua" w:hAnsi="Book Antiqua" w:cs="Tahoma"/>
        </w:rPr>
        <w:t>QoL</w:t>
      </w:r>
      <w:proofErr w:type="spellEnd"/>
      <w:r w:rsidRPr="00957C03">
        <w:rPr>
          <w:rFonts w:ascii="Book Antiqua" w:hAnsi="Book Antiqua" w:cs="Tahoma"/>
        </w:rPr>
        <w:t xml:space="preserve"> in those transplanted with those on stable HPN and found no difference between pre-</w:t>
      </w:r>
      <w:proofErr w:type="spellStart"/>
      <w:r w:rsidRPr="00957C03">
        <w:rPr>
          <w:rFonts w:ascii="Book Antiqua" w:hAnsi="Book Antiqua" w:cs="Tahoma"/>
        </w:rPr>
        <w:t>ITx</w:t>
      </w:r>
      <w:proofErr w:type="spellEnd"/>
      <w:r w:rsidRPr="00957C03">
        <w:rPr>
          <w:rFonts w:ascii="Book Antiqua" w:hAnsi="Book Antiqua" w:cs="Tahoma"/>
        </w:rPr>
        <w:t xml:space="preserve"> and stable HPN, but a significantly higher </w:t>
      </w:r>
      <w:proofErr w:type="spellStart"/>
      <w:r w:rsidRPr="00957C03">
        <w:rPr>
          <w:rFonts w:ascii="Book Antiqua" w:hAnsi="Book Antiqua" w:cs="Tahoma"/>
        </w:rPr>
        <w:t>QoL</w:t>
      </w:r>
      <w:proofErr w:type="spellEnd"/>
      <w:r w:rsidRPr="00957C03">
        <w:rPr>
          <w:rFonts w:ascii="Book Antiqua" w:hAnsi="Book Antiqua" w:cs="Tahoma"/>
        </w:rPr>
        <w:t xml:space="preserve"> score post-</w:t>
      </w:r>
      <w:proofErr w:type="spellStart"/>
      <w:proofErr w:type="gramStart"/>
      <w:r w:rsidRPr="00957C03">
        <w:rPr>
          <w:rFonts w:ascii="Book Antiqua" w:hAnsi="Book Antiqua" w:cs="Tahoma"/>
        </w:rPr>
        <w:t>ITx</w:t>
      </w:r>
      <w:proofErr w:type="spellEnd"/>
      <w:r w:rsidRPr="00957C03">
        <w:rPr>
          <w:rFonts w:ascii="Book Antiqua" w:hAnsi="Book Antiqua" w:cs="Tahoma"/>
          <w:noProof/>
          <w:vertAlign w:val="superscript"/>
        </w:rPr>
        <w:t>[</w:t>
      </w:r>
      <w:proofErr w:type="gramEnd"/>
      <w:r w:rsidRPr="00957C03">
        <w:rPr>
          <w:rFonts w:ascii="Book Antiqua" w:hAnsi="Book Antiqua" w:cs="Tahoma"/>
          <w:noProof/>
          <w:vertAlign w:val="superscript"/>
        </w:rPr>
        <w:t>78]</w:t>
      </w:r>
      <w:r w:rsidRPr="00957C03">
        <w:rPr>
          <w:rFonts w:ascii="Book Antiqua" w:hAnsi="Book Antiqua" w:cs="Tahoma"/>
        </w:rPr>
        <w:t>. Since all these studies were small (</w:t>
      </w:r>
      <w:r w:rsidRPr="00957C03">
        <w:rPr>
          <w:rFonts w:ascii="Book Antiqua" w:hAnsi="Book Antiqua" w:cs="Tahoma"/>
          <w:i/>
        </w:rPr>
        <w:t>n</w:t>
      </w:r>
      <w:r w:rsidRPr="00957C03">
        <w:rPr>
          <w:rFonts w:ascii="Book Antiqua" w:hAnsi="Book Antiqua" w:cs="Tahoma"/>
        </w:rPr>
        <w:t xml:space="preserve"> = 55, 22 and 59) and included patients who had undergone a variety of grafts for differing indications and at varying intervals, larger prospective assessments with disease specific tools are needed to confirm these findings, before </w:t>
      </w:r>
      <w:proofErr w:type="spellStart"/>
      <w:r w:rsidRPr="00957C03">
        <w:rPr>
          <w:rFonts w:ascii="Book Antiqua" w:hAnsi="Book Antiqua" w:cs="Tahoma"/>
        </w:rPr>
        <w:t>QoL</w:t>
      </w:r>
      <w:proofErr w:type="spellEnd"/>
      <w:r w:rsidRPr="00957C03">
        <w:rPr>
          <w:rFonts w:ascii="Book Antiqua" w:hAnsi="Book Antiqua" w:cs="Tahoma"/>
        </w:rPr>
        <w:t xml:space="preserve"> can be used to guide </w:t>
      </w:r>
      <w:proofErr w:type="spellStart"/>
      <w:r w:rsidRPr="00957C03">
        <w:rPr>
          <w:rFonts w:ascii="Book Antiqua" w:hAnsi="Book Antiqua" w:cs="Tahoma"/>
        </w:rPr>
        <w:t>ITx</w:t>
      </w:r>
      <w:proofErr w:type="spellEnd"/>
      <w:r w:rsidRPr="00957C03">
        <w:rPr>
          <w:rFonts w:ascii="Book Antiqua" w:hAnsi="Book Antiqua" w:cs="Tahoma"/>
        </w:rPr>
        <w:t xml:space="preserve"> decision-making. The optimal study would compare outcomes of those undergoing </w:t>
      </w:r>
      <w:proofErr w:type="spellStart"/>
      <w:r w:rsidRPr="00957C03">
        <w:rPr>
          <w:rFonts w:ascii="Book Antiqua" w:hAnsi="Book Antiqua" w:cs="Tahoma"/>
        </w:rPr>
        <w:t>ITx</w:t>
      </w:r>
      <w:proofErr w:type="spellEnd"/>
      <w:r w:rsidRPr="00957C03">
        <w:rPr>
          <w:rFonts w:ascii="Book Antiqua" w:hAnsi="Book Antiqua" w:cs="Tahoma"/>
        </w:rPr>
        <w:t xml:space="preserve"> for HPN failure compared to those with poor </w:t>
      </w:r>
      <w:proofErr w:type="spellStart"/>
      <w:r w:rsidRPr="00957C03">
        <w:rPr>
          <w:rFonts w:ascii="Book Antiqua" w:hAnsi="Book Antiqua" w:cs="Tahoma"/>
        </w:rPr>
        <w:t>QoL</w:t>
      </w:r>
      <w:proofErr w:type="spellEnd"/>
      <w:r w:rsidRPr="00957C03">
        <w:rPr>
          <w:rFonts w:ascii="Book Antiqua" w:hAnsi="Book Antiqua" w:cs="Tahoma"/>
        </w:rPr>
        <w:t xml:space="preserve"> at risk of HPN </w:t>
      </w:r>
      <w:proofErr w:type="gramStart"/>
      <w:r w:rsidRPr="00957C03">
        <w:rPr>
          <w:rFonts w:ascii="Book Antiqua" w:hAnsi="Book Antiqua" w:cs="Tahoma"/>
        </w:rPr>
        <w:t>failure</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78]</w:t>
      </w:r>
      <w:r w:rsidRPr="00957C03">
        <w:rPr>
          <w:rFonts w:ascii="Book Antiqua" w:hAnsi="Book Antiqua" w:cs="Tahoma"/>
        </w:rPr>
        <w:t xml:space="preserve">. No studies have examined </w:t>
      </w:r>
      <w:proofErr w:type="spellStart"/>
      <w:r w:rsidRPr="00957C03">
        <w:rPr>
          <w:rFonts w:ascii="Book Antiqua" w:hAnsi="Book Antiqua" w:cs="Tahoma"/>
        </w:rPr>
        <w:t>QoL</w:t>
      </w:r>
      <w:proofErr w:type="spellEnd"/>
      <w:r w:rsidRPr="00957C03">
        <w:rPr>
          <w:rFonts w:ascii="Book Antiqua" w:hAnsi="Book Antiqua" w:cs="Tahoma"/>
        </w:rPr>
        <w:t xml:space="preserve"> pre- and post-</w:t>
      </w:r>
      <w:proofErr w:type="spellStart"/>
      <w:r w:rsidRPr="00957C03">
        <w:rPr>
          <w:rFonts w:ascii="Book Antiqua" w:hAnsi="Book Antiqua" w:cs="Tahoma"/>
        </w:rPr>
        <w:t>ITx</w:t>
      </w:r>
      <w:proofErr w:type="spellEnd"/>
      <w:r w:rsidRPr="00957C03">
        <w:rPr>
          <w:rFonts w:ascii="Book Antiqua" w:hAnsi="Book Antiqua" w:cs="Tahoma"/>
        </w:rPr>
        <w:t xml:space="preserve"> in patients with IBD.</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ECONOMIC CONSIDERATIONS</w:t>
      </w:r>
    </w:p>
    <w:p w:rsidR="0043020A" w:rsidRPr="00957C03" w:rsidRDefault="0043020A" w:rsidP="009A7B7E">
      <w:pPr>
        <w:snapToGrid w:val="0"/>
        <w:spacing w:line="360" w:lineRule="auto"/>
        <w:jc w:val="both"/>
        <w:rPr>
          <w:rFonts w:ascii="Book Antiqua" w:hAnsi="Book Antiqua" w:cs="Tahoma"/>
        </w:rPr>
      </w:pPr>
      <w:r w:rsidRPr="00957C03">
        <w:rPr>
          <w:rFonts w:ascii="Book Antiqua" w:hAnsi="Book Antiqua" w:cs="Tahoma"/>
        </w:rPr>
        <w:t xml:space="preserve">Both HPN and </w:t>
      </w:r>
      <w:proofErr w:type="spellStart"/>
      <w:r w:rsidRPr="00957C03">
        <w:rPr>
          <w:rFonts w:ascii="Book Antiqua" w:hAnsi="Book Antiqua" w:cs="Tahoma"/>
        </w:rPr>
        <w:t>ITx</w:t>
      </w:r>
      <w:proofErr w:type="spellEnd"/>
      <w:r w:rsidRPr="00957C03">
        <w:rPr>
          <w:rFonts w:ascii="Book Antiqua" w:hAnsi="Book Antiqua" w:cs="Tahoma"/>
        </w:rPr>
        <w:t xml:space="preserve"> impose financial burdens on the healthcare system and the patient. HPN cost estimates differ between countries and health services. In North America, HPN is estimated to cost $64000/</w:t>
      </w:r>
      <w:proofErr w:type="gramStart"/>
      <w:r w:rsidRPr="00957C03">
        <w:rPr>
          <w:rFonts w:ascii="Book Antiqua" w:hAnsi="Book Antiqua" w:cs="Tahoma"/>
        </w:rPr>
        <w:t>year</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86]</w:t>
      </w:r>
      <w:r w:rsidRPr="00957C03">
        <w:rPr>
          <w:rFonts w:ascii="Book Antiqua" w:hAnsi="Book Antiqua" w:cs="Tahoma"/>
        </w:rPr>
        <w:t>. In the United Kingdom, HPN costs £30-40000/year, for 5 d/</w:t>
      </w:r>
      <w:proofErr w:type="spellStart"/>
      <w:r w:rsidRPr="00957C03">
        <w:rPr>
          <w:rFonts w:ascii="Book Antiqua" w:hAnsi="Book Antiqua" w:cs="Tahoma"/>
        </w:rPr>
        <w:t>wk</w:t>
      </w:r>
      <w:proofErr w:type="spellEnd"/>
      <w:r w:rsidRPr="00957C03">
        <w:rPr>
          <w:rFonts w:ascii="Book Antiqua" w:hAnsi="Book Antiqua" w:cs="Tahoma"/>
        </w:rPr>
        <w:t xml:space="preserve"> if self-caring, or £55-65000/year if requiring nursing </w:t>
      </w:r>
      <w:proofErr w:type="gramStart"/>
      <w:r w:rsidRPr="00957C03">
        <w:rPr>
          <w:rFonts w:ascii="Book Antiqua" w:hAnsi="Book Antiqua" w:cs="Tahoma"/>
        </w:rPr>
        <w:t>support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87]</w:t>
      </w:r>
      <w:r w:rsidRPr="00957C03">
        <w:rPr>
          <w:rFonts w:ascii="Book Antiqua" w:hAnsi="Book Antiqua" w:cs="Tahoma"/>
        </w:rPr>
        <w:t xml:space="preserve">. </w:t>
      </w:r>
      <w:proofErr w:type="spellStart"/>
      <w:r w:rsidRPr="00957C03">
        <w:rPr>
          <w:rFonts w:ascii="Book Antiqua" w:hAnsi="Book Antiqua" w:cs="Tahoma"/>
        </w:rPr>
        <w:t>ITx</w:t>
      </w:r>
      <w:proofErr w:type="spellEnd"/>
      <w:r w:rsidRPr="00957C03">
        <w:rPr>
          <w:rFonts w:ascii="Book Antiqua" w:hAnsi="Book Antiqua" w:cs="Tahoma"/>
        </w:rPr>
        <w:t xml:space="preserve"> in the United Kingdom is estimated to cost £80000 in the first year, followed by £5000 annually. Thus, assuming no complications arise, </w:t>
      </w:r>
      <w:proofErr w:type="spellStart"/>
      <w:r w:rsidRPr="00957C03">
        <w:rPr>
          <w:rFonts w:ascii="Book Antiqua" w:hAnsi="Book Antiqua" w:cs="Tahoma"/>
        </w:rPr>
        <w:t>ITx</w:t>
      </w:r>
      <w:proofErr w:type="spellEnd"/>
      <w:r w:rsidRPr="00957C03">
        <w:rPr>
          <w:rFonts w:ascii="Book Antiqua" w:hAnsi="Book Antiqua" w:cs="Tahoma"/>
        </w:rPr>
        <w:t xml:space="preserve"> should be cost-effective after 2 </w:t>
      </w:r>
      <w:proofErr w:type="gramStart"/>
      <w:r w:rsidRPr="00957C03">
        <w:rPr>
          <w:rFonts w:ascii="Book Antiqua" w:hAnsi="Book Antiqua" w:cs="Tahoma"/>
        </w:rPr>
        <w:t>years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88]</w:t>
      </w:r>
      <w:r w:rsidRPr="00957C03">
        <w:rPr>
          <w:rFonts w:ascii="Book Antiqua" w:hAnsi="Book Antiqua" w:cs="Tahoma"/>
        </w:rPr>
        <w:t xml:space="preserve">. Another European group drew similar conclusions when they reported an initial HPN fee of €9006, followed by €63000 annually, compared to €73000 initially for </w:t>
      </w:r>
      <w:proofErr w:type="spellStart"/>
      <w:r w:rsidRPr="00957C03">
        <w:rPr>
          <w:rFonts w:ascii="Book Antiqua" w:hAnsi="Book Antiqua" w:cs="Tahoma"/>
        </w:rPr>
        <w:t>ITx</w:t>
      </w:r>
      <w:proofErr w:type="spellEnd"/>
      <w:r w:rsidRPr="00957C03">
        <w:rPr>
          <w:rFonts w:ascii="Book Antiqua" w:hAnsi="Book Antiqua" w:cs="Tahoma"/>
        </w:rPr>
        <w:t xml:space="preserve"> followed by €13000 </w:t>
      </w:r>
      <w:proofErr w:type="gramStart"/>
      <w:r w:rsidRPr="00957C03">
        <w:rPr>
          <w:rFonts w:ascii="Book Antiqua" w:hAnsi="Book Antiqua" w:cs="Tahoma"/>
        </w:rPr>
        <w:t>annually</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89]</w:t>
      </w:r>
      <w:r w:rsidRPr="00957C03">
        <w:rPr>
          <w:rFonts w:ascii="Book Antiqua" w:hAnsi="Book Antiqua" w:cs="Tahoma"/>
        </w:rPr>
        <w:t xml:space="preserve">.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HPN and </w:t>
      </w:r>
      <w:proofErr w:type="spellStart"/>
      <w:r w:rsidRPr="00957C03">
        <w:rPr>
          <w:rFonts w:ascii="Book Antiqua" w:hAnsi="Book Antiqua" w:cs="Tahoma"/>
        </w:rPr>
        <w:t>ITx</w:t>
      </w:r>
      <w:proofErr w:type="spellEnd"/>
      <w:r w:rsidRPr="00957C03">
        <w:rPr>
          <w:rFonts w:ascii="Book Antiqua" w:hAnsi="Book Antiqua" w:cs="Tahoma"/>
        </w:rPr>
        <w:t xml:space="preserve"> both affect an individual’s economic situation. In some countries, patients are liable for a proportion of their healthcare cost, which places pressure on the patient to be in gainful employment. Assessment of employment status has been </w:t>
      </w:r>
      <w:r w:rsidRPr="00957C03">
        <w:rPr>
          <w:rFonts w:ascii="Book Antiqua" w:hAnsi="Book Antiqua" w:cs="Tahoma"/>
        </w:rPr>
        <w:lastRenderedPageBreak/>
        <w:t xml:space="preserve">studied, but heterogeneity of the studies has produced variable data. For example, a recent review of </w:t>
      </w:r>
      <w:proofErr w:type="spellStart"/>
      <w:r w:rsidRPr="00957C03">
        <w:rPr>
          <w:rFonts w:ascii="Book Antiqua" w:hAnsi="Book Antiqua" w:cs="Tahoma"/>
        </w:rPr>
        <w:t>QoL</w:t>
      </w:r>
      <w:proofErr w:type="spellEnd"/>
      <w:r w:rsidRPr="00957C03">
        <w:rPr>
          <w:rFonts w:ascii="Book Antiqua" w:hAnsi="Book Antiqua" w:cs="Tahoma"/>
        </w:rPr>
        <w:t xml:space="preserve"> found that the employment rate after commencing HPN was 0%-52</w:t>
      </w:r>
      <w:proofErr w:type="gramStart"/>
      <w:r w:rsidRPr="00957C03">
        <w:rPr>
          <w:rFonts w:ascii="Book Antiqua" w:hAnsi="Book Antiqua" w:cs="Tahoma"/>
        </w:rPr>
        <w: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90]</w:t>
      </w:r>
      <w:r w:rsidRPr="00957C03">
        <w:rPr>
          <w:rFonts w:ascii="Book Antiqua" w:hAnsi="Book Antiqua" w:cs="Tahoma"/>
        </w:rPr>
        <w:t xml:space="preserve">. In contrast, in the last 500 transplants from Pittsburgh, 31% of their 151 adult patients were in employment or </w:t>
      </w:r>
      <w:proofErr w:type="gramStart"/>
      <w:r w:rsidRPr="00957C03">
        <w:rPr>
          <w:rFonts w:ascii="Book Antiqua" w:hAnsi="Book Antiqua" w:cs="Tahoma"/>
        </w:rPr>
        <w:t>education</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39]</w:t>
      </w:r>
      <w:r w:rsidRPr="00957C03">
        <w:rPr>
          <w:rFonts w:ascii="Book Antiqua" w:hAnsi="Book Antiqua" w:cs="Tahoma"/>
        </w:rPr>
        <w:t xml:space="preserve">. At a subsequent paper assessing long-term outcomes, of their surviving adult patients, 41 (35%) were in </w:t>
      </w:r>
      <w:proofErr w:type="gramStart"/>
      <w:r w:rsidRPr="00957C03">
        <w:rPr>
          <w:rFonts w:ascii="Book Antiqua" w:hAnsi="Book Antiqua" w:cs="Tahoma"/>
        </w:rPr>
        <w:t>employment</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74]</w:t>
      </w:r>
      <w:r w:rsidRPr="00957C03">
        <w:rPr>
          <w:rFonts w:ascii="Book Antiqua" w:hAnsi="Book Antiqua" w:cs="Tahoma"/>
        </w:rPr>
        <w:t xml:space="preserve">. The only comparative study between HPN and </w:t>
      </w:r>
      <w:proofErr w:type="spellStart"/>
      <w:r w:rsidRPr="00957C03">
        <w:rPr>
          <w:rFonts w:ascii="Book Antiqua" w:hAnsi="Book Antiqua" w:cs="Tahoma"/>
        </w:rPr>
        <w:t>ITx</w:t>
      </w:r>
      <w:proofErr w:type="spellEnd"/>
      <w:r w:rsidRPr="00957C03">
        <w:rPr>
          <w:rFonts w:ascii="Book Antiqua" w:hAnsi="Book Antiqua" w:cs="Tahoma"/>
        </w:rPr>
        <w:t xml:space="preserve"> was a cross-sectional study, where demographic data in a </w:t>
      </w:r>
      <w:proofErr w:type="spellStart"/>
      <w:r w:rsidRPr="00957C03">
        <w:rPr>
          <w:rFonts w:ascii="Book Antiqua" w:hAnsi="Book Antiqua" w:cs="Tahoma"/>
        </w:rPr>
        <w:t>QoL</w:t>
      </w:r>
      <w:proofErr w:type="spellEnd"/>
      <w:r w:rsidRPr="00957C03">
        <w:rPr>
          <w:rFonts w:ascii="Book Antiqua" w:hAnsi="Book Antiqua" w:cs="Tahoma"/>
        </w:rPr>
        <w:t xml:space="preserve"> study reported 56% (6% unemployed) of </w:t>
      </w:r>
      <w:proofErr w:type="spellStart"/>
      <w:r w:rsidRPr="00957C03">
        <w:rPr>
          <w:rFonts w:ascii="Book Antiqua" w:hAnsi="Book Antiqua" w:cs="Tahoma"/>
        </w:rPr>
        <w:t>ITx</w:t>
      </w:r>
      <w:proofErr w:type="spellEnd"/>
      <w:r w:rsidRPr="00957C03">
        <w:rPr>
          <w:rFonts w:ascii="Book Antiqua" w:hAnsi="Book Antiqua" w:cs="Tahoma"/>
        </w:rPr>
        <w:t xml:space="preserve"> recipients in part or full-time employment, compared to 30% (52% unemployed) of patients on HPN (</w:t>
      </w:r>
      <w:r w:rsidRPr="00957C03">
        <w:rPr>
          <w:rFonts w:ascii="Book Antiqua" w:hAnsi="Book Antiqua" w:cs="Tahoma"/>
          <w:i/>
        </w:rPr>
        <w:t>P</w:t>
      </w:r>
      <w:r w:rsidRPr="00957C03">
        <w:rPr>
          <w:rFonts w:ascii="Book Antiqua" w:hAnsi="Book Antiqua" w:cs="Tahoma"/>
        </w:rPr>
        <w:t xml:space="preserve"> = 0.013)</w:t>
      </w:r>
      <w:r w:rsidRPr="00957C03">
        <w:rPr>
          <w:rFonts w:ascii="Book Antiqua" w:hAnsi="Book Antiqua" w:cs="Tahoma"/>
          <w:noProof/>
          <w:vertAlign w:val="superscript"/>
        </w:rPr>
        <w:t>[84]</w:t>
      </w:r>
      <w:r w:rsidRPr="00957C03">
        <w:rPr>
          <w:rFonts w:ascii="Book Antiqua" w:hAnsi="Book Antiqua" w:cs="Tahoma"/>
        </w:rPr>
        <w:t xml:space="preserve">. </w:t>
      </w:r>
    </w:p>
    <w:p w:rsidR="0043020A" w:rsidRPr="00957C03" w:rsidRDefault="0043020A" w:rsidP="009A7B7E">
      <w:pPr>
        <w:snapToGrid w:val="0"/>
        <w:spacing w:line="360" w:lineRule="auto"/>
        <w:jc w:val="both"/>
        <w:rPr>
          <w:rFonts w:ascii="Book Antiqua" w:hAnsi="Book Antiqua" w:cs="Tahoma"/>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INDICATIONS FOR INTESTINAL TRANSPLANTATION</w:t>
      </w:r>
    </w:p>
    <w:p w:rsidR="0043020A" w:rsidRPr="00957C03" w:rsidRDefault="0043020A" w:rsidP="00EC78FD">
      <w:pPr>
        <w:snapToGrid w:val="0"/>
        <w:spacing w:line="360" w:lineRule="auto"/>
        <w:jc w:val="both"/>
        <w:rPr>
          <w:rFonts w:ascii="Book Antiqua" w:hAnsi="Book Antiqua" w:cs="Tahoma"/>
        </w:rPr>
      </w:pPr>
      <w:r w:rsidRPr="00957C03">
        <w:rPr>
          <w:rFonts w:ascii="Book Antiqua" w:hAnsi="Book Antiqua" w:cs="Tahoma"/>
        </w:rPr>
        <w:t xml:space="preserve">Decisions regarding the role of </w:t>
      </w:r>
      <w:proofErr w:type="spellStart"/>
      <w:r w:rsidRPr="00957C03">
        <w:rPr>
          <w:rFonts w:ascii="Book Antiqua" w:hAnsi="Book Antiqua" w:cs="Tahoma"/>
        </w:rPr>
        <w:t>ITx</w:t>
      </w:r>
      <w:proofErr w:type="spellEnd"/>
      <w:r w:rsidRPr="00957C03">
        <w:rPr>
          <w:rFonts w:ascii="Book Antiqua" w:hAnsi="Book Antiqua" w:cs="Tahoma"/>
        </w:rPr>
        <w:t xml:space="preserve"> </w:t>
      </w:r>
      <w:r w:rsidRPr="00957C03">
        <w:rPr>
          <w:rFonts w:ascii="Book Antiqua" w:hAnsi="Book Antiqua" w:cs="Tahoma"/>
          <w:i/>
        </w:rPr>
        <w:t>vs</w:t>
      </w:r>
      <w:r w:rsidRPr="00957C03">
        <w:rPr>
          <w:rFonts w:ascii="Book Antiqua" w:hAnsi="Book Antiqua" w:cs="Tahoma"/>
        </w:rPr>
        <w:t xml:space="preserve"> HPN in type 3 IF necessarily consider many factors. Guidelines produced by the American Society of Transplantation (AST) (Table 1) are based on the premise that HPN still offers patients the best chance of long-ter</w:t>
      </w:r>
      <w:r w:rsidRPr="00957C03">
        <w:rPr>
          <w:rFonts w:ascii="Book Antiqua" w:hAnsi="Book Antiqua" w:cs="Tahoma"/>
          <w:color w:val="000000"/>
        </w:rPr>
        <w:t xml:space="preserve">m survival. Current guidelines therefore state that </w:t>
      </w:r>
      <w:proofErr w:type="spellStart"/>
      <w:r w:rsidRPr="00957C03">
        <w:rPr>
          <w:rFonts w:ascii="Book Antiqua" w:hAnsi="Book Antiqua" w:cs="Tahoma"/>
          <w:color w:val="000000"/>
        </w:rPr>
        <w:t>ITx</w:t>
      </w:r>
      <w:proofErr w:type="spellEnd"/>
      <w:r w:rsidRPr="00957C03">
        <w:rPr>
          <w:rFonts w:ascii="Book Antiqua" w:hAnsi="Book Antiqua" w:cs="Tahoma"/>
          <w:color w:val="000000"/>
        </w:rPr>
        <w:t xml:space="preserve"> should only be considered for patients with complications associated with </w:t>
      </w:r>
      <w:proofErr w:type="gramStart"/>
      <w:r w:rsidRPr="00957C03">
        <w:rPr>
          <w:rFonts w:ascii="Book Antiqua" w:hAnsi="Book Antiqua" w:cs="Tahoma"/>
          <w:color w:val="000000"/>
        </w:rPr>
        <w:t>HPN</w:t>
      </w:r>
      <w:r w:rsidRPr="00957C03">
        <w:rPr>
          <w:rFonts w:ascii="Book Antiqua" w:hAnsi="Book Antiqua" w:cs="Tahoma"/>
          <w:noProof/>
          <w:color w:val="000000"/>
          <w:vertAlign w:val="superscript"/>
        </w:rPr>
        <w:t>[</w:t>
      </w:r>
      <w:proofErr w:type="gramEnd"/>
      <w:r w:rsidRPr="00957C03">
        <w:rPr>
          <w:rFonts w:ascii="Book Antiqua" w:hAnsi="Book Antiqua" w:cs="Tahoma"/>
          <w:noProof/>
          <w:color w:val="000000"/>
          <w:vertAlign w:val="superscript"/>
        </w:rPr>
        <w:t>57]</w:t>
      </w:r>
      <w:r w:rsidRPr="00957C03">
        <w:rPr>
          <w:rFonts w:ascii="Book Antiqua" w:hAnsi="Book Antiqua" w:cs="Tahoma"/>
          <w:color w:val="000000"/>
        </w:rPr>
        <w:t xml:space="preserve">. These vary, ranging from life-threatening IFALD, recurrent CRBSI or limited venous access from CVT. Notwithstanding limited evidence of benefit, </w:t>
      </w:r>
      <w:proofErr w:type="spellStart"/>
      <w:r w:rsidRPr="00957C03">
        <w:rPr>
          <w:rFonts w:ascii="Book Antiqua" w:hAnsi="Book Antiqua" w:cs="Tahoma"/>
          <w:color w:val="000000"/>
        </w:rPr>
        <w:t>QoL</w:t>
      </w:r>
      <w:proofErr w:type="spellEnd"/>
      <w:r w:rsidRPr="00957C03">
        <w:rPr>
          <w:rFonts w:ascii="Book Antiqua" w:hAnsi="Book Antiqua" w:cs="Tahoma"/>
          <w:color w:val="000000"/>
        </w:rPr>
        <w:t xml:space="preserve"> can be included in the decision-making process. Thus, of these indications, HPN failure is the commonest (62%), followed by risk of death from underlying disease (26%) and high morbidity IF or low acceptance of HPN (12%)</w:t>
      </w:r>
      <w:r w:rsidRPr="00957C03">
        <w:rPr>
          <w:rFonts w:ascii="Book Antiqua" w:hAnsi="Book Antiqua" w:cs="Tahoma"/>
          <w:noProof/>
          <w:color w:val="000000"/>
          <w:vertAlign w:val="superscript"/>
        </w:rPr>
        <w:t>[91]</w:t>
      </w:r>
      <w:r w:rsidRPr="00957C03">
        <w:rPr>
          <w:rFonts w:ascii="Book Antiqua" w:hAnsi="Book Antiqua" w:cs="Tahoma"/>
          <w:color w:val="000000"/>
        </w:rPr>
        <w:t>. More re</w:t>
      </w:r>
      <w:r w:rsidRPr="00957C03">
        <w:rPr>
          <w:rFonts w:ascii="Book Antiqua" w:hAnsi="Book Antiqua" w:cs="Tahoma"/>
        </w:rPr>
        <w:t xml:space="preserve">cent European guidelines suggest that indications for </w:t>
      </w:r>
      <w:proofErr w:type="spellStart"/>
      <w:r w:rsidRPr="00957C03">
        <w:rPr>
          <w:rFonts w:ascii="Book Antiqua" w:hAnsi="Book Antiqua" w:cs="Tahoma"/>
        </w:rPr>
        <w:t>ITx</w:t>
      </w:r>
      <w:proofErr w:type="spellEnd"/>
      <w:r w:rsidRPr="00957C03">
        <w:rPr>
          <w:rFonts w:ascii="Book Antiqua" w:hAnsi="Book Antiqua" w:cs="Tahoma"/>
        </w:rPr>
        <w:t xml:space="preserve"> should be restricted to complications associated with a higher mortality and do not support </w:t>
      </w:r>
      <w:proofErr w:type="spellStart"/>
      <w:r w:rsidRPr="00957C03">
        <w:rPr>
          <w:rFonts w:ascii="Book Antiqua" w:hAnsi="Book Antiqua" w:cs="Tahoma"/>
        </w:rPr>
        <w:t>ITx</w:t>
      </w:r>
      <w:proofErr w:type="spellEnd"/>
      <w:r w:rsidRPr="00957C03">
        <w:rPr>
          <w:rFonts w:ascii="Book Antiqua" w:hAnsi="Book Antiqua" w:cs="Tahoma"/>
        </w:rPr>
        <w:t xml:space="preserve"> for indications such as chronic dehydration or poor </w:t>
      </w:r>
      <w:proofErr w:type="spellStart"/>
      <w:proofErr w:type="gramStart"/>
      <w:r w:rsidRPr="00957C03">
        <w:rPr>
          <w:rFonts w:ascii="Book Antiqua" w:hAnsi="Book Antiqua" w:cs="Tahoma"/>
        </w:rPr>
        <w:t>QoL</w:t>
      </w:r>
      <w:proofErr w:type="spellEnd"/>
      <w:r w:rsidRPr="00957C03">
        <w:rPr>
          <w:rFonts w:ascii="Book Antiqua" w:hAnsi="Book Antiqua" w:cs="Tahoma"/>
          <w:noProof/>
          <w:vertAlign w:val="superscript"/>
        </w:rPr>
        <w:t>[</w:t>
      </w:r>
      <w:proofErr w:type="gramEnd"/>
      <w:r w:rsidRPr="00957C03">
        <w:rPr>
          <w:rFonts w:ascii="Book Antiqua" w:hAnsi="Book Antiqua" w:cs="Tahoma"/>
          <w:noProof/>
          <w:vertAlign w:val="superscript"/>
        </w:rPr>
        <w:t>92]</w:t>
      </w:r>
      <w:r w:rsidRPr="00957C03">
        <w:rPr>
          <w:rFonts w:ascii="Book Antiqua" w:hAnsi="Book Antiqua" w:cs="Tahoma"/>
        </w:rPr>
        <w:t xml:space="preserve">. Further to evaluate the indications, </w:t>
      </w:r>
      <w:proofErr w:type="spellStart"/>
      <w:r w:rsidRPr="00957C03">
        <w:rPr>
          <w:rFonts w:ascii="Book Antiqua" w:hAnsi="Book Antiqua" w:cs="Tahoma"/>
        </w:rPr>
        <w:t>Pironi</w:t>
      </w:r>
      <w:proofErr w:type="spellEnd"/>
      <w:r w:rsidRPr="00957C03">
        <w:rPr>
          <w:rFonts w:ascii="Book Antiqua" w:hAnsi="Book Antiqua" w:cs="Tahoma"/>
        </w:rPr>
        <w:t xml:space="preserve"> and colleagues recently carried out a multi-centre, 5 year prospective follow-up of 545 European patients with type 3 IF, stable on HPN; patients were divided into two groups based on their candidacy for </w:t>
      </w:r>
      <w:proofErr w:type="spellStart"/>
      <w:r w:rsidRPr="00957C03">
        <w:rPr>
          <w:rFonts w:ascii="Book Antiqua" w:hAnsi="Book Antiqua" w:cs="Tahoma"/>
        </w:rPr>
        <w:t>ITx</w:t>
      </w:r>
      <w:proofErr w:type="spellEnd"/>
      <w:r w:rsidRPr="00957C03">
        <w:rPr>
          <w:rFonts w:ascii="Book Antiqua" w:hAnsi="Book Antiqua" w:cs="Tahoma"/>
        </w:rPr>
        <w:t xml:space="preserve"> according to AST criteria (Table 1). Within these groups, only those with desmoids or IFALD were associated with an increased risk of death on HPN, leading the authors to suggest that early referral for </w:t>
      </w:r>
      <w:proofErr w:type="spellStart"/>
      <w:r w:rsidRPr="00957C03">
        <w:rPr>
          <w:rFonts w:ascii="Book Antiqua" w:hAnsi="Book Antiqua" w:cs="Tahoma"/>
        </w:rPr>
        <w:t>ITx</w:t>
      </w:r>
      <w:proofErr w:type="spellEnd"/>
      <w:r w:rsidRPr="00957C03">
        <w:rPr>
          <w:rFonts w:ascii="Book Antiqua" w:hAnsi="Book Antiqua" w:cs="Tahoma"/>
        </w:rPr>
        <w:t xml:space="preserve"> should be mandatory for patients with these conditions. By contrast, patients with </w:t>
      </w:r>
      <w:r w:rsidRPr="00EC78FD">
        <w:rPr>
          <w:rFonts w:ascii="Book Antiqua" w:hAnsi="Book Antiqua" w:cs="Tahoma"/>
        </w:rPr>
        <w:t xml:space="preserve">central venous catheter </w:t>
      </w:r>
      <w:r>
        <w:rPr>
          <w:rFonts w:ascii="Book Antiqua" w:hAnsi="Book Antiqua" w:cs="Tahoma"/>
          <w:lang w:eastAsia="zh-CN"/>
        </w:rPr>
        <w:t xml:space="preserve">(CVC) </w:t>
      </w:r>
      <w:r w:rsidRPr="00957C03">
        <w:rPr>
          <w:rFonts w:ascii="Book Antiqua" w:hAnsi="Book Antiqua" w:cs="Tahoma"/>
        </w:rPr>
        <w:t xml:space="preserve">complications or ultra-short bowel did not have an increased risk of death on HPN. </w:t>
      </w:r>
      <w:r w:rsidRPr="00957C03">
        <w:rPr>
          <w:rFonts w:ascii="Book Antiqua" w:hAnsi="Book Antiqua" w:cs="Tahoma"/>
        </w:rPr>
        <w:lastRenderedPageBreak/>
        <w:t xml:space="preserve">Since there was no difference in survival in these groups whether they were transplanted or not, the authors concluded that CVC complications and ultra-short bowel be considered indications for </w:t>
      </w:r>
      <w:proofErr w:type="spellStart"/>
      <w:r w:rsidRPr="00957C03">
        <w:rPr>
          <w:rFonts w:ascii="Book Antiqua" w:hAnsi="Book Antiqua" w:cs="Tahoma"/>
        </w:rPr>
        <w:t>ITx</w:t>
      </w:r>
      <w:proofErr w:type="spellEnd"/>
      <w:r w:rsidRPr="00957C03">
        <w:rPr>
          <w:rFonts w:ascii="Book Antiqua" w:hAnsi="Book Antiqua" w:cs="Tahoma"/>
        </w:rPr>
        <w:t xml:space="preserve"> on a case-by-case basis. Notably, no patient who was considered to be an </w:t>
      </w:r>
      <w:proofErr w:type="spellStart"/>
      <w:r w:rsidRPr="00957C03">
        <w:rPr>
          <w:rFonts w:ascii="Book Antiqua" w:hAnsi="Book Antiqua" w:cs="Tahoma"/>
        </w:rPr>
        <w:t>ITx</w:t>
      </w:r>
      <w:proofErr w:type="spellEnd"/>
      <w:r w:rsidRPr="00957C03">
        <w:rPr>
          <w:rFonts w:ascii="Book Antiqua" w:hAnsi="Book Antiqua" w:cs="Tahoma"/>
        </w:rPr>
        <w:t xml:space="preserve"> candidate as a result of poor </w:t>
      </w:r>
      <w:proofErr w:type="spellStart"/>
      <w:r w:rsidRPr="00957C03">
        <w:rPr>
          <w:rFonts w:ascii="Book Antiqua" w:hAnsi="Book Antiqua" w:cs="Tahoma"/>
        </w:rPr>
        <w:t>QoL</w:t>
      </w:r>
      <w:proofErr w:type="spellEnd"/>
      <w:r w:rsidRPr="00957C03">
        <w:rPr>
          <w:rFonts w:ascii="Book Antiqua" w:hAnsi="Book Antiqua" w:cs="Tahoma"/>
        </w:rPr>
        <w:t xml:space="preserve"> or chronic dehydration actually died whilst remaining on HPN. The authors therefore concluded that these complications should not be considered an indication for </w:t>
      </w:r>
      <w:proofErr w:type="spellStart"/>
      <w:r w:rsidRPr="00957C03">
        <w:rPr>
          <w:rFonts w:ascii="Book Antiqua" w:hAnsi="Book Antiqua" w:cs="Tahoma"/>
        </w:rPr>
        <w:t>ITx</w:t>
      </w:r>
      <w:proofErr w:type="spellEnd"/>
      <w:r w:rsidRPr="00957C03">
        <w:rPr>
          <w:rFonts w:ascii="Book Antiqua" w:hAnsi="Book Antiqua" w:cs="Tahoma"/>
        </w:rPr>
        <w:t>. Relatively few patients of the entire cohort underwent a transplant (</w:t>
      </w:r>
      <w:r w:rsidRPr="00957C03">
        <w:rPr>
          <w:rFonts w:ascii="Book Antiqua" w:hAnsi="Book Antiqua" w:cs="Tahoma"/>
          <w:i/>
        </w:rPr>
        <w:t>n</w:t>
      </w:r>
      <w:r w:rsidRPr="00957C03">
        <w:rPr>
          <w:rFonts w:ascii="Book Antiqua" w:hAnsi="Book Antiqua" w:cs="Tahoma"/>
        </w:rPr>
        <w:t xml:space="preserve"> = 22), with a 5-year mortality rate of 54%. All deaths in transplanted patients were related to the transplant itself or to complications resulting from immunosuppression. </w:t>
      </w:r>
    </w:p>
    <w:p w:rsidR="0043020A" w:rsidRPr="00957C03" w:rsidRDefault="0043020A" w:rsidP="009A7B7E">
      <w:pPr>
        <w:snapToGrid w:val="0"/>
        <w:spacing w:line="360" w:lineRule="auto"/>
        <w:ind w:firstLineChars="100" w:firstLine="240"/>
        <w:jc w:val="both"/>
        <w:rPr>
          <w:rFonts w:ascii="Book Antiqua" w:hAnsi="Book Antiqua" w:cs="Tahoma"/>
        </w:rPr>
      </w:pPr>
      <w:r w:rsidRPr="00957C03">
        <w:rPr>
          <w:rFonts w:ascii="Book Antiqua" w:hAnsi="Book Antiqua" w:cs="Tahoma"/>
        </w:rPr>
        <w:t xml:space="preserve">After this paper the European Society of Parenteral and Enteral Nutrition suggested that – at least in Europe – indications for </w:t>
      </w:r>
      <w:proofErr w:type="spellStart"/>
      <w:r w:rsidRPr="00957C03">
        <w:rPr>
          <w:rFonts w:ascii="Book Antiqua" w:hAnsi="Book Antiqua" w:cs="Tahoma"/>
        </w:rPr>
        <w:t>ITx</w:t>
      </w:r>
      <w:proofErr w:type="spellEnd"/>
      <w:r w:rsidRPr="00957C03">
        <w:rPr>
          <w:rFonts w:ascii="Book Antiqua" w:hAnsi="Book Antiqua" w:cs="Tahoma"/>
        </w:rPr>
        <w:t xml:space="preserve"> should be restricted (summarised in Table 1). This conclusion has been questioned by North American colleagues among others, who highlighted that the relatively poor survival rate of transplanted European patients, compared to 75% 5-year survival in a larger (</w:t>
      </w:r>
      <w:r w:rsidRPr="00957C03">
        <w:rPr>
          <w:rFonts w:ascii="Book Antiqua" w:hAnsi="Book Antiqua" w:cs="Tahoma"/>
          <w:i/>
        </w:rPr>
        <w:t>n</w:t>
      </w:r>
      <w:r w:rsidRPr="00957C03">
        <w:rPr>
          <w:rFonts w:ascii="Book Antiqua" w:hAnsi="Book Antiqua" w:cs="Tahoma"/>
        </w:rPr>
        <w:t xml:space="preserve"> = 182) North American series over the same period</w:t>
      </w:r>
      <w:r w:rsidRPr="00957C03">
        <w:rPr>
          <w:rFonts w:ascii="Book Antiqua" w:hAnsi="Book Antiqua" w:cs="Tahoma"/>
          <w:noProof/>
          <w:vertAlign w:val="superscript"/>
        </w:rPr>
        <w:t>[93]</w:t>
      </w:r>
      <w:r w:rsidRPr="00957C03">
        <w:rPr>
          <w:rFonts w:ascii="Book Antiqua" w:hAnsi="Book Antiqua" w:cs="Tahoma"/>
        </w:rPr>
        <w:t xml:space="preserve">. Indeed, it has been suggested that the poor European survival may relate to inadequate experience, since data from the International Intestinal Transplant registry demonstrate improved graft survival in centres performing more </w:t>
      </w:r>
      <w:proofErr w:type="gramStart"/>
      <w:r w:rsidRPr="00957C03">
        <w:rPr>
          <w:rFonts w:ascii="Book Antiqua" w:hAnsi="Book Antiqua" w:cs="Tahoma"/>
        </w:rPr>
        <w:t>cases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19,93]</w:t>
      </w:r>
      <w:r w:rsidRPr="00957C03">
        <w:rPr>
          <w:rFonts w:ascii="Book Antiqua" w:hAnsi="Book Antiqua" w:cs="Tahoma"/>
        </w:rPr>
        <w:t xml:space="preserve">. This trans-Atlantic debate remains unresolved, with </w:t>
      </w:r>
      <w:proofErr w:type="spellStart"/>
      <w:r w:rsidRPr="00957C03">
        <w:rPr>
          <w:rFonts w:ascii="Book Antiqua" w:hAnsi="Book Antiqua" w:cs="Tahoma"/>
        </w:rPr>
        <w:t>Pironi</w:t>
      </w:r>
      <w:proofErr w:type="spellEnd"/>
      <w:r w:rsidRPr="00957C03">
        <w:rPr>
          <w:rFonts w:ascii="Book Antiqua" w:hAnsi="Book Antiqua" w:cs="Tahoma"/>
        </w:rPr>
        <w:t xml:space="preserve"> and colleagues pointing out that some European </w:t>
      </w:r>
      <w:proofErr w:type="spellStart"/>
      <w:r w:rsidRPr="00957C03">
        <w:rPr>
          <w:rFonts w:ascii="Book Antiqua" w:hAnsi="Book Antiqua" w:cs="Tahoma"/>
        </w:rPr>
        <w:t>ITx</w:t>
      </w:r>
      <w:proofErr w:type="spellEnd"/>
      <w:r w:rsidRPr="00957C03">
        <w:rPr>
          <w:rFonts w:ascii="Book Antiqua" w:hAnsi="Book Antiqua" w:cs="Tahoma"/>
        </w:rPr>
        <w:t xml:space="preserve"> candidates (catheter complications and ultra-short bowel) had comparable survival figures on HPN and post-</w:t>
      </w:r>
      <w:proofErr w:type="spellStart"/>
      <w:r w:rsidRPr="00957C03">
        <w:rPr>
          <w:rFonts w:ascii="Book Antiqua" w:hAnsi="Book Antiqua" w:cs="Tahoma"/>
        </w:rPr>
        <w:t>ITx</w:t>
      </w:r>
      <w:proofErr w:type="spellEnd"/>
      <w:r w:rsidRPr="00957C03">
        <w:rPr>
          <w:rFonts w:ascii="Book Antiqua" w:hAnsi="Book Antiqua" w:cs="Tahoma"/>
        </w:rPr>
        <w:t xml:space="preserve"> to those of equivalent Pittsburgh </w:t>
      </w:r>
      <w:proofErr w:type="spellStart"/>
      <w:r w:rsidRPr="00957C03">
        <w:rPr>
          <w:rFonts w:ascii="Book Antiqua" w:hAnsi="Book Antiqua" w:cs="Tahoma"/>
        </w:rPr>
        <w:t>ITx</w:t>
      </w:r>
      <w:proofErr w:type="spellEnd"/>
      <w:r w:rsidRPr="00957C03">
        <w:rPr>
          <w:rFonts w:ascii="Book Antiqua" w:hAnsi="Book Antiqua" w:cs="Tahoma"/>
        </w:rPr>
        <w:t xml:space="preserve"> </w:t>
      </w:r>
      <w:proofErr w:type="gramStart"/>
      <w:r w:rsidRPr="00957C03">
        <w:rPr>
          <w:rFonts w:ascii="Book Antiqua" w:hAnsi="Book Antiqua" w:cs="Tahoma"/>
        </w:rPr>
        <w:t>recipients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93]</w:t>
      </w:r>
      <w:r w:rsidRPr="00957C03">
        <w:rPr>
          <w:rFonts w:ascii="Book Antiqua" w:hAnsi="Book Antiqua" w:cs="Tahoma"/>
        </w:rPr>
        <w:t xml:space="preserve">. A key point when considering the risks and benefits of </w:t>
      </w:r>
      <w:proofErr w:type="spellStart"/>
      <w:r w:rsidRPr="00957C03">
        <w:rPr>
          <w:rFonts w:ascii="Book Antiqua" w:hAnsi="Book Antiqua" w:cs="Tahoma"/>
        </w:rPr>
        <w:t>ITx</w:t>
      </w:r>
      <w:proofErr w:type="spellEnd"/>
      <w:r w:rsidRPr="00957C03">
        <w:rPr>
          <w:rFonts w:ascii="Book Antiqua" w:hAnsi="Book Antiqua" w:cs="Tahoma"/>
        </w:rPr>
        <w:t xml:space="preserve"> </w:t>
      </w:r>
      <w:r w:rsidRPr="00957C03">
        <w:rPr>
          <w:rFonts w:ascii="Book Antiqua" w:hAnsi="Book Antiqua" w:cs="Tahoma"/>
          <w:i/>
        </w:rPr>
        <w:t>vs</w:t>
      </w:r>
      <w:r w:rsidRPr="00957C03">
        <w:rPr>
          <w:rFonts w:ascii="Book Antiqua" w:hAnsi="Book Antiqua" w:cs="Tahoma"/>
        </w:rPr>
        <w:t xml:space="preserve"> HPN is that while </w:t>
      </w:r>
      <w:proofErr w:type="spellStart"/>
      <w:r w:rsidRPr="00957C03">
        <w:rPr>
          <w:rFonts w:ascii="Book Antiqua" w:hAnsi="Book Antiqua" w:cs="Tahoma"/>
        </w:rPr>
        <w:t>ITx</w:t>
      </w:r>
      <w:proofErr w:type="spellEnd"/>
      <w:r w:rsidRPr="00957C03">
        <w:rPr>
          <w:rFonts w:ascii="Book Antiqua" w:hAnsi="Book Antiqua" w:cs="Tahoma"/>
        </w:rPr>
        <w:t xml:space="preserve"> centre experience and/or outcomes may vary, the same is equally true of HPN experience and outcome. As earlier indicated, quality HPN outcomes such as the incidence of IFALD and catheter-related complications, vary appreciably between different HPN </w:t>
      </w:r>
      <w:proofErr w:type="gramStart"/>
      <w:r w:rsidRPr="00957C03">
        <w:rPr>
          <w:rFonts w:ascii="Book Antiqua" w:hAnsi="Book Antiqua" w:cs="Tahoma"/>
        </w:rPr>
        <w:t>centres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34,36,42,51,52]</w:t>
      </w:r>
      <w:r w:rsidRPr="00957C03">
        <w:rPr>
          <w:rFonts w:ascii="Book Antiqua" w:hAnsi="Book Antiqua" w:cs="Tahoma"/>
        </w:rPr>
        <w:t xml:space="preserve">. Consequently, while </w:t>
      </w:r>
      <w:proofErr w:type="spellStart"/>
      <w:r w:rsidRPr="00957C03">
        <w:rPr>
          <w:rFonts w:ascii="Book Antiqua" w:hAnsi="Book Antiqua" w:cs="Tahoma"/>
        </w:rPr>
        <w:t>ITx</w:t>
      </w:r>
      <w:proofErr w:type="spellEnd"/>
      <w:r w:rsidRPr="00957C03">
        <w:rPr>
          <w:rFonts w:ascii="Book Antiqua" w:hAnsi="Book Antiqua" w:cs="Tahoma"/>
        </w:rPr>
        <w:t xml:space="preserve"> survival is likely to continue to improve and indications for </w:t>
      </w:r>
      <w:proofErr w:type="spellStart"/>
      <w:r w:rsidRPr="00957C03">
        <w:rPr>
          <w:rFonts w:ascii="Book Antiqua" w:hAnsi="Book Antiqua" w:cs="Tahoma"/>
        </w:rPr>
        <w:t>ITx</w:t>
      </w:r>
      <w:proofErr w:type="spellEnd"/>
      <w:r w:rsidRPr="00957C03">
        <w:rPr>
          <w:rFonts w:ascii="Book Antiqua" w:hAnsi="Book Antiqua" w:cs="Tahoma"/>
        </w:rPr>
        <w:t xml:space="preserve"> will shift as experience evolves, it is also essential that patients with type 3 IF are managed in expert IF centres with optimal HPN quality </w:t>
      </w:r>
      <w:proofErr w:type="gramStart"/>
      <w:r w:rsidRPr="00957C03">
        <w:rPr>
          <w:rFonts w:ascii="Book Antiqua" w:hAnsi="Book Antiqua" w:cs="Tahoma"/>
        </w:rPr>
        <w:t>outcomes</w:t>
      </w:r>
      <w:r w:rsidRPr="00957C03">
        <w:rPr>
          <w:rFonts w:ascii="Book Antiqua" w:hAnsi="Book Antiqua" w:cs="Tahoma"/>
          <w:noProof/>
          <w:vertAlign w:val="superscript"/>
        </w:rPr>
        <w:t>[</w:t>
      </w:r>
      <w:proofErr w:type="gramEnd"/>
      <w:r w:rsidRPr="00957C03">
        <w:rPr>
          <w:rFonts w:ascii="Book Antiqua" w:hAnsi="Book Antiqua" w:cs="Tahoma"/>
          <w:noProof/>
          <w:vertAlign w:val="superscript"/>
        </w:rPr>
        <w:t>53]</w:t>
      </w:r>
      <w:r w:rsidRPr="00957C03">
        <w:rPr>
          <w:rFonts w:ascii="Book Antiqua" w:hAnsi="Book Antiqua" w:cs="Tahoma"/>
        </w:rPr>
        <w:t>.</w:t>
      </w:r>
    </w:p>
    <w:p w:rsidR="0043020A" w:rsidRPr="00957C03" w:rsidRDefault="0043020A" w:rsidP="009A7B7E">
      <w:pPr>
        <w:snapToGrid w:val="0"/>
        <w:spacing w:line="360" w:lineRule="auto"/>
        <w:jc w:val="both"/>
        <w:rPr>
          <w:rFonts w:ascii="Book Antiqua" w:hAnsi="Book Antiqua" w:cs="Tahoma"/>
          <w:b/>
        </w:rPr>
      </w:pPr>
    </w:p>
    <w:p w:rsidR="0043020A" w:rsidRPr="00957C03" w:rsidRDefault="0043020A" w:rsidP="009A7B7E">
      <w:pPr>
        <w:snapToGrid w:val="0"/>
        <w:spacing w:line="360" w:lineRule="auto"/>
        <w:jc w:val="both"/>
        <w:rPr>
          <w:rFonts w:ascii="Book Antiqua" w:hAnsi="Book Antiqua" w:cs="Tahoma"/>
          <w:b/>
          <w:lang w:eastAsia="zh-CN"/>
        </w:rPr>
      </w:pPr>
      <w:r w:rsidRPr="00957C03">
        <w:rPr>
          <w:rFonts w:ascii="Book Antiqua" w:hAnsi="Book Antiqua" w:cs="Tahoma"/>
          <w:b/>
        </w:rPr>
        <w:t>CONCLUSION</w:t>
      </w: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rPr>
        <w:lastRenderedPageBreak/>
        <w:t xml:space="preserve">Current management options for patients with irreversible IF secondary to IBD are HPN and </w:t>
      </w:r>
      <w:proofErr w:type="spellStart"/>
      <w:r w:rsidRPr="00957C03">
        <w:rPr>
          <w:rFonts w:ascii="Book Antiqua" w:hAnsi="Book Antiqua" w:cs="Tahoma"/>
        </w:rPr>
        <w:t>ITx</w:t>
      </w:r>
      <w:proofErr w:type="spellEnd"/>
      <w:r w:rsidRPr="00957C03">
        <w:rPr>
          <w:rFonts w:ascii="Book Antiqua" w:hAnsi="Book Antiqua" w:cs="Tahoma"/>
        </w:rPr>
        <w:t xml:space="preserve">. For most patients, HPN has the more favourable survival and complication profile, but for selected patients, such as those with IFALD or specific catheter-related complications, </w:t>
      </w:r>
      <w:proofErr w:type="spellStart"/>
      <w:r w:rsidRPr="00957C03">
        <w:rPr>
          <w:rFonts w:ascii="Book Antiqua" w:hAnsi="Book Antiqua" w:cs="Tahoma"/>
        </w:rPr>
        <w:t>ITx</w:t>
      </w:r>
      <w:proofErr w:type="spellEnd"/>
      <w:r w:rsidRPr="00957C03">
        <w:rPr>
          <w:rFonts w:ascii="Book Antiqua" w:hAnsi="Book Antiqua" w:cs="Tahoma"/>
        </w:rPr>
        <w:t xml:space="preserve"> may offer better survival. As experience and outcomes in </w:t>
      </w:r>
      <w:proofErr w:type="spellStart"/>
      <w:r w:rsidRPr="00957C03">
        <w:rPr>
          <w:rFonts w:ascii="Book Antiqua" w:hAnsi="Book Antiqua" w:cs="Tahoma"/>
        </w:rPr>
        <w:t>ITx</w:t>
      </w:r>
      <w:proofErr w:type="spellEnd"/>
      <w:r w:rsidRPr="00957C03">
        <w:rPr>
          <w:rFonts w:ascii="Book Antiqua" w:hAnsi="Book Antiqua" w:cs="Tahoma"/>
        </w:rPr>
        <w:t xml:space="preserve"> improve, indications for </w:t>
      </w:r>
      <w:proofErr w:type="spellStart"/>
      <w:r w:rsidRPr="00957C03">
        <w:rPr>
          <w:rFonts w:ascii="Book Antiqua" w:hAnsi="Book Antiqua" w:cs="Tahoma"/>
        </w:rPr>
        <w:t>ITx</w:t>
      </w:r>
      <w:proofErr w:type="spellEnd"/>
      <w:r w:rsidRPr="00957C03">
        <w:rPr>
          <w:rFonts w:ascii="Book Antiqua" w:hAnsi="Book Antiqua" w:cs="Tahoma"/>
        </w:rPr>
        <w:t xml:space="preserve"> will no doubt widen. In the meantime, further work into tailoring the indications for </w:t>
      </w:r>
      <w:proofErr w:type="spellStart"/>
      <w:r w:rsidRPr="00957C03">
        <w:rPr>
          <w:rFonts w:ascii="Book Antiqua" w:hAnsi="Book Antiqua" w:cs="Tahoma"/>
        </w:rPr>
        <w:t>ITx</w:t>
      </w:r>
      <w:proofErr w:type="spellEnd"/>
      <w:r w:rsidRPr="00957C03">
        <w:rPr>
          <w:rFonts w:ascii="Book Antiqua" w:hAnsi="Book Antiqua" w:cs="Tahoma"/>
        </w:rPr>
        <w:t xml:space="preserve"> to individual patients will facilitate better selection. Since patients with CD have one of the better outcomes on HPN, the future use of tools such as </w:t>
      </w:r>
      <w:proofErr w:type="spellStart"/>
      <w:r w:rsidRPr="00957C03">
        <w:rPr>
          <w:rFonts w:ascii="Book Antiqua" w:hAnsi="Book Antiqua" w:cs="Tahoma"/>
        </w:rPr>
        <w:t>CaMi</w:t>
      </w:r>
      <w:proofErr w:type="spellEnd"/>
      <w:r w:rsidRPr="00957C03">
        <w:rPr>
          <w:rFonts w:ascii="Book Antiqua" w:hAnsi="Book Antiqua" w:cs="Tahoma"/>
        </w:rPr>
        <w:t xml:space="preserve">, along with tailoring selection based on the predicted survival on HPN according to the primary disease </w:t>
      </w:r>
      <w:proofErr w:type="gramStart"/>
      <w:r w:rsidRPr="00957C03">
        <w:rPr>
          <w:rFonts w:ascii="Book Antiqua" w:hAnsi="Book Antiqua" w:cs="Tahoma"/>
        </w:rPr>
        <w:t>aetiology,</w:t>
      </w:r>
      <w:proofErr w:type="gramEnd"/>
      <w:r w:rsidRPr="00957C03">
        <w:rPr>
          <w:rFonts w:ascii="Book Antiqua" w:hAnsi="Book Antiqua" w:cs="Tahoma"/>
        </w:rPr>
        <w:t xml:space="preserve"> will facilitate patients’ choice between </w:t>
      </w:r>
      <w:proofErr w:type="spellStart"/>
      <w:r w:rsidRPr="00957C03">
        <w:rPr>
          <w:rFonts w:ascii="Book Antiqua" w:hAnsi="Book Antiqua" w:cs="Tahoma"/>
        </w:rPr>
        <w:t>ITx</w:t>
      </w:r>
      <w:proofErr w:type="spellEnd"/>
      <w:r w:rsidRPr="00957C03">
        <w:rPr>
          <w:rFonts w:ascii="Book Antiqua" w:hAnsi="Book Antiqua" w:cs="Tahoma"/>
        </w:rPr>
        <w:t xml:space="preserve"> and HPN. </w:t>
      </w:r>
      <w:r w:rsidRPr="00957C03">
        <w:rPr>
          <w:rFonts w:ascii="Book Antiqua" w:hAnsi="Book Antiqua" w:cs="Tahoma"/>
          <w:b/>
        </w:rPr>
        <w:t xml:space="preserve"> </w:t>
      </w:r>
    </w:p>
    <w:p w:rsidR="0043020A" w:rsidRPr="00957C03" w:rsidRDefault="0043020A" w:rsidP="009A7B7E">
      <w:pPr>
        <w:snapToGrid w:val="0"/>
        <w:spacing w:line="360" w:lineRule="auto"/>
        <w:jc w:val="both"/>
        <w:rPr>
          <w:rFonts w:ascii="Book Antiqua" w:hAnsi="Book Antiqua" w:cs="Tahoma"/>
          <w:b/>
          <w:lang w:eastAsia="zh-CN"/>
        </w:rPr>
      </w:pPr>
    </w:p>
    <w:p w:rsidR="0043020A" w:rsidRPr="00957C03" w:rsidRDefault="0043020A" w:rsidP="009A7B7E">
      <w:pPr>
        <w:snapToGrid w:val="0"/>
        <w:spacing w:line="360" w:lineRule="auto"/>
        <w:jc w:val="both"/>
        <w:rPr>
          <w:rFonts w:ascii="Book Antiqua" w:hAnsi="Book Antiqua" w:cs="Tahoma"/>
          <w:b/>
          <w:lang w:eastAsia="zh-CN"/>
        </w:rPr>
      </w:pPr>
      <w:r w:rsidRPr="00957C03">
        <w:rPr>
          <w:rFonts w:ascii="Book Antiqua" w:hAnsi="Book Antiqua" w:cs="Tahoma"/>
          <w:b/>
          <w:lang w:eastAsia="zh-CN"/>
        </w:rPr>
        <w:t>REFERENCES</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 </w:t>
      </w:r>
      <w:r w:rsidRPr="00957C03">
        <w:rPr>
          <w:rFonts w:ascii="Book Antiqua" w:hAnsi="Book Antiqua" w:cs="宋体"/>
          <w:b/>
          <w:bCs/>
          <w:lang w:val="en-US" w:eastAsia="zh-CN"/>
        </w:rPr>
        <w:t>O'Keefe SJ</w:t>
      </w:r>
      <w:r w:rsidRPr="00957C03">
        <w:rPr>
          <w:rFonts w:ascii="Book Antiqua" w:hAnsi="Book Antiqua" w:cs="宋体"/>
          <w:lang w:val="en-US" w:eastAsia="zh-CN"/>
        </w:rPr>
        <w:t xml:space="preserve">, Buchman AL, </w:t>
      </w:r>
      <w:proofErr w:type="spellStart"/>
      <w:r w:rsidRPr="00957C03">
        <w:rPr>
          <w:rFonts w:ascii="Book Antiqua" w:hAnsi="Book Antiqua" w:cs="宋体"/>
          <w:lang w:val="en-US" w:eastAsia="zh-CN"/>
        </w:rPr>
        <w:t>Fishbein</w:t>
      </w:r>
      <w:proofErr w:type="spellEnd"/>
      <w:r w:rsidRPr="00957C03">
        <w:rPr>
          <w:rFonts w:ascii="Book Antiqua" w:hAnsi="Book Antiqua" w:cs="宋体"/>
          <w:lang w:val="en-US" w:eastAsia="zh-CN"/>
        </w:rPr>
        <w:t xml:space="preserve"> TM, </w:t>
      </w:r>
      <w:proofErr w:type="spellStart"/>
      <w:r w:rsidRPr="00957C03">
        <w:rPr>
          <w:rFonts w:ascii="Book Antiqua" w:hAnsi="Book Antiqua" w:cs="宋体"/>
          <w:lang w:val="en-US" w:eastAsia="zh-CN"/>
        </w:rPr>
        <w:t>Jeejeebhoy</w:t>
      </w:r>
      <w:proofErr w:type="spellEnd"/>
      <w:r w:rsidRPr="00957C03">
        <w:rPr>
          <w:rFonts w:ascii="Book Antiqua" w:hAnsi="Book Antiqua" w:cs="宋体"/>
          <w:lang w:val="en-US" w:eastAsia="zh-CN"/>
        </w:rPr>
        <w:t xml:space="preserve"> KN, </w:t>
      </w:r>
      <w:proofErr w:type="spellStart"/>
      <w:r w:rsidRPr="00957C03">
        <w:rPr>
          <w:rFonts w:ascii="Book Antiqua" w:hAnsi="Book Antiqua" w:cs="宋体"/>
          <w:lang w:val="en-US" w:eastAsia="zh-CN"/>
        </w:rPr>
        <w:t>Jeppesen</w:t>
      </w:r>
      <w:proofErr w:type="spellEnd"/>
      <w:r w:rsidRPr="00957C03">
        <w:rPr>
          <w:rFonts w:ascii="Book Antiqua" w:hAnsi="Book Antiqua" w:cs="宋体"/>
          <w:lang w:val="en-US" w:eastAsia="zh-CN"/>
        </w:rPr>
        <w:t xml:space="preserve"> PB, Shaffer J. Short bowel syndrome and intestinal failure: consensus definitions and overview.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Hepatol</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4</w:t>
      </w:r>
      <w:r w:rsidRPr="00957C03">
        <w:rPr>
          <w:rFonts w:ascii="Book Antiqua" w:hAnsi="Book Antiqua" w:cs="宋体"/>
          <w:lang w:val="en-US" w:eastAsia="zh-CN"/>
        </w:rPr>
        <w:t>: 6-10 [PMID: 16431298 DOI: 10.1016/j.cgh.2005.10.002]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 </w:t>
      </w:r>
      <w:proofErr w:type="spellStart"/>
      <w:r w:rsidRPr="00957C03">
        <w:rPr>
          <w:rFonts w:ascii="Book Antiqua" w:hAnsi="Book Antiqua" w:cs="宋体"/>
          <w:b/>
          <w:bCs/>
          <w:lang w:val="en-US" w:eastAsia="zh-CN"/>
        </w:rPr>
        <w:t>Lal</w:t>
      </w:r>
      <w:proofErr w:type="spellEnd"/>
      <w:r w:rsidRPr="00957C03">
        <w:rPr>
          <w:rFonts w:ascii="Book Antiqua" w:hAnsi="Book Antiqua" w:cs="宋体"/>
          <w:b/>
          <w:bCs/>
          <w:lang w:val="en-US" w:eastAsia="zh-CN"/>
        </w:rPr>
        <w:t xml:space="preserve"> S</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Teubner</w:t>
      </w:r>
      <w:proofErr w:type="spellEnd"/>
      <w:r w:rsidRPr="00957C03">
        <w:rPr>
          <w:rFonts w:ascii="Book Antiqua" w:hAnsi="Book Antiqua" w:cs="宋体"/>
          <w:lang w:val="en-US" w:eastAsia="zh-CN"/>
        </w:rPr>
        <w:t xml:space="preserve"> A, Shaffer JL. Review article: intestinal failure. </w:t>
      </w:r>
      <w:r w:rsidRPr="00957C03">
        <w:rPr>
          <w:rFonts w:ascii="Book Antiqua" w:hAnsi="Book Antiqua" w:cs="宋体"/>
          <w:i/>
          <w:iCs/>
          <w:lang w:val="en-US" w:eastAsia="zh-CN"/>
        </w:rPr>
        <w:t xml:space="preserve">Aliment </w:t>
      </w:r>
      <w:proofErr w:type="spellStart"/>
      <w:r w:rsidRPr="00957C03">
        <w:rPr>
          <w:rFonts w:ascii="Book Antiqua" w:hAnsi="Book Antiqua" w:cs="宋体"/>
          <w:i/>
          <w:iCs/>
          <w:lang w:val="en-US" w:eastAsia="zh-CN"/>
        </w:rPr>
        <w:t>Pharmacol</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Ther</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24</w:t>
      </w:r>
      <w:r w:rsidRPr="00957C03">
        <w:rPr>
          <w:rFonts w:ascii="Book Antiqua" w:hAnsi="Book Antiqua" w:cs="宋体"/>
          <w:lang w:val="en-US" w:eastAsia="zh-CN"/>
        </w:rPr>
        <w:t>: 19-31 [PMID: 16803600 DOI: 10.1111/j.1365-2036.2006.02941.x]</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3 British Association of Parenteral and Enteral Nutrition Annual BANS Report, 2011.</w:t>
      </w:r>
      <w:proofErr w:type="gramEnd"/>
      <w:r w:rsidRPr="00EF72D0">
        <w:rPr>
          <w:rFonts w:ascii="Book Antiqua" w:hAnsi="Book Antiqua" w:cs="宋体"/>
          <w:lang w:val="en-US" w:eastAsia="zh-CN"/>
        </w:rPr>
        <w:t xml:space="preserve"> </w:t>
      </w:r>
      <w:r w:rsidRPr="00957C03">
        <w:rPr>
          <w:rFonts w:ascii="Book Antiqua" w:hAnsi="Book Antiqua" w:cs="宋体"/>
          <w:lang w:val="en-US" w:eastAsia="zh-CN"/>
        </w:rPr>
        <w:t>Smith T</w:t>
      </w:r>
      <w:r>
        <w:rPr>
          <w:rFonts w:ascii="Book Antiqua" w:hAnsi="Book Antiqua" w:cs="宋体"/>
          <w:lang w:val="en-US" w:eastAsia="zh-CN"/>
        </w:rPr>
        <w:t>.</w:t>
      </w:r>
      <w:r w:rsidRPr="00957C03">
        <w:rPr>
          <w:rFonts w:ascii="Book Antiqua" w:hAnsi="Book Antiqua" w:cs="宋体"/>
          <w:lang w:val="en-US" w:eastAsia="zh-CN"/>
        </w:rPr>
        <w:t xml:space="preserve"> Artificial Nutrition Support i</w:t>
      </w:r>
      <w:r>
        <w:rPr>
          <w:rFonts w:ascii="Book Antiqua" w:hAnsi="Book Antiqua" w:cs="宋体"/>
          <w:lang w:val="en-US" w:eastAsia="zh-CN"/>
        </w:rPr>
        <w:t>n the United Kingdom, 2000-2010. Available from: URL http:</w:t>
      </w:r>
      <w:r w:rsidRPr="00957C03">
        <w:rPr>
          <w:rFonts w:ascii="Book Antiqua" w:hAnsi="Book Antiqua" w:cs="宋体"/>
          <w:lang w:val="en-US" w:eastAsia="zh-CN"/>
        </w:rPr>
        <w:t>//www.bapen.org.uk/pdfs/bans_reports/bans_repo</w:t>
      </w:r>
      <w:r>
        <w:rPr>
          <w:rFonts w:ascii="Book Antiqua" w:hAnsi="Book Antiqua" w:cs="宋体"/>
          <w:lang w:val="en-US" w:eastAsia="zh-CN"/>
        </w:rPr>
        <w:t>rt_11.pdf Accessed [27.09.2013]</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4 </w:t>
      </w:r>
      <w:proofErr w:type="spellStart"/>
      <w:r w:rsidRPr="00957C03">
        <w:rPr>
          <w:rFonts w:ascii="Book Antiqua" w:hAnsi="Book Antiqua" w:cs="宋体"/>
          <w:b/>
          <w:bCs/>
          <w:lang w:val="en-US" w:eastAsia="zh-CN"/>
        </w:rPr>
        <w:t>Agwunobi</w:t>
      </w:r>
      <w:proofErr w:type="spellEnd"/>
      <w:r w:rsidRPr="00957C03">
        <w:rPr>
          <w:rFonts w:ascii="Book Antiqua" w:hAnsi="Book Antiqua" w:cs="宋体"/>
          <w:b/>
          <w:bCs/>
          <w:lang w:val="en-US" w:eastAsia="zh-CN"/>
        </w:rPr>
        <w:t xml:space="preserve"> AO</w:t>
      </w:r>
      <w:r w:rsidRPr="00957C03">
        <w:rPr>
          <w:rFonts w:ascii="Book Antiqua" w:hAnsi="Book Antiqua" w:cs="宋体"/>
          <w:lang w:val="en-US" w:eastAsia="zh-CN"/>
        </w:rPr>
        <w:t>, Carlson GL, Anderson ID, Irving MH, Scott NA.</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 xml:space="preserve">Mechanisms of intestinal failure in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Dis Colon Rectum</w:t>
      </w:r>
      <w:r w:rsidRPr="00957C03">
        <w:rPr>
          <w:rFonts w:ascii="Book Antiqua" w:hAnsi="Book Antiqua" w:cs="宋体"/>
          <w:lang w:val="en-US" w:eastAsia="zh-CN"/>
        </w:rPr>
        <w:t xml:space="preserve"> 2001; </w:t>
      </w:r>
      <w:r w:rsidRPr="00957C03">
        <w:rPr>
          <w:rFonts w:ascii="Book Antiqua" w:hAnsi="Book Antiqua" w:cs="宋体"/>
          <w:b/>
          <w:bCs/>
          <w:lang w:val="en-US" w:eastAsia="zh-CN"/>
        </w:rPr>
        <w:t>44</w:t>
      </w:r>
      <w:r w:rsidRPr="00957C03">
        <w:rPr>
          <w:rFonts w:ascii="Book Antiqua" w:hAnsi="Book Antiqua" w:cs="宋体"/>
          <w:lang w:val="en-US" w:eastAsia="zh-CN"/>
        </w:rPr>
        <w:t>: 1834-1837 [PMID: 11742170]</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5</w:t>
      </w:r>
      <w:r w:rsidRPr="00AB2E30">
        <w:rPr>
          <w:b/>
          <w:bCs/>
          <w:color w:val="FF0000"/>
        </w:rPr>
        <w:t xml:space="preserve"> </w:t>
      </w:r>
      <w:r w:rsidRPr="00AB2E30">
        <w:rPr>
          <w:rFonts w:ascii="Book Antiqua" w:hAnsi="Book Antiqua" w:cs="宋体"/>
          <w:b/>
          <w:lang w:val="en-US" w:eastAsia="zh-CN"/>
        </w:rPr>
        <w:t>Watanabe K</w:t>
      </w:r>
      <w:r w:rsidRPr="00AB2E30">
        <w:rPr>
          <w:rFonts w:ascii="Book Antiqua" w:hAnsi="Book Antiqua" w:cs="宋体"/>
          <w:lang w:val="en-US" w:eastAsia="zh-CN"/>
        </w:rPr>
        <w:t xml:space="preserve">, Sasaki I, Fukushima K, </w:t>
      </w:r>
      <w:proofErr w:type="spellStart"/>
      <w:r w:rsidRPr="00AB2E30">
        <w:rPr>
          <w:rFonts w:ascii="Book Antiqua" w:hAnsi="Book Antiqua" w:cs="宋体"/>
          <w:lang w:val="en-US" w:eastAsia="zh-CN"/>
        </w:rPr>
        <w:t>Futami</w:t>
      </w:r>
      <w:proofErr w:type="spellEnd"/>
      <w:r w:rsidRPr="00AB2E30">
        <w:rPr>
          <w:rFonts w:ascii="Book Antiqua" w:hAnsi="Book Antiqua" w:cs="宋体"/>
          <w:lang w:val="en-US" w:eastAsia="zh-CN"/>
        </w:rPr>
        <w:t xml:space="preserve"> K, </w:t>
      </w:r>
      <w:proofErr w:type="spellStart"/>
      <w:r w:rsidRPr="00AB2E30">
        <w:rPr>
          <w:rFonts w:ascii="Book Antiqua" w:hAnsi="Book Antiqua" w:cs="宋体"/>
          <w:lang w:val="en-US" w:eastAsia="zh-CN"/>
        </w:rPr>
        <w:t>Ikeuchi</w:t>
      </w:r>
      <w:proofErr w:type="spellEnd"/>
      <w:r w:rsidRPr="00AB2E30">
        <w:rPr>
          <w:rFonts w:ascii="Book Antiqua" w:hAnsi="Book Antiqua" w:cs="宋体"/>
          <w:lang w:val="en-US" w:eastAsia="zh-CN"/>
        </w:rPr>
        <w:t xml:space="preserve"> H, Sugita A, </w:t>
      </w:r>
      <w:proofErr w:type="spellStart"/>
      <w:r w:rsidRPr="00AB2E30">
        <w:rPr>
          <w:rFonts w:ascii="Book Antiqua" w:hAnsi="Book Antiqua" w:cs="宋体"/>
          <w:lang w:val="en-US" w:eastAsia="zh-CN"/>
        </w:rPr>
        <w:t>Nezu</w:t>
      </w:r>
      <w:proofErr w:type="spellEnd"/>
      <w:r w:rsidRPr="00AB2E30">
        <w:rPr>
          <w:rFonts w:ascii="Book Antiqua" w:hAnsi="Book Antiqua" w:cs="宋体"/>
          <w:lang w:val="en-US" w:eastAsia="zh-CN"/>
        </w:rPr>
        <w:t xml:space="preserve"> R, </w:t>
      </w:r>
      <w:proofErr w:type="spellStart"/>
      <w:r w:rsidRPr="00AB2E30">
        <w:rPr>
          <w:rFonts w:ascii="Book Antiqua" w:hAnsi="Book Antiqua" w:cs="宋体"/>
          <w:lang w:val="en-US" w:eastAsia="zh-CN"/>
        </w:rPr>
        <w:t>Mizushima</w:t>
      </w:r>
      <w:proofErr w:type="spellEnd"/>
      <w:r w:rsidRPr="00AB2E30">
        <w:rPr>
          <w:rFonts w:ascii="Book Antiqua" w:hAnsi="Book Antiqua" w:cs="宋体"/>
          <w:lang w:val="en-US" w:eastAsia="zh-CN"/>
        </w:rPr>
        <w:t xml:space="preserve"> T, </w:t>
      </w:r>
      <w:proofErr w:type="spellStart"/>
      <w:r w:rsidRPr="00AB2E30">
        <w:rPr>
          <w:rFonts w:ascii="Book Antiqua" w:hAnsi="Book Antiqua" w:cs="宋体"/>
          <w:lang w:val="en-US" w:eastAsia="zh-CN"/>
        </w:rPr>
        <w:t>Kameoka</w:t>
      </w:r>
      <w:proofErr w:type="spellEnd"/>
      <w:r w:rsidRPr="00AB2E30">
        <w:rPr>
          <w:rFonts w:ascii="Book Antiqua" w:hAnsi="Book Antiqua" w:cs="宋体"/>
          <w:lang w:val="en-US" w:eastAsia="zh-CN"/>
        </w:rPr>
        <w:t xml:space="preserve"> S, </w:t>
      </w:r>
      <w:proofErr w:type="spellStart"/>
      <w:r w:rsidRPr="00AB2E30">
        <w:rPr>
          <w:rFonts w:ascii="Book Antiqua" w:hAnsi="Book Antiqua" w:cs="宋体"/>
          <w:lang w:val="en-US" w:eastAsia="zh-CN"/>
        </w:rPr>
        <w:t>Kusunoki</w:t>
      </w:r>
      <w:proofErr w:type="spellEnd"/>
      <w:r w:rsidRPr="00AB2E30">
        <w:rPr>
          <w:rFonts w:ascii="Book Antiqua" w:hAnsi="Book Antiqua" w:cs="宋体"/>
          <w:lang w:val="en-US" w:eastAsia="zh-CN"/>
        </w:rPr>
        <w:t xml:space="preserve"> M, Yoshioka K, </w:t>
      </w:r>
      <w:proofErr w:type="spellStart"/>
      <w:r w:rsidRPr="00AB2E30">
        <w:rPr>
          <w:rFonts w:ascii="Book Antiqua" w:hAnsi="Book Antiqua" w:cs="宋体"/>
          <w:lang w:val="en-US" w:eastAsia="zh-CN"/>
        </w:rPr>
        <w:t>Funayama</w:t>
      </w:r>
      <w:proofErr w:type="spellEnd"/>
      <w:r w:rsidRPr="00AB2E30">
        <w:rPr>
          <w:rFonts w:ascii="Book Antiqua" w:hAnsi="Book Antiqua" w:cs="宋体"/>
          <w:lang w:val="en-US" w:eastAsia="zh-CN"/>
        </w:rPr>
        <w:t xml:space="preserve"> Y, Watanabe T, </w:t>
      </w:r>
      <w:proofErr w:type="spellStart"/>
      <w:r w:rsidRPr="00AB2E30">
        <w:rPr>
          <w:rFonts w:ascii="Book Antiqua" w:hAnsi="Book Antiqua" w:cs="宋体"/>
          <w:lang w:val="en-US" w:eastAsia="zh-CN"/>
        </w:rPr>
        <w:t>Fujii</w:t>
      </w:r>
      <w:proofErr w:type="spellEnd"/>
      <w:r w:rsidRPr="00AB2E30">
        <w:rPr>
          <w:rFonts w:ascii="Book Antiqua" w:hAnsi="Book Antiqua" w:cs="宋体"/>
          <w:lang w:val="en-US" w:eastAsia="zh-CN"/>
        </w:rPr>
        <w:t xml:space="preserve"> H, Watanabe M. </w:t>
      </w:r>
      <w:r w:rsidRPr="00957C03">
        <w:rPr>
          <w:rFonts w:ascii="Book Antiqua" w:hAnsi="Book Antiqua" w:cs="宋体"/>
          <w:lang w:val="en-US" w:eastAsia="zh-CN"/>
        </w:rPr>
        <w:t xml:space="preserve">Long-term incidence and characteristics of intestinal failure in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a multicenter study.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2013; </w:t>
      </w:r>
      <w:proofErr w:type="spellStart"/>
      <w:r w:rsidRPr="00AB2E30">
        <w:rPr>
          <w:rFonts w:ascii="Book Antiqua" w:hAnsi="Book Antiqua" w:cs="宋体"/>
          <w:lang w:val="en-US" w:eastAsia="zh-CN"/>
        </w:rPr>
        <w:t>Epub</w:t>
      </w:r>
      <w:proofErr w:type="spellEnd"/>
      <w:r w:rsidRPr="00AB2E30">
        <w:rPr>
          <w:rFonts w:ascii="Book Antiqua" w:hAnsi="Book Antiqua" w:cs="宋体"/>
          <w:lang w:val="en-US" w:eastAsia="zh-CN"/>
        </w:rPr>
        <w:t xml:space="preserve"> ahead of print </w:t>
      </w:r>
      <w:r w:rsidRPr="00957C03">
        <w:rPr>
          <w:rFonts w:ascii="Book Antiqua" w:hAnsi="Book Antiqua" w:cs="宋体"/>
          <w:lang w:val="en-US" w:eastAsia="zh-CN"/>
        </w:rPr>
        <w:t>[PMID: 23564229 DOI: 10.1007/s00535-013-0797-y]</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 </w:t>
      </w:r>
      <w:proofErr w:type="spellStart"/>
      <w:r w:rsidRPr="00957C03">
        <w:rPr>
          <w:rFonts w:ascii="Book Antiqua" w:hAnsi="Book Antiqua" w:cs="宋体"/>
          <w:b/>
          <w:bCs/>
          <w:lang w:val="en-US" w:eastAsia="zh-CN"/>
        </w:rPr>
        <w:t>Gearry</w:t>
      </w:r>
      <w:proofErr w:type="spellEnd"/>
      <w:r w:rsidRPr="00957C03">
        <w:rPr>
          <w:rFonts w:ascii="Book Antiqua" w:hAnsi="Book Antiqua" w:cs="宋体"/>
          <w:b/>
          <w:bCs/>
          <w:lang w:val="en-US" w:eastAsia="zh-CN"/>
        </w:rPr>
        <w:t xml:space="preserve"> RB</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Kamm</w:t>
      </w:r>
      <w:proofErr w:type="spellEnd"/>
      <w:r w:rsidRPr="00957C03">
        <w:rPr>
          <w:rFonts w:ascii="Book Antiqua" w:hAnsi="Book Antiqua" w:cs="宋体"/>
          <w:lang w:val="en-US" w:eastAsia="zh-CN"/>
        </w:rPr>
        <w:t xml:space="preserve"> MA, Hart AL, Bassett P, Gabe SM, Nightingale JM. </w:t>
      </w:r>
      <w:proofErr w:type="gramStart"/>
      <w:r w:rsidRPr="00957C03">
        <w:rPr>
          <w:rFonts w:ascii="Book Antiqua" w:hAnsi="Book Antiqua" w:cs="宋体"/>
          <w:lang w:val="en-US" w:eastAsia="zh-CN"/>
        </w:rPr>
        <w:t xml:space="preserve">Predictors for developing intestinal failure in patients with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Hepatol</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28</w:t>
      </w:r>
      <w:r w:rsidRPr="00957C03">
        <w:rPr>
          <w:rFonts w:ascii="Book Antiqua" w:hAnsi="Book Antiqua" w:cs="宋体"/>
          <w:lang w:val="en-US" w:eastAsia="zh-CN"/>
        </w:rPr>
        <w:t>: 801-807 [PMID: 23301990 DOI: 10.1111/jgh.12115]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 </w:t>
      </w:r>
      <w:proofErr w:type="spellStart"/>
      <w:r w:rsidRPr="00957C03">
        <w:rPr>
          <w:rFonts w:ascii="Book Antiqua" w:hAnsi="Book Antiqua" w:cs="宋体"/>
          <w:b/>
          <w:bCs/>
          <w:lang w:val="en-US" w:eastAsia="zh-CN"/>
        </w:rPr>
        <w:t>Schäffler</w:t>
      </w:r>
      <w:proofErr w:type="spellEnd"/>
      <w:r w:rsidRPr="00957C03">
        <w:rPr>
          <w:rFonts w:ascii="Book Antiqua" w:hAnsi="Book Antiqua" w:cs="宋体"/>
          <w:b/>
          <w:bCs/>
          <w:lang w:val="en-US" w:eastAsia="zh-CN"/>
        </w:rPr>
        <w:t xml:space="preserve"> H</w:t>
      </w:r>
      <w:r w:rsidRPr="00957C03">
        <w:rPr>
          <w:rFonts w:ascii="Book Antiqua" w:hAnsi="Book Antiqua" w:cs="宋体"/>
          <w:lang w:val="en-US" w:eastAsia="zh-CN"/>
        </w:rPr>
        <w:t xml:space="preserve">, Schneider N, Hsieh CJ, Reiner J, </w:t>
      </w:r>
      <w:proofErr w:type="spellStart"/>
      <w:r w:rsidRPr="00957C03">
        <w:rPr>
          <w:rFonts w:ascii="Book Antiqua" w:hAnsi="Book Antiqua" w:cs="宋体"/>
          <w:lang w:val="en-US" w:eastAsia="zh-CN"/>
        </w:rPr>
        <w:t>Nadalin</w:t>
      </w:r>
      <w:proofErr w:type="spellEnd"/>
      <w:r w:rsidRPr="00957C03">
        <w:rPr>
          <w:rFonts w:ascii="Book Antiqua" w:hAnsi="Book Antiqua" w:cs="宋体"/>
          <w:lang w:val="en-US" w:eastAsia="zh-CN"/>
        </w:rPr>
        <w:t xml:space="preserve"> S, Witte M, </w:t>
      </w:r>
      <w:proofErr w:type="spellStart"/>
      <w:r w:rsidRPr="00957C03">
        <w:rPr>
          <w:rFonts w:ascii="Book Antiqua" w:hAnsi="Book Antiqua" w:cs="宋体"/>
          <w:lang w:val="en-US" w:eastAsia="zh-CN"/>
        </w:rPr>
        <w:t>Königsrainer</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Blumenstock</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Lamprecht</w:t>
      </w:r>
      <w:proofErr w:type="spellEnd"/>
      <w:r w:rsidRPr="00957C03">
        <w:rPr>
          <w:rFonts w:ascii="Book Antiqua" w:hAnsi="Book Antiqua" w:cs="宋体"/>
          <w:lang w:val="en-US" w:eastAsia="zh-CN"/>
        </w:rPr>
        <w:t xml:space="preserve"> G. NOD2 mutations are associated with the development of intestinal failure in the absence of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32</w:t>
      </w:r>
      <w:r w:rsidRPr="00957C03">
        <w:rPr>
          <w:rFonts w:ascii="Book Antiqua" w:hAnsi="Book Antiqua" w:cs="宋体"/>
          <w:lang w:val="en-US" w:eastAsia="zh-CN"/>
        </w:rPr>
        <w:t>: 1029-1035 [PMID: 23562557 DOI: 10.1016/j.clnu.2013.02.014]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 </w:t>
      </w:r>
      <w:proofErr w:type="spellStart"/>
      <w:r w:rsidRPr="00957C03">
        <w:rPr>
          <w:rFonts w:ascii="Book Antiqua" w:hAnsi="Book Antiqua" w:cs="宋体"/>
          <w:b/>
          <w:bCs/>
          <w:lang w:val="en-US" w:eastAsia="zh-CN"/>
        </w:rPr>
        <w:t>Bhat</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Nguyen GC, Pare P, </w:t>
      </w:r>
      <w:proofErr w:type="spellStart"/>
      <w:r w:rsidRPr="00957C03">
        <w:rPr>
          <w:rFonts w:ascii="Book Antiqua" w:hAnsi="Book Antiqua" w:cs="宋体"/>
          <w:lang w:val="en-US" w:eastAsia="zh-CN"/>
        </w:rPr>
        <w:t>Lahaie</w:t>
      </w:r>
      <w:proofErr w:type="spellEnd"/>
      <w:r w:rsidRPr="00957C03">
        <w:rPr>
          <w:rFonts w:ascii="Book Antiqua" w:hAnsi="Book Antiqua" w:cs="宋体"/>
          <w:lang w:val="en-US" w:eastAsia="zh-CN"/>
        </w:rPr>
        <w:t xml:space="preserve"> R, </w:t>
      </w:r>
      <w:proofErr w:type="spellStart"/>
      <w:r w:rsidRPr="00957C03">
        <w:rPr>
          <w:rFonts w:ascii="Book Antiqua" w:hAnsi="Book Antiqua" w:cs="宋体"/>
          <w:lang w:val="en-US" w:eastAsia="zh-CN"/>
        </w:rPr>
        <w:t>Deslandres</w:t>
      </w:r>
      <w:proofErr w:type="spellEnd"/>
      <w:r w:rsidRPr="00957C03">
        <w:rPr>
          <w:rFonts w:ascii="Book Antiqua" w:hAnsi="Book Antiqua" w:cs="宋体"/>
          <w:lang w:val="en-US" w:eastAsia="zh-CN"/>
        </w:rPr>
        <w:t xml:space="preserve"> C, Bernard EJ, </w:t>
      </w:r>
      <w:proofErr w:type="spellStart"/>
      <w:r w:rsidRPr="00957C03">
        <w:rPr>
          <w:rFonts w:ascii="Book Antiqua" w:hAnsi="Book Antiqua" w:cs="宋体"/>
          <w:lang w:val="en-US" w:eastAsia="zh-CN"/>
        </w:rPr>
        <w:t>Aumais</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Jobin</w:t>
      </w:r>
      <w:proofErr w:type="spellEnd"/>
      <w:r w:rsidRPr="00957C03">
        <w:rPr>
          <w:rFonts w:ascii="Book Antiqua" w:hAnsi="Book Antiqua" w:cs="宋体"/>
          <w:lang w:val="en-US" w:eastAsia="zh-CN"/>
        </w:rPr>
        <w:t xml:space="preserve"> G, Wild G, Cohen A, </w:t>
      </w:r>
      <w:proofErr w:type="spellStart"/>
      <w:r w:rsidRPr="00957C03">
        <w:rPr>
          <w:rFonts w:ascii="Book Antiqua" w:hAnsi="Book Antiqua" w:cs="宋体"/>
          <w:lang w:val="en-US" w:eastAsia="zh-CN"/>
        </w:rPr>
        <w:t>Langelier</w:t>
      </w:r>
      <w:proofErr w:type="spellEnd"/>
      <w:r w:rsidRPr="00957C03">
        <w:rPr>
          <w:rFonts w:ascii="Book Antiqua" w:hAnsi="Book Antiqua" w:cs="宋体"/>
          <w:lang w:val="en-US" w:eastAsia="zh-CN"/>
        </w:rPr>
        <w:t xml:space="preserve"> D, Brant S, </w:t>
      </w:r>
      <w:proofErr w:type="spellStart"/>
      <w:r w:rsidRPr="00957C03">
        <w:rPr>
          <w:rFonts w:ascii="Book Antiqua" w:hAnsi="Book Antiqua" w:cs="宋体"/>
          <w:lang w:val="en-US" w:eastAsia="zh-CN"/>
        </w:rPr>
        <w:t>Dassopoulos</w:t>
      </w:r>
      <w:proofErr w:type="spellEnd"/>
      <w:r w:rsidRPr="00957C03">
        <w:rPr>
          <w:rFonts w:ascii="Book Antiqua" w:hAnsi="Book Antiqua" w:cs="宋体"/>
          <w:lang w:val="en-US" w:eastAsia="zh-CN"/>
        </w:rPr>
        <w:t xml:space="preserve"> T, McGovern D, Torres E, </w:t>
      </w:r>
      <w:proofErr w:type="spellStart"/>
      <w:r w:rsidRPr="00957C03">
        <w:rPr>
          <w:rFonts w:ascii="Book Antiqua" w:hAnsi="Book Antiqua" w:cs="宋体"/>
          <w:lang w:val="en-US" w:eastAsia="zh-CN"/>
        </w:rPr>
        <w:t>Duerr</w:t>
      </w:r>
      <w:proofErr w:type="spellEnd"/>
      <w:r w:rsidRPr="00957C03">
        <w:rPr>
          <w:rFonts w:ascii="Book Antiqua" w:hAnsi="Book Antiqua" w:cs="宋体"/>
          <w:lang w:val="en-US" w:eastAsia="zh-CN"/>
        </w:rPr>
        <w:t xml:space="preserve"> R, </w:t>
      </w:r>
      <w:proofErr w:type="spellStart"/>
      <w:r w:rsidRPr="00957C03">
        <w:rPr>
          <w:rFonts w:ascii="Book Antiqua" w:hAnsi="Book Antiqua" w:cs="宋体"/>
          <w:lang w:val="en-US" w:eastAsia="zh-CN"/>
        </w:rPr>
        <w:t>Regueiro</w:t>
      </w:r>
      <w:proofErr w:type="spellEnd"/>
      <w:r w:rsidRPr="00957C03">
        <w:rPr>
          <w:rFonts w:ascii="Book Antiqua" w:hAnsi="Book Antiqua" w:cs="宋体"/>
          <w:lang w:val="en-US" w:eastAsia="zh-CN"/>
        </w:rPr>
        <w:t xml:space="preserve"> M, Silverberg MS, Steinhart H, Griffiths AM, </w:t>
      </w:r>
      <w:proofErr w:type="spellStart"/>
      <w:r w:rsidRPr="00957C03">
        <w:rPr>
          <w:rFonts w:ascii="Book Antiqua" w:hAnsi="Book Antiqua" w:cs="宋体"/>
          <w:lang w:val="en-US" w:eastAsia="zh-CN"/>
        </w:rPr>
        <w:t>Elkadri</w:t>
      </w:r>
      <w:proofErr w:type="spellEnd"/>
      <w:r w:rsidRPr="00957C03">
        <w:rPr>
          <w:rFonts w:ascii="Book Antiqua" w:hAnsi="Book Antiqua" w:cs="宋体"/>
          <w:lang w:val="en-US" w:eastAsia="zh-CN"/>
        </w:rPr>
        <w:t xml:space="preserve"> A, Cho J, </w:t>
      </w:r>
      <w:r w:rsidRPr="00957C03">
        <w:rPr>
          <w:rFonts w:ascii="Book Antiqua" w:hAnsi="Book Antiqua" w:cs="宋体"/>
          <w:lang w:val="en-US" w:eastAsia="zh-CN"/>
        </w:rPr>
        <w:lastRenderedPageBreak/>
        <w:t xml:space="preserve">Proctor D, </w:t>
      </w:r>
      <w:proofErr w:type="spellStart"/>
      <w:r w:rsidRPr="00957C03">
        <w:rPr>
          <w:rFonts w:ascii="Book Antiqua" w:hAnsi="Book Antiqua" w:cs="宋体"/>
          <w:lang w:val="en-US" w:eastAsia="zh-CN"/>
        </w:rPr>
        <w:t>Goyette</w:t>
      </w:r>
      <w:proofErr w:type="spellEnd"/>
      <w:r w:rsidRPr="00957C03">
        <w:rPr>
          <w:rFonts w:ascii="Book Antiqua" w:hAnsi="Book Antiqua" w:cs="宋体"/>
          <w:lang w:val="en-US" w:eastAsia="zh-CN"/>
        </w:rPr>
        <w:t xml:space="preserve"> P, </w:t>
      </w:r>
      <w:proofErr w:type="spellStart"/>
      <w:r w:rsidRPr="00957C03">
        <w:rPr>
          <w:rFonts w:ascii="Book Antiqua" w:hAnsi="Book Antiqua" w:cs="宋体"/>
          <w:lang w:val="en-US" w:eastAsia="zh-CN"/>
        </w:rPr>
        <w:t>Rioux</w:t>
      </w:r>
      <w:proofErr w:type="spellEnd"/>
      <w:r w:rsidRPr="00957C03">
        <w:rPr>
          <w:rFonts w:ascii="Book Antiqua" w:hAnsi="Book Antiqua" w:cs="宋体"/>
          <w:lang w:val="en-US" w:eastAsia="zh-CN"/>
        </w:rPr>
        <w:t xml:space="preserve"> J, </w:t>
      </w:r>
      <w:proofErr w:type="spellStart"/>
      <w:r w:rsidRPr="00957C03">
        <w:rPr>
          <w:rFonts w:ascii="Book Antiqua" w:hAnsi="Book Antiqua" w:cs="宋体"/>
          <w:lang w:val="en-US" w:eastAsia="zh-CN"/>
        </w:rPr>
        <w:t>Bitton</w:t>
      </w:r>
      <w:proofErr w:type="spellEnd"/>
      <w:r w:rsidRPr="00957C03">
        <w:rPr>
          <w:rFonts w:ascii="Book Antiqua" w:hAnsi="Book Antiqua" w:cs="宋体"/>
          <w:lang w:val="en-US" w:eastAsia="zh-CN"/>
        </w:rPr>
        <w:t xml:space="preserve"> A. Phenotypic and genotypic characteristics of inflammatory bowel disease in French Canadians: comparison with a large North American repository. </w:t>
      </w:r>
      <w:r w:rsidRPr="00957C03">
        <w:rPr>
          <w:rFonts w:ascii="Book Antiqua" w:hAnsi="Book Antiqua" w:cs="宋体"/>
          <w:i/>
          <w:iCs/>
          <w:lang w:val="en-US" w:eastAsia="zh-CN"/>
        </w:rPr>
        <w:t xml:space="preserve">Am 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2009; </w:t>
      </w:r>
      <w:r w:rsidRPr="00957C03">
        <w:rPr>
          <w:rFonts w:ascii="Book Antiqua" w:hAnsi="Book Antiqua" w:cs="宋体"/>
          <w:b/>
          <w:bCs/>
          <w:lang w:val="en-US" w:eastAsia="zh-CN"/>
        </w:rPr>
        <w:t>104</w:t>
      </w:r>
      <w:r w:rsidRPr="00957C03">
        <w:rPr>
          <w:rFonts w:ascii="Book Antiqua" w:hAnsi="Book Antiqua" w:cs="宋体"/>
          <w:lang w:val="en-US" w:eastAsia="zh-CN"/>
        </w:rPr>
        <w:t>: 2233-2240 [PMID: 19513023 DOI: 10.1038/ajg.2009.267]</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9 </w:t>
      </w:r>
      <w:proofErr w:type="spellStart"/>
      <w:r w:rsidRPr="00957C03">
        <w:rPr>
          <w:rFonts w:ascii="Book Antiqua" w:hAnsi="Book Antiqua" w:cs="宋体"/>
          <w:b/>
          <w:bCs/>
          <w:lang w:val="en-US" w:eastAsia="zh-CN"/>
        </w:rPr>
        <w:t>Jeejeebhoy</w:t>
      </w:r>
      <w:proofErr w:type="spellEnd"/>
      <w:r w:rsidRPr="00957C03">
        <w:rPr>
          <w:rFonts w:ascii="Book Antiqua" w:hAnsi="Book Antiqua" w:cs="宋体"/>
          <w:b/>
          <w:bCs/>
          <w:lang w:val="en-US" w:eastAsia="zh-CN"/>
        </w:rPr>
        <w:t xml:space="preserve"> KN</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Zohrab</w:t>
      </w:r>
      <w:proofErr w:type="spellEnd"/>
      <w:r w:rsidRPr="00957C03">
        <w:rPr>
          <w:rFonts w:ascii="Book Antiqua" w:hAnsi="Book Antiqua" w:cs="宋体"/>
          <w:lang w:val="en-US" w:eastAsia="zh-CN"/>
        </w:rPr>
        <w:t xml:space="preserve"> WJ, Langer B, Phillips MJ, </w:t>
      </w:r>
      <w:proofErr w:type="spellStart"/>
      <w:r w:rsidRPr="00957C03">
        <w:rPr>
          <w:rFonts w:ascii="Book Antiqua" w:hAnsi="Book Antiqua" w:cs="宋体"/>
          <w:lang w:val="en-US" w:eastAsia="zh-CN"/>
        </w:rPr>
        <w:t>Kuksis</w:t>
      </w:r>
      <w:proofErr w:type="spellEnd"/>
      <w:r w:rsidRPr="00957C03">
        <w:rPr>
          <w:rFonts w:ascii="Book Antiqua" w:hAnsi="Book Antiqua" w:cs="宋体"/>
          <w:lang w:val="en-US" w:eastAsia="zh-CN"/>
        </w:rPr>
        <w:t xml:space="preserve"> A, Anderson GH.</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Total parenteral nutrition at home for 23 months, without complication, and with good rehabilitation.</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A study of technical and metabolic features.</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Gastroenterology</w:t>
      </w:r>
      <w:r w:rsidRPr="00957C03">
        <w:rPr>
          <w:rFonts w:ascii="Book Antiqua" w:hAnsi="Book Antiqua" w:cs="宋体"/>
          <w:lang w:val="en-US" w:eastAsia="zh-CN"/>
        </w:rPr>
        <w:t xml:space="preserve"> 1973; </w:t>
      </w:r>
      <w:r w:rsidRPr="00957C03">
        <w:rPr>
          <w:rFonts w:ascii="Book Antiqua" w:hAnsi="Book Antiqua" w:cs="宋体"/>
          <w:b/>
          <w:bCs/>
          <w:lang w:val="en-US" w:eastAsia="zh-CN"/>
        </w:rPr>
        <w:t>65</w:t>
      </w:r>
      <w:r w:rsidRPr="00957C03">
        <w:rPr>
          <w:rFonts w:ascii="Book Antiqua" w:hAnsi="Book Antiqua" w:cs="宋体"/>
          <w:lang w:val="en-US" w:eastAsia="zh-CN"/>
        </w:rPr>
        <w:t>: 811-820 [PMID: 4202368]</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10 </w:t>
      </w:r>
      <w:proofErr w:type="spellStart"/>
      <w:r w:rsidRPr="00957C03">
        <w:rPr>
          <w:rFonts w:ascii="Book Antiqua" w:hAnsi="Book Antiqua" w:cs="宋体"/>
          <w:b/>
          <w:bCs/>
          <w:lang w:val="en-US" w:eastAsia="zh-CN"/>
        </w:rPr>
        <w:t>Dibb</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Teubner</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Theis</w:t>
      </w:r>
      <w:proofErr w:type="spellEnd"/>
      <w:r w:rsidRPr="00957C03">
        <w:rPr>
          <w:rFonts w:ascii="Book Antiqua" w:hAnsi="Book Antiqua" w:cs="宋体"/>
          <w:lang w:val="en-US" w:eastAsia="zh-CN"/>
        </w:rPr>
        <w:t xml:space="preserve"> V, Shaffer J, </w:t>
      </w:r>
      <w:proofErr w:type="spellStart"/>
      <w:r w:rsidRPr="00957C03">
        <w:rPr>
          <w:rFonts w:ascii="Book Antiqua" w:hAnsi="Book Antiqua" w:cs="宋体"/>
          <w:lang w:val="en-US" w:eastAsia="zh-CN"/>
        </w:rPr>
        <w:t>Lal</w:t>
      </w:r>
      <w:proofErr w:type="spellEnd"/>
      <w:r w:rsidRPr="00957C03">
        <w:rPr>
          <w:rFonts w:ascii="Book Antiqua" w:hAnsi="Book Antiqua" w:cs="宋体"/>
          <w:lang w:val="en-US" w:eastAsia="zh-CN"/>
        </w:rPr>
        <w:t xml:space="preserve"> S. Review article: the management of long-term parenteral nutrition. </w:t>
      </w:r>
      <w:r w:rsidRPr="00957C03">
        <w:rPr>
          <w:rFonts w:ascii="Book Antiqua" w:hAnsi="Book Antiqua" w:cs="宋体"/>
          <w:i/>
          <w:iCs/>
          <w:lang w:val="en-US" w:eastAsia="zh-CN"/>
        </w:rPr>
        <w:t xml:space="preserve">Aliment </w:t>
      </w:r>
      <w:proofErr w:type="spellStart"/>
      <w:r w:rsidRPr="00957C03">
        <w:rPr>
          <w:rFonts w:ascii="Book Antiqua" w:hAnsi="Book Antiqua" w:cs="宋体"/>
          <w:i/>
          <w:iCs/>
          <w:lang w:val="en-US" w:eastAsia="zh-CN"/>
        </w:rPr>
        <w:t>Pharmacol</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Ther</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37</w:t>
      </w:r>
      <w:r w:rsidRPr="00957C03">
        <w:rPr>
          <w:rFonts w:ascii="Book Antiqua" w:hAnsi="Book Antiqua" w:cs="宋体"/>
          <w:lang w:val="en-US" w:eastAsia="zh-CN"/>
        </w:rPr>
        <w:t>: 587-603 [PMID: 23331163 DOI: 10.1111/apt.12209]</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11 </w:t>
      </w:r>
      <w:r w:rsidRPr="00957C03">
        <w:rPr>
          <w:rFonts w:ascii="Book Antiqua" w:hAnsi="Book Antiqua" w:cs="宋体"/>
          <w:b/>
          <w:bCs/>
          <w:lang w:val="en-US" w:eastAsia="zh-CN"/>
        </w:rPr>
        <w:t>Brown R</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Quercia</w:t>
      </w:r>
      <w:proofErr w:type="spellEnd"/>
      <w:r w:rsidRPr="00957C03">
        <w:rPr>
          <w:rFonts w:ascii="Book Antiqua" w:hAnsi="Book Antiqua" w:cs="宋体"/>
          <w:lang w:val="en-US" w:eastAsia="zh-CN"/>
        </w:rPr>
        <w:t xml:space="preserve"> RA, </w:t>
      </w:r>
      <w:proofErr w:type="spellStart"/>
      <w:r w:rsidRPr="00957C03">
        <w:rPr>
          <w:rFonts w:ascii="Book Antiqua" w:hAnsi="Book Antiqua" w:cs="宋体"/>
          <w:lang w:val="en-US" w:eastAsia="zh-CN"/>
        </w:rPr>
        <w:t>Sigman</w:t>
      </w:r>
      <w:proofErr w:type="spellEnd"/>
      <w:r w:rsidRPr="00957C03">
        <w:rPr>
          <w:rFonts w:ascii="Book Antiqua" w:hAnsi="Book Antiqua" w:cs="宋体"/>
          <w:lang w:val="en-US" w:eastAsia="zh-CN"/>
        </w:rPr>
        <w:t xml:space="preserve"> R. Total nutrient admixture: a review.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1986</w:t>
      </w:r>
      <w:r w:rsidRPr="00957C03">
        <w:rPr>
          <w:rFonts w:ascii="Book Antiqua" w:hAnsi="Book Antiqua" w:cs="宋体"/>
          <w:lang w:val="en-US" w:eastAsia="zh-CN"/>
        </w:rPr>
        <w:t xml:space="preserve">; </w:t>
      </w:r>
      <w:r w:rsidRPr="00957C03">
        <w:rPr>
          <w:rFonts w:ascii="Book Antiqua" w:hAnsi="Book Antiqua" w:cs="宋体"/>
          <w:b/>
          <w:bCs/>
          <w:lang w:val="en-US" w:eastAsia="zh-CN"/>
        </w:rPr>
        <w:t>10</w:t>
      </w:r>
      <w:r w:rsidRPr="00957C03">
        <w:rPr>
          <w:rFonts w:ascii="Book Antiqua" w:hAnsi="Book Antiqua" w:cs="宋体"/>
          <w:lang w:val="en-US" w:eastAsia="zh-CN"/>
        </w:rPr>
        <w:t>: 650-658 [PMID: 3099013]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12 </w:t>
      </w:r>
      <w:r w:rsidRPr="00957C03">
        <w:rPr>
          <w:rFonts w:ascii="Book Antiqua" w:hAnsi="Book Antiqua" w:cs="宋体"/>
          <w:b/>
          <w:bCs/>
          <w:lang w:val="en-US" w:eastAsia="zh-CN"/>
        </w:rPr>
        <w:t>Howard L</w:t>
      </w:r>
      <w:r w:rsidRPr="00957C03">
        <w:rPr>
          <w:rFonts w:ascii="Book Antiqua" w:hAnsi="Book Antiqua" w:cs="宋体"/>
          <w:lang w:val="en-US" w:eastAsia="zh-CN"/>
        </w:rPr>
        <w:t xml:space="preserve">, Ament M, Fleming CR, </w:t>
      </w:r>
      <w:proofErr w:type="spellStart"/>
      <w:r w:rsidRPr="00957C03">
        <w:rPr>
          <w:rFonts w:ascii="Book Antiqua" w:hAnsi="Book Antiqua" w:cs="宋体"/>
          <w:lang w:val="en-US" w:eastAsia="zh-CN"/>
        </w:rPr>
        <w:t>Shike</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Steiger</w:t>
      </w:r>
      <w:proofErr w:type="spellEnd"/>
      <w:r w:rsidRPr="00957C03">
        <w:rPr>
          <w:rFonts w:ascii="Book Antiqua" w:hAnsi="Book Antiqua" w:cs="宋体"/>
          <w:lang w:val="en-US" w:eastAsia="zh-CN"/>
        </w:rPr>
        <w:t xml:space="preserve"> E. Current use and clinical outcome of home parenteral and enteral nutrition therapies in the United States. </w:t>
      </w:r>
      <w:r w:rsidRPr="00957C03">
        <w:rPr>
          <w:rFonts w:ascii="Book Antiqua" w:hAnsi="Book Antiqua" w:cs="宋体"/>
          <w:i/>
          <w:iCs/>
          <w:lang w:val="en-US" w:eastAsia="zh-CN"/>
        </w:rPr>
        <w:t>Gastroenterology</w:t>
      </w:r>
      <w:r w:rsidRPr="00957C03">
        <w:rPr>
          <w:rFonts w:ascii="Book Antiqua" w:hAnsi="Book Antiqua" w:cs="宋体"/>
          <w:lang w:val="en-US" w:eastAsia="zh-CN"/>
        </w:rPr>
        <w:t xml:space="preserve"> 1995; </w:t>
      </w:r>
      <w:r w:rsidRPr="00957C03">
        <w:rPr>
          <w:rFonts w:ascii="Book Antiqua" w:hAnsi="Book Antiqua" w:cs="宋体"/>
          <w:b/>
          <w:bCs/>
          <w:lang w:val="en-US" w:eastAsia="zh-CN"/>
        </w:rPr>
        <w:t>109</w:t>
      </w:r>
      <w:r w:rsidRPr="00957C03">
        <w:rPr>
          <w:rFonts w:ascii="Book Antiqua" w:hAnsi="Book Antiqua" w:cs="宋体"/>
          <w:lang w:val="en-US" w:eastAsia="zh-CN"/>
        </w:rPr>
        <w:t>: 355-365 [PMID: 7615183]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13 </w:t>
      </w:r>
      <w:r w:rsidRPr="00957C03">
        <w:rPr>
          <w:rFonts w:ascii="Book Antiqua" w:hAnsi="Book Antiqua" w:cs="宋体"/>
          <w:b/>
          <w:bCs/>
          <w:lang w:val="en-US" w:eastAsia="zh-CN"/>
        </w:rPr>
        <w:t>Takagi Y</w:t>
      </w:r>
      <w:r w:rsidRPr="00957C03">
        <w:rPr>
          <w:rFonts w:ascii="Book Antiqua" w:hAnsi="Book Antiqua" w:cs="宋体"/>
          <w:lang w:val="en-US" w:eastAsia="zh-CN"/>
        </w:rPr>
        <w:t xml:space="preserve">, Okada A, Sato T, Fukushima T, </w:t>
      </w:r>
      <w:proofErr w:type="spellStart"/>
      <w:r w:rsidRPr="00957C03">
        <w:rPr>
          <w:rFonts w:ascii="Book Antiqua" w:hAnsi="Book Antiqua" w:cs="宋体"/>
          <w:lang w:val="en-US" w:eastAsia="zh-CN"/>
        </w:rPr>
        <w:t>Shirotani</w:t>
      </w:r>
      <w:proofErr w:type="spellEnd"/>
      <w:r w:rsidRPr="00957C03">
        <w:rPr>
          <w:rFonts w:ascii="Book Antiqua" w:hAnsi="Book Antiqua" w:cs="宋体"/>
          <w:lang w:val="en-US" w:eastAsia="zh-CN"/>
        </w:rPr>
        <w:t xml:space="preserve"> N, </w:t>
      </w:r>
      <w:proofErr w:type="spellStart"/>
      <w:r w:rsidRPr="00957C03">
        <w:rPr>
          <w:rFonts w:ascii="Book Antiqua" w:hAnsi="Book Antiqua" w:cs="宋体"/>
          <w:lang w:val="en-US" w:eastAsia="zh-CN"/>
        </w:rPr>
        <w:t>Osawa</w:t>
      </w:r>
      <w:proofErr w:type="spellEnd"/>
      <w:r w:rsidRPr="00957C03">
        <w:rPr>
          <w:rFonts w:ascii="Book Antiqua" w:hAnsi="Book Antiqua" w:cs="宋体"/>
          <w:lang w:val="en-US" w:eastAsia="zh-CN"/>
        </w:rPr>
        <w:t xml:space="preserve"> Y, Takeyama H, Taniguchi M, </w:t>
      </w:r>
      <w:proofErr w:type="spellStart"/>
      <w:r w:rsidRPr="00957C03">
        <w:rPr>
          <w:rFonts w:ascii="Book Antiqua" w:hAnsi="Book Antiqua" w:cs="宋体"/>
          <w:lang w:val="en-US" w:eastAsia="zh-CN"/>
        </w:rPr>
        <w:t>Takehara</w:t>
      </w:r>
      <w:proofErr w:type="spellEnd"/>
      <w:r w:rsidRPr="00957C03">
        <w:rPr>
          <w:rFonts w:ascii="Book Antiqua" w:hAnsi="Book Antiqua" w:cs="宋体"/>
          <w:lang w:val="en-US" w:eastAsia="zh-CN"/>
        </w:rPr>
        <w:t xml:space="preserve"> H, </w:t>
      </w:r>
      <w:proofErr w:type="spellStart"/>
      <w:r w:rsidRPr="00957C03">
        <w:rPr>
          <w:rFonts w:ascii="Book Antiqua" w:hAnsi="Book Antiqua" w:cs="宋体"/>
          <w:lang w:val="en-US" w:eastAsia="zh-CN"/>
        </w:rPr>
        <w:t>Mizote</w:t>
      </w:r>
      <w:proofErr w:type="spellEnd"/>
      <w:r w:rsidRPr="00957C03">
        <w:rPr>
          <w:rFonts w:ascii="Book Antiqua" w:hAnsi="Book Antiqua" w:cs="宋体"/>
          <w:lang w:val="en-US" w:eastAsia="zh-CN"/>
        </w:rPr>
        <w:t xml:space="preserve"> H. Report on the first annual survey of home parenteral nutrition in Japan. </w:t>
      </w:r>
      <w:proofErr w:type="spellStart"/>
      <w:r w:rsidRPr="00957C03">
        <w:rPr>
          <w:rFonts w:ascii="Book Antiqua" w:hAnsi="Book Antiqua" w:cs="宋体"/>
          <w:i/>
          <w:iCs/>
          <w:lang w:val="en-US" w:eastAsia="zh-CN"/>
        </w:rPr>
        <w:t>Surg</w:t>
      </w:r>
      <w:proofErr w:type="spellEnd"/>
      <w:r w:rsidRPr="00957C03">
        <w:rPr>
          <w:rFonts w:ascii="Book Antiqua" w:hAnsi="Book Antiqua" w:cs="宋体"/>
          <w:i/>
          <w:iCs/>
          <w:lang w:val="en-US" w:eastAsia="zh-CN"/>
        </w:rPr>
        <w:t xml:space="preserve"> Today</w:t>
      </w:r>
      <w:r w:rsidRPr="00957C03">
        <w:rPr>
          <w:rFonts w:ascii="Book Antiqua" w:hAnsi="Book Antiqua" w:cs="宋体"/>
          <w:lang w:val="en-US" w:eastAsia="zh-CN"/>
        </w:rPr>
        <w:t xml:space="preserve"> 1995; </w:t>
      </w:r>
      <w:r w:rsidRPr="00957C03">
        <w:rPr>
          <w:rFonts w:ascii="Book Antiqua" w:hAnsi="Book Antiqua" w:cs="宋体"/>
          <w:b/>
          <w:bCs/>
          <w:lang w:val="en-US" w:eastAsia="zh-CN"/>
        </w:rPr>
        <w:t>25</w:t>
      </w:r>
      <w:r w:rsidRPr="00957C03">
        <w:rPr>
          <w:rFonts w:ascii="Book Antiqua" w:hAnsi="Book Antiqua" w:cs="宋体"/>
          <w:lang w:val="en-US" w:eastAsia="zh-CN"/>
        </w:rPr>
        <w:t>: 193-201 [PMID: 7640446]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14 </w:t>
      </w:r>
      <w:r w:rsidRPr="00957C03">
        <w:rPr>
          <w:rFonts w:ascii="Book Antiqua" w:hAnsi="Book Antiqua" w:cs="宋体"/>
          <w:b/>
          <w:bCs/>
          <w:lang w:val="en-US" w:eastAsia="zh-CN"/>
        </w:rPr>
        <w:t>Wang MY</w:t>
      </w:r>
      <w:r w:rsidRPr="00957C03">
        <w:rPr>
          <w:rFonts w:ascii="Book Antiqua" w:hAnsi="Book Antiqua" w:cs="宋体"/>
          <w:lang w:val="en-US" w:eastAsia="zh-CN"/>
        </w:rPr>
        <w:t xml:space="preserve">, Wu MH, Hsieh DY, Lin LJ, Lee PH, Chen WJ, Lin MT. Home parenteral nutrition support in adults: experience of a medical center in Asia.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2007</w:t>
      </w:r>
      <w:r w:rsidRPr="00957C03">
        <w:rPr>
          <w:rFonts w:ascii="Book Antiqua" w:hAnsi="Book Antiqua" w:cs="宋体"/>
          <w:lang w:val="en-US" w:eastAsia="zh-CN"/>
        </w:rPr>
        <w:t xml:space="preserve">; </w:t>
      </w:r>
      <w:r w:rsidRPr="00957C03">
        <w:rPr>
          <w:rFonts w:ascii="Book Antiqua" w:hAnsi="Book Antiqua" w:cs="宋体"/>
          <w:b/>
          <w:bCs/>
          <w:lang w:val="en-US" w:eastAsia="zh-CN"/>
        </w:rPr>
        <w:t>31</w:t>
      </w:r>
      <w:r w:rsidRPr="00957C03">
        <w:rPr>
          <w:rFonts w:ascii="Book Antiqua" w:hAnsi="Book Antiqua" w:cs="宋体"/>
          <w:lang w:val="en-US" w:eastAsia="zh-CN"/>
        </w:rPr>
        <w:t>: 306-310 [PMID: 17595440]</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15 </w:t>
      </w:r>
      <w:proofErr w:type="spellStart"/>
      <w:r w:rsidRPr="00957C03">
        <w:rPr>
          <w:rFonts w:ascii="Book Antiqua" w:hAnsi="Book Antiqua" w:cs="宋体"/>
          <w:b/>
          <w:bCs/>
          <w:lang w:val="en-US" w:eastAsia="zh-CN"/>
        </w:rPr>
        <w:t>Violante</w:t>
      </w:r>
      <w:proofErr w:type="spellEnd"/>
      <w:r w:rsidRPr="00957C03">
        <w:rPr>
          <w:rFonts w:ascii="Book Antiqua" w:hAnsi="Book Antiqua" w:cs="宋体"/>
          <w:b/>
          <w:bCs/>
          <w:lang w:val="en-US" w:eastAsia="zh-CN"/>
        </w:rPr>
        <w:t xml:space="preserve"> G</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Alfonsi</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Santarpia</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Cillis</w:t>
      </w:r>
      <w:proofErr w:type="spellEnd"/>
      <w:r w:rsidRPr="00957C03">
        <w:rPr>
          <w:rFonts w:ascii="Book Antiqua" w:hAnsi="Book Antiqua" w:cs="宋体"/>
          <w:lang w:val="en-US" w:eastAsia="zh-CN"/>
        </w:rPr>
        <w:t xml:space="preserve"> MC, Negro G, De </w:t>
      </w:r>
      <w:proofErr w:type="spellStart"/>
      <w:r w:rsidRPr="00957C03">
        <w:rPr>
          <w:rFonts w:ascii="Book Antiqua" w:hAnsi="Book Antiqua" w:cs="宋体"/>
          <w:lang w:val="en-US" w:eastAsia="zh-CN"/>
        </w:rPr>
        <w:t>Caprio</w:t>
      </w:r>
      <w:proofErr w:type="spellEnd"/>
      <w:r w:rsidRPr="00957C03">
        <w:rPr>
          <w:rFonts w:ascii="Book Antiqua" w:hAnsi="Book Antiqua" w:cs="宋体"/>
          <w:lang w:val="en-US" w:eastAsia="zh-CN"/>
        </w:rPr>
        <w:t xml:space="preserve"> C, Russo N, </w:t>
      </w:r>
      <w:proofErr w:type="spellStart"/>
      <w:r w:rsidRPr="00957C03">
        <w:rPr>
          <w:rFonts w:ascii="Book Antiqua" w:hAnsi="Book Antiqua" w:cs="宋体"/>
          <w:lang w:val="en-US" w:eastAsia="zh-CN"/>
        </w:rPr>
        <w:t>Contaldo</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Pasanisi</w:t>
      </w:r>
      <w:proofErr w:type="spellEnd"/>
      <w:r w:rsidRPr="00957C03">
        <w:rPr>
          <w:rFonts w:ascii="Book Antiqua" w:hAnsi="Book Antiqua" w:cs="宋体"/>
          <w:lang w:val="en-US" w:eastAsia="zh-CN"/>
        </w:rPr>
        <w:t xml:space="preserve"> F. Adult home parenteral nutrition: a clinical evaluation after a 3-year experience in a Southern European </w:t>
      </w:r>
      <w:proofErr w:type="spellStart"/>
      <w:r w:rsidRPr="00957C03">
        <w:rPr>
          <w:rFonts w:ascii="Book Antiqua" w:hAnsi="Book Antiqua" w:cs="宋体"/>
          <w:lang w:val="en-US" w:eastAsia="zh-CN"/>
        </w:rPr>
        <w:t>centre</w:t>
      </w:r>
      <w:proofErr w:type="spellEnd"/>
      <w:r w:rsidRPr="00957C03">
        <w:rPr>
          <w:rFonts w:ascii="Book Antiqua" w:hAnsi="Book Antiqua" w:cs="宋体"/>
          <w:lang w:val="en-US" w:eastAsia="zh-CN"/>
        </w:rPr>
        <w:t xml:space="preserve">. </w:t>
      </w:r>
      <w:proofErr w:type="spellStart"/>
      <w:r w:rsidRPr="00957C03">
        <w:rPr>
          <w:rFonts w:ascii="Book Antiqua" w:hAnsi="Book Antiqua" w:cs="宋体"/>
          <w:i/>
          <w:iCs/>
          <w:lang w:val="en-US" w:eastAsia="zh-CN"/>
        </w:rPr>
        <w:t>Eur</w:t>
      </w:r>
      <w:proofErr w:type="spellEnd"/>
      <w:r w:rsidRPr="00957C03">
        <w:rPr>
          <w:rFonts w:ascii="Book Antiqua" w:hAnsi="Book Antiqua" w:cs="宋体"/>
          <w:i/>
          <w:iCs/>
          <w:lang w:val="en-US" w:eastAsia="zh-CN"/>
        </w:rPr>
        <w:t xml:space="preserve"> J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60</w:t>
      </w:r>
      <w:r w:rsidRPr="00957C03">
        <w:rPr>
          <w:rFonts w:ascii="Book Antiqua" w:hAnsi="Book Antiqua" w:cs="宋体"/>
          <w:lang w:val="en-US" w:eastAsia="zh-CN"/>
        </w:rPr>
        <w:t>: 58-61 [PMID: 16132056 DOI: 10.1038/sj.ejcn.1602267]</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16 </w:t>
      </w:r>
      <w:proofErr w:type="spellStart"/>
      <w:r w:rsidRPr="00957C03">
        <w:rPr>
          <w:rFonts w:ascii="Book Antiqua" w:hAnsi="Book Antiqua" w:cs="宋体"/>
          <w:b/>
          <w:bCs/>
          <w:lang w:val="en-US" w:eastAsia="zh-CN"/>
        </w:rPr>
        <w:t>Kirkman</w:t>
      </w:r>
      <w:proofErr w:type="spellEnd"/>
      <w:r w:rsidRPr="00957C03">
        <w:rPr>
          <w:rFonts w:ascii="Book Antiqua" w:hAnsi="Book Antiqua" w:cs="宋体"/>
          <w:b/>
          <w:bCs/>
          <w:lang w:val="en-US" w:eastAsia="zh-CN"/>
        </w:rPr>
        <w:t xml:space="preserve"> RL</w:t>
      </w:r>
      <w:r w:rsidRPr="00957C03">
        <w:rPr>
          <w:rFonts w:ascii="Book Antiqua" w:hAnsi="Book Antiqua" w:cs="宋体"/>
          <w:lang w:val="en-US" w:eastAsia="zh-CN"/>
        </w:rPr>
        <w:t>.</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Small bowel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1984; </w:t>
      </w:r>
      <w:r w:rsidRPr="00957C03">
        <w:rPr>
          <w:rFonts w:ascii="Book Antiqua" w:hAnsi="Book Antiqua" w:cs="宋体"/>
          <w:b/>
          <w:bCs/>
          <w:lang w:val="en-US" w:eastAsia="zh-CN"/>
        </w:rPr>
        <w:t>37</w:t>
      </w:r>
      <w:r w:rsidRPr="00957C03">
        <w:rPr>
          <w:rFonts w:ascii="Book Antiqua" w:hAnsi="Book Antiqua" w:cs="宋体"/>
          <w:lang w:val="en-US" w:eastAsia="zh-CN"/>
        </w:rPr>
        <w:t>: 429-433 [PMID: 6729949]</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17 </w:t>
      </w:r>
      <w:r w:rsidRPr="00957C03">
        <w:rPr>
          <w:rFonts w:ascii="Book Antiqua" w:hAnsi="Book Antiqua" w:cs="宋体"/>
          <w:b/>
          <w:bCs/>
          <w:lang w:val="en-US" w:eastAsia="zh-CN"/>
        </w:rPr>
        <w:t>Watson AJ</w:t>
      </w:r>
      <w:r w:rsidRPr="00957C03">
        <w:rPr>
          <w:rFonts w:ascii="Book Antiqua" w:hAnsi="Book Antiqua" w:cs="宋体"/>
          <w:lang w:val="en-US" w:eastAsia="zh-CN"/>
        </w:rPr>
        <w:t xml:space="preserve">, Lear PA. </w:t>
      </w:r>
      <w:proofErr w:type="gramStart"/>
      <w:r w:rsidRPr="00957C03">
        <w:rPr>
          <w:rFonts w:ascii="Book Antiqua" w:hAnsi="Book Antiqua" w:cs="宋体"/>
          <w:lang w:val="en-US" w:eastAsia="zh-CN"/>
        </w:rPr>
        <w:t>Current status of intestinal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Gut</w:t>
      </w:r>
      <w:r w:rsidRPr="00957C03">
        <w:rPr>
          <w:rFonts w:ascii="Book Antiqua" w:hAnsi="Book Antiqua" w:cs="宋体"/>
          <w:lang w:val="en-US" w:eastAsia="zh-CN"/>
        </w:rPr>
        <w:t xml:space="preserve"> 1989; </w:t>
      </w:r>
      <w:r w:rsidRPr="00957C03">
        <w:rPr>
          <w:rFonts w:ascii="Book Antiqua" w:hAnsi="Book Antiqua" w:cs="宋体"/>
          <w:b/>
          <w:bCs/>
          <w:lang w:val="en-US" w:eastAsia="zh-CN"/>
        </w:rPr>
        <w:t>30</w:t>
      </w:r>
      <w:r w:rsidRPr="00957C03">
        <w:rPr>
          <w:rFonts w:ascii="Book Antiqua" w:hAnsi="Book Antiqua" w:cs="宋体"/>
          <w:lang w:val="en-US" w:eastAsia="zh-CN"/>
        </w:rPr>
        <w:t>: 1771-1782 [PMID: 2693234]</w:t>
      </w:r>
    </w:p>
    <w:p w:rsidR="0043020A" w:rsidRPr="00EC78FD" w:rsidRDefault="0043020A" w:rsidP="00957C03">
      <w:pPr>
        <w:rPr>
          <w:rFonts w:ascii="Book Antiqua" w:hAnsi="Book Antiqua" w:cs="宋体"/>
          <w:lang w:val="en-US" w:eastAsia="zh-CN"/>
        </w:rPr>
      </w:pPr>
      <w:r w:rsidRPr="00957C03">
        <w:rPr>
          <w:rFonts w:ascii="Book Antiqua" w:hAnsi="Book Antiqua" w:cs="宋体"/>
          <w:lang w:val="en-US" w:eastAsia="zh-CN"/>
        </w:rPr>
        <w:t xml:space="preserve">18 </w:t>
      </w:r>
      <w:r w:rsidRPr="00957C03">
        <w:rPr>
          <w:rFonts w:ascii="Book Antiqua" w:hAnsi="Book Antiqua" w:cs="宋体"/>
          <w:b/>
          <w:bCs/>
          <w:lang w:val="en-US" w:eastAsia="zh-CN"/>
        </w:rPr>
        <w:t>Grant D</w:t>
      </w:r>
      <w:r w:rsidRPr="00957C03">
        <w:rPr>
          <w:rFonts w:ascii="Book Antiqua" w:hAnsi="Book Antiqua" w:cs="宋体"/>
          <w:lang w:val="en-US" w:eastAsia="zh-CN"/>
        </w:rPr>
        <w:t xml:space="preserve">, Wall W, </w:t>
      </w:r>
      <w:proofErr w:type="spellStart"/>
      <w:r w:rsidRPr="00957C03">
        <w:rPr>
          <w:rFonts w:ascii="Book Antiqua" w:hAnsi="Book Antiqua" w:cs="宋体"/>
          <w:lang w:val="en-US" w:eastAsia="zh-CN"/>
        </w:rPr>
        <w:t>Mimeault</w:t>
      </w:r>
      <w:proofErr w:type="spellEnd"/>
      <w:r w:rsidRPr="00957C03">
        <w:rPr>
          <w:rFonts w:ascii="Book Antiqua" w:hAnsi="Book Antiqua" w:cs="宋体"/>
          <w:lang w:val="en-US" w:eastAsia="zh-CN"/>
        </w:rPr>
        <w:t xml:space="preserve"> R, </w:t>
      </w:r>
      <w:proofErr w:type="spellStart"/>
      <w:r w:rsidRPr="00957C03">
        <w:rPr>
          <w:rFonts w:ascii="Book Antiqua" w:hAnsi="Book Antiqua" w:cs="宋体"/>
          <w:lang w:val="en-US" w:eastAsia="zh-CN"/>
        </w:rPr>
        <w:t>Zhong</w:t>
      </w:r>
      <w:proofErr w:type="spellEnd"/>
      <w:r w:rsidRPr="00957C03">
        <w:rPr>
          <w:rFonts w:ascii="Book Antiqua" w:hAnsi="Book Antiqua" w:cs="宋体"/>
          <w:lang w:val="en-US" w:eastAsia="zh-CN"/>
        </w:rPr>
        <w:t xml:space="preserve"> R, Ghent C, Garcia B, Stiller C, Duff J. Successful small-bowel/liver transplantation. </w:t>
      </w:r>
      <w:r w:rsidRPr="00957C03">
        <w:rPr>
          <w:rFonts w:ascii="Book Antiqua" w:hAnsi="Book Antiqua" w:cs="宋体"/>
          <w:i/>
          <w:iCs/>
          <w:lang w:val="en-US" w:eastAsia="zh-CN"/>
        </w:rPr>
        <w:t>Lancet</w:t>
      </w:r>
      <w:r w:rsidRPr="00957C03">
        <w:rPr>
          <w:rFonts w:ascii="Book Antiqua" w:hAnsi="Book Antiqua" w:cs="宋体"/>
          <w:lang w:val="en-US" w:eastAsia="zh-CN"/>
        </w:rPr>
        <w:t xml:space="preserve"> 1990; </w:t>
      </w:r>
      <w:r w:rsidRPr="00957C03">
        <w:rPr>
          <w:rFonts w:ascii="Book Antiqua" w:hAnsi="Book Antiqua" w:cs="宋体"/>
          <w:b/>
          <w:bCs/>
          <w:lang w:val="en-US" w:eastAsia="zh-CN"/>
        </w:rPr>
        <w:t>335</w:t>
      </w:r>
      <w:r w:rsidRPr="00957C03">
        <w:rPr>
          <w:rFonts w:ascii="Book Antiqua" w:hAnsi="Book Antiqua" w:cs="宋体"/>
          <w:lang w:val="en-US" w:eastAsia="zh-CN"/>
        </w:rPr>
        <w:t xml:space="preserve">: 181-184 [PMID: </w:t>
      </w:r>
      <w:r w:rsidRPr="00EC78FD">
        <w:rPr>
          <w:rFonts w:ascii="Book Antiqua" w:hAnsi="Book Antiqua" w:cs="宋体"/>
          <w:lang w:val="en-US" w:eastAsia="zh-CN"/>
        </w:rPr>
        <w:t>1967664]</w:t>
      </w:r>
    </w:p>
    <w:p w:rsidR="0043020A" w:rsidRPr="00EF72D0" w:rsidRDefault="0043020A" w:rsidP="00957C03">
      <w:pPr>
        <w:rPr>
          <w:rFonts w:ascii="Book Antiqua" w:hAnsi="Book Antiqua" w:cs="宋体"/>
          <w:highlight w:val="yellow"/>
          <w:lang w:val="en-US" w:eastAsia="zh-CN"/>
        </w:rPr>
      </w:pPr>
      <w:r w:rsidRPr="00BA376E">
        <w:rPr>
          <w:rFonts w:ascii="Book Antiqua" w:hAnsi="Book Antiqua" w:cs="宋体"/>
          <w:lang w:val="en-US" w:eastAsia="zh-CN"/>
        </w:rPr>
        <w:t>19</w:t>
      </w:r>
      <w:r w:rsidRPr="00BA376E">
        <w:t xml:space="preserve"> </w:t>
      </w:r>
      <w:r w:rsidRPr="00BA376E">
        <w:rPr>
          <w:rFonts w:ascii="Book Antiqua" w:hAnsi="Book Antiqua" w:cs="宋体"/>
          <w:b/>
          <w:lang w:val="en-US" w:eastAsia="zh-CN"/>
        </w:rPr>
        <w:t xml:space="preserve">Intestine Transplant </w:t>
      </w:r>
      <w:proofErr w:type="gramStart"/>
      <w:r w:rsidRPr="00BA376E">
        <w:rPr>
          <w:rFonts w:ascii="Book Antiqua" w:hAnsi="Book Antiqua" w:cs="宋体"/>
          <w:b/>
          <w:lang w:val="en-US" w:eastAsia="zh-CN"/>
        </w:rPr>
        <w:t>Association</w:t>
      </w:r>
      <w:proofErr w:type="gramEnd"/>
      <w:r w:rsidRPr="00BA376E">
        <w:rPr>
          <w:rFonts w:ascii="Book Antiqua" w:hAnsi="Book Antiqua" w:cs="宋体"/>
          <w:b/>
          <w:lang w:val="en-US" w:eastAsia="zh-CN"/>
        </w:rPr>
        <w:t xml:space="preserve">. </w:t>
      </w:r>
      <w:r w:rsidRPr="00BA376E">
        <w:rPr>
          <w:rFonts w:ascii="Book Antiqua" w:hAnsi="Book Antiqua" w:cs="宋体"/>
          <w:lang w:val="en-US" w:eastAsia="zh-CN"/>
        </w:rPr>
        <w:t>Intestine Transplant Association Registry Report 2011; 2011</w:t>
      </w:r>
    </w:p>
    <w:p w:rsidR="0043020A" w:rsidRPr="00957C03" w:rsidRDefault="0043020A" w:rsidP="00957C03">
      <w:pPr>
        <w:rPr>
          <w:rFonts w:ascii="Book Antiqua" w:hAnsi="Book Antiqua" w:cs="宋体"/>
          <w:lang w:val="en-US" w:eastAsia="zh-CN"/>
        </w:rPr>
      </w:pPr>
      <w:proofErr w:type="gramStart"/>
      <w:r w:rsidRPr="00BA376E">
        <w:rPr>
          <w:rFonts w:ascii="Book Antiqua" w:hAnsi="Book Antiqua" w:cs="宋体"/>
          <w:lang w:val="en-US" w:eastAsia="zh-CN"/>
        </w:rPr>
        <w:t>20</w:t>
      </w:r>
      <w:r w:rsidRPr="00BA376E">
        <w:rPr>
          <w:rFonts w:ascii="Book Antiqua" w:hAnsi="Book Antiqua" w:cs="宋体"/>
          <w:b/>
          <w:lang w:val="en-US" w:eastAsia="zh-CN"/>
        </w:rPr>
        <w:t xml:space="preserve"> NHS Blood and </w:t>
      </w:r>
      <w:proofErr w:type="spellStart"/>
      <w:r w:rsidRPr="00BA376E">
        <w:rPr>
          <w:rFonts w:ascii="Book Antiqua" w:hAnsi="Book Antiqua" w:cs="宋体"/>
          <w:b/>
          <w:lang w:val="en-US" w:eastAsia="zh-CN"/>
        </w:rPr>
        <w:t>Tranplant</w:t>
      </w:r>
      <w:proofErr w:type="spellEnd"/>
      <w:r w:rsidRPr="00BA376E">
        <w:rPr>
          <w:rFonts w:ascii="Book Antiqua" w:hAnsi="Book Antiqua" w:cs="宋体"/>
          <w:b/>
          <w:lang w:val="en-US" w:eastAsia="zh-CN"/>
        </w:rPr>
        <w:t>.</w:t>
      </w:r>
      <w:proofErr w:type="gramEnd"/>
      <w:r w:rsidRPr="00BA376E">
        <w:rPr>
          <w:rFonts w:ascii="Book Antiqua" w:hAnsi="Book Antiqua" w:cs="宋体"/>
          <w:lang w:val="en-US" w:eastAsia="zh-CN"/>
        </w:rPr>
        <w:t xml:space="preserve"> Organ donation and transplantat</w:t>
      </w:r>
      <w:r>
        <w:rPr>
          <w:rFonts w:ascii="Book Antiqua" w:hAnsi="Book Antiqua" w:cs="宋体"/>
          <w:lang w:val="en-US" w:eastAsia="zh-CN"/>
        </w:rPr>
        <w:t>ion activity report 2013: 72-74 Available from: URL http:</w:t>
      </w:r>
      <w:r w:rsidRPr="00BA376E">
        <w:rPr>
          <w:rFonts w:ascii="Book Antiqua" w:hAnsi="Book Antiqua" w:cs="宋体"/>
          <w:lang w:val="en-US" w:eastAsia="zh-CN"/>
        </w:rPr>
        <w:t>//www.organdonation.nhs.uk/statistics/transplant_activity_report/current_activity_reports/ukt/activity_report_20</w:t>
      </w:r>
      <w:r>
        <w:rPr>
          <w:rFonts w:ascii="Book Antiqua" w:hAnsi="Book Antiqua" w:cs="宋体"/>
          <w:lang w:val="en-US" w:eastAsia="zh-CN"/>
        </w:rPr>
        <w:t>12_13.pdf Accessed [27.09.2013]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21 </w:t>
      </w:r>
      <w:proofErr w:type="spellStart"/>
      <w:r w:rsidRPr="00957C03">
        <w:rPr>
          <w:rFonts w:ascii="Book Antiqua" w:hAnsi="Book Antiqua" w:cs="宋体"/>
          <w:b/>
          <w:bCs/>
          <w:lang w:val="en-US" w:eastAsia="zh-CN"/>
        </w:rPr>
        <w:t>Kumaran</w:t>
      </w:r>
      <w:proofErr w:type="spellEnd"/>
      <w:r w:rsidRPr="00957C03">
        <w:rPr>
          <w:rFonts w:ascii="Book Antiqua" w:hAnsi="Book Antiqua" w:cs="宋体"/>
          <w:b/>
          <w:bCs/>
          <w:lang w:val="en-US" w:eastAsia="zh-CN"/>
        </w:rPr>
        <w:t xml:space="preserve"> V</w:t>
      </w:r>
      <w:r w:rsidRPr="00957C03">
        <w:rPr>
          <w:rFonts w:ascii="Book Antiqua" w:hAnsi="Book Antiqua" w:cs="宋体"/>
          <w:lang w:val="en-US" w:eastAsia="zh-CN"/>
        </w:rPr>
        <w:t xml:space="preserve">, Mehta NN, Varma V, Pandey S, Rao PS, </w:t>
      </w:r>
      <w:proofErr w:type="spellStart"/>
      <w:r w:rsidRPr="00957C03">
        <w:rPr>
          <w:rFonts w:ascii="Book Antiqua" w:hAnsi="Book Antiqua" w:cs="宋体"/>
          <w:lang w:val="en-US" w:eastAsia="zh-CN"/>
        </w:rPr>
        <w:t>Nath</w:t>
      </w:r>
      <w:proofErr w:type="spellEnd"/>
      <w:r w:rsidRPr="00957C03">
        <w:rPr>
          <w:rFonts w:ascii="Book Antiqua" w:hAnsi="Book Antiqua" w:cs="宋体"/>
          <w:lang w:val="en-US" w:eastAsia="zh-CN"/>
        </w:rPr>
        <w:t xml:space="preserve"> B, </w:t>
      </w:r>
      <w:proofErr w:type="spellStart"/>
      <w:r w:rsidRPr="00957C03">
        <w:rPr>
          <w:rFonts w:ascii="Book Antiqua" w:hAnsi="Book Antiqua" w:cs="宋体"/>
          <w:lang w:val="en-US" w:eastAsia="zh-CN"/>
        </w:rPr>
        <w:t>Mallya</w:t>
      </w:r>
      <w:proofErr w:type="spellEnd"/>
      <w:r w:rsidRPr="00957C03">
        <w:rPr>
          <w:rFonts w:ascii="Book Antiqua" w:hAnsi="Book Antiqua" w:cs="宋体"/>
          <w:lang w:val="en-US" w:eastAsia="zh-CN"/>
        </w:rPr>
        <w:t xml:space="preserve"> A, Bansal N, </w:t>
      </w:r>
      <w:proofErr w:type="spellStart"/>
      <w:r w:rsidRPr="00957C03">
        <w:rPr>
          <w:rFonts w:ascii="Book Antiqua" w:hAnsi="Book Antiqua" w:cs="宋体"/>
          <w:lang w:val="en-US" w:eastAsia="zh-CN"/>
        </w:rPr>
        <w:t>Ghuman</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Bhalla</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Nundy</w:t>
      </w:r>
      <w:proofErr w:type="spellEnd"/>
      <w:r w:rsidRPr="00957C03">
        <w:rPr>
          <w:rFonts w:ascii="Book Antiqua" w:hAnsi="Book Antiqua" w:cs="宋体"/>
          <w:lang w:val="en-US" w:eastAsia="zh-CN"/>
        </w:rPr>
        <w:t xml:space="preserve"> S. Living donor intestinal transplant using a standardized technique: first report from India. </w:t>
      </w:r>
      <w:r w:rsidRPr="00957C03">
        <w:rPr>
          <w:rFonts w:ascii="Book Antiqua" w:hAnsi="Book Antiqua" w:cs="宋体"/>
          <w:i/>
          <w:iCs/>
          <w:lang w:val="en-US" w:eastAsia="zh-CN"/>
        </w:rPr>
        <w:t xml:space="preserve">Indian 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2012; </w:t>
      </w:r>
      <w:r w:rsidRPr="00957C03">
        <w:rPr>
          <w:rFonts w:ascii="Book Antiqua" w:hAnsi="Book Antiqua" w:cs="宋体"/>
          <w:b/>
          <w:bCs/>
          <w:lang w:val="en-US" w:eastAsia="zh-CN"/>
        </w:rPr>
        <w:t>31</w:t>
      </w:r>
      <w:r w:rsidRPr="00957C03">
        <w:rPr>
          <w:rFonts w:ascii="Book Antiqua" w:hAnsi="Book Antiqua" w:cs="宋体"/>
          <w:lang w:val="en-US" w:eastAsia="zh-CN"/>
        </w:rPr>
        <w:t>: 179-185 [PMID: 22948561 DOI: 10.1007/s12664-012-0242-9]</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22 </w:t>
      </w:r>
      <w:r w:rsidRPr="00957C03">
        <w:rPr>
          <w:rFonts w:ascii="Book Antiqua" w:hAnsi="Book Antiqua" w:cs="宋体"/>
          <w:b/>
          <w:bCs/>
          <w:lang w:val="en-US" w:eastAsia="zh-CN"/>
        </w:rPr>
        <w:t>Ueno T</w:t>
      </w:r>
      <w:r w:rsidRPr="00957C03">
        <w:rPr>
          <w:rFonts w:ascii="Book Antiqua" w:hAnsi="Book Antiqua" w:cs="宋体"/>
          <w:lang w:val="en-US" w:eastAsia="zh-CN"/>
        </w:rPr>
        <w:t xml:space="preserve">, Wada M, Hoshino K, </w:t>
      </w:r>
      <w:proofErr w:type="spellStart"/>
      <w:r w:rsidRPr="00957C03">
        <w:rPr>
          <w:rFonts w:ascii="Book Antiqua" w:hAnsi="Book Antiqua" w:cs="宋体"/>
          <w:lang w:val="en-US" w:eastAsia="zh-CN"/>
        </w:rPr>
        <w:t>Yonekawa</w:t>
      </w:r>
      <w:proofErr w:type="spellEnd"/>
      <w:r w:rsidRPr="00957C03">
        <w:rPr>
          <w:rFonts w:ascii="Book Antiqua" w:hAnsi="Book Antiqua" w:cs="宋体"/>
          <w:lang w:val="en-US" w:eastAsia="zh-CN"/>
        </w:rPr>
        <w:t xml:space="preserve"> Y, </w:t>
      </w:r>
      <w:proofErr w:type="spellStart"/>
      <w:r w:rsidRPr="00957C03">
        <w:rPr>
          <w:rFonts w:ascii="Book Antiqua" w:hAnsi="Book Antiqua" w:cs="宋体"/>
          <w:lang w:val="en-US" w:eastAsia="zh-CN"/>
        </w:rPr>
        <w:t>Fukuzawa</w:t>
      </w:r>
      <w:proofErr w:type="spellEnd"/>
      <w:r w:rsidRPr="00957C03">
        <w:rPr>
          <w:rFonts w:ascii="Book Antiqua" w:hAnsi="Book Antiqua" w:cs="宋体"/>
          <w:lang w:val="en-US" w:eastAsia="zh-CN"/>
        </w:rPr>
        <w:t xml:space="preserve"> M. Current status of intestinal transplantation in Japan.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w:t>
      </w:r>
      <w:r>
        <w:rPr>
          <w:rFonts w:ascii="Book Antiqua" w:hAnsi="Book Antiqua" w:cs="宋体"/>
          <w:lang w:val="en-US" w:eastAsia="zh-CN"/>
        </w:rPr>
        <w:t>2011</w:t>
      </w:r>
      <w:r w:rsidRPr="00957C03">
        <w:rPr>
          <w:rFonts w:ascii="Book Antiqua" w:hAnsi="Book Antiqua" w:cs="宋体"/>
          <w:lang w:val="en-US" w:eastAsia="zh-CN"/>
        </w:rPr>
        <w:t xml:space="preserve">; </w:t>
      </w:r>
      <w:r w:rsidRPr="00957C03">
        <w:rPr>
          <w:rFonts w:ascii="Book Antiqua" w:hAnsi="Book Antiqua" w:cs="宋体"/>
          <w:b/>
          <w:bCs/>
          <w:lang w:val="en-US" w:eastAsia="zh-CN"/>
        </w:rPr>
        <w:t>43</w:t>
      </w:r>
      <w:r w:rsidRPr="00957C03">
        <w:rPr>
          <w:rFonts w:ascii="Book Antiqua" w:hAnsi="Book Antiqua" w:cs="宋体"/>
          <w:lang w:val="en-US" w:eastAsia="zh-CN"/>
        </w:rPr>
        <w:t>: 2405-2407 [PMID: 21839278 DOI: 10.1016/j.transproceed.2011.05.043]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lastRenderedPageBreak/>
        <w:t xml:space="preserve">23 </w:t>
      </w:r>
      <w:proofErr w:type="spellStart"/>
      <w:r w:rsidRPr="00957C03">
        <w:rPr>
          <w:rFonts w:ascii="Book Antiqua" w:hAnsi="Book Antiqua" w:cs="宋体"/>
          <w:b/>
          <w:bCs/>
          <w:lang w:val="en-US" w:eastAsia="zh-CN"/>
        </w:rPr>
        <w:t>Garg</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Jones RM, </w:t>
      </w:r>
      <w:proofErr w:type="spellStart"/>
      <w:r w:rsidRPr="00957C03">
        <w:rPr>
          <w:rFonts w:ascii="Book Antiqua" w:hAnsi="Book Antiqua" w:cs="宋体"/>
          <w:lang w:val="en-US" w:eastAsia="zh-CN"/>
        </w:rPr>
        <w:t>Mirza</w:t>
      </w:r>
      <w:proofErr w:type="spellEnd"/>
      <w:r w:rsidRPr="00957C03">
        <w:rPr>
          <w:rFonts w:ascii="Book Antiqua" w:hAnsi="Book Antiqua" w:cs="宋体"/>
          <w:lang w:val="en-US" w:eastAsia="zh-CN"/>
        </w:rPr>
        <w:t xml:space="preserve"> D, Wang BZ, Fink MA, Starkey G, Vaughan RB, </w:t>
      </w:r>
      <w:proofErr w:type="spellStart"/>
      <w:r w:rsidRPr="00957C03">
        <w:rPr>
          <w:rFonts w:ascii="Book Antiqua" w:hAnsi="Book Antiqua" w:cs="宋体"/>
          <w:lang w:val="en-US" w:eastAsia="zh-CN"/>
        </w:rPr>
        <w:t>Testro</w:t>
      </w:r>
      <w:proofErr w:type="spellEnd"/>
      <w:r w:rsidRPr="00957C03">
        <w:rPr>
          <w:rFonts w:ascii="Book Antiqua" w:hAnsi="Book Antiqua" w:cs="宋体"/>
          <w:lang w:val="en-US" w:eastAsia="zh-CN"/>
        </w:rPr>
        <w:t xml:space="preserve"> AG. </w:t>
      </w:r>
      <w:proofErr w:type="gramStart"/>
      <w:r w:rsidRPr="00957C03">
        <w:rPr>
          <w:rFonts w:ascii="Book Antiqua" w:hAnsi="Book Antiqua" w:cs="宋体"/>
          <w:lang w:val="en-US" w:eastAsia="zh-CN"/>
        </w:rPr>
        <w:t>Australia's first liver-intestinal transplant.</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Med J </w:t>
      </w:r>
      <w:proofErr w:type="spellStart"/>
      <w:r w:rsidRPr="00957C03">
        <w:rPr>
          <w:rFonts w:ascii="Book Antiqua" w:hAnsi="Book Antiqua" w:cs="宋体"/>
          <w:i/>
          <w:iCs/>
          <w:lang w:val="en-US" w:eastAsia="zh-CN"/>
        </w:rPr>
        <w:t>Aust</w:t>
      </w:r>
      <w:proofErr w:type="spellEnd"/>
      <w:r w:rsidRPr="00957C03">
        <w:rPr>
          <w:rFonts w:ascii="Book Antiqua" w:hAnsi="Book Antiqua" w:cs="宋体"/>
          <w:lang w:val="en-US" w:eastAsia="zh-CN"/>
        </w:rPr>
        <w:t xml:space="preserve"> 2012; </w:t>
      </w:r>
      <w:r w:rsidRPr="00957C03">
        <w:rPr>
          <w:rFonts w:ascii="Book Antiqua" w:hAnsi="Book Antiqua" w:cs="宋体"/>
          <w:b/>
          <w:bCs/>
          <w:lang w:val="en-US" w:eastAsia="zh-CN"/>
        </w:rPr>
        <w:t>197</w:t>
      </w:r>
      <w:r w:rsidRPr="00957C03">
        <w:rPr>
          <w:rFonts w:ascii="Book Antiqua" w:hAnsi="Book Antiqua" w:cs="宋体"/>
          <w:lang w:val="en-US" w:eastAsia="zh-CN"/>
        </w:rPr>
        <w:t>: 463-465 [PMID: 23072244]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24 </w:t>
      </w:r>
      <w:r w:rsidRPr="00957C03">
        <w:rPr>
          <w:rFonts w:ascii="Book Antiqua" w:hAnsi="Book Antiqua" w:cs="宋体"/>
          <w:b/>
          <w:bCs/>
          <w:lang w:val="en-US" w:eastAsia="zh-CN"/>
        </w:rPr>
        <w:t>Desai CS</w:t>
      </w:r>
      <w:r w:rsidRPr="00957C03">
        <w:rPr>
          <w:rFonts w:ascii="Book Antiqua" w:hAnsi="Book Antiqua" w:cs="宋体"/>
          <w:lang w:val="en-US" w:eastAsia="zh-CN"/>
        </w:rPr>
        <w:t xml:space="preserve">, Khan K, </w:t>
      </w:r>
      <w:proofErr w:type="spellStart"/>
      <w:r w:rsidRPr="00957C03">
        <w:rPr>
          <w:rFonts w:ascii="Book Antiqua" w:hAnsi="Book Antiqua" w:cs="宋体"/>
          <w:lang w:val="en-US" w:eastAsia="zh-CN"/>
        </w:rPr>
        <w:t>Gruessner</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Gruessner</w:t>
      </w:r>
      <w:proofErr w:type="spellEnd"/>
      <w:r w:rsidRPr="00957C03">
        <w:rPr>
          <w:rFonts w:ascii="Book Antiqua" w:hAnsi="Book Antiqua" w:cs="宋体"/>
          <w:lang w:val="en-US" w:eastAsia="zh-CN"/>
        </w:rPr>
        <w:t xml:space="preserve"> R. Outcome of intestinal transplants for patients with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45</w:t>
      </w:r>
      <w:r w:rsidRPr="00957C03">
        <w:rPr>
          <w:rFonts w:ascii="Book Antiqua" w:hAnsi="Book Antiqua" w:cs="宋体"/>
          <w:lang w:val="en-US" w:eastAsia="zh-CN"/>
        </w:rPr>
        <w:t>: 3356-3360 [PMID: 23267810 DOI: 10.1016/j.transproceed.2012.04.030]</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25 </w:t>
      </w:r>
      <w:r w:rsidRPr="00957C03">
        <w:rPr>
          <w:rFonts w:ascii="Book Antiqua" w:hAnsi="Book Antiqua" w:cs="宋体"/>
          <w:b/>
          <w:bCs/>
          <w:lang w:val="en-US" w:eastAsia="zh-CN"/>
        </w:rPr>
        <w:t>Bianchi A</w:t>
      </w:r>
      <w:r w:rsidRPr="00957C03">
        <w:rPr>
          <w:rFonts w:ascii="Book Antiqua" w:hAnsi="Book Antiqua" w:cs="宋体"/>
          <w:lang w:val="en-US" w:eastAsia="zh-CN"/>
        </w:rPr>
        <w:t>. Intestinal loop lengthening--a technique for increasing small intestinal length.</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Pediatr</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1980; </w:t>
      </w:r>
      <w:r w:rsidRPr="00957C03">
        <w:rPr>
          <w:rFonts w:ascii="Book Antiqua" w:hAnsi="Book Antiqua" w:cs="宋体"/>
          <w:b/>
          <w:bCs/>
          <w:lang w:val="en-US" w:eastAsia="zh-CN"/>
        </w:rPr>
        <w:t>15</w:t>
      </w:r>
      <w:r w:rsidRPr="00957C03">
        <w:rPr>
          <w:rFonts w:ascii="Book Antiqua" w:hAnsi="Book Antiqua" w:cs="宋体"/>
          <w:lang w:val="en-US" w:eastAsia="zh-CN"/>
        </w:rPr>
        <w:t>: 145-151 [PMID: 7373489]</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26 </w:t>
      </w:r>
      <w:proofErr w:type="spellStart"/>
      <w:r w:rsidRPr="00957C03">
        <w:rPr>
          <w:rFonts w:ascii="Book Antiqua" w:hAnsi="Book Antiqua" w:cs="宋体"/>
          <w:b/>
          <w:bCs/>
          <w:lang w:val="en-US" w:eastAsia="zh-CN"/>
        </w:rPr>
        <w:t>Boeckman</w:t>
      </w:r>
      <w:proofErr w:type="spellEnd"/>
      <w:r w:rsidRPr="00957C03">
        <w:rPr>
          <w:rFonts w:ascii="Book Antiqua" w:hAnsi="Book Antiqua" w:cs="宋体"/>
          <w:b/>
          <w:bCs/>
          <w:lang w:val="en-US" w:eastAsia="zh-CN"/>
        </w:rPr>
        <w:t xml:space="preserve"> CR</w:t>
      </w:r>
      <w:r w:rsidRPr="00957C03">
        <w:rPr>
          <w:rFonts w:ascii="Book Antiqua" w:hAnsi="Book Antiqua" w:cs="宋体"/>
          <w:lang w:val="en-US" w:eastAsia="zh-CN"/>
        </w:rPr>
        <w:t>, Traylor R. Bowel lengthening for short gut syndrome.</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Pediatr</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1981; </w:t>
      </w:r>
      <w:r w:rsidRPr="00957C03">
        <w:rPr>
          <w:rFonts w:ascii="Book Antiqua" w:hAnsi="Book Antiqua" w:cs="宋体"/>
          <w:b/>
          <w:bCs/>
          <w:lang w:val="en-US" w:eastAsia="zh-CN"/>
        </w:rPr>
        <w:t>16</w:t>
      </w:r>
      <w:r w:rsidRPr="00957C03">
        <w:rPr>
          <w:rFonts w:ascii="Book Antiqua" w:hAnsi="Book Antiqua" w:cs="宋体"/>
          <w:lang w:val="en-US" w:eastAsia="zh-CN"/>
        </w:rPr>
        <w:t>: 996-997 [PMID: 7338786]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27 </w:t>
      </w:r>
      <w:r w:rsidRPr="00957C03">
        <w:rPr>
          <w:rFonts w:ascii="Book Antiqua" w:hAnsi="Book Antiqua" w:cs="宋体"/>
          <w:b/>
          <w:bCs/>
          <w:lang w:val="en-US" w:eastAsia="zh-CN"/>
        </w:rPr>
        <w:t>Kim HB</w:t>
      </w:r>
      <w:r w:rsidRPr="00957C03">
        <w:rPr>
          <w:rFonts w:ascii="Book Antiqua" w:hAnsi="Book Antiqua" w:cs="宋体"/>
          <w:lang w:val="en-US" w:eastAsia="zh-CN"/>
        </w:rPr>
        <w:t xml:space="preserve">, Lee PW, Garza J, Duggan C, </w:t>
      </w:r>
      <w:proofErr w:type="spellStart"/>
      <w:r w:rsidRPr="00957C03">
        <w:rPr>
          <w:rFonts w:ascii="Book Antiqua" w:hAnsi="Book Antiqua" w:cs="宋体"/>
          <w:lang w:val="en-US" w:eastAsia="zh-CN"/>
        </w:rPr>
        <w:t>Fauza</w:t>
      </w:r>
      <w:proofErr w:type="spellEnd"/>
      <w:r w:rsidRPr="00957C03">
        <w:rPr>
          <w:rFonts w:ascii="Book Antiqua" w:hAnsi="Book Antiqua" w:cs="宋体"/>
          <w:lang w:val="en-US" w:eastAsia="zh-CN"/>
        </w:rPr>
        <w:t xml:space="preserve"> D, </w:t>
      </w:r>
      <w:proofErr w:type="spellStart"/>
      <w:r w:rsidRPr="00957C03">
        <w:rPr>
          <w:rFonts w:ascii="Book Antiqua" w:hAnsi="Book Antiqua" w:cs="宋体"/>
          <w:lang w:val="en-US" w:eastAsia="zh-CN"/>
        </w:rPr>
        <w:t>Jaksic</w:t>
      </w:r>
      <w:proofErr w:type="spellEnd"/>
      <w:r w:rsidRPr="00957C03">
        <w:rPr>
          <w:rFonts w:ascii="Book Antiqua" w:hAnsi="Book Antiqua" w:cs="宋体"/>
          <w:lang w:val="en-US" w:eastAsia="zh-CN"/>
        </w:rPr>
        <w:t xml:space="preserve"> T. Serial transverse </w:t>
      </w:r>
      <w:proofErr w:type="spellStart"/>
      <w:r w:rsidRPr="00957C03">
        <w:rPr>
          <w:rFonts w:ascii="Book Antiqua" w:hAnsi="Book Antiqua" w:cs="宋体"/>
          <w:lang w:val="en-US" w:eastAsia="zh-CN"/>
        </w:rPr>
        <w:t>enteroplasty</w:t>
      </w:r>
      <w:proofErr w:type="spellEnd"/>
      <w:r w:rsidRPr="00957C03">
        <w:rPr>
          <w:rFonts w:ascii="Book Antiqua" w:hAnsi="Book Antiqua" w:cs="宋体"/>
          <w:lang w:val="en-US" w:eastAsia="zh-CN"/>
        </w:rPr>
        <w:t xml:space="preserve"> for short bowel syndrome: a case report.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Pediatr</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2003; </w:t>
      </w:r>
      <w:r w:rsidRPr="00957C03">
        <w:rPr>
          <w:rFonts w:ascii="Book Antiqua" w:hAnsi="Book Antiqua" w:cs="宋体"/>
          <w:b/>
          <w:bCs/>
          <w:lang w:val="en-US" w:eastAsia="zh-CN"/>
        </w:rPr>
        <w:t>38</w:t>
      </w:r>
      <w:r w:rsidRPr="00957C03">
        <w:rPr>
          <w:rFonts w:ascii="Book Antiqua" w:hAnsi="Book Antiqua" w:cs="宋体"/>
          <w:lang w:val="en-US" w:eastAsia="zh-CN"/>
        </w:rPr>
        <w:t>: 881-885 [PMID: 12778385]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28 </w:t>
      </w:r>
      <w:r w:rsidRPr="00957C03">
        <w:rPr>
          <w:rFonts w:ascii="Book Antiqua" w:hAnsi="Book Antiqua" w:cs="宋体"/>
          <w:b/>
          <w:bCs/>
          <w:lang w:val="en-US" w:eastAsia="zh-CN"/>
        </w:rPr>
        <w:t>Kim HB</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Fauza</w:t>
      </w:r>
      <w:proofErr w:type="spellEnd"/>
      <w:r w:rsidRPr="00957C03">
        <w:rPr>
          <w:rFonts w:ascii="Book Antiqua" w:hAnsi="Book Antiqua" w:cs="宋体"/>
          <w:lang w:val="en-US" w:eastAsia="zh-CN"/>
        </w:rPr>
        <w:t xml:space="preserve"> D, Garza J, Oh JT, </w:t>
      </w:r>
      <w:proofErr w:type="spellStart"/>
      <w:r w:rsidRPr="00957C03">
        <w:rPr>
          <w:rFonts w:ascii="Book Antiqua" w:hAnsi="Book Antiqua" w:cs="宋体"/>
          <w:lang w:val="en-US" w:eastAsia="zh-CN"/>
        </w:rPr>
        <w:t>Nurko</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Jaksic</w:t>
      </w:r>
      <w:proofErr w:type="spellEnd"/>
      <w:r w:rsidRPr="00957C03">
        <w:rPr>
          <w:rFonts w:ascii="Book Antiqua" w:hAnsi="Book Antiqua" w:cs="宋体"/>
          <w:lang w:val="en-US" w:eastAsia="zh-CN"/>
        </w:rPr>
        <w:t xml:space="preserve"> T. Serial transverse </w:t>
      </w:r>
      <w:proofErr w:type="spellStart"/>
      <w:r w:rsidRPr="00957C03">
        <w:rPr>
          <w:rFonts w:ascii="Book Antiqua" w:hAnsi="Book Antiqua" w:cs="宋体"/>
          <w:lang w:val="en-US" w:eastAsia="zh-CN"/>
        </w:rPr>
        <w:t>enteroplasty</w:t>
      </w:r>
      <w:proofErr w:type="spellEnd"/>
      <w:r w:rsidRPr="00957C03">
        <w:rPr>
          <w:rFonts w:ascii="Book Antiqua" w:hAnsi="Book Antiqua" w:cs="宋体"/>
          <w:lang w:val="en-US" w:eastAsia="zh-CN"/>
        </w:rPr>
        <w:t xml:space="preserve"> (STEP): a novel bowel lengthening procedure.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Pediatr</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2003; </w:t>
      </w:r>
      <w:r w:rsidRPr="00957C03">
        <w:rPr>
          <w:rFonts w:ascii="Book Antiqua" w:hAnsi="Book Antiqua" w:cs="宋体"/>
          <w:b/>
          <w:bCs/>
          <w:lang w:val="en-US" w:eastAsia="zh-CN"/>
        </w:rPr>
        <w:t>38</w:t>
      </w:r>
      <w:r w:rsidRPr="00957C03">
        <w:rPr>
          <w:rFonts w:ascii="Book Antiqua" w:hAnsi="Book Antiqua" w:cs="宋体"/>
          <w:lang w:val="en-US" w:eastAsia="zh-CN"/>
        </w:rPr>
        <w:t>: 425-429 [PMID: 12632361 DOI: 10.1053/jpsu.2003.50073]</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29 </w:t>
      </w:r>
      <w:proofErr w:type="spellStart"/>
      <w:r w:rsidRPr="00957C03">
        <w:rPr>
          <w:rFonts w:ascii="Book Antiqua" w:hAnsi="Book Antiqua" w:cs="宋体"/>
          <w:b/>
          <w:bCs/>
          <w:lang w:val="en-US" w:eastAsia="zh-CN"/>
        </w:rPr>
        <w:t>Yannam</w:t>
      </w:r>
      <w:proofErr w:type="spellEnd"/>
      <w:r w:rsidRPr="00957C03">
        <w:rPr>
          <w:rFonts w:ascii="Book Antiqua" w:hAnsi="Book Antiqua" w:cs="宋体"/>
          <w:b/>
          <w:bCs/>
          <w:lang w:val="en-US" w:eastAsia="zh-CN"/>
        </w:rPr>
        <w:t xml:space="preserve"> GR</w:t>
      </w:r>
      <w:r w:rsidRPr="00957C03">
        <w:rPr>
          <w:rFonts w:ascii="Book Antiqua" w:hAnsi="Book Antiqua" w:cs="宋体"/>
          <w:lang w:val="en-US" w:eastAsia="zh-CN"/>
        </w:rPr>
        <w:t xml:space="preserve">, Sudan DL, Grant W, Botha J, </w:t>
      </w:r>
      <w:proofErr w:type="spellStart"/>
      <w:r w:rsidRPr="00957C03">
        <w:rPr>
          <w:rFonts w:ascii="Book Antiqua" w:hAnsi="Book Antiqua" w:cs="宋体"/>
          <w:lang w:val="en-US" w:eastAsia="zh-CN"/>
        </w:rPr>
        <w:t>Langnas</w:t>
      </w:r>
      <w:proofErr w:type="spellEnd"/>
      <w:r w:rsidRPr="00957C03">
        <w:rPr>
          <w:rFonts w:ascii="Book Antiqua" w:hAnsi="Book Antiqua" w:cs="宋体"/>
          <w:lang w:val="en-US" w:eastAsia="zh-CN"/>
        </w:rPr>
        <w:t xml:space="preserve"> A, Thompson JS.</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Intestinal lengthening in adult patients with short bowel syndrome.</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 </w:t>
      </w:r>
      <w:proofErr w:type="spellStart"/>
      <w:r w:rsidRPr="00957C03">
        <w:rPr>
          <w:rFonts w:ascii="Book Antiqua" w:hAnsi="Book Antiqua" w:cs="宋体"/>
          <w:i/>
          <w:iCs/>
          <w:lang w:val="en-US" w:eastAsia="zh-CN"/>
        </w:rPr>
        <w:t>Gastrointest</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2010; </w:t>
      </w:r>
      <w:r w:rsidRPr="00957C03">
        <w:rPr>
          <w:rFonts w:ascii="Book Antiqua" w:hAnsi="Book Antiqua" w:cs="宋体"/>
          <w:b/>
          <w:bCs/>
          <w:lang w:val="en-US" w:eastAsia="zh-CN"/>
        </w:rPr>
        <w:t>14</w:t>
      </w:r>
      <w:r w:rsidRPr="00957C03">
        <w:rPr>
          <w:rFonts w:ascii="Book Antiqua" w:hAnsi="Book Antiqua" w:cs="宋体"/>
          <w:lang w:val="en-US" w:eastAsia="zh-CN"/>
        </w:rPr>
        <w:t>: 1931-1936 [PMID: 20734155 DOI: 10.1007/s11605-010-1291-y]</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30 </w:t>
      </w:r>
      <w:proofErr w:type="spellStart"/>
      <w:r w:rsidRPr="00957C03">
        <w:rPr>
          <w:rFonts w:ascii="Book Antiqua" w:hAnsi="Book Antiqua" w:cs="宋体"/>
          <w:b/>
          <w:bCs/>
          <w:lang w:val="en-US" w:eastAsia="zh-CN"/>
        </w:rPr>
        <w:t>Amiot</w:t>
      </w:r>
      <w:proofErr w:type="spellEnd"/>
      <w:r w:rsidRPr="00957C03">
        <w:rPr>
          <w:rFonts w:ascii="Book Antiqua" w:hAnsi="Book Antiqua" w:cs="宋体"/>
          <w:b/>
          <w:bCs/>
          <w:lang w:val="en-US" w:eastAsia="zh-CN"/>
        </w:rPr>
        <w:t xml:space="preserve"> A</w:t>
      </w:r>
      <w:r w:rsidRPr="00957C03">
        <w:rPr>
          <w:rFonts w:ascii="Book Antiqua" w:hAnsi="Book Antiqua" w:cs="宋体"/>
          <w:lang w:val="en-US" w:eastAsia="zh-CN"/>
        </w:rPr>
        <w:t xml:space="preserve">, Messing B, </w:t>
      </w:r>
      <w:proofErr w:type="spellStart"/>
      <w:r w:rsidRPr="00957C03">
        <w:rPr>
          <w:rFonts w:ascii="Book Antiqua" w:hAnsi="Book Antiqua" w:cs="宋体"/>
          <w:lang w:val="en-US" w:eastAsia="zh-CN"/>
        </w:rPr>
        <w:t>Corcos</w:t>
      </w:r>
      <w:proofErr w:type="spellEnd"/>
      <w:r w:rsidRPr="00957C03">
        <w:rPr>
          <w:rFonts w:ascii="Book Antiqua" w:hAnsi="Book Antiqua" w:cs="宋体"/>
          <w:lang w:val="en-US" w:eastAsia="zh-CN"/>
        </w:rPr>
        <w:t xml:space="preserve"> O, </w:t>
      </w:r>
      <w:proofErr w:type="spellStart"/>
      <w:r w:rsidRPr="00957C03">
        <w:rPr>
          <w:rFonts w:ascii="Book Antiqua" w:hAnsi="Book Antiqua" w:cs="宋体"/>
          <w:lang w:val="en-US" w:eastAsia="zh-CN"/>
        </w:rPr>
        <w:t>Panis</w:t>
      </w:r>
      <w:proofErr w:type="spellEnd"/>
      <w:r w:rsidRPr="00957C03">
        <w:rPr>
          <w:rFonts w:ascii="Book Antiqua" w:hAnsi="Book Antiqua" w:cs="宋体"/>
          <w:lang w:val="en-US" w:eastAsia="zh-CN"/>
        </w:rPr>
        <w:t xml:space="preserve"> Y, </w:t>
      </w:r>
      <w:proofErr w:type="spellStart"/>
      <w:r w:rsidRPr="00957C03">
        <w:rPr>
          <w:rFonts w:ascii="Book Antiqua" w:hAnsi="Book Antiqua" w:cs="宋体"/>
          <w:lang w:val="en-US" w:eastAsia="zh-CN"/>
        </w:rPr>
        <w:t>Joly</w:t>
      </w:r>
      <w:proofErr w:type="spellEnd"/>
      <w:r w:rsidRPr="00957C03">
        <w:rPr>
          <w:rFonts w:ascii="Book Antiqua" w:hAnsi="Book Antiqua" w:cs="宋体"/>
          <w:lang w:val="en-US" w:eastAsia="zh-CN"/>
        </w:rPr>
        <w:t xml:space="preserve"> F. Determinants of home parenteral nutrition dependence and survival of 268 patients with non-malignant short bowel syndrome.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32</w:t>
      </w:r>
      <w:r w:rsidRPr="00957C03">
        <w:rPr>
          <w:rFonts w:ascii="Book Antiqua" w:hAnsi="Book Antiqua" w:cs="宋体"/>
          <w:lang w:val="en-US" w:eastAsia="zh-CN"/>
        </w:rPr>
        <w:t>: 368-374 [PMID: 22992308 DOI: 10.1016/j.clnu.2012.08.007]</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31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Paganelli</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Labate</w:t>
      </w:r>
      <w:proofErr w:type="spellEnd"/>
      <w:r w:rsidRPr="00957C03">
        <w:rPr>
          <w:rFonts w:ascii="Book Antiqua" w:hAnsi="Book Antiqua" w:cs="宋体"/>
          <w:lang w:val="en-US" w:eastAsia="zh-CN"/>
        </w:rPr>
        <w:t xml:space="preserve"> AM, </w:t>
      </w:r>
      <w:proofErr w:type="spellStart"/>
      <w:r w:rsidRPr="00957C03">
        <w:rPr>
          <w:rFonts w:ascii="Book Antiqua" w:hAnsi="Book Antiqua" w:cs="宋体"/>
          <w:lang w:val="en-US" w:eastAsia="zh-CN"/>
        </w:rPr>
        <w:t>Merli</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Guidetti</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Spinucci</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Miglioli</w:t>
      </w:r>
      <w:proofErr w:type="spellEnd"/>
      <w:r w:rsidRPr="00957C03">
        <w:rPr>
          <w:rFonts w:ascii="Book Antiqua" w:hAnsi="Book Antiqua" w:cs="宋体"/>
          <w:lang w:val="en-US" w:eastAsia="zh-CN"/>
        </w:rPr>
        <w:t xml:space="preserve"> M. Safety and efficacy of home parenteral nutrition for chronic intestinal failure: a 16-year experience at a single </w:t>
      </w:r>
      <w:proofErr w:type="spellStart"/>
      <w:r w:rsidRPr="00957C03">
        <w:rPr>
          <w:rFonts w:ascii="Book Antiqua" w:hAnsi="Book Antiqua" w:cs="宋体"/>
          <w:lang w:val="en-US" w:eastAsia="zh-CN"/>
        </w:rPr>
        <w:t>centre</w:t>
      </w:r>
      <w:proofErr w:type="spellEnd"/>
      <w:r w:rsidRPr="00957C03">
        <w:rPr>
          <w:rFonts w:ascii="Book Antiqua" w:hAnsi="Book Antiqua" w:cs="宋体"/>
          <w:lang w:val="en-US" w:eastAsia="zh-CN"/>
        </w:rPr>
        <w:t xml:space="preserve">. </w:t>
      </w:r>
      <w:r w:rsidRPr="00957C03">
        <w:rPr>
          <w:rFonts w:ascii="Book Antiqua" w:hAnsi="Book Antiqua" w:cs="宋体"/>
          <w:i/>
          <w:iCs/>
          <w:lang w:val="en-US" w:eastAsia="zh-CN"/>
        </w:rPr>
        <w:t>Dig Liver Dis</w:t>
      </w:r>
      <w:r w:rsidRPr="00957C03">
        <w:rPr>
          <w:rFonts w:ascii="Book Antiqua" w:hAnsi="Book Antiqua" w:cs="宋体"/>
          <w:lang w:val="en-US" w:eastAsia="zh-CN"/>
        </w:rPr>
        <w:t xml:space="preserve"> 2003; </w:t>
      </w:r>
      <w:r w:rsidRPr="00957C03">
        <w:rPr>
          <w:rFonts w:ascii="Book Antiqua" w:hAnsi="Book Antiqua" w:cs="宋体"/>
          <w:b/>
          <w:bCs/>
          <w:lang w:val="en-US" w:eastAsia="zh-CN"/>
        </w:rPr>
        <w:t>35</w:t>
      </w:r>
      <w:r w:rsidRPr="00957C03">
        <w:rPr>
          <w:rFonts w:ascii="Book Antiqua" w:hAnsi="Book Antiqua" w:cs="宋体"/>
          <w:lang w:val="en-US" w:eastAsia="zh-CN"/>
        </w:rPr>
        <w:t>: 314-324 [PMID: 12846403]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32 </w:t>
      </w:r>
      <w:proofErr w:type="spellStart"/>
      <w:r w:rsidRPr="00957C03">
        <w:rPr>
          <w:rFonts w:ascii="Book Antiqua" w:hAnsi="Book Antiqua" w:cs="宋体"/>
          <w:b/>
          <w:bCs/>
          <w:lang w:val="en-US" w:eastAsia="zh-CN"/>
        </w:rPr>
        <w:t>Scolapio</w:t>
      </w:r>
      <w:proofErr w:type="spellEnd"/>
      <w:r w:rsidRPr="00957C03">
        <w:rPr>
          <w:rFonts w:ascii="Book Antiqua" w:hAnsi="Book Antiqua" w:cs="宋体"/>
          <w:b/>
          <w:bCs/>
          <w:lang w:val="en-US" w:eastAsia="zh-CN"/>
        </w:rPr>
        <w:t xml:space="preserve"> JS</w:t>
      </w:r>
      <w:r w:rsidRPr="00957C03">
        <w:rPr>
          <w:rFonts w:ascii="Book Antiqua" w:hAnsi="Book Antiqua" w:cs="宋体"/>
          <w:lang w:val="en-US" w:eastAsia="zh-CN"/>
        </w:rPr>
        <w:t xml:space="preserve">, Fleming CR, Kelly DG, Wick DM, </w:t>
      </w:r>
      <w:proofErr w:type="spellStart"/>
      <w:r w:rsidRPr="00957C03">
        <w:rPr>
          <w:rFonts w:ascii="Book Antiqua" w:hAnsi="Book Antiqua" w:cs="宋体"/>
          <w:lang w:val="en-US" w:eastAsia="zh-CN"/>
        </w:rPr>
        <w:t>Zinsmeister</w:t>
      </w:r>
      <w:proofErr w:type="spellEnd"/>
      <w:r w:rsidRPr="00957C03">
        <w:rPr>
          <w:rFonts w:ascii="Book Antiqua" w:hAnsi="Book Antiqua" w:cs="宋体"/>
          <w:lang w:val="en-US" w:eastAsia="zh-CN"/>
        </w:rPr>
        <w:t xml:space="preserve"> AR. Survival of home parenteral nutrition-treated patients: 20 years of experience at the Mayo Clinic. </w:t>
      </w:r>
      <w:r w:rsidRPr="00957C03">
        <w:rPr>
          <w:rFonts w:ascii="Book Antiqua" w:hAnsi="Book Antiqua" w:cs="宋体"/>
          <w:i/>
          <w:iCs/>
          <w:lang w:val="en-US" w:eastAsia="zh-CN"/>
        </w:rPr>
        <w:t xml:space="preserve">Mayo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1999; </w:t>
      </w:r>
      <w:r w:rsidRPr="00957C03">
        <w:rPr>
          <w:rFonts w:ascii="Book Antiqua" w:hAnsi="Book Antiqua" w:cs="宋体"/>
          <w:b/>
          <w:bCs/>
          <w:lang w:val="en-US" w:eastAsia="zh-CN"/>
        </w:rPr>
        <w:t>74</w:t>
      </w:r>
      <w:r w:rsidRPr="00957C03">
        <w:rPr>
          <w:rFonts w:ascii="Book Antiqua" w:hAnsi="Book Antiqua" w:cs="宋体"/>
          <w:lang w:val="en-US" w:eastAsia="zh-CN"/>
        </w:rPr>
        <w:t>: 217-222 [PMID: 10089988 DOI: 10.4065/74.3.217]</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33 </w:t>
      </w:r>
      <w:r w:rsidRPr="00957C03">
        <w:rPr>
          <w:rFonts w:ascii="Book Antiqua" w:hAnsi="Book Antiqua" w:cs="宋体"/>
          <w:b/>
          <w:bCs/>
          <w:lang w:val="en-US" w:eastAsia="zh-CN"/>
        </w:rPr>
        <w:t>Lloyd DA</w:t>
      </w:r>
      <w:r w:rsidRPr="00957C03">
        <w:rPr>
          <w:rFonts w:ascii="Book Antiqua" w:hAnsi="Book Antiqua" w:cs="宋体"/>
          <w:lang w:val="en-US" w:eastAsia="zh-CN"/>
        </w:rPr>
        <w:t xml:space="preserve">, Vega R, Bassett P, Forbes A, Gabe SM. Survival and dependence on home parenteral nutrition: experience over a 25-year period in a UK referral </w:t>
      </w:r>
      <w:proofErr w:type="spellStart"/>
      <w:r w:rsidRPr="00957C03">
        <w:rPr>
          <w:rFonts w:ascii="Book Antiqua" w:hAnsi="Book Antiqua" w:cs="宋体"/>
          <w:lang w:val="en-US" w:eastAsia="zh-CN"/>
        </w:rPr>
        <w:t>centre</w:t>
      </w:r>
      <w:proofErr w:type="spell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Aliment </w:t>
      </w:r>
      <w:proofErr w:type="spellStart"/>
      <w:r w:rsidRPr="00957C03">
        <w:rPr>
          <w:rFonts w:ascii="Book Antiqua" w:hAnsi="Book Antiqua" w:cs="宋体"/>
          <w:i/>
          <w:iCs/>
          <w:lang w:val="en-US" w:eastAsia="zh-CN"/>
        </w:rPr>
        <w:t>Pharmacol</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Ther</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24</w:t>
      </w:r>
      <w:r w:rsidRPr="00957C03">
        <w:rPr>
          <w:rFonts w:ascii="Book Antiqua" w:hAnsi="Book Antiqua" w:cs="宋体"/>
          <w:lang w:val="en-US" w:eastAsia="zh-CN"/>
        </w:rPr>
        <w:t>: 1231-1240 [PMID: 17014582 DOI: 10.1111/j.1365-2036.2006.03106.x]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34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Goulet</w:t>
      </w:r>
      <w:proofErr w:type="spellEnd"/>
      <w:r w:rsidRPr="00957C03">
        <w:rPr>
          <w:rFonts w:ascii="Book Antiqua" w:hAnsi="Book Antiqua" w:cs="宋体"/>
          <w:lang w:val="en-US" w:eastAsia="zh-CN"/>
        </w:rPr>
        <w:t xml:space="preserve"> O, Buchman A, Messing B, Gabe S, </w:t>
      </w:r>
      <w:proofErr w:type="spellStart"/>
      <w:r w:rsidRPr="00957C03">
        <w:rPr>
          <w:rFonts w:ascii="Book Antiqua" w:hAnsi="Book Antiqua" w:cs="宋体"/>
          <w:lang w:val="en-US" w:eastAsia="zh-CN"/>
        </w:rPr>
        <w:t>Candusso</w:t>
      </w:r>
      <w:proofErr w:type="spellEnd"/>
      <w:r w:rsidRPr="00957C03">
        <w:rPr>
          <w:rFonts w:ascii="Book Antiqua" w:hAnsi="Book Antiqua" w:cs="宋体"/>
          <w:lang w:val="en-US" w:eastAsia="zh-CN"/>
        </w:rPr>
        <w:t xml:space="preserve"> M, Bond G, </w:t>
      </w:r>
      <w:proofErr w:type="spellStart"/>
      <w:r w:rsidRPr="00957C03">
        <w:rPr>
          <w:rFonts w:ascii="Book Antiqua" w:hAnsi="Book Antiqua" w:cs="宋体"/>
          <w:lang w:val="en-US" w:eastAsia="zh-CN"/>
        </w:rPr>
        <w:t>Gupte</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Pertkiewicz</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Steiger</w:t>
      </w:r>
      <w:proofErr w:type="spellEnd"/>
      <w:r w:rsidRPr="00957C03">
        <w:rPr>
          <w:rFonts w:ascii="Book Antiqua" w:hAnsi="Book Antiqua" w:cs="宋体"/>
          <w:lang w:val="en-US" w:eastAsia="zh-CN"/>
        </w:rPr>
        <w:t xml:space="preserve"> E, Forbes A, Van </w:t>
      </w:r>
      <w:proofErr w:type="spellStart"/>
      <w:r w:rsidRPr="00957C03">
        <w:rPr>
          <w:rFonts w:ascii="Book Antiqua" w:hAnsi="Book Antiqua" w:cs="宋体"/>
          <w:lang w:val="en-US" w:eastAsia="zh-CN"/>
        </w:rPr>
        <w:t>Gossum</w:t>
      </w:r>
      <w:proofErr w:type="spellEnd"/>
      <w:r w:rsidRPr="00957C03">
        <w:rPr>
          <w:rFonts w:ascii="Book Antiqua" w:hAnsi="Book Antiqua" w:cs="宋体"/>
          <w:lang w:val="en-US" w:eastAsia="zh-CN"/>
        </w:rPr>
        <w:t xml:space="preserve"> A, Pinna AD. Outcome on home parenteral nutrition for benign intestinal failure: a review of the literature and benchmarking with the European prospective survey of ESPEN.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2012; </w:t>
      </w:r>
      <w:r w:rsidRPr="00957C03">
        <w:rPr>
          <w:rFonts w:ascii="Book Antiqua" w:hAnsi="Book Antiqua" w:cs="宋体"/>
          <w:b/>
          <w:bCs/>
          <w:lang w:val="en-US" w:eastAsia="zh-CN"/>
        </w:rPr>
        <w:t>31</w:t>
      </w:r>
      <w:r w:rsidRPr="00957C03">
        <w:rPr>
          <w:rFonts w:ascii="Book Antiqua" w:hAnsi="Book Antiqua" w:cs="宋体"/>
          <w:lang w:val="en-US" w:eastAsia="zh-CN"/>
        </w:rPr>
        <w:t>: 831-845 [PMID: 22658443 DOI: 10.1016/j.clnu.2012.05.004]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35 </w:t>
      </w:r>
      <w:proofErr w:type="spellStart"/>
      <w:r w:rsidRPr="00957C03">
        <w:rPr>
          <w:rFonts w:ascii="Book Antiqua" w:hAnsi="Book Antiqua" w:cs="宋体"/>
          <w:b/>
          <w:bCs/>
          <w:lang w:val="en-US" w:eastAsia="zh-CN"/>
        </w:rPr>
        <w:t>Vantini</w:t>
      </w:r>
      <w:proofErr w:type="spellEnd"/>
      <w:r w:rsidRPr="00957C03">
        <w:rPr>
          <w:rFonts w:ascii="Book Antiqua" w:hAnsi="Book Antiqua" w:cs="宋体"/>
          <w:b/>
          <w:bCs/>
          <w:lang w:val="en-US" w:eastAsia="zh-CN"/>
        </w:rPr>
        <w:t xml:space="preserve"> I</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Benini</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Bonfante</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Talamini</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Sembenini</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Chiarioni</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Maragnolli</w:t>
      </w:r>
      <w:proofErr w:type="spellEnd"/>
      <w:r w:rsidRPr="00957C03">
        <w:rPr>
          <w:rFonts w:ascii="Book Antiqua" w:hAnsi="Book Antiqua" w:cs="宋体"/>
          <w:lang w:val="en-US" w:eastAsia="zh-CN"/>
        </w:rPr>
        <w:t xml:space="preserve"> O, </w:t>
      </w:r>
      <w:proofErr w:type="spellStart"/>
      <w:r w:rsidRPr="00957C03">
        <w:rPr>
          <w:rFonts w:ascii="Book Antiqua" w:hAnsi="Book Antiqua" w:cs="宋体"/>
          <w:lang w:val="en-US" w:eastAsia="zh-CN"/>
        </w:rPr>
        <w:t>Benini</w:t>
      </w:r>
      <w:proofErr w:type="spellEnd"/>
      <w:r w:rsidRPr="00957C03">
        <w:rPr>
          <w:rFonts w:ascii="Book Antiqua" w:hAnsi="Book Antiqua" w:cs="宋体"/>
          <w:lang w:val="en-US" w:eastAsia="zh-CN"/>
        </w:rPr>
        <w:t xml:space="preserve"> F, Capra F. Survival rate and prognostic factors in patients with intestinal failure. </w:t>
      </w:r>
      <w:r w:rsidRPr="00957C03">
        <w:rPr>
          <w:rFonts w:ascii="Book Antiqua" w:hAnsi="Book Antiqua" w:cs="宋体"/>
          <w:i/>
          <w:iCs/>
          <w:lang w:val="en-US" w:eastAsia="zh-CN"/>
        </w:rPr>
        <w:t>Dig Liver Dis</w:t>
      </w:r>
      <w:r w:rsidRPr="00957C03">
        <w:rPr>
          <w:rFonts w:ascii="Book Antiqua" w:hAnsi="Book Antiqua" w:cs="宋体"/>
          <w:lang w:val="en-US" w:eastAsia="zh-CN"/>
        </w:rPr>
        <w:t xml:space="preserve"> 2004; </w:t>
      </w:r>
      <w:r w:rsidRPr="00957C03">
        <w:rPr>
          <w:rFonts w:ascii="Book Antiqua" w:hAnsi="Book Antiqua" w:cs="宋体"/>
          <w:b/>
          <w:bCs/>
          <w:lang w:val="en-US" w:eastAsia="zh-CN"/>
        </w:rPr>
        <w:t>36</w:t>
      </w:r>
      <w:r w:rsidRPr="00957C03">
        <w:rPr>
          <w:rFonts w:ascii="Book Antiqua" w:hAnsi="Book Antiqua" w:cs="宋体"/>
          <w:lang w:val="en-US" w:eastAsia="zh-CN"/>
        </w:rPr>
        <w:t>: 46-55 [PMID: 14971815 DOI: 10.1016/j.dld.2003.09.015]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36 </w:t>
      </w:r>
      <w:r w:rsidRPr="00957C03">
        <w:rPr>
          <w:rFonts w:ascii="Book Antiqua" w:hAnsi="Book Antiqua" w:cs="宋体"/>
          <w:b/>
          <w:bCs/>
          <w:lang w:val="en-US" w:eastAsia="zh-CN"/>
        </w:rPr>
        <w:t>Messing B</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Crenn</w:t>
      </w:r>
      <w:proofErr w:type="spellEnd"/>
      <w:r w:rsidRPr="00957C03">
        <w:rPr>
          <w:rFonts w:ascii="Book Antiqua" w:hAnsi="Book Antiqua" w:cs="宋体"/>
          <w:lang w:val="en-US" w:eastAsia="zh-CN"/>
        </w:rPr>
        <w:t xml:space="preserve"> P, Beau P, </w:t>
      </w:r>
      <w:proofErr w:type="spellStart"/>
      <w:r w:rsidRPr="00957C03">
        <w:rPr>
          <w:rFonts w:ascii="Book Antiqua" w:hAnsi="Book Antiqua" w:cs="宋体"/>
          <w:lang w:val="en-US" w:eastAsia="zh-CN"/>
        </w:rPr>
        <w:t>Boutron-Ruault</w:t>
      </w:r>
      <w:proofErr w:type="spellEnd"/>
      <w:r w:rsidRPr="00957C03">
        <w:rPr>
          <w:rFonts w:ascii="Book Antiqua" w:hAnsi="Book Antiqua" w:cs="宋体"/>
          <w:lang w:val="en-US" w:eastAsia="zh-CN"/>
        </w:rPr>
        <w:t xml:space="preserve"> MC, </w:t>
      </w:r>
      <w:proofErr w:type="spellStart"/>
      <w:r w:rsidRPr="00957C03">
        <w:rPr>
          <w:rFonts w:ascii="Book Antiqua" w:hAnsi="Book Antiqua" w:cs="宋体"/>
          <w:lang w:val="en-US" w:eastAsia="zh-CN"/>
        </w:rPr>
        <w:t>Rambaud</w:t>
      </w:r>
      <w:proofErr w:type="spellEnd"/>
      <w:r w:rsidRPr="00957C03">
        <w:rPr>
          <w:rFonts w:ascii="Book Antiqua" w:hAnsi="Book Antiqua" w:cs="宋体"/>
          <w:lang w:val="en-US" w:eastAsia="zh-CN"/>
        </w:rPr>
        <w:t xml:space="preserve"> JC, </w:t>
      </w:r>
      <w:proofErr w:type="spellStart"/>
      <w:r w:rsidRPr="00957C03">
        <w:rPr>
          <w:rFonts w:ascii="Book Antiqua" w:hAnsi="Book Antiqua" w:cs="宋体"/>
          <w:lang w:val="en-US" w:eastAsia="zh-CN"/>
        </w:rPr>
        <w:t>Matuchansky</w:t>
      </w:r>
      <w:proofErr w:type="spellEnd"/>
      <w:r w:rsidRPr="00957C03">
        <w:rPr>
          <w:rFonts w:ascii="Book Antiqua" w:hAnsi="Book Antiqua" w:cs="宋体"/>
          <w:lang w:val="en-US" w:eastAsia="zh-CN"/>
        </w:rPr>
        <w:t xml:space="preserve"> C. Long-term survival and parenteral nutrition dependence in adult patients with the short bowel syndrome. </w:t>
      </w:r>
      <w:r w:rsidRPr="00957C03">
        <w:rPr>
          <w:rFonts w:ascii="Book Antiqua" w:hAnsi="Book Antiqua" w:cs="宋体"/>
          <w:i/>
          <w:iCs/>
          <w:lang w:val="en-US" w:eastAsia="zh-CN"/>
        </w:rPr>
        <w:t>Gastroenterology</w:t>
      </w:r>
      <w:r w:rsidRPr="00957C03">
        <w:rPr>
          <w:rFonts w:ascii="Book Antiqua" w:hAnsi="Book Antiqua" w:cs="宋体"/>
          <w:lang w:val="en-US" w:eastAsia="zh-CN"/>
        </w:rPr>
        <w:t xml:space="preserve"> 1999; </w:t>
      </w:r>
      <w:r w:rsidRPr="00957C03">
        <w:rPr>
          <w:rFonts w:ascii="Book Antiqua" w:hAnsi="Book Antiqua" w:cs="宋体"/>
          <w:b/>
          <w:bCs/>
          <w:lang w:val="en-US" w:eastAsia="zh-CN"/>
        </w:rPr>
        <w:t>117</w:t>
      </w:r>
      <w:r w:rsidRPr="00957C03">
        <w:rPr>
          <w:rFonts w:ascii="Book Antiqua" w:hAnsi="Book Antiqua" w:cs="宋体"/>
          <w:lang w:val="en-US" w:eastAsia="zh-CN"/>
        </w:rPr>
        <w:t>: 1043-1050 [PMID: 10535866]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37 </w:t>
      </w:r>
      <w:r w:rsidRPr="00957C03">
        <w:rPr>
          <w:rFonts w:ascii="Book Antiqua" w:hAnsi="Book Antiqua" w:cs="宋体"/>
          <w:b/>
          <w:bCs/>
          <w:lang w:val="en-US" w:eastAsia="zh-CN"/>
        </w:rPr>
        <w:t>Desai CS</w:t>
      </w:r>
      <w:r w:rsidRPr="00957C03">
        <w:rPr>
          <w:rFonts w:ascii="Book Antiqua" w:hAnsi="Book Antiqua" w:cs="宋体"/>
          <w:lang w:val="en-US" w:eastAsia="zh-CN"/>
        </w:rPr>
        <w:t xml:space="preserve">, Khan KM, </w:t>
      </w:r>
      <w:proofErr w:type="spellStart"/>
      <w:r w:rsidRPr="00957C03">
        <w:rPr>
          <w:rFonts w:ascii="Book Antiqua" w:hAnsi="Book Antiqua" w:cs="宋体"/>
          <w:lang w:val="en-US" w:eastAsia="zh-CN"/>
        </w:rPr>
        <w:t>Gruessner</w:t>
      </w:r>
      <w:proofErr w:type="spellEnd"/>
      <w:r w:rsidRPr="00957C03">
        <w:rPr>
          <w:rFonts w:ascii="Book Antiqua" w:hAnsi="Book Antiqua" w:cs="宋体"/>
          <w:lang w:val="en-US" w:eastAsia="zh-CN"/>
        </w:rPr>
        <w:t xml:space="preserve"> AC, </w:t>
      </w:r>
      <w:proofErr w:type="spellStart"/>
      <w:r w:rsidRPr="00957C03">
        <w:rPr>
          <w:rFonts w:ascii="Book Antiqua" w:hAnsi="Book Antiqua" w:cs="宋体"/>
          <w:lang w:val="en-US" w:eastAsia="zh-CN"/>
        </w:rPr>
        <w:t>Fishbein</w:t>
      </w:r>
      <w:proofErr w:type="spellEnd"/>
      <w:r w:rsidRPr="00957C03">
        <w:rPr>
          <w:rFonts w:ascii="Book Antiqua" w:hAnsi="Book Antiqua" w:cs="宋体"/>
          <w:lang w:val="en-US" w:eastAsia="zh-CN"/>
        </w:rPr>
        <w:t xml:space="preserve"> TM, </w:t>
      </w:r>
      <w:proofErr w:type="spellStart"/>
      <w:r w:rsidRPr="00957C03">
        <w:rPr>
          <w:rFonts w:ascii="Book Antiqua" w:hAnsi="Book Antiqua" w:cs="宋体"/>
          <w:lang w:val="en-US" w:eastAsia="zh-CN"/>
        </w:rPr>
        <w:t>Gruessner</w:t>
      </w:r>
      <w:proofErr w:type="spellEnd"/>
      <w:r w:rsidRPr="00957C03">
        <w:rPr>
          <w:rFonts w:ascii="Book Antiqua" w:hAnsi="Book Antiqua" w:cs="宋体"/>
          <w:lang w:val="en-US" w:eastAsia="zh-CN"/>
        </w:rPr>
        <w:t xml:space="preserve"> RW. Intestinal </w:t>
      </w:r>
      <w:proofErr w:type="spellStart"/>
      <w:r w:rsidRPr="00957C03">
        <w:rPr>
          <w:rFonts w:ascii="Book Antiqua" w:hAnsi="Book Antiqua" w:cs="宋体"/>
          <w:lang w:val="en-US" w:eastAsia="zh-CN"/>
        </w:rPr>
        <w:t>retransplantation</w:t>
      </w:r>
      <w:proofErr w:type="spellEnd"/>
      <w:r w:rsidRPr="00957C03">
        <w:rPr>
          <w:rFonts w:ascii="Book Antiqua" w:hAnsi="Book Antiqua" w:cs="宋体"/>
          <w:lang w:val="en-US" w:eastAsia="zh-CN"/>
        </w:rPr>
        <w:t xml:space="preserve">: analysis of Organ Procurement and Transplantation Network </w:t>
      </w:r>
      <w:r w:rsidRPr="00957C03">
        <w:rPr>
          <w:rFonts w:ascii="Book Antiqua" w:hAnsi="Book Antiqua" w:cs="宋体"/>
          <w:lang w:val="en-US" w:eastAsia="zh-CN"/>
        </w:rPr>
        <w:lastRenderedPageBreak/>
        <w:t xml:space="preserve">database.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2012; </w:t>
      </w:r>
      <w:r w:rsidRPr="00957C03">
        <w:rPr>
          <w:rFonts w:ascii="Book Antiqua" w:hAnsi="Book Antiqua" w:cs="宋体"/>
          <w:b/>
          <w:bCs/>
          <w:lang w:val="en-US" w:eastAsia="zh-CN"/>
        </w:rPr>
        <w:t>93</w:t>
      </w:r>
      <w:r w:rsidRPr="00957C03">
        <w:rPr>
          <w:rFonts w:ascii="Book Antiqua" w:hAnsi="Book Antiqua" w:cs="宋体"/>
          <w:lang w:val="en-US" w:eastAsia="zh-CN"/>
        </w:rPr>
        <w:t>: 120-125 [PMID: 22113492 DOI: 10.1097/TP.0b013e31823aa54d]</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38 </w:t>
      </w:r>
      <w:proofErr w:type="spellStart"/>
      <w:r w:rsidRPr="00957C03">
        <w:rPr>
          <w:rFonts w:ascii="Book Antiqua" w:hAnsi="Book Antiqua" w:cs="宋体"/>
          <w:b/>
          <w:bCs/>
          <w:lang w:val="en-US" w:eastAsia="zh-CN"/>
        </w:rPr>
        <w:t>Mazariegos</w:t>
      </w:r>
      <w:proofErr w:type="spellEnd"/>
      <w:r w:rsidRPr="00957C03">
        <w:rPr>
          <w:rFonts w:ascii="Book Antiqua" w:hAnsi="Book Antiqua" w:cs="宋体"/>
          <w:b/>
          <w:bCs/>
          <w:lang w:val="en-US" w:eastAsia="zh-CN"/>
        </w:rPr>
        <w:t xml:space="preserve"> GV</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Steffick</w:t>
      </w:r>
      <w:proofErr w:type="spellEnd"/>
      <w:r w:rsidRPr="00957C03">
        <w:rPr>
          <w:rFonts w:ascii="Book Antiqua" w:hAnsi="Book Antiqua" w:cs="宋体"/>
          <w:lang w:val="en-US" w:eastAsia="zh-CN"/>
        </w:rPr>
        <w:t xml:space="preserve"> DE, </w:t>
      </w:r>
      <w:proofErr w:type="spellStart"/>
      <w:r w:rsidRPr="00957C03">
        <w:rPr>
          <w:rFonts w:ascii="Book Antiqua" w:hAnsi="Book Antiqua" w:cs="宋体"/>
          <w:lang w:val="en-US" w:eastAsia="zh-CN"/>
        </w:rPr>
        <w:t>Horslen</w:t>
      </w:r>
      <w:proofErr w:type="spellEnd"/>
      <w:r w:rsidRPr="00957C03">
        <w:rPr>
          <w:rFonts w:ascii="Book Antiqua" w:hAnsi="Book Antiqua" w:cs="宋体"/>
          <w:lang w:val="en-US" w:eastAsia="zh-CN"/>
        </w:rPr>
        <w:t xml:space="preserve"> S, Farmer D, Fryer J, Grant D, </w:t>
      </w:r>
      <w:proofErr w:type="spellStart"/>
      <w:r w:rsidRPr="00957C03">
        <w:rPr>
          <w:rFonts w:ascii="Book Antiqua" w:hAnsi="Book Antiqua" w:cs="宋体"/>
          <w:lang w:val="en-US" w:eastAsia="zh-CN"/>
        </w:rPr>
        <w:t>Langnas</w:t>
      </w:r>
      <w:proofErr w:type="spellEnd"/>
      <w:r w:rsidRPr="00957C03">
        <w:rPr>
          <w:rFonts w:ascii="Book Antiqua" w:hAnsi="Book Antiqua" w:cs="宋体"/>
          <w:lang w:val="en-US" w:eastAsia="zh-CN"/>
        </w:rPr>
        <w:t xml:space="preserve"> A, Magee JC. </w:t>
      </w:r>
      <w:proofErr w:type="gramStart"/>
      <w:r w:rsidRPr="00957C03">
        <w:rPr>
          <w:rFonts w:ascii="Book Antiqua" w:hAnsi="Book Antiqua" w:cs="宋体"/>
          <w:lang w:val="en-US" w:eastAsia="zh-CN"/>
        </w:rPr>
        <w:t>Intestine transplantation in the United States, 1999-2008.</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Am J Transplant</w:t>
      </w:r>
      <w:r w:rsidRPr="00957C03">
        <w:rPr>
          <w:rFonts w:ascii="Book Antiqua" w:hAnsi="Book Antiqua" w:cs="宋体"/>
          <w:lang w:val="en-US" w:eastAsia="zh-CN"/>
        </w:rPr>
        <w:t xml:space="preserve"> 2010; </w:t>
      </w:r>
      <w:r w:rsidRPr="00957C03">
        <w:rPr>
          <w:rFonts w:ascii="Book Antiqua" w:hAnsi="Book Antiqua" w:cs="宋体"/>
          <w:b/>
          <w:bCs/>
          <w:lang w:val="en-US" w:eastAsia="zh-CN"/>
        </w:rPr>
        <w:t>10</w:t>
      </w:r>
      <w:r w:rsidRPr="00957C03">
        <w:rPr>
          <w:rFonts w:ascii="Book Antiqua" w:hAnsi="Book Antiqua" w:cs="宋体"/>
          <w:lang w:val="en-US" w:eastAsia="zh-CN"/>
        </w:rPr>
        <w:t>: 1020-1034 [PMID: 20420650 DOI: 10.1111/j.1600-6143.2010.03044.x]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39 </w:t>
      </w:r>
      <w:r w:rsidRPr="00957C03">
        <w:rPr>
          <w:rFonts w:ascii="Book Antiqua" w:hAnsi="Book Antiqua" w:cs="宋体"/>
          <w:b/>
          <w:bCs/>
          <w:lang w:val="en-US" w:eastAsia="zh-CN"/>
        </w:rPr>
        <w:t>Abu-</w:t>
      </w:r>
      <w:proofErr w:type="spellStart"/>
      <w:r w:rsidRPr="00957C03">
        <w:rPr>
          <w:rFonts w:ascii="Book Antiqua" w:hAnsi="Book Antiqua" w:cs="宋体"/>
          <w:b/>
          <w:bCs/>
          <w:lang w:val="en-US" w:eastAsia="zh-CN"/>
        </w:rPr>
        <w:t>Elmagd</w:t>
      </w:r>
      <w:proofErr w:type="spellEnd"/>
      <w:r w:rsidRPr="00957C03">
        <w:rPr>
          <w:rFonts w:ascii="Book Antiqua" w:hAnsi="Book Antiqua" w:cs="宋体"/>
          <w:b/>
          <w:bCs/>
          <w:lang w:val="en-US" w:eastAsia="zh-CN"/>
        </w:rPr>
        <w:t xml:space="preserve"> KM</w:t>
      </w:r>
      <w:r w:rsidRPr="00957C03">
        <w:rPr>
          <w:rFonts w:ascii="Book Antiqua" w:hAnsi="Book Antiqua" w:cs="宋体"/>
          <w:lang w:val="en-US" w:eastAsia="zh-CN"/>
        </w:rPr>
        <w:t xml:space="preserve">, Costa G, Bond GJ, </w:t>
      </w:r>
      <w:proofErr w:type="spellStart"/>
      <w:r w:rsidRPr="00957C03">
        <w:rPr>
          <w:rFonts w:ascii="Book Antiqua" w:hAnsi="Book Antiqua" w:cs="宋体"/>
          <w:lang w:val="en-US" w:eastAsia="zh-CN"/>
        </w:rPr>
        <w:t>Soltys</w:t>
      </w:r>
      <w:proofErr w:type="spellEnd"/>
      <w:r w:rsidRPr="00957C03">
        <w:rPr>
          <w:rFonts w:ascii="Book Antiqua" w:hAnsi="Book Antiqua" w:cs="宋体"/>
          <w:lang w:val="en-US" w:eastAsia="zh-CN"/>
        </w:rPr>
        <w:t xml:space="preserve"> K, Sindhi R, Wu T, </w:t>
      </w:r>
      <w:proofErr w:type="spellStart"/>
      <w:r w:rsidRPr="00957C03">
        <w:rPr>
          <w:rFonts w:ascii="Book Antiqua" w:hAnsi="Book Antiqua" w:cs="宋体"/>
          <w:lang w:val="en-US" w:eastAsia="zh-CN"/>
        </w:rPr>
        <w:t>Koritsky</w:t>
      </w:r>
      <w:proofErr w:type="spellEnd"/>
      <w:r w:rsidRPr="00957C03">
        <w:rPr>
          <w:rFonts w:ascii="Book Antiqua" w:hAnsi="Book Antiqua" w:cs="宋体"/>
          <w:lang w:val="en-US" w:eastAsia="zh-CN"/>
        </w:rPr>
        <w:t xml:space="preserve"> DA, Schuster B, Martin L, Cruz RJ, </w:t>
      </w:r>
      <w:proofErr w:type="spellStart"/>
      <w:r w:rsidRPr="00957C03">
        <w:rPr>
          <w:rFonts w:ascii="Book Antiqua" w:hAnsi="Book Antiqua" w:cs="宋体"/>
          <w:lang w:val="en-US" w:eastAsia="zh-CN"/>
        </w:rPr>
        <w:t>Murase</w:t>
      </w:r>
      <w:proofErr w:type="spellEnd"/>
      <w:r w:rsidRPr="00957C03">
        <w:rPr>
          <w:rFonts w:ascii="Book Antiqua" w:hAnsi="Book Antiqua" w:cs="宋体"/>
          <w:lang w:val="en-US" w:eastAsia="zh-CN"/>
        </w:rPr>
        <w:t xml:space="preserve"> N, </w:t>
      </w:r>
      <w:proofErr w:type="spellStart"/>
      <w:r w:rsidRPr="00957C03">
        <w:rPr>
          <w:rFonts w:ascii="Book Antiqua" w:hAnsi="Book Antiqua" w:cs="宋体"/>
          <w:lang w:val="en-US" w:eastAsia="zh-CN"/>
        </w:rPr>
        <w:t>Zeevi</w:t>
      </w:r>
      <w:proofErr w:type="spellEnd"/>
      <w:r w:rsidRPr="00957C03">
        <w:rPr>
          <w:rFonts w:ascii="Book Antiqua" w:hAnsi="Book Antiqua" w:cs="宋体"/>
          <w:lang w:val="en-US" w:eastAsia="zh-CN"/>
        </w:rPr>
        <w:t xml:space="preserve"> A, Irish W, </w:t>
      </w:r>
      <w:proofErr w:type="spellStart"/>
      <w:r w:rsidRPr="00957C03">
        <w:rPr>
          <w:rFonts w:ascii="Book Antiqua" w:hAnsi="Book Antiqua" w:cs="宋体"/>
          <w:lang w:val="en-US" w:eastAsia="zh-CN"/>
        </w:rPr>
        <w:t>Ayyash</w:t>
      </w:r>
      <w:proofErr w:type="spellEnd"/>
      <w:r w:rsidRPr="00957C03">
        <w:rPr>
          <w:rFonts w:ascii="Book Antiqua" w:hAnsi="Book Antiqua" w:cs="宋体"/>
          <w:lang w:val="en-US" w:eastAsia="zh-CN"/>
        </w:rPr>
        <w:t xml:space="preserve"> MO, </w:t>
      </w:r>
      <w:proofErr w:type="spellStart"/>
      <w:r w:rsidRPr="00957C03">
        <w:rPr>
          <w:rFonts w:ascii="Book Antiqua" w:hAnsi="Book Antiqua" w:cs="宋体"/>
          <w:lang w:val="en-US" w:eastAsia="zh-CN"/>
        </w:rPr>
        <w:t>Matarese</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Humar</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Mazariegos</w:t>
      </w:r>
      <w:proofErr w:type="spellEnd"/>
      <w:r w:rsidRPr="00957C03">
        <w:rPr>
          <w:rFonts w:ascii="Book Antiqua" w:hAnsi="Book Antiqua" w:cs="宋体"/>
          <w:lang w:val="en-US" w:eastAsia="zh-CN"/>
        </w:rPr>
        <w:t xml:space="preserve"> G. Five hundred intestinal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transplantations at a single center: major advances with new challenges. </w:t>
      </w:r>
      <w:r w:rsidRPr="00957C03">
        <w:rPr>
          <w:rFonts w:ascii="Book Antiqua" w:hAnsi="Book Antiqua" w:cs="宋体"/>
          <w:i/>
          <w:iCs/>
          <w:lang w:val="en-US" w:eastAsia="zh-CN"/>
        </w:rPr>
        <w:t xml:space="preserve">Ann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2009; </w:t>
      </w:r>
      <w:r w:rsidRPr="00957C03">
        <w:rPr>
          <w:rFonts w:ascii="Book Antiqua" w:hAnsi="Book Antiqua" w:cs="宋体"/>
          <w:b/>
          <w:bCs/>
          <w:lang w:val="en-US" w:eastAsia="zh-CN"/>
        </w:rPr>
        <w:t>250</w:t>
      </w:r>
      <w:r w:rsidRPr="00957C03">
        <w:rPr>
          <w:rFonts w:ascii="Book Antiqua" w:hAnsi="Book Antiqua" w:cs="宋体"/>
          <w:lang w:val="en-US" w:eastAsia="zh-CN"/>
        </w:rPr>
        <w:t>: 567-581 [PMID: 19730240 DOI: 10.1097/SLA.0b013e3181b67725]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40 </w:t>
      </w:r>
      <w:proofErr w:type="spellStart"/>
      <w:r w:rsidRPr="00957C03">
        <w:rPr>
          <w:rFonts w:ascii="Book Antiqua" w:hAnsi="Book Antiqua" w:cs="宋体"/>
          <w:b/>
          <w:bCs/>
          <w:lang w:val="en-US" w:eastAsia="zh-CN"/>
        </w:rPr>
        <w:t>Fishbein</w:t>
      </w:r>
      <w:proofErr w:type="spellEnd"/>
      <w:r w:rsidRPr="00957C03">
        <w:rPr>
          <w:rFonts w:ascii="Book Antiqua" w:hAnsi="Book Antiqua" w:cs="宋体"/>
          <w:b/>
          <w:bCs/>
          <w:lang w:val="en-US" w:eastAsia="zh-CN"/>
        </w:rPr>
        <w:t xml:space="preserve"> T</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Novitskiy</w:t>
      </w:r>
      <w:proofErr w:type="spellEnd"/>
      <w:r w:rsidRPr="00957C03">
        <w:rPr>
          <w:rFonts w:ascii="Book Antiqua" w:hAnsi="Book Antiqua" w:cs="宋体"/>
          <w:lang w:val="en-US" w:eastAsia="zh-CN"/>
        </w:rPr>
        <w:t xml:space="preserve"> G, Mishra L, Matsumoto C, Kaufman S, </w:t>
      </w:r>
      <w:proofErr w:type="spellStart"/>
      <w:r w:rsidRPr="00957C03">
        <w:rPr>
          <w:rFonts w:ascii="Book Antiqua" w:hAnsi="Book Antiqua" w:cs="宋体"/>
          <w:lang w:val="en-US" w:eastAsia="zh-CN"/>
        </w:rPr>
        <w:t>Goyal</w:t>
      </w:r>
      <w:proofErr w:type="spellEnd"/>
      <w:r w:rsidRPr="00957C03">
        <w:rPr>
          <w:rFonts w:ascii="Book Antiqua" w:hAnsi="Book Antiqua" w:cs="宋体"/>
          <w:lang w:val="en-US" w:eastAsia="zh-CN"/>
        </w:rPr>
        <w:t xml:space="preserve"> S, Shetty K, Johnson L, Lu A, Wang A, Hu F, </w:t>
      </w:r>
      <w:proofErr w:type="spellStart"/>
      <w:r w:rsidRPr="00957C03">
        <w:rPr>
          <w:rFonts w:ascii="Book Antiqua" w:hAnsi="Book Antiqua" w:cs="宋体"/>
          <w:lang w:val="en-US" w:eastAsia="zh-CN"/>
        </w:rPr>
        <w:t>Kallakury</w:t>
      </w:r>
      <w:proofErr w:type="spellEnd"/>
      <w:r w:rsidRPr="00957C03">
        <w:rPr>
          <w:rFonts w:ascii="Book Antiqua" w:hAnsi="Book Antiqua" w:cs="宋体"/>
          <w:lang w:val="en-US" w:eastAsia="zh-CN"/>
        </w:rPr>
        <w:t xml:space="preserve"> B, Lough D, </w:t>
      </w:r>
      <w:proofErr w:type="spellStart"/>
      <w:r w:rsidRPr="00957C03">
        <w:rPr>
          <w:rFonts w:ascii="Book Antiqua" w:hAnsi="Book Antiqua" w:cs="宋体"/>
          <w:lang w:val="en-US" w:eastAsia="zh-CN"/>
        </w:rPr>
        <w:t>Zasloff</w:t>
      </w:r>
      <w:proofErr w:type="spellEnd"/>
      <w:r w:rsidRPr="00957C03">
        <w:rPr>
          <w:rFonts w:ascii="Book Antiqua" w:hAnsi="Book Antiqua" w:cs="宋体"/>
          <w:lang w:val="en-US" w:eastAsia="zh-CN"/>
        </w:rPr>
        <w:t xml:space="preserve"> M. NOD2-expressing bone marrow-derived cells appear to regulate epithelial innate immunity of the transplanted human small intestine. </w:t>
      </w:r>
      <w:r w:rsidRPr="00957C03">
        <w:rPr>
          <w:rFonts w:ascii="Book Antiqua" w:hAnsi="Book Antiqua" w:cs="宋体"/>
          <w:i/>
          <w:iCs/>
          <w:lang w:val="en-US" w:eastAsia="zh-CN"/>
        </w:rPr>
        <w:t>Gut</w:t>
      </w:r>
      <w:r w:rsidRPr="00957C03">
        <w:rPr>
          <w:rFonts w:ascii="Book Antiqua" w:hAnsi="Book Antiqua" w:cs="宋体"/>
          <w:lang w:val="en-US" w:eastAsia="zh-CN"/>
        </w:rPr>
        <w:t xml:space="preserve"> 2008; </w:t>
      </w:r>
      <w:r w:rsidRPr="00957C03">
        <w:rPr>
          <w:rFonts w:ascii="Book Antiqua" w:hAnsi="Book Antiqua" w:cs="宋体"/>
          <w:b/>
          <w:bCs/>
          <w:lang w:val="en-US" w:eastAsia="zh-CN"/>
        </w:rPr>
        <w:t>57</w:t>
      </w:r>
      <w:r w:rsidRPr="00957C03">
        <w:rPr>
          <w:rFonts w:ascii="Book Antiqua" w:hAnsi="Book Antiqua" w:cs="宋体"/>
          <w:lang w:val="en-US" w:eastAsia="zh-CN"/>
        </w:rPr>
        <w:t>: 323-330 [PMID: 17965060 DOI: 10.1136/gut.2007.133322]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41 </w:t>
      </w:r>
      <w:proofErr w:type="spellStart"/>
      <w:r w:rsidRPr="00BA376E">
        <w:rPr>
          <w:rFonts w:ascii="Book Antiqua" w:hAnsi="Book Antiqua" w:cs="宋体"/>
          <w:b/>
          <w:lang w:val="en-US" w:eastAsia="zh-CN"/>
        </w:rPr>
        <w:t>Dibb</w:t>
      </w:r>
      <w:proofErr w:type="spellEnd"/>
      <w:r w:rsidRPr="00BA376E">
        <w:rPr>
          <w:rFonts w:ascii="Book Antiqua" w:hAnsi="Book Antiqua" w:cs="宋体"/>
          <w:b/>
          <w:lang w:val="en-US" w:eastAsia="zh-CN"/>
        </w:rPr>
        <w:t xml:space="preserve"> M</w:t>
      </w:r>
      <w:r>
        <w:rPr>
          <w:rFonts w:ascii="Book Antiqua" w:hAnsi="Book Antiqua" w:cs="宋体"/>
          <w:lang w:val="en-US" w:eastAsia="zh-CN"/>
        </w:rPr>
        <w:t>, Carlson G, Bradley</w:t>
      </w:r>
      <w:r w:rsidRPr="00957C03">
        <w:rPr>
          <w:rFonts w:ascii="Book Antiqua" w:hAnsi="Book Antiqua" w:cs="宋体"/>
          <w:lang w:val="en-US" w:eastAsia="zh-CN"/>
        </w:rPr>
        <w:t xml:space="preserve"> A</w:t>
      </w:r>
      <w:r>
        <w:rPr>
          <w:rFonts w:ascii="Book Antiqua" w:hAnsi="Book Antiqua" w:cs="宋体"/>
          <w:lang w:val="en-US" w:eastAsia="zh-CN"/>
        </w:rPr>
        <w:t xml:space="preserve">, Anderson I, Shaffer J, </w:t>
      </w:r>
      <w:proofErr w:type="spellStart"/>
      <w:proofErr w:type="gramStart"/>
      <w:r>
        <w:rPr>
          <w:rFonts w:ascii="Book Antiqua" w:hAnsi="Book Antiqua" w:cs="宋体"/>
          <w:lang w:val="en-US" w:eastAsia="zh-CN"/>
        </w:rPr>
        <w:t>Lal</w:t>
      </w:r>
      <w:proofErr w:type="spellEnd"/>
      <w:proofErr w:type="gramEnd"/>
      <w:r w:rsidRPr="00957C03">
        <w:rPr>
          <w:rFonts w:ascii="Book Antiqua" w:hAnsi="Book Antiqua" w:cs="宋体"/>
          <w:lang w:val="en-US" w:eastAsia="zh-CN"/>
        </w:rPr>
        <w:t xml:space="preserve"> S. Outcome on home parenteral nutrition: 33 </w:t>
      </w:r>
      <w:proofErr w:type="spellStart"/>
      <w:r w:rsidRPr="00957C03">
        <w:rPr>
          <w:rFonts w:ascii="Book Antiqua" w:hAnsi="Book Antiqua" w:cs="宋体"/>
          <w:lang w:val="en-US" w:eastAsia="zh-CN"/>
        </w:rPr>
        <w:t>years experience</w:t>
      </w:r>
      <w:proofErr w:type="spellEnd"/>
      <w:r w:rsidRPr="00957C03">
        <w:rPr>
          <w:rFonts w:ascii="Book Antiqua" w:hAnsi="Book Antiqua" w:cs="宋体"/>
          <w:lang w:val="en-US" w:eastAsia="zh-CN"/>
        </w:rPr>
        <w:t xml:space="preserve"> from a national </w:t>
      </w:r>
      <w:proofErr w:type="spellStart"/>
      <w:r w:rsidRPr="00957C03">
        <w:rPr>
          <w:rFonts w:ascii="Book Antiqua" w:hAnsi="Book Antiqua" w:cs="宋体"/>
          <w:lang w:val="en-US" w:eastAsia="zh-CN"/>
        </w:rPr>
        <w:t>centre</w:t>
      </w:r>
      <w:proofErr w:type="spellEnd"/>
      <w:r w:rsidRPr="00957C03">
        <w:rPr>
          <w:rFonts w:ascii="Book Antiqua" w:hAnsi="Book Antiqua" w:cs="宋体"/>
          <w:lang w:val="en-US" w:eastAsia="zh-CN"/>
        </w:rPr>
        <w:t>.</w:t>
      </w:r>
      <w:r w:rsidRPr="00BA376E">
        <w:rPr>
          <w:rFonts w:ascii="Book Antiqua" w:hAnsi="Book Antiqua" w:cs="宋体"/>
          <w:i/>
          <w:lang w:val="en-US" w:eastAsia="zh-CN"/>
        </w:rPr>
        <w:t xml:space="preserve"> Gut </w:t>
      </w:r>
      <w:r w:rsidRPr="00957C03">
        <w:rPr>
          <w:rFonts w:ascii="Book Antiqua" w:hAnsi="Book Antiqua" w:cs="宋体"/>
          <w:lang w:val="en-US" w:eastAsia="zh-CN"/>
        </w:rPr>
        <w:t xml:space="preserve">2012; </w:t>
      </w:r>
      <w:r w:rsidRPr="00BA376E">
        <w:rPr>
          <w:rFonts w:ascii="Book Antiqua" w:hAnsi="Book Antiqua" w:cs="宋体"/>
          <w:b/>
          <w:lang w:val="en-US" w:eastAsia="zh-CN"/>
        </w:rPr>
        <w:t>61</w:t>
      </w:r>
      <w:r>
        <w:rPr>
          <w:rFonts w:ascii="Book Antiqua" w:hAnsi="Book Antiqua" w:cs="宋体"/>
          <w:b/>
          <w:lang w:val="en-US" w:eastAsia="zh-CN"/>
        </w:rPr>
        <w:t xml:space="preserve"> </w:t>
      </w:r>
      <w:r w:rsidRPr="00957C03">
        <w:rPr>
          <w:rFonts w:ascii="Book Antiqua" w:hAnsi="Book Antiqua" w:cs="宋体"/>
          <w:lang w:val="en-US" w:eastAsia="zh-CN"/>
        </w:rPr>
        <w:t>(</w:t>
      </w:r>
      <w:proofErr w:type="spellStart"/>
      <w:r w:rsidRPr="00957C03">
        <w:rPr>
          <w:rFonts w:ascii="Book Antiqua" w:hAnsi="Book Antiqua" w:cs="宋体"/>
          <w:lang w:val="en-US" w:eastAsia="zh-CN"/>
        </w:rPr>
        <w:t>Suppl</w:t>
      </w:r>
      <w:proofErr w:type="spellEnd"/>
      <w:r w:rsidRPr="00957C03">
        <w:rPr>
          <w:rFonts w:ascii="Book Antiqua" w:hAnsi="Book Antiqua" w:cs="宋体"/>
          <w:lang w:val="en-US" w:eastAsia="zh-CN"/>
        </w:rPr>
        <w:t xml:space="preserve"> 2): A14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42 </w:t>
      </w:r>
      <w:proofErr w:type="spellStart"/>
      <w:r w:rsidRPr="00957C03">
        <w:rPr>
          <w:rFonts w:ascii="Book Antiqua" w:hAnsi="Book Antiqua" w:cs="宋体"/>
          <w:b/>
          <w:bCs/>
          <w:lang w:val="en-US" w:eastAsia="zh-CN"/>
        </w:rPr>
        <w:t>Dreesen</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Foulon</w:t>
      </w:r>
      <w:proofErr w:type="spellEnd"/>
      <w:r w:rsidRPr="00957C03">
        <w:rPr>
          <w:rFonts w:ascii="Book Antiqua" w:hAnsi="Book Antiqua" w:cs="宋体"/>
          <w:lang w:val="en-US" w:eastAsia="zh-CN"/>
        </w:rPr>
        <w:t xml:space="preserve"> V, </w:t>
      </w:r>
      <w:proofErr w:type="spellStart"/>
      <w:r w:rsidRPr="00957C03">
        <w:rPr>
          <w:rFonts w:ascii="Book Antiqua" w:hAnsi="Book Antiqua" w:cs="宋体"/>
          <w:lang w:val="en-US" w:eastAsia="zh-CN"/>
        </w:rPr>
        <w:t>Spriet</w:t>
      </w:r>
      <w:proofErr w:type="spellEnd"/>
      <w:r w:rsidRPr="00957C03">
        <w:rPr>
          <w:rFonts w:ascii="Book Antiqua" w:hAnsi="Book Antiqua" w:cs="宋体"/>
          <w:lang w:val="en-US" w:eastAsia="zh-CN"/>
        </w:rPr>
        <w:t xml:space="preserve"> I, </w:t>
      </w:r>
      <w:proofErr w:type="spellStart"/>
      <w:r w:rsidRPr="00957C03">
        <w:rPr>
          <w:rFonts w:ascii="Book Antiqua" w:hAnsi="Book Antiqua" w:cs="宋体"/>
          <w:lang w:val="en-US" w:eastAsia="zh-CN"/>
        </w:rPr>
        <w:t>Goossens</w:t>
      </w:r>
      <w:proofErr w:type="spellEnd"/>
      <w:r w:rsidRPr="00957C03">
        <w:rPr>
          <w:rFonts w:ascii="Book Antiqua" w:hAnsi="Book Antiqua" w:cs="宋体"/>
          <w:lang w:val="en-US" w:eastAsia="zh-CN"/>
        </w:rPr>
        <w:t xml:space="preserve"> GA, </w:t>
      </w:r>
      <w:proofErr w:type="spellStart"/>
      <w:r w:rsidRPr="00957C03">
        <w:rPr>
          <w:rFonts w:ascii="Book Antiqua" w:hAnsi="Book Antiqua" w:cs="宋体"/>
          <w:lang w:val="en-US" w:eastAsia="zh-CN"/>
        </w:rPr>
        <w:t>Hiele</w:t>
      </w:r>
      <w:proofErr w:type="spellEnd"/>
      <w:r w:rsidRPr="00957C03">
        <w:rPr>
          <w:rFonts w:ascii="Book Antiqua" w:hAnsi="Book Antiqua" w:cs="宋体"/>
          <w:lang w:val="en-US" w:eastAsia="zh-CN"/>
        </w:rPr>
        <w:t xml:space="preserve"> M, De </w:t>
      </w:r>
      <w:proofErr w:type="spellStart"/>
      <w:r w:rsidRPr="00957C03">
        <w:rPr>
          <w:rFonts w:ascii="Book Antiqua" w:hAnsi="Book Antiqua" w:cs="宋体"/>
          <w:lang w:val="en-US" w:eastAsia="zh-CN"/>
        </w:rPr>
        <w:t>Pourcq</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Willems</w:t>
      </w:r>
      <w:proofErr w:type="spellEnd"/>
      <w:r w:rsidRPr="00957C03">
        <w:rPr>
          <w:rFonts w:ascii="Book Antiqua" w:hAnsi="Book Antiqua" w:cs="宋体"/>
          <w:lang w:val="en-US" w:eastAsia="zh-CN"/>
        </w:rPr>
        <w:t xml:space="preserve"> L. Epidemiology of catheter-related infections in adult patients receiving home parenteral nutrition: a systematic review.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32</w:t>
      </w:r>
      <w:r w:rsidRPr="00957C03">
        <w:rPr>
          <w:rFonts w:ascii="Book Antiqua" w:hAnsi="Book Antiqua" w:cs="宋体"/>
          <w:lang w:val="en-US" w:eastAsia="zh-CN"/>
        </w:rPr>
        <w:t>: 16-26 [PMID: 22959630 DOI: 10.1016/j.clnu.2012.08.004]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43 </w:t>
      </w:r>
      <w:r w:rsidRPr="00957C03">
        <w:rPr>
          <w:rFonts w:ascii="Book Antiqua" w:hAnsi="Book Antiqua" w:cs="宋体"/>
          <w:b/>
          <w:bCs/>
          <w:lang w:val="en-US" w:eastAsia="zh-CN"/>
        </w:rPr>
        <w:t>Green CJ</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Mountford</w:t>
      </w:r>
      <w:proofErr w:type="spellEnd"/>
      <w:r w:rsidRPr="00957C03">
        <w:rPr>
          <w:rFonts w:ascii="Book Antiqua" w:hAnsi="Book Antiqua" w:cs="宋体"/>
          <w:lang w:val="en-US" w:eastAsia="zh-CN"/>
        </w:rPr>
        <w:t xml:space="preserve"> V, Hamilton H, </w:t>
      </w:r>
      <w:proofErr w:type="spellStart"/>
      <w:r w:rsidRPr="00957C03">
        <w:rPr>
          <w:rFonts w:ascii="Book Antiqua" w:hAnsi="Book Antiqua" w:cs="宋体"/>
          <w:lang w:val="en-US" w:eastAsia="zh-CN"/>
        </w:rPr>
        <w:t>Kettlewell</w:t>
      </w:r>
      <w:proofErr w:type="spellEnd"/>
      <w:r w:rsidRPr="00957C03">
        <w:rPr>
          <w:rFonts w:ascii="Book Antiqua" w:hAnsi="Book Antiqua" w:cs="宋体"/>
          <w:lang w:val="en-US" w:eastAsia="zh-CN"/>
        </w:rPr>
        <w:t xml:space="preserve"> MG, Travis SP. </w:t>
      </w:r>
      <w:proofErr w:type="gramStart"/>
      <w:r w:rsidRPr="00957C03">
        <w:rPr>
          <w:rFonts w:ascii="Book Antiqua" w:hAnsi="Book Antiqua" w:cs="宋体"/>
          <w:lang w:val="en-US" w:eastAsia="zh-CN"/>
        </w:rPr>
        <w:t>A 15-year audit of home parenteral nutrition provision at the John Radcliffe Hospital, Oxford.</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QJM</w:t>
      </w:r>
      <w:r w:rsidRPr="00957C03">
        <w:rPr>
          <w:rFonts w:ascii="Book Antiqua" w:hAnsi="Book Antiqua" w:cs="宋体"/>
          <w:lang w:val="en-US" w:eastAsia="zh-CN"/>
        </w:rPr>
        <w:t xml:space="preserve"> 2008; </w:t>
      </w:r>
      <w:r w:rsidRPr="00957C03">
        <w:rPr>
          <w:rFonts w:ascii="Book Antiqua" w:hAnsi="Book Antiqua" w:cs="宋体"/>
          <w:b/>
          <w:bCs/>
          <w:lang w:val="en-US" w:eastAsia="zh-CN"/>
        </w:rPr>
        <w:t>101</w:t>
      </w:r>
      <w:r w:rsidRPr="00957C03">
        <w:rPr>
          <w:rFonts w:ascii="Book Antiqua" w:hAnsi="Book Antiqua" w:cs="宋体"/>
          <w:lang w:val="en-US" w:eastAsia="zh-CN"/>
        </w:rPr>
        <w:t>: 365-369 [PMID: 18292099 DOI: 10.1093/</w:t>
      </w:r>
      <w:proofErr w:type="spellStart"/>
      <w:r w:rsidRPr="00957C03">
        <w:rPr>
          <w:rFonts w:ascii="Book Antiqua" w:hAnsi="Book Antiqua" w:cs="宋体"/>
          <w:lang w:val="en-US" w:eastAsia="zh-CN"/>
        </w:rPr>
        <w:t>qjmed</w:t>
      </w:r>
      <w:proofErr w:type="spellEnd"/>
      <w:r w:rsidRPr="00957C03">
        <w:rPr>
          <w:rFonts w:ascii="Book Antiqua" w:hAnsi="Book Antiqua" w:cs="宋体"/>
          <w:lang w:val="en-US" w:eastAsia="zh-CN"/>
        </w:rPr>
        <w:t>/hcn011]</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44 </w:t>
      </w:r>
      <w:r w:rsidRPr="00AB2E30">
        <w:rPr>
          <w:rFonts w:ascii="Book Antiqua" w:hAnsi="Book Antiqua" w:cs="宋体"/>
          <w:b/>
          <w:lang w:val="en-US" w:eastAsia="zh-CN"/>
        </w:rPr>
        <w:t>Buchman AL</w:t>
      </w:r>
      <w:r w:rsidRPr="00AB2E30">
        <w:rPr>
          <w:rFonts w:ascii="Book Antiqua" w:hAnsi="Book Antiqua" w:cs="宋体"/>
          <w:lang w:val="en-US" w:eastAsia="zh-CN"/>
        </w:rPr>
        <w:t xml:space="preserve">, </w:t>
      </w:r>
      <w:proofErr w:type="spellStart"/>
      <w:r w:rsidRPr="00AB2E30">
        <w:rPr>
          <w:rFonts w:ascii="Book Antiqua" w:hAnsi="Book Antiqua" w:cs="宋体"/>
          <w:lang w:val="en-US" w:eastAsia="zh-CN"/>
        </w:rPr>
        <w:t>Opilla</w:t>
      </w:r>
      <w:proofErr w:type="spellEnd"/>
      <w:r w:rsidRPr="00AB2E30">
        <w:rPr>
          <w:rFonts w:ascii="Book Antiqua" w:hAnsi="Book Antiqua" w:cs="宋体"/>
          <w:lang w:val="en-US" w:eastAsia="zh-CN"/>
        </w:rPr>
        <w:t xml:space="preserve"> M, </w:t>
      </w:r>
      <w:proofErr w:type="spellStart"/>
      <w:r w:rsidRPr="00AB2E30">
        <w:rPr>
          <w:rFonts w:ascii="Book Antiqua" w:hAnsi="Book Antiqua" w:cs="宋体"/>
          <w:lang w:val="en-US" w:eastAsia="zh-CN"/>
        </w:rPr>
        <w:t>Kwasny</w:t>
      </w:r>
      <w:proofErr w:type="spellEnd"/>
      <w:r w:rsidRPr="00AB2E30">
        <w:rPr>
          <w:rFonts w:ascii="Book Antiqua" w:hAnsi="Book Antiqua" w:cs="宋体"/>
          <w:lang w:val="en-US" w:eastAsia="zh-CN"/>
        </w:rPr>
        <w:t xml:space="preserve"> M, </w:t>
      </w:r>
      <w:proofErr w:type="spellStart"/>
      <w:r w:rsidRPr="00AB2E30">
        <w:rPr>
          <w:rFonts w:ascii="Book Antiqua" w:hAnsi="Book Antiqua" w:cs="宋体"/>
          <w:lang w:val="en-US" w:eastAsia="zh-CN"/>
        </w:rPr>
        <w:t>Diamantidis</w:t>
      </w:r>
      <w:proofErr w:type="spellEnd"/>
      <w:r w:rsidRPr="00AB2E30">
        <w:rPr>
          <w:rFonts w:ascii="Book Antiqua" w:hAnsi="Book Antiqua" w:cs="宋体"/>
          <w:lang w:val="en-US" w:eastAsia="zh-CN"/>
        </w:rPr>
        <w:t xml:space="preserve"> TG, Okamoto R.</w:t>
      </w:r>
      <w:r w:rsidRPr="00957C03">
        <w:rPr>
          <w:rFonts w:ascii="Book Antiqua" w:hAnsi="Book Antiqua" w:cs="宋体"/>
          <w:lang w:val="en-US" w:eastAsia="zh-CN"/>
        </w:rPr>
        <w:t xml:space="preserve"> Risk Factors for the Development of Catheter-Related Bloodstream Infections in Patients Receiving Home Parenteral Nutrition.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2013; </w:t>
      </w:r>
      <w:proofErr w:type="spellStart"/>
      <w:r w:rsidRPr="00AB2E30">
        <w:rPr>
          <w:rFonts w:ascii="Book Antiqua" w:hAnsi="Book Antiqua" w:cs="宋体"/>
          <w:lang w:val="en-US" w:eastAsia="zh-CN"/>
        </w:rPr>
        <w:t>Epub</w:t>
      </w:r>
      <w:proofErr w:type="spellEnd"/>
      <w:r w:rsidRPr="00AB2E30">
        <w:rPr>
          <w:rFonts w:ascii="Book Antiqua" w:hAnsi="Book Antiqua" w:cs="宋体"/>
          <w:lang w:val="en-US" w:eastAsia="zh-CN"/>
        </w:rPr>
        <w:t xml:space="preserve"> ahead of print </w:t>
      </w:r>
      <w:r w:rsidRPr="00957C03">
        <w:rPr>
          <w:rFonts w:ascii="Book Antiqua" w:hAnsi="Book Antiqua" w:cs="宋体"/>
          <w:lang w:val="en-US" w:eastAsia="zh-CN"/>
        </w:rPr>
        <w:t>[PMID: 23744839 DOI: 10.1177/0148607113491783]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45 </w:t>
      </w:r>
      <w:r w:rsidRPr="00957C03">
        <w:rPr>
          <w:rFonts w:ascii="Book Antiqua" w:hAnsi="Book Antiqua" w:cs="宋体"/>
          <w:b/>
          <w:bCs/>
          <w:lang w:val="en-US" w:eastAsia="zh-CN"/>
        </w:rPr>
        <w:t>O'Keefe SJ</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Burnes</w:t>
      </w:r>
      <w:proofErr w:type="spellEnd"/>
      <w:r w:rsidRPr="00957C03">
        <w:rPr>
          <w:rFonts w:ascii="Book Antiqua" w:hAnsi="Book Antiqua" w:cs="宋体"/>
          <w:lang w:val="en-US" w:eastAsia="zh-CN"/>
        </w:rPr>
        <w:t xml:space="preserve"> JU, Thompson RL. Recurrent sepsis in home parenteral nutrition patients: an analysis of risk factors.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1994</w:t>
      </w:r>
      <w:r w:rsidRPr="00957C03">
        <w:rPr>
          <w:rFonts w:ascii="Book Antiqua" w:hAnsi="Book Antiqua" w:cs="宋体"/>
          <w:lang w:val="en-US" w:eastAsia="zh-CN"/>
        </w:rPr>
        <w:t xml:space="preserve">; </w:t>
      </w:r>
      <w:r w:rsidRPr="00957C03">
        <w:rPr>
          <w:rFonts w:ascii="Book Antiqua" w:hAnsi="Book Antiqua" w:cs="宋体"/>
          <w:b/>
          <w:bCs/>
          <w:lang w:val="en-US" w:eastAsia="zh-CN"/>
        </w:rPr>
        <w:t>18</w:t>
      </w:r>
      <w:r w:rsidRPr="00957C03">
        <w:rPr>
          <w:rFonts w:ascii="Book Antiqua" w:hAnsi="Book Antiqua" w:cs="宋体"/>
          <w:lang w:val="en-US" w:eastAsia="zh-CN"/>
        </w:rPr>
        <w:t>: 256-263 [PMID: 8065002]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46 </w:t>
      </w:r>
      <w:r w:rsidRPr="00957C03">
        <w:rPr>
          <w:rFonts w:ascii="Book Antiqua" w:hAnsi="Book Antiqua" w:cs="宋体"/>
          <w:b/>
          <w:bCs/>
          <w:lang w:val="en-US" w:eastAsia="zh-CN"/>
        </w:rPr>
        <w:t>Buchman AL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Moukarzel</w:t>
      </w:r>
      <w:proofErr w:type="spellEnd"/>
      <w:r w:rsidRPr="00957C03">
        <w:rPr>
          <w:rFonts w:ascii="Book Antiqua" w:hAnsi="Book Antiqua" w:cs="宋体"/>
          <w:lang w:val="en-US" w:eastAsia="zh-CN"/>
        </w:rPr>
        <w:t xml:space="preserve"> A, Goodson B, Herzog F, Pollack P, </w:t>
      </w:r>
      <w:proofErr w:type="spellStart"/>
      <w:r w:rsidRPr="00957C03">
        <w:rPr>
          <w:rFonts w:ascii="Book Antiqua" w:hAnsi="Book Antiqua" w:cs="宋体"/>
          <w:lang w:val="en-US" w:eastAsia="zh-CN"/>
        </w:rPr>
        <w:t>Reyen</w:t>
      </w:r>
      <w:proofErr w:type="spellEnd"/>
      <w:r w:rsidRPr="00957C03">
        <w:rPr>
          <w:rFonts w:ascii="Book Antiqua" w:hAnsi="Book Antiqua" w:cs="宋体"/>
          <w:lang w:val="en-US" w:eastAsia="zh-CN"/>
        </w:rPr>
        <w:t xml:space="preserve"> L, Alvarez M, Ament ME, </w:t>
      </w:r>
      <w:proofErr w:type="spellStart"/>
      <w:r w:rsidRPr="00957C03">
        <w:rPr>
          <w:rFonts w:ascii="Book Antiqua" w:hAnsi="Book Antiqua" w:cs="宋体"/>
          <w:lang w:val="en-US" w:eastAsia="zh-CN"/>
        </w:rPr>
        <w:t>Gornbein</w:t>
      </w:r>
      <w:proofErr w:type="spellEnd"/>
      <w:r w:rsidRPr="00957C03">
        <w:rPr>
          <w:rFonts w:ascii="Book Antiqua" w:hAnsi="Book Antiqua" w:cs="宋体"/>
          <w:lang w:val="en-US" w:eastAsia="zh-CN"/>
        </w:rPr>
        <w:t xml:space="preserve"> J. Catheter-related infections associated with home parenteral nutrition and predictive factors for the need for catheter removal in their treatment.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1994</w:t>
      </w:r>
      <w:r w:rsidRPr="00957C03">
        <w:rPr>
          <w:rFonts w:ascii="Book Antiqua" w:hAnsi="Book Antiqua" w:cs="宋体"/>
          <w:lang w:val="en-US" w:eastAsia="zh-CN"/>
        </w:rPr>
        <w:t xml:space="preserve">; </w:t>
      </w:r>
      <w:r w:rsidRPr="00957C03">
        <w:rPr>
          <w:rFonts w:ascii="Book Antiqua" w:hAnsi="Book Antiqua" w:cs="宋体"/>
          <w:b/>
          <w:bCs/>
          <w:lang w:val="en-US" w:eastAsia="zh-CN"/>
        </w:rPr>
        <w:t>18</w:t>
      </w:r>
      <w:r w:rsidRPr="00957C03">
        <w:rPr>
          <w:rFonts w:ascii="Book Antiqua" w:hAnsi="Book Antiqua" w:cs="宋体"/>
          <w:lang w:val="en-US" w:eastAsia="zh-CN"/>
        </w:rPr>
        <w:t>: 297-302 [PMID: 7933434]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47 </w:t>
      </w:r>
      <w:proofErr w:type="spellStart"/>
      <w:r w:rsidRPr="00957C03">
        <w:rPr>
          <w:rFonts w:ascii="Book Antiqua" w:hAnsi="Book Antiqua" w:cs="宋体"/>
          <w:b/>
          <w:bCs/>
          <w:lang w:val="en-US" w:eastAsia="zh-CN"/>
        </w:rPr>
        <w:t>Puiggròs</w:t>
      </w:r>
      <w:proofErr w:type="spellEnd"/>
      <w:r w:rsidRPr="00957C03">
        <w:rPr>
          <w:rFonts w:ascii="Book Antiqua" w:hAnsi="Book Antiqua" w:cs="宋体"/>
          <w:b/>
          <w:bCs/>
          <w:lang w:val="en-US" w:eastAsia="zh-CN"/>
        </w:rPr>
        <w:t xml:space="preserve"> C</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Cuerda</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Virgili</w:t>
      </w:r>
      <w:proofErr w:type="spellEnd"/>
      <w:r w:rsidRPr="00957C03">
        <w:rPr>
          <w:rFonts w:ascii="Book Antiqua" w:hAnsi="Book Antiqua" w:cs="宋体"/>
          <w:lang w:val="en-US" w:eastAsia="zh-CN"/>
        </w:rPr>
        <w:t xml:space="preserve"> N, </w:t>
      </w:r>
      <w:proofErr w:type="spellStart"/>
      <w:r w:rsidRPr="00957C03">
        <w:rPr>
          <w:rFonts w:ascii="Book Antiqua" w:hAnsi="Book Antiqua" w:cs="宋体"/>
          <w:lang w:val="en-US" w:eastAsia="zh-CN"/>
        </w:rPr>
        <w:t>Chicharro</w:t>
      </w:r>
      <w:proofErr w:type="spellEnd"/>
      <w:r w:rsidRPr="00957C03">
        <w:rPr>
          <w:rFonts w:ascii="Book Antiqua" w:hAnsi="Book Antiqua" w:cs="宋体"/>
          <w:lang w:val="en-US" w:eastAsia="zh-CN"/>
        </w:rPr>
        <w:t xml:space="preserve"> ML, </w:t>
      </w:r>
      <w:proofErr w:type="spellStart"/>
      <w:r w:rsidRPr="00957C03">
        <w:rPr>
          <w:rFonts w:ascii="Book Antiqua" w:hAnsi="Book Antiqua" w:cs="宋体"/>
          <w:lang w:val="en-US" w:eastAsia="zh-CN"/>
        </w:rPr>
        <w:t>Martínez</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Garde</w:t>
      </w:r>
      <w:proofErr w:type="spellEnd"/>
      <w:r w:rsidRPr="00957C03">
        <w:rPr>
          <w:rFonts w:ascii="Book Antiqua" w:hAnsi="Book Antiqua" w:cs="宋体"/>
          <w:lang w:val="en-US" w:eastAsia="zh-CN"/>
        </w:rPr>
        <w:t xml:space="preserve"> C, de Luis D. [Catheter occlusion and venous thrombosis prevention and incidence in adult home parenteral nutrition (HPN) </w:t>
      </w:r>
      <w:proofErr w:type="spellStart"/>
      <w:r w:rsidRPr="00957C03">
        <w:rPr>
          <w:rFonts w:ascii="Book Antiqua" w:hAnsi="Book Antiqua" w:cs="宋体"/>
          <w:lang w:val="en-US" w:eastAsia="zh-CN"/>
        </w:rPr>
        <w:t>programme</w:t>
      </w:r>
      <w:proofErr w:type="spellEnd"/>
      <w:r w:rsidRPr="00957C03">
        <w:rPr>
          <w:rFonts w:ascii="Book Antiqua" w:hAnsi="Book Antiqua" w:cs="宋体"/>
          <w:lang w:val="en-US" w:eastAsia="zh-CN"/>
        </w:rPr>
        <w:t xml:space="preserve"> patients]. </w:t>
      </w:r>
      <w:proofErr w:type="spellStart"/>
      <w:r w:rsidRPr="00957C03">
        <w:rPr>
          <w:rFonts w:ascii="Book Antiqua" w:hAnsi="Book Antiqua" w:cs="宋体"/>
          <w:i/>
          <w:iCs/>
          <w:lang w:val="en-US" w:eastAsia="zh-CN"/>
        </w:rPr>
        <w:t>Nutr</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Hosp</w:t>
      </w:r>
      <w:proofErr w:type="spellEnd"/>
      <w:r w:rsidRPr="00957C03">
        <w:rPr>
          <w:rFonts w:ascii="Book Antiqua" w:hAnsi="Book Antiqua" w:cs="宋体"/>
          <w:lang w:val="en-US" w:eastAsia="zh-CN"/>
        </w:rPr>
        <w:t xml:space="preserve"> </w:t>
      </w:r>
      <w:r>
        <w:rPr>
          <w:rFonts w:ascii="Book Antiqua" w:hAnsi="Book Antiqua" w:cs="宋体"/>
          <w:lang w:val="en-US" w:eastAsia="zh-CN"/>
        </w:rPr>
        <w:t>2012</w:t>
      </w:r>
      <w:r w:rsidRPr="00957C03">
        <w:rPr>
          <w:rFonts w:ascii="Book Antiqua" w:hAnsi="Book Antiqua" w:cs="宋体"/>
          <w:lang w:val="en-US" w:eastAsia="zh-CN"/>
        </w:rPr>
        <w:t xml:space="preserve">; </w:t>
      </w:r>
      <w:r w:rsidRPr="00957C03">
        <w:rPr>
          <w:rFonts w:ascii="Book Antiqua" w:hAnsi="Book Antiqua" w:cs="宋体"/>
          <w:b/>
          <w:bCs/>
          <w:lang w:val="en-US" w:eastAsia="zh-CN"/>
        </w:rPr>
        <w:t>27</w:t>
      </w:r>
      <w:r w:rsidRPr="00957C03">
        <w:rPr>
          <w:rFonts w:ascii="Book Antiqua" w:hAnsi="Book Antiqua" w:cs="宋体"/>
          <w:lang w:val="en-US" w:eastAsia="zh-CN"/>
        </w:rPr>
        <w:t>: 256-261 [PMID: 22566330 DOI: 10.1590/S0212-16112012000100033]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48 </w:t>
      </w:r>
      <w:proofErr w:type="spellStart"/>
      <w:r w:rsidRPr="00957C03">
        <w:rPr>
          <w:rFonts w:ascii="Book Antiqua" w:hAnsi="Book Antiqua" w:cs="宋体"/>
          <w:b/>
          <w:bCs/>
          <w:lang w:val="en-US" w:eastAsia="zh-CN"/>
        </w:rPr>
        <w:t>Sivaprakasam</w:t>
      </w:r>
      <w:proofErr w:type="spellEnd"/>
      <w:r w:rsidRPr="00957C03">
        <w:rPr>
          <w:rFonts w:ascii="Book Antiqua" w:hAnsi="Book Antiqua" w:cs="宋体"/>
          <w:b/>
          <w:bCs/>
          <w:lang w:val="en-US" w:eastAsia="zh-CN"/>
        </w:rPr>
        <w:t xml:space="preserve"> R</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Hidenori</w:t>
      </w:r>
      <w:proofErr w:type="spellEnd"/>
      <w:r w:rsidRPr="00957C03">
        <w:rPr>
          <w:rFonts w:ascii="Book Antiqua" w:hAnsi="Book Antiqua" w:cs="宋体"/>
          <w:lang w:val="en-US" w:eastAsia="zh-CN"/>
        </w:rPr>
        <w:t xml:space="preserve"> T, </w:t>
      </w:r>
      <w:proofErr w:type="spellStart"/>
      <w:r w:rsidRPr="00957C03">
        <w:rPr>
          <w:rFonts w:ascii="Book Antiqua" w:hAnsi="Book Antiqua" w:cs="宋体"/>
          <w:lang w:val="en-US" w:eastAsia="zh-CN"/>
        </w:rPr>
        <w:t>Pither</w:t>
      </w:r>
      <w:proofErr w:type="spellEnd"/>
      <w:r w:rsidRPr="00957C03">
        <w:rPr>
          <w:rFonts w:ascii="Book Antiqua" w:hAnsi="Book Antiqua" w:cs="宋体"/>
          <w:lang w:val="en-US" w:eastAsia="zh-CN"/>
        </w:rPr>
        <w:t xml:space="preserve"> C, Nishida S, Butler AJ, Island ER, Moon J, </w:t>
      </w:r>
      <w:proofErr w:type="spellStart"/>
      <w:r w:rsidRPr="00957C03">
        <w:rPr>
          <w:rFonts w:ascii="Book Antiqua" w:hAnsi="Book Antiqua" w:cs="宋体"/>
          <w:lang w:val="en-US" w:eastAsia="zh-CN"/>
        </w:rPr>
        <w:t>Dawwas</w:t>
      </w:r>
      <w:proofErr w:type="spellEnd"/>
      <w:r w:rsidRPr="00957C03">
        <w:rPr>
          <w:rFonts w:ascii="Book Antiqua" w:hAnsi="Book Antiqua" w:cs="宋体"/>
          <w:lang w:val="en-US" w:eastAsia="zh-CN"/>
        </w:rPr>
        <w:t xml:space="preserve"> M, Gabe SM, Jamieson NV,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AG, Middleton SJ. Preoperative comorbidity correlates inversely with survival after intestinal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 in adults. </w:t>
      </w:r>
      <w:r w:rsidRPr="00957C03">
        <w:rPr>
          <w:rFonts w:ascii="Book Antiqua" w:hAnsi="Book Antiqua" w:cs="宋体"/>
          <w:i/>
          <w:iCs/>
          <w:lang w:val="en-US" w:eastAsia="zh-CN"/>
        </w:rPr>
        <w:t>J Transplant</w:t>
      </w:r>
      <w:r w:rsidRPr="00957C03">
        <w:rPr>
          <w:rFonts w:ascii="Book Antiqua" w:hAnsi="Book Antiqua" w:cs="宋体"/>
          <w:lang w:val="en-US" w:eastAsia="zh-CN"/>
        </w:rPr>
        <w:t xml:space="preserve"> 2013; </w:t>
      </w:r>
      <w:r w:rsidRPr="00957C03">
        <w:rPr>
          <w:rFonts w:ascii="Book Antiqua" w:hAnsi="Book Antiqua" w:cs="宋体"/>
          <w:b/>
          <w:bCs/>
          <w:lang w:val="en-US" w:eastAsia="zh-CN"/>
        </w:rPr>
        <w:t>2013</w:t>
      </w:r>
      <w:r w:rsidRPr="00957C03">
        <w:rPr>
          <w:rFonts w:ascii="Book Antiqua" w:hAnsi="Book Antiqua" w:cs="宋体"/>
          <w:lang w:val="en-US" w:eastAsia="zh-CN"/>
        </w:rPr>
        <w:t>: 202410 [PMID: 23691271 DOI: 10.1155/2013/202410]</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lastRenderedPageBreak/>
        <w:t xml:space="preserve">49 </w:t>
      </w:r>
      <w:r w:rsidRPr="00957C03">
        <w:rPr>
          <w:rFonts w:ascii="Book Antiqua" w:hAnsi="Book Antiqua" w:cs="宋体"/>
          <w:b/>
          <w:bCs/>
          <w:lang w:val="en-US" w:eastAsia="zh-CN"/>
        </w:rPr>
        <w:t>Middleton SJ</w:t>
      </w:r>
      <w:r w:rsidRPr="00957C03">
        <w:rPr>
          <w:rFonts w:ascii="Book Antiqua" w:hAnsi="Book Antiqua" w:cs="宋体"/>
          <w:lang w:val="en-US" w:eastAsia="zh-CN"/>
        </w:rPr>
        <w:t xml:space="preserve">, Nishida S,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 Woodward JM, Duncan S, Watson CJ, Wiles A, </w:t>
      </w:r>
      <w:proofErr w:type="spellStart"/>
      <w:r w:rsidRPr="00957C03">
        <w:rPr>
          <w:rFonts w:ascii="Book Antiqua" w:hAnsi="Book Antiqua" w:cs="宋体"/>
          <w:lang w:val="en-US" w:eastAsia="zh-CN"/>
        </w:rPr>
        <w:t>Sivaprakasam</w:t>
      </w:r>
      <w:proofErr w:type="spellEnd"/>
      <w:r w:rsidRPr="00957C03">
        <w:rPr>
          <w:rFonts w:ascii="Book Antiqua" w:hAnsi="Book Antiqua" w:cs="宋体"/>
          <w:lang w:val="en-US" w:eastAsia="zh-CN"/>
        </w:rPr>
        <w:t xml:space="preserve"> R, Butler AJ, Gabe SM, Jamieson NV. Cambridge-Miami score for intestinal transplantation preoperative risk assessment: initial development and validation.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w:t>
      </w:r>
      <w:r>
        <w:rPr>
          <w:rFonts w:ascii="Book Antiqua" w:hAnsi="Book Antiqua" w:cs="宋体"/>
          <w:lang w:val="en-US" w:eastAsia="zh-CN"/>
        </w:rPr>
        <w:t>2010</w:t>
      </w:r>
      <w:r w:rsidRPr="00957C03">
        <w:rPr>
          <w:rFonts w:ascii="Book Antiqua" w:hAnsi="Book Antiqua" w:cs="宋体"/>
          <w:lang w:val="en-US" w:eastAsia="zh-CN"/>
        </w:rPr>
        <w:t xml:space="preserve">; </w:t>
      </w:r>
      <w:r w:rsidRPr="00957C03">
        <w:rPr>
          <w:rFonts w:ascii="Book Antiqua" w:hAnsi="Book Antiqua" w:cs="宋体"/>
          <w:b/>
          <w:bCs/>
          <w:lang w:val="en-US" w:eastAsia="zh-CN"/>
        </w:rPr>
        <w:t>42</w:t>
      </w:r>
      <w:r w:rsidRPr="00957C03">
        <w:rPr>
          <w:rFonts w:ascii="Book Antiqua" w:hAnsi="Book Antiqua" w:cs="宋体"/>
          <w:lang w:val="en-US" w:eastAsia="zh-CN"/>
        </w:rPr>
        <w:t>: 19-21 [PMID: 20172272 DOI: 10.1016/j.transproceed.2009.12.022]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50 </w:t>
      </w:r>
      <w:proofErr w:type="spellStart"/>
      <w:r w:rsidRPr="00957C03">
        <w:rPr>
          <w:rFonts w:ascii="Book Antiqua" w:hAnsi="Book Antiqua" w:cs="宋体"/>
          <w:b/>
          <w:bCs/>
          <w:lang w:val="en-US" w:eastAsia="zh-CN"/>
        </w:rPr>
        <w:t>Beath</w:t>
      </w:r>
      <w:proofErr w:type="spellEnd"/>
      <w:r w:rsidRPr="00957C03">
        <w:rPr>
          <w:rFonts w:ascii="Book Antiqua" w:hAnsi="Book Antiqua" w:cs="宋体"/>
          <w:b/>
          <w:bCs/>
          <w:lang w:val="en-US" w:eastAsia="zh-CN"/>
        </w:rPr>
        <w:t xml:space="preserve"> S</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Pironi</w:t>
      </w:r>
      <w:proofErr w:type="spellEnd"/>
      <w:r w:rsidRPr="00957C03">
        <w:rPr>
          <w:rFonts w:ascii="Book Antiqua" w:hAnsi="Book Antiqua" w:cs="宋体"/>
          <w:lang w:val="en-US" w:eastAsia="zh-CN"/>
        </w:rPr>
        <w:t xml:space="preserve"> L, Gabe S, </w:t>
      </w:r>
      <w:proofErr w:type="spellStart"/>
      <w:r w:rsidRPr="00957C03">
        <w:rPr>
          <w:rFonts w:ascii="Book Antiqua" w:hAnsi="Book Antiqua" w:cs="宋体"/>
          <w:lang w:val="en-US" w:eastAsia="zh-CN"/>
        </w:rPr>
        <w:t>Horslen</w:t>
      </w:r>
      <w:proofErr w:type="spellEnd"/>
      <w:r w:rsidRPr="00957C03">
        <w:rPr>
          <w:rFonts w:ascii="Book Antiqua" w:hAnsi="Book Antiqua" w:cs="宋体"/>
          <w:lang w:val="en-US" w:eastAsia="zh-CN"/>
        </w:rPr>
        <w:t xml:space="preserve"> S, Sudan D, </w:t>
      </w:r>
      <w:proofErr w:type="spellStart"/>
      <w:r w:rsidRPr="00957C03">
        <w:rPr>
          <w:rFonts w:ascii="Book Antiqua" w:hAnsi="Book Antiqua" w:cs="宋体"/>
          <w:lang w:val="en-US" w:eastAsia="zh-CN"/>
        </w:rPr>
        <w:t>Mazeriegos</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Steiger</w:t>
      </w:r>
      <w:proofErr w:type="spellEnd"/>
      <w:r w:rsidRPr="00957C03">
        <w:rPr>
          <w:rFonts w:ascii="Book Antiqua" w:hAnsi="Book Antiqua" w:cs="宋体"/>
          <w:lang w:val="en-US" w:eastAsia="zh-CN"/>
        </w:rPr>
        <w:t xml:space="preserve"> E, </w:t>
      </w:r>
      <w:proofErr w:type="spellStart"/>
      <w:r w:rsidRPr="00957C03">
        <w:rPr>
          <w:rFonts w:ascii="Book Antiqua" w:hAnsi="Book Antiqua" w:cs="宋体"/>
          <w:lang w:val="en-US" w:eastAsia="zh-CN"/>
        </w:rPr>
        <w:t>Goulet</w:t>
      </w:r>
      <w:proofErr w:type="spellEnd"/>
      <w:r w:rsidRPr="00957C03">
        <w:rPr>
          <w:rFonts w:ascii="Book Antiqua" w:hAnsi="Book Antiqua" w:cs="宋体"/>
          <w:lang w:val="en-US" w:eastAsia="zh-CN"/>
        </w:rPr>
        <w:t xml:space="preserve"> O, Fryer J. Collaborative strategies to reduce mortality and morbidity in patients with chronic intestinal failure including those who are referred for small bowel transplantation.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2008; </w:t>
      </w:r>
      <w:r w:rsidRPr="00957C03">
        <w:rPr>
          <w:rFonts w:ascii="Book Antiqua" w:hAnsi="Book Antiqua" w:cs="宋体"/>
          <w:b/>
          <w:bCs/>
          <w:lang w:val="en-US" w:eastAsia="zh-CN"/>
        </w:rPr>
        <w:t>85</w:t>
      </w:r>
      <w:r w:rsidRPr="00957C03">
        <w:rPr>
          <w:rFonts w:ascii="Book Antiqua" w:hAnsi="Book Antiqua" w:cs="宋体"/>
          <w:lang w:val="en-US" w:eastAsia="zh-CN"/>
        </w:rPr>
        <w:t>: 1378-1384 [PMID: 18497673 DOI: 10.1097/TP.0b013e31816dd513]</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51 </w:t>
      </w:r>
      <w:proofErr w:type="spellStart"/>
      <w:r w:rsidRPr="00957C03">
        <w:rPr>
          <w:rFonts w:ascii="Book Antiqua" w:hAnsi="Book Antiqua" w:cs="宋体"/>
          <w:b/>
          <w:bCs/>
          <w:lang w:val="en-US" w:eastAsia="zh-CN"/>
        </w:rPr>
        <w:t>Luman</w:t>
      </w:r>
      <w:proofErr w:type="spellEnd"/>
      <w:r w:rsidRPr="00957C03">
        <w:rPr>
          <w:rFonts w:ascii="Book Antiqua" w:hAnsi="Book Antiqua" w:cs="宋体"/>
          <w:b/>
          <w:bCs/>
          <w:lang w:val="en-US" w:eastAsia="zh-CN"/>
        </w:rPr>
        <w:t xml:space="preserve"> W</w:t>
      </w:r>
      <w:r w:rsidRPr="00957C03">
        <w:rPr>
          <w:rFonts w:ascii="Book Antiqua" w:hAnsi="Book Antiqua" w:cs="宋体"/>
          <w:lang w:val="en-US" w:eastAsia="zh-CN"/>
        </w:rPr>
        <w:t>, Shaffer JL.</w:t>
      </w:r>
      <w:proofErr w:type="gramEnd"/>
      <w:r w:rsidRPr="00957C03">
        <w:rPr>
          <w:rFonts w:ascii="Book Antiqua" w:hAnsi="Book Antiqua" w:cs="宋体"/>
          <w:lang w:val="en-US" w:eastAsia="zh-CN"/>
        </w:rPr>
        <w:t xml:space="preserve"> Prevalence, outcome and associated factors of deranged liver function tests in patients on home parenteral nutrition.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2002; </w:t>
      </w:r>
      <w:r w:rsidRPr="00957C03">
        <w:rPr>
          <w:rFonts w:ascii="Book Antiqua" w:hAnsi="Book Antiqua" w:cs="宋体"/>
          <w:b/>
          <w:bCs/>
          <w:lang w:val="en-US" w:eastAsia="zh-CN"/>
        </w:rPr>
        <w:t>21</w:t>
      </w:r>
      <w:r w:rsidRPr="00957C03">
        <w:rPr>
          <w:rFonts w:ascii="Book Antiqua" w:hAnsi="Book Antiqua" w:cs="宋体"/>
          <w:lang w:val="en-US" w:eastAsia="zh-CN"/>
        </w:rPr>
        <w:t>: 337-343 [PMID: 12135595]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52 </w:t>
      </w:r>
      <w:proofErr w:type="spellStart"/>
      <w:r w:rsidRPr="00957C03">
        <w:rPr>
          <w:rFonts w:ascii="Book Antiqua" w:hAnsi="Book Antiqua" w:cs="宋体"/>
          <w:b/>
          <w:bCs/>
          <w:lang w:val="en-US" w:eastAsia="zh-CN"/>
        </w:rPr>
        <w:t>Cavicchi</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Beau P, </w:t>
      </w:r>
      <w:proofErr w:type="spellStart"/>
      <w:r w:rsidRPr="00957C03">
        <w:rPr>
          <w:rFonts w:ascii="Book Antiqua" w:hAnsi="Book Antiqua" w:cs="宋体"/>
          <w:lang w:val="en-US" w:eastAsia="zh-CN"/>
        </w:rPr>
        <w:t>Crenn</w:t>
      </w:r>
      <w:proofErr w:type="spellEnd"/>
      <w:r w:rsidRPr="00957C03">
        <w:rPr>
          <w:rFonts w:ascii="Book Antiqua" w:hAnsi="Book Antiqua" w:cs="宋体"/>
          <w:lang w:val="en-US" w:eastAsia="zh-CN"/>
        </w:rPr>
        <w:t xml:space="preserve"> P, </w:t>
      </w:r>
      <w:proofErr w:type="spellStart"/>
      <w:r w:rsidRPr="00957C03">
        <w:rPr>
          <w:rFonts w:ascii="Book Antiqua" w:hAnsi="Book Antiqua" w:cs="宋体"/>
          <w:lang w:val="en-US" w:eastAsia="zh-CN"/>
        </w:rPr>
        <w:t>Degott</w:t>
      </w:r>
      <w:proofErr w:type="spellEnd"/>
      <w:r w:rsidRPr="00957C03">
        <w:rPr>
          <w:rFonts w:ascii="Book Antiqua" w:hAnsi="Book Antiqua" w:cs="宋体"/>
          <w:lang w:val="en-US" w:eastAsia="zh-CN"/>
        </w:rPr>
        <w:t xml:space="preserve"> C, Messing B. Prevalence of liver disease and contributing factors in patients receiving home parenteral nutrition for permanent intestinal failure. </w:t>
      </w:r>
      <w:r w:rsidRPr="00957C03">
        <w:rPr>
          <w:rFonts w:ascii="Book Antiqua" w:hAnsi="Book Antiqua" w:cs="宋体"/>
          <w:i/>
          <w:iCs/>
          <w:lang w:val="en-US" w:eastAsia="zh-CN"/>
        </w:rPr>
        <w:t>Ann Intern Med</w:t>
      </w:r>
      <w:r w:rsidRPr="00957C03">
        <w:rPr>
          <w:rFonts w:ascii="Book Antiqua" w:hAnsi="Book Antiqua" w:cs="宋体"/>
          <w:lang w:val="en-US" w:eastAsia="zh-CN"/>
        </w:rPr>
        <w:t xml:space="preserve"> 2000; </w:t>
      </w:r>
      <w:r w:rsidRPr="00957C03">
        <w:rPr>
          <w:rFonts w:ascii="Book Antiqua" w:hAnsi="Book Antiqua" w:cs="宋体"/>
          <w:b/>
          <w:bCs/>
          <w:lang w:val="en-US" w:eastAsia="zh-CN"/>
        </w:rPr>
        <w:t>132</w:t>
      </w:r>
      <w:r w:rsidRPr="00957C03">
        <w:rPr>
          <w:rFonts w:ascii="Book Antiqua" w:hAnsi="Book Antiqua" w:cs="宋体"/>
          <w:lang w:val="en-US" w:eastAsia="zh-CN"/>
        </w:rPr>
        <w:t>: 525-532 [PMID: 10744588]</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53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Joly</w:t>
      </w:r>
      <w:proofErr w:type="spellEnd"/>
      <w:r w:rsidRPr="00957C03">
        <w:rPr>
          <w:rFonts w:ascii="Book Antiqua" w:hAnsi="Book Antiqua" w:cs="宋体"/>
          <w:lang w:val="en-US" w:eastAsia="zh-CN"/>
        </w:rPr>
        <w:t xml:space="preserve"> F, Forbes A, </w:t>
      </w:r>
      <w:proofErr w:type="spellStart"/>
      <w:r w:rsidRPr="00957C03">
        <w:rPr>
          <w:rFonts w:ascii="Book Antiqua" w:hAnsi="Book Antiqua" w:cs="宋体"/>
          <w:lang w:val="en-US" w:eastAsia="zh-CN"/>
        </w:rPr>
        <w:t>Colomb</w:t>
      </w:r>
      <w:proofErr w:type="spellEnd"/>
      <w:r w:rsidRPr="00957C03">
        <w:rPr>
          <w:rFonts w:ascii="Book Antiqua" w:hAnsi="Book Antiqua" w:cs="宋体"/>
          <w:lang w:val="en-US" w:eastAsia="zh-CN"/>
        </w:rPr>
        <w:t xml:space="preserve"> V, </w:t>
      </w:r>
      <w:proofErr w:type="spellStart"/>
      <w:r w:rsidRPr="00957C03">
        <w:rPr>
          <w:rFonts w:ascii="Book Antiqua" w:hAnsi="Book Antiqua" w:cs="宋体"/>
          <w:lang w:val="en-US" w:eastAsia="zh-CN"/>
        </w:rPr>
        <w:t>Lyszkowska</w:t>
      </w:r>
      <w:proofErr w:type="spellEnd"/>
      <w:r w:rsidRPr="00957C03">
        <w:rPr>
          <w:rFonts w:ascii="Book Antiqua" w:hAnsi="Book Antiqua" w:cs="宋体"/>
          <w:lang w:val="en-US" w:eastAsia="zh-CN"/>
        </w:rPr>
        <w:t xml:space="preserve"> M, Baxter J, Gabe S, </w:t>
      </w:r>
      <w:proofErr w:type="spellStart"/>
      <w:r w:rsidRPr="00957C03">
        <w:rPr>
          <w:rFonts w:ascii="Book Antiqua" w:hAnsi="Book Antiqua" w:cs="宋体"/>
          <w:lang w:val="en-US" w:eastAsia="zh-CN"/>
        </w:rPr>
        <w:t>Hébuterne</w:t>
      </w:r>
      <w:proofErr w:type="spellEnd"/>
      <w:r w:rsidRPr="00957C03">
        <w:rPr>
          <w:rFonts w:ascii="Book Antiqua" w:hAnsi="Book Antiqua" w:cs="宋体"/>
          <w:lang w:val="en-US" w:eastAsia="zh-CN"/>
        </w:rPr>
        <w:t xml:space="preserve"> X, </w:t>
      </w:r>
      <w:proofErr w:type="spellStart"/>
      <w:r w:rsidRPr="00957C03">
        <w:rPr>
          <w:rFonts w:ascii="Book Antiqua" w:hAnsi="Book Antiqua" w:cs="宋体"/>
          <w:lang w:val="en-US" w:eastAsia="zh-CN"/>
        </w:rPr>
        <w:t>Gambarara</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Gottrand</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Cuerda</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Thul</w:t>
      </w:r>
      <w:proofErr w:type="spellEnd"/>
      <w:r w:rsidRPr="00957C03">
        <w:rPr>
          <w:rFonts w:ascii="Book Antiqua" w:hAnsi="Book Antiqua" w:cs="宋体"/>
          <w:lang w:val="en-US" w:eastAsia="zh-CN"/>
        </w:rPr>
        <w:t xml:space="preserve"> P, Messing B, </w:t>
      </w:r>
      <w:proofErr w:type="spellStart"/>
      <w:r w:rsidRPr="00957C03">
        <w:rPr>
          <w:rFonts w:ascii="Book Antiqua" w:hAnsi="Book Antiqua" w:cs="宋体"/>
          <w:lang w:val="en-US" w:eastAsia="zh-CN"/>
        </w:rPr>
        <w:t>Goulet</w:t>
      </w:r>
      <w:proofErr w:type="spellEnd"/>
      <w:r w:rsidRPr="00957C03">
        <w:rPr>
          <w:rFonts w:ascii="Book Antiqua" w:hAnsi="Book Antiqua" w:cs="宋体"/>
          <w:lang w:val="en-US" w:eastAsia="zh-CN"/>
        </w:rPr>
        <w:t xml:space="preserve"> O, </w:t>
      </w:r>
      <w:proofErr w:type="spellStart"/>
      <w:r w:rsidRPr="00957C03">
        <w:rPr>
          <w:rFonts w:ascii="Book Antiqua" w:hAnsi="Book Antiqua" w:cs="宋体"/>
          <w:lang w:val="en-US" w:eastAsia="zh-CN"/>
        </w:rPr>
        <w:t>Staun</w:t>
      </w:r>
      <w:proofErr w:type="spellEnd"/>
      <w:r w:rsidRPr="00957C03">
        <w:rPr>
          <w:rFonts w:ascii="Book Antiqua" w:hAnsi="Book Antiqua" w:cs="宋体"/>
          <w:lang w:val="en-US" w:eastAsia="zh-CN"/>
        </w:rPr>
        <w:t xml:space="preserve"> M, Van </w:t>
      </w:r>
      <w:proofErr w:type="spellStart"/>
      <w:r w:rsidRPr="00957C03">
        <w:rPr>
          <w:rFonts w:ascii="Book Antiqua" w:hAnsi="Book Antiqua" w:cs="宋体"/>
          <w:lang w:val="en-US" w:eastAsia="zh-CN"/>
        </w:rPr>
        <w:t>Gossum</w:t>
      </w:r>
      <w:proofErr w:type="spellEnd"/>
      <w:r w:rsidRPr="00957C03">
        <w:rPr>
          <w:rFonts w:ascii="Book Antiqua" w:hAnsi="Book Antiqua" w:cs="宋体"/>
          <w:lang w:val="en-US" w:eastAsia="zh-CN"/>
        </w:rPr>
        <w:t xml:space="preserve"> A. Long-term follow-up of patients on home parenteral nutrition in Europe: implications for intestinal transplantation. </w:t>
      </w:r>
      <w:r w:rsidRPr="00957C03">
        <w:rPr>
          <w:rFonts w:ascii="Book Antiqua" w:hAnsi="Book Antiqua" w:cs="宋体"/>
          <w:i/>
          <w:iCs/>
          <w:lang w:val="en-US" w:eastAsia="zh-CN"/>
        </w:rPr>
        <w:t>Gut</w:t>
      </w:r>
      <w:r w:rsidRPr="00957C03">
        <w:rPr>
          <w:rFonts w:ascii="Book Antiqua" w:hAnsi="Book Antiqua" w:cs="宋体"/>
          <w:lang w:val="en-US" w:eastAsia="zh-CN"/>
        </w:rPr>
        <w:t xml:space="preserve"> 2011; </w:t>
      </w:r>
      <w:r w:rsidRPr="00957C03">
        <w:rPr>
          <w:rFonts w:ascii="Book Antiqua" w:hAnsi="Book Antiqua" w:cs="宋体"/>
          <w:b/>
          <w:bCs/>
          <w:lang w:val="en-US" w:eastAsia="zh-CN"/>
        </w:rPr>
        <w:t>60</w:t>
      </w:r>
      <w:r w:rsidRPr="00957C03">
        <w:rPr>
          <w:rFonts w:ascii="Book Antiqua" w:hAnsi="Book Antiqua" w:cs="宋体"/>
          <w:lang w:val="en-US" w:eastAsia="zh-CN"/>
        </w:rPr>
        <w:t>: 17-25 [PMID: 21068130 DOI: 10.1136/gut.2010.223255]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54 </w:t>
      </w:r>
      <w:r w:rsidRPr="00957C03">
        <w:rPr>
          <w:rFonts w:ascii="Book Antiqua" w:hAnsi="Book Antiqua" w:cs="宋体"/>
          <w:b/>
          <w:bCs/>
          <w:lang w:val="en-US" w:eastAsia="zh-CN"/>
        </w:rPr>
        <w:t>Capron JP</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Gineston</w:t>
      </w:r>
      <w:proofErr w:type="spellEnd"/>
      <w:r w:rsidRPr="00957C03">
        <w:rPr>
          <w:rFonts w:ascii="Book Antiqua" w:hAnsi="Book Antiqua" w:cs="宋体"/>
          <w:lang w:val="en-US" w:eastAsia="zh-CN"/>
        </w:rPr>
        <w:t xml:space="preserve"> JL, </w:t>
      </w:r>
      <w:proofErr w:type="spellStart"/>
      <w:r w:rsidRPr="00957C03">
        <w:rPr>
          <w:rFonts w:ascii="Book Antiqua" w:hAnsi="Book Antiqua" w:cs="宋体"/>
          <w:lang w:val="en-US" w:eastAsia="zh-CN"/>
        </w:rPr>
        <w:t>Herve</w:t>
      </w:r>
      <w:proofErr w:type="spellEnd"/>
      <w:r w:rsidRPr="00957C03">
        <w:rPr>
          <w:rFonts w:ascii="Book Antiqua" w:hAnsi="Book Antiqua" w:cs="宋体"/>
          <w:lang w:val="en-US" w:eastAsia="zh-CN"/>
        </w:rPr>
        <w:t xml:space="preserve"> MA, </w:t>
      </w:r>
      <w:proofErr w:type="spellStart"/>
      <w:r w:rsidRPr="00957C03">
        <w:rPr>
          <w:rFonts w:ascii="Book Antiqua" w:hAnsi="Book Antiqua" w:cs="宋体"/>
          <w:lang w:val="en-US" w:eastAsia="zh-CN"/>
        </w:rPr>
        <w:t>Braillon</w:t>
      </w:r>
      <w:proofErr w:type="spellEnd"/>
      <w:r w:rsidRPr="00957C03">
        <w:rPr>
          <w:rFonts w:ascii="Book Antiqua" w:hAnsi="Book Antiqua" w:cs="宋体"/>
          <w:lang w:val="en-US" w:eastAsia="zh-CN"/>
        </w:rPr>
        <w:t xml:space="preserve"> A. Metronidazole in prevention of cholestasis associated with total parenteral nutrition. </w:t>
      </w:r>
      <w:r w:rsidRPr="00957C03">
        <w:rPr>
          <w:rFonts w:ascii="Book Antiqua" w:hAnsi="Book Antiqua" w:cs="宋体"/>
          <w:i/>
          <w:iCs/>
          <w:lang w:val="en-US" w:eastAsia="zh-CN"/>
        </w:rPr>
        <w:t>Lancet</w:t>
      </w:r>
      <w:r w:rsidRPr="00957C03">
        <w:rPr>
          <w:rFonts w:ascii="Book Antiqua" w:hAnsi="Book Antiqua" w:cs="宋体"/>
          <w:lang w:val="en-US" w:eastAsia="zh-CN"/>
        </w:rPr>
        <w:t xml:space="preserve"> 1983; </w:t>
      </w:r>
      <w:r w:rsidRPr="00957C03">
        <w:rPr>
          <w:rFonts w:ascii="Book Antiqua" w:hAnsi="Book Antiqua" w:cs="宋体"/>
          <w:b/>
          <w:bCs/>
          <w:lang w:val="en-US" w:eastAsia="zh-CN"/>
        </w:rPr>
        <w:t>1</w:t>
      </w:r>
      <w:r w:rsidRPr="00957C03">
        <w:rPr>
          <w:rFonts w:ascii="Book Antiqua" w:hAnsi="Book Antiqua" w:cs="宋体"/>
          <w:lang w:val="en-US" w:eastAsia="zh-CN"/>
        </w:rPr>
        <w:t>: 446-447 [PMID: 6131169]</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55 </w:t>
      </w:r>
      <w:r w:rsidRPr="00957C03">
        <w:rPr>
          <w:rFonts w:ascii="Book Antiqua" w:hAnsi="Book Antiqua" w:cs="宋体"/>
          <w:b/>
          <w:bCs/>
          <w:lang w:val="en-US" w:eastAsia="zh-CN"/>
        </w:rPr>
        <w:t>Diamond IR</w:t>
      </w:r>
      <w:r w:rsidRPr="00957C03">
        <w:rPr>
          <w:rFonts w:ascii="Book Antiqua" w:hAnsi="Book Antiqua" w:cs="宋体"/>
          <w:lang w:val="en-US" w:eastAsia="zh-CN"/>
        </w:rPr>
        <w:t xml:space="preserve">, de Silva NT, Tomlinson GA, </w:t>
      </w:r>
      <w:proofErr w:type="spellStart"/>
      <w:r w:rsidRPr="00957C03">
        <w:rPr>
          <w:rFonts w:ascii="Book Antiqua" w:hAnsi="Book Antiqua" w:cs="宋体"/>
          <w:lang w:val="en-US" w:eastAsia="zh-CN"/>
        </w:rPr>
        <w:t>Pencharz</w:t>
      </w:r>
      <w:proofErr w:type="spellEnd"/>
      <w:r w:rsidRPr="00957C03">
        <w:rPr>
          <w:rFonts w:ascii="Book Antiqua" w:hAnsi="Book Antiqua" w:cs="宋体"/>
          <w:lang w:val="en-US" w:eastAsia="zh-CN"/>
        </w:rPr>
        <w:t xml:space="preserve"> PB, Feldman BM, Moore AM, Ling SC, Wales PW. The role of parenteral lipids in the development of advanced intestinal failure-associated liver disease in infants: a multiple-variable analysis.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2011; </w:t>
      </w:r>
      <w:r w:rsidRPr="00957C03">
        <w:rPr>
          <w:rFonts w:ascii="Book Antiqua" w:hAnsi="Book Antiqua" w:cs="宋体"/>
          <w:b/>
          <w:bCs/>
          <w:lang w:val="en-US" w:eastAsia="zh-CN"/>
        </w:rPr>
        <w:t>35</w:t>
      </w:r>
      <w:r w:rsidRPr="00957C03">
        <w:rPr>
          <w:rFonts w:ascii="Book Antiqua" w:hAnsi="Book Antiqua" w:cs="宋体"/>
          <w:lang w:val="en-US" w:eastAsia="zh-CN"/>
        </w:rPr>
        <w:t>: 596-602 [PMID: 21825088 DOI: 10.1177/0148607111413598]</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56 </w:t>
      </w:r>
      <w:proofErr w:type="spellStart"/>
      <w:r w:rsidRPr="00957C03">
        <w:rPr>
          <w:rFonts w:ascii="Book Antiqua" w:hAnsi="Book Antiqua" w:cs="宋体"/>
          <w:b/>
          <w:bCs/>
          <w:lang w:val="en-US" w:eastAsia="zh-CN"/>
        </w:rPr>
        <w:t>Jurewitsch</w:t>
      </w:r>
      <w:proofErr w:type="spellEnd"/>
      <w:r w:rsidRPr="00957C03">
        <w:rPr>
          <w:rFonts w:ascii="Book Antiqua" w:hAnsi="Book Antiqua" w:cs="宋体"/>
          <w:b/>
          <w:bCs/>
          <w:lang w:val="en-US" w:eastAsia="zh-CN"/>
        </w:rPr>
        <w:t xml:space="preserve"> B</w:t>
      </w:r>
      <w:r w:rsidRPr="00957C03">
        <w:rPr>
          <w:rFonts w:ascii="Book Antiqua" w:hAnsi="Book Antiqua" w:cs="宋体"/>
          <w:lang w:val="en-US" w:eastAsia="zh-CN"/>
        </w:rPr>
        <w:t xml:space="preserve">, Gardiner G, </w:t>
      </w:r>
      <w:proofErr w:type="spellStart"/>
      <w:r w:rsidRPr="00957C03">
        <w:rPr>
          <w:rFonts w:ascii="Book Antiqua" w:hAnsi="Book Antiqua" w:cs="宋体"/>
          <w:lang w:val="en-US" w:eastAsia="zh-CN"/>
        </w:rPr>
        <w:t>Naccarato</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Jeejeebhoy</w:t>
      </w:r>
      <w:proofErr w:type="spellEnd"/>
      <w:r w:rsidRPr="00957C03">
        <w:rPr>
          <w:rFonts w:ascii="Book Antiqua" w:hAnsi="Book Antiqua" w:cs="宋体"/>
          <w:lang w:val="en-US" w:eastAsia="zh-CN"/>
        </w:rPr>
        <w:t xml:space="preserve"> KN. Omega-3-enriched lipid emulsion for liver salvage in parenteral nutrition-induced cholestasis in the adult patient.</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2011; </w:t>
      </w:r>
      <w:r w:rsidRPr="00957C03">
        <w:rPr>
          <w:rFonts w:ascii="Book Antiqua" w:hAnsi="Book Antiqua" w:cs="宋体"/>
          <w:b/>
          <w:bCs/>
          <w:lang w:val="en-US" w:eastAsia="zh-CN"/>
        </w:rPr>
        <w:t>35</w:t>
      </w:r>
      <w:r w:rsidRPr="00957C03">
        <w:rPr>
          <w:rFonts w:ascii="Book Antiqua" w:hAnsi="Book Antiqua" w:cs="宋体"/>
          <w:lang w:val="en-US" w:eastAsia="zh-CN"/>
        </w:rPr>
        <w:t>: 386-390 [PMID: 21527601 DOI: 10.1177/0148607110382023]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57 </w:t>
      </w:r>
      <w:r w:rsidRPr="00957C03">
        <w:rPr>
          <w:rFonts w:ascii="Book Antiqua" w:hAnsi="Book Antiqua" w:cs="宋体"/>
          <w:b/>
          <w:bCs/>
          <w:lang w:val="en-US" w:eastAsia="zh-CN"/>
        </w:rPr>
        <w:t>Kaufman SS</w:t>
      </w:r>
      <w:r w:rsidRPr="00957C03">
        <w:rPr>
          <w:rFonts w:ascii="Book Antiqua" w:hAnsi="Book Antiqua" w:cs="宋体"/>
          <w:lang w:val="en-US" w:eastAsia="zh-CN"/>
        </w:rPr>
        <w:t xml:space="preserve">, Atkinson JB, Bianchi A, </w:t>
      </w:r>
      <w:proofErr w:type="spellStart"/>
      <w:r w:rsidRPr="00957C03">
        <w:rPr>
          <w:rFonts w:ascii="Book Antiqua" w:hAnsi="Book Antiqua" w:cs="宋体"/>
          <w:lang w:val="en-US" w:eastAsia="zh-CN"/>
        </w:rPr>
        <w:t>Goulet</w:t>
      </w:r>
      <w:proofErr w:type="spellEnd"/>
      <w:r w:rsidRPr="00957C03">
        <w:rPr>
          <w:rFonts w:ascii="Book Antiqua" w:hAnsi="Book Antiqua" w:cs="宋体"/>
          <w:lang w:val="en-US" w:eastAsia="zh-CN"/>
        </w:rPr>
        <w:t xml:space="preserve"> OJ, Grant D, </w:t>
      </w:r>
      <w:proofErr w:type="spellStart"/>
      <w:r w:rsidRPr="00957C03">
        <w:rPr>
          <w:rFonts w:ascii="Book Antiqua" w:hAnsi="Book Antiqua" w:cs="宋体"/>
          <w:lang w:val="en-US" w:eastAsia="zh-CN"/>
        </w:rPr>
        <w:t>Langnas</w:t>
      </w:r>
      <w:proofErr w:type="spellEnd"/>
      <w:r w:rsidRPr="00957C03">
        <w:rPr>
          <w:rFonts w:ascii="Book Antiqua" w:hAnsi="Book Antiqua" w:cs="宋体"/>
          <w:lang w:val="en-US" w:eastAsia="zh-CN"/>
        </w:rPr>
        <w:t xml:space="preserve"> AN, </w:t>
      </w:r>
      <w:proofErr w:type="spellStart"/>
      <w:r w:rsidRPr="00957C03">
        <w:rPr>
          <w:rFonts w:ascii="Book Antiqua" w:hAnsi="Book Antiqua" w:cs="宋体"/>
          <w:lang w:val="en-US" w:eastAsia="zh-CN"/>
        </w:rPr>
        <w:t>McDiarmid</w:t>
      </w:r>
      <w:proofErr w:type="spellEnd"/>
      <w:r w:rsidRPr="00957C03">
        <w:rPr>
          <w:rFonts w:ascii="Book Antiqua" w:hAnsi="Book Antiqua" w:cs="宋体"/>
          <w:lang w:val="en-US" w:eastAsia="zh-CN"/>
        </w:rPr>
        <w:t xml:space="preserve"> SV, Mittal N, Reyes J,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AG. Indications for pediatric intestinal transplantation: a position paper of the American Society of Transplantation. </w:t>
      </w:r>
      <w:proofErr w:type="spellStart"/>
      <w:r w:rsidRPr="00957C03">
        <w:rPr>
          <w:rFonts w:ascii="Book Antiqua" w:hAnsi="Book Antiqua" w:cs="宋体"/>
          <w:i/>
          <w:iCs/>
          <w:lang w:val="en-US" w:eastAsia="zh-CN"/>
        </w:rPr>
        <w:t>Pediatr</w:t>
      </w:r>
      <w:proofErr w:type="spellEnd"/>
      <w:r w:rsidRPr="00957C03">
        <w:rPr>
          <w:rFonts w:ascii="Book Antiqua" w:hAnsi="Book Antiqua" w:cs="宋体"/>
          <w:i/>
          <w:iCs/>
          <w:lang w:val="en-US" w:eastAsia="zh-CN"/>
        </w:rPr>
        <w:t xml:space="preserve"> Transplant</w:t>
      </w:r>
      <w:r w:rsidRPr="00957C03">
        <w:rPr>
          <w:rFonts w:ascii="Book Antiqua" w:hAnsi="Book Antiqua" w:cs="宋体"/>
          <w:lang w:val="en-US" w:eastAsia="zh-CN"/>
        </w:rPr>
        <w:t xml:space="preserve"> 2001; </w:t>
      </w:r>
      <w:r w:rsidRPr="00957C03">
        <w:rPr>
          <w:rFonts w:ascii="Book Antiqua" w:hAnsi="Book Antiqua" w:cs="宋体"/>
          <w:b/>
          <w:bCs/>
          <w:lang w:val="en-US" w:eastAsia="zh-CN"/>
        </w:rPr>
        <w:t>5</w:t>
      </w:r>
      <w:r w:rsidRPr="00957C03">
        <w:rPr>
          <w:rFonts w:ascii="Book Antiqua" w:hAnsi="Book Antiqua" w:cs="宋体"/>
          <w:lang w:val="en-US" w:eastAsia="zh-CN"/>
        </w:rPr>
        <w:t>: 80-87 [PMID: 11328544]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58 </w:t>
      </w:r>
      <w:r w:rsidRPr="00957C03">
        <w:rPr>
          <w:rFonts w:ascii="Book Antiqua" w:hAnsi="Book Antiqua" w:cs="宋体"/>
          <w:b/>
          <w:bCs/>
          <w:lang w:val="en-US" w:eastAsia="zh-CN"/>
        </w:rPr>
        <w:t>Kaplan J</w:t>
      </w:r>
      <w:r w:rsidRPr="00957C03">
        <w:rPr>
          <w:rFonts w:ascii="Book Antiqua" w:hAnsi="Book Antiqua" w:cs="宋体"/>
          <w:lang w:val="en-US" w:eastAsia="zh-CN"/>
        </w:rPr>
        <w:t xml:space="preserve">, Han L, </w:t>
      </w:r>
      <w:proofErr w:type="spellStart"/>
      <w:r w:rsidRPr="00957C03">
        <w:rPr>
          <w:rFonts w:ascii="Book Antiqua" w:hAnsi="Book Antiqua" w:cs="宋体"/>
          <w:lang w:val="en-US" w:eastAsia="zh-CN"/>
        </w:rPr>
        <w:t>Halgrimson</w:t>
      </w:r>
      <w:proofErr w:type="spellEnd"/>
      <w:r w:rsidRPr="00957C03">
        <w:rPr>
          <w:rFonts w:ascii="Book Antiqua" w:hAnsi="Book Antiqua" w:cs="宋体"/>
          <w:lang w:val="en-US" w:eastAsia="zh-CN"/>
        </w:rPr>
        <w:t xml:space="preserve"> W, Wang E, Fryer J. </w:t>
      </w:r>
      <w:proofErr w:type="gramStart"/>
      <w:r w:rsidRPr="00957C03">
        <w:rPr>
          <w:rFonts w:ascii="Book Antiqua" w:hAnsi="Book Antiqua" w:cs="宋体"/>
          <w:lang w:val="en-US" w:eastAsia="zh-CN"/>
        </w:rPr>
        <w:t>The impact of MELD/PELD revisions on the mortality of liver-intestine transplantation candidates.</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Am J Transplant</w:t>
      </w:r>
      <w:r w:rsidRPr="00957C03">
        <w:rPr>
          <w:rFonts w:ascii="Book Antiqua" w:hAnsi="Book Antiqua" w:cs="宋体"/>
          <w:lang w:val="en-US" w:eastAsia="zh-CN"/>
        </w:rPr>
        <w:t xml:space="preserve"> 2011; </w:t>
      </w:r>
      <w:r w:rsidRPr="00957C03">
        <w:rPr>
          <w:rFonts w:ascii="Book Antiqua" w:hAnsi="Book Antiqua" w:cs="宋体"/>
          <w:b/>
          <w:bCs/>
          <w:lang w:val="en-US" w:eastAsia="zh-CN"/>
        </w:rPr>
        <w:t>11</w:t>
      </w:r>
      <w:r w:rsidRPr="00957C03">
        <w:rPr>
          <w:rFonts w:ascii="Book Antiqua" w:hAnsi="Book Antiqua" w:cs="宋体"/>
          <w:lang w:val="en-US" w:eastAsia="zh-CN"/>
        </w:rPr>
        <w:t>: 1896-1904 [PMID: 21827611 DOI: 10.1111/j.1600-6143.2011.03628.x]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59 </w:t>
      </w:r>
      <w:proofErr w:type="spellStart"/>
      <w:r w:rsidRPr="00957C03">
        <w:rPr>
          <w:rFonts w:ascii="Book Antiqua" w:hAnsi="Book Antiqua" w:cs="宋体"/>
          <w:b/>
          <w:bCs/>
          <w:lang w:val="en-US" w:eastAsia="zh-CN"/>
        </w:rPr>
        <w:t>Putchakayala</w:t>
      </w:r>
      <w:proofErr w:type="spellEnd"/>
      <w:r w:rsidRPr="00957C03">
        <w:rPr>
          <w:rFonts w:ascii="Book Antiqua" w:hAnsi="Book Antiqua" w:cs="宋体"/>
          <w:b/>
          <w:bCs/>
          <w:lang w:val="en-US" w:eastAsia="zh-CN"/>
        </w:rPr>
        <w:t xml:space="preserve"> K</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Polensky</w:t>
      </w:r>
      <w:proofErr w:type="spellEnd"/>
      <w:r w:rsidRPr="00957C03">
        <w:rPr>
          <w:rFonts w:ascii="Book Antiqua" w:hAnsi="Book Antiqua" w:cs="宋体"/>
          <w:lang w:val="en-US" w:eastAsia="zh-CN"/>
        </w:rPr>
        <w:t xml:space="preserve"> S, Fitzhugh J, </w:t>
      </w:r>
      <w:proofErr w:type="spellStart"/>
      <w:r w:rsidRPr="00957C03">
        <w:rPr>
          <w:rFonts w:ascii="Book Antiqua" w:hAnsi="Book Antiqua" w:cs="宋体"/>
          <w:lang w:val="en-US" w:eastAsia="zh-CN"/>
        </w:rPr>
        <w:t>Cohran</w:t>
      </w:r>
      <w:proofErr w:type="spellEnd"/>
      <w:r w:rsidRPr="00957C03">
        <w:rPr>
          <w:rFonts w:ascii="Book Antiqua" w:hAnsi="Book Antiqua" w:cs="宋体"/>
          <w:lang w:val="en-US" w:eastAsia="zh-CN"/>
        </w:rPr>
        <w:t xml:space="preserve"> V, Buchman A, Fryer J. </w:t>
      </w:r>
      <w:proofErr w:type="gramStart"/>
      <w:r w:rsidRPr="00957C03">
        <w:rPr>
          <w:rFonts w:ascii="Book Antiqua" w:hAnsi="Book Antiqua" w:cs="宋体"/>
          <w:lang w:val="en-US" w:eastAsia="zh-CN"/>
        </w:rPr>
        <w:t>An evaluation of the model for end-stage liver disease and serum C-reactive protein as prognostic markers in intestinal failure patients on parenteral nutrition.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2009</w:t>
      </w:r>
      <w:r w:rsidRPr="00957C03">
        <w:rPr>
          <w:rFonts w:ascii="Book Antiqua" w:hAnsi="Book Antiqua" w:cs="宋体"/>
          <w:lang w:val="en-US" w:eastAsia="zh-CN"/>
        </w:rPr>
        <w:t xml:space="preserve">; </w:t>
      </w:r>
      <w:r w:rsidRPr="00957C03">
        <w:rPr>
          <w:rFonts w:ascii="Book Antiqua" w:hAnsi="Book Antiqua" w:cs="宋体"/>
          <w:b/>
          <w:bCs/>
          <w:lang w:val="en-US" w:eastAsia="zh-CN"/>
        </w:rPr>
        <w:t>33</w:t>
      </w:r>
      <w:r w:rsidRPr="00957C03">
        <w:rPr>
          <w:rFonts w:ascii="Book Antiqua" w:hAnsi="Book Antiqua" w:cs="宋体"/>
          <w:lang w:val="en-US" w:eastAsia="zh-CN"/>
        </w:rPr>
        <w:t>: 55-61 [PMID: 18941030 DOI: 10.1177/0148607108322395]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lastRenderedPageBreak/>
        <w:t xml:space="preserve">60 Organ Procurement and Transplantation Network (OPTN) and Scientific Registry of Transplant Recipients (SRTR). OPTN / SRTR 2011 Annual Data Report. </w:t>
      </w:r>
      <w:proofErr w:type="gramStart"/>
      <w:r w:rsidRPr="00957C03">
        <w:rPr>
          <w:rFonts w:ascii="Book Antiqua" w:hAnsi="Book Antiqua" w:cs="宋体"/>
          <w:lang w:val="en-US" w:eastAsia="zh-CN"/>
        </w:rPr>
        <w:t>Department of Health and Human Services, Health Resources and Services Administration, Healthcare Systems Bureau, Division of Transplantation; 2</w:t>
      </w:r>
      <w:r>
        <w:rPr>
          <w:rFonts w:ascii="Book Antiqua" w:hAnsi="Book Antiqua" w:cs="宋体"/>
          <w:lang w:val="en-US" w:eastAsia="zh-CN"/>
        </w:rPr>
        <w:t>012.</w:t>
      </w:r>
      <w:proofErr w:type="gramEnd"/>
      <w:r>
        <w:rPr>
          <w:rFonts w:ascii="Book Antiqua" w:hAnsi="Book Antiqua" w:cs="宋体"/>
          <w:lang w:val="en-US" w:eastAsia="zh-CN"/>
        </w:rPr>
        <w:t xml:space="preserve"> Available from: URL: http:</w:t>
      </w:r>
      <w:r w:rsidRPr="00957C03">
        <w:rPr>
          <w:rFonts w:ascii="Book Antiqua" w:hAnsi="Book Antiqua" w:cs="宋体"/>
          <w:lang w:val="en-US" w:eastAsia="zh-CN"/>
        </w:rPr>
        <w:t>//srtr.transplant.hrsa.gov/annual_reports/2011/flash/04_intestine/index.html#/</w:t>
      </w:r>
      <w:r>
        <w:rPr>
          <w:rFonts w:ascii="Book Antiqua" w:hAnsi="Book Antiqua" w:cs="宋体"/>
          <w:lang w:val="en-US" w:eastAsia="zh-CN"/>
        </w:rPr>
        <w:t>1/zoomed. Accessed [27.09.2013]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61 </w:t>
      </w:r>
      <w:r w:rsidRPr="00957C03">
        <w:rPr>
          <w:rFonts w:ascii="Book Antiqua" w:hAnsi="Book Antiqua" w:cs="宋体"/>
          <w:b/>
          <w:bCs/>
          <w:lang w:val="en-US" w:eastAsia="zh-CN"/>
        </w:rPr>
        <w:t>Abu-</w:t>
      </w:r>
      <w:proofErr w:type="spellStart"/>
      <w:r w:rsidRPr="00957C03">
        <w:rPr>
          <w:rFonts w:ascii="Book Antiqua" w:hAnsi="Book Antiqua" w:cs="宋体"/>
          <w:b/>
          <w:bCs/>
          <w:lang w:val="en-US" w:eastAsia="zh-CN"/>
        </w:rPr>
        <w:t>Elmagd</w:t>
      </w:r>
      <w:proofErr w:type="spellEnd"/>
      <w:r w:rsidRPr="00957C03">
        <w:rPr>
          <w:rFonts w:ascii="Book Antiqua" w:hAnsi="Book Antiqua" w:cs="宋体"/>
          <w:b/>
          <w:bCs/>
          <w:lang w:val="en-US" w:eastAsia="zh-CN"/>
        </w:rPr>
        <w:t xml:space="preserve"> K</w:t>
      </w:r>
      <w:r w:rsidRPr="00957C03">
        <w:rPr>
          <w:rFonts w:ascii="Book Antiqua" w:hAnsi="Book Antiqua" w:cs="宋体"/>
          <w:lang w:val="en-US" w:eastAsia="zh-CN"/>
        </w:rPr>
        <w:t xml:space="preserve">, Reyes J, Bond G, </w:t>
      </w:r>
      <w:proofErr w:type="spellStart"/>
      <w:r w:rsidRPr="00957C03">
        <w:rPr>
          <w:rFonts w:ascii="Book Antiqua" w:hAnsi="Book Antiqua" w:cs="宋体"/>
          <w:lang w:val="en-US" w:eastAsia="zh-CN"/>
        </w:rPr>
        <w:t>Mazariegos</w:t>
      </w:r>
      <w:proofErr w:type="spellEnd"/>
      <w:r w:rsidRPr="00957C03">
        <w:rPr>
          <w:rFonts w:ascii="Book Antiqua" w:hAnsi="Book Antiqua" w:cs="宋体"/>
          <w:lang w:val="en-US" w:eastAsia="zh-CN"/>
        </w:rPr>
        <w:t xml:space="preserve"> G, Wu T, </w:t>
      </w:r>
      <w:proofErr w:type="spellStart"/>
      <w:r w:rsidRPr="00957C03">
        <w:rPr>
          <w:rFonts w:ascii="Book Antiqua" w:hAnsi="Book Antiqua" w:cs="宋体"/>
          <w:lang w:val="en-US" w:eastAsia="zh-CN"/>
        </w:rPr>
        <w:t>Murase</w:t>
      </w:r>
      <w:proofErr w:type="spellEnd"/>
      <w:r w:rsidRPr="00957C03">
        <w:rPr>
          <w:rFonts w:ascii="Book Antiqua" w:hAnsi="Book Antiqua" w:cs="宋体"/>
          <w:lang w:val="en-US" w:eastAsia="zh-CN"/>
        </w:rPr>
        <w:t xml:space="preserve"> N, Sindhi R, Martin D, </w:t>
      </w:r>
      <w:proofErr w:type="spellStart"/>
      <w:r w:rsidRPr="00957C03">
        <w:rPr>
          <w:rFonts w:ascii="Book Antiqua" w:hAnsi="Book Antiqua" w:cs="宋体"/>
          <w:lang w:val="en-US" w:eastAsia="zh-CN"/>
        </w:rPr>
        <w:t>Colangelo</w:t>
      </w:r>
      <w:proofErr w:type="spellEnd"/>
      <w:r w:rsidRPr="00957C03">
        <w:rPr>
          <w:rFonts w:ascii="Book Antiqua" w:hAnsi="Book Antiqua" w:cs="宋体"/>
          <w:lang w:val="en-US" w:eastAsia="zh-CN"/>
        </w:rPr>
        <w:t xml:space="preserve"> J, Zak M, </w:t>
      </w:r>
      <w:proofErr w:type="spellStart"/>
      <w:r w:rsidRPr="00957C03">
        <w:rPr>
          <w:rFonts w:ascii="Book Antiqua" w:hAnsi="Book Antiqua" w:cs="宋体"/>
          <w:lang w:val="en-US" w:eastAsia="zh-CN"/>
        </w:rPr>
        <w:t>Janson</w:t>
      </w:r>
      <w:proofErr w:type="spellEnd"/>
      <w:r w:rsidRPr="00957C03">
        <w:rPr>
          <w:rFonts w:ascii="Book Antiqua" w:hAnsi="Book Antiqua" w:cs="宋体"/>
          <w:lang w:val="en-US" w:eastAsia="zh-CN"/>
        </w:rPr>
        <w:t xml:space="preserve"> D, </w:t>
      </w:r>
      <w:proofErr w:type="spellStart"/>
      <w:r w:rsidRPr="00957C03">
        <w:rPr>
          <w:rFonts w:ascii="Book Antiqua" w:hAnsi="Book Antiqua" w:cs="宋体"/>
          <w:lang w:val="en-US" w:eastAsia="zh-CN"/>
        </w:rPr>
        <w:t>Ezzelarab</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Dvorchik</w:t>
      </w:r>
      <w:proofErr w:type="spellEnd"/>
      <w:r w:rsidRPr="00957C03">
        <w:rPr>
          <w:rFonts w:ascii="Book Antiqua" w:hAnsi="Book Antiqua" w:cs="宋体"/>
          <w:lang w:val="en-US" w:eastAsia="zh-CN"/>
        </w:rPr>
        <w:t xml:space="preserve"> I, </w:t>
      </w:r>
      <w:proofErr w:type="spellStart"/>
      <w:r w:rsidRPr="00957C03">
        <w:rPr>
          <w:rFonts w:ascii="Book Antiqua" w:hAnsi="Book Antiqua" w:cs="宋体"/>
          <w:lang w:val="en-US" w:eastAsia="zh-CN"/>
        </w:rPr>
        <w:t>Parizhskaya</w:t>
      </w:r>
      <w:proofErr w:type="spellEnd"/>
      <w:r w:rsidRPr="00957C03">
        <w:rPr>
          <w:rFonts w:ascii="Book Antiqua" w:hAnsi="Book Antiqua" w:cs="宋体"/>
          <w:lang w:val="en-US" w:eastAsia="zh-CN"/>
        </w:rPr>
        <w:t xml:space="preserve"> M, Deutsch M, </w:t>
      </w:r>
      <w:proofErr w:type="spellStart"/>
      <w:r w:rsidRPr="00957C03">
        <w:rPr>
          <w:rFonts w:ascii="Book Antiqua" w:hAnsi="Book Antiqua" w:cs="宋体"/>
          <w:lang w:val="en-US" w:eastAsia="zh-CN"/>
        </w:rPr>
        <w:t>Demetris</w:t>
      </w:r>
      <w:proofErr w:type="spellEnd"/>
      <w:r w:rsidRPr="00957C03">
        <w:rPr>
          <w:rFonts w:ascii="Book Antiqua" w:hAnsi="Book Antiqua" w:cs="宋体"/>
          <w:lang w:val="en-US" w:eastAsia="zh-CN"/>
        </w:rPr>
        <w:t xml:space="preserve"> A, Fung J, </w:t>
      </w:r>
      <w:proofErr w:type="spellStart"/>
      <w:r w:rsidRPr="00957C03">
        <w:rPr>
          <w:rFonts w:ascii="Book Antiqua" w:hAnsi="Book Antiqua" w:cs="宋体"/>
          <w:lang w:val="en-US" w:eastAsia="zh-CN"/>
        </w:rPr>
        <w:t>Starzl</w:t>
      </w:r>
      <w:proofErr w:type="spellEnd"/>
      <w:r w:rsidRPr="00957C03">
        <w:rPr>
          <w:rFonts w:ascii="Book Antiqua" w:hAnsi="Book Antiqua" w:cs="宋体"/>
          <w:lang w:val="en-US" w:eastAsia="zh-CN"/>
        </w:rPr>
        <w:t xml:space="preserve"> TE. Clinical intestinal transplantation: a decade of experience at a single center. </w:t>
      </w:r>
      <w:r w:rsidRPr="00957C03">
        <w:rPr>
          <w:rFonts w:ascii="Book Antiqua" w:hAnsi="Book Antiqua" w:cs="宋体"/>
          <w:i/>
          <w:iCs/>
          <w:lang w:val="en-US" w:eastAsia="zh-CN"/>
        </w:rPr>
        <w:t xml:space="preserve">Ann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2001; </w:t>
      </w:r>
      <w:r w:rsidRPr="00957C03">
        <w:rPr>
          <w:rFonts w:ascii="Book Antiqua" w:hAnsi="Book Antiqua" w:cs="宋体"/>
          <w:b/>
          <w:bCs/>
          <w:lang w:val="en-US" w:eastAsia="zh-CN"/>
        </w:rPr>
        <w:t>234</w:t>
      </w:r>
      <w:r w:rsidRPr="00957C03">
        <w:rPr>
          <w:rFonts w:ascii="Book Antiqua" w:hAnsi="Book Antiqua" w:cs="宋体"/>
          <w:lang w:val="en-US" w:eastAsia="zh-CN"/>
        </w:rPr>
        <w:t>: 404-16; discussion 416-7 [PMID: 11524593]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62 </w:t>
      </w:r>
      <w:proofErr w:type="spellStart"/>
      <w:r w:rsidRPr="00957C03">
        <w:rPr>
          <w:rFonts w:ascii="Book Antiqua" w:hAnsi="Book Antiqua" w:cs="宋体"/>
          <w:b/>
          <w:bCs/>
          <w:lang w:val="en-US" w:eastAsia="zh-CN"/>
        </w:rPr>
        <w:t>Cucchetti</w:t>
      </w:r>
      <w:proofErr w:type="spellEnd"/>
      <w:r w:rsidRPr="00957C03">
        <w:rPr>
          <w:rFonts w:ascii="Book Antiqua" w:hAnsi="Book Antiqua" w:cs="宋体"/>
          <w:b/>
          <w:bCs/>
          <w:lang w:val="en-US" w:eastAsia="zh-CN"/>
        </w:rPr>
        <w:t xml:space="preserve"> A</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Siniscalchi</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Bagni</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Lauro</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Cescon</w:t>
      </w:r>
      <w:proofErr w:type="spellEnd"/>
      <w:r w:rsidRPr="00957C03">
        <w:rPr>
          <w:rFonts w:ascii="Book Antiqua" w:hAnsi="Book Antiqua" w:cs="宋体"/>
          <w:lang w:val="en-US" w:eastAsia="zh-CN"/>
        </w:rPr>
        <w:t xml:space="preserve"> M, Zucchini N, </w:t>
      </w:r>
      <w:proofErr w:type="spellStart"/>
      <w:r w:rsidRPr="00957C03">
        <w:rPr>
          <w:rFonts w:ascii="Book Antiqua" w:hAnsi="Book Antiqua" w:cs="宋体"/>
          <w:lang w:val="en-US" w:eastAsia="zh-CN"/>
        </w:rPr>
        <w:t>Dazzi</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Zanfi</w:t>
      </w:r>
      <w:proofErr w:type="spellEnd"/>
      <w:r w:rsidRPr="00957C03">
        <w:rPr>
          <w:rFonts w:ascii="Book Antiqua" w:hAnsi="Book Antiqua" w:cs="宋体"/>
          <w:lang w:val="en-US" w:eastAsia="zh-CN"/>
        </w:rPr>
        <w:t xml:space="preserve"> C, Faenza S, Pinna AD. </w:t>
      </w:r>
      <w:proofErr w:type="gramStart"/>
      <w:r w:rsidRPr="00957C03">
        <w:rPr>
          <w:rFonts w:ascii="Book Antiqua" w:hAnsi="Book Antiqua" w:cs="宋体"/>
          <w:lang w:val="en-US" w:eastAsia="zh-CN"/>
        </w:rPr>
        <w:t>Bacterial translocation in adult small bowel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2009; </w:t>
      </w:r>
      <w:r w:rsidRPr="00957C03">
        <w:rPr>
          <w:rFonts w:ascii="Book Antiqua" w:hAnsi="Book Antiqua" w:cs="宋体"/>
          <w:b/>
          <w:bCs/>
          <w:lang w:val="en-US" w:eastAsia="zh-CN"/>
        </w:rPr>
        <w:t>41</w:t>
      </w:r>
      <w:r w:rsidRPr="00957C03">
        <w:rPr>
          <w:rFonts w:ascii="Book Antiqua" w:hAnsi="Book Antiqua" w:cs="宋体"/>
          <w:lang w:val="en-US" w:eastAsia="zh-CN"/>
        </w:rPr>
        <w:t>: 1325-1330 [PMID: 19460552 DOI: 10.1016/j.transproceed.2009.03.006]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63 </w:t>
      </w:r>
      <w:proofErr w:type="spellStart"/>
      <w:r w:rsidRPr="00957C03">
        <w:rPr>
          <w:rFonts w:ascii="Book Antiqua" w:hAnsi="Book Antiqua" w:cs="宋体"/>
          <w:b/>
          <w:bCs/>
          <w:lang w:val="en-US" w:eastAsia="zh-CN"/>
        </w:rPr>
        <w:t>Guaraldi</w:t>
      </w:r>
      <w:proofErr w:type="spellEnd"/>
      <w:r w:rsidRPr="00957C03">
        <w:rPr>
          <w:rFonts w:ascii="Book Antiqua" w:hAnsi="Book Antiqua" w:cs="宋体"/>
          <w:b/>
          <w:bCs/>
          <w:lang w:val="en-US" w:eastAsia="zh-CN"/>
        </w:rPr>
        <w:t xml:space="preserve"> G</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Cocchi</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Codeluppi</w:t>
      </w:r>
      <w:proofErr w:type="spellEnd"/>
      <w:r w:rsidRPr="00957C03">
        <w:rPr>
          <w:rFonts w:ascii="Book Antiqua" w:hAnsi="Book Antiqua" w:cs="宋体"/>
          <w:lang w:val="en-US" w:eastAsia="zh-CN"/>
        </w:rPr>
        <w:t xml:space="preserve"> M, Di Benedetto F, De </w:t>
      </w:r>
      <w:proofErr w:type="spellStart"/>
      <w:r w:rsidRPr="00957C03">
        <w:rPr>
          <w:rFonts w:ascii="Book Antiqua" w:hAnsi="Book Antiqua" w:cs="宋体"/>
          <w:lang w:val="en-US" w:eastAsia="zh-CN"/>
        </w:rPr>
        <w:t>Ruvo</w:t>
      </w:r>
      <w:proofErr w:type="spellEnd"/>
      <w:r w:rsidRPr="00957C03">
        <w:rPr>
          <w:rFonts w:ascii="Book Antiqua" w:hAnsi="Book Antiqua" w:cs="宋体"/>
          <w:lang w:val="en-US" w:eastAsia="zh-CN"/>
        </w:rPr>
        <w:t xml:space="preserve"> N, </w:t>
      </w:r>
      <w:proofErr w:type="spellStart"/>
      <w:r w:rsidRPr="00957C03">
        <w:rPr>
          <w:rFonts w:ascii="Book Antiqua" w:hAnsi="Book Antiqua" w:cs="宋体"/>
          <w:lang w:val="en-US" w:eastAsia="zh-CN"/>
        </w:rPr>
        <w:t>Masetti</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Venturelli</w:t>
      </w:r>
      <w:proofErr w:type="spellEnd"/>
      <w:r w:rsidRPr="00957C03">
        <w:rPr>
          <w:rFonts w:ascii="Book Antiqua" w:hAnsi="Book Antiqua" w:cs="宋体"/>
          <w:lang w:val="en-US" w:eastAsia="zh-CN"/>
        </w:rPr>
        <w:t xml:space="preserve"> C, </w:t>
      </w:r>
      <w:proofErr w:type="spellStart"/>
      <w:r w:rsidRPr="00957C03">
        <w:rPr>
          <w:rFonts w:ascii="Book Antiqua" w:hAnsi="Book Antiqua" w:cs="宋体"/>
          <w:lang w:val="en-US" w:eastAsia="zh-CN"/>
        </w:rPr>
        <w:t>Pecorari</w:t>
      </w:r>
      <w:proofErr w:type="spellEnd"/>
      <w:r w:rsidRPr="00957C03">
        <w:rPr>
          <w:rFonts w:ascii="Book Antiqua" w:hAnsi="Book Antiqua" w:cs="宋体"/>
          <w:lang w:val="en-US" w:eastAsia="zh-CN"/>
        </w:rPr>
        <w:t xml:space="preserve"> M, Pinna AD, Esposito R. Outcome, incidence, and timing of infectious complications in small bowel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organ transplantation patients.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2005; </w:t>
      </w:r>
      <w:r w:rsidRPr="00957C03">
        <w:rPr>
          <w:rFonts w:ascii="Book Antiqua" w:hAnsi="Book Antiqua" w:cs="宋体"/>
          <w:b/>
          <w:bCs/>
          <w:lang w:val="en-US" w:eastAsia="zh-CN"/>
        </w:rPr>
        <w:t>80</w:t>
      </w:r>
      <w:r w:rsidRPr="00957C03">
        <w:rPr>
          <w:rFonts w:ascii="Book Antiqua" w:hAnsi="Book Antiqua" w:cs="宋体"/>
          <w:lang w:val="en-US" w:eastAsia="zh-CN"/>
        </w:rPr>
        <w:t>: 1742-1748 [PMID: 16378070]</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64 </w:t>
      </w:r>
      <w:proofErr w:type="spellStart"/>
      <w:r w:rsidRPr="00957C03">
        <w:rPr>
          <w:rFonts w:ascii="Book Antiqua" w:hAnsi="Book Antiqua" w:cs="宋体"/>
          <w:b/>
          <w:bCs/>
          <w:lang w:val="en-US" w:eastAsia="zh-CN"/>
        </w:rPr>
        <w:t>Loinaz</w:t>
      </w:r>
      <w:proofErr w:type="spellEnd"/>
      <w:r w:rsidRPr="00957C03">
        <w:rPr>
          <w:rFonts w:ascii="Book Antiqua" w:hAnsi="Book Antiqua" w:cs="宋体"/>
          <w:b/>
          <w:bCs/>
          <w:lang w:val="en-US" w:eastAsia="zh-CN"/>
        </w:rPr>
        <w:t xml:space="preserve"> C</w:t>
      </w:r>
      <w:r w:rsidRPr="00957C03">
        <w:rPr>
          <w:rFonts w:ascii="Book Antiqua" w:hAnsi="Book Antiqua" w:cs="宋体"/>
          <w:lang w:val="en-US" w:eastAsia="zh-CN"/>
        </w:rPr>
        <w:t xml:space="preserve">, Kato T, Nishida S, </w:t>
      </w:r>
      <w:proofErr w:type="spellStart"/>
      <w:r w:rsidRPr="00957C03">
        <w:rPr>
          <w:rFonts w:ascii="Book Antiqua" w:hAnsi="Book Antiqua" w:cs="宋体"/>
          <w:lang w:val="en-US" w:eastAsia="zh-CN"/>
        </w:rPr>
        <w:t>Weppler</w:t>
      </w:r>
      <w:proofErr w:type="spellEnd"/>
      <w:r w:rsidRPr="00957C03">
        <w:rPr>
          <w:rFonts w:ascii="Book Antiqua" w:hAnsi="Book Antiqua" w:cs="宋体"/>
          <w:lang w:val="en-US" w:eastAsia="zh-CN"/>
        </w:rPr>
        <w:t xml:space="preserve"> D, Levi D, Dowdy L, </w:t>
      </w:r>
      <w:proofErr w:type="spellStart"/>
      <w:r w:rsidRPr="00957C03">
        <w:rPr>
          <w:rFonts w:ascii="Book Antiqua" w:hAnsi="Book Antiqua" w:cs="宋体"/>
          <w:lang w:val="en-US" w:eastAsia="zh-CN"/>
        </w:rPr>
        <w:t>Madariaga</w:t>
      </w:r>
      <w:proofErr w:type="spellEnd"/>
      <w:r w:rsidRPr="00957C03">
        <w:rPr>
          <w:rFonts w:ascii="Book Antiqua" w:hAnsi="Book Antiqua" w:cs="宋体"/>
          <w:lang w:val="en-US" w:eastAsia="zh-CN"/>
        </w:rPr>
        <w:t xml:space="preserve"> J, Nery JR, </w:t>
      </w:r>
      <w:proofErr w:type="spellStart"/>
      <w:r w:rsidRPr="00957C03">
        <w:rPr>
          <w:rFonts w:ascii="Book Antiqua" w:hAnsi="Book Antiqua" w:cs="宋体"/>
          <w:lang w:val="en-US" w:eastAsia="zh-CN"/>
        </w:rPr>
        <w:t>Vianna</w:t>
      </w:r>
      <w:proofErr w:type="spellEnd"/>
      <w:r w:rsidRPr="00957C03">
        <w:rPr>
          <w:rFonts w:ascii="Book Antiqua" w:hAnsi="Book Antiqua" w:cs="宋体"/>
          <w:lang w:val="en-US" w:eastAsia="zh-CN"/>
        </w:rPr>
        <w:t xml:space="preserve"> R, Mittal N,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 Bacterial infections after intestine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2003; </w:t>
      </w:r>
      <w:r w:rsidRPr="00957C03">
        <w:rPr>
          <w:rFonts w:ascii="Book Antiqua" w:hAnsi="Book Antiqua" w:cs="宋体"/>
          <w:b/>
          <w:bCs/>
          <w:lang w:val="en-US" w:eastAsia="zh-CN"/>
        </w:rPr>
        <w:t>35</w:t>
      </w:r>
      <w:r w:rsidRPr="00957C03">
        <w:rPr>
          <w:rFonts w:ascii="Book Antiqua" w:hAnsi="Book Antiqua" w:cs="宋体"/>
          <w:lang w:val="en-US" w:eastAsia="zh-CN"/>
        </w:rPr>
        <w:t>: 1929-1930 [PMID: 12962852]</w:t>
      </w:r>
    </w:p>
    <w:p w:rsidR="0043020A" w:rsidRPr="00321EF6"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65 </w:t>
      </w:r>
      <w:proofErr w:type="spellStart"/>
      <w:r w:rsidRPr="00957C03">
        <w:rPr>
          <w:rFonts w:ascii="Book Antiqua" w:hAnsi="Book Antiqua" w:cs="宋体"/>
          <w:b/>
          <w:bCs/>
          <w:lang w:val="en-US" w:eastAsia="zh-CN"/>
        </w:rPr>
        <w:t>Tzakis</w:t>
      </w:r>
      <w:proofErr w:type="spellEnd"/>
      <w:r w:rsidRPr="00957C03">
        <w:rPr>
          <w:rFonts w:ascii="Book Antiqua" w:hAnsi="Book Antiqua" w:cs="宋体"/>
          <w:b/>
          <w:bCs/>
          <w:lang w:val="en-US" w:eastAsia="zh-CN"/>
        </w:rPr>
        <w:t xml:space="preserve"> AG</w:t>
      </w:r>
      <w:r w:rsidRPr="00957C03">
        <w:rPr>
          <w:rFonts w:ascii="Book Antiqua" w:hAnsi="Book Antiqua" w:cs="宋体"/>
          <w:lang w:val="en-US" w:eastAsia="zh-CN"/>
        </w:rPr>
        <w:t>.</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 xml:space="preserve">Cytomegalovirus prophylaxis with </w:t>
      </w:r>
      <w:proofErr w:type="spellStart"/>
      <w:r w:rsidRPr="00957C03">
        <w:rPr>
          <w:rFonts w:ascii="Book Antiqua" w:hAnsi="Book Antiqua" w:cs="宋体"/>
          <w:lang w:val="en-US" w:eastAsia="zh-CN"/>
        </w:rPr>
        <w:t>ganciclovir</w:t>
      </w:r>
      <w:proofErr w:type="spellEnd"/>
      <w:r w:rsidRPr="00957C03">
        <w:rPr>
          <w:rFonts w:ascii="Book Antiqua" w:hAnsi="Book Antiqua" w:cs="宋体"/>
          <w:lang w:val="en-US" w:eastAsia="zh-CN"/>
        </w:rPr>
        <w:t xml:space="preserve"> and cytomegalovirus immune globulin in liver and intestinal transplantation.</w:t>
      </w:r>
      <w:proofErr w:type="gramEnd"/>
      <w:r w:rsidRPr="00957C03">
        <w:rPr>
          <w:rFonts w:ascii="Book Antiqua" w:hAnsi="Book Antiqua" w:cs="宋体"/>
          <w:lang w:val="en-US" w:eastAsia="zh-CN"/>
        </w:rPr>
        <w:t xml:space="preserve"> </w:t>
      </w:r>
      <w:proofErr w:type="spellStart"/>
      <w:r w:rsidRPr="00957C03">
        <w:rPr>
          <w:rFonts w:ascii="Book Antiqua" w:hAnsi="Book Antiqua" w:cs="宋体"/>
          <w:i/>
          <w:iCs/>
          <w:lang w:val="en-US" w:eastAsia="zh-CN"/>
        </w:rPr>
        <w:t>Transpl</w:t>
      </w:r>
      <w:proofErr w:type="spellEnd"/>
      <w:r w:rsidRPr="00957C03">
        <w:rPr>
          <w:rFonts w:ascii="Book Antiqua" w:hAnsi="Book Antiqua" w:cs="宋体"/>
          <w:i/>
          <w:iCs/>
          <w:lang w:val="en-US" w:eastAsia="zh-CN"/>
        </w:rPr>
        <w:t xml:space="preserve"> Infect Dis</w:t>
      </w:r>
      <w:r w:rsidRPr="00957C03">
        <w:rPr>
          <w:rFonts w:ascii="Book Antiqua" w:hAnsi="Book Antiqua" w:cs="宋体"/>
          <w:lang w:val="en-US" w:eastAsia="zh-CN"/>
        </w:rPr>
        <w:t xml:space="preserve"> 2001; </w:t>
      </w:r>
      <w:r w:rsidRPr="00957C03">
        <w:rPr>
          <w:rFonts w:ascii="Book Antiqua" w:hAnsi="Book Antiqua" w:cs="宋体"/>
          <w:b/>
          <w:bCs/>
          <w:lang w:val="en-US" w:eastAsia="zh-CN"/>
        </w:rPr>
        <w:t xml:space="preserve">3 </w:t>
      </w:r>
      <w:proofErr w:type="spellStart"/>
      <w:r w:rsidRPr="00321EF6">
        <w:rPr>
          <w:rFonts w:ascii="Book Antiqua" w:hAnsi="Book Antiqua" w:cs="宋体"/>
          <w:bCs/>
          <w:lang w:val="en-US" w:eastAsia="zh-CN"/>
        </w:rPr>
        <w:t>Suppl</w:t>
      </w:r>
      <w:proofErr w:type="spellEnd"/>
      <w:r w:rsidRPr="00321EF6">
        <w:rPr>
          <w:rFonts w:ascii="Book Antiqua" w:hAnsi="Book Antiqua" w:cs="宋体"/>
          <w:bCs/>
          <w:lang w:val="en-US" w:eastAsia="zh-CN"/>
        </w:rPr>
        <w:t xml:space="preserve"> 2</w:t>
      </w:r>
      <w:r w:rsidRPr="00321EF6">
        <w:rPr>
          <w:rFonts w:ascii="Book Antiqua" w:hAnsi="Book Antiqua" w:cs="宋体"/>
          <w:lang w:val="en-US" w:eastAsia="zh-CN"/>
        </w:rPr>
        <w:t>: 35-39 [PMID: 11926748]</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66 </w:t>
      </w:r>
      <w:r w:rsidRPr="00957C03">
        <w:rPr>
          <w:rFonts w:ascii="Book Antiqua" w:hAnsi="Book Antiqua" w:cs="宋体"/>
          <w:b/>
          <w:bCs/>
          <w:lang w:val="en-US" w:eastAsia="zh-CN"/>
        </w:rPr>
        <w:t>Farmer DG</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McDiarmid</w:t>
      </w:r>
      <w:proofErr w:type="spellEnd"/>
      <w:r w:rsidRPr="00957C03">
        <w:rPr>
          <w:rFonts w:ascii="Book Antiqua" w:hAnsi="Book Antiqua" w:cs="宋体"/>
          <w:lang w:val="en-US" w:eastAsia="zh-CN"/>
        </w:rPr>
        <w:t xml:space="preserve"> SV, </w:t>
      </w:r>
      <w:proofErr w:type="spellStart"/>
      <w:r w:rsidRPr="00957C03">
        <w:rPr>
          <w:rFonts w:ascii="Book Antiqua" w:hAnsi="Book Antiqua" w:cs="宋体"/>
          <w:lang w:val="en-US" w:eastAsia="zh-CN"/>
        </w:rPr>
        <w:t>Yersiz</w:t>
      </w:r>
      <w:proofErr w:type="spellEnd"/>
      <w:r w:rsidRPr="00957C03">
        <w:rPr>
          <w:rFonts w:ascii="Book Antiqua" w:hAnsi="Book Antiqua" w:cs="宋体"/>
          <w:lang w:val="en-US" w:eastAsia="zh-CN"/>
        </w:rPr>
        <w:t xml:space="preserve"> H, Cortina G, </w:t>
      </w:r>
      <w:proofErr w:type="spellStart"/>
      <w:r w:rsidRPr="00957C03">
        <w:rPr>
          <w:rFonts w:ascii="Book Antiqua" w:hAnsi="Book Antiqua" w:cs="宋体"/>
          <w:lang w:val="en-US" w:eastAsia="zh-CN"/>
        </w:rPr>
        <w:t>Restrepo</w:t>
      </w:r>
      <w:proofErr w:type="spellEnd"/>
      <w:r w:rsidRPr="00957C03">
        <w:rPr>
          <w:rFonts w:ascii="Book Antiqua" w:hAnsi="Book Antiqua" w:cs="宋体"/>
          <w:lang w:val="en-US" w:eastAsia="zh-CN"/>
        </w:rPr>
        <w:t xml:space="preserve"> GC, </w:t>
      </w:r>
      <w:proofErr w:type="spellStart"/>
      <w:r w:rsidRPr="00957C03">
        <w:rPr>
          <w:rFonts w:ascii="Book Antiqua" w:hAnsi="Book Antiqua" w:cs="宋体"/>
          <w:lang w:val="en-US" w:eastAsia="zh-CN"/>
        </w:rPr>
        <w:t>Amersi</w:t>
      </w:r>
      <w:proofErr w:type="spellEnd"/>
      <w:r w:rsidRPr="00957C03">
        <w:rPr>
          <w:rFonts w:ascii="Book Antiqua" w:hAnsi="Book Antiqua" w:cs="宋体"/>
          <w:lang w:val="en-US" w:eastAsia="zh-CN"/>
        </w:rPr>
        <w:t xml:space="preserve"> F, Vargas J, </w:t>
      </w:r>
      <w:proofErr w:type="spellStart"/>
      <w:r w:rsidRPr="00957C03">
        <w:rPr>
          <w:rFonts w:ascii="Book Antiqua" w:hAnsi="Book Antiqua" w:cs="宋体"/>
          <w:lang w:val="en-US" w:eastAsia="zh-CN"/>
        </w:rPr>
        <w:t>Gershman</w:t>
      </w:r>
      <w:proofErr w:type="spellEnd"/>
      <w:r w:rsidRPr="00957C03">
        <w:rPr>
          <w:rFonts w:ascii="Book Antiqua" w:hAnsi="Book Antiqua" w:cs="宋体"/>
          <w:lang w:val="en-US" w:eastAsia="zh-CN"/>
        </w:rPr>
        <w:t xml:space="preserve"> G, Ament M, </w:t>
      </w:r>
      <w:proofErr w:type="spellStart"/>
      <w:r w:rsidRPr="00957C03">
        <w:rPr>
          <w:rFonts w:ascii="Book Antiqua" w:hAnsi="Book Antiqua" w:cs="宋体"/>
          <w:lang w:val="en-US" w:eastAsia="zh-CN"/>
        </w:rPr>
        <w:t>Reyen</w:t>
      </w:r>
      <w:proofErr w:type="spellEnd"/>
      <w:r w:rsidRPr="00957C03">
        <w:rPr>
          <w:rFonts w:ascii="Book Antiqua" w:hAnsi="Book Antiqua" w:cs="宋体"/>
          <w:lang w:val="en-US" w:eastAsia="zh-CN"/>
        </w:rPr>
        <w:t xml:space="preserve"> L, Le H, </w:t>
      </w:r>
      <w:proofErr w:type="spellStart"/>
      <w:r w:rsidRPr="00957C03">
        <w:rPr>
          <w:rFonts w:ascii="Book Antiqua" w:hAnsi="Book Antiqua" w:cs="宋体"/>
          <w:lang w:val="en-US" w:eastAsia="zh-CN"/>
        </w:rPr>
        <w:t>Ghobrial</w:t>
      </w:r>
      <w:proofErr w:type="spellEnd"/>
      <w:r w:rsidRPr="00957C03">
        <w:rPr>
          <w:rFonts w:ascii="Book Antiqua" w:hAnsi="Book Antiqua" w:cs="宋体"/>
          <w:lang w:val="en-US" w:eastAsia="zh-CN"/>
        </w:rPr>
        <w:t xml:space="preserve"> RM, Chen P, Dawson S, Han S, Martin P, Goldstein L, </w:t>
      </w:r>
      <w:proofErr w:type="spellStart"/>
      <w:r w:rsidRPr="00957C03">
        <w:rPr>
          <w:rFonts w:ascii="Book Antiqua" w:hAnsi="Book Antiqua" w:cs="宋体"/>
          <w:lang w:val="en-US" w:eastAsia="zh-CN"/>
        </w:rPr>
        <w:t>Busuttil</w:t>
      </w:r>
      <w:proofErr w:type="spellEnd"/>
      <w:r w:rsidRPr="00957C03">
        <w:rPr>
          <w:rFonts w:ascii="Book Antiqua" w:hAnsi="Book Antiqua" w:cs="宋体"/>
          <w:lang w:val="en-US" w:eastAsia="zh-CN"/>
        </w:rPr>
        <w:t xml:space="preserve"> RW. Improved outcome after intestinal transplantation: an 8-year, single-center experience.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2000; </w:t>
      </w:r>
      <w:r w:rsidRPr="00957C03">
        <w:rPr>
          <w:rFonts w:ascii="Book Antiqua" w:hAnsi="Book Antiqua" w:cs="宋体"/>
          <w:b/>
          <w:bCs/>
          <w:lang w:val="en-US" w:eastAsia="zh-CN"/>
        </w:rPr>
        <w:t>32</w:t>
      </w:r>
      <w:r w:rsidRPr="00957C03">
        <w:rPr>
          <w:rFonts w:ascii="Book Antiqua" w:hAnsi="Book Antiqua" w:cs="宋体"/>
          <w:lang w:val="en-US" w:eastAsia="zh-CN"/>
        </w:rPr>
        <w:t>: 1233-1234 [PMID: 10995926]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67 </w:t>
      </w:r>
      <w:r w:rsidRPr="00957C03">
        <w:rPr>
          <w:rFonts w:ascii="Book Antiqua" w:hAnsi="Book Antiqua" w:cs="宋体"/>
          <w:b/>
          <w:bCs/>
          <w:lang w:val="en-US" w:eastAsia="zh-CN"/>
        </w:rPr>
        <w:t>Wu G</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Selvaggi</w:t>
      </w:r>
      <w:proofErr w:type="spellEnd"/>
      <w:r w:rsidRPr="00957C03">
        <w:rPr>
          <w:rFonts w:ascii="Book Antiqua" w:hAnsi="Book Antiqua" w:cs="宋体"/>
          <w:lang w:val="en-US" w:eastAsia="zh-CN"/>
        </w:rPr>
        <w:t xml:space="preserve"> G, Nishida S, Moon J, Island E, Ruiz P,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AG. </w:t>
      </w:r>
      <w:proofErr w:type="gramStart"/>
      <w:r w:rsidRPr="00957C03">
        <w:rPr>
          <w:rFonts w:ascii="Book Antiqua" w:hAnsi="Book Antiqua" w:cs="宋体"/>
          <w:lang w:val="en-US" w:eastAsia="zh-CN"/>
        </w:rPr>
        <w:t xml:space="preserve">Graft-versus-host disease after intestinal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2011; </w:t>
      </w:r>
      <w:r w:rsidRPr="00957C03">
        <w:rPr>
          <w:rFonts w:ascii="Book Antiqua" w:hAnsi="Book Antiqua" w:cs="宋体"/>
          <w:b/>
          <w:bCs/>
          <w:lang w:val="en-US" w:eastAsia="zh-CN"/>
        </w:rPr>
        <w:t>91</w:t>
      </w:r>
      <w:r w:rsidRPr="00957C03">
        <w:rPr>
          <w:rFonts w:ascii="Book Antiqua" w:hAnsi="Book Antiqua" w:cs="宋体"/>
          <w:lang w:val="en-US" w:eastAsia="zh-CN"/>
        </w:rPr>
        <w:t>: 219-224 [PMID: 21076376 DOI: 10.1097/TP.0b013e3181ff86ec]</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68 </w:t>
      </w:r>
      <w:r w:rsidRPr="00957C03">
        <w:rPr>
          <w:rFonts w:ascii="Book Antiqua" w:hAnsi="Book Antiqua" w:cs="宋体"/>
          <w:b/>
          <w:bCs/>
          <w:lang w:val="en-US" w:eastAsia="zh-CN"/>
        </w:rPr>
        <w:t>Abu-</w:t>
      </w:r>
      <w:proofErr w:type="spellStart"/>
      <w:r w:rsidRPr="00957C03">
        <w:rPr>
          <w:rFonts w:ascii="Book Antiqua" w:hAnsi="Book Antiqua" w:cs="宋体"/>
          <w:b/>
          <w:bCs/>
          <w:lang w:val="en-US" w:eastAsia="zh-CN"/>
        </w:rPr>
        <w:t>Elmagd</w:t>
      </w:r>
      <w:proofErr w:type="spellEnd"/>
      <w:r w:rsidRPr="00957C03">
        <w:rPr>
          <w:rFonts w:ascii="Book Antiqua" w:hAnsi="Book Antiqua" w:cs="宋体"/>
          <w:b/>
          <w:bCs/>
          <w:lang w:val="en-US" w:eastAsia="zh-CN"/>
        </w:rPr>
        <w:t xml:space="preserve"> KM</w:t>
      </w:r>
      <w:r w:rsidRPr="00957C03">
        <w:rPr>
          <w:rFonts w:ascii="Book Antiqua" w:hAnsi="Book Antiqua" w:cs="宋体"/>
          <w:lang w:val="en-US" w:eastAsia="zh-CN"/>
        </w:rPr>
        <w:t xml:space="preserve">, Zak M, </w:t>
      </w:r>
      <w:proofErr w:type="spellStart"/>
      <w:r w:rsidRPr="00957C03">
        <w:rPr>
          <w:rFonts w:ascii="Book Antiqua" w:hAnsi="Book Antiqua" w:cs="宋体"/>
          <w:lang w:val="en-US" w:eastAsia="zh-CN"/>
        </w:rPr>
        <w:t>Stamos</w:t>
      </w:r>
      <w:proofErr w:type="spellEnd"/>
      <w:r w:rsidRPr="00957C03">
        <w:rPr>
          <w:rFonts w:ascii="Book Antiqua" w:hAnsi="Book Antiqua" w:cs="宋体"/>
          <w:lang w:val="en-US" w:eastAsia="zh-CN"/>
        </w:rPr>
        <w:t xml:space="preserve"> JM, Bond GJ, Jain A, </w:t>
      </w:r>
      <w:proofErr w:type="spellStart"/>
      <w:r w:rsidRPr="00957C03">
        <w:rPr>
          <w:rFonts w:ascii="Book Antiqua" w:hAnsi="Book Antiqua" w:cs="宋体"/>
          <w:lang w:val="en-US" w:eastAsia="zh-CN"/>
        </w:rPr>
        <w:t>Youk</w:t>
      </w:r>
      <w:proofErr w:type="spellEnd"/>
      <w:r w:rsidRPr="00957C03">
        <w:rPr>
          <w:rFonts w:ascii="Book Antiqua" w:hAnsi="Book Antiqua" w:cs="宋体"/>
          <w:lang w:val="en-US" w:eastAsia="zh-CN"/>
        </w:rPr>
        <w:t xml:space="preserve"> AO, </w:t>
      </w:r>
      <w:proofErr w:type="spellStart"/>
      <w:r w:rsidRPr="00957C03">
        <w:rPr>
          <w:rFonts w:ascii="Book Antiqua" w:hAnsi="Book Antiqua" w:cs="宋体"/>
          <w:lang w:val="en-US" w:eastAsia="zh-CN"/>
        </w:rPr>
        <w:t>Ezzelarab</w:t>
      </w:r>
      <w:proofErr w:type="spellEnd"/>
      <w:r w:rsidRPr="00957C03">
        <w:rPr>
          <w:rFonts w:ascii="Book Antiqua" w:hAnsi="Book Antiqua" w:cs="宋体"/>
          <w:lang w:val="en-US" w:eastAsia="zh-CN"/>
        </w:rPr>
        <w:t xml:space="preserve"> M, Costa G, Wu T, </w:t>
      </w:r>
      <w:proofErr w:type="spellStart"/>
      <w:r w:rsidRPr="00957C03">
        <w:rPr>
          <w:rFonts w:ascii="Book Antiqua" w:hAnsi="Book Antiqua" w:cs="宋体"/>
          <w:lang w:val="en-US" w:eastAsia="zh-CN"/>
        </w:rPr>
        <w:t>Nalesnik</w:t>
      </w:r>
      <w:proofErr w:type="spellEnd"/>
      <w:r w:rsidRPr="00957C03">
        <w:rPr>
          <w:rFonts w:ascii="Book Antiqua" w:hAnsi="Book Antiqua" w:cs="宋体"/>
          <w:lang w:val="en-US" w:eastAsia="zh-CN"/>
        </w:rPr>
        <w:t xml:space="preserve"> MA, </w:t>
      </w:r>
      <w:proofErr w:type="spellStart"/>
      <w:r w:rsidRPr="00957C03">
        <w:rPr>
          <w:rFonts w:ascii="Book Antiqua" w:hAnsi="Book Antiqua" w:cs="宋体"/>
          <w:lang w:val="en-US" w:eastAsia="zh-CN"/>
        </w:rPr>
        <w:t>Mazariegos</w:t>
      </w:r>
      <w:proofErr w:type="spellEnd"/>
      <w:r w:rsidRPr="00957C03">
        <w:rPr>
          <w:rFonts w:ascii="Book Antiqua" w:hAnsi="Book Antiqua" w:cs="宋体"/>
          <w:lang w:val="en-US" w:eastAsia="zh-CN"/>
        </w:rPr>
        <w:t xml:space="preserve"> GV, Sindhi RK, Marcos A, </w:t>
      </w:r>
      <w:proofErr w:type="spellStart"/>
      <w:r w:rsidRPr="00957C03">
        <w:rPr>
          <w:rFonts w:ascii="Book Antiqua" w:hAnsi="Book Antiqua" w:cs="宋体"/>
          <w:lang w:val="en-US" w:eastAsia="zh-CN"/>
        </w:rPr>
        <w:t>Demetris</w:t>
      </w:r>
      <w:proofErr w:type="spellEnd"/>
      <w:r w:rsidRPr="00957C03">
        <w:rPr>
          <w:rFonts w:ascii="Book Antiqua" w:hAnsi="Book Antiqua" w:cs="宋体"/>
          <w:lang w:val="en-US" w:eastAsia="zh-CN"/>
        </w:rPr>
        <w:t xml:space="preserve"> AJ, Fung JJ, Reyes JD. </w:t>
      </w:r>
      <w:proofErr w:type="gramStart"/>
      <w:r w:rsidRPr="00957C03">
        <w:rPr>
          <w:rFonts w:ascii="Book Antiqua" w:hAnsi="Book Antiqua" w:cs="宋体"/>
          <w:lang w:val="en-US" w:eastAsia="zh-CN"/>
        </w:rPr>
        <w:t xml:space="preserve">De novo malignancies after intestinal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2004; </w:t>
      </w:r>
      <w:r w:rsidRPr="00957C03">
        <w:rPr>
          <w:rFonts w:ascii="Book Antiqua" w:hAnsi="Book Antiqua" w:cs="宋体"/>
          <w:b/>
          <w:bCs/>
          <w:lang w:val="en-US" w:eastAsia="zh-CN"/>
        </w:rPr>
        <w:t>77</w:t>
      </w:r>
      <w:r w:rsidRPr="00957C03">
        <w:rPr>
          <w:rFonts w:ascii="Book Antiqua" w:hAnsi="Book Antiqua" w:cs="宋体"/>
          <w:lang w:val="en-US" w:eastAsia="zh-CN"/>
        </w:rPr>
        <w:t>: 1719-1725 [PMID: 15201672]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69 </w:t>
      </w:r>
      <w:r w:rsidRPr="00957C03">
        <w:rPr>
          <w:rFonts w:ascii="Book Antiqua" w:hAnsi="Book Antiqua" w:cs="宋体"/>
          <w:b/>
          <w:bCs/>
          <w:lang w:val="en-US" w:eastAsia="zh-CN"/>
        </w:rPr>
        <w:t>Reyes J</w:t>
      </w:r>
      <w:r w:rsidRPr="00957C03">
        <w:rPr>
          <w:rFonts w:ascii="Book Antiqua" w:hAnsi="Book Antiqua" w:cs="宋体"/>
          <w:lang w:val="en-US" w:eastAsia="zh-CN"/>
        </w:rPr>
        <w:t xml:space="preserve">, Green M, Bueno J, </w:t>
      </w:r>
      <w:proofErr w:type="spellStart"/>
      <w:r w:rsidRPr="00957C03">
        <w:rPr>
          <w:rFonts w:ascii="Book Antiqua" w:hAnsi="Book Antiqua" w:cs="宋体"/>
          <w:lang w:val="en-US" w:eastAsia="zh-CN"/>
        </w:rPr>
        <w:t>Jabbour</w:t>
      </w:r>
      <w:proofErr w:type="spellEnd"/>
      <w:r w:rsidRPr="00957C03">
        <w:rPr>
          <w:rFonts w:ascii="Book Antiqua" w:hAnsi="Book Antiqua" w:cs="宋体"/>
          <w:lang w:val="en-US" w:eastAsia="zh-CN"/>
        </w:rPr>
        <w:t xml:space="preserve"> N, </w:t>
      </w:r>
      <w:proofErr w:type="spellStart"/>
      <w:r w:rsidRPr="00957C03">
        <w:rPr>
          <w:rFonts w:ascii="Book Antiqua" w:hAnsi="Book Antiqua" w:cs="宋体"/>
          <w:lang w:val="en-US" w:eastAsia="zh-CN"/>
        </w:rPr>
        <w:t>Nalesnik</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Yunis</w:t>
      </w:r>
      <w:proofErr w:type="spellEnd"/>
      <w:r w:rsidRPr="00957C03">
        <w:rPr>
          <w:rFonts w:ascii="Book Antiqua" w:hAnsi="Book Antiqua" w:cs="宋体"/>
          <w:lang w:val="en-US" w:eastAsia="zh-CN"/>
        </w:rPr>
        <w:t xml:space="preserve"> E, </w:t>
      </w:r>
      <w:proofErr w:type="spellStart"/>
      <w:r w:rsidRPr="00957C03">
        <w:rPr>
          <w:rFonts w:ascii="Book Antiqua" w:hAnsi="Book Antiqua" w:cs="宋体"/>
          <w:lang w:val="en-US" w:eastAsia="zh-CN"/>
        </w:rPr>
        <w:t>Kocoshis</w:t>
      </w:r>
      <w:proofErr w:type="spellEnd"/>
      <w:r w:rsidRPr="00957C03">
        <w:rPr>
          <w:rFonts w:ascii="Book Antiqua" w:hAnsi="Book Antiqua" w:cs="宋体"/>
          <w:lang w:val="en-US" w:eastAsia="zh-CN"/>
        </w:rPr>
        <w:t xml:space="preserve"> S, Kauffman M, </w:t>
      </w:r>
      <w:proofErr w:type="spellStart"/>
      <w:r w:rsidRPr="00957C03">
        <w:rPr>
          <w:rFonts w:ascii="Book Antiqua" w:hAnsi="Book Antiqua" w:cs="宋体"/>
          <w:lang w:val="en-US" w:eastAsia="zh-CN"/>
        </w:rPr>
        <w:t>Todo</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Starzl</w:t>
      </w:r>
      <w:proofErr w:type="spellEnd"/>
      <w:r w:rsidRPr="00957C03">
        <w:rPr>
          <w:rFonts w:ascii="Book Antiqua" w:hAnsi="Book Antiqua" w:cs="宋体"/>
          <w:lang w:val="en-US" w:eastAsia="zh-CN"/>
        </w:rPr>
        <w:t xml:space="preserve"> TE. Epstein Barr virus associated </w:t>
      </w:r>
      <w:proofErr w:type="spellStart"/>
      <w:r w:rsidRPr="00957C03">
        <w:rPr>
          <w:rFonts w:ascii="Book Antiqua" w:hAnsi="Book Antiqua" w:cs="宋体"/>
          <w:lang w:val="en-US" w:eastAsia="zh-CN"/>
        </w:rPr>
        <w:t>posttransplant</w:t>
      </w:r>
      <w:proofErr w:type="spellEnd"/>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lymphoproliferative</w:t>
      </w:r>
      <w:proofErr w:type="spellEnd"/>
      <w:r w:rsidRPr="00957C03">
        <w:rPr>
          <w:rFonts w:ascii="Book Antiqua" w:hAnsi="Book Antiqua" w:cs="宋体"/>
          <w:lang w:val="en-US" w:eastAsia="zh-CN"/>
        </w:rPr>
        <w:t xml:space="preserve"> disease after intestinal transplantation.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1996; </w:t>
      </w:r>
      <w:r w:rsidRPr="00957C03">
        <w:rPr>
          <w:rFonts w:ascii="Book Antiqua" w:hAnsi="Book Antiqua" w:cs="宋体"/>
          <w:b/>
          <w:bCs/>
          <w:lang w:val="en-US" w:eastAsia="zh-CN"/>
        </w:rPr>
        <w:t>28</w:t>
      </w:r>
      <w:r w:rsidRPr="00957C03">
        <w:rPr>
          <w:rFonts w:ascii="Book Antiqua" w:hAnsi="Book Antiqua" w:cs="宋体"/>
          <w:lang w:val="en-US" w:eastAsia="zh-CN"/>
        </w:rPr>
        <w:t>: 2768-2769 [PMID: 8908049]</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70 </w:t>
      </w:r>
      <w:proofErr w:type="spellStart"/>
      <w:r w:rsidRPr="00321EF6">
        <w:rPr>
          <w:rFonts w:ascii="Book Antiqua" w:hAnsi="Book Antiqua" w:cs="宋体"/>
          <w:b/>
          <w:lang w:val="en-US" w:eastAsia="zh-CN"/>
        </w:rPr>
        <w:t>Pironi</w:t>
      </w:r>
      <w:proofErr w:type="spellEnd"/>
      <w:r w:rsidRPr="00321EF6">
        <w:rPr>
          <w:rFonts w:ascii="Book Antiqua" w:hAnsi="Book Antiqua" w:cs="宋体"/>
          <w:b/>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Lauro</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Soverini</w:t>
      </w:r>
      <w:proofErr w:type="spellEnd"/>
      <w:r w:rsidRPr="00957C03">
        <w:rPr>
          <w:rFonts w:ascii="Book Antiqua" w:hAnsi="Book Antiqua" w:cs="宋体"/>
          <w:lang w:val="en-US" w:eastAsia="zh-CN"/>
        </w:rPr>
        <w:t xml:space="preserve"> V, </w:t>
      </w:r>
      <w:proofErr w:type="spellStart"/>
      <w:r w:rsidRPr="00957C03">
        <w:rPr>
          <w:rFonts w:ascii="Book Antiqua" w:hAnsi="Book Antiqua" w:cs="宋体"/>
          <w:lang w:val="en-US" w:eastAsia="zh-CN"/>
        </w:rPr>
        <w:t>Agostini</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Guidetti</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Pazzeschi</w:t>
      </w:r>
      <w:proofErr w:type="spellEnd"/>
      <w:r w:rsidRPr="00957C03">
        <w:rPr>
          <w:rFonts w:ascii="Book Antiqua" w:hAnsi="Book Antiqua" w:cs="宋体"/>
          <w:lang w:val="en-US" w:eastAsia="zh-CN"/>
        </w:rPr>
        <w:t xml:space="preserve"> C, Pinna AD. </w:t>
      </w:r>
      <w:proofErr w:type="gramStart"/>
      <w:r w:rsidRPr="00957C03">
        <w:rPr>
          <w:rFonts w:ascii="Book Antiqua" w:hAnsi="Book Antiqua" w:cs="宋体"/>
          <w:lang w:val="en-US" w:eastAsia="zh-CN"/>
        </w:rPr>
        <w:t>Chronic renal failure in patients on long term home parenteral nutrition and in intestinal transplant recipients.</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International Small Bowel Transplant Symposium.</w:t>
      </w:r>
      <w:proofErr w:type="gramEnd"/>
      <w:r w:rsidRPr="00957C03">
        <w:rPr>
          <w:rFonts w:ascii="Book Antiqua" w:hAnsi="Book Antiqua" w:cs="宋体"/>
          <w:lang w:val="en-US" w:eastAsia="zh-CN"/>
        </w:rPr>
        <w:t xml:space="preserve"> Oxford, United Kingdom, 2013.</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lastRenderedPageBreak/>
        <w:t xml:space="preserve">71 </w:t>
      </w:r>
      <w:r w:rsidRPr="00957C03">
        <w:rPr>
          <w:rFonts w:ascii="Book Antiqua" w:hAnsi="Book Antiqua" w:cs="宋体"/>
          <w:b/>
          <w:bCs/>
          <w:lang w:val="en-US" w:eastAsia="zh-CN"/>
        </w:rPr>
        <w:t>Suzuki 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Mujtaba</w:t>
      </w:r>
      <w:proofErr w:type="spellEnd"/>
      <w:r w:rsidRPr="00957C03">
        <w:rPr>
          <w:rFonts w:ascii="Book Antiqua" w:hAnsi="Book Antiqua" w:cs="宋体"/>
          <w:lang w:val="en-US" w:eastAsia="zh-CN"/>
        </w:rPr>
        <w:t xml:space="preserve"> MA, </w:t>
      </w:r>
      <w:proofErr w:type="spellStart"/>
      <w:r w:rsidRPr="00957C03">
        <w:rPr>
          <w:rFonts w:ascii="Book Antiqua" w:hAnsi="Book Antiqua" w:cs="宋体"/>
          <w:lang w:val="en-US" w:eastAsia="zh-CN"/>
        </w:rPr>
        <w:t>Sharfuddin</w:t>
      </w:r>
      <w:proofErr w:type="spellEnd"/>
      <w:r w:rsidRPr="00957C03">
        <w:rPr>
          <w:rFonts w:ascii="Book Antiqua" w:hAnsi="Book Antiqua" w:cs="宋体"/>
          <w:lang w:val="en-US" w:eastAsia="zh-CN"/>
        </w:rPr>
        <w:t xml:space="preserve"> AA, </w:t>
      </w:r>
      <w:proofErr w:type="spellStart"/>
      <w:r w:rsidRPr="00957C03">
        <w:rPr>
          <w:rFonts w:ascii="Book Antiqua" w:hAnsi="Book Antiqua" w:cs="宋体"/>
          <w:lang w:val="en-US" w:eastAsia="zh-CN"/>
        </w:rPr>
        <w:t>Yaqub</w:t>
      </w:r>
      <w:proofErr w:type="spellEnd"/>
      <w:r w:rsidRPr="00957C03">
        <w:rPr>
          <w:rFonts w:ascii="Book Antiqua" w:hAnsi="Book Antiqua" w:cs="宋体"/>
          <w:lang w:val="en-US" w:eastAsia="zh-CN"/>
        </w:rPr>
        <w:t xml:space="preserve"> MS, </w:t>
      </w:r>
      <w:proofErr w:type="spellStart"/>
      <w:r w:rsidRPr="00957C03">
        <w:rPr>
          <w:rFonts w:ascii="Book Antiqua" w:hAnsi="Book Antiqua" w:cs="宋体"/>
          <w:lang w:val="en-US" w:eastAsia="zh-CN"/>
        </w:rPr>
        <w:t>Mishler</w:t>
      </w:r>
      <w:proofErr w:type="spellEnd"/>
      <w:r w:rsidRPr="00957C03">
        <w:rPr>
          <w:rFonts w:ascii="Book Antiqua" w:hAnsi="Book Antiqua" w:cs="宋体"/>
          <w:lang w:val="en-US" w:eastAsia="zh-CN"/>
        </w:rPr>
        <w:t xml:space="preserve"> DP, </w:t>
      </w:r>
      <w:proofErr w:type="spellStart"/>
      <w:r w:rsidRPr="00957C03">
        <w:rPr>
          <w:rFonts w:ascii="Book Antiqua" w:hAnsi="Book Antiqua" w:cs="宋体"/>
          <w:lang w:val="en-US" w:eastAsia="zh-CN"/>
        </w:rPr>
        <w:t>Faiz</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Vianna</w:t>
      </w:r>
      <w:proofErr w:type="spellEnd"/>
      <w:r w:rsidRPr="00957C03">
        <w:rPr>
          <w:rFonts w:ascii="Book Antiqua" w:hAnsi="Book Antiqua" w:cs="宋体"/>
          <w:lang w:val="en-US" w:eastAsia="zh-CN"/>
        </w:rPr>
        <w:t xml:space="preserve"> RM, </w:t>
      </w:r>
      <w:proofErr w:type="spellStart"/>
      <w:r w:rsidRPr="00957C03">
        <w:rPr>
          <w:rFonts w:ascii="Book Antiqua" w:hAnsi="Book Antiqua" w:cs="宋体"/>
          <w:lang w:val="en-US" w:eastAsia="zh-CN"/>
        </w:rPr>
        <w:t>Mangus</w:t>
      </w:r>
      <w:proofErr w:type="spellEnd"/>
      <w:r w:rsidRPr="00957C03">
        <w:rPr>
          <w:rFonts w:ascii="Book Antiqua" w:hAnsi="Book Antiqua" w:cs="宋体"/>
          <w:lang w:val="en-US" w:eastAsia="zh-CN"/>
        </w:rPr>
        <w:t xml:space="preserve"> RS, </w:t>
      </w:r>
      <w:proofErr w:type="spellStart"/>
      <w:r w:rsidRPr="00957C03">
        <w:rPr>
          <w:rFonts w:ascii="Book Antiqua" w:hAnsi="Book Antiqua" w:cs="宋体"/>
          <w:lang w:val="en-US" w:eastAsia="zh-CN"/>
        </w:rPr>
        <w:t>Tector</w:t>
      </w:r>
      <w:proofErr w:type="spellEnd"/>
      <w:r w:rsidRPr="00957C03">
        <w:rPr>
          <w:rFonts w:ascii="Book Antiqua" w:hAnsi="Book Antiqua" w:cs="宋体"/>
          <w:lang w:val="en-US" w:eastAsia="zh-CN"/>
        </w:rPr>
        <w:t xml:space="preserve"> JA, Taber TE.</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 xml:space="preserve">Risk factors for native kidney dysfunction in patients with abdominal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/small bowel transplantation.</w:t>
      </w:r>
      <w:proofErr w:type="gramEnd"/>
      <w:r w:rsidRPr="00957C03">
        <w:rPr>
          <w:rFonts w:ascii="Book Antiqua" w:hAnsi="Book Antiqua" w:cs="宋体"/>
          <w:lang w:val="en-US" w:eastAsia="zh-CN"/>
        </w:rPr>
        <w:t xml:space="preserve">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Transplant</w:t>
      </w:r>
      <w:r w:rsidRPr="00957C03">
        <w:rPr>
          <w:rFonts w:ascii="Book Antiqua" w:hAnsi="Book Antiqua" w:cs="宋体"/>
          <w:lang w:val="en-US" w:eastAsia="zh-CN"/>
        </w:rPr>
        <w:t xml:space="preserve"> </w:t>
      </w:r>
      <w:r>
        <w:rPr>
          <w:rFonts w:ascii="Book Antiqua" w:hAnsi="Book Antiqua" w:cs="宋体"/>
          <w:lang w:val="en-US" w:eastAsia="zh-CN"/>
        </w:rPr>
        <w:t>2012</w:t>
      </w:r>
      <w:r w:rsidRPr="00957C03">
        <w:rPr>
          <w:rFonts w:ascii="Book Antiqua" w:hAnsi="Book Antiqua" w:cs="宋体"/>
          <w:lang w:val="en-US" w:eastAsia="zh-CN"/>
        </w:rPr>
        <w:t xml:space="preserve">; </w:t>
      </w:r>
      <w:r w:rsidRPr="00957C03">
        <w:rPr>
          <w:rFonts w:ascii="Book Antiqua" w:hAnsi="Book Antiqua" w:cs="宋体"/>
          <w:b/>
          <w:bCs/>
          <w:lang w:val="en-US" w:eastAsia="zh-CN"/>
        </w:rPr>
        <w:t>26</w:t>
      </w:r>
      <w:r w:rsidRPr="00957C03">
        <w:rPr>
          <w:rFonts w:ascii="Book Antiqua" w:hAnsi="Book Antiqua" w:cs="宋体"/>
          <w:lang w:val="en-US" w:eastAsia="zh-CN"/>
        </w:rPr>
        <w:t>: E351-E358 [PMID: 22694120 DOI: 10.1111/j.1399-0012.2012.01672.x]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72 </w:t>
      </w:r>
      <w:r w:rsidRPr="00957C03">
        <w:rPr>
          <w:rFonts w:ascii="Book Antiqua" w:hAnsi="Book Antiqua" w:cs="宋体"/>
          <w:b/>
          <w:bCs/>
          <w:lang w:val="en-US" w:eastAsia="zh-CN"/>
        </w:rPr>
        <w:t>Watson MJ</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Venick</w:t>
      </w:r>
      <w:proofErr w:type="spellEnd"/>
      <w:r w:rsidRPr="00957C03">
        <w:rPr>
          <w:rFonts w:ascii="Book Antiqua" w:hAnsi="Book Antiqua" w:cs="宋体"/>
          <w:lang w:val="en-US" w:eastAsia="zh-CN"/>
        </w:rPr>
        <w:t xml:space="preserve"> RS, </w:t>
      </w:r>
      <w:proofErr w:type="spellStart"/>
      <w:r w:rsidRPr="00957C03">
        <w:rPr>
          <w:rFonts w:ascii="Book Antiqua" w:hAnsi="Book Antiqua" w:cs="宋体"/>
          <w:lang w:val="en-US" w:eastAsia="zh-CN"/>
        </w:rPr>
        <w:t>Kaldas</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Rastogi</w:t>
      </w:r>
      <w:proofErr w:type="spellEnd"/>
      <w:r w:rsidRPr="00957C03">
        <w:rPr>
          <w:rFonts w:ascii="Book Antiqua" w:hAnsi="Book Antiqua" w:cs="宋体"/>
          <w:lang w:val="en-US" w:eastAsia="zh-CN"/>
        </w:rPr>
        <w:t xml:space="preserve"> A, Gordon SA, </w:t>
      </w:r>
      <w:proofErr w:type="spellStart"/>
      <w:r w:rsidRPr="00957C03">
        <w:rPr>
          <w:rFonts w:ascii="Book Antiqua" w:hAnsi="Book Antiqua" w:cs="宋体"/>
          <w:lang w:val="en-US" w:eastAsia="zh-CN"/>
        </w:rPr>
        <w:t>Colangelo</w:t>
      </w:r>
      <w:proofErr w:type="spellEnd"/>
      <w:r w:rsidRPr="00957C03">
        <w:rPr>
          <w:rFonts w:ascii="Book Antiqua" w:hAnsi="Book Antiqua" w:cs="宋体"/>
          <w:lang w:val="en-US" w:eastAsia="zh-CN"/>
        </w:rPr>
        <w:t xml:space="preserve"> J, </w:t>
      </w:r>
      <w:proofErr w:type="spellStart"/>
      <w:r w:rsidRPr="00957C03">
        <w:rPr>
          <w:rFonts w:ascii="Book Antiqua" w:hAnsi="Book Antiqua" w:cs="宋体"/>
          <w:lang w:val="en-US" w:eastAsia="zh-CN"/>
        </w:rPr>
        <w:t>Esmailian</w:t>
      </w:r>
      <w:proofErr w:type="spellEnd"/>
      <w:r w:rsidRPr="00957C03">
        <w:rPr>
          <w:rFonts w:ascii="Book Antiqua" w:hAnsi="Book Antiqua" w:cs="宋体"/>
          <w:lang w:val="en-US" w:eastAsia="zh-CN"/>
        </w:rPr>
        <w:t xml:space="preserve"> Y, </w:t>
      </w:r>
      <w:proofErr w:type="spellStart"/>
      <w:r w:rsidRPr="00957C03">
        <w:rPr>
          <w:rFonts w:ascii="Book Antiqua" w:hAnsi="Book Antiqua" w:cs="宋体"/>
          <w:lang w:val="en-US" w:eastAsia="zh-CN"/>
        </w:rPr>
        <w:t>McDiarmid</w:t>
      </w:r>
      <w:proofErr w:type="spellEnd"/>
      <w:r w:rsidRPr="00957C03">
        <w:rPr>
          <w:rFonts w:ascii="Book Antiqua" w:hAnsi="Book Antiqua" w:cs="宋体"/>
          <w:lang w:val="en-US" w:eastAsia="zh-CN"/>
        </w:rPr>
        <w:t xml:space="preserve"> SV, </w:t>
      </w:r>
      <w:proofErr w:type="spellStart"/>
      <w:r w:rsidRPr="00957C03">
        <w:rPr>
          <w:rFonts w:ascii="Book Antiqua" w:hAnsi="Book Antiqua" w:cs="宋体"/>
          <w:lang w:val="en-US" w:eastAsia="zh-CN"/>
        </w:rPr>
        <w:t>Busuttil</w:t>
      </w:r>
      <w:proofErr w:type="spellEnd"/>
      <w:r w:rsidRPr="00957C03">
        <w:rPr>
          <w:rFonts w:ascii="Book Antiqua" w:hAnsi="Book Antiqua" w:cs="宋体"/>
          <w:lang w:val="en-US" w:eastAsia="zh-CN"/>
        </w:rPr>
        <w:t xml:space="preserve"> RW, Farmer DG. Renal function impacts outcomes after intestinal transplantation.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2008; </w:t>
      </w:r>
      <w:r w:rsidRPr="00957C03">
        <w:rPr>
          <w:rFonts w:ascii="Book Antiqua" w:hAnsi="Book Antiqua" w:cs="宋体"/>
          <w:b/>
          <w:bCs/>
          <w:lang w:val="en-US" w:eastAsia="zh-CN"/>
        </w:rPr>
        <w:t>86</w:t>
      </w:r>
      <w:r w:rsidRPr="00957C03">
        <w:rPr>
          <w:rFonts w:ascii="Book Antiqua" w:hAnsi="Book Antiqua" w:cs="宋体"/>
          <w:lang w:val="en-US" w:eastAsia="zh-CN"/>
        </w:rPr>
        <w:t>: 117-122 [PMID: 18622288 DOI: 10.1097/TP.0b013e31817d55ae]</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73 </w:t>
      </w:r>
      <w:proofErr w:type="spellStart"/>
      <w:r w:rsidRPr="00957C03">
        <w:rPr>
          <w:rFonts w:ascii="Book Antiqua" w:hAnsi="Book Antiqua" w:cs="宋体"/>
          <w:b/>
          <w:bCs/>
          <w:lang w:val="en-US" w:eastAsia="zh-CN"/>
        </w:rPr>
        <w:t>Ojo</w:t>
      </w:r>
      <w:proofErr w:type="spellEnd"/>
      <w:r w:rsidRPr="00957C03">
        <w:rPr>
          <w:rFonts w:ascii="Book Antiqua" w:hAnsi="Book Antiqua" w:cs="宋体"/>
          <w:b/>
          <w:bCs/>
          <w:lang w:val="en-US" w:eastAsia="zh-CN"/>
        </w:rPr>
        <w:t xml:space="preserve"> AO</w:t>
      </w:r>
      <w:r w:rsidRPr="00957C03">
        <w:rPr>
          <w:rFonts w:ascii="Book Antiqua" w:hAnsi="Book Antiqua" w:cs="宋体"/>
          <w:lang w:val="en-US" w:eastAsia="zh-CN"/>
        </w:rPr>
        <w:t xml:space="preserve">, Held PJ, Port FK, Wolfe RA, </w:t>
      </w:r>
      <w:proofErr w:type="spellStart"/>
      <w:r w:rsidRPr="00957C03">
        <w:rPr>
          <w:rFonts w:ascii="Book Antiqua" w:hAnsi="Book Antiqua" w:cs="宋体"/>
          <w:lang w:val="en-US" w:eastAsia="zh-CN"/>
        </w:rPr>
        <w:t>Leichtman</w:t>
      </w:r>
      <w:proofErr w:type="spellEnd"/>
      <w:r w:rsidRPr="00957C03">
        <w:rPr>
          <w:rFonts w:ascii="Book Antiqua" w:hAnsi="Book Antiqua" w:cs="宋体"/>
          <w:lang w:val="en-US" w:eastAsia="zh-CN"/>
        </w:rPr>
        <w:t xml:space="preserve"> AB, Young EW, </w:t>
      </w:r>
      <w:proofErr w:type="spellStart"/>
      <w:r w:rsidRPr="00957C03">
        <w:rPr>
          <w:rFonts w:ascii="Book Antiqua" w:hAnsi="Book Antiqua" w:cs="宋体"/>
          <w:lang w:val="en-US" w:eastAsia="zh-CN"/>
        </w:rPr>
        <w:t>Arndorfer</w:t>
      </w:r>
      <w:proofErr w:type="spellEnd"/>
      <w:r w:rsidRPr="00957C03">
        <w:rPr>
          <w:rFonts w:ascii="Book Antiqua" w:hAnsi="Book Antiqua" w:cs="宋体"/>
          <w:lang w:val="en-US" w:eastAsia="zh-CN"/>
        </w:rPr>
        <w:t xml:space="preserve"> J, Christensen L, Merion RM. Chronic renal failure after transplantation of a </w:t>
      </w:r>
      <w:proofErr w:type="spellStart"/>
      <w:r w:rsidRPr="00957C03">
        <w:rPr>
          <w:rFonts w:ascii="Book Antiqua" w:hAnsi="Book Antiqua" w:cs="宋体"/>
          <w:lang w:val="en-US" w:eastAsia="zh-CN"/>
        </w:rPr>
        <w:t>nonrenal</w:t>
      </w:r>
      <w:proofErr w:type="spellEnd"/>
      <w:r w:rsidRPr="00957C03">
        <w:rPr>
          <w:rFonts w:ascii="Book Antiqua" w:hAnsi="Book Antiqua" w:cs="宋体"/>
          <w:lang w:val="en-US" w:eastAsia="zh-CN"/>
        </w:rPr>
        <w:t xml:space="preserve"> organ. </w:t>
      </w:r>
      <w:r w:rsidRPr="00957C03">
        <w:rPr>
          <w:rFonts w:ascii="Book Antiqua" w:hAnsi="Book Antiqua" w:cs="宋体"/>
          <w:i/>
          <w:iCs/>
          <w:lang w:val="en-US" w:eastAsia="zh-CN"/>
        </w:rPr>
        <w:t xml:space="preserve">N </w:t>
      </w:r>
      <w:proofErr w:type="spellStart"/>
      <w:r w:rsidRPr="00957C03">
        <w:rPr>
          <w:rFonts w:ascii="Book Antiqua" w:hAnsi="Book Antiqua" w:cs="宋体"/>
          <w:i/>
          <w:iCs/>
          <w:lang w:val="en-US" w:eastAsia="zh-CN"/>
        </w:rPr>
        <w:t>Engl</w:t>
      </w:r>
      <w:proofErr w:type="spellEnd"/>
      <w:r w:rsidRPr="00957C03">
        <w:rPr>
          <w:rFonts w:ascii="Book Antiqua" w:hAnsi="Book Antiqua" w:cs="宋体"/>
          <w:i/>
          <w:iCs/>
          <w:lang w:val="en-US" w:eastAsia="zh-CN"/>
        </w:rPr>
        <w:t xml:space="preserve"> J Med</w:t>
      </w:r>
      <w:r w:rsidRPr="00957C03">
        <w:rPr>
          <w:rFonts w:ascii="Book Antiqua" w:hAnsi="Book Antiqua" w:cs="宋体"/>
          <w:lang w:val="en-US" w:eastAsia="zh-CN"/>
        </w:rPr>
        <w:t xml:space="preserve"> 2003; </w:t>
      </w:r>
      <w:r w:rsidRPr="00957C03">
        <w:rPr>
          <w:rFonts w:ascii="Book Antiqua" w:hAnsi="Book Antiqua" w:cs="宋体"/>
          <w:b/>
          <w:bCs/>
          <w:lang w:val="en-US" w:eastAsia="zh-CN"/>
        </w:rPr>
        <w:t>349</w:t>
      </w:r>
      <w:r w:rsidRPr="00957C03">
        <w:rPr>
          <w:rFonts w:ascii="Book Antiqua" w:hAnsi="Book Antiqua" w:cs="宋体"/>
          <w:lang w:val="en-US" w:eastAsia="zh-CN"/>
        </w:rPr>
        <w:t>: 931-940 [PMID: 12954741 DOI: 10.1056/NEJMoa021744]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74 </w:t>
      </w:r>
      <w:r w:rsidRPr="00957C03">
        <w:rPr>
          <w:rFonts w:ascii="Book Antiqua" w:hAnsi="Book Antiqua" w:cs="宋体"/>
          <w:b/>
          <w:bCs/>
          <w:lang w:val="en-US" w:eastAsia="zh-CN"/>
        </w:rPr>
        <w:t>Abu-</w:t>
      </w:r>
      <w:proofErr w:type="spellStart"/>
      <w:r w:rsidRPr="00957C03">
        <w:rPr>
          <w:rFonts w:ascii="Book Antiqua" w:hAnsi="Book Antiqua" w:cs="宋体"/>
          <w:b/>
          <w:bCs/>
          <w:lang w:val="en-US" w:eastAsia="zh-CN"/>
        </w:rPr>
        <w:t>Elmagd</w:t>
      </w:r>
      <w:proofErr w:type="spellEnd"/>
      <w:r w:rsidRPr="00957C03">
        <w:rPr>
          <w:rFonts w:ascii="Book Antiqua" w:hAnsi="Book Antiqua" w:cs="宋体"/>
          <w:b/>
          <w:bCs/>
          <w:lang w:val="en-US" w:eastAsia="zh-CN"/>
        </w:rPr>
        <w:t xml:space="preserve"> KM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Kosmach</w:t>
      </w:r>
      <w:proofErr w:type="spellEnd"/>
      <w:r w:rsidRPr="00957C03">
        <w:rPr>
          <w:rFonts w:ascii="Book Antiqua" w:hAnsi="Book Antiqua" w:cs="宋体"/>
          <w:lang w:val="en-US" w:eastAsia="zh-CN"/>
        </w:rPr>
        <w:t xml:space="preserve">-Park B, Costa G, </w:t>
      </w:r>
      <w:proofErr w:type="spellStart"/>
      <w:r w:rsidRPr="00957C03">
        <w:rPr>
          <w:rFonts w:ascii="Book Antiqua" w:hAnsi="Book Antiqua" w:cs="宋体"/>
          <w:lang w:val="en-US" w:eastAsia="zh-CN"/>
        </w:rPr>
        <w:t>Zenati</w:t>
      </w:r>
      <w:proofErr w:type="spellEnd"/>
      <w:r w:rsidRPr="00957C03">
        <w:rPr>
          <w:rFonts w:ascii="Book Antiqua" w:hAnsi="Book Antiqua" w:cs="宋体"/>
          <w:lang w:val="en-US" w:eastAsia="zh-CN"/>
        </w:rPr>
        <w:t xml:space="preserve"> M, Martin L, </w:t>
      </w:r>
      <w:proofErr w:type="spellStart"/>
      <w:r w:rsidRPr="00957C03">
        <w:rPr>
          <w:rFonts w:ascii="Book Antiqua" w:hAnsi="Book Antiqua" w:cs="宋体"/>
          <w:lang w:val="en-US" w:eastAsia="zh-CN"/>
        </w:rPr>
        <w:t>Koritsky</w:t>
      </w:r>
      <w:proofErr w:type="spellEnd"/>
      <w:r w:rsidRPr="00957C03">
        <w:rPr>
          <w:rFonts w:ascii="Book Antiqua" w:hAnsi="Book Antiqua" w:cs="宋体"/>
          <w:lang w:val="en-US" w:eastAsia="zh-CN"/>
        </w:rPr>
        <w:t xml:space="preserve"> DA, </w:t>
      </w:r>
      <w:proofErr w:type="spellStart"/>
      <w:r w:rsidRPr="00957C03">
        <w:rPr>
          <w:rFonts w:ascii="Book Antiqua" w:hAnsi="Book Antiqua" w:cs="宋体"/>
          <w:lang w:val="en-US" w:eastAsia="zh-CN"/>
        </w:rPr>
        <w:t>Emerling</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Murase</w:t>
      </w:r>
      <w:proofErr w:type="spellEnd"/>
      <w:r w:rsidRPr="00957C03">
        <w:rPr>
          <w:rFonts w:ascii="Book Antiqua" w:hAnsi="Book Antiqua" w:cs="宋体"/>
          <w:lang w:val="en-US" w:eastAsia="zh-CN"/>
        </w:rPr>
        <w:t xml:space="preserve"> N, Bond GJ, </w:t>
      </w:r>
      <w:proofErr w:type="spellStart"/>
      <w:r w:rsidRPr="00957C03">
        <w:rPr>
          <w:rFonts w:ascii="Book Antiqua" w:hAnsi="Book Antiqua" w:cs="宋体"/>
          <w:lang w:val="en-US" w:eastAsia="zh-CN"/>
        </w:rPr>
        <w:t>Soltys</w:t>
      </w:r>
      <w:proofErr w:type="spellEnd"/>
      <w:r w:rsidRPr="00957C03">
        <w:rPr>
          <w:rFonts w:ascii="Book Antiqua" w:hAnsi="Book Antiqua" w:cs="宋体"/>
          <w:lang w:val="en-US" w:eastAsia="zh-CN"/>
        </w:rPr>
        <w:t xml:space="preserve"> K, </w:t>
      </w:r>
      <w:proofErr w:type="spellStart"/>
      <w:r w:rsidRPr="00957C03">
        <w:rPr>
          <w:rFonts w:ascii="Book Antiqua" w:hAnsi="Book Antiqua" w:cs="宋体"/>
          <w:lang w:val="en-US" w:eastAsia="zh-CN"/>
        </w:rPr>
        <w:t>Sogawa</w:t>
      </w:r>
      <w:proofErr w:type="spellEnd"/>
      <w:r w:rsidRPr="00957C03">
        <w:rPr>
          <w:rFonts w:ascii="Book Antiqua" w:hAnsi="Book Antiqua" w:cs="宋体"/>
          <w:lang w:val="en-US" w:eastAsia="zh-CN"/>
        </w:rPr>
        <w:t xml:space="preserve"> H, </w:t>
      </w:r>
      <w:proofErr w:type="spellStart"/>
      <w:r w:rsidRPr="00957C03">
        <w:rPr>
          <w:rFonts w:ascii="Book Antiqua" w:hAnsi="Book Antiqua" w:cs="宋体"/>
          <w:lang w:val="en-US" w:eastAsia="zh-CN"/>
        </w:rPr>
        <w:t>Lunz</w:t>
      </w:r>
      <w:proofErr w:type="spellEnd"/>
      <w:r w:rsidRPr="00957C03">
        <w:rPr>
          <w:rFonts w:ascii="Book Antiqua" w:hAnsi="Book Antiqua" w:cs="宋体"/>
          <w:lang w:val="en-US" w:eastAsia="zh-CN"/>
        </w:rPr>
        <w:t xml:space="preserve"> J, Al </w:t>
      </w:r>
      <w:proofErr w:type="spellStart"/>
      <w:r w:rsidRPr="00957C03">
        <w:rPr>
          <w:rFonts w:ascii="Book Antiqua" w:hAnsi="Book Antiqua" w:cs="宋体"/>
          <w:lang w:val="en-US" w:eastAsia="zh-CN"/>
        </w:rPr>
        <w:t>Samman</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Shaefer</w:t>
      </w:r>
      <w:proofErr w:type="spellEnd"/>
      <w:r w:rsidRPr="00957C03">
        <w:rPr>
          <w:rFonts w:ascii="Book Antiqua" w:hAnsi="Book Antiqua" w:cs="宋体"/>
          <w:lang w:val="en-US" w:eastAsia="zh-CN"/>
        </w:rPr>
        <w:t xml:space="preserve"> N, Sindhi R, </w:t>
      </w:r>
      <w:proofErr w:type="spellStart"/>
      <w:r w:rsidRPr="00957C03">
        <w:rPr>
          <w:rFonts w:ascii="Book Antiqua" w:hAnsi="Book Antiqua" w:cs="宋体"/>
          <w:lang w:val="en-US" w:eastAsia="zh-CN"/>
        </w:rPr>
        <w:t>Mazariegos</w:t>
      </w:r>
      <w:proofErr w:type="spellEnd"/>
      <w:r w:rsidRPr="00957C03">
        <w:rPr>
          <w:rFonts w:ascii="Book Antiqua" w:hAnsi="Book Antiqua" w:cs="宋体"/>
          <w:lang w:val="en-US" w:eastAsia="zh-CN"/>
        </w:rPr>
        <w:t xml:space="preserve"> GV. </w:t>
      </w:r>
      <w:proofErr w:type="gramStart"/>
      <w:r w:rsidRPr="00957C03">
        <w:rPr>
          <w:rFonts w:ascii="Book Antiqua" w:hAnsi="Book Antiqua" w:cs="宋体"/>
          <w:lang w:val="en-US" w:eastAsia="zh-CN"/>
        </w:rPr>
        <w:t xml:space="preserve">Long-term survival, nutritional autonomy, and quality of life after intestinal and </w:t>
      </w:r>
      <w:proofErr w:type="spellStart"/>
      <w:r w:rsidRPr="00957C03">
        <w:rPr>
          <w:rFonts w:ascii="Book Antiqua" w:hAnsi="Book Antiqua" w:cs="宋体"/>
          <w:lang w:val="en-US" w:eastAsia="zh-CN"/>
        </w:rPr>
        <w:t>multivisceral</w:t>
      </w:r>
      <w:proofErr w:type="spellEnd"/>
      <w:r w:rsidRPr="00957C03">
        <w:rPr>
          <w:rFonts w:ascii="Book Antiqua" w:hAnsi="Book Antiqua" w:cs="宋体"/>
          <w:lang w:val="en-US" w:eastAsia="zh-CN"/>
        </w:rPr>
        <w:t xml:space="preserve">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Ann </w:t>
      </w:r>
      <w:proofErr w:type="spellStart"/>
      <w:r w:rsidRPr="00957C03">
        <w:rPr>
          <w:rFonts w:ascii="Book Antiqua" w:hAnsi="Book Antiqua" w:cs="宋体"/>
          <w:i/>
          <w:iCs/>
          <w:lang w:val="en-US" w:eastAsia="zh-CN"/>
        </w:rPr>
        <w:t>Surg</w:t>
      </w:r>
      <w:proofErr w:type="spellEnd"/>
      <w:r w:rsidRPr="00957C03">
        <w:rPr>
          <w:rFonts w:ascii="Book Antiqua" w:hAnsi="Book Antiqua" w:cs="宋体"/>
          <w:lang w:val="en-US" w:eastAsia="zh-CN"/>
        </w:rPr>
        <w:t xml:space="preserve"> 2012; </w:t>
      </w:r>
      <w:r w:rsidRPr="00957C03">
        <w:rPr>
          <w:rFonts w:ascii="Book Antiqua" w:hAnsi="Book Antiqua" w:cs="宋体"/>
          <w:b/>
          <w:bCs/>
          <w:lang w:val="en-US" w:eastAsia="zh-CN"/>
        </w:rPr>
        <w:t>256</w:t>
      </w:r>
      <w:r w:rsidRPr="00957C03">
        <w:rPr>
          <w:rFonts w:ascii="Book Antiqua" w:hAnsi="Book Antiqua" w:cs="宋体"/>
          <w:lang w:val="en-US" w:eastAsia="zh-CN"/>
        </w:rPr>
        <w:t>: 494-508 [PMID: 22868368 DOI: 10.1097/SLA.0b013e318265f310]</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75 </w:t>
      </w:r>
      <w:proofErr w:type="spellStart"/>
      <w:r w:rsidRPr="00957C03">
        <w:rPr>
          <w:rFonts w:ascii="Book Antiqua" w:hAnsi="Book Antiqua" w:cs="宋体"/>
          <w:b/>
          <w:bCs/>
          <w:lang w:val="en-US" w:eastAsia="zh-CN"/>
        </w:rPr>
        <w:t>Sustento-Reodica</w:t>
      </w:r>
      <w:proofErr w:type="spellEnd"/>
      <w:r w:rsidRPr="00957C03">
        <w:rPr>
          <w:rFonts w:ascii="Book Antiqua" w:hAnsi="Book Antiqua" w:cs="宋体"/>
          <w:b/>
          <w:bCs/>
          <w:lang w:val="en-US" w:eastAsia="zh-CN"/>
        </w:rPr>
        <w:t xml:space="preserve"> N</w:t>
      </w:r>
      <w:r w:rsidRPr="00957C03">
        <w:rPr>
          <w:rFonts w:ascii="Book Antiqua" w:hAnsi="Book Antiqua" w:cs="宋体"/>
          <w:lang w:val="en-US" w:eastAsia="zh-CN"/>
        </w:rPr>
        <w:t xml:space="preserve">, Ruiz P, Rogers A, </w:t>
      </w:r>
      <w:proofErr w:type="spellStart"/>
      <w:r w:rsidRPr="00957C03">
        <w:rPr>
          <w:rFonts w:ascii="Book Antiqua" w:hAnsi="Book Antiqua" w:cs="宋体"/>
          <w:lang w:val="en-US" w:eastAsia="zh-CN"/>
        </w:rPr>
        <w:t>Viciana</w:t>
      </w:r>
      <w:proofErr w:type="spellEnd"/>
      <w:r w:rsidRPr="00957C03">
        <w:rPr>
          <w:rFonts w:ascii="Book Antiqua" w:hAnsi="Book Antiqua" w:cs="宋体"/>
          <w:lang w:val="en-US" w:eastAsia="zh-CN"/>
        </w:rPr>
        <w:t xml:space="preserve"> AL, Conn HO, </w:t>
      </w:r>
      <w:proofErr w:type="spellStart"/>
      <w:r w:rsidRPr="00957C03">
        <w:rPr>
          <w:rFonts w:ascii="Book Antiqua" w:hAnsi="Book Antiqua" w:cs="宋体"/>
          <w:lang w:val="en-US" w:eastAsia="zh-CN"/>
        </w:rPr>
        <w:t>Tzakis</w:t>
      </w:r>
      <w:proofErr w:type="spellEnd"/>
      <w:r w:rsidRPr="00957C03">
        <w:rPr>
          <w:rFonts w:ascii="Book Antiqua" w:hAnsi="Book Antiqua" w:cs="宋体"/>
          <w:lang w:val="en-US" w:eastAsia="zh-CN"/>
        </w:rPr>
        <w:t xml:space="preserve"> AG.</w:t>
      </w:r>
      <w:proofErr w:type="gramEnd"/>
      <w:r w:rsidRPr="00957C03">
        <w:rPr>
          <w:rFonts w:ascii="Book Antiqua" w:hAnsi="Book Antiqua" w:cs="宋体"/>
          <w:lang w:val="en-US" w:eastAsia="zh-CN"/>
        </w:rPr>
        <w:t xml:space="preserve"> </w:t>
      </w:r>
      <w:proofErr w:type="gramStart"/>
      <w:r w:rsidRPr="00957C03">
        <w:rPr>
          <w:rFonts w:ascii="Book Antiqua" w:hAnsi="Book Antiqua" w:cs="宋体"/>
          <w:lang w:val="en-US" w:eastAsia="zh-CN"/>
        </w:rPr>
        <w:t xml:space="preserve">Recurrent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in transplanted bowel.</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Lancet</w:t>
      </w:r>
      <w:r w:rsidRPr="00957C03">
        <w:rPr>
          <w:rFonts w:ascii="Book Antiqua" w:hAnsi="Book Antiqua" w:cs="宋体"/>
          <w:lang w:val="en-US" w:eastAsia="zh-CN"/>
        </w:rPr>
        <w:t xml:space="preserve"> 1997; </w:t>
      </w:r>
      <w:r w:rsidRPr="00957C03">
        <w:rPr>
          <w:rFonts w:ascii="Book Antiqua" w:hAnsi="Book Antiqua" w:cs="宋体"/>
          <w:b/>
          <w:bCs/>
          <w:lang w:val="en-US" w:eastAsia="zh-CN"/>
        </w:rPr>
        <w:t>349</w:t>
      </w:r>
      <w:r w:rsidRPr="00957C03">
        <w:rPr>
          <w:rFonts w:ascii="Book Antiqua" w:hAnsi="Book Antiqua" w:cs="宋体"/>
          <w:lang w:val="en-US" w:eastAsia="zh-CN"/>
        </w:rPr>
        <w:t>: 688-691 [PMID: 9078200 DOI: 10.1016/S0140-6736(96)09256-2]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76 </w:t>
      </w:r>
      <w:r w:rsidRPr="00957C03">
        <w:rPr>
          <w:rFonts w:ascii="Book Antiqua" w:hAnsi="Book Antiqua" w:cs="宋体"/>
          <w:b/>
          <w:bCs/>
          <w:lang w:val="en-US" w:eastAsia="zh-CN"/>
        </w:rPr>
        <w:t>Kaila B</w:t>
      </w:r>
      <w:r w:rsidRPr="00957C03">
        <w:rPr>
          <w:rFonts w:ascii="Book Antiqua" w:hAnsi="Book Antiqua" w:cs="宋体"/>
          <w:lang w:val="en-US" w:eastAsia="zh-CN"/>
        </w:rPr>
        <w:t xml:space="preserve">, Grant D, Pettigrew N, Greenberg H, Bernstein CN. </w:t>
      </w:r>
      <w:proofErr w:type="spellStart"/>
      <w:proofErr w:type="gram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recurrence in a small bowel transplant.</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Am 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2004; </w:t>
      </w:r>
      <w:r w:rsidRPr="00957C03">
        <w:rPr>
          <w:rFonts w:ascii="Book Antiqua" w:hAnsi="Book Antiqua" w:cs="宋体"/>
          <w:b/>
          <w:bCs/>
          <w:lang w:val="en-US" w:eastAsia="zh-CN"/>
        </w:rPr>
        <w:t>99</w:t>
      </w:r>
      <w:r w:rsidRPr="00957C03">
        <w:rPr>
          <w:rFonts w:ascii="Book Antiqua" w:hAnsi="Book Antiqua" w:cs="宋体"/>
          <w:lang w:val="en-US" w:eastAsia="zh-CN"/>
        </w:rPr>
        <w:t>: 158-162 [PMID: 14687158]</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77 </w:t>
      </w:r>
      <w:proofErr w:type="spellStart"/>
      <w:r w:rsidRPr="00957C03">
        <w:rPr>
          <w:rFonts w:ascii="Book Antiqua" w:hAnsi="Book Antiqua" w:cs="宋体"/>
          <w:b/>
          <w:bCs/>
          <w:lang w:val="en-US" w:eastAsia="zh-CN"/>
        </w:rPr>
        <w:t>Harpaz</w:t>
      </w:r>
      <w:proofErr w:type="spellEnd"/>
      <w:r w:rsidRPr="00957C03">
        <w:rPr>
          <w:rFonts w:ascii="Book Antiqua" w:hAnsi="Book Antiqua" w:cs="宋体"/>
          <w:b/>
          <w:bCs/>
          <w:lang w:val="en-US" w:eastAsia="zh-CN"/>
        </w:rPr>
        <w:t xml:space="preserve"> N</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Schiano</w:t>
      </w:r>
      <w:proofErr w:type="spellEnd"/>
      <w:r w:rsidRPr="00957C03">
        <w:rPr>
          <w:rFonts w:ascii="Book Antiqua" w:hAnsi="Book Antiqua" w:cs="宋体"/>
          <w:lang w:val="en-US" w:eastAsia="zh-CN"/>
        </w:rPr>
        <w:t xml:space="preserve"> T, </w:t>
      </w:r>
      <w:proofErr w:type="spellStart"/>
      <w:r w:rsidRPr="00957C03">
        <w:rPr>
          <w:rFonts w:ascii="Book Antiqua" w:hAnsi="Book Antiqua" w:cs="宋体"/>
          <w:lang w:val="en-US" w:eastAsia="zh-CN"/>
        </w:rPr>
        <w:t>Ruf</w:t>
      </w:r>
      <w:proofErr w:type="spellEnd"/>
      <w:r w:rsidRPr="00957C03">
        <w:rPr>
          <w:rFonts w:ascii="Book Antiqua" w:hAnsi="Book Antiqua" w:cs="宋体"/>
          <w:lang w:val="en-US" w:eastAsia="zh-CN"/>
        </w:rPr>
        <w:t xml:space="preserve"> AE, Shukla D, Tao Y, </w:t>
      </w:r>
      <w:proofErr w:type="spellStart"/>
      <w:r w:rsidRPr="00957C03">
        <w:rPr>
          <w:rFonts w:ascii="Book Antiqua" w:hAnsi="Book Antiqua" w:cs="宋体"/>
          <w:lang w:val="en-US" w:eastAsia="zh-CN"/>
        </w:rPr>
        <w:t>Fishbein</w:t>
      </w:r>
      <w:proofErr w:type="spellEnd"/>
      <w:r w:rsidRPr="00957C03">
        <w:rPr>
          <w:rFonts w:ascii="Book Antiqua" w:hAnsi="Book Antiqua" w:cs="宋体"/>
          <w:lang w:val="en-US" w:eastAsia="zh-CN"/>
        </w:rPr>
        <w:t xml:space="preserve"> TM, </w:t>
      </w:r>
      <w:proofErr w:type="spellStart"/>
      <w:r w:rsidRPr="00957C03">
        <w:rPr>
          <w:rFonts w:ascii="Book Antiqua" w:hAnsi="Book Antiqua" w:cs="宋体"/>
          <w:lang w:val="en-US" w:eastAsia="zh-CN"/>
        </w:rPr>
        <w:t>Sauter</w:t>
      </w:r>
      <w:proofErr w:type="spellEnd"/>
      <w:r w:rsidRPr="00957C03">
        <w:rPr>
          <w:rFonts w:ascii="Book Antiqua" w:hAnsi="Book Antiqua" w:cs="宋体"/>
          <w:lang w:val="en-US" w:eastAsia="zh-CN"/>
        </w:rPr>
        <w:t xml:space="preserve"> BV, </w:t>
      </w:r>
      <w:proofErr w:type="spellStart"/>
      <w:r w:rsidRPr="00957C03">
        <w:rPr>
          <w:rFonts w:ascii="Book Antiqua" w:hAnsi="Book Antiqua" w:cs="宋体"/>
          <w:lang w:val="en-US" w:eastAsia="zh-CN"/>
        </w:rPr>
        <w:t>Gondolesi</w:t>
      </w:r>
      <w:proofErr w:type="spellEnd"/>
      <w:r w:rsidRPr="00957C03">
        <w:rPr>
          <w:rFonts w:ascii="Book Antiqua" w:hAnsi="Book Antiqua" w:cs="宋体"/>
          <w:lang w:val="en-US" w:eastAsia="zh-CN"/>
        </w:rPr>
        <w:t xml:space="preserve"> GE. </w:t>
      </w:r>
      <w:proofErr w:type="gramStart"/>
      <w:r w:rsidRPr="00957C03">
        <w:rPr>
          <w:rFonts w:ascii="Book Antiqua" w:hAnsi="Book Antiqua" w:cs="宋体"/>
          <w:lang w:val="en-US" w:eastAsia="zh-CN"/>
        </w:rPr>
        <w:t xml:space="preserve">Early and frequent histological recurrence of </w:t>
      </w:r>
      <w:proofErr w:type="spellStart"/>
      <w:r w:rsidRPr="00957C03">
        <w:rPr>
          <w:rFonts w:ascii="Book Antiqua" w:hAnsi="Book Antiqua" w:cs="宋体"/>
          <w:lang w:val="en-US" w:eastAsia="zh-CN"/>
        </w:rPr>
        <w:t>Crohn's</w:t>
      </w:r>
      <w:proofErr w:type="spellEnd"/>
      <w:r w:rsidRPr="00957C03">
        <w:rPr>
          <w:rFonts w:ascii="Book Antiqua" w:hAnsi="Book Antiqua" w:cs="宋体"/>
          <w:lang w:val="en-US" w:eastAsia="zh-CN"/>
        </w:rPr>
        <w:t xml:space="preserve"> disease in small intestinal allografts.</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Transplantation</w:t>
      </w:r>
      <w:r w:rsidRPr="00957C03">
        <w:rPr>
          <w:rFonts w:ascii="Book Antiqua" w:hAnsi="Book Antiqua" w:cs="宋体"/>
          <w:lang w:val="en-US" w:eastAsia="zh-CN"/>
        </w:rPr>
        <w:t xml:space="preserve"> 2005; </w:t>
      </w:r>
      <w:r w:rsidRPr="00957C03">
        <w:rPr>
          <w:rFonts w:ascii="Book Antiqua" w:hAnsi="Book Antiqua" w:cs="宋体"/>
          <w:b/>
          <w:bCs/>
          <w:lang w:val="en-US" w:eastAsia="zh-CN"/>
        </w:rPr>
        <w:t>80</w:t>
      </w:r>
      <w:r w:rsidRPr="00957C03">
        <w:rPr>
          <w:rFonts w:ascii="Book Antiqua" w:hAnsi="Book Antiqua" w:cs="宋体"/>
          <w:lang w:val="en-US" w:eastAsia="zh-CN"/>
        </w:rPr>
        <w:t>: 1667-1670 [PMID: 16378058]</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78 </w:t>
      </w:r>
      <w:r w:rsidRPr="00957C03">
        <w:rPr>
          <w:rFonts w:ascii="Book Antiqua" w:hAnsi="Book Antiqua" w:cs="宋体"/>
          <w:b/>
          <w:bCs/>
          <w:lang w:val="en-US" w:eastAsia="zh-CN"/>
        </w:rPr>
        <w:t>O'Keefe SJ</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Emerling</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Koritsky</w:t>
      </w:r>
      <w:proofErr w:type="spellEnd"/>
      <w:r w:rsidRPr="00957C03">
        <w:rPr>
          <w:rFonts w:ascii="Book Antiqua" w:hAnsi="Book Antiqua" w:cs="宋体"/>
          <w:lang w:val="en-US" w:eastAsia="zh-CN"/>
        </w:rPr>
        <w:t xml:space="preserve"> D, Martin D, </w:t>
      </w:r>
      <w:proofErr w:type="spellStart"/>
      <w:r w:rsidRPr="00957C03">
        <w:rPr>
          <w:rFonts w:ascii="Book Antiqua" w:hAnsi="Book Antiqua" w:cs="宋体"/>
          <w:lang w:val="en-US" w:eastAsia="zh-CN"/>
        </w:rPr>
        <w:t>Stamos</w:t>
      </w:r>
      <w:proofErr w:type="spellEnd"/>
      <w:r w:rsidRPr="00957C03">
        <w:rPr>
          <w:rFonts w:ascii="Book Antiqua" w:hAnsi="Book Antiqua" w:cs="宋体"/>
          <w:lang w:val="en-US" w:eastAsia="zh-CN"/>
        </w:rPr>
        <w:t xml:space="preserve"> J, </w:t>
      </w:r>
      <w:proofErr w:type="spellStart"/>
      <w:r w:rsidRPr="00957C03">
        <w:rPr>
          <w:rFonts w:ascii="Book Antiqua" w:hAnsi="Book Antiqua" w:cs="宋体"/>
          <w:lang w:val="en-US" w:eastAsia="zh-CN"/>
        </w:rPr>
        <w:t>Kandil</w:t>
      </w:r>
      <w:proofErr w:type="spellEnd"/>
      <w:r w:rsidRPr="00957C03">
        <w:rPr>
          <w:rFonts w:ascii="Book Antiqua" w:hAnsi="Book Antiqua" w:cs="宋体"/>
          <w:lang w:val="en-US" w:eastAsia="zh-CN"/>
        </w:rPr>
        <w:t xml:space="preserve"> H, </w:t>
      </w:r>
      <w:proofErr w:type="spellStart"/>
      <w:r w:rsidRPr="00957C03">
        <w:rPr>
          <w:rFonts w:ascii="Book Antiqua" w:hAnsi="Book Antiqua" w:cs="宋体"/>
          <w:lang w:val="en-US" w:eastAsia="zh-CN"/>
        </w:rPr>
        <w:t>Matarese</w:t>
      </w:r>
      <w:proofErr w:type="spellEnd"/>
      <w:r w:rsidRPr="00957C03">
        <w:rPr>
          <w:rFonts w:ascii="Book Antiqua" w:hAnsi="Book Antiqua" w:cs="宋体"/>
          <w:lang w:val="en-US" w:eastAsia="zh-CN"/>
        </w:rPr>
        <w:t xml:space="preserve"> L, Bond G, Abu-</w:t>
      </w:r>
      <w:proofErr w:type="spellStart"/>
      <w:r w:rsidRPr="00957C03">
        <w:rPr>
          <w:rFonts w:ascii="Book Antiqua" w:hAnsi="Book Antiqua" w:cs="宋体"/>
          <w:lang w:val="en-US" w:eastAsia="zh-CN"/>
        </w:rPr>
        <w:t>Elmagd</w:t>
      </w:r>
      <w:proofErr w:type="spellEnd"/>
      <w:r w:rsidRPr="00957C03">
        <w:rPr>
          <w:rFonts w:ascii="Book Antiqua" w:hAnsi="Book Antiqua" w:cs="宋体"/>
          <w:lang w:val="en-US" w:eastAsia="zh-CN"/>
        </w:rPr>
        <w:t xml:space="preserve"> K. Nutrition and quality of life following small intestinal transplantation. </w:t>
      </w:r>
      <w:r w:rsidRPr="00957C03">
        <w:rPr>
          <w:rFonts w:ascii="Book Antiqua" w:hAnsi="Book Antiqua" w:cs="宋体"/>
          <w:i/>
          <w:iCs/>
          <w:lang w:val="en-US" w:eastAsia="zh-CN"/>
        </w:rPr>
        <w:t xml:space="preserve">Am 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2007; </w:t>
      </w:r>
      <w:r w:rsidRPr="00957C03">
        <w:rPr>
          <w:rFonts w:ascii="Book Antiqua" w:hAnsi="Book Antiqua" w:cs="宋体"/>
          <w:b/>
          <w:bCs/>
          <w:lang w:val="en-US" w:eastAsia="zh-CN"/>
        </w:rPr>
        <w:t>102</w:t>
      </w:r>
      <w:r w:rsidRPr="00957C03">
        <w:rPr>
          <w:rFonts w:ascii="Book Antiqua" w:hAnsi="Book Antiqua" w:cs="宋体"/>
          <w:lang w:val="en-US" w:eastAsia="zh-CN"/>
        </w:rPr>
        <w:t>: 1093-1100 [PMID: 17378906 DOI: 10.1111/j.1572-0241.2007.01125.x]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79 </w:t>
      </w:r>
      <w:proofErr w:type="spellStart"/>
      <w:r w:rsidRPr="00957C03">
        <w:rPr>
          <w:rFonts w:ascii="Book Antiqua" w:hAnsi="Book Antiqua" w:cs="宋体"/>
          <w:b/>
          <w:bCs/>
          <w:lang w:val="en-US" w:eastAsia="zh-CN"/>
        </w:rPr>
        <w:t>Rovera</w:t>
      </w:r>
      <w:proofErr w:type="spellEnd"/>
      <w:r w:rsidRPr="00957C03">
        <w:rPr>
          <w:rFonts w:ascii="Book Antiqua" w:hAnsi="Book Antiqua" w:cs="宋体"/>
          <w:b/>
          <w:bCs/>
          <w:lang w:val="en-US" w:eastAsia="zh-CN"/>
        </w:rPr>
        <w:t xml:space="preserve"> GM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DiMartini</w:t>
      </w:r>
      <w:proofErr w:type="spellEnd"/>
      <w:r w:rsidRPr="00957C03">
        <w:rPr>
          <w:rFonts w:ascii="Book Antiqua" w:hAnsi="Book Antiqua" w:cs="宋体"/>
          <w:lang w:val="en-US" w:eastAsia="zh-CN"/>
        </w:rPr>
        <w:t xml:space="preserve"> A, Graham TO, </w:t>
      </w:r>
      <w:proofErr w:type="spellStart"/>
      <w:r w:rsidRPr="00957C03">
        <w:rPr>
          <w:rFonts w:ascii="Book Antiqua" w:hAnsi="Book Antiqua" w:cs="宋体"/>
          <w:lang w:val="en-US" w:eastAsia="zh-CN"/>
        </w:rPr>
        <w:t>Hutson</w:t>
      </w:r>
      <w:proofErr w:type="spellEnd"/>
      <w:r w:rsidRPr="00957C03">
        <w:rPr>
          <w:rFonts w:ascii="Book Antiqua" w:hAnsi="Book Antiqua" w:cs="宋体"/>
          <w:lang w:val="en-US" w:eastAsia="zh-CN"/>
        </w:rPr>
        <w:t xml:space="preserve"> WR, Furukawa H, </w:t>
      </w:r>
      <w:proofErr w:type="spellStart"/>
      <w:r w:rsidRPr="00957C03">
        <w:rPr>
          <w:rFonts w:ascii="Book Antiqua" w:hAnsi="Book Antiqua" w:cs="宋体"/>
          <w:lang w:val="en-US" w:eastAsia="zh-CN"/>
        </w:rPr>
        <w:t>Todo</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Rakela</w:t>
      </w:r>
      <w:proofErr w:type="spellEnd"/>
      <w:r w:rsidRPr="00957C03">
        <w:rPr>
          <w:rFonts w:ascii="Book Antiqua" w:hAnsi="Book Antiqua" w:cs="宋体"/>
          <w:lang w:val="en-US" w:eastAsia="zh-CN"/>
        </w:rPr>
        <w:t xml:space="preserve"> J, Fung JJ, Abu-</w:t>
      </w:r>
      <w:proofErr w:type="spellStart"/>
      <w:r w:rsidRPr="00957C03">
        <w:rPr>
          <w:rFonts w:ascii="Book Antiqua" w:hAnsi="Book Antiqua" w:cs="宋体"/>
          <w:lang w:val="en-US" w:eastAsia="zh-CN"/>
        </w:rPr>
        <w:t>Elmagd</w:t>
      </w:r>
      <w:proofErr w:type="spellEnd"/>
      <w:r w:rsidRPr="00957C03">
        <w:rPr>
          <w:rFonts w:ascii="Book Antiqua" w:hAnsi="Book Antiqua" w:cs="宋体"/>
          <w:lang w:val="en-US" w:eastAsia="zh-CN"/>
        </w:rPr>
        <w:t xml:space="preserve"> K. Quality of life after intestinal transplantation and on total parenteral nutrition.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1998; </w:t>
      </w:r>
      <w:r w:rsidRPr="00957C03">
        <w:rPr>
          <w:rFonts w:ascii="Book Antiqua" w:hAnsi="Book Antiqua" w:cs="宋体"/>
          <w:b/>
          <w:bCs/>
          <w:lang w:val="en-US" w:eastAsia="zh-CN"/>
        </w:rPr>
        <w:t>30</w:t>
      </w:r>
      <w:r w:rsidRPr="00957C03">
        <w:rPr>
          <w:rFonts w:ascii="Book Antiqua" w:hAnsi="Book Antiqua" w:cs="宋体"/>
          <w:lang w:val="en-US" w:eastAsia="zh-CN"/>
        </w:rPr>
        <w:t>: 2513-2514 [PMID: 9745464]</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80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Paganelli</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Lauro</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Spinucci</w:t>
      </w:r>
      <w:proofErr w:type="spellEnd"/>
      <w:r w:rsidRPr="00957C03">
        <w:rPr>
          <w:rFonts w:ascii="Book Antiqua" w:hAnsi="Book Antiqua" w:cs="宋体"/>
          <w:lang w:val="en-US" w:eastAsia="zh-CN"/>
        </w:rPr>
        <w:t xml:space="preserve"> G, </w:t>
      </w:r>
      <w:proofErr w:type="spellStart"/>
      <w:r w:rsidRPr="00957C03">
        <w:rPr>
          <w:rFonts w:ascii="Book Antiqua" w:hAnsi="Book Antiqua" w:cs="宋体"/>
          <w:lang w:val="en-US" w:eastAsia="zh-CN"/>
        </w:rPr>
        <w:t>Guidetti</w:t>
      </w:r>
      <w:proofErr w:type="spellEnd"/>
      <w:r w:rsidRPr="00957C03">
        <w:rPr>
          <w:rFonts w:ascii="Book Antiqua" w:hAnsi="Book Antiqua" w:cs="宋体"/>
          <w:lang w:val="en-US" w:eastAsia="zh-CN"/>
        </w:rPr>
        <w:t xml:space="preserve"> M, Pinna AD. </w:t>
      </w:r>
      <w:proofErr w:type="gramStart"/>
      <w:r w:rsidRPr="00957C03">
        <w:rPr>
          <w:rFonts w:ascii="Book Antiqua" w:hAnsi="Book Antiqua" w:cs="宋体"/>
          <w:lang w:val="en-US" w:eastAsia="zh-CN"/>
        </w:rPr>
        <w:t>Quality of life on home parenteral nutrition or after intestinal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w:t>
      </w:r>
      <w:r>
        <w:rPr>
          <w:rFonts w:ascii="Book Antiqua" w:hAnsi="Book Antiqua" w:cs="宋体"/>
          <w:lang w:val="en-US" w:eastAsia="zh-CN"/>
        </w:rPr>
        <w:t>2006</w:t>
      </w:r>
      <w:r w:rsidRPr="00957C03">
        <w:rPr>
          <w:rFonts w:ascii="Book Antiqua" w:hAnsi="Book Antiqua" w:cs="宋体"/>
          <w:lang w:val="en-US" w:eastAsia="zh-CN"/>
        </w:rPr>
        <w:t xml:space="preserve">; </w:t>
      </w:r>
      <w:r w:rsidRPr="00957C03">
        <w:rPr>
          <w:rFonts w:ascii="Book Antiqua" w:hAnsi="Book Antiqua" w:cs="宋体"/>
          <w:b/>
          <w:bCs/>
          <w:lang w:val="en-US" w:eastAsia="zh-CN"/>
        </w:rPr>
        <w:t>38</w:t>
      </w:r>
      <w:r w:rsidRPr="00957C03">
        <w:rPr>
          <w:rFonts w:ascii="Book Antiqua" w:hAnsi="Book Antiqua" w:cs="宋体"/>
          <w:lang w:val="en-US" w:eastAsia="zh-CN"/>
        </w:rPr>
        <w:t>: 1673-1675 [PMID: 16908243 DOI: 10.1016/j.transproceed.2006.05.035]</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81 </w:t>
      </w:r>
      <w:r w:rsidRPr="00957C03">
        <w:rPr>
          <w:rFonts w:ascii="Book Antiqua" w:hAnsi="Book Antiqua" w:cs="宋体"/>
          <w:b/>
          <w:bCs/>
          <w:lang w:val="en-US" w:eastAsia="zh-CN"/>
        </w:rPr>
        <w:t>Garratt A</w:t>
      </w:r>
      <w:r w:rsidRPr="00957C03">
        <w:rPr>
          <w:rFonts w:ascii="Book Antiqua" w:hAnsi="Book Antiqua" w:cs="宋体"/>
          <w:lang w:val="en-US" w:eastAsia="zh-CN"/>
        </w:rPr>
        <w:t xml:space="preserve">, Schmidt L, </w:t>
      </w:r>
      <w:proofErr w:type="gramStart"/>
      <w:r w:rsidRPr="00957C03">
        <w:rPr>
          <w:rFonts w:ascii="Book Antiqua" w:hAnsi="Book Antiqua" w:cs="宋体"/>
          <w:lang w:val="en-US" w:eastAsia="zh-CN"/>
        </w:rPr>
        <w:t>Mackintosh</w:t>
      </w:r>
      <w:proofErr w:type="gramEnd"/>
      <w:r w:rsidRPr="00957C03">
        <w:rPr>
          <w:rFonts w:ascii="Book Antiqua" w:hAnsi="Book Antiqua" w:cs="宋体"/>
          <w:lang w:val="en-US" w:eastAsia="zh-CN"/>
        </w:rPr>
        <w:t xml:space="preserve"> A, Fitzpatrick R. Quality of life measurement: bibliographic study of patient assessed health outcome measures. </w:t>
      </w:r>
      <w:r w:rsidRPr="00957C03">
        <w:rPr>
          <w:rFonts w:ascii="Book Antiqua" w:hAnsi="Book Antiqua" w:cs="宋体"/>
          <w:i/>
          <w:iCs/>
          <w:lang w:val="en-US" w:eastAsia="zh-CN"/>
        </w:rPr>
        <w:t>BMJ</w:t>
      </w:r>
      <w:r w:rsidRPr="00957C03">
        <w:rPr>
          <w:rFonts w:ascii="Book Antiqua" w:hAnsi="Book Antiqua" w:cs="宋体"/>
          <w:lang w:val="en-US" w:eastAsia="zh-CN"/>
        </w:rPr>
        <w:t xml:space="preserve"> 2002; </w:t>
      </w:r>
      <w:r w:rsidRPr="00957C03">
        <w:rPr>
          <w:rFonts w:ascii="Book Antiqua" w:hAnsi="Book Antiqua" w:cs="宋体"/>
          <w:b/>
          <w:bCs/>
          <w:lang w:val="en-US" w:eastAsia="zh-CN"/>
        </w:rPr>
        <w:t>324</w:t>
      </w:r>
      <w:r w:rsidRPr="00957C03">
        <w:rPr>
          <w:rFonts w:ascii="Book Antiqua" w:hAnsi="Book Antiqua" w:cs="宋体"/>
          <w:lang w:val="en-US" w:eastAsia="zh-CN"/>
        </w:rPr>
        <w:t>: 1417 [PMID: 12065262]</w:t>
      </w:r>
    </w:p>
    <w:p w:rsidR="0043020A" w:rsidRPr="00957C03" w:rsidRDefault="0043020A" w:rsidP="00957C03">
      <w:pPr>
        <w:rPr>
          <w:rFonts w:ascii="Book Antiqua" w:hAnsi="Book Antiqua" w:cs="宋体"/>
          <w:lang w:val="en-US" w:eastAsia="zh-CN"/>
        </w:rPr>
      </w:pPr>
      <w:proofErr w:type="gramStart"/>
      <w:r w:rsidRPr="00957C03">
        <w:rPr>
          <w:rFonts w:ascii="Book Antiqua" w:hAnsi="Book Antiqua" w:cs="宋体"/>
          <w:lang w:val="en-US" w:eastAsia="zh-CN"/>
        </w:rPr>
        <w:t xml:space="preserve">82 </w:t>
      </w:r>
      <w:proofErr w:type="spellStart"/>
      <w:r w:rsidRPr="00957C03">
        <w:rPr>
          <w:rFonts w:ascii="Book Antiqua" w:hAnsi="Book Antiqua" w:cs="宋体"/>
          <w:b/>
          <w:bCs/>
          <w:lang w:val="en-US" w:eastAsia="zh-CN"/>
        </w:rPr>
        <w:t>Berghöfer</w:t>
      </w:r>
      <w:proofErr w:type="spellEnd"/>
      <w:r w:rsidRPr="00957C03">
        <w:rPr>
          <w:rFonts w:ascii="Book Antiqua" w:hAnsi="Book Antiqua" w:cs="宋体"/>
          <w:b/>
          <w:bCs/>
          <w:lang w:val="en-US" w:eastAsia="zh-CN"/>
        </w:rPr>
        <w:t xml:space="preserve"> P</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Fragkos</w:t>
      </w:r>
      <w:proofErr w:type="spellEnd"/>
      <w:r w:rsidRPr="00957C03">
        <w:rPr>
          <w:rFonts w:ascii="Book Antiqua" w:hAnsi="Book Antiqua" w:cs="宋体"/>
          <w:lang w:val="en-US" w:eastAsia="zh-CN"/>
        </w:rPr>
        <w:t xml:space="preserve"> KC, Baxter JP, Forbes A, </w:t>
      </w:r>
      <w:proofErr w:type="spellStart"/>
      <w:r w:rsidRPr="00957C03">
        <w:rPr>
          <w:rFonts w:ascii="Book Antiqua" w:hAnsi="Book Antiqua" w:cs="宋体"/>
          <w:lang w:val="en-US" w:eastAsia="zh-CN"/>
        </w:rPr>
        <w:t>Joly</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Heinze</w:t>
      </w:r>
      <w:proofErr w:type="spellEnd"/>
      <w:r w:rsidRPr="00957C03">
        <w:rPr>
          <w:rFonts w:ascii="Book Antiqua" w:hAnsi="Book Antiqua" w:cs="宋体"/>
          <w:lang w:val="en-US" w:eastAsia="zh-CN"/>
        </w:rPr>
        <w:t xml:space="preserve"> H, Loth S, </w:t>
      </w:r>
      <w:proofErr w:type="spellStart"/>
      <w:r w:rsidRPr="00957C03">
        <w:rPr>
          <w:rFonts w:ascii="Book Antiqua" w:hAnsi="Book Antiqua" w:cs="宋体"/>
          <w:lang w:val="en-US" w:eastAsia="zh-CN"/>
        </w:rPr>
        <w:t>Pertkiewicz</w:t>
      </w:r>
      <w:proofErr w:type="spellEnd"/>
      <w:r w:rsidRPr="00957C03">
        <w:rPr>
          <w:rFonts w:ascii="Book Antiqua" w:hAnsi="Book Antiqua" w:cs="宋体"/>
          <w:lang w:val="en-US" w:eastAsia="zh-CN"/>
        </w:rPr>
        <w:t xml:space="preserve"> M, Messing B, </w:t>
      </w:r>
      <w:proofErr w:type="spellStart"/>
      <w:r w:rsidRPr="00957C03">
        <w:rPr>
          <w:rFonts w:ascii="Book Antiqua" w:hAnsi="Book Antiqua" w:cs="宋体"/>
          <w:lang w:val="en-US" w:eastAsia="zh-CN"/>
        </w:rPr>
        <w:t>Jeppesen</w:t>
      </w:r>
      <w:proofErr w:type="spellEnd"/>
      <w:r w:rsidRPr="00957C03">
        <w:rPr>
          <w:rFonts w:ascii="Book Antiqua" w:hAnsi="Book Antiqua" w:cs="宋体"/>
          <w:lang w:val="en-US" w:eastAsia="zh-CN"/>
        </w:rPr>
        <w:t xml:space="preserve"> PB.</w:t>
      </w:r>
      <w:proofErr w:type="gramEnd"/>
      <w:r w:rsidRPr="00957C03">
        <w:rPr>
          <w:rFonts w:ascii="Book Antiqua" w:hAnsi="Book Antiqua" w:cs="宋体"/>
          <w:lang w:val="en-US" w:eastAsia="zh-CN"/>
        </w:rPr>
        <w:t xml:space="preserve"> Development and validation of the disease-specific Short Bowel Syndrome-Quality of Life (SBS-</w:t>
      </w:r>
      <w:proofErr w:type="spellStart"/>
      <w:r w:rsidRPr="00957C03">
        <w:rPr>
          <w:rFonts w:ascii="Book Antiqua" w:hAnsi="Book Antiqua" w:cs="宋体"/>
          <w:lang w:val="en-US" w:eastAsia="zh-CN"/>
        </w:rPr>
        <w:t>QoL</w:t>
      </w:r>
      <w:proofErr w:type="spellEnd"/>
      <w:r w:rsidRPr="00957C03">
        <w:rPr>
          <w:rFonts w:ascii="Book Antiqua" w:hAnsi="Book Antiqua" w:cs="宋体"/>
          <w:lang w:val="en-US" w:eastAsia="zh-CN"/>
        </w:rPr>
        <w:t xml:space="preserve">) scale.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2013; </w:t>
      </w:r>
      <w:r w:rsidRPr="00957C03">
        <w:rPr>
          <w:rFonts w:ascii="Book Antiqua" w:hAnsi="Book Antiqua" w:cs="宋体"/>
          <w:b/>
          <w:bCs/>
          <w:lang w:val="en-US" w:eastAsia="zh-CN"/>
        </w:rPr>
        <w:t>32</w:t>
      </w:r>
      <w:r w:rsidRPr="00957C03">
        <w:rPr>
          <w:rFonts w:ascii="Book Antiqua" w:hAnsi="Book Antiqua" w:cs="宋体"/>
          <w:lang w:val="en-US" w:eastAsia="zh-CN"/>
        </w:rPr>
        <w:t>: 789-796 [PMID: 23274148 DOI: 10.1016/j.clnu.2012.12.001]</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83 </w:t>
      </w:r>
      <w:r w:rsidRPr="00957C03">
        <w:rPr>
          <w:rFonts w:ascii="Book Antiqua" w:hAnsi="Book Antiqua" w:cs="宋体"/>
          <w:b/>
          <w:bCs/>
          <w:lang w:val="en-US" w:eastAsia="zh-CN"/>
        </w:rPr>
        <w:t>Baxter JP</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Fayers</w:t>
      </w:r>
      <w:proofErr w:type="spellEnd"/>
      <w:r w:rsidRPr="00957C03">
        <w:rPr>
          <w:rFonts w:ascii="Book Antiqua" w:hAnsi="Book Antiqua" w:cs="宋体"/>
          <w:lang w:val="en-US" w:eastAsia="zh-CN"/>
        </w:rPr>
        <w:t xml:space="preserve"> PM, </w:t>
      </w:r>
      <w:proofErr w:type="spellStart"/>
      <w:r w:rsidRPr="00957C03">
        <w:rPr>
          <w:rFonts w:ascii="Book Antiqua" w:hAnsi="Book Antiqua" w:cs="宋体"/>
          <w:lang w:val="en-US" w:eastAsia="zh-CN"/>
        </w:rPr>
        <w:t>McKinlay</w:t>
      </w:r>
      <w:proofErr w:type="spellEnd"/>
      <w:r w:rsidRPr="00957C03">
        <w:rPr>
          <w:rFonts w:ascii="Book Antiqua" w:hAnsi="Book Antiqua" w:cs="宋体"/>
          <w:lang w:val="en-US" w:eastAsia="zh-CN"/>
        </w:rPr>
        <w:t xml:space="preserve"> AW. The clinical and psychometric validation of a questionnaire to assess the quality of life of adult patients treated with long-term </w:t>
      </w:r>
      <w:r w:rsidRPr="00957C03">
        <w:rPr>
          <w:rFonts w:ascii="Book Antiqua" w:hAnsi="Book Antiqua" w:cs="宋体"/>
          <w:lang w:val="en-US" w:eastAsia="zh-CN"/>
        </w:rPr>
        <w:lastRenderedPageBreak/>
        <w:t xml:space="preserve">parenteral nutrition. </w:t>
      </w:r>
      <w:r w:rsidRPr="00957C03">
        <w:rPr>
          <w:rFonts w:ascii="Book Antiqua" w:hAnsi="Book Antiqua" w:cs="宋体"/>
          <w:i/>
          <w:iCs/>
          <w:lang w:val="en-US" w:eastAsia="zh-CN"/>
        </w:rPr>
        <w:t xml:space="preserve">JPEN J </w:t>
      </w:r>
      <w:proofErr w:type="spellStart"/>
      <w:r w:rsidRPr="00957C03">
        <w:rPr>
          <w:rFonts w:ascii="Book Antiqua" w:hAnsi="Book Antiqua" w:cs="宋体"/>
          <w:i/>
          <w:iCs/>
          <w:lang w:val="en-US" w:eastAsia="zh-CN"/>
        </w:rPr>
        <w:t>Parenter</w:t>
      </w:r>
      <w:proofErr w:type="spellEnd"/>
      <w:r w:rsidRPr="00957C03">
        <w:rPr>
          <w:rFonts w:ascii="Book Antiqua" w:hAnsi="Book Antiqua" w:cs="宋体"/>
          <w:i/>
          <w:iCs/>
          <w:lang w:val="en-US" w:eastAsia="zh-CN"/>
        </w:rPr>
        <w:t xml:space="preserve"> Enteral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w:t>
      </w:r>
      <w:r>
        <w:rPr>
          <w:rFonts w:ascii="Book Antiqua" w:hAnsi="Book Antiqua" w:cs="宋体"/>
          <w:lang w:val="en-US" w:eastAsia="zh-CN"/>
        </w:rPr>
        <w:t>2010</w:t>
      </w:r>
      <w:r w:rsidRPr="00957C03">
        <w:rPr>
          <w:rFonts w:ascii="Book Antiqua" w:hAnsi="Book Antiqua" w:cs="宋体"/>
          <w:lang w:val="en-US" w:eastAsia="zh-CN"/>
        </w:rPr>
        <w:t xml:space="preserve">; </w:t>
      </w:r>
      <w:r w:rsidRPr="00957C03">
        <w:rPr>
          <w:rFonts w:ascii="Book Antiqua" w:hAnsi="Book Antiqua" w:cs="宋体"/>
          <w:b/>
          <w:bCs/>
          <w:lang w:val="en-US" w:eastAsia="zh-CN"/>
        </w:rPr>
        <w:t>34</w:t>
      </w:r>
      <w:r w:rsidRPr="00957C03">
        <w:rPr>
          <w:rFonts w:ascii="Book Antiqua" w:hAnsi="Book Antiqua" w:cs="宋体"/>
          <w:lang w:val="en-US" w:eastAsia="zh-CN"/>
        </w:rPr>
        <w:t>: 131-142 [PMID: 19920205 DOI: 10.1177/0148607109348612]</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84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Baxter JP, </w:t>
      </w:r>
      <w:proofErr w:type="spellStart"/>
      <w:r w:rsidRPr="00957C03">
        <w:rPr>
          <w:rFonts w:ascii="Book Antiqua" w:hAnsi="Book Antiqua" w:cs="宋体"/>
          <w:lang w:val="en-US" w:eastAsia="zh-CN"/>
        </w:rPr>
        <w:t>Lauro</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Guidetti</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Agostini</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Zanfi</w:t>
      </w:r>
      <w:proofErr w:type="spellEnd"/>
      <w:r w:rsidRPr="00957C03">
        <w:rPr>
          <w:rFonts w:ascii="Book Antiqua" w:hAnsi="Book Antiqua" w:cs="宋体"/>
          <w:lang w:val="en-US" w:eastAsia="zh-CN"/>
        </w:rPr>
        <w:t xml:space="preserve"> C, Pinna AD. </w:t>
      </w:r>
      <w:proofErr w:type="gramStart"/>
      <w:r w:rsidRPr="00957C03">
        <w:rPr>
          <w:rFonts w:ascii="Book Antiqua" w:hAnsi="Book Antiqua" w:cs="宋体"/>
          <w:lang w:val="en-US" w:eastAsia="zh-CN"/>
        </w:rPr>
        <w:t>Assessment of quality of life on home parenteral nutrition and after intestinal transplantation using treatment-specific questionnaires.</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Am J Transplant</w:t>
      </w:r>
      <w:r w:rsidRPr="00957C03">
        <w:rPr>
          <w:rFonts w:ascii="Book Antiqua" w:hAnsi="Book Antiqua" w:cs="宋体"/>
          <w:lang w:val="en-US" w:eastAsia="zh-CN"/>
        </w:rPr>
        <w:t xml:space="preserve"> 2012; </w:t>
      </w:r>
      <w:r w:rsidRPr="00957C03">
        <w:rPr>
          <w:rFonts w:ascii="Book Antiqua" w:hAnsi="Book Antiqua" w:cs="宋体"/>
          <w:b/>
          <w:bCs/>
          <w:lang w:val="en-US" w:eastAsia="zh-CN"/>
        </w:rPr>
        <w:t xml:space="preserve">12 </w:t>
      </w:r>
      <w:proofErr w:type="spellStart"/>
      <w:r w:rsidRPr="00957C03">
        <w:rPr>
          <w:rFonts w:ascii="Book Antiqua" w:hAnsi="Book Antiqua" w:cs="宋体"/>
          <w:b/>
          <w:bCs/>
          <w:lang w:val="en-US" w:eastAsia="zh-CN"/>
        </w:rPr>
        <w:t>Suppl</w:t>
      </w:r>
      <w:proofErr w:type="spellEnd"/>
      <w:r w:rsidRPr="00957C03">
        <w:rPr>
          <w:rFonts w:ascii="Book Antiqua" w:hAnsi="Book Antiqua" w:cs="宋体"/>
          <w:b/>
          <w:bCs/>
          <w:lang w:val="en-US" w:eastAsia="zh-CN"/>
        </w:rPr>
        <w:t xml:space="preserve"> 4</w:t>
      </w:r>
      <w:r w:rsidRPr="00957C03">
        <w:rPr>
          <w:rFonts w:ascii="Book Antiqua" w:hAnsi="Book Antiqua" w:cs="宋体"/>
          <w:lang w:val="en-US" w:eastAsia="zh-CN"/>
        </w:rPr>
        <w:t>: S60-S66 [PMID: 22958831 DOI: 10.1111/j.1600-6143.2012.04244.x]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85 </w:t>
      </w:r>
      <w:r w:rsidRPr="00957C03">
        <w:rPr>
          <w:rFonts w:ascii="Book Antiqua" w:hAnsi="Book Antiqua" w:cs="宋体"/>
          <w:b/>
          <w:bCs/>
          <w:lang w:val="en-US" w:eastAsia="zh-CN"/>
        </w:rPr>
        <w:t>Cameron EA</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Binnie</w:t>
      </w:r>
      <w:proofErr w:type="spellEnd"/>
      <w:r w:rsidRPr="00957C03">
        <w:rPr>
          <w:rFonts w:ascii="Book Antiqua" w:hAnsi="Book Antiqua" w:cs="宋体"/>
          <w:lang w:val="en-US" w:eastAsia="zh-CN"/>
        </w:rPr>
        <w:t xml:space="preserve"> JA, Jamieson NV, Pollard S, Middleton SJ. </w:t>
      </w:r>
      <w:proofErr w:type="gramStart"/>
      <w:r w:rsidRPr="00957C03">
        <w:rPr>
          <w:rFonts w:ascii="Book Antiqua" w:hAnsi="Book Antiqua" w:cs="宋体"/>
          <w:lang w:val="en-US" w:eastAsia="zh-CN"/>
        </w:rPr>
        <w:t>Quality of life in adults following small bowel transplantation.</w:t>
      </w:r>
      <w:proofErr w:type="gramEnd"/>
      <w:r w:rsidRPr="00957C03">
        <w:rPr>
          <w:rFonts w:ascii="Book Antiqua" w:hAnsi="Book Antiqua" w:cs="宋体"/>
          <w:lang w:val="en-US" w:eastAsia="zh-CN"/>
        </w:rPr>
        <w:t xml:space="preserve"> </w:t>
      </w:r>
      <w:r w:rsidRPr="00957C03">
        <w:rPr>
          <w:rFonts w:ascii="Book Antiqua" w:hAnsi="Book Antiqua" w:cs="宋体"/>
          <w:i/>
          <w:iCs/>
          <w:lang w:val="en-US" w:eastAsia="zh-CN"/>
        </w:rPr>
        <w:t xml:space="preserve">Transplant </w:t>
      </w:r>
      <w:proofErr w:type="spellStart"/>
      <w:r w:rsidRPr="00957C03">
        <w:rPr>
          <w:rFonts w:ascii="Book Antiqua" w:hAnsi="Book Antiqua" w:cs="宋体"/>
          <w:i/>
          <w:iCs/>
          <w:lang w:val="en-US" w:eastAsia="zh-CN"/>
        </w:rPr>
        <w:t>Proc</w:t>
      </w:r>
      <w:proofErr w:type="spellEnd"/>
      <w:r w:rsidRPr="00957C03">
        <w:rPr>
          <w:rFonts w:ascii="Book Antiqua" w:hAnsi="Book Antiqua" w:cs="宋体"/>
          <w:lang w:val="en-US" w:eastAsia="zh-CN"/>
        </w:rPr>
        <w:t xml:space="preserve"> 2002; </w:t>
      </w:r>
      <w:r w:rsidRPr="00957C03">
        <w:rPr>
          <w:rFonts w:ascii="Book Antiqua" w:hAnsi="Book Antiqua" w:cs="宋体"/>
          <w:b/>
          <w:bCs/>
          <w:lang w:val="en-US" w:eastAsia="zh-CN"/>
        </w:rPr>
        <w:t>34</w:t>
      </w:r>
      <w:r w:rsidRPr="00957C03">
        <w:rPr>
          <w:rFonts w:ascii="Book Antiqua" w:hAnsi="Book Antiqua" w:cs="宋体"/>
          <w:lang w:val="en-US" w:eastAsia="zh-CN"/>
        </w:rPr>
        <w:t>: 965-966 [PMID: 12034263]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86 </w:t>
      </w:r>
      <w:proofErr w:type="spellStart"/>
      <w:r w:rsidRPr="00957C03">
        <w:rPr>
          <w:rFonts w:ascii="Book Antiqua" w:hAnsi="Book Antiqua" w:cs="宋体"/>
          <w:b/>
          <w:bCs/>
          <w:lang w:val="en-US" w:eastAsia="zh-CN"/>
        </w:rPr>
        <w:t>Piamjariyakul</w:t>
      </w:r>
      <w:proofErr w:type="spellEnd"/>
      <w:r w:rsidRPr="00957C03">
        <w:rPr>
          <w:rFonts w:ascii="Book Antiqua" w:hAnsi="Book Antiqua" w:cs="宋体"/>
          <w:b/>
          <w:bCs/>
          <w:lang w:val="en-US" w:eastAsia="zh-CN"/>
        </w:rPr>
        <w:t xml:space="preserve"> U</w:t>
      </w:r>
      <w:r w:rsidRPr="00957C03">
        <w:rPr>
          <w:rFonts w:ascii="Book Antiqua" w:hAnsi="Book Antiqua" w:cs="宋体"/>
          <w:lang w:val="en-US" w:eastAsia="zh-CN"/>
        </w:rPr>
        <w:t xml:space="preserve">, Ross VM, </w:t>
      </w:r>
      <w:proofErr w:type="spellStart"/>
      <w:r w:rsidRPr="00957C03">
        <w:rPr>
          <w:rFonts w:ascii="Book Antiqua" w:hAnsi="Book Antiqua" w:cs="宋体"/>
          <w:lang w:val="en-US" w:eastAsia="zh-CN"/>
        </w:rPr>
        <w:t>Yadrich</w:t>
      </w:r>
      <w:proofErr w:type="spellEnd"/>
      <w:r w:rsidRPr="00957C03">
        <w:rPr>
          <w:rFonts w:ascii="Book Antiqua" w:hAnsi="Book Antiqua" w:cs="宋体"/>
          <w:lang w:val="en-US" w:eastAsia="zh-CN"/>
        </w:rPr>
        <w:t xml:space="preserve"> DM, Williams AR, Howard L, Smith CE. Complex home care: Part I--Utilization and costs to families for health care services each year. </w:t>
      </w:r>
      <w:proofErr w:type="spellStart"/>
      <w:r w:rsidRPr="00957C03">
        <w:rPr>
          <w:rFonts w:ascii="Book Antiqua" w:hAnsi="Book Antiqua" w:cs="宋体"/>
          <w:i/>
          <w:iCs/>
          <w:lang w:val="en-US" w:eastAsia="zh-CN"/>
        </w:rPr>
        <w:t>Nurs</w:t>
      </w:r>
      <w:proofErr w:type="spellEnd"/>
      <w:r w:rsidRPr="00957C03">
        <w:rPr>
          <w:rFonts w:ascii="Book Antiqua" w:hAnsi="Book Antiqua" w:cs="宋体"/>
          <w:i/>
          <w:iCs/>
          <w:lang w:val="en-US" w:eastAsia="zh-CN"/>
        </w:rPr>
        <w:t xml:space="preserve"> Econ</w:t>
      </w:r>
      <w:r w:rsidRPr="00957C03">
        <w:rPr>
          <w:rFonts w:ascii="Book Antiqua" w:hAnsi="Book Antiqua" w:cs="宋体"/>
          <w:lang w:val="en-US" w:eastAsia="zh-CN"/>
        </w:rPr>
        <w:t xml:space="preserve"> </w:t>
      </w:r>
      <w:r>
        <w:rPr>
          <w:rFonts w:ascii="Book Antiqua" w:hAnsi="Book Antiqua" w:cs="宋体"/>
          <w:lang w:val="en-US" w:eastAsia="zh-CN"/>
        </w:rPr>
        <w:t>2010</w:t>
      </w:r>
      <w:r w:rsidRPr="00957C03">
        <w:rPr>
          <w:rFonts w:ascii="Book Antiqua" w:hAnsi="Book Antiqua" w:cs="宋体"/>
          <w:lang w:val="en-US" w:eastAsia="zh-CN"/>
        </w:rPr>
        <w:t xml:space="preserve">; </w:t>
      </w:r>
      <w:r w:rsidRPr="00957C03">
        <w:rPr>
          <w:rFonts w:ascii="Book Antiqua" w:hAnsi="Book Antiqua" w:cs="宋体"/>
          <w:b/>
          <w:bCs/>
          <w:lang w:val="en-US" w:eastAsia="zh-CN"/>
        </w:rPr>
        <w:t>28</w:t>
      </w:r>
      <w:r w:rsidRPr="00957C03">
        <w:rPr>
          <w:rFonts w:ascii="Book Antiqua" w:hAnsi="Book Antiqua" w:cs="宋体"/>
          <w:lang w:val="en-US" w:eastAsia="zh-CN"/>
        </w:rPr>
        <w:t>: 255-263 [PMID: 21625407]</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87 </w:t>
      </w:r>
      <w:proofErr w:type="spellStart"/>
      <w:r w:rsidRPr="00944837">
        <w:rPr>
          <w:rFonts w:ascii="Book Antiqua" w:hAnsi="Book Antiqua" w:cs="宋体"/>
          <w:b/>
          <w:lang w:val="en-US" w:eastAsia="zh-CN"/>
        </w:rPr>
        <w:t>Specialised</w:t>
      </w:r>
      <w:proofErr w:type="spellEnd"/>
      <w:r w:rsidRPr="00944837">
        <w:rPr>
          <w:rFonts w:ascii="Book Antiqua" w:hAnsi="Book Antiqua" w:cs="宋体"/>
          <w:b/>
          <w:lang w:val="en-US" w:eastAsia="zh-CN"/>
        </w:rPr>
        <w:t xml:space="preserve"> Services National Health Service</w:t>
      </w:r>
      <w:r w:rsidRPr="00957C03">
        <w:rPr>
          <w:rFonts w:ascii="Book Antiqua" w:hAnsi="Book Antiqua" w:cs="宋体"/>
          <w:lang w:val="en-US" w:eastAsia="zh-CN"/>
        </w:rPr>
        <w:t xml:space="preserve">. </w:t>
      </w:r>
      <w:proofErr w:type="spellStart"/>
      <w:proofErr w:type="gramStart"/>
      <w:r w:rsidRPr="00957C03">
        <w:rPr>
          <w:rFonts w:ascii="Book Antiqua" w:hAnsi="Book Antiqua" w:cs="宋体"/>
          <w:lang w:val="en-US" w:eastAsia="zh-CN"/>
        </w:rPr>
        <w:t>Specialised</w:t>
      </w:r>
      <w:proofErr w:type="spellEnd"/>
      <w:r w:rsidRPr="00957C03">
        <w:rPr>
          <w:rFonts w:ascii="Book Antiqua" w:hAnsi="Book Antiqua" w:cs="宋体"/>
          <w:lang w:val="en-US" w:eastAsia="zh-CN"/>
        </w:rPr>
        <w:t xml:space="preserve"> intestinal failure and home parenteral nutrition services (adult) - definition no.12.</w:t>
      </w:r>
      <w:proofErr w:type="gramEnd"/>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Specialised</w:t>
      </w:r>
      <w:proofErr w:type="spellEnd"/>
      <w:r w:rsidRPr="00957C03">
        <w:rPr>
          <w:rFonts w:ascii="Book Antiqua" w:hAnsi="Book Antiqua" w:cs="宋体"/>
          <w:lang w:val="en-US" w:eastAsia="zh-CN"/>
        </w:rPr>
        <w:t xml:space="preserve"> Services National Defi</w:t>
      </w:r>
      <w:r>
        <w:rPr>
          <w:rFonts w:ascii="Book Antiqua" w:hAnsi="Book Antiqua" w:cs="宋体"/>
          <w:lang w:val="en-US" w:eastAsia="zh-CN"/>
        </w:rPr>
        <w:t>nitions Set (3rd Edition), 2010 Available from: URL: http:</w:t>
      </w:r>
      <w:r w:rsidRPr="00957C03">
        <w:rPr>
          <w:rFonts w:ascii="Book Antiqua" w:hAnsi="Book Antiqua" w:cs="宋体"/>
          <w:lang w:val="en-US" w:eastAsia="zh-CN"/>
        </w:rPr>
        <w:t>//www.specialisedservices.nhs.uk/library/26/Specialised_Intestinal_Failure_and_Home_Parenteral_Nutrition_Services_</w:t>
      </w:r>
      <w:proofErr w:type="gramStart"/>
      <w:r>
        <w:rPr>
          <w:rFonts w:ascii="Book Antiqua" w:hAnsi="Book Antiqua" w:cs="宋体"/>
          <w:lang w:val="en-US" w:eastAsia="zh-CN"/>
        </w:rPr>
        <w:t>adult.pdf  Accessed</w:t>
      </w:r>
      <w:proofErr w:type="gramEnd"/>
      <w:r>
        <w:rPr>
          <w:rFonts w:ascii="Book Antiqua" w:hAnsi="Book Antiqua" w:cs="宋体"/>
          <w:lang w:val="en-US" w:eastAsia="zh-CN"/>
        </w:rPr>
        <w:t xml:space="preserve"> [27.09.2013]</w:t>
      </w:r>
    </w:p>
    <w:p w:rsidR="0043020A" w:rsidRPr="0071155C" w:rsidRDefault="0043020A" w:rsidP="00957C03">
      <w:pPr>
        <w:rPr>
          <w:rFonts w:ascii="Book Antiqua" w:hAnsi="Book Antiqua" w:cs="宋体"/>
          <w:color w:val="000000"/>
          <w:lang w:val="en-US" w:eastAsia="zh-CN"/>
        </w:rPr>
      </w:pPr>
      <w:proofErr w:type="gramStart"/>
      <w:r w:rsidRPr="0071155C">
        <w:rPr>
          <w:rFonts w:ascii="Book Antiqua" w:hAnsi="Book Antiqua" w:cs="宋体"/>
          <w:color w:val="000000"/>
          <w:lang w:val="en-US" w:eastAsia="zh-CN"/>
        </w:rPr>
        <w:t>88</w:t>
      </w:r>
      <w:r>
        <w:rPr>
          <w:rFonts w:ascii="Book Antiqua" w:hAnsi="Book Antiqua" w:cs="宋体"/>
          <w:color w:val="000000"/>
          <w:lang w:val="en-US" w:eastAsia="zh-CN"/>
        </w:rPr>
        <w:t xml:space="preserve"> NHS</w:t>
      </w:r>
      <w:r w:rsidRPr="0071155C">
        <w:rPr>
          <w:rFonts w:ascii="Book Antiqua" w:hAnsi="Book Antiqua" w:cs="宋体"/>
          <w:color w:val="000000"/>
          <w:lang w:val="en-US" w:eastAsia="zh-CN"/>
        </w:rPr>
        <w:t xml:space="preserve"> National Blood and Transplant.</w:t>
      </w:r>
      <w:proofErr w:type="gramEnd"/>
      <w:r w:rsidRPr="0071155C">
        <w:rPr>
          <w:rFonts w:ascii="Book Antiqua" w:hAnsi="Book Antiqua" w:cs="宋体"/>
          <w:color w:val="000000"/>
          <w:lang w:val="en-US" w:eastAsia="zh-CN"/>
        </w:rPr>
        <w:t xml:space="preserve"> Bulletin 2008</w:t>
      </w:r>
      <w:r>
        <w:rPr>
          <w:rFonts w:ascii="Book Antiqua" w:hAnsi="Book Antiqua" w:cs="宋体"/>
          <w:color w:val="000000"/>
          <w:lang w:val="en-US" w:eastAsia="zh-CN"/>
        </w:rPr>
        <w:t>;</w:t>
      </w:r>
      <w:r w:rsidRPr="00A37F8E">
        <w:rPr>
          <w:rFonts w:ascii="Book Antiqua" w:hAnsi="Book Antiqua" w:cs="宋体"/>
          <w:color w:val="000000"/>
          <w:lang w:val="en-US" w:eastAsia="zh-CN"/>
        </w:rPr>
        <w:t xml:space="preserve"> 65 </w:t>
      </w:r>
      <w:r>
        <w:rPr>
          <w:rFonts w:ascii="Book Antiqua" w:hAnsi="Book Antiqua" w:cs="宋体"/>
          <w:color w:val="000000"/>
          <w:lang w:val="en-US" w:eastAsia="zh-CN"/>
        </w:rPr>
        <w:t>Available from: URL: http:</w:t>
      </w:r>
      <w:r w:rsidRPr="0071155C">
        <w:rPr>
          <w:rFonts w:ascii="Book Antiqua" w:hAnsi="Book Antiqua" w:cs="宋体"/>
          <w:color w:val="000000"/>
          <w:lang w:val="en-US" w:eastAsia="zh-CN"/>
        </w:rPr>
        <w:t>//www.organdonation.nhs.uk/newsroom/bulletin/pdf/bulletin_2008_s</w:t>
      </w:r>
      <w:r>
        <w:rPr>
          <w:rFonts w:ascii="Book Antiqua" w:hAnsi="Book Antiqua" w:cs="宋体"/>
          <w:color w:val="000000"/>
          <w:lang w:val="en-US" w:eastAsia="zh-CN"/>
        </w:rPr>
        <w:t>pring.pdf Accessed [27.09.2013]</w:t>
      </w:r>
    </w:p>
    <w:p w:rsidR="0043020A" w:rsidRPr="00957C03" w:rsidRDefault="0043020A" w:rsidP="00957C03">
      <w:pPr>
        <w:rPr>
          <w:rFonts w:ascii="Book Antiqua" w:hAnsi="Book Antiqua" w:cs="宋体"/>
          <w:lang w:val="en-US" w:eastAsia="zh-CN"/>
        </w:rPr>
      </w:pPr>
      <w:r w:rsidRPr="0071155C">
        <w:rPr>
          <w:rFonts w:ascii="Book Antiqua" w:hAnsi="Book Antiqua" w:cs="宋体"/>
          <w:color w:val="000000"/>
          <w:lang w:val="en-US" w:eastAsia="zh-CN"/>
        </w:rPr>
        <w:t xml:space="preserve">89 </w:t>
      </w:r>
      <w:proofErr w:type="spellStart"/>
      <w:r w:rsidRPr="0071155C">
        <w:rPr>
          <w:rFonts w:ascii="Book Antiqua" w:hAnsi="Book Antiqua" w:cs="宋体"/>
          <w:b/>
          <w:color w:val="000000"/>
          <w:lang w:val="en-US" w:eastAsia="zh-CN"/>
        </w:rPr>
        <w:t>Roskott</w:t>
      </w:r>
      <w:proofErr w:type="spellEnd"/>
      <w:r w:rsidRPr="0071155C">
        <w:rPr>
          <w:rFonts w:ascii="Book Antiqua" w:hAnsi="Book Antiqua" w:cs="宋体"/>
          <w:b/>
          <w:color w:val="000000"/>
          <w:lang w:val="en-US" w:eastAsia="zh-CN"/>
        </w:rPr>
        <w:t xml:space="preserve"> AM</w:t>
      </w:r>
      <w:r w:rsidRPr="0071155C">
        <w:rPr>
          <w:rFonts w:ascii="Book Antiqua" w:hAnsi="Book Antiqua" w:cs="宋体"/>
          <w:color w:val="000000"/>
          <w:lang w:val="en-US" w:eastAsia="zh-CN"/>
        </w:rPr>
        <w:t xml:space="preserve">, </w:t>
      </w:r>
      <w:proofErr w:type="spellStart"/>
      <w:r w:rsidRPr="0071155C">
        <w:rPr>
          <w:rFonts w:ascii="Book Antiqua" w:hAnsi="Book Antiqua" w:cs="宋体"/>
          <w:color w:val="000000"/>
          <w:lang w:val="en-US" w:eastAsia="zh-CN"/>
        </w:rPr>
        <w:t>Groe</w:t>
      </w:r>
      <w:proofErr w:type="spellEnd"/>
      <w:r w:rsidRPr="0071155C">
        <w:rPr>
          <w:rFonts w:ascii="Book Antiqua" w:hAnsi="Book Antiqua" w:cs="宋体"/>
          <w:color w:val="000000"/>
          <w:lang w:val="en-US" w:eastAsia="zh-CN"/>
        </w:rPr>
        <w:t xml:space="preserve"> H, </w:t>
      </w:r>
      <w:proofErr w:type="spellStart"/>
      <w:r w:rsidRPr="0071155C">
        <w:rPr>
          <w:rFonts w:ascii="Book Antiqua" w:hAnsi="Book Antiqua" w:cs="宋体"/>
          <w:color w:val="000000"/>
          <w:lang w:val="en-US" w:eastAsia="zh-CN"/>
        </w:rPr>
        <w:t>Krabbe</w:t>
      </w:r>
      <w:proofErr w:type="spellEnd"/>
      <w:r w:rsidRPr="0071155C">
        <w:rPr>
          <w:rFonts w:ascii="Book Antiqua" w:hAnsi="Book Antiqua" w:cs="宋体"/>
          <w:color w:val="000000"/>
          <w:lang w:val="en-US" w:eastAsia="zh-CN"/>
        </w:rPr>
        <w:t xml:space="preserve"> P</w:t>
      </w:r>
      <w:r w:rsidRPr="0071155C">
        <w:rPr>
          <w:rFonts w:ascii="Book Antiqua" w:hAnsi="Book Antiqua" w:cs="宋体"/>
          <w:lang w:val="en-US" w:eastAsia="zh-CN"/>
        </w:rPr>
        <w:t xml:space="preserve">, Rings E, </w:t>
      </w:r>
      <w:proofErr w:type="spellStart"/>
      <w:r w:rsidRPr="0071155C">
        <w:rPr>
          <w:rFonts w:ascii="Book Antiqua" w:hAnsi="Book Antiqua" w:cs="宋体"/>
          <w:lang w:val="en-US" w:eastAsia="zh-CN"/>
        </w:rPr>
        <w:t>Serlie</w:t>
      </w:r>
      <w:proofErr w:type="spellEnd"/>
      <w:r w:rsidRPr="0071155C">
        <w:rPr>
          <w:rFonts w:ascii="Book Antiqua" w:hAnsi="Book Antiqua" w:cs="宋体"/>
          <w:lang w:val="en-US" w:eastAsia="zh-CN"/>
        </w:rPr>
        <w:t xml:space="preserve"> M, </w:t>
      </w:r>
      <w:proofErr w:type="spellStart"/>
      <w:r w:rsidRPr="0071155C">
        <w:rPr>
          <w:rFonts w:ascii="Book Antiqua" w:hAnsi="Book Antiqua" w:cs="宋体"/>
          <w:lang w:val="en-US" w:eastAsia="zh-CN"/>
        </w:rPr>
        <w:t>Wanten</w:t>
      </w:r>
      <w:proofErr w:type="spellEnd"/>
      <w:r w:rsidRPr="0071155C">
        <w:rPr>
          <w:rFonts w:ascii="Book Antiqua" w:hAnsi="Book Antiqua" w:cs="宋体"/>
          <w:lang w:val="en-US" w:eastAsia="zh-CN"/>
        </w:rPr>
        <w:t xml:space="preserve"> G, </w:t>
      </w:r>
      <w:proofErr w:type="spellStart"/>
      <w:proofErr w:type="gramStart"/>
      <w:r w:rsidRPr="0071155C">
        <w:rPr>
          <w:rFonts w:ascii="Book Antiqua" w:hAnsi="Book Antiqua" w:cs="宋体"/>
          <w:lang w:val="en-US" w:eastAsia="zh-CN"/>
        </w:rPr>
        <w:t>Dijkstra</w:t>
      </w:r>
      <w:proofErr w:type="spellEnd"/>
      <w:proofErr w:type="gramEnd"/>
      <w:r w:rsidRPr="0071155C">
        <w:rPr>
          <w:rFonts w:ascii="Book Antiqua" w:hAnsi="Book Antiqua" w:cs="宋体"/>
          <w:lang w:val="en-US" w:eastAsia="zh-CN"/>
        </w:rPr>
        <w:t xml:space="preserve"> G. Cost-effectiveness of intestinal transplantation (</w:t>
      </w:r>
      <w:proofErr w:type="spellStart"/>
      <w:r w:rsidRPr="0071155C">
        <w:rPr>
          <w:rFonts w:ascii="Book Antiqua" w:hAnsi="Book Antiqua" w:cs="宋体"/>
          <w:lang w:val="en-US" w:eastAsia="zh-CN"/>
        </w:rPr>
        <w:t>ITx</w:t>
      </w:r>
      <w:proofErr w:type="spellEnd"/>
      <w:r w:rsidRPr="0071155C">
        <w:rPr>
          <w:rFonts w:ascii="Book Antiqua" w:hAnsi="Book Antiqua" w:cs="宋体"/>
          <w:lang w:val="en-US" w:eastAsia="zh-CN"/>
        </w:rPr>
        <w:t xml:space="preserve">) for adult patients with permanent intestinal failure (IF) depending on home parenteral nutrition. </w:t>
      </w:r>
      <w:proofErr w:type="gramStart"/>
      <w:r w:rsidRPr="0071155C">
        <w:rPr>
          <w:rFonts w:ascii="Book Antiqua" w:hAnsi="Book Antiqua" w:cs="宋体"/>
          <w:lang w:val="en-US" w:eastAsia="zh-CN"/>
        </w:rPr>
        <w:t>International Small Bowel Transplant Symposium.</w:t>
      </w:r>
      <w:proofErr w:type="gramEnd"/>
      <w:r w:rsidRPr="0071155C">
        <w:rPr>
          <w:rFonts w:ascii="Book Antiqua" w:hAnsi="Book Antiqua" w:cs="宋体"/>
          <w:lang w:val="en-US" w:eastAsia="zh-CN"/>
        </w:rPr>
        <w:t xml:space="preserve"> Oxford, United Kingdom, 2013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90 </w:t>
      </w:r>
      <w:r w:rsidRPr="00957C03">
        <w:rPr>
          <w:rFonts w:ascii="Book Antiqua" w:hAnsi="Book Antiqua" w:cs="宋体"/>
          <w:b/>
          <w:bCs/>
          <w:lang w:val="en-US" w:eastAsia="zh-CN"/>
        </w:rPr>
        <w:t>Baxter JP</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Fayers</w:t>
      </w:r>
      <w:proofErr w:type="spellEnd"/>
      <w:r w:rsidRPr="00957C03">
        <w:rPr>
          <w:rFonts w:ascii="Book Antiqua" w:hAnsi="Book Antiqua" w:cs="宋体"/>
          <w:lang w:val="en-US" w:eastAsia="zh-CN"/>
        </w:rPr>
        <w:t xml:space="preserve"> PM, </w:t>
      </w:r>
      <w:proofErr w:type="spellStart"/>
      <w:r w:rsidRPr="00957C03">
        <w:rPr>
          <w:rFonts w:ascii="Book Antiqua" w:hAnsi="Book Antiqua" w:cs="宋体"/>
          <w:lang w:val="en-US" w:eastAsia="zh-CN"/>
        </w:rPr>
        <w:t>McKinlay</w:t>
      </w:r>
      <w:proofErr w:type="spellEnd"/>
      <w:r w:rsidRPr="00957C03">
        <w:rPr>
          <w:rFonts w:ascii="Book Antiqua" w:hAnsi="Book Antiqua" w:cs="宋体"/>
          <w:lang w:val="en-US" w:eastAsia="zh-CN"/>
        </w:rPr>
        <w:t xml:space="preserve"> AW. A review of the quality of life of adult patients treated with long-term parenteral nutrition.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25</w:t>
      </w:r>
      <w:r w:rsidRPr="00957C03">
        <w:rPr>
          <w:rFonts w:ascii="Book Antiqua" w:hAnsi="Book Antiqua" w:cs="宋体"/>
          <w:lang w:val="en-US" w:eastAsia="zh-CN"/>
        </w:rPr>
        <w:t>: 543-553 [PMID: 16815601 DOI: 10.1016/j.clnu.2006.05.003]</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91 </w:t>
      </w:r>
      <w:proofErr w:type="spellStart"/>
      <w:r w:rsidRPr="00957C03">
        <w:rPr>
          <w:rFonts w:ascii="Book Antiqua" w:hAnsi="Book Antiqua" w:cs="宋体"/>
          <w:b/>
          <w:bCs/>
          <w:lang w:val="en-US" w:eastAsia="zh-CN"/>
        </w:rPr>
        <w:t>Pironi</w:t>
      </w:r>
      <w:proofErr w:type="spellEnd"/>
      <w:r w:rsidRPr="00957C03">
        <w:rPr>
          <w:rFonts w:ascii="Book Antiqua" w:hAnsi="Book Antiqua" w:cs="宋体"/>
          <w:b/>
          <w:bCs/>
          <w:lang w:val="en-US" w:eastAsia="zh-CN"/>
        </w:rPr>
        <w:t xml:space="preserve"> 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Hébuterne</w:t>
      </w:r>
      <w:proofErr w:type="spellEnd"/>
      <w:r w:rsidRPr="00957C03">
        <w:rPr>
          <w:rFonts w:ascii="Book Antiqua" w:hAnsi="Book Antiqua" w:cs="宋体"/>
          <w:lang w:val="en-US" w:eastAsia="zh-CN"/>
        </w:rPr>
        <w:t xml:space="preserve"> X, Van </w:t>
      </w:r>
      <w:proofErr w:type="spellStart"/>
      <w:r w:rsidRPr="00957C03">
        <w:rPr>
          <w:rFonts w:ascii="Book Antiqua" w:hAnsi="Book Antiqua" w:cs="宋体"/>
          <w:lang w:val="en-US" w:eastAsia="zh-CN"/>
        </w:rPr>
        <w:t>Gossum</w:t>
      </w:r>
      <w:proofErr w:type="spellEnd"/>
      <w:r w:rsidRPr="00957C03">
        <w:rPr>
          <w:rFonts w:ascii="Book Antiqua" w:hAnsi="Book Antiqua" w:cs="宋体"/>
          <w:lang w:val="en-US" w:eastAsia="zh-CN"/>
        </w:rPr>
        <w:t xml:space="preserve"> A, Messing B, </w:t>
      </w:r>
      <w:proofErr w:type="spellStart"/>
      <w:r w:rsidRPr="00957C03">
        <w:rPr>
          <w:rFonts w:ascii="Book Antiqua" w:hAnsi="Book Antiqua" w:cs="宋体"/>
          <w:lang w:val="en-US" w:eastAsia="zh-CN"/>
        </w:rPr>
        <w:t>Lyszkowska</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Colomb</w:t>
      </w:r>
      <w:proofErr w:type="spellEnd"/>
      <w:r w:rsidRPr="00957C03">
        <w:rPr>
          <w:rFonts w:ascii="Book Antiqua" w:hAnsi="Book Antiqua" w:cs="宋体"/>
          <w:lang w:val="en-US" w:eastAsia="zh-CN"/>
        </w:rPr>
        <w:t xml:space="preserve"> V, Forbes A, </w:t>
      </w:r>
      <w:proofErr w:type="spellStart"/>
      <w:r w:rsidRPr="00957C03">
        <w:rPr>
          <w:rFonts w:ascii="Book Antiqua" w:hAnsi="Book Antiqua" w:cs="宋体"/>
          <w:lang w:val="en-US" w:eastAsia="zh-CN"/>
        </w:rPr>
        <w:t>Micklewright</w:t>
      </w:r>
      <w:proofErr w:type="spellEnd"/>
      <w:r w:rsidRPr="00957C03">
        <w:rPr>
          <w:rFonts w:ascii="Book Antiqua" w:hAnsi="Book Antiqua" w:cs="宋体"/>
          <w:lang w:val="en-US" w:eastAsia="zh-CN"/>
        </w:rPr>
        <w:t xml:space="preserve"> A, </w:t>
      </w:r>
      <w:proofErr w:type="spellStart"/>
      <w:r w:rsidRPr="00957C03">
        <w:rPr>
          <w:rFonts w:ascii="Book Antiqua" w:hAnsi="Book Antiqua" w:cs="宋体"/>
          <w:lang w:val="en-US" w:eastAsia="zh-CN"/>
        </w:rPr>
        <w:t>Villares</w:t>
      </w:r>
      <w:proofErr w:type="spellEnd"/>
      <w:r w:rsidRPr="00957C03">
        <w:rPr>
          <w:rFonts w:ascii="Book Antiqua" w:hAnsi="Book Antiqua" w:cs="宋体"/>
          <w:lang w:val="en-US" w:eastAsia="zh-CN"/>
        </w:rPr>
        <w:t xml:space="preserve"> JM, </w:t>
      </w:r>
      <w:proofErr w:type="spellStart"/>
      <w:r w:rsidRPr="00957C03">
        <w:rPr>
          <w:rFonts w:ascii="Book Antiqua" w:hAnsi="Book Antiqua" w:cs="宋体"/>
          <w:lang w:val="en-US" w:eastAsia="zh-CN"/>
        </w:rPr>
        <w:t>Thul</w:t>
      </w:r>
      <w:proofErr w:type="spellEnd"/>
      <w:r w:rsidRPr="00957C03">
        <w:rPr>
          <w:rFonts w:ascii="Book Antiqua" w:hAnsi="Book Antiqua" w:cs="宋体"/>
          <w:lang w:val="en-US" w:eastAsia="zh-CN"/>
        </w:rPr>
        <w:t xml:space="preserve"> P, </w:t>
      </w:r>
      <w:proofErr w:type="spellStart"/>
      <w:r w:rsidRPr="00957C03">
        <w:rPr>
          <w:rFonts w:ascii="Book Antiqua" w:hAnsi="Book Antiqua" w:cs="宋体"/>
          <w:lang w:val="en-US" w:eastAsia="zh-CN"/>
        </w:rPr>
        <w:t>Bozzetti</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Goulet</w:t>
      </w:r>
      <w:proofErr w:type="spellEnd"/>
      <w:r w:rsidRPr="00957C03">
        <w:rPr>
          <w:rFonts w:ascii="Book Antiqua" w:hAnsi="Book Antiqua" w:cs="宋体"/>
          <w:lang w:val="en-US" w:eastAsia="zh-CN"/>
        </w:rPr>
        <w:t xml:space="preserve"> O, </w:t>
      </w:r>
      <w:proofErr w:type="spellStart"/>
      <w:r w:rsidRPr="00957C03">
        <w:rPr>
          <w:rFonts w:ascii="Book Antiqua" w:hAnsi="Book Antiqua" w:cs="宋体"/>
          <w:lang w:val="en-US" w:eastAsia="zh-CN"/>
        </w:rPr>
        <w:t>Staun</w:t>
      </w:r>
      <w:proofErr w:type="spellEnd"/>
      <w:r w:rsidRPr="00957C03">
        <w:rPr>
          <w:rFonts w:ascii="Book Antiqua" w:hAnsi="Book Antiqua" w:cs="宋体"/>
          <w:lang w:val="en-US" w:eastAsia="zh-CN"/>
        </w:rPr>
        <w:t xml:space="preserve"> M. Candidates for intestinal transplantation: a multicenter survey in Europe. </w:t>
      </w:r>
      <w:r w:rsidRPr="00957C03">
        <w:rPr>
          <w:rFonts w:ascii="Book Antiqua" w:hAnsi="Book Antiqua" w:cs="宋体"/>
          <w:i/>
          <w:iCs/>
          <w:lang w:val="en-US" w:eastAsia="zh-CN"/>
        </w:rPr>
        <w:t xml:space="preserve">Am J </w:t>
      </w:r>
      <w:proofErr w:type="spellStart"/>
      <w:r w:rsidRPr="00957C03">
        <w:rPr>
          <w:rFonts w:ascii="Book Antiqua" w:hAnsi="Book Antiqua" w:cs="宋体"/>
          <w:i/>
          <w:iCs/>
          <w:lang w:val="en-US" w:eastAsia="zh-CN"/>
        </w:rPr>
        <w:t>Gastroenterol</w:t>
      </w:r>
      <w:proofErr w:type="spellEnd"/>
      <w:r w:rsidRPr="00957C03">
        <w:rPr>
          <w:rFonts w:ascii="Book Antiqua" w:hAnsi="Book Antiqua" w:cs="宋体"/>
          <w:lang w:val="en-US" w:eastAsia="zh-CN"/>
        </w:rPr>
        <w:t xml:space="preserve"> 2006; </w:t>
      </w:r>
      <w:r w:rsidRPr="00957C03">
        <w:rPr>
          <w:rFonts w:ascii="Book Antiqua" w:hAnsi="Book Antiqua" w:cs="宋体"/>
          <w:b/>
          <w:bCs/>
          <w:lang w:val="en-US" w:eastAsia="zh-CN"/>
        </w:rPr>
        <w:t>101</w:t>
      </w:r>
      <w:r w:rsidRPr="00957C03">
        <w:rPr>
          <w:rFonts w:ascii="Book Antiqua" w:hAnsi="Book Antiqua" w:cs="宋体"/>
          <w:lang w:val="en-US" w:eastAsia="zh-CN"/>
        </w:rPr>
        <w:t>: 1633-143; quiz 1679 [PMID: 16863571 DOI: 10.1111/j.1572-0241.2006.00710.x]</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92 </w:t>
      </w:r>
      <w:proofErr w:type="spellStart"/>
      <w:r w:rsidRPr="00957C03">
        <w:rPr>
          <w:rFonts w:ascii="Book Antiqua" w:hAnsi="Book Antiqua" w:cs="宋体"/>
          <w:b/>
          <w:bCs/>
          <w:lang w:val="en-US" w:eastAsia="zh-CN"/>
        </w:rPr>
        <w:t>Staun</w:t>
      </w:r>
      <w:proofErr w:type="spellEnd"/>
      <w:r w:rsidRPr="00957C03">
        <w:rPr>
          <w:rFonts w:ascii="Book Antiqua" w:hAnsi="Book Antiqua" w:cs="宋体"/>
          <w:b/>
          <w:bCs/>
          <w:lang w:val="en-US" w:eastAsia="zh-CN"/>
        </w:rPr>
        <w:t xml:space="preserve"> 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Pironi</w:t>
      </w:r>
      <w:proofErr w:type="spellEnd"/>
      <w:r w:rsidRPr="00957C03">
        <w:rPr>
          <w:rFonts w:ascii="Book Antiqua" w:hAnsi="Book Antiqua" w:cs="宋体"/>
          <w:lang w:val="en-US" w:eastAsia="zh-CN"/>
        </w:rPr>
        <w:t xml:space="preserve"> L, </w:t>
      </w:r>
      <w:proofErr w:type="spellStart"/>
      <w:r w:rsidRPr="00957C03">
        <w:rPr>
          <w:rFonts w:ascii="Book Antiqua" w:hAnsi="Book Antiqua" w:cs="宋体"/>
          <w:lang w:val="en-US" w:eastAsia="zh-CN"/>
        </w:rPr>
        <w:t>Bozzetti</w:t>
      </w:r>
      <w:proofErr w:type="spellEnd"/>
      <w:r w:rsidRPr="00957C03">
        <w:rPr>
          <w:rFonts w:ascii="Book Antiqua" w:hAnsi="Book Antiqua" w:cs="宋体"/>
          <w:lang w:val="en-US" w:eastAsia="zh-CN"/>
        </w:rPr>
        <w:t xml:space="preserve"> F, Baxter J, Forbes A, </w:t>
      </w:r>
      <w:proofErr w:type="spellStart"/>
      <w:r w:rsidRPr="00957C03">
        <w:rPr>
          <w:rFonts w:ascii="Book Antiqua" w:hAnsi="Book Antiqua" w:cs="宋体"/>
          <w:lang w:val="en-US" w:eastAsia="zh-CN"/>
        </w:rPr>
        <w:t>Joly</w:t>
      </w:r>
      <w:proofErr w:type="spellEnd"/>
      <w:r w:rsidRPr="00957C03">
        <w:rPr>
          <w:rFonts w:ascii="Book Antiqua" w:hAnsi="Book Antiqua" w:cs="宋体"/>
          <w:lang w:val="en-US" w:eastAsia="zh-CN"/>
        </w:rPr>
        <w:t xml:space="preserve"> F, </w:t>
      </w:r>
      <w:proofErr w:type="spellStart"/>
      <w:r w:rsidRPr="00957C03">
        <w:rPr>
          <w:rFonts w:ascii="Book Antiqua" w:hAnsi="Book Antiqua" w:cs="宋体"/>
          <w:lang w:val="en-US" w:eastAsia="zh-CN"/>
        </w:rPr>
        <w:t>Jeppesen</w:t>
      </w:r>
      <w:proofErr w:type="spellEnd"/>
      <w:r w:rsidRPr="00957C03">
        <w:rPr>
          <w:rFonts w:ascii="Book Antiqua" w:hAnsi="Book Antiqua" w:cs="宋体"/>
          <w:lang w:val="en-US" w:eastAsia="zh-CN"/>
        </w:rPr>
        <w:t xml:space="preserve"> P, Moreno J, </w:t>
      </w:r>
      <w:proofErr w:type="spellStart"/>
      <w:r w:rsidRPr="00957C03">
        <w:rPr>
          <w:rFonts w:ascii="Book Antiqua" w:hAnsi="Book Antiqua" w:cs="宋体"/>
          <w:lang w:val="en-US" w:eastAsia="zh-CN"/>
        </w:rPr>
        <w:t>Hébuterne</w:t>
      </w:r>
      <w:proofErr w:type="spellEnd"/>
      <w:r w:rsidRPr="00957C03">
        <w:rPr>
          <w:rFonts w:ascii="Book Antiqua" w:hAnsi="Book Antiqua" w:cs="宋体"/>
          <w:lang w:val="en-US" w:eastAsia="zh-CN"/>
        </w:rPr>
        <w:t xml:space="preserve"> X, </w:t>
      </w:r>
      <w:proofErr w:type="spellStart"/>
      <w:r w:rsidRPr="00957C03">
        <w:rPr>
          <w:rFonts w:ascii="Book Antiqua" w:hAnsi="Book Antiqua" w:cs="宋体"/>
          <w:lang w:val="en-US" w:eastAsia="zh-CN"/>
        </w:rPr>
        <w:t>Pertkiewicz</w:t>
      </w:r>
      <w:proofErr w:type="spellEnd"/>
      <w:r w:rsidRPr="00957C03">
        <w:rPr>
          <w:rFonts w:ascii="Book Antiqua" w:hAnsi="Book Antiqua" w:cs="宋体"/>
          <w:lang w:val="en-US" w:eastAsia="zh-CN"/>
        </w:rPr>
        <w:t xml:space="preserve"> M, </w:t>
      </w:r>
      <w:proofErr w:type="spellStart"/>
      <w:r w:rsidRPr="00957C03">
        <w:rPr>
          <w:rFonts w:ascii="Book Antiqua" w:hAnsi="Book Antiqua" w:cs="宋体"/>
          <w:lang w:val="en-US" w:eastAsia="zh-CN"/>
        </w:rPr>
        <w:t>Mühlebach</w:t>
      </w:r>
      <w:proofErr w:type="spellEnd"/>
      <w:r w:rsidRPr="00957C03">
        <w:rPr>
          <w:rFonts w:ascii="Book Antiqua" w:hAnsi="Book Antiqua" w:cs="宋体"/>
          <w:lang w:val="en-US" w:eastAsia="zh-CN"/>
        </w:rPr>
        <w:t xml:space="preserve"> S, </w:t>
      </w:r>
      <w:proofErr w:type="spellStart"/>
      <w:r w:rsidRPr="00957C03">
        <w:rPr>
          <w:rFonts w:ascii="Book Antiqua" w:hAnsi="Book Antiqua" w:cs="宋体"/>
          <w:lang w:val="en-US" w:eastAsia="zh-CN"/>
        </w:rPr>
        <w:t>Shenkin</w:t>
      </w:r>
      <w:proofErr w:type="spellEnd"/>
      <w:r w:rsidRPr="00957C03">
        <w:rPr>
          <w:rFonts w:ascii="Book Antiqua" w:hAnsi="Book Antiqua" w:cs="宋体"/>
          <w:lang w:val="en-US" w:eastAsia="zh-CN"/>
        </w:rPr>
        <w:t xml:space="preserve"> A, Van </w:t>
      </w:r>
      <w:proofErr w:type="spellStart"/>
      <w:r w:rsidRPr="00957C03">
        <w:rPr>
          <w:rFonts w:ascii="Book Antiqua" w:hAnsi="Book Antiqua" w:cs="宋体"/>
          <w:lang w:val="en-US" w:eastAsia="zh-CN"/>
        </w:rPr>
        <w:t>Gossum</w:t>
      </w:r>
      <w:proofErr w:type="spellEnd"/>
      <w:r w:rsidRPr="00957C03">
        <w:rPr>
          <w:rFonts w:ascii="Book Antiqua" w:hAnsi="Book Antiqua" w:cs="宋体"/>
          <w:lang w:val="en-US" w:eastAsia="zh-CN"/>
        </w:rPr>
        <w:t xml:space="preserve"> A. ESPEN Guidelines on Parenteral Nutrition: home parenteral nutrition (HPN) in adult patients. </w:t>
      </w:r>
      <w:proofErr w:type="spellStart"/>
      <w:r w:rsidRPr="00957C03">
        <w:rPr>
          <w:rFonts w:ascii="Book Antiqua" w:hAnsi="Book Antiqua" w:cs="宋体"/>
          <w:i/>
          <w:iCs/>
          <w:lang w:val="en-US" w:eastAsia="zh-CN"/>
        </w:rPr>
        <w:t>Clin</w:t>
      </w:r>
      <w:proofErr w:type="spellEnd"/>
      <w:r w:rsidRPr="00957C03">
        <w:rPr>
          <w:rFonts w:ascii="Book Antiqua" w:hAnsi="Book Antiqua" w:cs="宋体"/>
          <w:i/>
          <w:iCs/>
          <w:lang w:val="en-US" w:eastAsia="zh-CN"/>
        </w:rPr>
        <w:t xml:space="preserve"> </w:t>
      </w:r>
      <w:proofErr w:type="spellStart"/>
      <w:r w:rsidRPr="00957C03">
        <w:rPr>
          <w:rFonts w:ascii="Book Antiqua" w:hAnsi="Book Antiqua" w:cs="宋体"/>
          <w:i/>
          <w:iCs/>
          <w:lang w:val="en-US" w:eastAsia="zh-CN"/>
        </w:rPr>
        <w:t>Nutr</w:t>
      </w:r>
      <w:proofErr w:type="spellEnd"/>
      <w:r w:rsidRPr="00957C03">
        <w:rPr>
          <w:rFonts w:ascii="Book Antiqua" w:hAnsi="Book Antiqua" w:cs="宋体"/>
          <w:lang w:val="en-US" w:eastAsia="zh-CN"/>
        </w:rPr>
        <w:t xml:space="preserve"> 2009; </w:t>
      </w:r>
      <w:r w:rsidRPr="00957C03">
        <w:rPr>
          <w:rFonts w:ascii="Book Antiqua" w:hAnsi="Book Antiqua" w:cs="宋体"/>
          <w:b/>
          <w:bCs/>
          <w:lang w:val="en-US" w:eastAsia="zh-CN"/>
        </w:rPr>
        <w:t>28</w:t>
      </w:r>
      <w:r w:rsidRPr="00957C03">
        <w:rPr>
          <w:rFonts w:ascii="Book Antiqua" w:hAnsi="Book Antiqua" w:cs="宋体"/>
          <w:lang w:val="en-US" w:eastAsia="zh-CN"/>
        </w:rPr>
        <w:t>: 467-479 [PMID: 19464089 DOI: 10.1016/j.clnu.2009.04.001]</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93 </w:t>
      </w:r>
      <w:r w:rsidRPr="00957C03">
        <w:rPr>
          <w:rFonts w:ascii="Book Antiqua" w:hAnsi="Book Antiqua" w:cs="宋体"/>
          <w:b/>
          <w:bCs/>
          <w:lang w:val="en-US" w:eastAsia="zh-CN"/>
        </w:rPr>
        <w:t>Abu-</w:t>
      </w:r>
      <w:proofErr w:type="spellStart"/>
      <w:r w:rsidRPr="00957C03">
        <w:rPr>
          <w:rFonts w:ascii="Book Antiqua" w:hAnsi="Book Antiqua" w:cs="宋体"/>
          <w:b/>
          <w:bCs/>
          <w:lang w:val="en-US" w:eastAsia="zh-CN"/>
        </w:rPr>
        <w:t>Elmagd</w:t>
      </w:r>
      <w:proofErr w:type="spellEnd"/>
      <w:r w:rsidRPr="00957C03">
        <w:rPr>
          <w:rFonts w:ascii="Book Antiqua" w:hAnsi="Book Antiqua" w:cs="宋体"/>
          <w:b/>
          <w:bCs/>
          <w:lang w:val="en-US" w:eastAsia="zh-CN"/>
        </w:rPr>
        <w:t xml:space="preserve"> KM</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Mazariegos</w:t>
      </w:r>
      <w:proofErr w:type="spellEnd"/>
      <w:r w:rsidRPr="00957C03">
        <w:rPr>
          <w:rFonts w:ascii="Book Antiqua" w:hAnsi="Book Antiqua" w:cs="宋体"/>
          <w:lang w:val="en-US" w:eastAsia="zh-CN"/>
        </w:rPr>
        <w:t xml:space="preserve"> G. Intestinal transplantation and the European implication: impact of experience and study design. </w:t>
      </w:r>
      <w:r w:rsidRPr="00957C03">
        <w:rPr>
          <w:rFonts w:ascii="Book Antiqua" w:hAnsi="Book Antiqua" w:cs="宋体"/>
          <w:i/>
          <w:iCs/>
          <w:lang w:val="en-US" w:eastAsia="zh-CN"/>
        </w:rPr>
        <w:t>Gut</w:t>
      </w:r>
      <w:r w:rsidRPr="00957C03">
        <w:rPr>
          <w:rFonts w:ascii="Book Antiqua" w:hAnsi="Book Antiqua" w:cs="宋体"/>
          <w:lang w:val="en-US" w:eastAsia="zh-CN"/>
        </w:rPr>
        <w:t xml:space="preserve"> 2012; </w:t>
      </w:r>
      <w:r w:rsidRPr="00957C03">
        <w:rPr>
          <w:rFonts w:ascii="Book Antiqua" w:hAnsi="Book Antiqua" w:cs="宋体"/>
          <w:b/>
          <w:bCs/>
          <w:lang w:val="en-US" w:eastAsia="zh-CN"/>
        </w:rPr>
        <w:t>61</w:t>
      </w:r>
      <w:r w:rsidRPr="00957C03">
        <w:rPr>
          <w:rFonts w:ascii="Book Antiqua" w:hAnsi="Book Antiqua" w:cs="宋体"/>
          <w:lang w:val="en-US" w:eastAsia="zh-CN"/>
        </w:rPr>
        <w:t>: 166; author reply 167 [PMID: 21317178 DOI: 10.1136/gut.2011.237586]</w:t>
      </w:r>
    </w:p>
    <w:p w:rsidR="0043020A" w:rsidRPr="00957C03" w:rsidRDefault="0043020A" w:rsidP="00957C03">
      <w:pPr>
        <w:rPr>
          <w:rFonts w:ascii="Book Antiqua" w:hAnsi="Book Antiqua" w:cs="宋体"/>
          <w:lang w:val="en-US" w:eastAsia="zh-CN"/>
        </w:rPr>
      </w:pPr>
      <w:r w:rsidRPr="00957C03">
        <w:rPr>
          <w:rFonts w:ascii="Book Antiqua" w:hAnsi="Book Antiqua" w:cs="宋体"/>
          <w:lang w:val="en-US" w:eastAsia="zh-CN"/>
        </w:rPr>
        <w:t xml:space="preserve">94 </w:t>
      </w:r>
      <w:r w:rsidRPr="00957C03">
        <w:rPr>
          <w:rFonts w:ascii="Book Antiqua" w:hAnsi="Book Antiqua" w:cs="宋体"/>
          <w:b/>
          <w:bCs/>
          <w:lang w:val="en-US" w:eastAsia="zh-CN"/>
        </w:rPr>
        <w:t>Buchman AL</w:t>
      </w:r>
      <w:r w:rsidRPr="00957C03">
        <w:rPr>
          <w:rFonts w:ascii="Book Antiqua" w:hAnsi="Book Antiqua" w:cs="宋体"/>
          <w:lang w:val="en-US" w:eastAsia="zh-CN"/>
        </w:rPr>
        <w:t xml:space="preserve">, </w:t>
      </w:r>
      <w:proofErr w:type="spellStart"/>
      <w:r w:rsidRPr="00957C03">
        <w:rPr>
          <w:rFonts w:ascii="Book Antiqua" w:hAnsi="Book Antiqua" w:cs="宋体"/>
          <w:lang w:val="en-US" w:eastAsia="zh-CN"/>
        </w:rPr>
        <w:t>Scolapio</w:t>
      </w:r>
      <w:proofErr w:type="spellEnd"/>
      <w:r w:rsidRPr="00957C03">
        <w:rPr>
          <w:rFonts w:ascii="Book Antiqua" w:hAnsi="Book Antiqua" w:cs="宋体"/>
          <w:lang w:val="en-US" w:eastAsia="zh-CN"/>
        </w:rPr>
        <w:t xml:space="preserve"> J, Fryer J. AGA technical review on short bowel syndrome and intestinal transplantation. </w:t>
      </w:r>
      <w:r w:rsidRPr="00957C03">
        <w:rPr>
          <w:rFonts w:ascii="Book Antiqua" w:hAnsi="Book Antiqua" w:cs="宋体"/>
          <w:i/>
          <w:iCs/>
          <w:lang w:val="en-US" w:eastAsia="zh-CN"/>
        </w:rPr>
        <w:t>Gastroenterology</w:t>
      </w:r>
      <w:r w:rsidRPr="00957C03">
        <w:rPr>
          <w:rFonts w:ascii="Book Antiqua" w:hAnsi="Book Antiqua" w:cs="宋体"/>
          <w:lang w:val="en-US" w:eastAsia="zh-CN"/>
        </w:rPr>
        <w:t xml:space="preserve"> 2003; </w:t>
      </w:r>
      <w:r w:rsidRPr="00957C03">
        <w:rPr>
          <w:rFonts w:ascii="Book Antiqua" w:hAnsi="Book Antiqua" w:cs="宋体"/>
          <w:b/>
          <w:bCs/>
          <w:lang w:val="en-US" w:eastAsia="zh-CN"/>
        </w:rPr>
        <w:t>124</w:t>
      </w:r>
      <w:r w:rsidRPr="00957C03">
        <w:rPr>
          <w:rFonts w:ascii="Book Antiqua" w:hAnsi="Book Antiqua" w:cs="宋体"/>
          <w:lang w:val="en-US" w:eastAsia="zh-CN"/>
        </w:rPr>
        <w:t>: 1111-1134 [PMID: 12671904 DOI: 10.1053/gast.2003.50139a]</w:t>
      </w:r>
    </w:p>
    <w:p w:rsidR="0043020A" w:rsidRDefault="0043020A" w:rsidP="009A7B7E">
      <w:pPr>
        <w:snapToGrid w:val="0"/>
        <w:spacing w:line="360" w:lineRule="auto"/>
        <w:jc w:val="both"/>
        <w:rPr>
          <w:rFonts w:ascii="Book Antiqua" w:hAnsi="Book Antiqua" w:cs="Tahoma"/>
          <w:b/>
          <w:lang w:eastAsia="zh-CN"/>
        </w:rPr>
      </w:pPr>
    </w:p>
    <w:p w:rsidR="0043020A" w:rsidRDefault="0043020A" w:rsidP="0057674B">
      <w:pPr>
        <w:tabs>
          <w:tab w:val="left" w:pos="180"/>
          <w:tab w:val="left" w:pos="360"/>
        </w:tabs>
        <w:adjustRightInd w:val="0"/>
        <w:snapToGrid w:val="0"/>
        <w:spacing w:line="360" w:lineRule="auto"/>
        <w:jc w:val="right"/>
        <w:rPr>
          <w:rFonts w:ascii="Book Antiqua" w:hAnsi="Book Antiqua" w:cs="Tahoma"/>
          <w:b/>
          <w:color w:val="000000"/>
          <w:lang w:eastAsia="zh-CN"/>
        </w:rPr>
      </w:pPr>
      <w:bookmarkStart w:id="288" w:name="OLE_LINK874"/>
      <w:bookmarkStart w:id="289" w:name="OLE_LINK875"/>
      <w:bookmarkStart w:id="290" w:name="OLE_LINK347"/>
      <w:bookmarkStart w:id="291" w:name="OLE_LINK384"/>
      <w:bookmarkStart w:id="292" w:name="OLE_LINK557"/>
      <w:bookmarkStart w:id="293" w:name="OLE_LINK558"/>
      <w:bookmarkStart w:id="294" w:name="OLE_LINK631"/>
      <w:bookmarkStart w:id="295" w:name="OLE_LINK632"/>
      <w:bookmarkStart w:id="296" w:name="OLE_LINK386"/>
      <w:bookmarkStart w:id="297" w:name="OLE_LINK431"/>
      <w:bookmarkStart w:id="298" w:name="OLE_LINK564"/>
      <w:bookmarkStart w:id="299" w:name="OLE_LINK493"/>
      <w:bookmarkStart w:id="300" w:name="OLE_LINK442"/>
      <w:bookmarkStart w:id="301" w:name="OLE_LINK551"/>
      <w:bookmarkStart w:id="302" w:name="OLE_LINK668"/>
      <w:bookmarkStart w:id="303" w:name="OLE_LINK669"/>
      <w:bookmarkStart w:id="304" w:name="OLE_LINK725"/>
      <w:bookmarkStart w:id="305" w:name="OLE_LINK489"/>
      <w:bookmarkStart w:id="306" w:name="OLE_LINK602"/>
      <w:bookmarkStart w:id="307" w:name="OLE_LINK658"/>
      <w:bookmarkStart w:id="308" w:name="OLE_LINK747"/>
      <w:bookmarkStart w:id="309" w:name="OLE_LINK897"/>
      <w:bookmarkStart w:id="310" w:name="OLE_LINK1138"/>
      <w:bookmarkStart w:id="311" w:name="OLE_LINK1139"/>
      <w:bookmarkStart w:id="312" w:name="OLE_LINK882"/>
      <w:bookmarkStart w:id="313" w:name="OLE_LINK1095"/>
      <w:bookmarkStart w:id="314" w:name="OLE_LINK1305"/>
      <w:bookmarkStart w:id="315" w:name="OLE_LINK1390"/>
      <w:bookmarkStart w:id="316" w:name="OLE_LINK964"/>
      <w:bookmarkStart w:id="317" w:name="OLE_LINK1190"/>
      <w:bookmarkStart w:id="318" w:name="OLE_LINK1314"/>
      <w:bookmarkStart w:id="319" w:name="OLE_LINK1031"/>
      <w:bookmarkStart w:id="320" w:name="OLE_LINK1092"/>
      <w:bookmarkStart w:id="321" w:name="OLE_LINK1258"/>
      <w:bookmarkStart w:id="322" w:name="OLE_LINK1259"/>
      <w:bookmarkStart w:id="323" w:name="OLE_LINK1337"/>
      <w:bookmarkStart w:id="324" w:name="OLE_LINK1338"/>
      <w:bookmarkStart w:id="325" w:name="OLE_LINK1363"/>
      <w:bookmarkStart w:id="326" w:name="OLE_LINK1364"/>
      <w:bookmarkStart w:id="327" w:name="OLE_LINK86"/>
      <w:bookmarkStart w:id="328" w:name="OLE_LINK1595"/>
      <w:bookmarkStart w:id="329" w:name="OLE_LINK1613"/>
      <w:bookmarkStart w:id="330" w:name="OLE_LINK1708"/>
      <w:bookmarkStart w:id="331" w:name="OLE_LINK1774"/>
      <w:bookmarkStart w:id="332" w:name="OLE_LINK1872"/>
      <w:bookmarkStart w:id="333" w:name="OLE_LINK1899"/>
      <w:bookmarkStart w:id="334" w:name="OLE_LINK1492"/>
      <w:bookmarkStart w:id="335" w:name="OLE_LINK1497"/>
      <w:bookmarkStart w:id="336" w:name="OLE_LINK1498"/>
      <w:bookmarkStart w:id="337" w:name="OLE_LINK1589"/>
      <w:bookmarkStart w:id="338" w:name="OLE_LINK1666"/>
      <w:bookmarkStart w:id="339" w:name="OLE_LINK1752"/>
      <w:bookmarkStart w:id="340" w:name="OLE_LINK1616"/>
      <w:bookmarkStart w:id="341" w:name="OLE_LINK1696"/>
      <w:bookmarkStart w:id="342" w:name="OLE_LINK1855"/>
      <w:bookmarkStart w:id="343" w:name="OLE_LINK1942"/>
      <w:bookmarkStart w:id="344" w:name="OLE_LINK1943"/>
      <w:bookmarkStart w:id="345" w:name="OLE_LINK1573"/>
      <w:bookmarkStart w:id="346" w:name="OLE_LINK1574"/>
      <w:bookmarkStart w:id="347" w:name="OLE_LINK1575"/>
      <w:bookmarkStart w:id="348" w:name="OLE_LINK1739"/>
      <w:bookmarkStart w:id="349" w:name="OLE_LINK1761"/>
      <w:bookmarkStart w:id="350" w:name="OLE_LINK1743"/>
      <w:bookmarkStart w:id="351" w:name="OLE_LINK1841"/>
      <w:bookmarkStart w:id="352" w:name="OLE_LINK1858"/>
      <w:bookmarkStart w:id="353" w:name="OLE_LINK1890"/>
      <w:bookmarkStart w:id="354" w:name="OLE_LINK1915"/>
      <w:bookmarkStart w:id="355" w:name="OLE_LINK1980"/>
      <w:bookmarkStart w:id="356" w:name="OLE_LINK1883"/>
      <w:bookmarkStart w:id="357" w:name="OLE_LINK1935"/>
      <w:bookmarkStart w:id="358" w:name="OLE_LINK1936"/>
      <w:bookmarkStart w:id="359" w:name="OLE_LINK1952"/>
      <w:bookmarkStart w:id="360" w:name="OLE_LINK1953"/>
      <w:bookmarkStart w:id="361" w:name="OLE_LINK1999"/>
      <w:bookmarkStart w:id="362" w:name="OLE_LINK2050"/>
      <w:bookmarkStart w:id="363" w:name="OLE_LINK1862"/>
      <w:bookmarkStart w:id="364" w:name="OLE_LINK1963"/>
      <w:bookmarkStart w:id="365" w:name="OLE_LINK2052"/>
      <w:bookmarkStart w:id="366" w:name="OLE_LINK1906"/>
      <w:bookmarkStart w:id="367" w:name="OLE_LINK2031"/>
      <w:bookmarkStart w:id="368" w:name="OLE_LINK2032"/>
      <w:bookmarkStart w:id="369" w:name="OLE_LINK1907"/>
      <w:bookmarkStart w:id="370" w:name="OLE_LINK2004"/>
      <w:bookmarkStart w:id="371" w:name="OLE_LINK2238"/>
      <w:bookmarkStart w:id="372" w:name="OLE_LINK2239"/>
      <w:bookmarkStart w:id="373" w:name="OLE_LINK2163"/>
      <w:bookmarkStart w:id="374" w:name="OLE_LINK2207"/>
      <w:bookmarkStart w:id="375" w:name="OLE_LINK2341"/>
      <w:bookmarkStart w:id="376" w:name="OLE_LINK2417"/>
      <w:bookmarkStart w:id="377" w:name="OLE_LINK2509"/>
      <w:bookmarkStart w:id="378" w:name="OLE_LINK2510"/>
      <w:bookmarkStart w:id="379" w:name="OLE_LINK2511"/>
      <w:bookmarkStart w:id="380" w:name="OLE_LINK2512"/>
      <w:bookmarkStart w:id="381" w:name="OLE_LINK2513"/>
      <w:bookmarkStart w:id="382" w:name="OLE_LINK2514"/>
      <w:bookmarkStart w:id="383" w:name="OLE_LINK2515"/>
      <w:bookmarkStart w:id="384" w:name="OLE_LINK2516"/>
      <w:bookmarkStart w:id="385" w:name="OLE_LINK2517"/>
      <w:bookmarkStart w:id="386" w:name="OLE_LINK2518"/>
      <w:bookmarkStart w:id="387" w:name="OLE_LINK2519"/>
      <w:bookmarkStart w:id="388" w:name="OLE_LINK2520"/>
      <w:bookmarkStart w:id="389" w:name="OLE_LINK2521"/>
      <w:bookmarkStart w:id="390" w:name="OLE_LINK2522"/>
      <w:bookmarkStart w:id="391" w:name="OLE_LINK2523"/>
      <w:bookmarkStart w:id="392" w:name="OLE_LINK2524"/>
      <w:bookmarkStart w:id="393" w:name="OLE_LINK2051"/>
      <w:bookmarkStart w:id="394" w:name="OLE_LINK2109"/>
      <w:bookmarkStart w:id="395" w:name="OLE_LINK2165"/>
      <w:bookmarkStart w:id="396" w:name="OLE_LINK2385"/>
      <w:bookmarkStart w:id="397" w:name="OLE_LINK2593"/>
      <w:bookmarkStart w:id="398" w:name="OLE_LINK2332"/>
      <w:bookmarkStart w:id="399" w:name="OLE_LINK2448"/>
      <w:bookmarkStart w:id="400" w:name="OLE_LINK2525"/>
      <w:bookmarkStart w:id="401" w:name="OLE_LINK2506"/>
      <w:bookmarkStart w:id="402" w:name="OLE_LINK2507"/>
      <w:bookmarkStart w:id="403" w:name="OLE_LINK2291"/>
      <w:bookmarkStart w:id="404" w:name="OLE_LINK2294"/>
      <w:bookmarkStart w:id="405" w:name="OLE_LINK2298"/>
      <w:bookmarkStart w:id="406" w:name="OLE_LINK2300"/>
      <w:bookmarkStart w:id="407" w:name="OLE_LINK2301"/>
      <w:bookmarkStart w:id="408" w:name="OLE_LINK2546"/>
      <w:bookmarkStart w:id="409" w:name="OLE_LINK2756"/>
      <w:bookmarkStart w:id="410" w:name="OLE_LINK2757"/>
      <w:bookmarkStart w:id="411" w:name="OLE_LINK2736"/>
      <w:bookmarkStart w:id="412" w:name="OLE_LINK2923"/>
      <w:bookmarkStart w:id="413" w:name="OLE_LINK2974"/>
      <w:bookmarkStart w:id="414" w:name="OLE_LINK3125"/>
      <w:bookmarkStart w:id="415" w:name="OLE_LINK3218"/>
      <w:bookmarkStart w:id="416" w:name="OLE_LINK2575"/>
      <w:bookmarkStart w:id="417" w:name="OLE_LINK2687"/>
      <w:bookmarkStart w:id="418" w:name="OLE_LINK2688"/>
      <w:bookmarkStart w:id="419" w:name="OLE_LINK2700"/>
      <w:bookmarkStart w:id="420" w:name="OLE_LINK2576"/>
      <w:bookmarkStart w:id="421" w:name="OLE_LINK2674"/>
      <w:bookmarkStart w:id="422" w:name="OLE_LINK2738"/>
      <w:bookmarkStart w:id="423" w:name="OLE_LINK2983"/>
      <w:bookmarkStart w:id="424" w:name="OLE_LINK76"/>
      <w:bookmarkStart w:id="425" w:name="OLE_LINK115"/>
      <w:bookmarkStart w:id="426" w:name="OLE_LINK155"/>
      <w:r w:rsidRPr="00C56046">
        <w:rPr>
          <w:rFonts w:ascii="Book Antiqua" w:hAnsi="Book Antiqua" w:cs="Tahoma"/>
          <w:b/>
          <w:color w:val="000000"/>
        </w:rPr>
        <w:t>P-Reviewer</w:t>
      </w:r>
      <w:r>
        <w:rPr>
          <w:rFonts w:ascii="Book Antiqua" w:eastAsia="Times New Roman" w:hAnsi="Book Antiqua" w:cs="Tahoma"/>
          <w:b/>
          <w:color w:val="000000"/>
        </w:rPr>
        <w:t>s:</w:t>
      </w:r>
      <w:r w:rsidRPr="00C56046">
        <w:rPr>
          <w:rFonts w:ascii="Book Antiqua" w:hAnsi="Book Antiqua" w:cs="Tahoma"/>
          <w:b/>
          <w:color w:val="000000"/>
        </w:rPr>
        <w:t xml:space="preserve"> </w:t>
      </w:r>
      <w:r w:rsidRPr="00E22BB0">
        <w:rPr>
          <w:rFonts w:ascii="Book Antiqua" w:hAnsi="Book Antiqua" w:cs="Tahoma"/>
          <w:color w:val="000000"/>
        </w:rPr>
        <w:t xml:space="preserve">Araki J, </w:t>
      </w:r>
      <w:proofErr w:type="spellStart"/>
      <w:r w:rsidRPr="00E22BB0">
        <w:rPr>
          <w:rFonts w:ascii="Book Antiqua" w:hAnsi="Book Antiqua" w:cs="Tahoma"/>
          <w:color w:val="000000"/>
        </w:rPr>
        <w:t>Cheon</w:t>
      </w:r>
      <w:proofErr w:type="spellEnd"/>
      <w:r w:rsidRPr="00E22BB0">
        <w:rPr>
          <w:rFonts w:ascii="Book Antiqua" w:hAnsi="Book Antiqua" w:cs="Tahoma"/>
          <w:color w:val="000000"/>
        </w:rPr>
        <w:t xml:space="preserve"> JH, </w:t>
      </w:r>
      <w:proofErr w:type="spellStart"/>
      <w:r w:rsidRPr="00E22BB0">
        <w:rPr>
          <w:rFonts w:ascii="Book Antiqua" w:hAnsi="Book Antiqua" w:cs="Tahoma"/>
          <w:color w:val="000000"/>
        </w:rPr>
        <w:t>Capasso</w:t>
      </w:r>
      <w:proofErr w:type="spellEnd"/>
      <w:r w:rsidRPr="00E22BB0">
        <w:rPr>
          <w:rFonts w:ascii="Book Antiqua" w:hAnsi="Book Antiqua" w:cs="Tahoma"/>
          <w:color w:val="000000"/>
        </w:rPr>
        <w:t xml:space="preserve"> R, </w:t>
      </w:r>
      <w:proofErr w:type="spellStart"/>
      <w:proofErr w:type="gramStart"/>
      <w:r w:rsidRPr="00E22BB0">
        <w:rPr>
          <w:rFonts w:ascii="Book Antiqua" w:hAnsi="Book Antiqua" w:cs="Tahoma"/>
          <w:color w:val="000000"/>
        </w:rPr>
        <w:t>Tandon</w:t>
      </w:r>
      <w:proofErr w:type="spellEnd"/>
      <w:proofErr w:type="gramEnd"/>
      <w:r w:rsidRPr="00E22BB0">
        <w:rPr>
          <w:rFonts w:ascii="Book Antiqua" w:hAnsi="Book Antiqua" w:cs="Tahoma"/>
          <w:color w:val="000000"/>
        </w:rPr>
        <w:t xml:space="preserve"> RK</w:t>
      </w:r>
      <w:r w:rsidRPr="00E22BB0">
        <w:rPr>
          <w:rFonts w:ascii="Book Antiqua" w:hAnsi="Book Antiqua" w:cs="Tahoma"/>
          <w:b/>
          <w:color w:val="000000"/>
        </w:rPr>
        <w:t xml:space="preserve"> </w:t>
      </w:r>
      <w:r w:rsidRPr="00C56046">
        <w:rPr>
          <w:rFonts w:ascii="Book Antiqua" w:hAnsi="Book Antiqua" w:cs="Tahoma"/>
          <w:b/>
          <w:color w:val="000000"/>
        </w:rPr>
        <w:t>S-Editor</w:t>
      </w:r>
      <w:r>
        <w:rPr>
          <w:rFonts w:ascii="Book Antiqua" w:eastAsia="Times New Roman"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w:t>
      </w:r>
    </w:p>
    <w:p w:rsidR="0043020A" w:rsidRPr="00C56046" w:rsidRDefault="0043020A" w:rsidP="0057674B">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w:t>
      </w:r>
      <w:r>
        <w:rPr>
          <w:rFonts w:ascii="Book Antiqua" w:eastAsia="Times New Roman" w:hAnsi="Book Antiqua" w:cs="Tahoma"/>
          <w:b/>
          <w:color w:val="000000"/>
        </w:rPr>
        <w:t>:</w:t>
      </w:r>
      <w:r w:rsidRPr="00C56046">
        <w:rPr>
          <w:rFonts w:ascii="Book Antiqua" w:hAnsi="Book Antiqua" w:cs="Tahoma"/>
          <w:b/>
          <w:color w:val="000000"/>
        </w:rPr>
        <w:t xml:space="preserve">    E-Edito</w:t>
      </w:r>
      <w:bookmarkEnd w:id="288"/>
      <w:bookmarkEnd w:id="289"/>
      <w:r w:rsidRPr="00C56046">
        <w:rPr>
          <w:rFonts w:ascii="Book Antiqua" w:hAnsi="Book Antiqua" w:cs="Tahoma"/>
          <w:b/>
          <w:color w:val="000000"/>
        </w:rPr>
        <w:t>r</w:t>
      </w:r>
      <w:r>
        <w:rPr>
          <w:rFonts w:ascii="Book Antiqua" w:eastAsia="Times New Roman" w:hAnsi="Book Antiqua" w:cs="Tahoma"/>
          <w:b/>
          <w:color w:val="000000"/>
        </w:rPr>
        <w:t>:</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rsidR="0043020A" w:rsidRPr="00957C03" w:rsidRDefault="0043020A" w:rsidP="009A7B7E">
      <w:pPr>
        <w:snapToGrid w:val="0"/>
        <w:spacing w:line="360" w:lineRule="auto"/>
        <w:jc w:val="both"/>
        <w:rPr>
          <w:rFonts w:ascii="Book Antiqua" w:hAnsi="Book Antiqua" w:cs="Tahoma"/>
          <w:b/>
          <w:lang w:eastAsia="zh-CN"/>
        </w:rPr>
      </w:pPr>
    </w:p>
    <w:p w:rsidR="0043020A" w:rsidRPr="00957C03" w:rsidRDefault="0043020A" w:rsidP="009A7B7E">
      <w:pPr>
        <w:snapToGrid w:val="0"/>
        <w:spacing w:line="360" w:lineRule="auto"/>
        <w:jc w:val="both"/>
        <w:rPr>
          <w:rFonts w:ascii="Book Antiqua" w:hAnsi="Book Antiqua" w:cs="Tahoma"/>
          <w:b/>
        </w:rPr>
      </w:pPr>
      <w:r w:rsidRPr="00957C03">
        <w:rPr>
          <w:rFonts w:ascii="Book Antiqua" w:hAnsi="Book Antiqua" w:cs="Tahoma"/>
          <w:b/>
        </w:rPr>
        <w:t xml:space="preserve">Table 1 Intestinal transplantation </w:t>
      </w:r>
      <w:proofErr w:type="gramStart"/>
      <w:r w:rsidRPr="00957C03">
        <w:rPr>
          <w:rFonts w:ascii="Book Antiqua" w:hAnsi="Book Antiqua" w:cs="Tahoma"/>
          <w:b/>
        </w:rPr>
        <w:t>indications</w:t>
      </w:r>
      <w:r w:rsidRPr="00957C03">
        <w:rPr>
          <w:rFonts w:ascii="Book Antiqua" w:hAnsi="Book Antiqua" w:cs="Tahoma"/>
          <w:b/>
          <w:noProof/>
          <w:vertAlign w:val="superscript"/>
        </w:rPr>
        <w:t>[</w:t>
      </w:r>
      <w:proofErr w:type="gramEnd"/>
      <w:r w:rsidRPr="00957C03">
        <w:rPr>
          <w:rFonts w:ascii="Book Antiqua" w:hAnsi="Book Antiqua" w:cs="Tahoma"/>
          <w:b/>
          <w:noProof/>
          <w:vertAlign w:val="superscript"/>
        </w:rPr>
        <w:t>53,57,92,94]</w:t>
      </w:r>
    </w:p>
    <w:tbl>
      <w:tblPr>
        <w:tblW w:w="0" w:type="auto"/>
        <w:tblBorders>
          <w:top w:val="single" w:sz="4" w:space="0" w:color="auto"/>
          <w:bottom w:val="single" w:sz="4" w:space="0" w:color="auto"/>
        </w:tblBorders>
        <w:tblLook w:val="00A0" w:firstRow="1" w:lastRow="0" w:firstColumn="1" w:lastColumn="0" w:noHBand="0" w:noVBand="0"/>
      </w:tblPr>
      <w:tblGrid>
        <w:gridCol w:w="4621"/>
        <w:gridCol w:w="4621"/>
      </w:tblGrid>
      <w:tr w:rsidR="0043020A" w:rsidRPr="00957C03" w:rsidTr="001B3B3B">
        <w:tc>
          <w:tcPr>
            <w:tcW w:w="4621" w:type="dxa"/>
            <w:tcBorders>
              <w:top w:val="single" w:sz="4" w:space="0" w:color="auto"/>
              <w:bottom w:val="single" w:sz="4" w:space="0" w:color="auto"/>
            </w:tcBorders>
          </w:tcPr>
          <w:p w:rsidR="0043020A" w:rsidRPr="00957C03" w:rsidRDefault="0043020A" w:rsidP="001B3B3B">
            <w:pPr>
              <w:snapToGrid w:val="0"/>
              <w:spacing w:line="360" w:lineRule="auto"/>
              <w:rPr>
                <w:rFonts w:ascii="Book Antiqua" w:hAnsi="Book Antiqua" w:cs="Tahoma"/>
                <w:b/>
              </w:rPr>
            </w:pPr>
            <w:r w:rsidRPr="00957C03">
              <w:rPr>
                <w:rFonts w:ascii="Book Antiqua" w:hAnsi="Book Antiqua" w:cs="Tahoma"/>
                <w:b/>
              </w:rPr>
              <w:t>North American</w:t>
            </w:r>
          </w:p>
        </w:tc>
        <w:tc>
          <w:tcPr>
            <w:tcW w:w="4621"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rPr>
            </w:pPr>
            <w:r w:rsidRPr="00957C03">
              <w:rPr>
                <w:rFonts w:ascii="Book Antiqua" w:hAnsi="Book Antiqua" w:cs="Tahoma"/>
                <w:b/>
              </w:rPr>
              <w:t>European</w:t>
            </w:r>
          </w:p>
        </w:tc>
      </w:tr>
      <w:tr w:rsidR="0043020A" w:rsidRPr="00957C03" w:rsidTr="001B3B3B">
        <w:trPr>
          <w:trHeight w:val="1266"/>
        </w:trPr>
        <w:tc>
          <w:tcPr>
            <w:tcW w:w="4621" w:type="dxa"/>
            <w:tcBorders>
              <w:top w:val="single" w:sz="4" w:space="0" w:color="auto"/>
              <w:bottom w:val="single" w:sz="4" w:space="0" w:color="auto"/>
            </w:tcBorders>
          </w:tcPr>
          <w:p w:rsidR="0043020A" w:rsidRPr="00957C03" w:rsidRDefault="0043020A" w:rsidP="001B3B3B">
            <w:pPr>
              <w:snapToGrid w:val="0"/>
              <w:spacing w:line="360" w:lineRule="auto"/>
              <w:rPr>
                <w:rFonts w:ascii="Book Antiqua" w:hAnsi="Book Antiqua" w:cs="Tahoma"/>
                <w:b/>
              </w:rPr>
            </w:pPr>
            <w:r w:rsidRPr="00957C03">
              <w:rPr>
                <w:rFonts w:ascii="Book Antiqua" w:hAnsi="Book Antiqua" w:cs="Tahoma"/>
                <w:b/>
              </w:rPr>
              <w:t>Indications</w:t>
            </w:r>
          </w:p>
          <w:p w:rsidR="0043020A" w:rsidRPr="00957C03" w:rsidRDefault="0043020A" w:rsidP="001B3B3B">
            <w:pPr>
              <w:snapToGrid w:val="0"/>
              <w:spacing w:line="360" w:lineRule="auto"/>
              <w:rPr>
                <w:rFonts w:ascii="Book Antiqua" w:hAnsi="Book Antiqua" w:cs="Tahoma"/>
              </w:rPr>
            </w:pPr>
            <w:r w:rsidRPr="00957C03">
              <w:rPr>
                <w:rFonts w:ascii="Book Antiqua" w:hAnsi="Book Antiqua" w:cs="Tahoma"/>
              </w:rPr>
              <w:t xml:space="preserve">Failure of </w:t>
            </w:r>
            <w:r w:rsidRPr="00957C03">
              <w:rPr>
                <w:rFonts w:ascii="Book Antiqua" w:hAnsi="Book Antiqua"/>
                <w:noProof/>
              </w:rPr>
              <w:t>home parenteral nutrition (HPN)</w:t>
            </w:r>
          </w:p>
          <w:p w:rsidR="0043020A" w:rsidRPr="00957C03" w:rsidRDefault="0043020A" w:rsidP="001B3B3B">
            <w:pPr>
              <w:snapToGrid w:val="0"/>
              <w:spacing w:line="360" w:lineRule="auto"/>
              <w:ind w:firstLine="142"/>
              <w:rPr>
                <w:rFonts w:ascii="Book Antiqua" w:hAnsi="Book Antiqua" w:cs="Tahoma"/>
              </w:rPr>
            </w:pPr>
            <w:r w:rsidRPr="00957C03">
              <w:rPr>
                <w:rFonts w:ascii="Book Antiqua" w:hAnsi="Book Antiqua" w:cs="Tahoma"/>
              </w:rPr>
              <w:t>Impending or overt liver failure</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Central venous thrombosis of ≥</w:t>
            </w:r>
            <w:r w:rsidRPr="00957C03">
              <w:rPr>
                <w:rFonts w:ascii="Book Antiqua" w:hAnsi="Book Antiqua" w:cs="Tahoma"/>
                <w:lang w:eastAsia="zh-CN"/>
              </w:rPr>
              <w:t xml:space="preserve"> </w:t>
            </w:r>
            <w:r w:rsidRPr="00957C03">
              <w:rPr>
                <w:rFonts w:ascii="Book Antiqua" w:hAnsi="Book Antiqua" w:cs="Tahoma"/>
              </w:rPr>
              <w:t>2 central veins</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Frequent and severe central venous catheter-related sepsis</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Frequent episodes of severe dehydration despite intravenous fluids in addition to HPN</w:t>
            </w:r>
          </w:p>
          <w:p w:rsidR="0043020A" w:rsidRPr="00957C03" w:rsidRDefault="0043020A" w:rsidP="001B3B3B">
            <w:pPr>
              <w:snapToGrid w:val="0"/>
              <w:spacing w:line="360" w:lineRule="auto"/>
              <w:rPr>
                <w:rFonts w:ascii="Book Antiqua" w:hAnsi="Book Antiqua" w:cs="Tahoma"/>
              </w:rPr>
            </w:pPr>
            <w:r w:rsidRPr="00957C03">
              <w:rPr>
                <w:rFonts w:ascii="Book Antiqua" w:hAnsi="Book Antiqua" w:cs="Tahoma"/>
              </w:rPr>
              <w:t>High risk of death attributable to the underlying disease</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Intra-abdominal invasive desmoids tumour</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Congenital mucosal disorders</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Ultra-short bowel syndrome</w:t>
            </w:r>
          </w:p>
          <w:p w:rsidR="0043020A" w:rsidRPr="00957C03" w:rsidRDefault="0043020A" w:rsidP="001B3B3B">
            <w:pPr>
              <w:snapToGrid w:val="0"/>
              <w:spacing w:line="360" w:lineRule="auto"/>
              <w:rPr>
                <w:rFonts w:ascii="Book Antiqua" w:hAnsi="Book Antiqua" w:cs="Tahoma"/>
              </w:rPr>
            </w:pPr>
            <w:r w:rsidRPr="00957C03">
              <w:rPr>
                <w:rFonts w:ascii="Book Antiqua" w:hAnsi="Book Antiqua" w:cs="Tahoma"/>
              </w:rPr>
              <w:t>Intestinal failure with high morbidity and low acceptance of HPN</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Need for frequent hospitalisation, narcotic addiction or inability to function</w:t>
            </w:r>
          </w:p>
          <w:p w:rsidR="0043020A" w:rsidRPr="00957C03" w:rsidRDefault="0043020A" w:rsidP="001B3B3B">
            <w:pPr>
              <w:snapToGrid w:val="0"/>
              <w:spacing w:line="360" w:lineRule="auto"/>
              <w:ind w:left="142"/>
              <w:rPr>
                <w:rFonts w:ascii="Book Antiqua" w:hAnsi="Book Antiqua" w:cs="Tahoma"/>
              </w:rPr>
            </w:pPr>
            <w:r w:rsidRPr="00957C03">
              <w:rPr>
                <w:rFonts w:ascii="Book Antiqua" w:hAnsi="Book Antiqua" w:cs="Tahoma"/>
              </w:rPr>
              <w:t>Patient’s unwillingness to accept long-term HPN</w:t>
            </w:r>
          </w:p>
        </w:tc>
        <w:tc>
          <w:tcPr>
            <w:tcW w:w="4621"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rPr>
            </w:pPr>
            <w:r w:rsidRPr="00957C03">
              <w:rPr>
                <w:rFonts w:ascii="Book Antiqua" w:hAnsi="Book Antiqua" w:cs="Tahoma"/>
                <w:b/>
              </w:rPr>
              <w:t>Indication</w:t>
            </w:r>
          </w:p>
          <w:p w:rsidR="0043020A" w:rsidRPr="00957C03" w:rsidRDefault="0043020A" w:rsidP="001B3B3B">
            <w:pPr>
              <w:snapToGrid w:val="0"/>
              <w:spacing w:line="360" w:lineRule="auto"/>
              <w:jc w:val="center"/>
              <w:rPr>
                <w:rFonts w:ascii="Book Antiqua" w:hAnsi="Book Antiqua" w:cs="Tahoma"/>
                <w:lang w:eastAsia="zh-CN"/>
              </w:rPr>
            </w:pPr>
            <w:r w:rsidRPr="00957C03">
              <w:rPr>
                <w:rFonts w:ascii="Book Antiqua" w:hAnsi="Book Antiqua" w:cs="Tahoma"/>
              </w:rPr>
              <w:t>Irreversible, benign, chronic intestinal failure with no possibility of bowel rehabilitation associated with life threatening complications of HPN</w:t>
            </w:r>
          </w:p>
          <w:p w:rsidR="0043020A" w:rsidRPr="00957C03" w:rsidRDefault="0043020A" w:rsidP="001B3B3B">
            <w:pPr>
              <w:snapToGrid w:val="0"/>
              <w:spacing w:line="360" w:lineRule="auto"/>
              <w:jc w:val="center"/>
              <w:rPr>
                <w:rStyle w:val="a8"/>
                <w:rFonts w:ascii="Book Antiqua" w:hAnsi="Book Antiqua"/>
                <w:szCs w:val="16"/>
                <w:lang w:eastAsia="zh-CN"/>
              </w:rPr>
            </w:pPr>
            <w:r w:rsidRPr="00957C03">
              <w:rPr>
                <w:rFonts w:ascii="Book Antiqua" w:hAnsi="Book Antiqua" w:cs="Tahoma"/>
              </w:rPr>
              <w:t>Individual case-by-case decision for all patients</w:t>
            </w:r>
          </w:p>
          <w:p w:rsidR="0043020A" w:rsidRPr="00957C03" w:rsidRDefault="0043020A" w:rsidP="001B3B3B">
            <w:pPr>
              <w:snapToGrid w:val="0"/>
              <w:spacing w:line="360" w:lineRule="auto"/>
              <w:jc w:val="center"/>
              <w:rPr>
                <w:rFonts w:ascii="Book Antiqua" w:hAnsi="Book Antiqua" w:cs="Tahoma"/>
              </w:rPr>
            </w:pPr>
          </w:p>
          <w:p w:rsidR="0043020A" w:rsidRPr="00957C03" w:rsidRDefault="0043020A" w:rsidP="001B3B3B">
            <w:pPr>
              <w:snapToGrid w:val="0"/>
              <w:spacing w:line="360" w:lineRule="auto"/>
              <w:jc w:val="center"/>
              <w:rPr>
                <w:rFonts w:ascii="Book Antiqua" w:hAnsi="Book Antiqua" w:cs="Tahoma"/>
                <w:b/>
              </w:rPr>
            </w:pPr>
            <w:r w:rsidRPr="00957C03">
              <w:rPr>
                <w:rFonts w:ascii="Book Antiqua" w:hAnsi="Book Antiqua" w:cs="Tahoma"/>
                <w:b/>
              </w:rPr>
              <w:t>Non-indications</w:t>
            </w:r>
          </w:p>
          <w:p w:rsidR="0043020A" w:rsidRPr="00957C03" w:rsidRDefault="0043020A" w:rsidP="001B3B3B">
            <w:pPr>
              <w:snapToGrid w:val="0"/>
              <w:spacing w:line="360" w:lineRule="auto"/>
              <w:jc w:val="center"/>
              <w:rPr>
                <w:rFonts w:ascii="Book Antiqua" w:hAnsi="Book Antiqua" w:cs="Tahoma"/>
              </w:rPr>
            </w:pPr>
            <w:r w:rsidRPr="00957C03">
              <w:rPr>
                <w:rFonts w:ascii="Book Antiqua" w:hAnsi="Book Antiqua" w:cs="Tahoma"/>
              </w:rPr>
              <w:t>High risk of death due to underlying disease</w:t>
            </w:r>
          </w:p>
          <w:p w:rsidR="0043020A" w:rsidRPr="00957C03" w:rsidRDefault="0043020A" w:rsidP="001B3B3B">
            <w:pPr>
              <w:snapToGrid w:val="0"/>
              <w:spacing w:line="360" w:lineRule="auto"/>
              <w:jc w:val="center"/>
              <w:rPr>
                <w:rFonts w:ascii="Book Antiqua" w:hAnsi="Book Antiqua" w:cs="Tahoma"/>
              </w:rPr>
            </w:pPr>
            <w:r w:rsidRPr="00957C03">
              <w:rPr>
                <w:rFonts w:ascii="Book Antiqua" w:hAnsi="Book Antiqua" w:cs="Tahoma"/>
              </w:rPr>
              <w:t>Chronic dehydration</w:t>
            </w:r>
          </w:p>
          <w:p w:rsidR="0043020A" w:rsidRPr="00957C03" w:rsidRDefault="0043020A" w:rsidP="001B3B3B">
            <w:pPr>
              <w:snapToGrid w:val="0"/>
              <w:spacing w:line="360" w:lineRule="auto"/>
              <w:jc w:val="center"/>
              <w:rPr>
                <w:rFonts w:ascii="Book Antiqua" w:hAnsi="Book Antiqua" w:cs="Tahoma"/>
              </w:rPr>
            </w:pPr>
            <w:r w:rsidRPr="00957C03">
              <w:rPr>
                <w:rFonts w:ascii="Book Antiqua" w:hAnsi="Book Antiqua" w:cs="Tahoma"/>
              </w:rPr>
              <w:t>Significantly impaired quality of life</w:t>
            </w:r>
          </w:p>
        </w:tc>
      </w:tr>
    </w:tbl>
    <w:p w:rsidR="0043020A" w:rsidRPr="00957C03" w:rsidRDefault="0043020A" w:rsidP="009A7B7E">
      <w:pPr>
        <w:snapToGrid w:val="0"/>
        <w:spacing w:line="360" w:lineRule="auto"/>
        <w:jc w:val="both"/>
        <w:rPr>
          <w:rFonts w:ascii="Book Antiqua" w:hAnsi="Book Antiqua" w:cs="Tahoma"/>
          <w:b/>
          <w:color w:val="000000"/>
        </w:rPr>
      </w:pPr>
      <w:r w:rsidRPr="00957C03">
        <w:rPr>
          <w:rFonts w:ascii="Book Antiqua" w:hAnsi="Book Antiqua" w:cs="Tahoma"/>
          <w:b/>
          <w:color w:val="000000"/>
        </w:rPr>
        <w:br w:type="page"/>
      </w:r>
      <w:r w:rsidRPr="00957C03">
        <w:rPr>
          <w:rFonts w:ascii="Book Antiqua" w:hAnsi="Book Antiqua" w:cs="Tahoma"/>
          <w:b/>
          <w:color w:val="000000"/>
        </w:rPr>
        <w:lastRenderedPageBreak/>
        <w:t xml:space="preserve">Table 2 Comparison of patient survival </w:t>
      </w:r>
    </w:p>
    <w:tbl>
      <w:tblPr>
        <w:tblW w:w="9446" w:type="dxa"/>
        <w:jc w:val="center"/>
        <w:tblInd w:w="3494" w:type="dxa"/>
        <w:tblBorders>
          <w:top w:val="single" w:sz="4" w:space="0" w:color="auto"/>
          <w:bottom w:val="single" w:sz="4" w:space="0" w:color="auto"/>
        </w:tblBorders>
        <w:tblLook w:val="00A0" w:firstRow="1" w:lastRow="0" w:firstColumn="1" w:lastColumn="0" w:noHBand="0" w:noVBand="0"/>
      </w:tblPr>
      <w:tblGrid>
        <w:gridCol w:w="1842"/>
        <w:gridCol w:w="3856"/>
        <w:gridCol w:w="937"/>
        <w:gridCol w:w="937"/>
        <w:gridCol w:w="937"/>
        <w:gridCol w:w="937"/>
      </w:tblGrid>
      <w:tr w:rsidR="0043020A" w:rsidRPr="00957C03" w:rsidTr="001B3B3B">
        <w:trPr>
          <w:trHeight w:val="621"/>
          <w:jc w:val="center"/>
        </w:trPr>
        <w:tc>
          <w:tcPr>
            <w:tcW w:w="919" w:type="dxa"/>
            <w:tcBorders>
              <w:top w:val="single" w:sz="4" w:space="0" w:color="auto"/>
              <w:bottom w:val="single" w:sz="4" w:space="0" w:color="auto"/>
            </w:tcBorders>
          </w:tcPr>
          <w:p w:rsidR="0043020A" w:rsidRPr="00957C03" w:rsidRDefault="0043020A" w:rsidP="009A7B7E">
            <w:pPr>
              <w:snapToGrid w:val="0"/>
              <w:spacing w:line="360" w:lineRule="auto"/>
              <w:jc w:val="both"/>
              <w:rPr>
                <w:rFonts w:ascii="Book Antiqua" w:hAnsi="Book Antiqua" w:cs="Tahoma"/>
                <w:b/>
                <w:color w:val="000000"/>
              </w:rPr>
            </w:pPr>
          </w:p>
        </w:tc>
        <w:tc>
          <w:tcPr>
            <w:tcW w:w="4487" w:type="dxa"/>
            <w:tcBorders>
              <w:top w:val="single" w:sz="4" w:space="0" w:color="auto"/>
              <w:bottom w:val="single" w:sz="4" w:space="0" w:color="auto"/>
            </w:tcBorders>
          </w:tcPr>
          <w:p w:rsidR="0043020A" w:rsidRPr="00957C03" w:rsidRDefault="0043020A" w:rsidP="004C3824">
            <w:pPr>
              <w:snapToGrid w:val="0"/>
              <w:spacing w:line="360" w:lineRule="auto"/>
              <w:jc w:val="center"/>
              <w:rPr>
                <w:rFonts w:ascii="Book Antiqua" w:hAnsi="Book Antiqua" w:cs="Tahoma"/>
                <w:b/>
                <w:color w:val="000000"/>
              </w:rPr>
            </w:pPr>
          </w:p>
        </w:tc>
        <w:tc>
          <w:tcPr>
            <w:tcW w:w="1010"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color w:val="000000"/>
              </w:rPr>
            </w:pPr>
            <w:r w:rsidRPr="00957C03">
              <w:rPr>
                <w:rFonts w:ascii="Book Antiqua" w:hAnsi="Book Antiqua"/>
                <w:b/>
                <w:color w:val="000000"/>
              </w:rPr>
              <w:t>1-yr</w:t>
            </w:r>
          </w:p>
        </w:tc>
        <w:tc>
          <w:tcPr>
            <w:tcW w:w="1010"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color w:val="000000"/>
              </w:rPr>
            </w:pPr>
            <w:r w:rsidRPr="00957C03">
              <w:rPr>
                <w:rFonts w:ascii="Book Antiqua" w:hAnsi="Book Antiqua"/>
                <w:b/>
                <w:color w:val="000000"/>
              </w:rPr>
              <w:t>3-yr</w:t>
            </w:r>
          </w:p>
        </w:tc>
        <w:tc>
          <w:tcPr>
            <w:tcW w:w="1010"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color w:val="000000"/>
              </w:rPr>
            </w:pPr>
            <w:r w:rsidRPr="00957C03">
              <w:rPr>
                <w:rFonts w:ascii="Book Antiqua" w:hAnsi="Book Antiqua"/>
                <w:b/>
                <w:color w:val="000000"/>
              </w:rPr>
              <w:t>5-yr</w:t>
            </w:r>
          </w:p>
        </w:tc>
        <w:tc>
          <w:tcPr>
            <w:tcW w:w="1010" w:type="dxa"/>
            <w:tcBorders>
              <w:top w:val="single" w:sz="4" w:space="0" w:color="auto"/>
              <w:bottom w:val="single" w:sz="4" w:space="0" w:color="auto"/>
            </w:tcBorders>
          </w:tcPr>
          <w:p w:rsidR="0043020A" w:rsidRPr="00957C03" w:rsidRDefault="0043020A" w:rsidP="001B3B3B">
            <w:pPr>
              <w:snapToGrid w:val="0"/>
              <w:spacing w:line="360" w:lineRule="auto"/>
              <w:jc w:val="center"/>
              <w:rPr>
                <w:rFonts w:ascii="Book Antiqua" w:hAnsi="Book Antiqua" w:cs="Tahoma"/>
                <w:b/>
                <w:color w:val="000000"/>
              </w:rPr>
            </w:pPr>
            <w:r w:rsidRPr="00957C03">
              <w:rPr>
                <w:rFonts w:ascii="Book Antiqua" w:hAnsi="Book Antiqua"/>
                <w:b/>
                <w:color w:val="000000"/>
              </w:rPr>
              <w:t>10-yr</w:t>
            </w:r>
          </w:p>
        </w:tc>
      </w:tr>
      <w:tr w:rsidR="0043020A" w:rsidRPr="00957C03" w:rsidTr="004C3824">
        <w:trPr>
          <w:trHeight w:val="621"/>
          <w:jc w:val="center"/>
        </w:trPr>
        <w:tc>
          <w:tcPr>
            <w:tcW w:w="919" w:type="dxa"/>
            <w:vMerge w:val="restart"/>
            <w:tcBorders>
              <w:top w:val="single" w:sz="4" w:space="0" w:color="auto"/>
            </w:tcBorders>
          </w:tcPr>
          <w:p w:rsidR="0043020A" w:rsidRPr="00957C03" w:rsidRDefault="0043020A" w:rsidP="004C3824">
            <w:pPr>
              <w:snapToGrid w:val="0"/>
              <w:spacing w:line="360" w:lineRule="auto"/>
              <w:jc w:val="both"/>
              <w:rPr>
                <w:rFonts w:ascii="Book Antiqua" w:hAnsi="Book Antiqua"/>
                <w:color w:val="000000"/>
              </w:rPr>
            </w:pPr>
            <w:r w:rsidRPr="00957C03">
              <w:rPr>
                <w:rFonts w:ascii="Book Antiqua" w:hAnsi="Book Antiqua"/>
                <w:color w:val="000000"/>
              </w:rPr>
              <w:t>Home parenteral nutrition</w:t>
            </w:r>
          </w:p>
        </w:tc>
        <w:tc>
          <w:tcPr>
            <w:tcW w:w="4487" w:type="dxa"/>
            <w:tcBorders>
              <w:top w:val="single" w:sz="4" w:space="0" w:color="auto"/>
            </w:tcBorders>
          </w:tcPr>
          <w:p w:rsidR="0043020A" w:rsidRPr="00957C03" w:rsidRDefault="0043020A" w:rsidP="004C3824">
            <w:pPr>
              <w:snapToGrid w:val="0"/>
              <w:spacing w:line="360" w:lineRule="auto"/>
              <w:jc w:val="center"/>
              <w:rPr>
                <w:rFonts w:ascii="Book Antiqua" w:hAnsi="Book Antiqua" w:cs="Tahoma"/>
                <w:color w:val="000000"/>
              </w:rPr>
            </w:pPr>
            <w:r w:rsidRPr="00957C03">
              <w:rPr>
                <w:rFonts w:ascii="Book Antiqua" w:hAnsi="Book Antiqua"/>
                <w:color w:val="000000"/>
              </w:rPr>
              <w:t>Series of 40 patients excluding malignancy (</w:t>
            </w:r>
            <w:r w:rsidRPr="00957C03">
              <w:rPr>
                <w:rFonts w:ascii="Book Antiqua" w:hAnsi="Book Antiqua" w:cs="Tahoma"/>
                <w:color w:val="000000"/>
              </w:rPr>
              <w:t>1986-2001</w:t>
            </w:r>
            <w:r w:rsidRPr="00957C03">
              <w:rPr>
                <w:rFonts w:ascii="Book Antiqua" w:hAnsi="Book Antiqua"/>
                <w:color w:val="000000"/>
              </w:rPr>
              <w:t>)</w:t>
            </w:r>
            <w:r w:rsidRPr="00957C03">
              <w:rPr>
                <w:rFonts w:ascii="Book Antiqua" w:hAnsi="Book Antiqua"/>
                <w:noProof/>
                <w:color w:val="000000"/>
                <w:vertAlign w:val="superscript"/>
              </w:rPr>
              <w:t>[31]</w:t>
            </w:r>
          </w:p>
        </w:tc>
        <w:tc>
          <w:tcPr>
            <w:tcW w:w="1010" w:type="dxa"/>
            <w:tcBorders>
              <w:top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97%</w:t>
            </w:r>
          </w:p>
        </w:tc>
        <w:tc>
          <w:tcPr>
            <w:tcW w:w="1010" w:type="dxa"/>
            <w:tcBorders>
              <w:top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p>
        </w:tc>
        <w:tc>
          <w:tcPr>
            <w:tcW w:w="1010" w:type="dxa"/>
            <w:tcBorders>
              <w:top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82%</w:t>
            </w:r>
          </w:p>
        </w:tc>
        <w:tc>
          <w:tcPr>
            <w:tcW w:w="1010" w:type="dxa"/>
            <w:tcBorders>
              <w:top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67%</w:t>
            </w:r>
          </w:p>
        </w:tc>
      </w:tr>
      <w:tr w:rsidR="0043020A" w:rsidRPr="00957C03" w:rsidTr="001B3B3B">
        <w:trPr>
          <w:trHeight w:val="621"/>
          <w:jc w:val="center"/>
        </w:trPr>
        <w:tc>
          <w:tcPr>
            <w:tcW w:w="919" w:type="dxa"/>
            <w:vMerge/>
          </w:tcPr>
          <w:p w:rsidR="0043020A" w:rsidRPr="00957C03" w:rsidRDefault="0043020A" w:rsidP="009A7B7E">
            <w:pPr>
              <w:snapToGrid w:val="0"/>
              <w:spacing w:line="360" w:lineRule="auto"/>
              <w:jc w:val="both"/>
              <w:rPr>
                <w:rFonts w:ascii="Book Antiqua" w:hAnsi="Book Antiqua"/>
                <w:color w:val="000000"/>
              </w:rPr>
            </w:pPr>
          </w:p>
        </w:tc>
        <w:tc>
          <w:tcPr>
            <w:tcW w:w="4487" w:type="dxa"/>
          </w:tcPr>
          <w:p w:rsidR="0043020A" w:rsidRPr="00957C03" w:rsidRDefault="0043020A" w:rsidP="004C3824">
            <w:pPr>
              <w:snapToGrid w:val="0"/>
              <w:spacing w:line="360" w:lineRule="auto"/>
              <w:jc w:val="center"/>
              <w:rPr>
                <w:rFonts w:ascii="Book Antiqua" w:hAnsi="Book Antiqua" w:cs="Tahoma"/>
                <w:color w:val="000000"/>
              </w:rPr>
            </w:pPr>
            <w:r w:rsidRPr="00957C03">
              <w:rPr>
                <w:rFonts w:ascii="Book Antiqua" w:hAnsi="Book Antiqua"/>
                <w:color w:val="000000"/>
              </w:rPr>
              <w:t>Series of 268 patients with SBS and excluding malignancy (</w:t>
            </w:r>
            <w:r w:rsidRPr="00957C03">
              <w:rPr>
                <w:rFonts w:ascii="Book Antiqua" w:hAnsi="Book Antiqua" w:cs="Tahoma"/>
                <w:color w:val="000000"/>
              </w:rPr>
              <w:t>1990-2006</w:t>
            </w:r>
            <w:r w:rsidRPr="00957C03">
              <w:rPr>
                <w:rFonts w:ascii="Book Antiqua" w:hAnsi="Book Antiqua"/>
                <w:color w:val="000000"/>
              </w:rPr>
              <w:t>)</w:t>
            </w:r>
            <w:r w:rsidRPr="00957C03">
              <w:rPr>
                <w:rFonts w:ascii="Book Antiqua" w:hAnsi="Book Antiqua"/>
                <w:noProof/>
                <w:color w:val="000000"/>
                <w:vertAlign w:val="superscript"/>
              </w:rPr>
              <w:t>[30]</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94%</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70%</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52%</w:t>
            </w:r>
          </w:p>
        </w:tc>
      </w:tr>
      <w:tr w:rsidR="0043020A" w:rsidRPr="00957C03" w:rsidTr="001B3B3B">
        <w:trPr>
          <w:trHeight w:val="621"/>
          <w:jc w:val="center"/>
        </w:trPr>
        <w:tc>
          <w:tcPr>
            <w:tcW w:w="919" w:type="dxa"/>
            <w:vMerge/>
          </w:tcPr>
          <w:p w:rsidR="0043020A" w:rsidRPr="00957C03" w:rsidRDefault="0043020A" w:rsidP="009A7B7E">
            <w:pPr>
              <w:snapToGrid w:val="0"/>
              <w:spacing w:line="360" w:lineRule="auto"/>
              <w:jc w:val="both"/>
              <w:rPr>
                <w:rFonts w:ascii="Book Antiqua" w:hAnsi="Book Antiqua"/>
                <w:color w:val="000000"/>
              </w:rPr>
            </w:pPr>
          </w:p>
        </w:tc>
        <w:tc>
          <w:tcPr>
            <w:tcW w:w="4487" w:type="dxa"/>
          </w:tcPr>
          <w:p w:rsidR="0043020A" w:rsidRPr="00957C03" w:rsidRDefault="0043020A" w:rsidP="004C3824">
            <w:pPr>
              <w:snapToGrid w:val="0"/>
              <w:spacing w:line="360" w:lineRule="auto"/>
              <w:jc w:val="center"/>
              <w:rPr>
                <w:rFonts w:ascii="Book Antiqua" w:hAnsi="Book Antiqua" w:cs="Tahoma"/>
                <w:color w:val="000000"/>
              </w:rPr>
            </w:pPr>
            <w:r w:rsidRPr="00957C03">
              <w:rPr>
                <w:rFonts w:ascii="Book Antiqua" w:hAnsi="Book Antiqua"/>
                <w:color w:val="000000"/>
              </w:rPr>
              <w:t xml:space="preserve">Patients with </w:t>
            </w:r>
            <w:proofErr w:type="spellStart"/>
            <w:r w:rsidRPr="00957C03">
              <w:rPr>
                <w:rFonts w:ascii="Book Antiqua" w:hAnsi="Book Antiqua" w:cs="Tahoma"/>
              </w:rPr>
              <w:t>Crohn’s</w:t>
            </w:r>
            <w:proofErr w:type="spellEnd"/>
            <w:r w:rsidRPr="00957C03">
              <w:rPr>
                <w:rFonts w:ascii="Book Antiqua" w:hAnsi="Book Antiqua" w:cs="Tahoma"/>
              </w:rPr>
              <w:t xml:space="preserve"> disease (CD) </w:t>
            </w:r>
            <w:r w:rsidRPr="00957C03">
              <w:rPr>
                <w:rFonts w:ascii="Book Antiqua" w:hAnsi="Book Antiqua"/>
                <w:color w:val="000000"/>
              </w:rPr>
              <w:t>extracted from multiple series</w:t>
            </w:r>
            <w:r w:rsidRPr="00957C03">
              <w:rPr>
                <w:rFonts w:ascii="Book Antiqua" w:hAnsi="Book Antiqua"/>
                <w:noProof/>
                <w:color w:val="000000"/>
                <w:vertAlign w:val="superscript"/>
              </w:rPr>
              <w:t>[34]</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88%</w:t>
            </w:r>
          </w:p>
        </w:tc>
      </w:tr>
      <w:tr w:rsidR="0043020A" w:rsidRPr="00957C03" w:rsidTr="001B3B3B">
        <w:trPr>
          <w:trHeight w:val="621"/>
          <w:jc w:val="center"/>
        </w:trPr>
        <w:tc>
          <w:tcPr>
            <w:tcW w:w="919" w:type="dxa"/>
            <w:vMerge/>
          </w:tcPr>
          <w:p w:rsidR="0043020A" w:rsidRPr="00957C03" w:rsidRDefault="0043020A" w:rsidP="009A7B7E">
            <w:pPr>
              <w:snapToGrid w:val="0"/>
              <w:spacing w:line="360" w:lineRule="auto"/>
              <w:jc w:val="both"/>
              <w:rPr>
                <w:rFonts w:ascii="Book Antiqua" w:hAnsi="Book Antiqua"/>
                <w:color w:val="000000"/>
              </w:rPr>
            </w:pPr>
          </w:p>
        </w:tc>
        <w:tc>
          <w:tcPr>
            <w:tcW w:w="4487" w:type="dxa"/>
          </w:tcPr>
          <w:p w:rsidR="0043020A" w:rsidRPr="00957C03" w:rsidRDefault="0043020A" w:rsidP="004C3824">
            <w:pPr>
              <w:snapToGrid w:val="0"/>
              <w:spacing w:line="360" w:lineRule="auto"/>
              <w:jc w:val="center"/>
              <w:rPr>
                <w:rFonts w:ascii="Book Antiqua" w:hAnsi="Book Antiqua"/>
                <w:color w:val="000000"/>
              </w:rPr>
            </w:pPr>
            <w:r w:rsidRPr="00957C03">
              <w:rPr>
                <w:rFonts w:ascii="Book Antiqua" w:hAnsi="Book Antiqua"/>
                <w:color w:val="000000"/>
              </w:rPr>
              <w:t>Series of 60 patients with CD (</w:t>
            </w:r>
            <w:r w:rsidRPr="00957C03">
              <w:rPr>
                <w:rFonts w:ascii="Book Antiqua" w:hAnsi="Book Antiqua" w:cs="Tahoma"/>
                <w:color w:val="000000"/>
              </w:rPr>
              <w:t>1979-2003)</w:t>
            </w:r>
            <w:r w:rsidRPr="00957C03">
              <w:rPr>
                <w:rFonts w:ascii="Book Antiqua" w:hAnsi="Book Antiqua" w:cs="Tahoma"/>
                <w:noProof/>
                <w:color w:val="000000"/>
                <w:vertAlign w:val="superscript"/>
              </w:rPr>
              <w:t>[33]</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s="Tahoma"/>
                <w:color w:val="000000"/>
              </w:rPr>
              <w:t>87%</w:t>
            </w:r>
          </w:p>
        </w:tc>
        <w:tc>
          <w:tcPr>
            <w:tcW w:w="1010" w:type="dxa"/>
          </w:tcPr>
          <w:p w:rsidR="0043020A" w:rsidRPr="00957C03" w:rsidRDefault="0043020A" w:rsidP="001B3B3B">
            <w:pPr>
              <w:snapToGrid w:val="0"/>
              <w:spacing w:line="360" w:lineRule="auto"/>
              <w:jc w:val="center"/>
              <w:rPr>
                <w:rFonts w:ascii="Book Antiqua" w:hAnsi="Book Antiqua"/>
                <w:color w:val="000000"/>
              </w:rPr>
            </w:pPr>
          </w:p>
        </w:tc>
      </w:tr>
      <w:tr w:rsidR="0043020A" w:rsidRPr="00957C03" w:rsidTr="004C3824">
        <w:trPr>
          <w:trHeight w:val="621"/>
          <w:jc w:val="center"/>
        </w:trPr>
        <w:tc>
          <w:tcPr>
            <w:tcW w:w="919" w:type="dxa"/>
            <w:vMerge w:val="restart"/>
          </w:tcPr>
          <w:p w:rsidR="0043020A" w:rsidRPr="00957C03" w:rsidRDefault="0043020A" w:rsidP="004C3824">
            <w:pPr>
              <w:snapToGrid w:val="0"/>
              <w:spacing w:line="360" w:lineRule="auto"/>
              <w:jc w:val="both"/>
              <w:rPr>
                <w:rFonts w:ascii="Book Antiqua" w:hAnsi="Book Antiqua"/>
                <w:color w:val="000000"/>
              </w:rPr>
            </w:pPr>
            <w:r w:rsidRPr="00957C03">
              <w:rPr>
                <w:rFonts w:ascii="Book Antiqua" w:hAnsi="Book Antiqua"/>
                <w:color w:val="000000"/>
              </w:rPr>
              <w:t>Intestinal transplantation</w:t>
            </w:r>
          </w:p>
        </w:tc>
        <w:tc>
          <w:tcPr>
            <w:tcW w:w="4487" w:type="dxa"/>
          </w:tcPr>
          <w:p w:rsidR="0043020A" w:rsidRPr="00957C03" w:rsidRDefault="0043020A" w:rsidP="004C3824">
            <w:pPr>
              <w:snapToGrid w:val="0"/>
              <w:spacing w:line="360" w:lineRule="auto"/>
              <w:jc w:val="center"/>
              <w:rPr>
                <w:rFonts w:ascii="Book Antiqua" w:hAnsi="Book Antiqua"/>
                <w:color w:val="000000"/>
              </w:rPr>
            </w:pPr>
            <w:r w:rsidRPr="00957C03">
              <w:rPr>
                <w:rFonts w:ascii="Book Antiqua" w:hAnsi="Book Antiqua"/>
                <w:color w:val="000000"/>
              </w:rPr>
              <w:t>Series of 453 patients (1990-2008)</w:t>
            </w:r>
            <w:r w:rsidRPr="00957C03">
              <w:rPr>
                <w:rFonts w:ascii="Book Antiqua" w:hAnsi="Book Antiqua"/>
                <w:color w:val="000000"/>
                <w:vertAlign w:val="superscript"/>
              </w:rPr>
              <w:t>[39]</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s="Tahoma"/>
                <w:color w:val="000000"/>
              </w:rPr>
              <w:t>85%</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s="Tahoma"/>
                <w:color w:val="000000"/>
              </w:rPr>
              <w:t>61%</w:t>
            </w:r>
          </w:p>
        </w:tc>
        <w:tc>
          <w:tcPr>
            <w:tcW w:w="1010" w:type="dxa"/>
          </w:tcPr>
          <w:p w:rsidR="0043020A" w:rsidRPr="00957C03" w:rsidRDefault="0043020A" w:rsidP="001B3B3B">
            <w:pPr>
              <w:snapToGrid w:val="0"/>
              <w:spacing w:line="360" w:lineRule="auto"/>
              <w:jc w:val="center"/>
              <w:rPr>
                <w:rFonts w:ascii="Book Antiqua" w:hAnsi="Book Antiqua"/>
                <w:color w:val="000000"/>
              </w:rPr>
            </w:pPr>
            <w:r w:rsidRPr="00957C03">
              <w:rPr>
                <w:rFonts w:ascii="Book Antiqua" w:hAnsi="Book Antiqua"/>
                <w:color w:val="000000"/>
              </w:rPr>
              <w:t>42%</w:t>
            </w:r>
          </w:p>
        </w:tc>
      </w:tr>
      <w:tr w:rsidR="0043020A" w:rsidRPr="00957C03" w:rsidTr="001B3B3B">
        <w:trPr>
          <w:trHeight w:val="603"/>
          <w:jc w:val="center"/>
        </w:trPr>
        <w:tc>
          <w:tcPr>
            <w:tcW w:w="919" w:type="dxa"/>
            <w:vMerge/>
          </w:tcPr>
          <w:p w:rsidR="0043020A" w:rsidRPr="00957C03" w:rsidRDefault="0043020A" w:rsidP="009A7B7E">
            <w:pPr>
              <w:snapToGrid w:val="0"/>
              <w:spacing w:line="360" w:lineRule="auto"/>
              <w:jc w:val="both"/>
              <w:rPr>
                <w:rFonts w:ascii="Book Antiqua" w:hAnsi="Book Antiqua"/>
                <w:color w:val="000000"/>
              </w:rPr>
            </w:pPr>
          </w:p>
        </w:tc>
        <w:tc>
          <w:tcPr>
            <w:tcW w:w="4487" w:type="dxa"/>
          </w:tcPr>
          <w:p w:rsidR="0043020A" w:rsidRPr="00957C03" w:rsidRDefault="0043020A" w:rsidP="004C3824">
            <w:pPr>
              <w:snapToGrid w:val="0"/>
              <w:spacing w:line="360" w:lineRule="auto"/>
              <w:jc w:val="center"/>
              <w:rPr>
                <w:rFonts w:ascii="Book Antiqua" w:hAnsi="Book Antiqua" w:cs="Tahoma"/>
                <w:color w:val="000000"/>
              </w:rPr>
            </w:pPr>
            <w:r w:rsidRPr="00957C03">
              <w:rPr>
                <w:rFonts w:ascii="Book Antiqua" w:hAnsi="Book Antiqua"/>
                <w:color w:val="000000"/>
              </w:rPr>
              <w:t>Series of 687 patients (1987-2009)</w:t>
            </w:r>
            <w:r w:rsidRPr="00957C03">
              <w:rPr>
                <w:rFonts w:ascii="Book Antiqua" w:hAnsi="Book Antiqua"/>
                <w:noProof/>
                <w:color w:val="000000"/>
                <w:vertAlign w:val="superscript"/>
              </w:rPr>
              <w:t>[37]</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77%</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61%</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51%</w:t>
            </w:r>
          </w:p>
        </w:tc>
        <w:tc>
          <w:tcPr>
            <w:tcW w:w="1010" w:type="dxa"/>
          </w:tcPr>
          <w:p w:rsidR="0043020A" w:rsidRPr="00957C03" w:rsidRDefault="0043020A" w:rsidP="001B3B3B">
            <w:pPr>
              <w:snapToGrid w:val="0"/>
              <w:spacing w:line="360" w:lineRule="auto"/>
              <w:jc w:val="center"/>
              <w:rPr>
                <w:rFonts w:ascii="Book Antiqua" w:hAnsi="Book Antiqua" w:cs="Tahoma"/>
                <w:color w:val="000000"/>
              </w:rPr>
            </w:pPr>
          </w:p>
        </w:tc>
      </w:tr>
      <w:tr w:rsidR="0043020A" w:rsidRPr="00957C03" w:rsidTr="001B3B3B">
        <w:trPr>
          <w:trHeight w:val="973"/>
          <w:jc w:val="center"/>
        </w:trPr>
        <w:tc>
          <w:tcPr>
            <w:tcW w:w="919" w:type="dxa"/>
            <w:vMerge/>
            <w:tcBorders>
              <w:bottom w:val="single" w:sz="4" w:space="0" w:color="auto"/>
            </w:tcBorders>
          </w:tcPr>
          <w:p w:rsidR="0043020A" w:rsidRPr="00957C03" w:rsidRDefault="0043020A" w:rsidP="009A7B7E">
            <w:pPr>
              <w:snapToGrid w:val="0"/>
              <w:spacing w:line="360" w:lineRule="auto"/>
              <w:jc w:val="both"/>
              <w:rPr>
                <w:rFonts w:ascii="Book Antiqua" w:hAnsi="Book Antiqua"/>
                <w:color w:val="000000"/>
              </w:rPr>
            </w:pPr>
          </w:p>
        </w:tc>
        <w:tc>
          <w:tcPr>
            <w:tcW w:w="4487" w:type="dxa"/>
            <w:tcBorders>
              <w:bottom w:val="single" w:sz="4" w:space="0" w:color="auto"/>
            </w:tcBorders>
          </w:tcPr>
          <w:p w:rsidR="0043020A" w:rsidRPr="00957C03" w:rsidRDefault="0043020A" w:rsidP="004C3824">
            <w:pPr>
              <w:snapToGrid w:val="0"/>
              <w:spacing w:line="360" w:lineRule="auto"/>
              <w:jc w:val="center"/>
              <w:rPr>
                <w:rFonts w:ascii="Book Antiqua" w:hAnsi="Book Antiqua" w:cs="Tahoma"/>
                <w:color w:val="000000"/>
              </w:rPr>
            </w:pPr>
            <w:r w:rsidRPr="00957C03">
              <w:rPr>
                <w:rFonts w:ascii="Book Antiqua" w:hAnsi="Book Antiqua"/>
                <w:color w:val="000000"/>
              </w:rPr>
              <w:t>Series of 86 patients with CD (1987-2009)</w:t>
            </w:r>
            <w:r w:rsidRPr="00957C03">
              <w:rPr>
                <w:rFonts w:ascii="Book Antiqua" w:hAnsi="Book Antiqua"/>
                <w:noProof/>
                <w:color w:val="000000"/>
                <w:vertAlign w:val="superscript"/>
              </w:rPr>
              <w:t>[24]</w:t>
            </w:r>
          </w:p>
        </w:tc>
        <w:tc>
          <w:tcPr>
            <w:tcW w:w="1010" w:type="dxa"/>
            <w:tcBorders>
              <w:bottom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79%</w:t>
            </w:r>
          </w:p>
        </w:tc>
        <w:tc>
          <w:tcPr>
            <w:tcW w:w="1010" w:type="dxa"/>
            <w:tcBorders>
              <w:bottom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53%</w:t>
            </w:r>
          </w:p>
        </w:tc>
        <w:tc>
          <w:tcPr>
            <w:tcW w:w="1010" w:type="dxa"/>
            <w:tcBorders>
              <w:bottom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r w:rsidRPr="00957C03">
              <w:rPr>
                <w:rFonts w:ascii="Book Antiqua" w:hAnsi="Book Antiqua"/>
                <w:color w:val="000000"/>
              </w:rPr>
              <w:t>43%</w:t>
            </w:r>
          </w:p>
        </w:tc>
        <w:tc>
          <w:tcPr>
            <w:tcW w:w="1010" w:type="dxa"/>
            <w:tcBorders>
              <w:bottom w:val="single" w:sz="4" w:space="0" w:color="auto"/>
            </w:tcBorders>
          </w:tcPr>
          <w:p w:rsidR="0043020A" w:rsidRPr="00957C03" w:rsidRDefault="0043020A" w:rsidP="001B3B3B">
            <w:pPr>
              <w:snapToGrid w:val="0"/>
              <w:spacing w:line="360" w:lineRule="auto"/>
              <w:jc w:val="center"/>
              <w:rPr>
                <w:rFonts w:ascii="Book Antiqua" w:hAnsi="Book Antiqua" w:cs="Tahoma"/>
                <w:color w:val="000000"/>
              </w:rPr>
            </w:pPr>
          </w:p>
        </w:tc>
      </w:tr>
    </w:tbl>
    <w:p w:rsidR="0043020A" w:rsidRPr="00957C03" w:rsidRDefault="0043020A" w:rsidP="009A7B7E">
      <w:pPr>
        <w:snapToGrid w:val="0"/>
        <w:spacing w:line="360" w:lineRule="auto"/>
        <w:jc w:val="both"/>
        <w:rPr>
          <w:rFonts w:ascii="Book Antiqua" w:hAnsi="Book Antiqua" w:cs="Tahoma"/>
          <w:b/>
          <w:color w:val="000000"/>
        </w:rPr>
      </w:pPr>
    </w:p>
    <w:p w:rsidR="0043020A" w:rsidRPr="00957C03" w:rsidRDefault="0043020A" w:rsidP="009A7B7E">
      <w:pPr>
        <w:snapToGrid w:val="0"/>
        <w:spacing w:line="360" w:lineRule="auto"/>
        <w:jc w:val="both"/>
        <w:rPr>
          <w:rFonts w:ascii="Book Antiqua" w:hAnsi="Book Antiqua" w:cs="Tahoma"/>
          <w:b/>
          <w:color w:val="000000"/>
        </w:rPr>
      </w:pPr>
      <w:r w:rsidRPr="00957C03">
        <w:rPr>
          <w:rFonts w:ascii="Book Antiqua" w:hAnsi="Book Antiqua" w:cs="Tahoma"/>
          <w:b/>
          <w:color w:val="000000"/>
        </w:rPr>
        <w:br w:type="page"/>
      </w:r>
    </w:p>
    <w:p w:rsidR="0043020A" w:rsidRPr="00957C03" w:rsidRDefault="0043020A" w:rsidP="009A7B7E">
      <w:pPr>
        <w:snapToGrid w:val="0"/>
        <w:spacing w:line="360" w:lineRule="auto"/>
        <w:jc w:val="both"/>
        <w:rPr>
          <w:rFonts w:ascii="Book Antiqua" w:hAnsi="Book Antiqua" w:cs="Tahoma"/>
          <w:b/>
          <w:color w:val="000000"/>
        </w:rPr>
      </w:pPr>
      <w:r w:rsidRPr="00957C03">
        <w:rPr>
          <w:rFonts w:ascii="Book Antiqua" w:hAnsi="Book Antiqua" w:cs="Tahoma"/>
          <w:b/>
          <w:color w:val="000000"/>
        </w:rPr>
        <w:t xml:space="preserve">Table 3 Potential complications of </w:t>
      </w:r>
      <w:r w:rsidRPr="00957C03">
        <w:rPr>
          <w:rFonts w:ascii="Book Antiqua" w:hAnsi="Book Antiqua"/>
          <w:b/>
          <w:noProof/>
        </w:rPr>
        <w:t>home parenteral nutrition</w:t>
      </w:r>
      <w:r w:rsidRPr="00957C03">
        <w:rPr>
          <w:rFonts w:ascii="Book Antiqua" w:hAnsi="Book Antiqua" w:cs="Tahoma"/>
          <w:b/>
          <w:color w:val="000000"/>
        </w:rPr>
        <w:t xml:space="preserve"> and </w:t>
      </w:r>
      <w:r w:rsidRPr="00957C03">
        <w:rPr>
          <w:rFonts w:ascii="Book Antiqua" w:hAnsi="Book Antiqua"/>
          <w:b/>
          <w:noProof/>
        </w:rPr>
        <w:t>intestinal transplantation</w:t>
      </w:r>
    </w:p>
    <w:tbl>
      <w:tblPr>
        <w:tblW w:w="0" w:type="auto"/>
        <w:tblBorders>
          <w:top w:val="single" w:sz="4" w:space="0" w:color="auto"/>
          <w:bottom w:val="single" w:sz="4" w:space="0" w:color="auto"/>
        </w:tblBorders>
        <w:tblLook w:val="00A0" w:firstRow="1" w:lastRow="0" w:firstColumn="1" w:lastColumn="0" w:noHBand="0" w:noVBand="0"/>
      </w:tblPr>
      <w:tblGrid>
        <w:gridCol w:w="4621"/>
        <w:gridCol w:w="4621"/>
      </w:tblGrid>
      <w:tr w:rsidR="0043020A" w:rsidRPr="00957C03" w:rsidTr="0017670A">
        <w:tc>
          <w:tcPr>
            <w:tcW w:w="4621" w:type="dxa"/>
            <w:tcBorders>
              <w:top w:val="single" w:sz="4" w:space="0" w:color="auto"/>
              <w:bottom w:val="single" w:sz="4" w:space="0" w:color="auto"/>
            </w:tcBorders>
          </w:tcPr>
          <w:p w:rsidR="0043020A" w:rsidRPr="0017670A" w:rsidRDefault="0043020A" w:rsidP="0017670A">
            <w:pPr>
              <w:snapToGrid w:val="0"/>
              <w:spacing w:line="360" w:lineRule="auto"/>
              <w:rPr>
                <w:rFonts w:ascii="Book Antiqua" w:hAnsi="Book Antiqua" w:cs="Tahoma"/>
                <w:b/>
                <w:color w:val="000000"/>
                <w:lang w:eastAsia="en-GB"/>
              </w:rPr>
            </w:pPr>
            <w:r w:rsidRPr="0017670A">
              <w:rPr>
                <w:rFonts w:ascii="Book Antiqua" w:hAnsi="Book Antiqua" w:cs="Tahoma"/>
                <w:b/>
                <w:color w:val="000000"/>
                <w:lang w:eastAsia="en-GB"/>
              </w:rPr>
              <w:t>Home parenteral nutrition</w:t>
            </w:r>
          </w:p>
        </w:tc>
        <w:tc>
          <w:tcPr>
            <w:tcW w:w="4621" w:type="dxa"/>
            <w:tcBorders>
              <w:top w:val="single" w:sz="4" w:space="0" w:color="auto"/>
              <w:bottom w:val="single" w:sz="4" w:space="0" w:color="auto"/>
            </w:tcBorders>
          </w:tcPr>
          <w:p w:rsidR="0043020A" w:rsidRPr="0017670A" w:rsidRDefault="0043020A" w:rsidP="0017670A">
            <w:pPr>
              <w:snapToGrid w:val="0"/>
              <w:spacing w:line="360" w:lineRule="auto"/>
              <w:jc w:val="center"/>
              <w:rPr>
                <w:rFonts w:ascii="Book Antiqua" w:hAnsi="Book Antiqua" w:cs="Tahoma"/>
                <w:b/>
                <w:color w:val="000000"/>
                <w:lang w:eastAsia="en-GB"/>
              </w:rPr>
            </w:pPr>
            <w:r w:rsidRPr="0017670A">
              <w:rPr>
                <w:rFonts w:ascii="Book Antiqua" w:hAnsi="Book Antiqua" w:cs="Tahoma"/>
                <w:b/>
                <w:color w:val="000000"/>
                <w:lang w:eastAsia="en-GB"/>
              </w:rPr>
              <w:t>Intestinal transplantation</w:t>
            </w:r>
          </w:p>
        </w:tc>
      </w:tr>
      <w:tr w:rsidR="0043020A" w:rsidRPr="00957C03" w:rsidTr="0017670A">
        <w:tc>
          <w:tcPr>
            <w:tcW w:w="4621" w:type="dxa"/>
            <w:tcBorders>
              <w:top w:val="single" w:sz="4" w:space="0" w:color="auto"/>
              <w:bottom w:val="single" w:sz="4" w:space="0" w:color="auto"/>
            </w:tcBorders>
          </w:tcPr>
          <w:p w:rsidR="0043020A" w:rsidRPr="0017670A" w:rsidRDefault="0043020A" w:rsidP="0017670A">
            <w:pPr>
              <w:snapToGrid w:val="0"/>
              <w:spacing w:line="360" w:lineRule="auto"/>
              <w:rPr>
                <w:rFonts w:ascii="Book Antiqua" w:hAnsi="Book Antiqua" w:cs="Tahoma"/>
                <w:color w:val="000000"/>
                <w:lang w:eastAsia="en-GB"/>
              </w:rPr>
            </w:pPr>
            <w:r w:rsidRPr="0017670A">
              <w:rPr>
                <w:rFonts w:ascii="Book Antiqua" w:hAnsi="Book Antiqua" w:cs="Tahoma"/>
                <w:color w:val="000000"/>
                <w:lang w:eastAsia="en-GB"/>
              </w:rPr>
              <w:t>Catheter-related blood stream infection</w:t>
            </w:r>
          </w:p>
          <w:p w:rsidR="0043020A" w:rsidRPr="0017670A" w:rsidRDefault="0043020A" w:rsidP="0017670A">
            <w:pPr>
              <w:snapToGrid w:val="0"/>
              <w:spacing w:line="360" w:lineRule="auto"/>
              <w:ind w:left="142" w:hanging="142"/>
              <w:rPr>
                <w:rFonts w:ascii="Book Antiqua" w:hAnsi="Book Antiqua" w:cs="Tahoma"/>
                <w:color w:val="000000"/>
                <w:lang w:eastAsia="en-GB"/>
              </w:rPr>
            </w:pPr>
            <w:r w:rsidRPr="0017670A">
              <w:rPr>
                <w:rFonts w:ascii="Book Antiqua" w:hAnsi="Book Antiqua" w:cs="Tahoma"/>
                <w:color w:val="000000"/>
                <w:lang w:eastAsia="en-GB"/>
              </w:rPr>
              <w:t>Catheter-related central venous thrombosis</w:t>
            </w:r>
          </w:p>
          <w:p w:rsidR="0043020A" w:rsidRPr="0017670A" w:rsidRDefault="0043020A" w:rsidP="0017670A">
            <w:pPr>
              <w:snapToGrid w:val="0"/>
              <w:spacing w:line="360" w:lineRule="auto"/>
              <w:ind w:left="142" w:hanging="142"/>
              <w:rPr>
                <w:rFonts w:ascii="Book Antiqua" w:hAnsi="Book Antiqua" w:cs="Tahoma"/>
                <w:color w:val="000000"/>
                <w:lang w:eastAsia="en-GB"/>
              </w:rPr>
            </w:pPr>
            <w:r w:rsidRPr="0017670A">
              <w:rPr>
                <w:rFonts w:ascii="Book Antiqua" w:hAnsi="Book Antiqua" w:cs="Tahoma"/>
                <w:color w:val="000000"/>
                <w:lang w:eastAsia="en-GB"/>
              </w:rPr>
              <w:t>Intestinal failure-associated liver disease</w:t>
            </w:r>
          </w:p>
        </w:tc>
        <w:tc>
          <w:tcPr>
            <w:tcW w:w="4621" w:type="dxa"/>
            <w:tcBorders>
              <w:top w:val="single" w:sz="4" w:space="0" w:color="auto"/>
              <w:bottom w:val="single" w:sz="4" w:space="0" w:color="auto"/>
            </w:tcBorders>
          </w:tcPr>
          <w:p w:rsidR="0043020A" w:rsidRPr="0017670A" w:rsidRDefault="0043020A" w:rsidP="0017670A">
            <w:pPr>
              <w:snapToGrid w:val="0"/>
              <w:spacing w:line="360" w:lineRule="auto"/>
              <w:ind w:left="199" w:hanging="199"/>
              <w:jc w:val="center"/>
              <w:rPr>
                <w:rFonts w:ascii="Book Antiqua" w:hAnsi="Book Antiqua" w:cs="Tahoma"/>
                <w:color w:val="000000"/>
                <w:lang w:eastAsia="en-GB"/>
              </w:rPr>
            </w:pPr>
            <w:r w:rsidRPr="0017670A">
              <w:rPr>
                <w:rFonts w:ascii="Book Antiqua" w:hAnsi="Book Antiqua" w:cs="Tahoma"/>
                <w:color w:val="000000"/>
                <w:lang w:eastAsia="en-GB"/>
              </w:rPr>
              <w:t>Allograft rejection</w:t>
            </w:r>
          </w:p>
          <w:p w:rsidR="0043020A" w:rsidRPr="0017670A" w:rsidRDefault="0043020A" w:rsidP="0017670A">
            <w:pPr>
              <w:snapToGrid w:val="0"/>
              <w:spacing w:line="360" w:lineRule="auto"/>
              <w:ind w:left="199" w:hanging="199"/>
              <w:jc w:val="center"/>
              <w:rPr>
                <w:rFonts w:ascii="Book Antiqua" w:hAnsi="Book Antiqua" w:cs="Tahoma"/>
                <w:color w:val="000000"/>
                <w:lang w:eastAsia="en-GB"/>
              </w:rPr>
            </w:pPr>
            <w:r w:rsidRPr="0017670A">
              <w:rPr>
                <w:rFonts w:ascii="Book Antiqua" w:hAnsi="Book Antiqua" w:cs="Tahoma"/>
                <w:color w:val="000000"/>
                <w:lang w:eastAsia="en-GB"/>
              </w:rPr>
              <w:t>Infection</w:t>
            </w:r>
          </w:p>
          <w:p w:rsidR="0043020A" w:rsidRPr="0017670A" w:rsidRDefault="0043020A" w:rsidP="0017670A">
            <w:pPr>
              <w:snapToGrid w:val="0"/>
              <w:spacing w:line="360" w:lineRule="auto"/>
              <w:ind w:left="199" w:hanging="199"/>
              <w:jc w:val="center"/>
              <w:rPr>
                <w:rFonts w:ascii="Book Antiqua" w:hAnsi="Book Antiqua" w:cs="Tahoma"/>
                <w:color w:val="000000"/>
                <w:lang w:eastAsia="en-GB"/>
              </w:rPr>
            </w:pPr>
            <w:r w:rsidRPr="0017670A">
              <w:rPr>
                <w:rFonts w:ascii="Book Antiqua" w:hAnsi="Book Antiqua" w:cs="Tahoma"/>
                <w:color w:val="000000"/>
                <w:lang w:eastAsia="en-GB"/>
              </w:rPr>
              <w:t xml:space="preserve">Graft </w:t>
            </w:r>
            <w:r w:rsidRPr="0017670A">
              <w:rPr>
                <w:rFonts w:ascii="Book Antiqua" w:hAnsi="Book Antiqua" w:cs="Tahoma"/>
                <w:i/>
                <w:color w:val="000000"/>
                <w:lang w:eastAsia="en-GB"/>
              </w:rPr>
              <w:t>vs</w:t>
            </w:r>
            <w:r w:rsidRPr="0017670A">
              <w:rPr>
                <w:rFonts w:ascii="Book Antiqua" w:hAnsi="Book Antiqua" w:cs="Tahoma"/>
                <w:color w:val="000000"/>
                <w:lang w:eastAsia="en-GB"/>
              </w:rPr>
              <w:t xml:space="preserve"> host disease</w:t>
            </w:r>
          </w:p>
          <w:p w:rsidR="0043020A" w:rsidRPr="0017670A" w:rsidRDefault="0043020A" w:rsidP="0017670A">
            <w:pPr>
              <w:snapToGrid w:val="0"/>
              <w:spacing w:line="360" w:lineRule="auto"/>
              <w:ind w:left="199" w:hanging="199"/>
              <w:jc w:val="center"/>
              <w:rPr>
                <w:rFonts w:ascii="Book Antiqua" w:hAnsi="Book Antiqua" w:cs="Tahoma"/>
                <w:color w:val="000000"/>
                <w:lang w:eastAsia="en-GB"/>
              </w:rPr>
            </w:pPr>
            <w:r w:rsidRPr="0017670A">
              <w:rPr>
                <w:rFonts w:ascii="Book Antiqua" w:hAnsi="Book Antiqua" w:cs="Tahoma"/>
                <w:color w:val="000000"/>
                <w:lang w:eastAsia="en-GB"/>
              </w:rPr>
              <w:t xml:space="preserve">Post-transplant </w:t>
            </w:r>
            <w:proofErr w:type="spellStart"/>
            <w:r w:rsidRPr="0017670A">
              <w:rPr>
                <w:rFonts w:ascii="Book Antiqua" w:hAnsi="Book Antiqua" w:cs="Tahoma"/>
                <w:color w:val="000000"/>
                <w:lang w:eastAsia="en-GB"/>
              </w:rPr>
              <w:t>lymphoproliferative</w:t>
            </w:r>
            <w:proofErr w:type="spellEnd"/>
            <w:r w:rsidRPr="0017670A">
              <w:rPr>
                <w:rFonts w:ascii="Book Antiqua" w:hAnsi="Book Antiqua" w:cs="Tahoma"/>
                <w:color w:val="000000"/>
                <w:lang w:eastAsia="en-GB"/>
              </w:rPr>
              <w:t xml:space="preserve"> disease</w:t>
            </w:r>
          </w:p>
          <w:p w:rsidR="0043020A" w:rsidRPr="0017670A" w:rsidRDefault="0043020A" w:rsidP="0017670A">
            <w:pPr>
              <w:snapToGrid w:val="0"/>
              <w:spacing w:line="360" w:lineRule="auto"/>
              <w:jc w:val="center"/>
              <w:rPr>
                <w:rFonts w:ascii="Book Antiqua" w:hAnsi="Book Antiqua" w:cs="Tahoma"/>
                <w:color w:val="000000"/>
                <w:lang w:eastAsia="en-GB"/>
              </w:rPr>
            </w:pPr>
            <w:r w:rsidRPr="0017670A">
              <w:rPr>
                <w:rFonts w:ascii="Book Antiqua" w:hAnsi="Book Antiqua" w:cs="Tahoma"/>
                <w:color w:val="000000"/>
                <w:lang w:eastAsia="en-GB"/>
              </w:rPr>
              <w:t>Renal failure</w:t>
            </w:r>
          </w:p>
          <w:p w:rsidR="0043020A" w:rsidRPr="0017670A" w:rsidRDefault="0043020A" w:rsidP="0017670A">
            <w:pPr>
              <w:snapToGrid w:val="0"/>
              <w:spacing w:line="360" w:lineRule="auto"/>
              <w:jc w:val="center"/>
              <w:rPr>
                <w:rFonts w:ascii="Book Antiqua" w:hAnsi="Book Antiqua" w:cs="Tahoma"/>
                <w:color w:val="000000"/>
                <w:lang w:eastAsia="en-GB"/>
              </w:rPr>
            </w:pPr>
            <w:r w:rsidRPr="0017670A">
              <w:rPr>
                <w:rFonts w:ascii="Book Antiqua" w:hAnsi="Book Antiqua" w:cs="Tahoma"/>
                <w:color w:val="000000"/>
                <w:lang w:eastAsia="en-GB"/>
              </w:rPr>
              <w:t>Disease recurrence</w:t>
            </w:r>
          </w:p>
        </w:tc>
      </w:tr>
    </w:tbl>
    <w:p w:rsidR="0043020A" w:rsidRPr="00957C03" w:rsidRDefault="0043020A" w:rsidP="009A7B7E">
      <w:pPr>
        <w:snapToGrid w:val="0"/>
        <w:spacing w:line="360" w:lineRule="auto"/>
        <w:jc w:val="both"/>
        <w:rPr>
          <w:rFonts w:ascii="Book Antiqua" w:hAnsi="Book Antiqua" w:cs="Tahoma"/>
          <w:b/>
          <w:color w:val="000000"/>
        </w:rPr>
      </w:pPr>
    </w:p>
    <w:p w:rsidR="0043020A" w:rsidRPr="00957C03" w:rsidRDefault="0043020A" w:rsidP="000B195E">
      <w:pPr>
        <w:snapToGrid w:val="0"/>
        <w:spacing w:line="360" w:lineRule="auto"/>
        <w:jc w:val="both"/>
        <w:rPr>
          <w:rFonts w:ascii="Book Antiqua" w:hAnsi="Book Antiqua"/>
          <w:noProof/>
          <w:lang w:eastAsia="zh-CN"/>
        </w:rPr>
      </w:pPr>
    </w:p>
    <w:sectPr w:rsidR="0043020A" w:rsidRPr="00957C03" w:rsidSect="00353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69" w:rsidRDefault="00D72D69" w:rsidP="00B127B3">
      <w:r>
        <w:separator/>
      </w:r>
    </w:p>
  </w:endnote>
  <w:endnote w:type="continuationSeparator" w:id="0">
    <w:p w:rsidR="00D72D69" w:rsidRDefault="00D72D69" w:rsidP="00B1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heSans B7 Bold">
    <w:altName w:val="Arial"/>
    <w:panose1 w:val="00000000000000000000"/>
    <w:charset w:val="00"/>
    <w:family w:val="modern"/>
    <w:notTrueType/>
    <w:pitch w:val="variable"/>
    <w:sig w:usb0="00000003" w:usb1="00000000" w:usb2="00000000" w:usb3="00000000" w:csb0="00000001" w:csb1="00000000"/>
  </w:font>
  <w:font w:name="TheSans B5 Plain">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69" w:rsidRDefault="00D72D69" w:rsidP="00B127B3">
      <w:r>
        <w:separator/>
      </w:r>
    </w:p>
  </w:footnote>
  <w:footnote w:type="continuationSeparator" w:id="0">
    <w:p w:rsidR="00D72D69" w:rsidRDefault="00D72D69" w:rsidP="00B12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9CC5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B0D00"/>
    <w:multiLevelType w:val="hybridMultilevel"/>
    <w:tmpl w:val="494A2A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F586045"/>
    <w:multiLevelType w:val="hybridMultilevel"/>
    <w:tmpl w:val="E91A3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DB05C8"/>
    <w:multiLevelType w:val="hybridMultilevel"/>
    <w:tmpl w:val="4F0AC49C"/>
    <w:lvl w:ilvl="0" w:tplc="EC5C4EE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D4F65"/>
    <w:multiLevelType w:val="hybridMultilevel"/>
    <w:tmpl w:val="EC7860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2256CB9"/>
    <w:multiLevelType w:val="hybridMultilevel"/>
    <w:tmpl w:val="8ABA822E"/>
    <w:lvl w:ilvl="0" w:tplc="66565F90">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F33652"/>
    <w:multiLevelType w:val="hybridMultilevel"/>
    <w:tmpl w:val="C7AC9F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1F096A"/>
    <w:multiLevelType w:val="hybridMultilevel"/>
    <w:tmpl w:val="BB1A7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8C56419"/>
    <w:multiLevelType w:val="hybridMultilevel"/>
    <w:tmpl w:val="7A28F1B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CC7A89"/>
    <w:multiLevelType w:val="hybridMultilevel"/>
    <w:tmpl w:val="B1709F2A"/>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1CBA"/>
    <w:rsid w:val="00047CC3"/>
    <w:rsid w:val="00075C6F"/>
    <w:rsid w:val="000B195E"/>
    <w:rsid w:val="0017670A"/>
    <w:rsid w:val="00180B92"/>
    <w:rsid w:val="001817CA"/>
    <w:rsid w:val="001B3B3B"/>
    <w:rsid w:val="001C0815"/>
    <w:rsid w:val="00224D2C"/>
    <w:rsid w:val="00270E7E"/>
    <w:rsid w:val="00282FC1"/>
    <w:rsid w:val="002B2DD0"/>
    <w:rsid w:val="002E424B"/>
    <w:rsid w:val="00321EF6"/>
    <w:rsid w:val="003315FA"/>
    <w:rsid w:val="0035398C"/>
    <w:rsid w:val="003A1676"/>
    <w:rsid w:val="003C3680"/>
    <w:rsid w:val="003D2EF9"/>
    <w:rsid w:val="00413338"/>
    <w:rsid w:val="0043020A"/>
    <w:rsid w:val="004B3316"/>
    <w:rsid w:val="004B712C"/>
    <w:rsid w:val="004C3824"/>
    <w:rsid w:val="004F1748"/>
    <w:rsid w:val="0057674B"/>
    <w:rsid w:val="0058648D"/>
    <w:rsid w:val="005961E4"/>
    <w:rsid w:val="005A3AED"/>
    <w:rsid w:val="005B1CBA"/>
    <w:rsid w:val="005E7556"/>
    <w:rsid w:val="0062100E"/>
    <w:rsid w:val="00622FC4"/>
    <w:rsid w:val="00623440"/>
    <w:rsid w:val="00674B76"/>
    <w:rsid w:val="006D0CCE"/>
    <w:rsid w:val="006D4C7A"/>
    <w:rsid w:val="006E4A06"/>
    <w:rsid w:val="006F42DB"/>
    <w:rsid w:val="006F4E80"/>
    <w:rsid w:val="0071155C"/>
    <w:rsid w:val="007C06FF"/>
    <w:rsid w:val="008566F3"/>
    <w:rsid w:val="008732DC"/>
    <w:rsid w:val="00882F9C"/>
    <w:rsid w:val="008D63CD"/>
    <w:rsid w:val="008E20D1"/>
    <w:rsid w:val="008E6D7C"/>
    <w:rsid w:val="00944837"/>
    <w:rsid w:val="00946CB7"/>
    <w:rsid w:val="00957C03"/>
    <w:rsid w:val="0096258E"/>
    <w:rsid w:val="00972417"/>
    <w:rsid w:val="009A7B7E"/>
    <w:rsid w:val="009C29AD"/>
    <w:rsid w:val="009D65E7"/>
    <w:rsid w:val="00A052B8"/>
    <w:rsid w:val="00A20323"/>
    <w:rsid w:val="00A27977"/>
    <w:rsid w:val="00A37F8E"/>
    <w:rsid w:val="00A61906"/>
    <w:rsid w:val="00A81DAE"/>
    <w:rsid w:val="00AB2E30"/>
    <w:rsid w:val="00AC05AF"/>
    <w:rsid w:val="00AE50E7"/>
    <w:rsid w:val="00AF2838"/>
    <w:rsid w:val="00AF3656"/>
    <w:rsid w:val="00B127B3"/>
    <w:rsid w:val="00B45599"/>
    <w:rsid w:val="00B611C2"/>
    <w:rsid w:val="00B941C6"/>
    <w:rsid w:val="00BA376E"/>
    <w:rsid w:val="00BE41C3"/>
    <w:rsid w:val="00C43A9B"/>
    <w:rsid w:val="00C56046"/>
    <w:rsid w:val="00C61060"/>
    <w:rsid w:val="00C833E3"/>
    <w:rsid w:val="00C9394E"/>
    <w:rsid w:val="00CD2436"/>
    <w:rsid w:val="00CD6537"/>
    <w:rsid w:val="00D40779"/>
    <w:rsid w:val="00D425CD"/>
    <w:rsid w:val="00D63112"/>
    <w:rsid w:val="00D63B0A"/>
    <w:rsid w:val="00D72D69"/>
    <w:rsid w:val="00D775E7"/>
    <w:rsid w:val="00D84827"/>
    <w:rsid w:val="00E03ED8"/>
    <w:rsid w:val="00E110B1"/>
    <w:rsid w:val="00E13C97"/>
    <w:rsid w:val="00E22BB0"/>
    <w:rsid w:val="00E24E34"/>
    <w:rsid w:val="00E524C8"/>
    <w:rsid w:val="00EB1EF0"/>
    <w:rsid w:val="00EC78FD"/>
    <w:rsid w:val="00ED2698"/>
    <w:rsid w:val="00ED5C64"/>
    <w:rsid w:val="00EF72D0"/>
    <w:rsid w:val="00F40194"/>
    <w:rsid w:val="00F82CB5"/>
    <w:rsid w:val="00FA3B70"/>
    <w:rsid w:val="00FB2453"/>
    <w:rsid w:val="00FC503A"/>
    <w:rsid w:val="00FE756F"/>
    <w:rsid w:val="00FF45F7"/>
    <w:rsid w:val="00FF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BA"/>
    <w:rPr>
      <w:rFonts w:ascii="Times New Roman" w:hAnsi="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1CBA"/>
    <w:pPr>
      <w:jc w:val="both"/>
    </w:pPr>
  </w:style>
  <w:style w:type="character" w:customStyle="1" w:styleId="Char">
    <w:name w:val="正文文本 Char"/>
    <w:basedOn w:val="a0"/>
    <w:link w:val="a3"/>
    <w:uiPriority w:val="99"/>
    <w:locked/>
    <w:rsid w:val="005B1CBA"/>
    <w:rPr>
      <w:rFonts w:ascii="Times New Roman" w:hAnsi="Times New Roman" w:cs="Times New Roman"/>
      <w:sz w:val="24"/>
      <w:szCs w:val="24"/>
    </w:rPr>
  </w:style>
  <w:style w:type="paragraph" w:customStyle="1" w:styleId="UoMSchoolDeptTitle">
    <w:name w:val="UoMSchoolDeptTitle"/>
    <w:basedOn w:val="a"/>
    <w:uiPriority w:val="99"/>
    <w:rsid w:val="005B1CBA"/>
    <w:pPr>
      <w:tabs>
        <w:tab w:val="left" w:pos="7200"/>
      </w:tabs>
      <w:ind w:left="6838"/>
    </w:pPr>
    <w:rPr>
      <w:rFonts w:ascii="TheSans B7 Bold" w:hAnsi="TheSans B7 Bold"/>
      <w:color w:val="808080"/>
      <w:sz w:val="18"/>
      <w:szCs w:val="18"/>
    </w:rPr>
  </w:style>
  <w:style w:type="paragraph" w:styleId="a4">
    <w:name w:val="footer"/>
    <w:basedOn w:val="a"/>
    <w:link w:val="Char0"/>
    <w:uiPriority w:val="99"/>
    <w:rsid w:val="005B1CBA"/>
    <w:pPr>
      <w:tabs>
        <w:tab w:val="center" w:pos="4153"/>
        <w:tab w:val="right" w:pos="8306"/>
      </w:tabs>
    </w:pPr>
  </w:style>
  <w:style w:type="character" w:customStyle="1" w:styleId="Char0">
    <w:name w:val="页脚 Char"/>
    <w:basedOn w:val="a0"/>
    <w:link w:val="a4"/>
    <w:uiPriority w:val="99"/>
    <w:locked/>
    <w:rsid w:val="005B1CBA"/>
    <w:rPr>
      <w:rFonts w:ascii="Times New Roman" w:hAnsi="Times New Roman" w:cs="Times New Roman"/>
      <w:sz w:val="24"/>
      <w:szCs w:val="24"/>
    </w:rPr>
  </w:style>
  <w:style w:type="paragraph" w:styleId="a5">
    <w:name w:val="header"/>
    <w:basedOn w:val="a"/>
    <w:link w:val="Char1"/>
    <w:uiPriority w:val="99"/>
    <w:rsid w:val="005B1CBA"/>
    <w:pPr>
      <w:tabs>
        <w:tab w:val="center" w:pos="4153"/>
        <w:tab w:val="right" w:pos="8306"/>
      </w:tabs>
    </w:pPr>
  </w:style>
  <w:style w:type="character" w:customStyle="1" w:styleId="Char1">
    <w:name w:val="页眉 Char"/>
    <w:basedOn w:val="a0"/>
    <w:link w:val="a5"/>
    <w:uiPriority w:val="99"/>
    <w:locked/>
    <w:rsid w:val="005B1CBA"/>
    <w:rPr>
      <w:rFonts w:ascii="Times New Roman" w:hAnsi="Times New Roman" w:cs="Times New Roman"/>
      <w:sz w:val="24"/>
      <w:szCs w:val="24"/>
    </w:rPr>
  </w:style>
  <w:style w:type="paragraph" w:customStyle="1" w:styleId="TransitionalDescriptor">
    <w:name w:val="TransitionalDescriptor"/>
    <w:basedOn w:val="a"/>
    <w:uiPriority w:val="99"/>
    <w:rsid w:val="005B1CBA"/>
    <w:rPr>
      <w:rFonts w:ascii="TheSans B5 Plain" w:hAnsi="TheSans B5 Plain"/>
      <w:sz w:val="15"/>
      <w:szCs w:val="18"/>
      <w:lang w:val="en-US"/>
    </w:rPr>
  </w:style>
  <w:style w:type="character" w:styleId="a6">
    <w:name w:val="Strong"/>
    <w:basedOn w:val="a0"/>
    <w:uiPriority w:val="99"/>
    <w:qFormat/>
    <w:rsid w:val="005B1CBA"/>
    <w:rPr>
      <w:rFonts w:ascii="Times New Roman" w:hAnsi="Times New Roman" w:cs="Times New Roman"/>
      <w:b/>
    </w:rPr>
  </w:style>
  <w:style w:type="character" w:styleId="a7">
    <w:name w:val="Hyperlink"/>
    <w:basedOn w:val="a0"/>
    <w:uiPriority w:val="99"/>
    <w:rsid w:val="005B1CBA"/>
    <w:rPr>
      <w:rFonts w:cs="Times New Roman"/>
      <w:color w:val="0000FF"/>
      <w:u w:val="single"/>
    </w:rPr>
  </w:style>
  <w:style w:type="character" w:customStyle="1" w:styleId="companyprofilelink">
    <w:name w:val="companyprofilelink"/>
    <w:basedOn w:val="a0"/>
    <w:uiPriority w:val="99"/>
    <w:rsid w:val="005B1CBA"/>
    <w:rPr>
      <w:rFonts w:cs="Times New Roman"/>
    </w:rPr>
  </w:style>
  <w:style w:type="character" w:customStyle="1" w:styleId="personcompanyname">
    <w:name w:val="personcompanyname"/>
    <w:basedOn w:val="a0"/>
    <w:uiPriority w:val="99"/>
    <w:rsid w:val="005B1CBA"/>
    <w:rPr>
      <w:rFonts w:cs="Times New Roman"/>
    </w:rPr>
  </w:style>
  <w:style w:type="character" w:customStyle="1" w:styleId="companyaddress">
    <w:name w:val="companyaddress"/>
    <w:basedOn w:val="a0"/>
    <w:uiPriority w:val="99"/>
    <w:rsid w:val="005B1CBA"/>
    <w:rPr>
      <w:rFonts w:cs="Times New Roman"/>
    </w:rPr>
  </w:style>
  <w:style w:type="character" w:styleId="a8">
    <w:name w:val="annotation reference"/>
    <w:basedOn w:val="a0"/>
    <w:uiPriority w:val="99"/>
    <w:rsid w:val="005B1CBA"/>
    <w:rPr>
      <w:rFonts w:cs="Times New Roman"/>
      <w:sz w:val="16"/>
    </w:rPr>
  </w:style>
  <w:style w:type="paragraph" w:styleId="a9">
    <w:name w:val="annotation text"/>
    <w:basedOn w:val="a"/>
    <w:link w:val="Char2"/>
    <w:uiPriority w:val="99"/>
    <w:rsid w:val="005B1CBA"/>
    <w:rPr>
      <w:sz w:val="20"/>
      <w:szCs w:val="20"/>
      <w:lang w:val="en-US" w:eastAsia="zh-CN"/>
    </w:rPr>
  </w:style>
  <w:style w:type="character" w:customStyle="1" w:styleId="Char2">
    <w:name w:val="批注文字 Char"/>
    <w:basedOn w:val="a0"/>
    <w:link w:val="a9"/>
    <w:uiPriority w:val="99"/>
    <w:locked/>
    <w:rsid w:val="005B1CBA"/>
    <w:rPr>
      <w:rFonts w:ascii="Times New Roman" w:hAnsi="Times New Roman"/>
      <w:sz w:val="20"/>
    </w:rPr>
  </w:style>
  <w:style w:type="paragraph" w:styleId="aa">
    <w:name w:val="annotation subject"/>
    <w:basedOn w:val="a9"/>
    <w:next w:val="a9"/>
    <w:link w:val="Char3"/>
    <w:uiPriority w:val="99"/>
    <w:rsid w:val="005B1CBA"/>
    <w:rPr>
      <w:b/>
      <w:bCs/>
    </w:rPr>
  </w:style>
  <w:style w:type="character" w:customStyle="1" w:styleId="Char3">
    <w:name w:val="批注主题 Char"/>
    <w:basedOn w:val="Char2"/>
    <w:link w:val="aa"/>
    <w:uiPriority w:val="99"/>
    <w:locked/>
    <w:rsid w:val="005B1CBA"/>
    <w:rPr>
      <w:rFonts w:ascii="Times New Roman" w:hAnsi="Times New Roman"/>
      <w:b/>
      <w:sz w:val="20"/>
    </w:rPr>
  </w:style>
  <w:style w:type="paragraph" w:styleId="ab">
    <w:name w:val="Balloon Text"/>
    <w:basedOn w:val="a"/>
    <w:link w:val="Char4"/>
    <w:uiPriority w:val="99"/>
    <w:rsid w:val="005B1CBA"/>
    <w:rPr>
      <w:rFonts w:ascii="Tahoma" w:hAnsi="Tahoma"/>
      <w:sz w:val="16"/>
      <w:szCs w:val="16"/>
      <w:lang w:val="en-US" w:eastAsia="zh-CN"/>
    </w:rPr>
  </w:style>
  <w:style w:type="character" w:customStyle="1" w:styleId="Char4">
    <w:name w:val="批注框文本 Char"/>
    <w:basedOn w:val="a0"/>
    <w:link w:val="ab"/>
    <w:uiPriority w:val="99"/>
    <w:locked/>
    <w:rsid w:val="005B1CBA"/>
    <w:rPr>
      <w:rFonts w:ascii="Tahoma" w:hAnsi="Tahoma"/>
      <w:sz w:val="16"/>
    </w:rPr>
  </w:style>
  <w:style w:type="table" w:styleId="ac">
    <w:name w:val="Table Grid"/>
    <w:basedOn w:val="a1"/>
    <w:uiPriority w:val="99"/>
    <w:rsid w:val="005B1CBA"/>
    <w:rPr>
      <w:rFonts w:ascii="Times New Roman" w:hAnsi="Times New Roman"/>
      <w:kern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rsid w:val="005B1CBA"/>
    <w:rPr>
      <w:rFonts w:cs="Times New Roman"/>
      <w:color w:val="800080"/>
      <w:u w:val="single"/>
    </w:rPr>
  </w:style>
  <w:style w:type="paragraph" w:styleId="ae">
    <w:name w:val="Normal (Web)"/>
    <w:basedOn w:val="a"/>
    <w:uiPriority w:val="99"/>
    <w:rsid w:val="005B1CBA"/>
    <w:pPr>
      <w:spacing w:before="100" w:beforeAutospacing="1" w:after="100" w:afterAutospacing="1"/>
    </w:pPr>
    <w:rPr>
      <w:rFonts w:ascii="Times" w:hAnsi="Times"/>
      <w:sz w:val="20"/>
      <w:szCs w:val="20"/>
    </w:rPr>
  </w:style>
  <w:style w:type="character" w:customStyle="1" w:styleId="highlight">
    <w:name w:val="highlight"/>
    <w:uiPriority w:val="99"/>
    <w:rsid w:val="005B1CBA"/>
  </w:style>
  <w:style w:type="paragraph" w:styleId="af">
    <w:name w:val="No Spacing"/>
    <w:uiPriority w:val="99"/>
    <w:qFormat/>
    <w:rsid w:val="005B1CBA"/>
    <w:rPr>
      <w:kern w:val="0"/>
      <w:sz w:val="22"/>
      <w:lang w:val="en-GB" w:eastAsia="en-US"/>
    </w:rPr>
  </w:style>
  <w:style w:type="character" w:customStyle="1" w:styleId="jrnl">
    <w:name w:val="jrnl"/>
    <w:uiPriority w:val="99"/>
    <w:rsid w:val="005B1CBA"/>
  </w:style>
  <w:style w:type="paragraph" w:customStyle="1" w:styleId="p0">
    <w:name w:val="p0"/>
    <w:basedOn w:val="a"/>
    <w:uiPriority w:val="99"/>
    <w:rsid w:val="00B127B3"/>
    <w:pPr>
      <w:spacing w:line="240" w:lineRule="atLeast"/>
    </w:pPr>
    <w:rPr>
      <w:rFonts w:ascii="Century" w:hAnsi="Century" w:cs="宋体"/>
      <w:sz w:val="21"/>
      <w:szCs w:val="21"/>
      <w:lang w:val="en-US" w:eastAsia="zh-CN"/>
    </w:rPr>
  </w:style>
  <w:style w:type="paragraph" w:styleId="af0">
    <w:name w:val="List Paragraph"/>
    <w:basedOn w:val="a"/>
    <w:uiPriority w:val="99"/>
    <w:qFormat/>
    <w:rsid w:val="00180B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BA"/>
    <w:rPr>
      <w:rFonts w:ascii="Times New Roman" w:hAnsi="Times New Roman"/>
      <w:kern w:val="0"/>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1CBA"/>
    <w:pPr>
      <w:jc w:val="both"/>
    </w:pPr>
  </w:style>
  <w:style w:type="character" w:customStyle="1" w:styleId="Char">
    <w:name w:val="正文文本 Char"/>
    <w:basedOn w:val="a0"/>
    <w:link w:val="a3"/>
    <w:uiPriority w:val="99"/>
    <w:locked/>
    <w:rsid w:val="005B1CBA"/>
    <w:rPr>
      <w:rFonts w:ascii="Times New Roman" w:hAnsi="Times New Roman" w:cs="Times New Roman"/>
      <w:sz w:val="24"/>
      <w:szCs w:val="24"/>
    </w:rPr>
  </w:style>
  <w:style w:type="paragraph" w:customStyle="1" w:styleId="UoMSchoolDeptTitle">
    <w:name w:val="UoMSchoolDeptTitle"/>
    <w:basedOn w:val="a"/>
    <w:uiPriority w:val="99"/>
    <w:rsid w:val="005B1CBA"/>
    <w:pPr>
      <w:tabs>
        <w:tab w:val="left" w:pos="7200"/>
      </w:tabs>
      <w:ind w:left="6838"/>
    </w:pPr>
    <w:rPr>
      <w:rFonts w:ascii="TheSans B7 Bold" w:hAnsi="TheSans B7 Bold"/>
      <w:color w:val="808080"/>
      <w:sz w:val="18"/>
      <w:szCs w:val="18"/>
    </w:rPr>
  </w:style>
  <w:style w:type="paragraph" w:styleId="a4">
    <w:name w:val="footer"/>
    <w:basedOn w:val="a"/>
    <w:link w:val="Char0"/>
    <w:uiPriority w:val="99"/>
    <w:rsid w:val="005B1CBA"/>
    <w:pPr>
      <w:tabs>
        <w:tab w:val="center" w:pos="4153"/>
        <w:tab w:val="right" w:pos="8306"/>
      </w:tabs>
    </w:pPr>
  </w:style>
  <w:style w:type="character" w:customStyle="1" w:styleId="Char0">
    <w:name w:val="页脚 Char"/>
    <w:basedOn w:val="a0"/>
    <w:link w:val="a4"/>
    <w:uiPriority w:val="99"/>
    <w:locked/>
    <w:rsid w:val="005B1CBA"/>
    <w:rPr>
      <w:rFonts w:ascii="Times New Roman" w:hAnsi="Times New Roman" w:cs="Times New Roman"/>
      <w:sz w:val="24"/>
      <w:szCs w:val="24"/>
    </w:rPr>
  </w:style>
  <w:style w:type="paragraph" w:styleId="a5">
    <w:name w:val="header"/>
    <w:basedOn w:val="a"/>
    <w:link w:val="Char1"/>
    <w:uiPriority w:val="99"/>
    <w:rsid w:val="005B1CBA"/>
    <w:pPr>
      <w:tabs>
        <w:tab w:val="center" w:pos="4153"/>
        <w:tab w:val="right" w:pos="8306"/>
      </w:tabs>
    </w:pPr>
  </w:style>
  <w:style w:type="character" w:customStyle="1" w:styleId="Char1">
    <w:name w:val="页眉 Char"/>
    <w:basedOn w:val="a0"/>
    <w:link w:val="a5"/>
    <w:uiPriority w:val="99"/>
    <w:locked/>
    <w:rsid w:val="005B1CBA"/>
    <w:rPr>
      <w:rFonts w:ascii="Times New Roman" w:hAnsi="Times New Roman" w:cs="Times New Roman"/>
      <w:sz w:val="24"/>
      <w:szCs w:val="24"/>
    </w:rPr>
  </w:style>
  <w:style w:type="paragraph" w:customStyle="1" w:styleId="TransitionalDescriptor">
    <w:name w:val="TransitionalDescriptor"/>
    <w:basedOn w:val="a"/>
    <w:uiPriority w:val="99"/>
    <w:rsid w:val="005B1CBA"/>
    <w:rPr>
      <w:rFonts w:ascii="TheSans B5 Plain" w:hAnsi="TheSans B5 Plain"/>
      <w:sz w:val="15"/>
      <w:szCs w:val="18"/>
      <w:lang w:val="en-US"/>
    </w:rPr>
  </w:style>
  <w:style w:type="character" w:styleId="a6">
    <w:name w:val="Strong"/>
    <w:basedOn w:val="a0"/>
    <w:uiPriority w:val="99"/>
    <w:qFormat/>
    <w:rsid w:val="005B1CBA"/>
    <w:rPr>
      <w:rFonts w:ascii="Times New Roman" w:hAnsi="Times New Roman" w:cs="Times New Roman"/>
      <w:b/>
    </w:rPr>
  </w:style>
  <w:style w:type="character" w:styleId="a7">
    <w:name w:val="Hyperlink"/>
    <w:basedOn w:val="a0"/>
    <w:uiPriority w:val="99"/>
    <w:rsid w:val="005B1CBA"/>
    <w:rPr>
      <w:rFonts w:cs="Times New Roman"/>
      <w:color w:val="0000FF"/>
      <w:u w:val="single"/>
    </w:rPr>
  </w:style>
  <w:style w:type="character" w:customStyle="1" w:styleId="companyprofilelink">
    <w:name w:val="companyprofilelink"/>
    <w:basedOn w:val="a0"/>
    <w:uiPriority w:val="99"/>
    <w:rsid w:val="005B1CBA"/>
    <w:rPr>
      <w:rFonts w:cs="Times New Roman"/>
    </w:rPr>
  </w:style>
  <w:style w:type="character" w:customStyle="1" w:styleId="personcompanyname">
    <w:name w:val="personcompanyname"/>
    <w:basedOn w:val="a0"/>
    <w:uiPriority w:val="99"/>
    <w:rsid w:val="005B1CBA"/>
    <w:rPr>
      <w:rFonts w:cs="Times New Roman"/>
    </w:rPr>
  </w:style>
  <w:style w:type="character" w:customStyle="1" w:styleId="companyaddress">
    <w:name w:val="companyaddress"/>
    <w:basedOn w:val="a0"/>
    <w:uiPriority w:val="99"/>
    <w:rsid w:val="005B1CBA"/>
    <w:rPr>
      <w:rFonts w:cs="Times New Roman"/>
    </w:rPr>
  </w:style>
  <w:style w:type="character" w:styleId="a8">
    <w:name w:val="annotation reference"/>
    <w:basedOn w:val="a0"/>
    <w:uiPriority w:val="99"/>
    <w:rsid w:val="005B1CBA"/>
    <w:rPr>
      <w:rFonts w:cs="Times New Roman"/>
      <w:sz w:val="16"/>
    </w:rPr>
  </w:style>
  <w:style w:type="paragraph" w:styleId="a9">
    <w:name w:val="annotation text"/>
    <w:basedOn w:val="a"/>
    <w:link w:val="Char2"/>
    <w:uiPriority w:val="99"/>
    <w:rsid w:val="005B1CBA"/>
    <w:rPr>
      <w:sz w:val="20"/>
      <w:szCs w:val="20"/>
      <w:lang w:val="en-US" w:eastAsia="zh-CN"/>
    </w:rPr>
  </w:style>
  <w:style w:type="character" w:customStyle="1" w:styleId="Char2">
    <w:name w:val="批注文字 Char"/>
    <w:basedOn w:val="a0"/>
    <w:link w:val="a9"/>
    <w:uiPriority w:val="99"/>
    <w:locked/>
    <w:rsid w:val="005B1CBA"/>
    <w:rPr>
      <w:rFonts w:ascii="Times New Roman" w:hAnsi="Times New Roman"/>
      <w:sz w:val="20"/>
    </w:rPr>
  </w:style>
  <w:style w:type="paragraph" w:styleId="aa">
    <w:name w:val="annotation subject"/>
    <w:basedOn w:val="a9"/>
    <w:next w:val="a9"/>
    <w:link w:val="Char3"/>
    <w:uiPriority w:val="99"/>
    <w:rsid w:val="005B1CBA"/>
    <w:rPr>
      <w:b/>
      <w:bCs/>
    </w:rPr>
  </w:style>
  <w:style w:type="character" w:customStyle="1" w:styleId="Char3">
    <w:name w:val="批注主题 Char"/>
    <w:basedOn w:val="Char2"/>
    <w:link w:val="aa"/>
    <w:uiPriority w:val="99"/>
    <w:locked/>
    <w:rsid w:val="005B1CBA"/>
    <w:rPr>
      <w:rFonts w:ascii="Times New Roman" w:hAnsi="Times New Roman"/>
      <w:b/>
      <w:sz w:val="20"/>
    </w:rPr>
  </w:style>
  <w:style w:type="paragraph" w:styleId="ab">
    <w:name w:val="Balloon Text"/>
    <w:basedOn w:val="a"/>
    <w:link w:val="Char4"/>
    <w:uiPriority w:val="99"/>
    <w:rsid w:val="005B1CBA"/>
    <w:rPr>
      <w:rFonts w:ascii="Tahoma" w:hAnsi="Tahoma"/>
      <w:sz w:val="16"/>
      <w:szCs w:val="16"/>
      <w:lang w:val="en-US" w:eastAsia="zh-CN"/>
    </w:rPr>
  </w:style>
  <w:style w:type="character" w:customStyle="1" w:styleId="Char4">
    <w:name w:val="批注框文本 Char"/>
    <w:basedOn w:val="a0"/>
    <w:link w:val="ab"/>
    <w:uiPriority w:val="99"/>
    <w:locked/>
    <w:rsid w:val="005B1CBA"/>
    <w:rPr>
      <w:rFonts w:ascii="Tahoma" w:hAnsi="Tahoma"/>
      <w:sz w:val="16"/>
    </w:rPr>
  </w:style>
  <w:style w:type="table" w:styleId="ac">
    <w:name w:val="Table Grid"/>
    <w:basedOn w:val="a1"/>
    <w:uiPriority w:val="99"/>
    <w:rsid w:val="005B1CBA"/>
    <w:rPr>
      <w:rFonts w:ascii="Times New Roman" w:hAnsi="Times New Roman"/>
      <w:kern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rsid w:val="005B1CBA"/>
    <w:rPr>
      <w:rFonts w:cs="Times New Roman"/>
      <w:color w:val="800080"/>
      <w:u w:val="single"/>
    </w:rPr>
  </w:style>
  <w:style w:type="paragraph" w:styleId="ae">
    <w:name w:val="Normal (Web)"/>
    <w:basedOn w:val="a"/>
    <w:uiPriority w:val="99"/>
    <w:rsid w:val="005B1CBA"/>
    <w:pPr>
      <w:spacing w:before="100" w:beforeAutospacing="1" w:after="100" w:afterAutospacing="1"/>
    </w:pPr>
    <w:rPr>
      <w:rFonts w:ascii="Times" w:hAnsi="Times"/>
      <w:sz w:val="20"/>
      <w:szCs w:val="20"/>
    </w:rPr>
  </w:style>
  <w:style w:type="character" w:customStyle="1" w:styleId="highlight">
    <w:name w:val="highlight"/>
    <w:uiPriority w:val="99"/>
    <w:rsid w:val="005B1CBA"/>
  </w:style>
  <w:style w:type="paragraph" w:styleId="af">
    <w:name w:val="No Spacing"/>
    <w:uiPriority w:val="99"/>
    <w:qFormat/>
    <w:rsid w:val="005B1CBA"/>
    <w:rPr>
      <w:kern w:val="0"/>
      <w:sz w:val="22"/>
      <w:lang w:val="en-GB" w:eastAsia="en-US"/>
    </w:rPr>
  </w:style>
  <w:style w:type="character" w:customStyle="1" w:styleId="jrnl">
    <w:name w:val="jrnl"/>
    <w:uiPriority w:val="99"/>
    <w:rsid w:val="005B1CBA"/>
  </w:style>
  <w:style w:type="paragraph" w:customStyle="1" w:styleId="p0">
    <w:name w:val="p0"/>
    <w:basedOn w:val="a"/>
    <w:uiPriority w:val="99"/>
    <w:rsid w:val="00B127B3"/>
    <w:pPr>
      <w:spacing w:line="240" w:lineRule="atLeast"/>
    </w:pPr>
    <w:rPr>
      <w:rFonts w:ascii="Century" w:hAnsi="Century" w:cs="宋体"/>
      <w:sz w:val="21"/>
      <w:szCs w:val="21"/>
      <w:lang w:val="en-US" w:eastAsia="zh-CN"/>
    </w:rPr>
  </w:style>
  <w:style w:type="paragraph" w:styleId="af0">
    <w:name w:val="List Paragraph"/>
    <w:basedOn w:val="a"/>
    <w:uiPriority w:val="99"/>
    <w:qFormat/>
    <w:rsid w:val="00180B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3469">
      <w:marLeft w:val="0"/>
      <w:marRight w:val="0"/>
      <w:marTop w:val="0"/>
      <w:marBottom w:val="0"/>
      <w:divBdr>
        <w:top w:val="none" w:sz="0" w:space="0" w:color="auto"/>
        <w:left w:val="none" w:sz="0" w:space="0" w:color="auto"/>
        <w:bottom w:val="none" w:sz="0" w:space="0" w:color="auto"/>
        <w:right w:val="none" w:sz="0" w:space="0" w:color="auto"/>
      </w:divBdr>
      <w:divsChild>
        <w:div w:id="608313452">
          <w:marLeft w:val="0"/>
          <w:marRight w:val="0"/>
          <w:marTop w:val="0"/>
          <w:marBottom w:val="0"/>
          <w:divBdr>
            <w:top w:val="none" w:sz="0" w:space="0" w:color="auto"/>
            <w:left w:val="none" w:sz="0" w:space="0" w:color="auto"/>
            <w:bottom w:val="none" w:sz="0" w:space="0" w:color="auto"/>
            <w:right w:val="none" w:sz="0" w:space="0" w:color="auto"/>
          </w:divBdr>
        </w:div>
        <w:div w:id="608313453">
          <w:marLeft w:val="0"/>
          <w:marRight w:val="0"/>
          <w:marTop w:val="0"/>
          <w:marBottom w:val="0"/>
          <w:divBdr>
            <w:top w:val="none" w:sz="0" w:space="0" w:color="auto"/>
            <w:left w:val="none" w:sz="0" w:space="0" w:color="auto"/>
            <w:bottom w:val="none" w:sz="0" w:space="0" w:color="auto"/>
            <w:right w:val="none" w:sz="0" w:space="0" w:color="auto"/>
          </w:divBdr>
        </w:div>
        <w:div w:id="608313454">
          <w:marLeft w:val="0"/>
          <w:marRight w:val="0"/>
          <w:marTop w:val="0"/>
          <w:marBottom w:val="0"/>
          <w:divBdr>
            <w:top w:val="none" w:sz="0" w:space="0" w:color="auto"/>
            <w:left w:val="none" w:sz="0" w:space="0" w:color="auto"/>
            <w:bottom w:val="none" w:sz="0" w:space="0" w:color="auto"/>
            <w:right w:val="none" w:sz="0" w:space="0" w:color="auto"/>
          </w:divBdr>
        </w:div>
        <w:div w:id="608313455">
          <w:marLeft w:val="0"/>
          <w:marRight w:val="0"/>
          <w:marTop w:val="0"/>
          <w:marBottom w:val="0"/>
          <w:divBdr>
            <w:top w:val="none" w:sz="0" w:space="0" w:color="auto"/>
            <w:left w:val="none" w:sz="0" w:space="0" w:color="auto"/>
            <w:bottom w:val="none" w:sz="0" w:space="0" w:color="auto"/>
            <w:right w:val="none" w:sz="0" w:space="0" w:color="auto"/>
          </w:divBdr>
        </w:div>
        <w:div w:id="608313456">
          <w:marLeft w:val="0"/>
          <w:marRight w:val="0"/>
          <w:marTop w:val="0"/>
          <w:marBottom w:val="0"/>
          <w:divBdr>
            <w:top w:val="none" w:sz="0" w:space="0" w:color="auto"/>
            <w:left w:val="none" w:sz="0" w:space="0" w:color="auto"/>
            <w:bottom w:val="none" w:sz="0" w:space="0" w:color="auto"/>
            <w:right w:val="none" w:sz="0" w:space="0" w:color="auto"/>
          </w:divBdr>
        </w:div>
        <w:div w:id="608313457">
          <w:marLeft w:val="0"/>
          <w:marRight w:val="0"/>
          <w:marTop w:val="0"/>
          <w:marBottom w:val="0"/>
          <w:divBdr>
            <w:top w:val="none" w:sz="0" w:space="0" w:color="auto"/>
            <w:left w:val="none" w:sz="0" w:space="0" w:color="auto"/>
            <w:bottom w:val="none" w:sz="0" w:space="0" w:color="auto"/>
            <w:right w:val="none" w:sz="0" w:space="0" w:color="auto"/>
          </w:divBdr>
        </w:div>
        <w:div w:id="608313458">
          <w:marLeft w:val="0"/>
          <w:marRight w:val="0"/>
          <w:marTop w:val="0"/>
          <w:marBottom w:val="0"/>
          <w:divBdr>
            <w:top w:val="none" w:sz="0" w:space="0" w:color="auto"/>
            <w:left w:val="none" w:sz="0" w:space="0" w:color="auto"/>
            <w:bottom w:val="none" w:sz="0" w:space="0" w:color="auto"/>
            <w:right w:val="none" w:sz="0" w:space="0" w:color="auto"/>
          </w:divBdr>
        </w:div>
        <w:div w:id="608313459">
          <w:marLeft w:val="0"/>
          <w:marRight w:val="0"/>
          <w:marTop w:val="0"/>
          <w:marBottom w:val="0"/>
          <w:divBdr>
            <w:top w:val="none" w:sz="0" w:space="0" w:color="auto"/>
            <w:left w:val="none" w:sz="0" w:space="0" w:color="auto"/>
            <w:bottom w:val="none" w:sz="0" w:space="0" w:color="auto"/>
            <w:right w:val="none" w:sz="0" w:space="0" w:color="auto"/>
          </w:divBdr>
        </w:div>
        <w:div w:id="608313460">
          <w:marLeft w:val="0"/>
          <w:marRight w:val="0"/>
          <w:marTop w:val="0"/>
          <w:marBottom w:val="0"/>
          <w:divBdr>
            <w:top w:val="none" w:sz="0" w:space="0" w:color="auto"/>
            <w:left w:val="none" w:sz="0" w:space="0" w:color="auto"/>
            <w:bottom w:val="none" w:sz="0" w:space="0" w:color="auto"/>
            <w:right w:val="none" w:sz="0" w:space="0" w:color="auto"/>
          </w:divBdr>
        </w:div>
        <w:div w:id="608313461">
          <w:marLeft w:val="0"/>
          <w:marRight w:val="0"/>
          <w:marTop w:val="0"/>
          <w:marBottom w:val="0"/>
          <w:divBdr>
            <w:top w:val="none" w:sz="0" w:space="0" w:color="auto"/>
            <w:left w:val="none" w:sz="0" w:space="0" w:color="auto"/>
            <w:bottom w:val="none" w:sz="0" w:space="0" w:color="auto"/>
            <w:right w:val="none" w:sz="0" w:space="0" w:color="auto"/>
          </w:divBdr>
        </w:div>
        <w:div w:id="608313462">
          <w:marLeft w:val="0"/>
          <w:marRight w:val="0"/>
          <w:marTop w:val="0"/>
          <w:marBottom w:val="0"/>
          <w:divBdr>
            <w:top w:val="none" w:sz="0" w:space="0" w:color="auto"/>
            <w:left w:val="none" w:sz="0" w:space="0" w:color="auto"/>
            <w:bottom w:val="none" w:sz="0" w:space="0" w:color="auto"/>
            <w:right w:val="none" w:sz="0" w:space="0" w:color="auto"/>
          </w:divBdr>
        </w:div>
        <w:div w:id="608313463">
          <w:marLeft w:val="0"/>
          <w:marRight w:val="0"/>
          <w:marTop w:val="0"/>
          <w:marBottom w:val="0"/>
          <w:divBdr>
            <w:top w:val="none" w:sz="0" w:space="0" w:color="auto"/>
            <w:left w:val="none" w:sz="0" w:space="0" w:color="auto"/>
            <w:bottom w:val="none" w:sz="0" w:space="0" w:color="auto"/>
            <w:right w:val="none" w:sz="0" w:space="0" w:color="auto"/>
          </w:divBdr>
        </w:div>
        <w:div w:id="608313464">
          <w:marLeft w:val="0"/>
          <w:marRight w:val="0"/>
          <w:marTop w:val="0"/>
          <w:marBottom w:val="0"/>
          <w:divBdr>
            <w:top w:val="none" w:sz="0" w:space="0" w:color="auto"/>
            <w:left w:val="none" w:sz="0" w:space="0" w:color="auto"/>
            <w:bottom w:val="none" w:sz="0" w:space="0" w:color="auto"/>
            <w:right w:val="none" w:sz="0" w:space="0" w:color="auto"/>
          </w:divBdr>
        </w:div>
        <w:div w:id="608313465">
          <w:marLeft w:val="0"/>
          <w:marRight w:val="0"/>
          <w:marTop w:val="0"/>
          <w:marBottom w:val="0"/>
          <w:divBdr>
            <w:top w:val="none" w:sz="0" w:space="0" w:color="auto"/>
            <w:left w:val="none" w:sz="0" w:space="0" w:color="auto"/>
            <w:bottom w:val="none" w:sz="0" w:space="0" w:color="auto"/>
            <w:right w:val="none" w:sz="0" w:space="0" w:color="auto"/>
          </w:divBdr>
        </w:div>
        <w:div w:id="608313466">
          <w:marLeft w:val="0"/>
          <w:marRight w:val="0"/>
          <w:marTop w:val="0"/>
          <w:marBottom w:val="0"/>
          <w:divBdr>
            <w:top w:val="none" w:sz="0" w:space="0" w:color="auto"/>
            <w:left w:val="none" w:sz="0" w:space="0" w:color="auto"/>
            <w:bottom w:val="none" w:sz="0" w:space="0" w:color="auto"/>
            <w:right w:val="none" w:sz="0" w:space="0" w:color="auto"/>
          </w:divBdr>
        </w:div>
        <w:div w:id="608313467">
          <w:marLeft w:val="0"/>
          <w:marRight w:val="0"/>
          <w:marTop w:val="0"/>
          <w:marBottom w:val="0"/>
          <w:divBdr>
            <w:top w:val="none" w:sz="0" w:space="0" w:color="auto"/>
            <w:left w:val="none" w:sz="0" w:space="0" w:color="auto"/>
            <w:bottom w:val="none" w:sz="0" w:space="0" w:color="auto"/>
            <w:right w:val="none" w:sz="0" w:space="0" w:color="auto"/>
          </w:divBdr>
        </w:div>
        <w:div w:id="608313468">
          <w:marLeft w:val="0"/>
          <w:marRight w:val="0"/>
          <w:marTop w:val="0"/>
          <w:marBottom w:val="0"/>
          <w:divBdr>
            <w:top w:val="none" w:sz="0" w:space="0" w:color="auto"/>
            <w:left w:val="none" w:sz="0" w:space="0" w:color="auto"/>
            <w:bottom w:val="none" w:sz="0" w:space="0" w:color="auto"/>
            <w:right w:val="none" w:sz="0" w:space="0" w:color="auto"/>
          </w:divBdr>
        </w:div>
        <w:div w:id="608313470">
          <w:marLeft w:val="0"/>
          <w:marRight w:val="0"/>
          <w:marTop w:val="0"/>
          <w:marBottom w:val="0"/>
          <w:divBdr>
            <w:top w:val="none" w:sz="0" w:space="0" w:color="auto"/>
            <w:left w:val="none" w:sz="0" w:space="0" w:color="auto"/>
            <w:bottom w:val="none" w:sz="0" w:space="0" w:color="auto"/>
            <w:right w:val="none" w:sz="0" w:space="0" w:color="auto"/>
          </w:divBdr>
        </w:div>
        <w:div w:id="608313471">
          <w:marLeft w:val="0"/>
          <w:marRight w:val="0"/>
          <w:marTop w:val="0"/>
          <w:marBottom w:val="0"/>
          <w:divBdr>
            <w:top w:val="none" w:sz="0" w:space="0" w:color="auto"/>
            <w:left w:val="none" w:sz="0" w:space="0" w:color="auto"/>
            <w:bottom w:val="none" w:sz="0" w:space="0" w:color="auto"/>
            <w:right w:val="none" w:sz="0" w:space="0" w:color="auto"/>
          </w:divBdr>
        </w:div>
        <w:div w:id="608313472">
          <w:marLeft w:val="0"/>
          <w:marRight w:val="0"/>
          <w:marTop w:val="0"/>
          <w:marBottom w:val="0"/>
          <w:divBdr>
            <w:top w:val="none" w:sz="0" w:space="0" w:color="auto"/>
            <w:left w:val="none" w:sz="0" w:space="0" w:color="auto"/>
            <w:bottom w:val="none" w:sz="0" w:space="0" w:color="auto"/>
            <w:right w:val="none" w:sz="0" w:space="0" w:color="auto"/>
          </w:divBdr>
        </w:div>
        <w:div w:id="608313473">
          <w:marLeft w:val="0"/>
          <w:marRight w:val="0"/>
          <w:marTop w:val="0"/>
          <w:marBottom w:val="0"/>
          <w:divBdr>
            <w:top w:val="none" w:sz="0" w:space="0" w:color="auto"/>
            <w:left w:val="none" w:sz="0" w:space="0" w:color="auto"/>
            <w:bottom w:val="none" w:sz="0" w:space="0" w:color="auto"/>
            <w:right w:val="none" w:sz="0" w:space="0" w:color="auto"/>
          </w:divBdr>
        </w:div>
        <w:div w:id="608313474">
          <w:marLeft w:val="0"/>
          <w:marRight w:val="0"/>
          <w:marTop w:val="0"/>
          <w:marBottom w:val="0"/>
          <w:divBdr>
            <w:top w:val="none" w:sz="0" w:space="0" w:color="auto"/>
            <w:left w:val="none" w:sz="0" w:space="0" w:color="auto"/>
            <w:bottom w:val="none" w:sz="0" w:space="0" w:color="auto"/>
            <w:right w:val="none" w:sz="0" w:space="0" w:color="auto"/>
          </w:divBdr>
        </w:div>
        <w:div w:id="608313475">
          <w:marLeft w:val="0"/>
          <w:marRight w:val="0"/>
          <w:marTop w:val="0"/>
          <w:marBottom w:val="0"/>
          <w:divBdr>
            <w:top w:val="none" w:sz="0" w:space="0" w:color="auto"/>
            <w:left w:val="none" w:sz="0" w:space="0" w:color="auto"/>
            <w:bottom w:val="none" w:sz="0" w:space="0" w:color="auto"/>
            <w:right w:val="none" w:sz="0" w:space="0" w:color="auto"/>
          </w:divBdr>
        </w:div>
        <w:div w:id="608313476">
          <w:marLeft w:val="0"/>
          <w:marRight w:val="0"/>
          <w:marTop w:val="0"/>
          <w:marBottom w:val="0"/>
          <w:divBdr>
            <w:top w:val="none" w:sz="0" w:space="0" w:color="auto"/>
            <w:left w:val="none" w:sz="0" w:space="0" w:color="auto"/>
            <w:bottom w:val="none" w:sz="0" w:space="0" w:color="auto"/>
            <w:right w:val="none" w:sz="0" w:space="0" w:color="auto"/>
          </w:divBdr>
        </w:div>
        <w:div w:id="608313477">
          <w:marLeft w:val="0"/>
          <w:marRight w:val="0"/>
          <w:marTop w:val="0"/>
          <w:marBottom w:val="0"/>
          <w:divBdr>
            <w:top w:val="none" w:sz="0" w:space="0" w:color="auto"/>
            <w:left w:val="none" w:sz="0" w:space="0" w:color="auto"/>
            <w:bottom w:val="none" w:sz="0" w:space="0" w:color="auto"/>
            <w:right w:val="none" w:sz="0" w:space="0" w:color="auto"/>
          </w:divBdr>
        </w:div>
        <w:div w:id="608313478">
          <w:marLeft w:val="0"/>
          <w:marRight w:val="0"/>
          <w:marTop w:val="0"/>
          <w:marBottom w:val="0"/>
          <w:divBdr>
            <w:top w:val="none" w:sz="0" w:space="0" w:color="auto"/>
            <w:left w:val="none" w:sz="0" w:space="0" w:color="auto"/>
            <w:bottom w:val="none" w:sz="0" w:space="0" w:color="auto"/>
            <w:right w:val="none" w:sz="0" w:space="0" w:color="auto"/>
          </w:divBdr>
        </w:div>
        <w:div w:id="608313479">
          <w:marLeft w:val="0"/>
          <w:marRight w:val="0"/>
          <w:marTop w:val="0"/>
          <w:marBottom w:val="0"/>
          <w:divBdr>
            <w:top w:val="none" w:sz="0" w:space="0" w:color="auto"/>
            <w:left w:val="none" w:sz="0" w:space="0" w:color="auto"/>
            <w:bottom w:val="none" w:sz="0" w:space="0" w:color="auto"/>
            <w:right w:val="none" w:sz="0" w:space="0" w:color="auto"/>
          </w:divBdr>
        </w:div>
        <w:div w:id="608313480">
          <w:marLeft w:val="0"/>
          <w:marRight w:val="0"/>
          <w:marTop w:val="0"/>
          <w:marBottom w:val="0"/>
          <w:divBdr>
            <w:top w:val="none" w:sz="0" w:space="0" w:color="auto"/>
            <w:left w:val="none" w:sz="0" w:space="0" w:color="auto"/>
            <w:bottom w:val="none" w:sz="0" w:space="0" w:color="auto"/>
            <w:right w:val="none" w:sz="0" w:space="0" w:color="auto"/>
          </w:divBdr>
        </w:div>
        <w:div w:id="608313481">
          <w:marLeft w:val="0"/>
          <w:marRight w:val="0"/>
          <w:marTop w:val="0"/>
          <w:marBottom w:val="0"/>
          <w:divBdr>
            <w:top w:val="none" w:sz="0" w:space="0" w:color="auto"/>
            <w:left w:val="none" w:sz="0" w:space="0" w:color="auto"/>
            <w:bottom w:val="none" w:sz="0" w:space="0" w:color="auto"/>
            <w:right w:val="none" w:sz="0" w:space="0" w:color="auto"/>
          </w:divBdr>
        </w:div>
        <w:div w:id="608313482">
          <w:marLeft w:val="0"/>
          <w:marRight w:val="0"/>
          <w:marTop w:val="0"/>
          <w:marBottom w:val="0"/>
          <w:divBdr>
            <w:top w:val="none" w:sz="0" w:space="0" w:color="auto"/>
            <w:left w:val="none" w:sz="0" w:space="0" w:color="auto"/>
            <w:bottom w:val="none" w:sz="0" w:space="0" w:color="auto"/>
            <w:right w:val="none" w:sz="0" w:space="0" w:color="auto"/>
          </w:divBdr>
        </w:div>
        <w:div w:id="608313483">
          <w:marLeft w:val="0"/>
          <w:marRight w:val="0"/>
          <w:marTop w:val="0"/>
          <w:marBottom w:val="0"/>
          <w:divBdr>
            <w:top w:val="none" w:sz="0" w:space="0" w:color="auto"/>
            <w:left w:val="none" w:sz="0" w:space="0" w:color="auto"/>
            <w:bottom w:val="none" w:sz="0" w:space="0" w:color="auto"/>
            <w:right w:val="none" w:sz="0" w:space="0" w:color="auto"/>
          </w:divBdr>
        </w:div>
        <w:div w:id="608313484">
          <w:marLeft w:val="0"/>
          <w:marRight w:val="0"/>
          <w:marTop w:val="0"/>
          <w:marBottom w:val="0"/>
          <w:divBdr>
            <w:top w:val="none" w:sz="0" w:space="0" w:color="auto"/>
            <w:left w:val="none" w:sz="0" w:space="0" w:color="auto"/>
            <w:bottom w:val="none" w:sz="0" w:space="0" w:color="auto"/>
            <w:right w:val="none" w:sz="0" w:space="0" w:color="auto"/>
          </w:divBdr>
        </w:div>
        <w:div w:id="608313485">
          <w:marLeft w:val="0"/>
          <w:marRight w:val="0"/>
          <w:marTop w:val="0"/>
          <w:marBottom w:val="0"/>
          <w:divBdr>
            <w:top w:val="none" w:sz="0" w:space="0" w:color="auto"/>
            <w:left w:val="none" w:sz="0" w:space="0" w:color="auto"/>
            <w:bottom w:val="none" w:sz="0" w:space="0" w:color="auto"/>
            <w:right w:val="none" w:sz="0" w:space="0" w:color="auto"/>
          </w:divBdr>
        </w:div>
        <w:div w:id="608313486">
          <w:marLeft w:val="0"/>
          <w:marRight w:val="0"/>
          <w:marTop w:val="0"/>
          <w:marBottom w:val="0"/>
          <w:divBdr>
            <w:top w:val="none" w:sz="0" w:space="0" w:color="auto"/>
            <w:left w:val="none" w:sz="0" w:space="0" w:color="auto"/>
            <w:bottom w:val="none" w:sz="0" w:space="0" w:color="auto"/>
            <w:right w:val="none" w:sz="0" w:space="0" w:color="auto"/>
          </w:divBdr>
        </w:div>
        <w:div w:id="608313487">
          <w:marLeft w:val="0"/>
          <w:marRight w:val="0"/>
          <w:marTop w:val="0"/>
          <w:marBottom w:val="0"/>
          <w:divBdr>
            <w:top w:val="none" w:sz="0" w:space="0" w:color="auto"/>
            <w:left w:val="none" w:sz="0" w:space="0" w:color="auto"/>
            <w:bottom w:val="none" w:sz="0" w:space="0" w:color="auto"/>
            <w:right w:val="none" w:sz="0" w:space="0" w:color="auto"/>
          </w:divBdr>
        </w:div>
        <w:div w:id="608313488">
          <w:marLeft w:val="0"/>
          <w:marRight w:val="0"/>
          <w:marTop w:val="0"/>
          <w:marBottom w:val="0"/>
          <w:divBdr>
            <w:top w:val="none" w:sz="0" w:space="0" w:color="auto"/>
            <w:left w:val="none" w:sz="0" w:space="0" w:color="auto"/>
            <w:bottom w:val="none" w:sz="0" w:space="0" w:color="auto"/>
            <w:right w:val="none" w:sz="0" w:space="0" w:color="auto"/>
          </w:divBdr>
        </w:div>
        <w:div w:id="608313489">
          <w:marLeft w:val="0"/>
          <w:marRight w:val="0"/>
          <w:marTop w:val="0"/>
          <w:marBottom w:val="0"/>
          <w:divBdr>
            <w:top w:val="none" w:sz="0" w:space="0" w:color="auto"/>
            <w:left w:val="none" w:sz="0" w:space="0" w:color="auto"/>
            <w:bottom w:val="none" w:sz="0" w:space="0" w:color="auto"/>
            <w:right w:val="none" w:sz="0" w:space="0" w:color="auto"/>
          </w:divBdr>
        </w:div>
        <w:div w:id="608313490">
          <w:marLeft w:val="0"/>
          <w:marRight w:val="0"/>
          <w:marTop w:val="0"/>
          <w:marBottom w:val="0"/>
          <w:divBdr>
            <w:top w:val="none" w:sz="0" w:space="0" w:color="auto"/>
            <w:left w:val="none" w:sz="0" w:space="0" w:color="auto"/>
            <w:bottom w:val="none" w:sz="0" w:space="0" w:color="auto"/>
            <w:right w:val="none" w:sz="0" w:space="0" w:color="auto"/>
          </w:divBdr>
        </w:div>
        <w:div w:id="608313491">
          <w:marLeft w:val="0"/>
          <w:marRight w:val="0"/>
          <w:marTop w:val="0"/>
          <w:marBottom w:val="0"/>
          <w:divBdr>
            <w:top w:val="none" w:sz="0" w:space="0" w:color="auto"/>
            <w:left w:val="none" w:sz="0" w:space="0" w:color="auto"/>
            <w:bottom w:val="none" w:sz="0" w:space="0" w:color="auto"/>
            <w:right w:val="none" w:sz="0" w:space="0" w:color="auto"/>
          </w:divBdr>
        </w:div>
        <w:div w:id="608313492">
          <w:marLeft w:val="0"/>
          <w:marRight w:val="0"/>
          <w:marTop w:val="0"/>
          <w:marBottom w:val="0"/>
          <w:divBdr>
            <w:top w:val="none" w:sz="0" w:space="0" w:color="auto"/>
            <w:left w:val="none" w:sz="0" w:space="0" w:color="auto"/>
            <w:bottom w:val="none" w:sz="0" w:space="0" w:color="auto"/>
            <w:right w:val="none" w:sz="0" w:space="0" w:color="auto"/>
          </w:divBdr>
        </w:div>
        <w:div w:id="608313493">
          <w:marLeft w:val="0"/>
          <w:marRight w:val="0"/>
          <w:marTop w:val="0"/>
          <w:marBottom w:val="0"/>
          <w:divBdr>
            <w:top w:val="none" w:sz="0" w:space="0" w:color="auto"/>
            <w:left w:val="none" w:sz="0" w:space="0" w:color="auto"/>
            <w:bottom w:val="none" w:sz="0" w:space="0" w:color="auto"/>
            <w:right w:val="none" w:sz="0" w:space="0" w:color="auto"/>
          </w:divBdr>
        </w:div>
        <w:div w:id="608313494">
          <w:marLeft w:val="0"/>
          <w:marRight w:val="0"/>
          <w:marTop w:val="0"/>
          <w:marBottom w:val="0"/>
          <w:divBdr>
            <w:top w:val="none" w:sz="0" w:space="0" w:color="auto"/>
            <w:left w:val="none" w:sz="0" w:space="0" w:color="auto"/>
            <w:bottom w:val="none" w:sz="0" w:space="0" w:color="auto"/>
            <w:right w:val="none" w:sz="0" w:space="0" w:color="auto"/>
          </w:divBdr>
        </w:div>
        <w:div w:id="608313495">
          <w:marLeft w:val="0"/>
          <w:marRight w:val="0"/>
          <w:marTop w:val="0"/>
          <w:marBottom w:val="0"/>
          <w:divBdr>
            <w:top w:val="none" w:sz="0" w:space="0" w:color="auto"/>
            <w:left w:val="none" w:sz="0" w:space="0" w:color="auto"/>
            <w:bottom w:val="none" w:sz="0" w:space="0" w:color="auto"/>
            <w:right w:val="none" w:sz="0" w:space="0" w:color="auto"/>
          </w:divBdr>
        </w:div>
        <w:div w:id="608313496">
          <w:marLeft w:val="0"/>
          <w:marRight w:val="0"/>
          <w:marTop w:val="0"/>
          <w:marBottom w:val="0"/>
          <w:divBdr>
            <w:top w:val="none" w:sz="0" w:space="0" w:color="auto"/>
            <w:left w:val="none" w:sz="0" w:space="0" w:color="auto"/>
            <w:bottom w:val="none" w:sz="0" w:space="0" w:color="auto"/>
            <w:right w:val="none" w:sz="0" w:space="0" w:color="auto"/>
          </w:divBdr>
        </w:div>
        <w:div w:id="608313497">
          <w:marLeft w:val="0"/>
          <w:marRight w:val="0"/>
          <w:marTop w:val="0"/>
          <w:marBottom w:val="0"/>
          <w:divBdr>
            <w:top w:val="none" w:sz="0" w:space="0" w:color="auto"/>
            <w:left w:val="none" w:sz="0" w:space="0" w:color="auto"/>
            <w:bottom w:val="none" w:sz="0" w:space="0" w:color="auto"/>
            <w:right w:val="none" w:sz="0" w:space="0" w:color="auto"/>
          </w:divBdr>
        </w:div>
        <w:div w:id="608313498">
          <w:marLeft w:val="0"/>
          <w:marRight w:val="0"/>
          <w:marTop w:val="0"/>
          <w:marBottom w:val="0"/>
          <w:divBdr>
            <w:top w:val="none" w:sz="0" w:space="0" w:color="auto"/>
            <w:left w:val="none" w:sz="0" w:space="0" w:color="auto"/>
            <w:bottom w:val="none" w:sz="0" w:space="0" w:color="auto"/>
            <w:right w:val="none" w:sz="0" w:space="0" w:color="auto"/>
          </w:divBdr>
        </w:div>
        <w:div w:id="608313499">
          <w:marLeft w:val="0"/>
          <w:marRight w:val="0"/>
          <w:marTop w:val="0"/>
          <w:marBottom w:val="0"/>
          <w:divBdr>
            <w:top w:val="none" w:sz="0" w:space="0" w:color="auto"/>
            <w:left w:val="none" w:sz="0" w:space="0" w:color="auto"/>
            <w:bottom w:val="none" w:sz="0" w:space="0" w:color="auto"/>
            <w:right w:val="none" w:sz="0" w:space="0" w:color="auto"/>
          </w:divBdr>
        </w:div>
        <w:div w:id="608313500">
          <w:marLeft w:val="0"/>
          <w:marRight w:val="0"/>
          <w:marTop w:val="0"/>
          <w:marBottom w:val="0"/>
          <w:divBdr>
            <w:top w:val="none" w:sz="0" w:space="0" w:color="auto"/>
            <w:left w:val="none" w:sz="0" w:space="0" w:color="auto"/>
            <w:bottom w:val="none" w:sz="0" w:space="0" w:color="auto"/>
            <w:right w:val="none" w:sz="0" w:space="0" w:color="auto"/>
          </w:divBdr>
        </w:div>
        <w:div w:id="608313501">
          <w:marLeft w:val="0"/>
          <w:marRight w:val="0"/>
          <w:marTop w:val="0"/>
          <w:marBottom w:val="0"/>
          <w:divBdr>
            <w:top w:val="none" w:sz="0" w:space="0" w:color="auto"/>
            <w:left w:val="none" w:sz="0" w:space="0" w:color="auto"/>
            <w:bottom w:val="none" w:sz="0" w:space="0" w:color="auto"/>
            <w:right w:val="none" w:sz="0" w:space="0" w:color="auto"/>
          </w:divBdr>
        </w:div>
        <w:div w:id="608313502">
          <w:marLeft w:val="0"/>
          <w:marRight w:val="0"/>
          <w:marTop w:val="0"/>
          <w:marBottom w:val="0"/>
          <w:divBdr>
            <w:top w:val="none" w:sz="0" w:space="0" w:color="auto"/>
            <w:left w:val="none" w:sz="0" w:space="0" w:color="auto"/>
            <w:bottom w:val="none" w:sz="0" w:space="0" w:color="auto"/>
            <w:right w:val="none" w:sz="0" w:space="0" w:color="auto"/>
          </w:divBdr>
        </w:div>
        <w:div w:id="608313503">
          <w:marLeft w:val="0"/>
          <w:marRight w:val="0"/>
          <w:marTop w:val="0"/>
          <w:marBottom w:val="0"/>
          <w:divBdr>
            <w:top w:val="none" w:sz="0" w:space="0" w:color="auto"/>
            <w:left w:val="none" w:sz="0" w:space="0" w:color="auto"/>
            <w:bottom w:val="none" w:sz="0" w:space="0" w:color="auto"/>
            <w:right w:val="none" w:sz="0" w:space="0" w:color="auto"/>
          </w:divBdr>
        </w:div>
        <w:div w:id="608313504">
          <w:marLeft w:val="0"/>
          <w:marRight w:val="0"/>
          <w:marTop w:val="0"/>
          <w:marBottom w:val="0"/>
          <w:divBdr>
            <w:top w:val="none" w:sz="0" w:space="0" w:color="auto"/>
            <w:left w:val="none" w:sz="0" w:space="0" w:color="auto"/>
            <w:bottom w:val="none" w:sz="0" w:space="0" w:color="auto"/>
            <w:right w:val="none" w:sz="0" w:space="0" w:color="auto"/>
          </w:divBdr>
        </w:div>
        <w:div w:id="608313505">
          <w:marLeft w:val="0"/>
          <w:marRight w:val="0"/>
          <w:marTop w:val="0"/>
          <w:marBottom w:val="0"/>
          <w:divBdr>
            <w:top w:val="none" w:sz="0" w:space="0" w:color="auto"/>
            <w:left w:val="none" w:sz="0" w:space="0" w:color="auto"/>
            <w:bottom w:val="none" w:sz="0" w:space="0" w:color="auto"/>
            <w:right w:val="none" w:sz="0" w:space="0" w:color="auto"/>
          </w:divBdr>
        </w:div>
        <w:div w:id="608313506">
          <w:marLeft w:val="0"/>
          <w:marRight w:val="0"/>
          <w:marTop w:val="0"/>
          <w:marBottom w:val="0"/>
          <w:divBdr>
            <w:top w:val="none" w:sz="0" w:space="0" w:color="auto"/>
            <w:left w:val="none" w:sz="0" w:space="0" w:color="auto"/>
            <w:bottom w:val="none" w:sz="0" w:space="0" w:color="auto"/>
            <w:right w:val="none" w:sz="0" w:space="0" w:color="auto"/>
          </w:divBdr>
        </w:div>
        <w:div w:id="608313507">
          <w:marLeft w:val="0"/>
          <w:marRight w:val="0"/>
          <w:marTop w:val="0"/>
          <w:marBottom w:val="0"/>
          <w:divBdr>
            <w:top w:val="none" w:sz="0" w:space="0" w:color="auto"/>
            <w:left w:val="none" w:sz="0" w:space="0" w:color="auto"/>
            <w:bottom w:val="none" w:sz="0" w:space="0" w:color="auto"/>
            <w:right w:val="none" w:sz="0" w:space="0" w:color="auto"/>
          </w:divBdr>
        </w:div>
        <w:div w:id="608313508">
          <w:marLeft w:val="0"/>
          <w:marRight w:val="0"/>
          <w:marTop w:val="0"/>
          <w:marBottom w:val="0"/>
          <w:divBdr>
            <w:top w:val="none" w:sz="0" w:space="0" w:color="auto"/>
            <w:left w:val="none" w:sz="0" w:space="0" w:color="auto"/>
            <w:bottom w:val="none" w:sz="0" w:space="0" w:color="auto"/>
            <w:right w:val="none" w:sz="0" w:space="0" w:color="auto"/>
          </w:divBdr>
        </w:div>
        <w:div w:id="608313509">
          <w:marLeft w:val="0"/>
          <w:marRight w:val="0"/>
          <w:marTop w:val="0"/>
          <w:marBottom w:val="0"/>
          <w:divBdr>
            <w:top w:val="none" w:sz="0" w:space="0" w:color="auto"/>
            <w:left w:val="none" w:sz="0" w:space="0" w:color="auto"/>
            <w:bottom w:val="none" w:sz="0" w:space="0" w:color="auto"/>
            <w:right w:val="none" w:sz="0" w:space="0" w:color="auto"/>
          </w:divBdr>
        </w:div>
        <w:div w:id="608313510">
          <w:marLeft w:val="0"/>
          <w:marRight w:val="0"/>
          <w:marTop w:val="0"/>
          <w:marBottom w:val="0"/>
          <w:divBdr>
            <w:top w:val="none" w:sz="0" w:space="0" w:color="auto"/>
            <w:left w:val="none" w:sz="0" w:space="0" w:color="auto"/>
            <w:bottom w:val="none" w:sz="0" w:space="0" w:color="auto"/>
            <w:right w:val="none" w:sz="0" w:space="0" w:color="auto"/>
          </w:divBdr>
        </w:div>
        <w:div w:id="608313511">
          <w:marLeft w:val="0"/>
          <w:marRight w:val="0"/>
          <w:marTop w:val="0"/>
          <w:marBottom w:val="0"/>
          <w:divBdr>
            <w:top w:val="none" w:sz="0" w:space="0" w:color="auto"/>
            <w:left w:val="none" w:sz="0" w:space="0" w:color="auto"/>
            <w:bottom w:val="none" w:sz="0" w:space="0" w:color="auto"/>
            <w:right w:val="none" w:sz="0" w:space="0" w:color="auto"/>
          </w:divBdr>
        </w:div>
        <w:div w:id="608313512">
          <w:marLeft w:val="0"/>
          <w:marRight w:val="0"/>
          <w:marTop w:val="0"/>
          <w:marBottom w:val="0"/>
          <w:divBdr>
            <w:top w:val="none" w:sz="0" w:space="0" w:color="auto"/>
            <w:left w:val="none" w:sz="0" w:space="0" w:color="auto"/>
            <w:bottom w:val="none" w:sz="0" w:space="0" w:color="auto"/>
            <w:right w:val="none" w:sz="0" w:space="0" w:color="auto"/>
          </w:divBdr>
        </w:div>
        <w:div w:id="608313513">
          <w:marLeft w:val="0"/>
          <w:marRight w:val="0"/>
          <w:marTop w:val="0"/>
          <w:marBottom w:val="0"/>
          <w:divBdr>
            <w:top w:val="none" w:sz="0" w:space="0" w:color="auto"/>
            <w:left w:val="none" w:sz="0" w:space="0" w:color="auto"/>
            <w:bottom w:val="none" w:sz="0" w:space="0" w:color="auto"/>
            <w:right w:val="none" w:sz="0" w:space="0" w:color="auto"/>
          </w:divBdr>
        </w:div>
        <w:div w:id="608313514">
          <w:marLeft w:val="0"/>
          <w:marRight w:val="0"/>
          <w:marTop w:val="0"/>
          <w:marBottom w:val="0"/>
          <w:divBdr>
            <w:top w:val="none" w:sz="0" w:space="0" w:color="auto"/>
            <w:left w:val="none" w:sz="0" w:space="0" w:color="auto"/>
            <w:bottom w:val="none" w:sz="0" w:space="0" w:color="auto"/>
            <w:right w:val="none" w:sz="0" w:space="0" w:color="auto"/>
          </w:divBdr>
        </w:div>
        <w:div w:id="608313515">
          <w:marLeft w:val="0"/>
          <w:marRight w:val="0"/>
          <w:marTop w:val="0"/>
          <w:marBottom w:val="0"/>
          <w:divBdr>
            <w:top w:val="none" w:sz="0" w:space="0" w:color="auto"/>
            <w:left w:val="none" w:sz="0" w:space="0" w:color="auto"/>
            <w:bottom w:val="none" w:sz="0" w:space="0" w:color="auto"/>
            <w:right w:val="none" w:sz="0" w:space="0" w:color="auto"/>
          </w:divBdr>
        </w:div>
        <w:div w:id="608313516">
          <w:marLeft w:val="0"/>
          <w:marRight w:val="0"/>
          <w:marTop w:val="0"/>
          <w:marBottom w:val="0"/>
          <w:divBdr>
            <w:top w:val="none" w:sz="0" w:space="0" w:color="auto"/>
            <w:left w:val="none" w:sz="0" w:space="0" w:color="auto"/>
            <w:bottom w:val="none" w:sz="0" w:space="0" w:color="auto"/>
            <w:right w:val="none" w:sz="0" w:space="0" w:color="auto"/>
          </w:divBdr>
        </w:div>
        <w:div w:id="608313517">
          <w:marLeft w:val="0"/>
          <w:marRight w:val="0"/>
          <w:marTop w:val="0"/>
          <w:marBottom w:val="0"/>
          <w:divBdr>
            <w:top w:val="none" w:sz="0" w:space="0" w:color="auto"/>
            <w:left w:val="none" w:sz="0" w:space="0" w:color="auto"/>
            <w:bottom w:val="none" w:sz="0" w:space="0" w:color="auto"/>
            <w:right w:val="none" w:sz="0" w:space="0" w:color="auto"/>
          </w:divBdr>
        </w:div>
        <w:div w:id="608313518">
          <w:marLeft w:val="0"/>
          <w:marRight w:val="0"/>
          <w:marTop w:val="0"/>
          <w:marBottom w:val="0"/>
          <w:divBdr>
            <w:top w:val="none" w:sz="0" w:space="0" w:color="auto"/>
            <w:left w:val="none" w:sz="0" w:space="0" w:color="auto"/>
            <w:bottom w:val="none" w:sz="0" w:space="0" w:color="auto"/>
            <w:right w:val="none" w:sz="0" w:space="0" w:color="auto"/>
          </w:divBdr>
        </w:div>
        <w:div w:id="608313519">
          <w:marLeft w:val="0"/>
          <w:marRight w:val="0"/>
          <w:marTop w:val="0"/>
          <w:marBottom w:val="0"/>
          <w:divBdr>
            <w:top w:val="none" w:sz="0" w:space="0" w:color="auto"/>
            <w:left w:val="none" w:sz="0" w:space="0" w:color="auto"/>
            <w:bottom w:val="none" w:sz="0" w:space="0" w:color="auto"/>
            <w:right w:val="none" w:sz="0" w:space="0" w:color="auto"/>
          </w:divBdr>
        </w:div>
        <w:div w:id="608313520">
          <w:marLeft w:val="0"/>
          <w:marRight w:val="0"/>
          <w:marTop w:val="0"/>
          <w:marBottom w:val="0"/>
          <w:divBdr>
            <w:top w:val="none" w:sz="0" w:space="0" w:color="auto"/>
            <w:left w:val="none" w:sz="0" w:space="0" w:color="auto"/>
            <w:bottom w:val="none" w:sz="0" w:space="0" w:color="auto"/>
            <w:right w:val="none" w:sz="0" w:space="0" w:color="auto"/>
          </w:divBdr>
        </w:div>
        <w:div w:id="608313521">
          <w:marLeft w:val="0"/>
          <w:marRight w:val="0"/>
          <w:marTop w:val="0"/>
          <w:marBottom w:val="0"/>
          <w:divBdr>
            <w:top w:val="none" w:sz="0" w:space="0" w:color="auto"/>
            <w:left w:val="none" w:sz="0" w:space="0" w:color="auto"/>
            <w:bottom w:val="none" w:sz="0" w:space="0" w:color="auto"/>
            <w:right w:val="none" w:sz="0" w:space="0" w:color="auto"/>
          </w:divBdr>
        </w:div>
        <w:div w:id="608313522">
          <w:marLeft w:val="0"/>
          <w:marRight w:val="0"/>
          <w:marTop w:val="0"/>
          <w:marBottom w:val="0"/>
          <w:divBdr>
            <w:top w:val="none" w:sz="0" w:space="0" w:color="auto"/>
            <w:left w:val="none" w:sz="0" w:space="0" w:color="auto"/>
            <w:bottom w:val="none" w:sz="0" w:space="0" w:color="auto"/>
            <w:right w:val="none" w:sz="0" w:space="0" w:color="auto"/>
          </w:divBdr>
        </w:div>
        <w:div w:id="608313523">
          <w:marLeft w:val="0"/>
          <w:marRight w:val="0"/>
          <w:marTop w:val="0"/>
          <w:marBottom w:val="0"/>
          <w:divBdr>
            <w:top w:val="none" w:sz="0" w:space="0" w:color="auto"/>
            <w:left w:val="none" w:sz="0" w:space="0" w:color="auto"/>
            <w:bottom w:val="none" w:sz="0" w:space="0" w:color="auto"/>
            <w:right w:val="none" w:sz="0" w:space="0" w:color="auto"/>
          </w:divBdr>
        </w:div>
        <w:div w:id="608313524">
          <w:marLeft w:val="0"/>
          <w:marRight w:val="0"/>
          <w:marTop w:val="0"/>
          <w:marBottom w:val="0"/>
          <w:divBdr>
            <w:top w:val="none" w:sz="0" w:space="0" w:color="auto"/>
            <w:left w:val="none" w:sz="0" w:space="0" w:color="auto"/>
            <w:bottom w:val="none" w:sz="0" w:space="0" w:color="auto"/>
            <w:right w:val="none" w:sz="0" w:space="0" w:color="auto"/>
          </w:divBdr>
        </w:div>
        <w:div w:id="608313525">
          <w:marLeft w:val="0"/>
          <w:marRight w:val="0"/>
          <w:marTop w:val="0"/>
          <w:marBottom w:val="0"/>
          <w:divBdr>
            <w:top w:val="none" w:sz="0" w:space="0" w:color="auto"/>
            <w:left w:val="none" w:sz="0" w:space="0" w:color="auto"/>
            <w:bottom w:val="none" w:sz="0" w:space="0" w:color="auto"/>
            <w:right w:val="none" w:sz="0" w:space="0" w:color="auto"/>
          </w:divBdr>
        </w:div>
        <w:div w:id="608313526">
          <w:marLeft w:val="0"/>
          <w:marRight w:val="0"/>
          <w:marTop w:val="0"/>
          <w:marBottom w:val="0"/>
          <w:divBdr>
            <w:top w:val="none" w:sz="0" w:space="0" w:color="auto"/>
            <w:left w:val="none" w:sz="0" w:space="0" w:color="auto"/>
            <w:bottom w:val="none" w:sz="0" w:space="0" w:color="auto"/>
            <w:right w:val="none" w:sz="0" w:space="0" w:color="auto"/>
          </w:divBdr>
        </w:div>
        <w:div w:id="608313527">
          <w:marLeft w:val="0"/>
          <w:marRight w:val="0"/>
          <w:marTop w:val="0"/>
          <w:marBottom w:val="0"/>
          <w:divBdr>
            <w:top w:val="none" w:sz="0" w:space="0" w:color="auto"/>
            <w:left w:val="none" w:sz="0" w:space="0" w:color="auto"/>
            <w:bottom w:val="none" w:sz="0" w:space="0" w:color="auto"/>
            <w:right w:val="none" w:sz="0" w:space="0" w:color="auto"/>
          </w:divBdr>
        </w:div>
        <w:div w:id="608313528">
          <w:marLeft w:val="0"/>
          <w:marRight w:val="0"/>
          <w:marTop w:val="0"/>
          <w:marBottom w:val="0"/>
          <w:divBdr>
            <w:top w:val="none" w:sz="0" w:space="0" w:color="auto"/>
            <w:left w:val="none" w:sz="0" w:space="0" w:color="auto"/>
            <w:bottom w:val="none" w:sz="0" w:space="0" w:color="auto"/>
            <w:right w:val="none" w:sz="0" w:space="0" w:color="auto"/>
          </w:divBdr>
        </w:div>
        <w:div w:id="608313529">
          <w:marLeft w:val="0"/>
          <w:marRight w:val="0"/>
          <w:marTop w:val="0"/>
          <w:marBottom w:val="0"/>
          <w:divBdr>
            <w:top w:val="none" w:sz="0" w:space="0" w:color="auto"/>
            <w:left w:val="none" w:sz="0" w:space="0" w:color="auto"/>
            <w:bottom w:val="none" w:sz="0" w:space="0" w:color="auto"/>
            <w:right w:val="none" w:sz="0" w:space="0" w:color="auto"/>
          </w:divBdr>
        </w:div>
        <w:div w:id="608313530">
          <w:marLeft w:val="0"/>
          <w:marRight w:val="0"/>
          <w:marTop w:val="0"/>
          <w:marBottom w:val="0"/>
          <w:divBdr>
            <w:top w:val="none" w:sz="0" w:space="0" w:color="auto"/>
            <w:left w:val="none" w:sz="0" w:space="0" w:color="auto"/>
            <w:bottom w:val="none" w:sz="0" w:space="0" w:color="auto"/>
            <w:right w:val="none" w:sz="0" w:space="0" w:color="auto"/>
          </w:divBdr>
        </w:div>
        <w:div w:id="608313531">
          <w:marLeft w:val="0"/>
          <w:marRight w:val="0"/>
          <w:marTop w:val="0"/>
          <w:marBottom w:val="0"/>
          <w:divBdr>
            <w:top w:val="none" w:sz="0" w:space="0" w:color="auto"/>
            <w:left w:val="none" w:sz="0" w:space="0" w:color="auto"/>
            <w:bottom w:val="none" w:sz="0" w:space="0" w:color="auto"/>
            <w:right w:val="none" w:sz="0" w:space="0" w:color="auto"/>
          </w:divBdr>
        </w:div>
        <w:div w:id="608313532">
          <w:marLeft w:val="0"/>
          <w:marRight w:val="0"/>
          <w:marTop w:val="0"/>
          <w:marBottom w:val="0"/>
          <w:divBdr>
            <w:top w:val="none" w:sz="0" w:space="0" w:color="auto"/>
            <w:left w:val="none" w:sz="0" w:space="0" w:color="auto"/>
            <w:bottom w:val="none" w:sz="0" w:space="0" w:color="auto"/>
            <w:right w:val="none" w:sz="0" w:space="0" w:color="auto"/>
          </w:divBdr>
        </w:div>
        <w:div w:id="608313533">
          <w:marLeft w:val="0"/>
          <w:marRight w:val="0"/>
          <w:marTop w:val="0"/>
          <w:marBottom w:val="0"/>
          <w:divBdr>
            <w:top w:val="none" w:sz="0" w:space="0" w:color="auto"/>
            <w:left w:val="none" w:sz="0" w:space="0" w:color="auto"/>
            <w:bottom w:val="none" w:sz="0" w:space="0" w:color="auto"/>
            <w:right w:val="none" w:sz="0" w:space="0" w:color="auto"/>
          </w:divBdr>
        </w:div>
        <w:div w:id="608313534">
          <w:marLeft w:val="0"/>
          <w:marRight w:val="0"/>
          <w:marTop w:val="0"/>
          <w:marBottom w:val="0"/>
          <w:divBdr>
            <w:top w:val="none" w:sz="0" w:space="0" w:color="auto"/>
            <w:left w:val="none" w:sz="0" w:space="0" w:color="auto"/>
            <w:bottom w:val="none" w:sz="0" w:space="0" w:color="auto"/>
            <w:right w:val="none" w:sz="0" w:space="0" w:color="auto"/>
          </w:divBdr>
        </w:div>
        <w:div w:id="608313535">
          <w:marLeft w:val="0"/>
          <w:marRight w:val="0"/>
          <w:marTop w:val="0"/>
          <w:marBottom w:val="0"/>
          <w:divBdr>
            <w:top w:val="none" w:sz="0" w:space="0" w:color="auto"/>
            <w:left w:val="none" w:sz="0" w:space="0" w:color="auto"/>
            <w:bottom w:val="none" w:sz="0" w:space="0" w:color="auto"/>
            <w:right w:val="none" w:sz="0" w:space="0" w:color="auto"/>
          </w:divBdr>
        </w:div>
        <w:div w:id="608313536">
          <w:marLeft w:val="0"/>
          <w:marRight w:val="0"/>
          <w:marTop w:val="0"/>
          <w:marBottom w:val="0"/>
          <w:divBdr>
            <w:top w:val="none" w:sz="0" w:space="0" w:color="auto"/>
            <w:left w:val="none" w:sz="0" w:space="0" w:color="auto"/>
            <w:bottom w:val="none" w:sz="0" w:space="0" w:color="auto"/>
            <w:right w:val="none" w:sz="0" w:space="0" w:color="auto"/>
          </w:divBdr>
        </w:div>
        <w:div w:id="608313537">
          <w:marLeft w:val="0"/>
          <w:marRight w:val="0"/>
          <w:marTop w:val="0"/>
          <w:marBottom w:val="0"/>
          <w:divBdr>
            <w:top w:val="none" w:sz="0" w:space="0" w:color="auto"/>
            <w:left w:val="none" w:sz="0" w:space="0" w:color="auto"/>
            <w:bottom w:val="none" w:sz="0" w:space="0" w:color="auto"/>
            <w:right w:val="none" w:sz="0" w:space="0" w:color="auto"/>
          </w:divBdr>
        </w:div>
        <w:div w:id="608313538">
          <w:marLeft w:val="0"/>
          <w:marRight w:val="0"/>
          <w:marTop w:val="0"/>
          <w:marBottom w:val="0"/>
          <w:divBdr>
            <w:top w:val="none" w:sz="0" w:space="0" w:color="auto"/>
            <w:left w:val="none" w:sz="0" w:space="0" w:color="auto"/>
            <w:bottom w:val="none" w:sz="0" w:space="0" w:color="auto"/>
            <w:right w:val="none" w:sz="0" w:space="0" w:color="auto"/>
          </w:divBdr>
        </w:div>
        <w:div w:id="608313539">
          <w:marLeft w:val="0"/>
          <w:marRight w:val="0"/>
          <w:marTop w:val="0"/>
          <w:marBottom w:val="0"/>
          <w:divBdr>
            <w:top w:val="none" w:sz="0" w:space="0" w:color="auto"/>
            <w:left w:val="none" w:sz="0" w:space="0" w:color="auto"/>
            <w:bottom w:val="none" w:sz="0" w:space="0" w:color="auto"/>
            <w:right w:val="none" w:sz="0" w:space="0" w:color="auto"/>
          </w:divBdr>
        </w:div>
        <w:div w:id="608313540">
          <w:marLeft w:val="0"/>
          <w:marRight w:val="0"/>
          <w:marTop w:val="0"/>
          <w:marBottom w:val="0"/>
          <w:divBdr>
            <w:top w:val="none" w:sz="0" w:space="0" w:color="auto"/>
            <w:left w:val="none" w:sz="0" w:space="0" w:color="auto"/>
            <w:bottom w:val="none" w:sz="0" w:space="0" w:color="auto"/>
            <w:right w:val="none" w:sz="0" w:space="0" w:color="auto"/>
          </w:divBdr>
        </w:div>
        <w:div w:id="608313541">
          <w:marLeft w:val="0"/>
          <w:marRight w:val="0"/>
          <w:marTop w:val="0"/>
          <w:marBottom w:val="0"/>
          <w:divBdr>
            <w:top w:val="none" w:sz="0" w:space="0" w:color="auto"/>
            <w:left w:val="none" w:sz="0" w:space="0" w:color="auto"/>
            <w:bottom w:val="none" w:sz="0" w:space="0" w:color="auto"/>
            <w:right w:val="none" w:sz="0" w:space="0" w:color="auto"/>
          </w:divBdr>
        </w:div>
        <w:div w:id="608313542">
          <w:marLeft w:val="0"/>
          <w:marRight w:val="0"/>
          <w:marTop w:val="0"/>
          <w:marBottom w:val="0"/>
          <w:divBdr>
            <w:top w:val="none" w:sz="0" w:space="0" w:color="auto"/>
            <w:left w:val="none" w:sz="0" w:space="0" w:color="auto"/>
            <w:bottom w:val="none" w:sz="0" w:space="0" w:color="auto"/>
            <w:right w:val="none" w:sz="0" w:space="0" w:color="auto"/>
          </w:divBdr>
        </w:div>
        <w:div w:id="608313543">
          <w:marLeft w:val="0"/>
          <w:marRight w:val="0"/>
          <w:marTop w:val="0"/>
          <w:marBottom w:val="0"/>
          <w:divBdr>
            <w:top w:val="none" w:sz="0" w:space="0" w:color="auto"/>
            <w:left w:val="none" w:sz="0" w:space="0" w:color="auto"/>
            <w:bottom w:val="none" w:sz="0" w:space="0" w:color="auto"/>
            <w:right w:val="none" w:sz="0" w:space="0" w:color="auto"/>
          </w:divBdr>
        </w:div>
        <w:div w:id="608313544">
          <w:marLeft w:val="0"/>
          <w:marRight w:val="0"/>
          <w:marTop w:val="0"/>
          <w:marBottom w:val="0"/>
          <w:divBdr>
            <w:top w:val="none" w:sz="0" w:space="0" w:color="auto"/>
            <w:left w:val="none" w:sz="0" w:space="0" w:color="auto"/>
            <w:bottom w:val="none" w:sz="0" w:space="0" w:color="auto"/>
            <w:right w:val="none" w:sz="0" w:space="0" w:color="auto"/>
          </w:divBdr>
        </w:div>
        <w:div w:id="608313545">
          <w:marLeft w:val="0"/>
          <w:marRight w:val="0"/>
          <w:marTop w:val="0"/>
          <w:marBottom w:val="0"/>
          <w:divBdr>
            <w:top w:val="none" w:sz="0" w:space="0" w:color="auto"/>
            <w:left w:val="none" w:sz="0" w:space="0" w:color="auto"/>
            <w:bottom w:val="none" w:sz="0" w:space="0" w:color="auto"/>
            <w:right w:val="none" w:sz="0" w:space="0" w:color="auto"/>
          </w:divBdr>
        </w:div>
        <w:div w:id="6083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harrison-3@manches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9066</Words>
  <Characters>51677</Characters>
  <Application>Microsoft Office Word</Application>
  <DocSecurity>0</DocSecurity>
  <Lines>430</Lines>
  <Paragraphs>121</Paragraphs>
  <ScaleCrop>false</ScaleCrop>
  <Company>Fujitsu Services</Company>
  <LinksUpToDate>false</LinksUpToDate>
  <CharactersWithSpaces>60622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LS Ma</cp:lastModifiedBy>
  <cp:revision>2</cp:revision>
  <dcterms:created xsi:type="dcterms:W3CDTF">2014-01-14T16:45:00Z</dcterms:created>
  <dcterms:modified xsi:type="dcterms:W3CDTF">2014-01-14T16:45:00Z</dcterms:modified>
</cp:coreProperties>
</file>