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C3" w:rsidRDefault="004845D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1B0CC3" w:rsidRDefault="004845D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59320</w:t>
      </w:r>
    </w:p>
    <w:p w:rsidR="001B0CC3" w:rsidRDefault="004845D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color w:val="000000"/>
        </w:rPr>
        <w:t xml:space="preserve">Adult-onset </w:t>
      </w:r>
      <w:proofErr w:type="gramStart"/>
      <w:r>
        <w:rPr>
          <w:rFonts w:ascii="Book Antiqua" w:eastAsia="Book Antiqua" w:hAnsi="Book Antiqua" w:cs="Book Antiqua"/>
          <w:b/>
          <w:color w:val="000000"/>
        </w:rPr>
        <w:t>Still's</w:t>
      </w:r>
      <w:proofErr w:type="gramEnd"/>
      <w:r>
        <w:rPr>
          <w:rFonts w:ascii="Book Antiqua" w:eastAsia="Book Antiqua" w:hAnsi="Book Antiqua" w:cs="Book Antiqua"/>
          <w:b/>
          <w:color w:val="000000"/>
        </w:rPr>
        <w:t xml:space="preserve"> disease evolving with multiple organ failure and death: A case report and review of the literature</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color w:val="000000"/>
        </w:rPr>
        <w:t xml:space="preserve">Han ZB </w:t>
      </w:r>
      <w:r>
        <w:rPr>
          <w:rFonts w:ascii="Book Antiqua" w:eastAsia="Book Antiqua" w:hAnsi="Book Antiqua" w:cs="Book Antiqua"/>
          <w:i/>
          <w:iCs/>
          <w:color w:val="000000"/>
        </w:rPr>
        <w:t>et al</w:t>
      </w:r>
      <w:r>
        <w:rPr>
          <w:rFonts w:ascii="Book Antiqua" w:eastAsia="Book Antiqua" w:hAnsi="Book Antiqua" w:cs="Book Antiqua"/>
          <w:color w:val="000000"/>
        </w:rPr>
        <w:t xml:space="preserve">. Adult-onset </w:t>
      </w:r>
      <w:proofErr w:type="gramStart"/>
      <w:r>
        <w:rPr>
          <w:rFonts w:ascii="Book Antiqua" w:eastAsia="Book Antiqua" w:hAnsi="Book Antiqua" w:cs="Book Antiqua"/>
          <w:color w:val="000000"/>
        </w:rPr>
        <w:t>Still's</w:t>
      </w:r>
      <w:proofErr w:type="gramEnd"/>
      <w:r>
        <w:rPr>
          <w:rFonts w:ascii="Book Antiqua" w:eastAsia="Book Antiqua" w:hAnsi="Book Antiqua" w:cs="Book Antiqua"/>
          <w:color w:val="000000"/>
        </w:rPr>
        <w:t xml:space="preserve"> disease</w:t>
      </w:r>
    </w:p>
    <w:p w:rsidR="001B0CC3" w:rsidRDefault="001B0CC3">
      <w:pPr>
        <w:spacing w:line="360" w:lineRule="auto"/>
        <w:jc w:val="both"/>
      </w:pPr>
    </w:p>
    <w:p w:rsidR="001B0CC3" w:rsidRDefault="004845D5">
      <w:pPr>
        <w:spacing w:line="360" w:lineRule="auto"/>
        <w:jc w:val="both"/>
      </w:pP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-Bin Han, </w:t>
      </w:r>
      <w:proofErr w:type="spellStart"/>
      <w:r>
        <w:rPr>
          <w:rFonts w:ascii="Book Antiqua" w:eastAsia="Book Antiqua" w:hAnsi="Book Antiqua" w:cs="Book Antiqua"/>
          <w:color w:val="000000"/>
        </w:rPr>
        <w:t>Ju</w:t>
      </w:r>
      <w:proofErr w:type="spellEnd"/>
      <w:r>
        <w:rPr>
          <w:rFonts w:ascii="Book Antiqua" w:eastAsia="Book Antiqua" w:hAnsi="Book Antiqua" w:cs="Book Antiqua"/>
          <w:color w:val="000000"/>
        </w:rPr>
        <w:t xml:space="preserve"> Wu, Jing Liu, He-Ming Li, Kai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Tong Sun</w:t>
      </w:r>
    </w:p>
    <w:p w:rsidR="001B0CC3" w:rsidRDefault="001B0CC3">
      <w:pPr>
        <w:spacing w:line="360" w:lineRule="auto"/>
        <w:jc w:val="both"/>
      </w:pPr>
    </w:p>
    <w:p w:rsidR="001B0CC3" w:rsidRDefault="004845D5">
      <w:pPr>
        <w:spacing w:line="360" w:lineRule="auto"/>
        <w:jc w:val="both"/>
      </w:pPr>
      <w:proofErr w:type="spellStart"/>
      <w:r>
        <w:rPr>
          <w:rFonts w:ascii="Book Antiqua" w:eastAsia="Book Antiqua" w:hAnsi="Book Antiqua" w:cs="Book Antiqua"/>
          <w:b/>
          <w:bCs/>
          <w:color w:val="000000"/>
        </w:rPr>
        <w:t>Zhong</w:t>
      </w:r>
      <w:proofErr w:type="spellEnd"/>
      <w:r>
        <w:rPr>
          <w:rFonts w:ascii="Book Antiqua" w:eastAsia="Book Antiqua" w:hAnsi="Book Antiqua" w:cs="Book Antiqua"/>
          <w:b/>
          <w:bCs/>
          <w:color w:val="000000"/>
        </w:rPr>
        <w:t xml:space="preserve">-Bin Han, </w:t>
      </w:r>
      <w:proofErr w:type="spellStart"/>
      <w:r>
        <w:rPr>
          <w:rFonts w:ascii="Book Antiqua" w:eastAsia="Book Antiqua" w:hAnsi="Book Antiqua" w:cs="Book Antiqua"/>
          <w:b/>
          <w:bCs/>
          <w:color w:val="000000"/>
        </w:rPr>
        <w:t>Ju</w:t>
      </w:r>
      <w:proofErr w:type="spellEnd"/>
      <w:r>
        <w:rPr>
          <w:rFonts w:ascii="Book Antiqua" w:eastAsia="Book Antiqua" w:hAnsi="Book Antiqua" w:cs="Book Antiqua"/>
          <w:b/>
          <w:bCs/>
          <w:color w:val="000000"/>
        </w:rPr>
        <w:t xml:space="preserve"> Wu, </w:t>
      </w:r>
      <w:r>
        <w:rPr>
          <w:rFonts w:ascii="Book Antiqua" w:eastAsia="Book Antiqua" w:hAnsi="Book Antiqua" w:cs="Book Antiqua"/>
          <w:color w:val="000000"/>
        </w:rPr>
        <w:t xml:space="preserve">Department of Surgery, Affiliated </w:t>
      </w:r>
      <w:proofErr w:type="spellStart"/>
      <w:r>
        <w:rPr>
          <w:rFonts w:ascii="Book Antiqua" w:eastAsia="Book Antiqua" w:hAnsi="Book Antiqua" w:cs="Book Antiqua"/>
          <w:color w:val="000000"/>
        </w:rPr>
        <w:t>Zhongshan</w:t>
      </w:r>
      <w:proofErr w:type="spellEnd"/>
      <w:r>
        <w:rPr>
          <w:rFonts w:ascii="Book Antiqua" w:eastAsia="Book Antiqua" w:hAnsi="Book Antiqua" w:cs="Book Antiqua"/>
          <w:color w:val="000000"/>
        </w:rPr>
        <w:t xml:space="preserve"> Hospital of Dalian University, Dalian 116001, </w:t>
      </w:r>
      <w:proofErr w:type="gramStart"/>
      <w:r>
        <w:rPr>
          <w:rFonts w:ascii="Book Antiqua" w:eastAsia="Book Antiqua" w:hAnsi="Book Antiqua" w:cs="Book Antiqua"/>
          <w:color w:val="000000"/>
        </w:rPr>
        <w:t>Liaoning</w:t>
      </w:r>
      <w:proofErr w:type="gramEnd"/>
      <w:r>
        <w:rPr>
          <w:rFonts w:ascii="Book Antiqua" w:eastAsia="Book Antiqua" w:hAnsi="Book Antiqua" w:cs="Book Antiqua"/>
          <w:color w:val="000000"/>
        </w:rPr>
        <w:t xml:space="preserve"> Province, China</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bCs/>
          <w:color w:val="000000"/>
        </w:rPr>
        <w:t xml:space="preserve">Jing Liu, Tong Sun, </w:t>
      </w:r>
      <w:r>
        <w:rPr>
          <w:rFonts w:ascii="Book Antiqua" w:eastAsia="Book Antiqua" w:hAnsi="Book Antiqua" w:cs="Book Antiqua"/>
          <w:color w:val="000000"/>
        </w:rPr>
        <w:t xml:space="preserve">Department of ICU, Affiliated </w:t>
      </w:r>
      <w:proofErr w:type="spellStart"/>
      <w:r>
        <w:rPr>
          <w:rFonts w:ascii="Book Antiqua" w:eastAsia="Book Antiqua" w:hAnsi="Book Antiqua" w:cs="Book Antiqua"/>
          <w:color w:val="000000"/>
        </w:rPr>
        <w:t>Zhongshan</w:t>
      </w:r>
      <w:proofErr w:type="spellEnd"/>
      <w:r>
        <w:rPr>
          <w:rFonts w:ascii="Book Antiqua" w:eastAsia="Book Antiqua" w:hAnsi="Book Antiqua" w:cs="Book Antiqua"/>
          <w:color w:val="000000"/>
        </w:rPr>
        <w:t xml:space="preserve"> Hospital of Dalian University, Dalian 116001, </w:t>
      </w:r>
      <w:proofErr w:type="gramStart"/>
      <w:r>
        <w:rPr>
          <w:rFonts w:ascii="Book Antiqua" w:eastAsia="Book Antiqua" w:hAnsi="Book Antiqua" w:cs="Book Antiqua"/>
          <w:color w:val="000000"/>
        </w:rPr>
        <w:t>Liaoning</w:t>
      </w:r>
      <w:proofErr w:type="gramEnd"/>
      <w:r>
        <w:rPr>
          <w:rFonts w:ascii="Book Antiqua" w:eastAsia="Book Antiqua" w:hAnsi="Book Antiqua" w:cs="Book Antiqua"/>
          <w:color w:val="000000"/>
        </w:rPr>
        <w:t xml:space="preserve"> Province, China</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bCs/>
          <w:color w:val="000000"/>
        </w:rPr>
        <w:t xml:space="preserve">He-Ming Li, </w:t>
      </w:r>
      <w:r>
        <w:rPr>
          <w:rFonts w:ascii="Book Antiqua" w:eastAsia="Book Antiqua" w:hAnsi="Book Antiqua" w:cs="Book Antiqua"/>
          <w:color w:val="000000"/>
        </w:rPr>
        <w:t xml:space="preserve">Department of Oncology, Affiliated </w:t>
      </w:r>
      <w:proofErr w:type="spellStart"/>
      <w:r>
        <w:rPr>
          <w:rFonts w:ascii="Book Antiqua" w:eastAsia="Book Antiqua" w:hAnsi="Book Antiqua" w:cs="Book Antiqua"/>
          <w:color w:val="000000"/>
        </w:rPr>
        <w:t>Zhongshan</w:t>
      </w:r>
      <w:proofErr w:type="spellEnd"/>
      <w:r>
        <w:rPr>
          <w:rFonts w:ascii="Book Antiqua" w:eastAsia="Book Antiqua" w:hAnsi="Book Antiqua" w:cs="Book Antiqua"/>
          <w:color w:val="000000"/>
        </w:rPr>
        <w:t xml:space="preserve"> Hospital of Dalian University, Dalian 116001, </w:t>
      </w:r>
      <w:proofErr w:type="gramStart"/>
      <w:r>
        <w:rPr>
          <w:rFonts w:ascii="Book Antiqua" w:eastAsia="Book Antiqua" w:hAnsi="Book Antiqua" w:cs="Book Antiqua"/>
          <w:color w:val="000000"/>
        </w:rPr>
        <w:t>Liaoning</w:t>
      </w:r>
      <w:proofErr w:type="gramEnd"/>
      <w:r>
        <w:rPr>
          <w:rFonts w:ascii="Book Antiqua" w:eastAsia="Book Antiqua" w:hAnsi="Book Antiqua" w:cs="Book Antiqua"/>
          <w:color w:val="000000"/>
        </w:rPr>
        <w:t xml:space="preserve"> Province, China</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bCs/>
          <w:color w:val="000000"/>
        </w:rPr>
        <w:t xml:space="preserve">Kai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Surgery, Second People's Hospital of </w:t>
      </w:r>
      <w:proofErr w:type="spellStart"/>
      <w:r>
        <w:rPr>
          <w:rFonts w:ascii="Book Antiqua" w:eastAsia="Book Antiqua" w:hAnsi="Book Antiqua" w:cs="Book Antiqua"/>
          <w:color w:val="000000"/>
        </w:rPr>
        <w:t>Jinzhong</w:t>
      </w:r>
      <w:proofErr w:type="spellEnd"/>
      <w:r>
        <w:rPr>
          <w:rFonts w:ascii="Book Antiqua" w:eastAsia="Book Antiqua" w:hAnsi="Book Antiqua" w:cs="Book Antiqua"/>
          <w:color w:val="000000"/>
        </w:rPr>
        <w:t xml:space="preserve"> City, </w:t>
      </w:r>
      <w:proofErr w:type="spellStart"/>
      <w:r>
        <w:rPr>
          <w:rFonts w:ascii="Book Antiqua" w:eastAsia="Book Antiqua" w:hAnsi="Book Antiqua" w:cs="Book Antiqua"/>
          <w:color w:val="000000"/>
        </w:rPr>
        <w:t>Jinzhong</w:t>
      </w:r>
      <w:proofErr w:type="spellEnd"/>
      <w:r>
        <w:rPr>
          <w:rFonts w:ascii="Book Antiqua" w:eastAsia="Book Antiqua" w:hAnsi="Book Antiqua" w:cs="Book Antiqua"/>
          <w:color w:val="000000"/>
        </w:rPr>
        <w:t xml:space="preserve"> 030600, </w:t>
      </w:r>
      <w:proofErr w:type="spellStart"/>
      <w:r>
        <w:rPr>
          <w:rFonts w:ascii="Book Antiqua" w:eastAsia="Book Antiqua" w:hAnsi="Book Antiqua" w:cs="Book Antiqua"/>
          <w:color w:val="000000"/>
        </w:rPr>
        <w:t>Shanxin</w:t>
      </w:r>
      <w:proofErr w:type="spellEnd"/>
      <w:r>
        <w:rPr>
          <w:rFonts w:ascii="Book Antiqua" w:eastAsia="Book Antiqua" w:hAnsi="Book Antiqua" w:cs="Book Antiqua"/>
          <w:color w:val="000000"/>
        </w:rPr>
        <w:t xml:space="preserve"> Province, China</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Han ZB and Sun T were the patient’s managing physician, reviewed the literature, and contributed to manuscript drafting; Wu J, Liu J, and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K collected the patient’s past medical histories, reviewed the literature, and contributed to manuscript drafting; Li HM was responsible for the revision of the manuscript for important intellectual content; all authors issued final approval for the version to be submitted.</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bCs/>
          <w:color w:val="000000"/>
        </w:rPr>
        <w:lastRenderedPageBreak/>
        <w:t xml:space="preserve">Corresponding author: Tong Sun, MAMS, Associate Professor, Director, Doctor, </w:t>
      </w:r>
      <w:r>
        <w:rPr>
          <w:rFonts w:ascii="Book Antiqua" w:eastAsia="Book Antiqua" w:hAnsi="Book Antiqua" w:cs="Book Antiqua"/>
          <w:color w:val="000000"/>
        </w:rPr>
        <w:t xml:space="preserve">Department of ICU, Affiliated </w:t>
      </w:r>
      <w:proofErr w:type="spellStart"/>
      <w:r>
        <w:rPr>
          <w:rFonts w:ascii="Book Antiqua" w:eastAsia="Book Antiqua" w:hAnsi="Book Antiqua" w:cs="Book Antiqua"/>
          <w:color w:val="000000"/>
        </w:rPr>
        <w:t>Zhongshan</w:t>
      </w:r>
      <w:proofErr w:type="spellEnd"/>
      <w:r>
        <w:rPr>
          <w:rFonts w:ascii="Book Antiqua" w:eastAsia="Book Antiqua" w:hAnsi="Book Antiqua" w:cs="Book Antiqua"/>
          <w:color w:val="000000"/>
        </w:rPr>
        <w:t xml:space="preserve"> Hospital of Dalian University, No. 6 </w:t>
      </w:r>
      <w:proofErr w:type="spellStart"/>
      <w:r>
        <w:rPr>
          <w:rFonts w:ascii="Book Antiqua" w:eastAsia="Book Antiqua" w:hAnsi="Book Antiqua" w:cs="Book Antiqua"/>
          <w:color w:val="000000"/>
        </w:rPr>
        <w:t>Jiefang</w:t>
      </w:r>
      <w:proofErr w:type="spellEnd"/>
      <w:r>
        <w:rPr>
          <w:rFonts w:ascii="Book Antiqua" w:eastAsia="Book Antiqua" w:hAnsi="Book Antiqua" w:cs="Book Antiqua"/>
          <w:color w:val="000000"/>
        </w:rPr>
        <w:t xml:space="preserve"> Street, Dalian 116001, Liaoning Province, China. 13704119600@163.com</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5, 2020</w:t>
      </w:r>
    </w:p>
    <w:p w:rsidR="001B0CC3" w:rsidRDefault="004845D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28, 2020</w:t>
      </w:r>
    </w:p>
    <w:p w:rsidR="001B0CC3" w:rsidRDefault="004845D5">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December 10, 2020</w:t>
      </w:r>
    </w:p>
    <w:p w:rsidR="001B0CC3" w:rsidRDefault="004845D5">
      <w:pPr>
        <w:spacing w:line="360" w:lineRule="auto"/>
        <w:jc w:val="both"/>
        <w:rPr>
          <w:rFonts w:eastAsia="宋体"/>
          <w:lang w:eastAsia="zh-CN"/>
        </w:rPr>
      </w:pPr>
      <w:r>
        <w:rPr>
          <w:rFonts w:ascii="Book Antiqua" w:eastAsia="Book Antiqua" w:hAnsi="Book Antiqua" w:cs="Book Antiqua"/>
          <w:b/>
          <w:bCs/>
          <w:color w:val="000000"/>
        </w:rPr>
        <w:t>Published online:</w:t>
      </w:r>
      <w:r>
        <w:rPr>
          <w:rFonts w:ascii="Book Antiqua" w:eastAsia="Book Antiqua" w:hAnsi="Book Antiqua" w:cs="Book Antiqua"/>
          <w:color w:val="000000"/>
        </w:rPr>
        <w:t xml:space="preserve"> </w:t>
      </w:r>
      <w:r>
        <w:rPr>
          <w:rFonts w:ascii="Book Antiqua" w:eastAsia="Book Antiqua" w:hAnsi="Book Antiqua" w:cs="Book Antiqua" w:hint="eastAsia"/>
          <w:color w:val="000000"/>
        </w:rPr>
        <w:t>February 6</w:t>
      </w:r>
      <w:proofErr w:type="gramStart"/>
      <w:r>
        <w:rPr>
          <w:rFonts w:ascii="Book Antiqua" w:eastAsia="Book Antiqua" w:hAnsi="Book Antiqua" w:cs="Book Antiqua" w:hint="eastAsia"/>
          <w:color w:val="000000"/>
        </w:rPr>
        <w:t>,202</w:t>
      </w:r>
      <w:r>
        <w:rPr>
          <w:rFonts w:ascii="Book Antiqua" w:eastAsia="宋体" w:hAnsi="Book Antiqua" w:cs="Book Antiqua" w:hint="eastAsia"/>
          <w:color w:val="000000"/>
          <w:lang w:eastAsia="zh-CN"/>
        </w:rPr>
        <w:t>1</w:t>
      </w:r>
      <w:proofErr w:type="gramEnd"/>
    </w:p>
    <w:p w:rsidR="001B0CC3" w:rsidRDefault="001B0CC3">
      <w:pPr>
        <w:spacing w:line="360" w:lineRule="auto"/>
        <w:jc w:val="both"/>
        <w:sectPr w:rsidR="001B0CC3">
          <w:footerReference w:type="default" r:id="rId8"/>
          <w:pgSz w:w="12240" w:h="15840"/>
          <w:pgMar w:top="1440" w:right="1440" w:bottom="1440" w:left="1440" w:header="720" w:footer="720" w:gutter="0"/>
          <w:cols w:space="720"/>
          <w:docGrid w:linePitch="360"/>
        </w:sectPr>
      </w:pPr>
    </w:p>
    <w:p w:rsidR="001B0CC3" w:rsidRDefault="004845D5">
      <w:pPr>
        <w:spacing w:line="360" w:lineRule="auto"/>
        <w:jc w:val="both"/>
      </w:pPr>
      <w:r>
        <w:rPr>
          <w:rFonts w:ascii="Book Antiqua" w:eastAsia="Book Antiqua" w:hAnsi="Book Antiqua" w:cs="Book Antiqua"/>
          <w:b/>
          <w:color w:val="000000"/>
        </w:rPr>
        <w:lastRenderedPageBreak/>
        <w:t>Abstract</w:t>
      </w:r>
    </w:p>
    <w:p w:rsidR="001B0CC3" w:rsidRDefault="004845D5">
      <w:pPr>
        <w:spacing w:line="360" w:lineRule="auto"/>
        <w:jc w:val="both"/>
      </w:pPr>
      <w:r>
        <w:rPr>
          <w:rFonts w:ascii="Book Antiqua" w:eastAsia="Book Antiqua" w:hAnsi="Book Antiqua" w:cs="Book Antiqua"/>
          <w:color w:val="000000"/>
        </w:rPr>
        <w:t>BACKGROUND</w:t>
      </w:r>
    </w:p>
    <w:p w:rsidR="001B0CC3" w:rsidRDefault="004845D5">
      <w:pPr>
        <w:spacing w:line="360" w:lineRule="auto"/>
        <w:jc w:val="both"/>
      </w:pPr>
      <w:r>
        <w:rPr>
          <w:rFonts w:ascii="Book Antiqua" w:eastAsia="Book Antiqua" w:hAnsi="Book Antiqua" w:cs="Book Antiqua"/>
          <w:color w:val="000000"/>
        </w:rPr>
        <w:t>Adult-onset Still’s disease (AOSD) is a rare systemic inflammatory disease, which is characterized by daily fever and arthritis, with an evanescent rash and neutrophilic leukocytosis. To date, there has been no definite laboratory or imaging test available for diagnosing AOSD; the diagnosis is one of exclusion, which can be very challenging. In particular, AOSD patients may experience different complications affecting their clinical picture, management, and prognosis. The treatment of AOSD remains largely empirical and involves therapeutic agents.</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color w:val="000000"/>
        </w:rPr>
        <w:t>CASE SUMMARY</w:t>
      </w:r>
    </w:p>
    <w:p w:rsidR="001B0CC3" w:rsidRDefault="004845D5">
      <w:pPr>
        <w:spacing w:line="360" w:lineRule="auto"/>
        <w:jc w:val="both"/>
      </w:pPr>
      <w:r>
        <w:rPr>
          <w:rFonts w:ascii="Book Antiqua" w:eastAsia="Book Antiqua" w:hAnsi="Book Antiqua" w:cs="Book Antiqua"/>
          <w:color w:val="000000"/>
        </w:rPr>
        <w:t xml:space="preserve">We report the case of a 36-year-old woman who presented with fever, red rash, arthralgia, and sore throat. Her serum ferritin level and white blood cell count were markedly elevated, and the first diagnosis 22 years prior was "juvenile rheumatoid arthritis of systemic type". The patient was treated with prednisone, sulfasalazine, methotrexate, and </w:t>
      </w:r>
      <w:proofErr w:type="spellStart"/>
      <w:r>
        <w:rPr>
          <w:rFonts w:ascii="Book Antiqua" w:eastAsia="Book Antiqua" w:hAnsi="Book Antiqua" w:cs="Book Antiqua"/>
          <w:color w:val="000000"/>
        </w:rPr>
        <w:t>leflunomide</w:t>
      </w:r>
      <w:proofErr w:type="spellEnd"/>
      <w:r>
        <w:rPr>
          <w:rFonts w:ascii="Book Antiqua" w:eastAsia="Book Antiqua" w:hAnsi="Book Antiqua" w:cs="Book Antiqua"/>
          <w:color w:val="000000"/>
        </w:rPr>
        <w:t>. After remission of her symptoms, the patient stopped taking the medications, and the disease recurred. Ultimately, the patient was diagnosed with adult-onset Still's disease. Relapse occurred several times due to self-medication withdrawal, and an interleukin-6 antagonist (tocilizumab/</w:t>
      </w:r>
      <w:proofErr w:type="spellStart"/>
      <w:r>
        <w:rPr>
          <w:rFonts w:ascii="Book Antiqua" w:eastAsia="Book Antiqua" w:hAnsi="Book Antiqua" w:cs="Book Antiqua"/>
          <w:color w:val="000000"/>
        </w:rPr>
        <w:t>Actemra</w:t>
      </w:r>
      <w:proofErr w:type="spellEnd"/>
      <w:r>
        <w:rPr>
          <w:rFonts w:ascii="Book Antiqua" w:eastAsia="Book Antiqua" w:hAnsi="Book Antiqua" w:cs="Book Antiqua"/>
          <w:color w:val="000000"/>
        </w:rPr>
        <w:t>) was administered to control the disease. Recently, she was hospitalized because an incision did not heal, and the patient suddenly developed high fever and diarrhea during hospitalization. The patient's disease progressed violently and quickly developed into macrophage activation syndrome, disseminated intravascular coagulation, shock, and multiple organ failure. The patient had sudden cardiac arrest, and she died despite emergency rescue efforts.</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color w:val="000000"/>
        </w:rPr>
        <w:t>CONCLUSION</w:t>
      </w:r>
    </w:p>
    <w:p w:rsidR="001B0CC3" w:rsidRDefault="004845D5">
      <w:pPr>
        <w:spacing w:line="360" w:lineRule="auto"/>
        <w:jc w:val="both"/>
      </w:pPr>
      <w:r>
        <w:rPr>
          <w:rFonts w:ascii="Book Antiqua" w:eastAsia="Book Antiqua" w:hAnsi="Book Antiqua" w:cs="Book Antiqua"/>
          <w:color w:val="000000"/>
        </w:rPr>
        <w:t xml:space="preserve">AOSD patients need regular follow-up in the long-term treatment process, and must press formulary standard medication, and do not voluntarily withdraw or reduce the </w:t>
      </w:r>
      <w:r>
        <w:rPr>
          <w:rFonts w:ascii="Book Antiqua" w:eastAsia="Book Antiqua" w:hAnsi="Book Antiqua" w:cs="Book Antiqua"/>
          <w:color w:val="000000"/>
        </w:rPr>
        <w:lastRenderedPageBreak/>
        <w:t>dose. Otherwise it may cause disease back-and-forth or serious life-threatening complications. Meanwhile, strict management of trauma, infections, tumors, and other diseases may contribute to improved outcomes in patients with complications.</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Adult-onset </w:t>
      </w:r>
      <w:proofErr w:type="gramStart"/>
      <w:r>
        <w:rPr>
          <w:rFonts w:ascii="Book Antiqua" w:eastAsia="Book Antiqua" w:hAnsi="Book Antiqua" w:cs="Book Antiqua"/>
          <w:color w:val="000000"/>
        </w:rPr>
        <w:t>Still's</w:t>
      </w:r>
      <w:proofErr w:type="gramEnd"/>
      <w:r>
        <w:rPr>
          <w:rFonts w:ascii="Book Antiqua" w:eastAsia="Book Antiqua" w:hAnsi="Book Antiqua" w:cs="Book Antiqua"/>
          <w:color w:val="000000"/>
        </w:rPr>
        <w:t xml:space="preserve"> disease; Macrophage activation syndrome; Disseminated intravascular coagulopathy; Multiple organ failure; Death; Case report</w:t>
      </w:r>
    </w:p>
    <w:p w:rsidR="001B0CC3" w:rsidRDefault="001B0CC3">
      <w:pPr>
        <w:spacing w:line="360" w:lineRule="auto"/>
        <w:jc w:val="both"/>
        <w:rPr>
          <w:rFonts w:hint="eastAsia"/>
          <w:lang w:eastAsia="zh-CN"/>
        </w:rPr>
      </w:pPr>
    </w:p>
    <w:p w:rsidR="004845D5" w:rsidRDefault="004845D5" w:rsidP="004845D5">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4845D5" w:rsidRDefault="004845D5">
      <w:pPr>
        <w:spacing w:line="360" w:lineRule="auto"/>
        <w:jc w:val="both"/>
        <w:rPr>
          <w:rFonts w:hint="eastAsia"/>
          <w:lang w:eastAsia="zh-CN"/>
        </w:rPr>
      </w:pPr>
    </w:p>
    <w:p w:rsidR="001B0CC3" w:rsidRPr="004845D5" w:rsidRDefault="004845D5">
      <w:pPr>
        <w:spacing w:line="360" w:lineRule="auto"/>
        <w:jc w:val="both"/>
        <w:rPr>
          <w:lang w:eastAsia="zh-CN"/>
        </w:rPr>
      </w:pPr>
      <w:r>
        <w:rPr>
          <w:rFonts w:ascii="Book Antiqua" w:eastAsia="Book Antiqua" w:hAnsi="Book Antiqua" w:cs="Book Antiqua"/>
          <w:color w:val="000000"/>
        </w:rPr>
        <w:t xml:space="preserve">Han ZB, Wu J, Liu J, Li HM,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K, Sun T. Adult-onset Still's disease evolving with multiple organ failure and death: A case report and review of the literature.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w:t>
      </w:r>
      <w:r>
        <w:rPr>
          <w:rFonts w:ascii="Book Antiqua" w:eastAsia="宋体" w:hAnsi="Book Antiqua" w:cs="Book Antiqua" w:hint="eastAsia"/>
          <w:color w:val="000000"/>
          <w:lang w:eastAsia="zh-CN"/>
        </w:rPr>
        <w:t>1</w:t>
      </w:r>
      <w:r>
        <w:rPr>
          <w:rFonts w:ascii="Book Antiqua" w:eastAsia="Book Antiqua" w:hAnsi="Book Antiqua" w:cs="Book Antiqua"/>
          <w:color w:val="000000"/>
        </w:rPr>
        <w:t>;</w:t>
      </w:r>
      <w:r>
        <w:rPr>
          <w:rFonts w:ascii="Book Antiqua" w:eastAsia="Book Antiqua" w:hAnsi="Book Antiqua" w:cs="Book Antiqua" w:hint="eastAsia"/>
          <w:color w:val="000000"/>
        </w:rPr>
        <w:t xml:space="preserve"> 9(</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 xml:space="preserve">): </w:t>
      </w:r>
      <w:r>
        <w:rPr>
          <w:rFonts w:ascii="Book Antiqua" w:hAnsi="Book Antiqua" w:cs="Book Antiqua" w:hint="eastAsia"/>
          <w:color w:val="000000"/>
          <w:lang w:eastAsia="zh-CN"/>
        </w:rPr>
        <w:t>886-</w:t>
      </w:r>
      <w:proofErr w:type="gramStart"/>
      <w:r>
        <w:rPr>
          <w:rFonts w:ascii="Book Antiqua" w:hAnsi="Book Antiqua" w:cs="Book Antiqua" w:hint="eastAsia"/>
          <w:color w:val="000000"/>
          <w:lang w:eastAsia="zh-CN"/>
        </w:rPr>
        <w:t>897</w:t>
      </w:r>
      <w:r>
        <w:rPr>
          <w:rFonts w:ascii="Book Antiqua" w:eastAsia="Book Antiqua" w:hAnsi="Book Antiqua" w:cs="Book Antiqua" w:hint="eastAsia"/>
          <w:color w:val="000000"/>
        </w:rPr>
        <w:t xml:space="preserve">  URL</w:t>
      </w:r>
      <w:proofErr w:type="gramEnd"/>
      <w:r>
        <w:rPr>
          <w:rFonts w:ascii="Book Antiqua" w:eastAsia="Book Antiqua" w:hAnsi="Book Antiqua" w:cs="Book Antiqua" w:hint="eastAsia"/>
          <w:color w:val="000000"/>
        </w:rPr>
        <w:t>: https://www.wjgnet.com/2307-8960/full/v9/i</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w:t>
      </w:r>
      <w:r>
        <w:rPr>
          <w:rFonts w:ascii="Book Antiqua" w:hAnsi="Book Antiqua" w:cs="Book Antiqua" w:hint="eastAsia"/>
          <w:color w:val="000000"/>
          <w:lang w:eastAsia="zh-CN"/>
        </w:rPr>
        <w:t>886</w:t>
      </w:r>
      <w:r>
        <w:rPr>
          <w:rFonts w:ascii="Book Antiqua" w:eastAsia="Book Antiqua" w:hAnsi="Book Antiqua" w:cs="Book Antiqua" w:hint="eastAsia"/>
          <w:color w:val="000000"/>
        </w:rPr>
        <w:t>.htm  DOI: https://dx.doi.org/10.12998/</w:t>
      </w:r>
      <w:r>
        <w:rPr>
          <w:rFonts w:ascii="Book Antiqua" w:eastAsia="宋体" w:hAnsi="Book Antiqua" w:cs="Book Antiqua" w:hint="eastAsia"/>
          <w:color w:val="000000"/>
          <w:lang w:eastAsia="zh-CN"/>
        </w:rPr>
        <w:t>wjcc</w:t>
      </w:r>
      <w:r>
        <w:rPr>
          <w:rFonts w:ascii="Book Antiqua" w:eastAsia="Book Antiqua" w:hAnsi="Book Antiqua" w:cs="Book Antiqua" w:hint="eastAsia"/>
          <w:color w:val="000000"/>
        </w:rPr>
        <w:t>.v9.i</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w:t>
      </w:r>
      <w:r>
        <w:rPr>
          <w:rFonts w:ascii="Book Antiqua" w:hAnsi="Book Antiqua" w:cs="Book Antiqua" w:hint="eastAsia"/>
          <w:color w:val="000000"/>
          <w:lang w:eastAsia="zh-CN"/>
        </w:rPr>
        <w:t>886</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Adult-onset Still’s disease (AOSD) is a rare systemic inflammatory disease, and the lack of disease-specific symptoms and laboratory markers hinders the diagnosis and assessment of its progression. More importantly, the treatment of AOSD remains largely empirical, with a lack of controlled clinical trials. Few cases of the disease with multiple complications have been reported. The present case highlights the characteristics of AOSD and severe complications and shares our experience in its diagnosis and treatment to provide experience for the effective recognition and treatment of this disease. The authors also note the link between the biopsychosocial model and autoimmune diseases.</w:t>
      </w:r>
    </w:p>
    <w:p w:rsidR="001B0CC3" w:rsidRDefault="004845D5">
      <w:pPr>
        <w:spacing w:line="360" w:lineRule="auto"/>
        <w:jc w:val="both"/>
      </w:pPr>
      <w:r>
        <w:br w:type="page"/>
      </w:r>
      <w:r>
        <w:rPr>
          <w:rFonts w:ascii="Book Antiqua" w:eastAsia="Book Antiqua" w:hAnsi="Book Antiqua" w:cs="Book Antiqua"/>
          <w:b/>
          <w:caps/>
          <w:color w:val="000000"/>
          <w:u w:val="single"/>
        </w:rPr>
        <w:lastRenderedPageBreak/>
        <w:t>INTRODUCTION</w:t>
      </w:r>
    </w:p>
    <w:p w:rsidR="001B0CC3" w:rsidRDefault="004845D5">
      <w:pPr>
        <w:spacing w:line="360" w:lineRule="auto"/>
        <w:jc w:val="both"/>
      </w:pPr>
      <w:r>
        <w:rPr>
          <w:rFonts w:ascii="Book Antiqua" w:eastAsia="Book Antiqua" w:hAnsi="Book Antiqua" w:cs="Book Antiqua"/>
          <w:color w:val="000000"/>
        </w:rPr>
        <w:t xml:space="preserve">Adult-onset Still's disease (AOSD) is a rare systemic inflammatory disease, which is characterized by fever, arthritis, an evanescent rash, and neutrophilic leukocytosis. Other nonspecific symptoms may be observed in AOSD, such as sore throat, cardiopulmonary features, kidney disease, and neurological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AOSD was definitively described in 1971 by Eric </w:t>
      </w:r>
      <w:proofErr w:type="spellStart"/>
      <w:r>
        <w:rPr>
          <w:rFonts w:ascii="Book Antiqua" w:eastAsia="Book Antiqua" w:hAnsi="Book Antiqua" w:cs="Book Antiqua"/>
          <w:color w:val="000000"/>
        </w:rPr>
        <w:t>Bywaters</w:t>
      </w:r>
      <w:proofErr w:type="spellEnd"/>
      <w:r>
        <w:rPr>
          <w:rFonts w:ascii="Book Antiqua" w:eastAsia="Book Antiqua" w:hAnsi="Book Antiqua" w:cs="Book Antiqua"/>
          <w:color w:val="000000"/>
        </w:rPr>
        <w:t>, who named the disease on account of its close resemblance to the pediatric syndrome systemic-onset juvenile idiopathic arthritis (</w:t>
      </w:r>
      <w:proofErr w:type="spellStart"/>
      <w:r>
        <w:rPr>
          <w:rFonts w:ascii="Book Antiqua" w:eastAsia="Book Antiqua" w:hAnsi="Book Antiqua" w:cs="Book Antiqua"/>
          <w:color w:val="000000"/>
        </w:rPr>
        <w:t>SoJIA</w:t>
      </w:r>
      <w:proofErr w:type="spellEnd"/>
      <w:r>
        <w:rPr>
          <w:rFonts w:ascii="Book Antiqua" w:eastAsia="Book Antiqua" w:hAnsi="Book Antiqua" w:cs="Book Antiqua"/>
          <w:color w:val="000000"/>
        </w:rPr>
        <w:t xml:space="preserve">), which was formerly called “Still's disease” for the reason that it was described by </w:t>
      </w:r>
      <w:proofErr w:type="spellStart"/>
      <w:r>
        <w:rPr>
          <w:rFonts w:ascii="Book Antiqua" w:eastAsia="Book Antiqua" w:hAnsi="Book Antiqua" w:cs="Book Antiqua"/>
          <w:color w:val="000000"/>
        </w:rPr>
        <w:t>Dr</w:t>
      </w:r>
      <w:proofErr w:type="spellEnd"/>
      <w:r>
        <w:rPr>
          <w:rFonts w:ascii="Book Antiqua" w:eastAsia="Book Antiqua" w:hAnsi="Book Antiqua" w:cs="Book Antiqua"/>
          <w:color w:val="000000"/>
        </w:rPr>
        <w:t xml:space="preserve"> George Still in 1897</w:t>
      </w:r>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xml:space="preserve">. The etiology is unknown, and both infectious triggers and genetic factors have been suggested, but there is no clear evidence of an infectious </w:t>
      </w:r>
      <w:proofErr w:type="gramStart"/>
      <w:r>
        <w:rPr>
          <w:rFonts w:ascii="Book Antiqua" w:eastAsia="Book Antiqua" w:hAnsi="Book Antiqua" w:cs="Book Antiqua"/>
          <w:color w:val="000000"/>
        </w:rPr>
        <w:t>etiology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w:t>
      </w:r>
    </w:p>
    <w:p w:rsidR="001B0CC3" w:rsidRDefault="004845D5">
      <w:pPr>
        <w:spacing w:line="360" w:lineRule="auto"/>
        <w:ind w:firstLineChars="100" w:firstLine="240"/>
        <w:jc w:val="both"/>
      </w:pPr>
      <w:r>
        <w:rPr>
          <w:rFonts w:ascii="Book Antiqua" w:eastAsia="Book Antiqua" w:hAnsi="Book Antiqua" w:cs="Book Antiqua"/>
          <w:color w:val="000000"/>
        </w:rPr>
        <w:t xml:space="preserve">Available epidemiologic results show that the incidence of AOSD ranges between 0.16 and 0.4/100000 people, with an estimated prevalence rate between 1 and 34 cases/1 million </w:t>
      </w:r>
      <w:proofErr w:type="gramStart"/>
      <w:r>
        <w:rPr>
          <w:rFonts w:ascii="Book Antiqua" w:eastAsia="Book Antiqua" w:hAnsi="Book Antiqua" w:cs="Book Antiqua"/>
          <w:color w:val="000000"/>
        </w:rPr>
        <w:t>people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2,6,7]</w:t>
      </w:r>
      <w:r>
        <w:rPr>
          <w:rFonts w:ascii="Book Antiqua" w:eastAsia="Book Antiqua" w:hAnsi="Book Antiqua" w:cs="Book Antiqua"/>
          <w:color w:val="000000"/>
        </w:rPr>
        <w:t xml:space="preserve">. Based on some reports, females seem to be more affected than males; however, AOSD is considered to be evenly distributed between the sexes. AOSD usually afflicts young people, with a bimodal peak at ages 15-25 and 36-46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Diagnosis is based on clinical grounds, following the exclusion of mimickers of autoimmune, infectious, and neoplastic disorders, with the additional consideration of nonspecific laboratory abnormalities such as elevation of serum ferritin (SF), peripheral leukocytosis, and other acute-phase </w:t>
      </w:r>
      <w:proofErr w:type="gramStart"/>
      <w:r>
        <w:rPr>
          <w:rFonts w:ascii="Book Antiqua" w:eastAsia="Book Antiqua" w:hAnsi="Book Antiqua" w:cs="Book Antiqua"/>
          <w:color w:val="000000"/>
        </w:rPr>
        <w:t>reactants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In general, the absence of disease-specific symptoms and laboratory markers hinders its diagnosis, and the lack of established disease activity markers makes the determination of treatment efficacy problematic. More importantly, AOSD-related complications are significantly associated with mortality. These patients may also experience different complications that affect their clinical symptoms, management, and prognosis. Moreover, clinical progression is also unpredictable, with 60%-70% of those patients developing a chronic form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caps/>
          <w:color w:val="000000"/>
          <w:u w:val="single"/>
        </w:rPr>
        <w:t>CASE PRESENTATION</w:t>
      </w:r>
    </w:p>
    <w:p w:rsidR="001B0CC3" w:rsidRDefault="004845D5">
      <w:pPr>
        <w:spacing w:line="360" w:lineRule="auto"/>
        <w:jc w:val="both"/>
      </w:pPr>
      <w:r>
        <w:rPr>
          <w:rFonts w:ascii="Book Antiqua" w:eastAsia="Book Antiqua" w:hAnsi="Book Antiqua" w:cs="Book Antiqua"/>
          <w:b/>
          <w:i/>
          <w:color w:val="000000"/>
        </w:rPr>
        <w:lastRenderedPageBreak/>
        <w:t>Chief complaints</w:t>
      </w:r>
    </w:p>
    <w:p w:rsidR="001B0CC3" w:rsidRDefault="004845D5">
      <w:pPr>
        <w:spacing w:line="360" w:lineRule="auto"/>
        <w:jc w:val="both"/>
      </w:pPr>
      <w:r>
        <w:rPr>
          <w:rFonts w:ascii="Book Antiqua" w:eastAsia="Book Antiqua" w:hAnsi="Book Antiqua" w:cs="Book Antiqua"/>
          <w:color w:val="000000"/>
        </w:rPr>
        <w:t>A 36-year-old woman presented to the Outpatient Department of our hospital complaining of poor wound healing of an incision in her right hip and AOSD.</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i/>
          <w:color w:val="000000"/>
        </w:rPr>
        <w:t>History of present illness</w:t>
      </w:r>
    </w:p>
    <w:p w:rsidR="001B0CC3" w:rsidRDefault="004845D5">
      <w:pPr>
        <w:spacing w:line="360" w:lineRule="auto"/>
        <w:jc w:val="both"/>
      </w:pPr>
      <w:r>
        <w:rPr>
          <w:rFonts w:ascii="Book Antiqua" w:eastAsia="Book Antiqua" w:hAnsi="Book Antiqua" w:cs="Book Antiqua"/>
          <w:color w:val="000000"/>
        </w:rPr>
        <w:t xml:space="preserve">She had developed steroid-induced femoral head osteonecrosis caused by long-term prednisone therapy for AOSD, and the incision had not healed by 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bilateral prosthetic replacement. She was hospitalized for treatment in a stable condition. During hospitalization, the patient suddenly developed high fever and diarrhea, with the highest temperature reaching 38.2 °C, accompanied by nausea, vomiting, poor appetite, and mild dehydration. The patient was transferred to the intensive care unit (ICU) after refusing fluid rehydration therapy with deep-vein puncture. After further inquiry about the patient's history, her husband said that her AOSD was greatly affected by her mood, and the patient had a high fever of 41 °C lasting for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due to depression". The next day, her condition suddenly deteriorated, blood pressure decreased, and her dyspnea, oliguria, and disease rapidly worsened.</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i/>
          <w:color w:val="000000"/>
        </w:rPr>
        <w:t>History of past illness</w:t>
      </w:r>
    </w:p>
    <w:p w:rsidR="001B0CC3" w:rsidRDefault="004845D5">
      <w:pPr>
        <w:spacing w:line="360" w:lineRule="auto"/>
        <w:jc w:val="both"/>
      </w:pPr>
      <w:r>
        <w:rPr>
          <w:rFonts w:ascii="Book Antiqua" w:eastAsia="Book Antiqua" w:hAnsi="Book Antiqua" w:cs="Book Antiqua"/>
          <w:color w:val="000000"/>
        </w:rPr>
        <w:t xml:space="preserve">Twenty-two years prior (at 14 years old, 1998), fever occurred due to </w:t>
      </w:r>
      <w:proofErr w:type="spellStart"/>
      <w:r>
        <w:rPr>
          <w:rFonts w:ascii="Book Antiqua" w:eastAsia="Book Antiqua" w:hAnsi="Book Antiqua" w:cs="Book Antiqua"/>
          <w:color w:val="000000"/>
        </w:rPr>
        <w:t>overfright</w:t>
      </w:r>
      <w:proofErr w:type="spellEnd"/>
      <w:r>
        <w:rPr>
          <w:rFonts w:ascii="Book Antiqua" w:eastAsia="Book Antiqua" w:hAnsi="Book Antiqua" w:cs="Book Antiqua"/>
          <w:color w:val="000000"/>
        </w:rPr>
        <w:t xml:space="preserve">, with the highest body temperature reaching 40 °C; her body temperature often increased in the morning. This was accompanied by a red rash on her back, sore throat, migratory swelling, and pain of multiple joints and muscle in the whole body, mainly affecting the proximal interphalangeal joint of both hands, metacarpophalangeal joint, double wrist joint, double elbow joint, and bilateral temporomandibular joint. Her symptoms associated with morning stiffness eased slightly after 1 h of activity. Test results showed that SF was increased and white blood cells (WBCs) obviously increased. The first diagnosis was "juvenile rheumatoid arthritis of systemic type", and the patient was treated with prednisone up to 30 mg/d, sulfasalazine, methotrexate, and </w:t>
      </w:r>
      <w:proofErr w:type="spellStart"/>
      <w:r>
        <w:rPr>
          <w:rFonts w:ascii="Book Antiqua" w:eastAsia="Book Antiqua" w:hAnsi="Book Antiqua" w:cs="Book Antiqua"/>
          <w:color w:val="000000"/>
        </w:rPr>
        <w:t>leflunomide</w:t>
      </w:r>
      <w:proofErr w:type="spellEnd"/>
      <w:r>
        <w:rPr>
          <w:rFonts w:ascii="Book Antiqua" w:eastAsia="Book Antiqua" w:hAnsi="Book Antiqua" w:cs="Book Antiqua"/>
          <w:color w:val="000000"/>
        </w:rPr>
        <w:t xml:space="preserve">. After her symptoms improved, the patient stopped taking the medicines. </w:t>
      </w:r>
      <w:r>
        <w:rPr>
          <w:rFonts w:ascii="Book Antiqua" w:eastAsia="Book Antiqua" w:hAnsi="Book Antiqua" w:cs="Book Antiqua"/>
          <w:color w:val="000000"/>
        </w:rPr>
        <w:lastRenderedPageBreak/>
        <w:t xml:space="preserve">The disease then recurred, and she was diagnosed with "AOSD" and was treated with prednisone at a dose up to 60 mg (1 mg/kg), methotrexate, and traditional Chinese medicine, resulting in short-term improvement of symptoms. In 2002, bilateral alternating hip pain began to appear. After that, movement of both hip joints and knee joints was limited, with </w:t>
      </w:r>
      <w:proofErr w:type="spellStart"/>
      <w:r>
        <w:rPr>
          <w:rFonts w:ascii="Book Antiqua" w:eastAsia="Book Antiqua" w:hAnsi="Book Antiqua" w:cs="Book Antiqua"/>
          <w:color w:val="000000"/>
        </w:rPr>
        <w:t>overflexion</w:t>
      </w:r>
      <w:proofErr w:type="spellEnd"/>
      <w:r>
        <w:rPr>
          <w:rFonts w:ascii="Book Antiqua" w:eastAsia="Book Antiqua" w:hAnsi="Book Antiqua" w:cs="Book Antiqua"/>
          <w:color w:val="000000"/>
        </w:rPr>
        <w:t xml:space="preserve"> of the proximal interphalangeal joints of fingers and feet. In 2015, X-ray of her hands was performed, showing a narrow joint space of the hands and wrists. X-ray of the hip joint revealed a flattened femoral head on both sides, with multiple transparent shadows and </w:t>
      </w:r>
      <w:proofErr w:type="spellStart"/>
      <w:r>
        <w:rPr>
          <w:rFonts w:ascii="Book Antiqua" w:eastAsia="Book Antiqua" w:hAnsi="Book Antiqua" w:cs="Book Antiqua"/>
          <w:color w:val="000000"/>
        </w:rPr>
        <w:t>hyperosteogeny</w:t>
      </w:r>
      <w:proofErr w:type="spellEnd"/>
      <w:r>
        <w:rPr>
          <w:rFonts w:ascii="Book Antiqua" w:eastAsia="Book Antiqua" w:hAnsi="Book Antiqua" w:cs="Book Antiqua"/>
          <w:color w:val="000000"/>
        </w:rPr>
        <w:t xml:space="preserve"> and sclerosis, and the acetabular bone on both sides was obviously thinner; some bones were discontinuous, with </w:t>
      </w:r>
      <w:proofErr w:type="spellStart"/>
      <w:r>
        <w:rPr>
          <w:rFonts w:ascii="Book Antiqua" w:eastAsia="Book Antiqua" w:hAnsi="Book Antiqua" w:cs="Book Antiqua"/>
          <w:color w:val="000000"/>
        </w:rPr>
        <w:t>hyperosteogeny</w:t>
      </w:r>
      <w:proofErr w:type="spellEnd"/>
      <w:r>
        <w:rPr>
          <w:rFonts w:ascii="Book Antiqua" w:eastAsia="Book Antiqua" w:hAnsi="Book Antiqua" w:cs="Book Antiqua"/>
          <w:color w:val="000000"/>
        </w:rPr>
        <w:t xml:space="preserve"> and cystic shadow, and the joint space of both hips became obviously narrow. During this period, the disease recurred many times, and the patient took oral prednisone, </w:t>
      </w:r>
      <w:proofErr w:type="spellStart"/>
      <w:r>
        <w:rPr>
          <w:rFonts w:ascii="Book Antiqua" w:eastAsia="Book Antiqua" w:hAnsi="Book Antiqua" w:cs="Book Antiqua"/>
          <w:color w:val="000000"/>
        </w:rPr>
        <w:t>lothorofan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leflumide</w:t>
      </w:r>
      <w:proofErr w:type="spellEnd"/>
      <w:r>
        <w:rPr>
          <w:rFonts w:ascii="Book Antiqua" w:eastAsia="Book Antiqua" w:hAnsi="Book Antiqua" w:cs="Book Antiqua"/>
          <w:color w:val="000000"/>
        </w:rPr>
        <w:t xml:space="preserve"> intermittently. Methotrexate, </w:t>
      </w:r>
      <w:proofErr w:type="spellStart"/>
      <w:r>
        <w:rPr>
          <w:rFonts w:ascii="Book Antiqua" w:eastAsia="Book Antiqua" w:hAnsi="Book Antiqua" w:cs="Book Antiqua"/>
          <w:color w:val="000000"/>
        </w:rPr>
        <w:t>iguratimod</w:t>
      </w:r>
      <w:proofErr w:type="spellEnd"/>
      <w:r>
        <w:rPr>
          <w:rFonts w:ascii="Book Antiqua" w:eastAsia="Book Antiqua" w:hAnsi="Book Antiqua" w:cs="Book Antiqua"/>
          <w:color w:val="000000"/>
        </w:rPr>
        <w:t xml:space="preserve">, and Tripterygium </w:t>
      </w:r>
      <w:proofErr w:type="spellStart"/>
      <w:r>
        <w:rPr>
          <w:rFonts w:ascii="Book Antiqua" w:eastAsia="Book Antiqua" w:hAnsi="Book Antiqua" w:cs="Book Antiqua"/>
          <w:color w:val="000000"/>
        </w:rPr>
        <w:t>wilfordii</w:t>
      </w:r>
      <w:proofErr w:type="spellEnd"/>
      <w:r>
        <w:rPr>
          <w:rFonts w:ascii="Book Antiqua" w:eastAsia="Book Antiqua" w:hAnsi="Book Antiqua" w:cs="Book Antiqua"/>
          <w:color w:val="000000"/>
        </w:rPr>
        <w:t xml:space="preserve"> were discontinued due to adverse effects. In April 2016, the patient began treatment with </w:t>
      </w:r>
      <w:proofErr w:type="spellStart"/>
      <w:r>
        <w:rPr>
          <w:rFonts w:ascii="Book Antiqua" w:eastAsia="Book Antiqua" w:hAnsi="Book Antiqua" w:cs="Book Antiqua"/>
          <w:color w:val="000000"/>
        </w:rPr>
        <w:t>etanercept</w:t>
      </w:r>
      <w:proofErr w:type="spellEnd"/>
      <w:r>
        <w:rPr>
          <w:rFonts w:ascii="Book Antiqua" w:eastAsia="Book Antiqua" w:hAnsi="Book Antiqua" w:cs="Book Antiqua"/>
          <w:color w:val="000000"/>
        </w:rPr>
        <w:t xml:space="preserve">. After that, due to frequent recurrence of the disease, the patient began to receive regular monthly intravenous administration of an interleukin (IL)-6 </w:t>
      </w:r>
      <w:proofErr w:type="gramStart"/>
      <w:r>
        <w:rPr>
          <w:rFonts w:ascii="Book Antiqua" w:eastAsia="Book Antiqua" w:hAnsi="Book Antiqua" w:cs="Book Antiqua"/>
          <w:color w:val="000000"/>
        </w:rPr>
        <w:t>antagonist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Actemra</w:t>
      </w:r>
      <w:proofErr w:type="spellEnd"/>
      <w:r>
        <w:rPr>
          <w:rFonts w:ascii="Book Antiqua" w:eastAsia="Book Antiqua" w:hAnsi="Book Antiqua" w:cs="Book Antiqua"/>
          <w:color w:val="000000"/>
        </w:rPr>
        <w:t>) at 320 mg, and the dose of prednisone was reduced to 10 mg/d. In April 2020, she was hospitalized with the aggravation of pain in both hip joints and a limp. The test results showed that WBC count, C-reactive protein (CRP), and SF were normal. Bilateral femoral head necrosis was definitively diagnosed, and bilateral prosthetic replacement was performed. Two months after the surgery, the patient did withdrawal of </w:t>
      </w:r>
      <w:proofErr w:type="spellStart"/>
      <w:r>
        <w:rPr>
          <w:rFonts w:ascii="Book Antiqua" w:eastAsia="Book Antiqua" w:hAnsi="Book Antiqua" w:cs="Book Antiqua"/>
          <w:color w:val="000000"/>
        </w:rPr>
        <w:t>Actemra</w:t>
      </w:r>
      <w:proofErr w:type="spellEnd"/>
      <w:r>
        <w:rPr>
          <w:rFonts w:ascii="Book Antiqua" w:eastAsia="Book Antiqua" w:hAnsi="Book Antiqua" w:cs="Book Antiqua"/>
          <w:color w:val="000000"/>
        </w:rPr>
        <w:t xml:space="preserve"> and immuno</w:t>
      </w:r>
      <w:r>
        <w:rPr>
          <w:rFonts w:ascii="Book Antiqua" w:eastAsia="宋体" w:hAnsi="Book Antiqua" w:cs="Book Antiqua" w:hint="eastAsia"/>
          <w:color w:val="000000"/>
          <w:lang w:eastAsia="zh-CN"/>
        </w:rPr>
        <w:t>-</w:t>
      </w:r>
      <w:r>
        <w:rPr>
          <w:rFonts w:ascii="Book Antiqua" w:eastAsia="Book Antiqua" w:hAnsi="Book Antiqua" w:cs="Book Antiqua"/>
          <w:color w:val="000000"/>
        </w:rPr>
        <w:t>suppressive agents on her own.</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i/>
          <w:color w:val="000000"/>
        </w:rPr>
        <w:t>Physical examination</w:t>
      </w:r>
    </w:p>
    <w:p w:rsidR="001B0CC3" w:rsidRDefault="004845D5">
      <w:pPr>
        <w:spacing w:line="360" w:lineRule="auto"/>
        <w:jc w:val="both"/>
      </w:pPr>
      <w:r>
        <w:rPr>
          <w:rFonts w:ascii="Book Antiqua" w:eastAsia="Book Antiqua" w:hAnsi="Book Antiqua" w:cs="Book Antiqua"/>
          <w:color w:val="000000"/>
        </w:rPr>
        <w:t xml:space="preserve">After her second day in the ICU, the patient’s temperature was 36.5 </w:t>
      </w:r>
      <w:r>
        <w:rPr>
          <w:rFonts w:ascii="Book Antiqua" w:eastAsia="Book Antiqua" w:hAnsi="Book Antiqua" w:cs="Book Antiqua"/>
          <w:i/>
          <w:iCs/>
          <w:color w:val="000000"/>
        </w:rPr>
        <w:t>°</w:t>
      </w:r>
      <w:r>
        <w:rPr>
          <w:rFonts w:ascii="Book Antiqua" w:eastAsia="Book Antiqua" w:hAnsi="Book Antiqua" w:cs="Book Antiqua"/>
          <w:color w:val="000000"/>
        </w:rPr>
        <w:t xml:space="preserve">C, her heart rate was 96 bpm, her respiratory rate was 26 breaths per minute, her blood pressure was 80/41 mmHg, and her oxygen saturation in room air was 88%-96%. The patient was under some type of sedation but responded to painful stimuli. A 1 cm unhealed incision </w:t>
      </w:r>
      <w:r>
        <w:rPr>
          <w:rFonts w:ascii="Book Antiqua" w:eastAsia="Book Antiqua" w:hAnsi="Book Antiqua" w:cs="Book Antiqua"/>
          <w:color w:val="000000"/>
        </w:rPr>
        <w:lastRenderedPageBreak/>
        <w:t>was seen on the right hip, with seepage of a reddish fluid. Other physical examinations showed no abnormal signs.</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i/>
          <w:color w:val="000000"/>
        </w:rPr>
        <w:t>Laboratory examinations</w:t>
      </w:r>
    </w:p>
    <w:p w:rsidR="001B0CC3" w:rsidRDefault="004845D5">
      <w:pPr>
        <w:spacing w:line="360" w:lineRule="auto"/>
        <w:jc w:val="both"/>
      </w:pPr>
      <w:r>
        <w:rPr>
          <w:rFonts w:ascii="Book Antiqua" w:eastAsia="Book Antiqua" w:hAnsi="Book Antiqua" w:cs="Book Antiqua"/>
          <w:color w:val="000000"/>
        </w:rPr>
        <w:t>On the first day in the ICU, laboratory parameters showed abnormalities of routine blood examination, coagulation function, hepatic function, and serum electrolytes (Table 1, Day 1).</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i/>
          <w:color w:val="000000"/>
        </w:rPr>
        <w:t>Imaging examinations</w:t>
      </w:r>
    </w:p>
    <w:p w:rsidR="001B0CC3" w:rsidRDefault="004845D5">
      <w:pPr>
        <w:spacing w:line="360" w:lineRule="auto"/>
        <w:jc w:val="both"/>
      </w:pPr>
      <w:r>
        <w:rPr>
          <w:rFonts w:ascii="Book Antiqua" w:eastAsia="Book Antiqua" w:hAnsi="Book Antiqua" w:cs="Book Antiqua"/>
          <w:color w:val="000000"/>
        </w:rPr>
        <w:t>Abdominal B-ultrasonography revealed splenomegaly. X-ray of the hip joints showed that the shape and position of bilateral prosthesis were normal, and there were no signs of infection.</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bCs/>
          <w:i/>
          <w:iCs/>
          <w:color w:val="000000"/>
        </w:rPr>
        <w:t>Further diagnostic work-up</w:t>
      </w:r>
    </w:p>
    <w:p w:rsidR="001B0CC3" w:rsidRDefault="004845D5">
      <w:pPr>
        <w:spacing w:line="360" w:lineRule="auto"/>
        <w:jc w:val="both"/>
      </w:pPr>
      <w:r>
        <w:rPr>
          <w:rFonts w:ascii="Book Antiqua" w:eastAsia="Book Antiqua" w:hAnsi="Book Antiqua" w:cs="Book Antiqua"/>
          <w:color w:val="000000"/>
        </w:rPr>
        <w:t xml:space="preserve">Over the next 3 d in the ICU, the laboratory parameters of routine blood examination, coagulation function, hepatic function, and serum electrolyte deteriorated further (Table 1, </w:t>
      </w:r>
      <w:r>
        <w:rPr>
          <w:rFonts w:ascii="Book Antiqua" w:eastAsia="宋体" w:hAnsi="Book Antiqua" w:cs="Book Antiqua" w:hint="eastAsia"/>
          <w:color w:val="000000"/>
          <w:lang w:eastAsia="zh-CN"/>
        </w:rPr>
        <w:t>D</w:t>
      </w:r>
      <w:r>
        <w:rPr>
          <w:rFonts w:ascii="Book Antiqua" w:eastAsia="Book Antiqua" w:hAnsi="Book Antiqua" w:cs="Book Antiqua"/>
          <w:color w:val="000000"/>
        </w:rPr>
        <w:t>ay 2, 3, and 4).</w:t>
      </w:r>
    </w:p>
    <w:p w:rsidR="001B0CC3" w:rsidRDefault="004845D5">
      <w:pPr>
        <w:spacing w:line="360" w:lineRule="auto"/>
        <w:ind w:firstLineChars="100" w:firstLine="240"/>
        <w:jc w:val="both"/>
      </w:pPr>
      <w:r>
        <w:rPr>
          <w:rFonts w:ascii="Book Antiqua" w:eastAsia="Book Antiqua" w:hAnsi="Book Antiqua" w:cs="Book Antiqua"/>
          <w:color w:val="000000"/>
        </w:rPr>
        <w:t xml:space="preserve">The level of SF was </w:t>
      </w:r>
      <w:proofErr w:type="gramStart"/>
      <w:r>
        <w:rPr>
          <w:rFonts w:ascii="Book Antiqua" w:eastAsia="Book Antiqua" w:hAnsi="Book Antiqua" w:cs="Book Antiqua"/>
          <w:color w:val="000000"/>
        </w:rPr>
        <w:t>more than 10000 ng/mL</w:t>
      </w:r>
      <w:proofErr w:type="gramEnd"/>
      <w:r>
        <w:rPr>
          <w:rFonts w:ascii="Book Antiqua" w:eastAsia="Book Antiqua" w:hAnsi="Book Antiqua" w:cs="Book Antiqua"/>
          <w:color w:val="000000"/>
        </w:rPr>
        <w:t xml:space="preserve"> (normal range: 13-150 ng/mL). The level of general cortisol was more than 1649.9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(101.2-535.7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and that of adrenocorticotrophic hormone </w:t>
      </w:r>
      <w:r>
        <w:rPr>
          <w:rFonts w:ascii="Book Antiqua" w:eastAsia="Book Antiqua" w:hAnsi="Book Antiqua" w:cs="Book Antiqua"/>
          <w:color w:val="000000"/>
          <w:szCs w:val="21"/>
        </w:rPr>
        <w:t>w</w:t>
      </w:r>
      <w:r>
        <w:rPr>
          <w:rFonts w:ascii="Book Antiqua" w:eastAsia="Book Antiqua" w:hAnsi="Book Antiqua" w:cs="Book Antiqua"/>
          <w:color w:val="000000"/>
        </w:rPr>
        <w:t xml:space="preserve">as less than 1.54 mL/L (7.2-63.6 mL/L). Serum κ and λ light chain levels were 60.9 mg/L (6.7-22.4 mg/L) and 1.62 (0.31-1.56 mg/L), respectively, and the ratio of κ/λ was 1.62 (0.31-1.56). Other immunological tests were almost within the normal range, including anti-phospholipid antibodies, immunoglobulin, complement, rheumatoid factor (RF), </w:t>
      </w:r>
      <w:proofErr w:type="spellStart"/>
      <w:r>
        <w:rPr>
          <w:rFonts w:ascii="Book Antiqua" w:eastAsia="Book Antiqua" w:hAnsi="Book Antiqua" w:cs="Book Antiqua"/>
          <w:color w:val="000000"/>
        </w:rPr>
        <w:t>antistreptolysin</w:t>
      </w:r>
      <w:proofErr w:type="spellEnd"/>
      <w:r>
        <w:rPr>
          <w:rFonts w:ascii="Book Antiqua" w:eastAsia="Book Antiqua" w:hAnsi="Book Antiqua" w:cs="Book Antiqua"/>
          <w:color w:val="000000"/>
        </w:rPr>
        <w:t xml:space="preserve"> O test, anti-CCP antibody, autoimmune antibody tests, and Coombs test (MGCT). No bacteria or fungi were found in blood culture, sputum culture, or secretions of surgical wound. Routine urine tests indicated urine protein 2+, occult blood 2+, and WBCs 188.5 mL/L, with no other abnormality found. Fecal flora analysis indicated 100% </w:t>
      </w:r>
      <w:r>
        <w:rPr>
          <w:rFonts w:ascii="Book Antiqua" w:eastAsia="Book Antiqua" w:hAnsi="Book Antiqua" w:cs="Book Antiqua"/>
          <w:i/>
          <w:color w:val="000000"/>
        </w:rPr>
        <w:lastRenderedPageBreak/>
        <w:t>Enterobacter spp</w:t>
      </w:r>
      <w:r>
        <w:rPr>
          <w:rFonts w:ascii="Book Antiqua" w:eastAsia="Book Antiqua" w:hAnsi="Book Antiqua" w:cs="Book Antiqua"/>
          <w:color w:val="000000"/>
        </w:rPr>
        <w:t>. The examination of lymphocyte subpopulations and cytokines was ongoing.</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caps/>
          <w:color w:val="000000"/>
          <w:u w:val="single"/>
        </w:rPr>
        <w:t>MULTIDISCIPLINARY EXPERT CONSULTATION</w:t>
      </w:r>
    </w:p>
    <w:p w:rsidR="001B0CC3" w:rsidRDefault="004845D5">
      <w:pPr>
        <w:spacing w:line="360" w:lineRule="auto"/>
        <w:jc w:val="both"/>
      </w:pPr>
      <w:r>
        <w:rPr>
          <w:rFonts w:ascii="Book Antiqua" w:eastAsia="Book Antiqua" w:hAnsi="Book Antiqua" w:cs="Book Antiqua"/>
          <w:color w:val="000000"/>
        </w:rPr>
        <w:t xml:space="preserve">Given the multiple organ involvement and high SF and WBC levels, and the patient's history of stopping </w:t>
      </w:r>
      <w:proofErr w:type="spellStart"/>
      <w:r>
        <w:rPr>
          <w:rFonts w:ascii="Book Antiqua" w:eastAsia="Book Antiqua" w:hAnsi="Book Antiqua" w:cs="Book Antiqua"/>
          <w:color w:val="000000"/>
        </w:rPr>
        <w:t>Actemra</w:t>
      </w:r>
      <w:proofErr w:type="spellEnd"/>
      <w:r>
        <w:rPr>
          <w:rFonts w:ascii="Book Antiqua" w:eastAsia="Book Antiqua" w:hAnsi="Book Antiqua" w:cs="Book Antiqua"/>
          <w:color w:val="000000"/>
        </w:rPr>
        <w:t xml:space="preserve"> and immunosuppressive agents on her own for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diagnosis of active AOSD was confirmed by multidisciplinary expert consultation. It was discussed whether the diarrhea was a second hit. Diarrhea may trigger a pathologic process in genetically susceptible patients, finally leading to an uncontrollable increase in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with a severe systemic inflammatory reaction, which is responsible for AOSD development. It was agreed that the large dose of cortisol impulse therapy up to 200 mg per day was a reasonable treatment and that immunomodulatory and inflammatory suppression should be continued. Hemodialysis should also be performed to remove metabolic wastes and inflammatory factors from the blood. Furthermore, the examination of lymphocyte subpopulations and cytokines should be carried out to detect disease activity. If necessary, the patient should undergo bone marrow biopsy, flow cytometry, and chromosome testing. Treatment with cortisol at a dose of 200 mg/d was re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commended, and hemodialysis was performed. In the case of nonresponse, it was decided to consider treatment with </w:t>
      </w:r>
      <w:proofErr w:type="spellStart"/>
      <w:r>
        <w:rPr>
          <w:rFonts w:ascii="Book Antiqua" w:eastAsia="Book Antiqua" w:hAnsi="Book Antiqua" w:cs="Book Antiqua"/>
          <w:color w:val="000000"/>
        </w:rPr>
        <w:t>Actemra</w:t>
      </w:r>
      <w:proofErr w:type="spellEnd"/>
      <w:r>
        <w:rPr>
          <w:rFonts w:ascii="Book Antiqua" w:eastAsia="Book Antiqua" w:hAnsi="Book Antiqua" w:cs="Book Antiqua"/>
          <w:color w:val="000000"/>
        </w:rPr>
        <w:t xml:space="preserve"> and cyclosporine.</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caps/>
          <w:color w:val="000000"/>
          <w:u w:val="single"/>
        </w:rPr>
        <w:t>FINAL DIAGNOSIS</w:t>
      </w:r>
    </w:p>
    <w:p w:rsidR="001B0CC3" w:rsidRDefault="004845D5">
      <w:pPr>
        <w:spacing w:line="360" w:lineRule="auto"/>
        <w:jc w:val="both"/>
      </w:pPr>
      <w:r>
        <w:rPr>
          <w:rFonts w:ascii="Book Antiqua" w:eastAsia="Book Antiqua" w:hAnsi="Book Antiqua" w:cs="Book Antiqua"/>
          <w:color w:val="000000"/>
        </w:rPr>
        <w:t>The final diagnoses of the presented case were shock, multiple organ dysfunction syndrome (acute heart failure, acute liver failure, acute respiratory dysfunction, and abnormal coagulation function), AOSD, acute gastroenteritis, postoperative nonunion of the right hip, electrolyte disorder, anemia, and hypoproteinemia.</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caps/>
          <w:color w:val="000000"/>
          <w:u w:val="single"/>
        </w:rPr>
        <w:t>TREATMENT</w:t>
      </w:r>
    </w:p>
    <w:p w:rsidR="001B0CC3" w:rsidRDefault="004845D5">
      <w:pPr>
        <w:spacing w:line="360" w:lineRule="auto"/>
        <w:jc w:val="both"/>
      </w:pPr>
      <w:r>
        <w:rPr>
          <w:rFonts w:ascii="Book Antiqua" w:eastAsia="Book Antiqua" w:hAnsi="Book Antiqua" w:cs="Book Antiqua"/>
          <w:color w:val="000000"/>
        </w:rPr>
        <w:lastRenderedPageBreak/>
        <w:t>After comprehensive treatment, such as anti-shock, blood transfusion, auxiliary ventilation, plasma exchange, and cortisol impulse treatment, the patient’s body temperature returned to normal, but her diarrhea was not relieved.</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caps/>
          <w:color w:val="000000"/>
          <w:u w:val="single"/>
        </w:rPr>
        <w:t>OUTCOME AND FOLLOW-UP</w:t>
      </w:r>
    </w:p>
    <w:p w:rsidR="001B0CC3" w:rsidRDefault="004845D5">
      <w:pPr>
        <w:spacing w:line="360" w:lineRule="auto"/>
        <w:jc w:val="both"/>
      </w:pPr>
      <w:r>
        <w:rPr>
          <w:rFonts w:ascii="Book Antiqua" w:eastAsia="Book Antiqua" w:hAnsi="Book Antiqua" w:cs="Book Antiqua"/>
          <w:color w:val="000000"/>
        </w:rPr>
        <w:t>On the third day in the ICU, the patient’s condition worsened; her blood pressure suddenly dropped to 50/30 mmHg, and she did not respond to increased epinephrine and dopamine doses or intravenous epinephrine. In the end, the patient had sudden cardiac arrest, and she died despite emergency rescue efforts.</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caps/>
          <w:color w:val="000000"/>
          <w:u w:val="single"/>
        </w:rPr>
        <w:t>DISCUSSION</w:t>
      </w:r>
    </w:p>
    <w:p w:rsidR="001B0CC3" w:rsidRDefault="004845D5">
      <w:pPr>
        <w:spacing w:line="360" w:lineRule="auto"/>
        <w:jc w:val="both"/>
      </w:pPr>
      <w:r>
        <w:rPr>
          <w:rFonts w:ascii="Book Antiqua" w:eastAsia="Book Antiqua" w:hAnsi="Book Antiqua" w:cs="Book Antiqua"/>
          <w:color w:val="000000"/>
        </w:rPr>
        <w:t xml:space="preserve">AOSD is classified as a </w:t>
      </w:r>
      <w:proofErr w:type="spellStart"/>
      <w:r>
        <w:rPr>
          <w:rFonts w:ascii="Book Antiqua" w:eastAsia="Book Antiqua" w:hAnsi="Book Antiqua" w:cs="Book Antiqua"/>
          <w:color w:val="000000"/>
        </w:rPr>
        <w:t>multigenic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autoinflammatory</w:t>
      </w:r>
      <w:proofErr w:type="spellEnd"/>
      <w:r>
        <w:rPr>
          <w:rFonts w:ascii="Book Antiqua" w:eastAsia="Book Antiqua" w:hAnsi="Book Antiqua" w:cs="Book Antiqua"/>
          <w:color w:val="000000"/>
        </w:rPr>
        <w:t xml:space="preserve"> disease because of its complex pathogenesis, involving both the innate and adaptive immune systems. It is generally considered that some unknown factors, playing as second hits, may startup a pathologic procedure in genetically susceptible patients, eventually leading to the activation of an aberrant inflammatory response, which leads to the development of AOSD. Although the pathogenesis is mostly unknown, the pivotal role of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including IL-1β, IL-6, IL-8, IL-10, IL-17, IL-18, interferon-γ, tumor necrosis factor, and ferritin in developing the inflammatory vicious circle has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10-13]</w:t>
      </w:r>
      <w:r>
        <w:rPr>
          <w:rFonts w:ascii="Book Antiqua" w:eastAsia="Book Antiqua" w:hAnsi="Book Antiqua" w:cs="Book Antiqua"/>
          <w:color w:val="000000"/>
        </w:rPr>
        <w:t xml:space="preserve">. There are six sets of criteria for the diagnosis of AOSD currently, and Yamaguchi's criteria are the most sensitive as well as the most widely used. The criteria include fever evanescent rash, arthralgia, and leukocytosis as major items and other nonspecific symptoms, such as sore throat, lymphadenopathy, splenomegaly, deterioration of liver function, negative rheumatoid factor, and antinuclear antibody as minor items; more than five items including at least two major criteria are necessary for the diagnosis and to exclude malignancy or infectious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w:t>
      </w:r>
    </w:p>
    <w:p w:rsidR="001B0CC3" w:rsidRDefault="004845D5">
      <w:pPr>
        <w:spacing w:line="360" w:lineRule="auto"/>
        <w:ind w:firstLineChars="100" w:firstLine="240"/>
        <w:jc w:val="both"/>
      </w:pPr>
      <w:r>
        <w:rPr>
          <w:rFonts w:ascii="Book Antiqua" w:eastAsia="Book Antiqua" w:hAnsi="Book Antiqua" w:cs="Book Antiqua"/>
          <w:color w:val="000000"/>
        </w:rPr>
        <w:t xml:space="preserve">AOSD typically manifests with a symptomatic triad characterized by fever (60%-100%), red rash (60%-80%), and arthralgia and arthritis (70%-100%) which may develop to destructive symmetric </w:t>
      </w:r>
      <w:proofErr w:type="gramStart"/>
      <w:r>
        <w:rPr>
          <w:rFonts w:ascii="Book Antiqua" w:eastAsia="Book Antiqua" w:hAnsi="Book Antiqua" w:cs="Book Antiqua"/>
          <w:color w:val="000000"/>
        </w:rPr>
        <w:t>polyarthritis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In AOSD, fever always precedes other </w:t>
      </w:r>
      <w:r>
        <w:rPr>
          <w:rFonts w:ascii="Book Antiqua" w:eastAsia="Book Antiqua" w:hAnsi="Book Antiqua" w:cs="Book Antiqua"/>
          <w:color w:val="000000"/>
        </w:rPr>
        <w:lastRenderedPageBreak/>
        <w:t xml:space="preserve">manifestations' onset, and the fever shows an abrupt onset usually, commonly once or twice the quotidian pattern, with the highest temperature detected in the early evening or late afternoon. The temperature may sometimes return to a normal value without any antipyretic treatment. The rash is usually observed on the proximal trunk and limbs, appearing during the febrile attacks, and </w:t>
      </w:r>
      <w:proofErr w:type="gramStart"/>
      <w:r>
        <w:rPr>
          <w:rFonts w:ascii="Book Antiqua" w:eastAsia="Book Antiqua" w:hAnsi="Book Antiqua" w:cs="Book Antiqua"/>
          <w:color w:val="000000"/>
        </w:rPr>
        <w:t>its</w:t>
      </w:r>
      <w:proofErr w:type="gramEnd"/>
      <w:r>
        <w:rPr>
          <w:rFonts w:ascii="Book Antiqua" w:eastAsia="Book Antiqua" w:hAnsi="Book Antiqua" w:cs="Book Antiqua"/>
          <w:color w:val="000000"/>
        </w:rPr>
        <w:t xml:space="preserve"> typically histopathology shows a mixed inflammatory infiltrate, surrounding the perivascular areas without epidermal changes. Joint disease is also a common sign. Arthritis and arthralgia mostly affect knees, wrists, and ankles. Some patients may gradually develop chronic destructive symmetrical polyarthritis and </w:t>
      </w:r>
      <w:proofErr w:type="spellStart"/>
      <w:r>
        <w:rPr>
          <w:rFonts w:ascii="Book Antiqua" w:eastAsia="Book Antiqua" w:hAnsi="Book Antiqua" w:cs="Book Antiqua"/>
          <w:color w:val="000000"/>
        </w:rPr>
        <w:t>ankylosis</w:t>
      </w:r>
      <w:proofErr w:type="spellEnd"/>
      <w:r>
        <w:rPr>
          <w:rFonts w:ascii="Book Antiqua" w:eastAsia="Book Antiqua" w:hAnsi="Book Antiqua" w:cs="Book Antiqua"/>
          <w:color w:val="000000"/>
        </w:rPr>
        <w:t xml:space="preserve"> in subsequent years. Laboratory test of joint fluid may show an inflammatory fluid with neutrophil predominance. Other nonspecific symptoms may be found in AOSD, such as sore throat, cardiopulmonary features, kidney disease, neurological manifestations, enlargement of cervical lymph nodes (LNs), splenomegaly, hepatomegaly, liver dysfunction, and increased hepatic </w:t>
      </w:r>
      <w:proofErr w:type="gramStart"/>
      <w:r>
        <w:rPr>
          <w:rFonts w:ascii="Book Antiqua" w:eastAsia="Book Antiqua" w:hAnsi="Book Antiqua" w:cs="Book Antiqua"/>
          <w:color w:val="000000"/>
        </w:rPr>
        <w:t>enzymes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w:t>
      </w:r>
    </w:p>
    <w:p w:rsidR="001B0CC3" w:rsidRDefault="004845D5">
      <w:pPr>
        <w:spacing w:line="360" w:lineRule="auto"/>
        <w:ind w:firstLineChars="100" w:firstLine="240"/>
        <w:jc w:val="both"/>
      </w:pPr>
      <w:r>
        <w:rPr>
          <w:rFonts w:ascii="Book Antiqua" w:eastAsia="Book Antiqua" w:hAnsi="Book Antiqua" w:cs="Book Antiqua"/>
          <w:color w:val="000000"/>
        </w:rPr>
        <w:t xml:space="preserve">Laboratory tests commonly show increased SF, CRP, and erythrocyte sedimentation rate (ESR), neutrophilic leukocytosis, anemia, and thrombocytopenia. The levels of SF are higher than those observed in other autoimmune, infectious, inflammatory, or neoplastic diseases. It has been reported that SF is an acute-phase protein released from impaired hepatocytes; the levels may be elevated in inflammatory disorders, alcohol abuse, liver disease, infectious diseases such as HIV infection, or </w:t>
      </w:r>
      <w:proofErr w:type="gramStart"/>
      <w:r>
        <w:rPr>
          <w:rFonts w:ascii="Book Antiqua" w:eastAsia="Book Antiqua" w:hAnsi="Book Antiqua" w:cs="Book Antiqua"/>
          <w:color w:val="000000"/>
        </w:rPr>
        <w:t>malignancy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Eighty percent of AOSD patients were reported to have increased ferritin levels, 70% of which were more than five times the normal upper </w:t>
      </w:r>
      <w:proofErr w:type="gramStart"/>
      <w:r>
        <w:rPr>
          <w:rFonts w:ascii="Book Antiqua" w:eastAsia="Book Antiqua" w:hAnsi="Book Antiqua" w:cs="Book Antiqua"/>
          <w:color w:val="000000"/>
        </w:rPr>
        <w:t>limit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The median level of SF in AOSD patients is reportedly 4752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A SF level higher than 10000 ng/mL can be a specific marker for AOSD if there is no severe liver dysfunction or history of multiple blood transfusions, but the SF level itself is only a nonspecific marker for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18-20]</w:t>
      </w:r>
      <w:r>
        <w:rPr>
          <w:rFonts w:ascii="Book Antiqua" w:eastAsia="Book Antiqua" w:hAnsi="Book Antiqua" w:cs="Book Antiqua"/>
          <w:color w:val="000000"/>
        </w:rPr>
        <w:t xml:space="preserve">. Due to its low specificity, elevated SF is not included in this disease's diagnostic criteria, but we consider that this association is worth highlighting, given that younger age and the nonspecific nature of most presentations often lead to delayed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21-23]</w:t>
      </w:r>
      <w:r>
        <w:rPr>
          <w:rFonts w:ascii="Book Antiqua" w:eastAsia="Book Antiqua" w:hAnsi="Book Antiqua" w:cs="Book Antiqua"/>
          <w:color w:val="000000"/>
        </w:rPr>
        <w:t>. It has been reported that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cytokine levels are significantly increased in both the pathological tissues and sera of patients with active or untreated AOSD, and that ferritin synthesis is regulated by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at various levels during cellular differentiation, proliferation, and inflammation. Cytokines may also have an effect on ferritin translation indirectly by their ability to increase inducible nitric oxide synthase (</w:t>
      </w:r>
      <w:proofErr w:type="spellStart"/>
      <w:r>
        <w:rPr>
          <w:rFonts w:ascii="Book Antiqua" w:eastAsia="Book Antiqua" w:hAnsi="Book Antiqua" w:cs="Book Antiqua"/>
          <w:color w:val="000000"/>
        </w:rPr>
        <w:t>iNOS</w:t>
      </w:r>
      <w:proofErr w:type="spellEnd"/>
      <w:r>
        <w:rPr>
          <w:rFonts w:ascii="Book Antiqua" w:eastAsia="Book Antiqua" w:hAnsi="Book Antiqua" w:cs="Book Antiqua"/>
          <w:color w:val="000000"/>
        </w:rPr>
        <w:t xml:space="preserve">) and hence increase the levels of NO. NO in turn induces ferritin expression. These reports suggest that the level of ferritin might be a good biomarker to monitor the disease activity of </w:t>
      </w:r>
      <w:proofErr w:type="gramStart"/>
      <w:r>
        <w:rPr>
          <w:rFonts w:ascii="Book Antiqua" w:eastAsia="Book Antiqua" w:hAnsi="Book Antiqua" w:cs="Book Antiqua"/>
          <w:color w:val="000000"/>
        </w:rPr>
        <w:t>AOSD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10,24]</w:t>
      </w:r>
      <w:r>
        <w:rPr>
          <w:rFonts w:ascii="Book Antiqua" w:eastAsia="Book Antiqua" w:hAnsi="Book Antiqua" w:cs="Book Antiqua"/>
          <w:color w:val="000000"/>
        </w:rPr>
        <w:t xml:space="preserve">. Furthermore, thrombocytopenia and leukocytosis are reportedly promoted along with rises in SF levels, which is associated with AOSD's disease activity strongly and may also be a biomarker of </w:t>
      </w:r>
      <w:proofErr w:type="gramStart"/>
      <w:r>
        <w:rPr>
          <w:rFonts w:ascii="Book Antiqua" w:eastAsia="Book Antiqua" w:hAnsi="Book Antiqua" w:cs="Book Antiqua"/>
          <w:color w:val="000000"/>
        </w:rPr>
        <w:t>AOSD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25,26]</w:t>
      </w:r>
      <w:r>
        <w:rPr>
          <w:rFonts w:ascii="Book Antiqua" w:eastAsia="Book Antiqua" w:hAnsi="Book Antiqua" w:cs="Book Antiqua"/>
          <w:color w:val="000000"/>
        </w:rPr>
        <w:t xml:space="preserve">. Some studies have confirmed that SF and </w:t>
      </w:r>
      <w:proofErr w:type="spellStart"/>
      <w:r>
        <w:rPr>
          <w:rFonts w:ascii="Book Antiqua" w:eastAsia="Book Antiqua" w:hAnsi="Book Antiqua" w:cs="Book Antiqua"/>
          <w:color w:val="000000"/>
        </w:rPr>
        <w:t>heme</w:t>
      </w:r>
      <w:proofErr w:type="spellEnd"/>
      <w:r>
        <w:rPr>
          <w:rFonts w:ascii="Book Antiqua" w:eastAsia="Book Antiqua" w:hAnsi="Book Antiqua" w:cs="Book Antiqua"/>
          <w:color w:val="000000"/>
        </w:rPr>
        <w:t xml:space="preserve"> oxygenase 1 can serve as highly sensitive and specific biomarkers for </w:t>
      </w:r>
      <w:proofErr w:type="gramStart"/>
      <w:r>
        <w:rPr>
          <w:rFonts w:ascii="Book Antiqua" w:eastAsia="Book Antiqua" w:hAnsi="Book Antiqua" w:cs="Book Antiqua"/>
          <w:color w:val="000000"/>
        </w:rPr>
        <w:t>AOSD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w:t>
      </w:r>
    </w:p>
    <w:p w:rsidR="001B0CC3" w:rsidRDefault="004845D5">
      <w:pPr>
        <w:spacing w:line="360" w:lineRule="auto"/>
        <w:ind w:firstLineChars="100" w:firstLine="240"/>
        <w:jc w:val="both"/>
      </w:pPr>
      <w:r>
        <w:rPr>
          <w:rFonts w:ascii="Book Antiqua" w:eastAsia="Book Antiqua" w:hAnsi="Book Antiqua" w:cs="Book Antiqua"/>
          <w:color w:val="000000"/>
        </w:rPr>
        <w:t>AOSD patients may experience different complications affecting their clinical manifestations, management, and prognosis. The major cause of death is infection, followed by severe complications. Important systemic complications of AOSD reported until </w:t>
      </w:r>
      <w:hyperlink r:id="rId9" w:history="1">
        <w:r>
          <w:rPr>
            <w:rFonts w:ascii="Book Antiqua" w:eastAsia="Book Antiqua" w:hAnsi="Book Antiqua" w:cs="Book Antiqua"/>
            <w:color w:val="000000"/>
          </w:rPr>
          <w:t>now</w:t>
        </w:r>
      </w:hyperlink>
      <w:r>
        <w:rPr>
          <w:rFonts w:ascii="Book Antiqua" w:eastAsia="Book Antiqua" w:hAnsi="Book Antiqua" w:cs="Book Antiqua"/>
          <w:color w:val="000000"/>
        </w:rPr>
        <w:t xml:space="preserve"> include macrophage activation syndrome (MAS), thrombotic thrombocytopenic purpura (TTP), disseminated intravascular coagulopathy (DIC), thrombotic </w:t>
      </w:r>
      <w:proofErr w:type="spellStart"/>
      <w:r>
        <w:rPr>
          <w:rFonts w:ascii="Book Antiqua" w:eastAsia="Book Antiqua" w:hAnsi="Book Antiqua" w:cs="Book Antiqua"/>
          <w:color w:val="000000"/>
        </w:rPr>
        <w:t>microangiopathy</w:t>
      </w:r>
      <w:proofErr w:type="spellEnd"/>
      <w:r>
        <w:rPr>
          <w:rFonts w:ascii="Book Antiqua" w:eastAsia="Book Antiqua" w:hAnsi="Book Antiqua" w:cs="Book Antiqua"/>
          <w:color w:val="000000"/>
        </w:rPr>
        <w:t>, diffuse alveolar hemorrhage, respiratory distress syndrome, pulmonary arterial hypertension,  shock, multiple organ failure, myocarditis, tamponade, constrictive endocarditis, pericarditis, fulminant hepatitis, and amyloidosis</w:t>
      </w:r>
      <w:r>
        <w:rPr>
          <w:rFonts w:ascii="Book Antiqua" w:eastAsia="Book Antiqua" w:hAnsi="Book Antiqua" w:cs="Book Antiqua"/>
          <w:color w:val="000000"/>
          <w:szCs w:val="36"/>
          <w:vertAlign w:val="superscript"/>
        </w:rPr>
        <w:t>[9,15,28]</w:t>
      </w:r>
      <w:r>
        <w:rPr>
          <w:rFonts w:ascii="Book Antiqua" w:eastAsia="Book Antiqua" w:hAnsi="Book Antiqua" w:cs="Book Antiqua"/>
          <w:color w:val="000000"/>
        </w:rPr>
        <w:t>.</w:t>
      </w:r>
    </w:p>
    <w:p w:rsidR="001B0CC3" w:rsidRDefault="004845D5">
      <w:pPr>
        <w:spacing w:line="360" w:lineRule="auto"/>
        <w:ind w:firstLineChars="100" w:firstLine="240"/>
        <w:jc w:val="both"/>
      </w:pPr>
      <w:r>
        <w:rPr>
          <w:rFonts w:ascii="Book Antiqua" w:eastAsia="Book Antiqua" w:hAnsi="Book Antiqua" w:cs="Book Antiqua"/>
          <w:color w:val="000000"/>
        </w:rPr>
        <w:t xml:space="preserve">MAS or reactive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syndrome (HPS) is a potentially life-threatening complication characterized by excessive macrophage activity and cytokine production leading to multiple organ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29,30]</w:t>
      </w:r>
      <w:r>
        <w:rPr>
          <w:rFonts w:ascii="Book Antiqua" w:eastAsia="Book Antiqua" w:hAnsi="Book Antiqua" w:cs="Book Antiqua"/>
          <w:color w:val="000000"/>
        </w:rPr>
        <w:t>. Primary MAS commonly occurs in children with MAS-associated genetic defects or a family history of MAS, while secondary MAS occurs after exposure to immunological trigger factors of underlying autoimmune diseases, infections, malignancies, or flares of AOSD</w:t>
      </w:r>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It is reported that the incidence of MAS is up to 15% among those AOSD patients and it is considered the most severe complication, with a high mortality rate ranging from 10% to 41</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9,32]</w:t>
      </w:r>
      <w:r>
        <w:rPr>
          <w:rFonts w:ascii="Book Antiqua" w:eastAsia="Book Antiqua" w:hAnsi="Book Antiqua" w:cs="Book Antiqua"/>
          <w:color w:val="000000"/>
        </w:rPr>
        <w:t xml:space="preserve">. The criteria for </w:t>
      </w:r>
      <w:r>
        <w:rPr>
          <w:rFonts w:ascii="Book Antiqua" w:eastAsia="Book Antiqua" w:hAnsi="Book Antiqua" w:cs="Book Antiqua"/>
          <w:color w:val="000000"/>
        </w:rPr>
        <w:lastRenderedPageBreak/>
        <w:t xml:space="preserve">diagnosing MAS according to the 2004 guidelines are as follows: (1) Fever &gt; 38.5 °C or lasting more than 7 d; (2) </w:t>
      </w:r>
      <w:proofErr w:type="spellStart"/>
      <w:r>
        <w:rPr>
          <w:rFonts w:ascii="Book Antiqua" w:eastAsia="宋体" w:hAnsi="Book Antiqua" w:cs="Book Antiqua" w:hint="eastAsia"/>
          <w:color w:val="000000"/>
          <w:lang w:eastAsia="zh-CN"/>
        </w:rPr>
        <w:t>C</w:t>
      </w:r>
      <w:r>
        <w:rPr>
          <w:rFonts w:ascii="Book Antiqua" w:eastAsia="Book Antiqua" w:hAnsi="Book Antiqua" w:cs="Book Antiqua"/>
          <w:color w:val="000000"/>
        </w:rPr>
        <w:t>ytopenia</w:t>
      </w:r>
      <w:proofErr w:type="spellEnd"/>
      <w:r>
        <w:rPr>
          <w:rFonts w:ascii="Book Antiqua" w:eastAsia="Book Antiqua" w:hAnsi="Book Antiqua" w:cs="Book Antiqua"/>
          <w:color w:val="000000"/>
        </w:rPr>
        <w:t xml:space="preserve"> affecting at least two of three lineages in the peripheral blood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&lt; 90 g/L, absolute neutrophil count &lt; 1.0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platelet &lt; 100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(3)</w:t>
      </w:r>
      <w:r>
        <w:rPr>
          <w:rFonts w:ascii="Book Antiqua" w:eastAsia="宋体" w:hAnsi="Book Antiqua" w:cs="Book Antiqua" w:hint="eastAsia"/>
          <w:color w:val="000000"/>
          <w:lang w:eastAsia="zh-CN"/>
        </w:rPr>
        <w:t xml:space="preserve"> S</w:t>
      </w:r>
      <w:r>
        <w:rPr>
          <w:rFonts w:ascii="Book Antiqua" w:eastAsia="Book Antiqua" w:hAnsi="Book Antiqua" w:cs="Book Antiqua"/>
          <w:color w:val="000000"/>
        </w:rPr>
        <w:t xml:space="preserve">plenomegaly; (4) </w:t>
      </w:r>
      <w:proofErr w:type="spellStart"/>
      <w:r>
        <w:rPr>
          <w:rFonts w:ascii="Book Antiqua" w:eastAsia="宋体" w:hAnsi="Book Antiqua" w:cs="Book Antiqua" w:hint="eastAsia"/>
          <w:color w:val="000000"/>
          <w:lang w:eastAsia="zh-CN"/>
        </w:rPr>
        <w:t>H</w:t>
      </w:r>
      <w:r>
        <w:rPr>
          <w:rFonts w:ascii="Book Antiqua" w:eastAsia="Book Antiqua" w:hAnsi="Book Antiqua" w:cs="Book Antiqua"/>
          <w:color w:val="000000"/>
        </w:rPr>
        <w:t>ypofibrinogenemia</w:t>
      </w:r>
      <w:proofErr w:type="spellEnd"/>
      <w:r>
        <w:rPr>
          <w:rFonts w:ascii="Book Antiqua" w:eastAsia="Book Antiqua" w:hAnsi="Book Antiqua" w:cs="Book Antiqua"/>
          <w:color w:val="000000"/>
        </w:rPr>
        <w:t xml:space="preserve"> or hypertriglyceridemia;  (5) </w:t>
      </w:r>
      <w:proofErr w:type="spellStart"/>
      <w:r>
        <w:rPr>
          <w:rFonts w:ascii="Book Antiqua" w:eastAsia="宋体" w:hAnsi="Book Antiqua" w:cs="Book Antiqua" w:hint="eastAsia"/>
          <w:color w:val="000000"/>
          <w:lang w:eastAsia="zh-CN"/>
        </w:rPr>
        <w:t>H</w:t>
      </w:r>
      <w:r>
        <w:rPr>
          <w:rFonts w:ascii="Book Antiqua" w:eastAsia="Book Antiqua" w:hAnsi="Book Antiqua" w:cs="Book Antiqua"/>
          <w:color w:val="000000"/>
        </w:rPr>
        <w:t>yperferritinemia</w:t>
      </w:r>
      <w:proofErr w:type="spellEnd"/>
      <w:r>
        <w:rPr>
          <w:rFonts w:ascii="Book Antiqua" w:eastAsia="Book Antiqua" w:hAnsi="Book Antiqua" w:cs="Book Antiqua"/>
          <w:color w:val="000000"/>
        </w:rPr>
        <w:t xml:space="preserve"> (SF ≥ 500 µg/L); (6) </w:t>
      </w:r>
      <w:proofErr w:type="spellStart"/>
      <w:r>
        <w:rPr>
          <w:rFonts w:ascii="Book Antiqua" w:eastAsia="宋体" w:hAnsi="Book Antiqua" w:cs="Book Antiqua" w:hint="eastAsia"/>
          <w:color w:val="000000"/>
          <w:lang w:eastAsia="zh-CN"/>
        </w:rPr>
        <w:t>H</w:t>
      </w:r>
      <w:r>
        <w:rPr>
          <w:rFonts w:ascii="Book Antiqua" w:eastAsia="Book Antiqua" w:hAnsi="Book Antiqua" w:cs="Book Antiqua"/>
          <w:color w:val="000000"/>
        </w:rPr>
        <w:t>emophagocytosis</w:t>
      </w:r>
      <w:proofErr w:type="spellEnd"/>
      <w:r>
        <w:rPr>
          <w:rFonts w:ascii="Book Antiqua" w:eastAsia="Book Antiqua" w:hAnsi="Book Antiqua" w:cs="Book Antiqua"/>
          <w:color w:val="000000"/>
        </w:rPr>
        <w:t xml:space="preserve"> in bone marrow, lymph nodes, or the spleen; (7)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igh levels of sIL-2r (s-CD25 ≥ 500 µg/L); and (8) </w:t>
      </w:r>
      <w:r>
        <w:rPr>
          <w:rFonts w:ascii="Book Antiqua" w:eastAsia="宋体" w:hAnsi="Book Antiqua" w:cs="Book Antiqua" w:hint="eastAsia"/>
          <w:color w:val="000000"/>
          <w:lang w:eastAsia="zh-CN"/>
        </w:rPr>
        <w:t>L</w:t>
      </w:r>
      <w:r>
        <w:rPr>
          <w:rFonts w:ascii="Book Antiqua" w:eastAsia="Book Antiqua" w:hAnsi="Book Antiqua" w:cs="Book Antiqua"/>
          <w:color w:val="000000"/>
        </w:rPr>
        <w:t>ow or absent NK-cell activity. MAS can be diagnosed if five of the eight criteria are </w:t>
      </w:r>
      <w:proofErr w:type="gramStart"/>
      <w:r>
        <w:rPr>
          <w:rFonts w:ascii="Book Antiqua" w:eastAsia="Book Antiqua" w:hAnsi="Book Antiqua" w:cs="Book Antiqua"/>
          <w:color w:val="000000"/>
        </w:rPr>
        <w:t>fulfilled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However, the diagnosis of MAS is often delayed due to possible differential diagnoses. These include conditions that can present with similar clinical </w:t>
      </w:r>
      <w:proofErr w:type="spellStart"/>
      <w:r>
        <w:rPr>
          <w:rFonts w:ascii="Book Antiqua" w:eastAsia="Book Antiqua" w:hAnsi="Book Antiqua" w:cs="Book Antiqua"/>
          <w:color w:val="000000"/>
        </w:rPr>
        <w:t>manifes</w:t>
      </w:r>
      <w:r>
        <w:rPr>
          <w:rFonts w:ascii="Book Antiqua" w:eastAsia="宋体" w:hAnsi="Book Antiqua" w:cs="Book Antiqua" w:hint="eastAsia"/>
          <w:color w:val="000000"/>
          <w:lang w:eastAsia="zh-CN"/>
        </w:rPr>
        <w:t>-</w:t>
      </w:r>
      <w:r>
        <w:rPr>
          <w:rFonts w:ascii="Book Antiqua" w:eastAsia="Book Antiqua" w:hAnsi="Book Antiqua" w:cs="Book Antiqua"/>
          <w:color w:val="000000"/>
        </w:rPr>
        <w:t>tations</w:t>
      </w:r>
      <w:proofErr w:type="spellEnd"/>
      <w:r>
        <w:rPr>
          <w:rFonts w:ascii="Book Antiqua" w:eastAsia="Book Antiqua" w:hAnsi="Book Antiqua" w:cs="Book Antiqua"/>
          <w:color w:val="000000"/>
        </w:rPr>
        <w:t xml:space="preserve"> and laboratory abnormalities, such as systemic inflammatory response syndromes or sepsis. However, the level of SF is usually obviously higher in MAS patients and considered a highly characteristic feature of MAS by most </w:t>
      </w:r>
      <w:proofErr w:type="gramStart"/>
      <w:r>
        <w:rPr>
          <w:rFonts w:ascii="Book Antiqua" w:eastAsia="Book Antiqua" w:hAnsi="Book Antiqua" w:cs="Book Antiqua"/>
          <w:color w:val="000000"/>
        </w:rPr>
        <w:t>scholars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xml:space="preserve">. Bone marrow aspiration is considered the gold standard and is usually required in some untypical cases where there may be a diagnostic dilemma. In the present case, the patient presented a high fever with a body temperature of 38.3 </w:t>
      </w:r>
      <w:r>
        <w:rPr>
          <w:rFonts w:ascii="Book Antiqua" w:eastAsia="Book Antiqua" w:hAnsi="Book Antiqua" w:cs="Book Antiqua"/>
          <w:i/>
          <w:iCs/>
          <w:color w:val="000000"/>
        </w:rPr>
        <w:t>°</w:t>
      </w:r>
      <w:r>
        <w:rPr>
          <w:rFonts w:ascii="Book Antiqua" w:eastAsia="Book Antiqua" w:hAnsi="Book Antiqua" w:cs="Book Antiqua"/>
          <w:color w:val="000000"/>
        </w:rPr>
        <w:t xml:space="preserve">C, splenomegaly, </w:t>
      </w:r>
      <w:proofErr w:type="spellStart"/>
      <w:r>
        <w:rPr>
          <w:rFonts w:ascii="Book Antiqua" w:eastAsia="Book Antiqua" w:hAnsi="Book Antiqua" w:cs="Book Antiqua"/>
          <w:color w:val="000000"/>
        </w:rPr>
        <w:t>hemopenia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hypertriglyceride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hypofibrinemia</w:t>
      </w:r>
      <w:proofErr w:type="spellEnd"/>
      <w:r>
        <w:rPr>
          <w:rFonts w:ascii="Book Antiqua" w:eastAsia="Book Antiqua" w:hAnsi="Book Antiqua" w:cs="Book Antiqua"/>
          <w:color w:val="000000"/>
        </w:rPr>
        <w:t xml:space="preserve">, and SF greater than 10000 µg/L. Inflammatory factors and bone marrow puncture were not examined, and the patient died. Although her body temperature did not meet the diagnostic criteria, the continued increase in SF and </w:t>
      </w:r>
      <w:proofErr w:type="spellStart"/>
      <w:r>
        <w:rPr>
          <w:rFonts w:ascii="Book Antiqua" w:eastAsia="Book Antiqua" w:hAnsi="Book Antiqua" w:cs="Book Antiqua"/>
          <w:color w:val="000000"/>
        </w:rPr>
        <w:t>hypofibrinogenemia</w:t>
      </w:r>
      <w:proofErr w:type="spellEnd"/>
      <w:r>
        <w:rPr>
          <w:rFonts w:ascii="Book Antiqua" w:eastAsia="Book Antiqua" w:hAnsi="Book Antiqua" w:cs="Book Antiqua"/>
          <w:color w:val="000000"/>
        </w:rPr>
        <w:t xml:space="preserve"> reflected worsening of the disease.</w:t>
      </w:r>
    </w:p>
    <w:p w:rsidR="001B0CC3" w:rsidRDefault="004845D5">
      <w:pPr>
        <w:spacing w:line="360" w:lineRule="auto"/>
        <w:ind w:firstLineChars="100" w:firstLine="240"/>
        <w:jc w:val="both"/>
      </w:pPr>
      <w:r>
        <w:rPr>
          <w:rFonts w:ascii="Book Antiqua" w:eastAsia="Book Antiqua" w:hAnsi="Book Antiqua" w:cs="Book Antiqua"/>
          <w:color w:val="000000"/>
        </w:rPr>
        <w:t>DIC is also a lethal complication characterized by uninhibited activation of the coagulation system. Some reports suggest that its diagnosis can be challenging, even for some experienced </w:t>
      </w:r>
      <w:proofErr w:type="gramStart"/>
      <w:r>
        <w:rPr>
          <w:rFonts w:ascii="Book Antiqua" w:eastAsia="Book Antiqua" w:hAnsi="Book Antiqua" w:cs="Book Antiqua"/>
          <w:color w:val="000000"/>
        </w:rPr>
        <w:t>clinicians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xml:space="preserve">. A precipitous decrease in ESR in the context of persistent </w:t>
      </w:r>
      <w:proofErr w:type="spellStart"/>
      <w:r>
        <w:rPr>
          <w:rFonts w:ascii="Book Antiqua" w:eastAsia="Book Antiqua" w:hAnsi="Book Antiqua" w:cs="Book Antiqua"/>
          <w:color w:val="000000"/>
        </w:rPr>
        <w:t>hyperferritinemia</w:t>
      </w:r>
      <w:proofErr w:type="spellEnd"/>
      <w:r>
        <w:rPr>
          <w:rFonts w:ascii="Book Antiqua" w:eastAsia="Book Antiqua" w:hAnsi="Book Antiqua" w:cs="Book Antiqua"/>
          <w:color w:val="000000"/>
        </w:rPr>
        <w:t xml:space="preserve"> and worsening clinical condition may be a danger sign and raise the index of suspicion for the presence of DIC. Some specialists have suggested that </w:t>
      </w:r>
      <w:proofErr w:type="spellStart"/>
      <w:r>
        <w:rPr>
          <w:rFonts w:ascii="Book Antiqua" w:eastAsia="Book Antiqua" w:hAnsi="Book Antiqua" w:cs="Book Antiqua"/>
          <w:color w:val="000000"/>
        </w:rPr>
        <w:t>anakinra</w:t>
      </w:r>
      <w:proofErr w:type="spellEnd"/>
      <w:r>
        <w:rPr>
          <w:rFonts w:ascii="Book Antiqua" w:eastAsia="Book Antiqua" w:hAnsi="Book Antiqua" w:cs="Book Antiqua"/>
          <w:color w:val="000000"/>
        </w:rPr>
        <w:t xml:space="preserve"> may be recommended for patients with severe flares of AOSD and </w:t>
      </w:r>
      <w:proofErr w:type="gramStart"/>
      <w:r>
        <w:rPr>
          <w:rFonts w:ascii="Book Antiqua" w:eastAsia="Book Antiqua" w:hAnsi="Book Antiqua" w:cs="Book Antiqua"/>
          <w:color w:val="000000"/>
        </w:rPr>
        <w:t>DIC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36,37]</w:t>
      </w:r>
      <w:r>
        <w:rPr>
          <w:rFonts w:ascii="Book Antiqua" w:eastAsia="Book Antiqua" w:hAnsi="Book Antiqua" w:cs="Book Antiqua"/>
          <w:color w:val="000000"/>
        </w:rPr>
        <w:t>.</w:t>
      </w:r>
    </w:p>
    <w:p w:rsidR="001B0CC3" w:rsidRDefault="004845D5">
      <w:pPr>
        <w:spacing w:line="360" w:lineRule="auto"/>
        <w:ind w:firstLineChars="100" w:firstLine="240"/>
        <w:jc w:val="both"/>
      </w:pPr>
      <w:r>
        <w:rPr>
          <w:rFonts w:ascii="Book Antiqua" w:eastAsia="Book Antiqua" w:hAnsi="Book Antiqua" w:cs="Book Antiqua"/>
          <w:color w:val="000000"/>
        </w:rPr>
        <w:t xml:space="preserve">The treatment of AOSD remains largely empirical, and therapeutic agents for AOSD include nonsteroidal anti-inflammatory drugs (NSAIDs), corticosteroids, conventional synthetic disease-modifying </w:t>
      </w:r>
      <w:proofErr w:type="spellStart"/>
      <w:r>
        <w:rPr>
          <w:rFonts w:ascii="Book Antiqua" w:eastAsia="Book Antiqua" w:hAnsi="Book Antiqua" w:cs="Book Antiqua"/>
          <w:color w:val="000000"/>
        </w:rPr>
        <w:t>antirheumatic</w:t>
      </w:r>
      <w:proofErr w:type="spellEnd"/>
      <w:r>
        <w:rPr>
          <w:rFonts w:ascii="Book Antiqua" w:eastAsia="Book Antiqua" w:hAnsi="Book Antiqua" w:cs="Book Antiqua"/>
          <w:color w:val="000000"/>
        </w:rPr>
        <w:t xml:space="preserve"> drugs (</w:t>
      </w:r>
      <w:proofErr w:type="spellStart"/>
      <w:r>
        <w:rPr>
          <w:rFonts w:ascii="Book Antiqua" w:eastAsia="Book Antiqua" w:hAnsi="Book Antiqua" w:cs="Book Antiqua"/>
          <w:color w:val="000000"/>
        </w:rPr>
        <w:t>csDMARDs</w:t>
      </w:r>
      <w:proofErr w:type="spellEnd"/>
      <w:r>
        <w:rPr>
          <w:rFonts w:ascii="Book Antiqua" w:eastAsia="Book Antiqua" w:hAnsi="Book Antiqua" w:cs="Book Antiqua"/>
          <w:color w:val="000000"/>
        </w:rPr>
        <w:t xml:space="preserve">) such as methotrexate, </w:t>
      </w:r>
      <w:r>
        <w:rPr>
          <w:rFonts w:ascii="Book Antiqua" w:eastAsia="Book Antiqua" w:hAnsi="Book Antiqua" w:cs="Book Antiqua"/>
          <w:color w:val="000000"/>
        </w:rPr>
        <w:lastRenderedPageBreak/>
        <w:t>and biological disease-modifying anti-rheumatic drugs (</w:t>
      </w:r>
      <w:proofErr w:type="spellStart"/>
      <w:r>
        <w:rPr>
          <w:rFonts w:ascii="Book Antiqua" w:eastAsia="Book Antiqua" w:hAnsi="Book Antiqua" w:cs="Book Antiqua"/>
          <w:color w:val="000000"/>
        </w:rPr>
        <w:t>bDMARDs</w:t>
      </w:r>
      <w:proofErr w:type="spellEnd"/>
      <w:r>
        <w:rPr>
          <w:rFonts w:ascii="Book Antiqua" w:eastAsia="Book Antiqua" w:hAnsi="Book Antiqua" w:cs="Book Antiqua"/>
          <w:color w:val="000000"/>
        </w:rPr>
        <w:t xml:space="preserve">). Some studies have shown that NSAIDs may fail to control the symptoms of AOSD, and a large percentage of patients may afflict drug adverse reactions. According to some reports, only 15%-20% of AOSD patients respond to NSAIDs treatment, and a corticosteroid is required to control disease manifestations in most cases. Corticosteroids have been suggested as the first-line treatment for AOSD, producing a clinical response in approximately 60% of cases. Corticosteroids should be started at a dosage of 0.51 mg/kg per day, but intravenous high-dose corticosteroids may be considered if MAS and/or severe visceral involvement occur. Some cases may relapse over chronic treatment or tapering of the corticosteroid </w:t>
      </w:r>
      <w:proofErr w:type="gramStart"/>
      <w:r>
        <w:rPr>
          <w:rFonts w:ascii="Book Antiqua" w:eastAsia="Book Antiqua" w:hAnsi="Book Antiqua" w:cs="Book Antiqua"/>
          <w:color w:val="000000"/>
        </w:rPr>
        <w:t>dosage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xml:space="preserve">. High-dose corticosteroids seem to be more efficient in controlling those disease, but the maintenance of long-term corticosteroids can induce many potential adverse </w:t>
      </w:r>
      <w:proofErr w:type="gramStart"/>
      <w:r>
        <w:rPr>
          <w:rFonts w:ascii="Book Antiqua" w:eastAsia="Book Antiqua" w:hAnsi="Book Antiqua" w:cs="Book Antiqua"/>
          <w:color w:val="000000"/>
        </w:rPr>
        <w:t>reactions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15,39]</w:t>
      </w:r>
      <w:r>
        <w:rPr>
          <w:rFonts w:ascii="Book Antiqua" w:eastAsia="Book Antiqua" w:hAnsi="Book Antiqua" w:cs="Book Antiqua"/>
          <w:color w:val="000000"/>
        </w:rPr>
        <w:t xml:space="preserve">. In the present case, the patient developed femoral head necrosis due to long-term glucocorticoid use, and she experienced relapse due to repeated spontaneous reduction or withdrawal of the drug. Cyclosporine and methotrexate (MTX) are the most frequently administered </w:t>
      </w:r>
      <w:proofErr w:type="spellStart"/>
      <w:r>
        <w:rPr>
          <w:rFonts w:ascii="Book Antiqua" w:eastAsia="Book Antiqua" w:hAnsi="Book Antiqua" w:cs="Book Antiqua"/>
          <w:color w:val="000000"/>
        </w:rPr>
        <w:t>sDMARDs</w:t>
      </w:r>
      <w:proofErr w:type="spellEnd"/>
      <w:r>
        <w:rPr>
          <w:rFonts w:ascii="Book Antiqua" w:eastAsia="Book Antiqua" w:hAnsi="Book Antiqua" w:cs="Book Antiqua"/>
          <w:color w:val="000000"/>
        </w:rPr>
        <w:t xml:space="preserve"> in AOSD, mainly owning to their steroid-sparing effects. Other agents, such as azathioprine, </w:t>
      </w:r>
      <w:proofErr w:type="spellStart"/>
      <w:r>
        <w:rPr>
          <w:rFonts w:ascii="Book Antiqua" w:eastAsia="Book Antiqua" w:hAnsi="Book Antiqua" w:cs="Book Antiqua"/>
          <w:color w:val="000000"/>
        </w:rPr>
        <w:t>leflunomide</w:t>
      </w:r>
      <w:proofErr w:type="spellEnd"/>
      <w:r>
        <w:rPr>
          <w:rFonts w:ascii="Book Antiqua" w:eastAsia="Book Antiqua" w:hAnsi="Book Antiqua" w:cs="Book Antiqua"/>
          <w:color w:val="000000"/>
        </w:rPr>
        <w:t xml:space="preserve">, cyclophosphamide, tacrolimus, </w:t>
      </w:r>
      <w:proofErr w:type="spellStart"/>
      <w:r>
        <w:rPr>
          <w:rFonts w:ascii="Book Antiqua" w:eastAsia="Book Antiqua" w:hAnsi="Book Antiqua" w:cs="Book Antiqua"/>
          <w:color w:val="000000"/>
        </w:rPr>
        <w:t>hydroxychorquine</w:t>
      </w:r>
      <w:proofErr w:type="spellEnd"/>
      <w:r>
        <w:rPr>
          <w:rFonts w:ascii="Book Antiqua" w:eastAsia="Book Antiqua" w:hAnsi="Book Antiqua" w:cs="Book Antiqua"/>
          <w:color w:val="000000"/>
        </w:rPr>
        <w:t xml:space="preserve"> sulfate, and intravenous immunoglobulin, have also been widely applied, producing various response rates. In a study, after adding MTX, 70% of patients achieved complete remission, and 39% of patients discontinued corticosteroids. Thus, </w:t>
      </w:r>
      <w:proofErr w:type="spellStart"/>
      <w:r>
        <w:rPr>
          <w:rFonts w:ascii="Book Antiqua" w:eastAsia="Book Antiqua" w:hAnsi="Book Antiqua" w:cs="Book Antiqua"/>
          <w:color w:val="000000"/>
        </w:rPr>
        <w:t>csDMARDs</w:t>
      </w:r>
      <w:proofErr w:type="spellEnd"/>
      <w:r>
        <w:rPr>
          <w:rFonts w:ascii="Book Antiqua" w:eastAsia="Book Antiqua" w:hAnsi="Book Antiqua" w:cs="Book Antiqua"/>
          <w:color w:val="000000"/>
        </w:rPr>
        <w:t xml:space="preserve"> have been used to prevent AOSD relapse and allow for reduction of the corticosteroid dosage </w:t>
      </w:r>
      <w:proofErr w:type="gramStart"/>
      <w:r>
        <w:rPr>
          <w:rFonts w:ascii="Book Antiqua" w:eastAsia="Book Antiqua" w:hAnsi="Book Antiqua" w:cs="Book Antiqua"/>
          <w:color w:val="000000"/>
        </w:rPr>
        <w:t>simultaneously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39-41]</w:t>
      </w:r>
      <w:r>
        <w:rPr>
          <w:rFonts w:ascii="Book Antiqua" w:eastAsia="Book Antiqua" w:hAnsi="Book Antiqua" w:cs="Book Antiqua"/>
          <w:color w:val="000000"/>
        </w:rPr>
        <w:t xml:space="preserve">. Some researchers also have found that cyclosporine can be used in patients with severe MAS as well as </w:t>
      </w:r>
      <w:proofErr w:type="gramStart"/>
      <w:r>
        <w:rPr>
          <w:rFonts w:ascii="Book Antiqua" w:eastAsia="Book Antiqua" w:hAnsi="Book Antiqua" w:cs="Book Antiqua"/>
          <w:color w:val="000000"/>
        </w:rPr>
        <w:t>AOSD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42,43]</w:t>
      </w:r>
      <w:r>
        <w:rPr>
          <w:rFonts w:ascii="Book Antiqua" w:eastAsia="Book Antiqua" w:hAnsi="Book Antiqua" w:cs="Book Antiqua"/>
          <w:color w:val="000000"/>
        </w:rPr>
        <w:t>. Biologic agents or biologic DMARDs (</w:t>
      </w:r>
      <w:proofErr w:type="spellStart"/>
      <w:r>
        <w:rPr>
          <w:rFonts w:ascii="Book Antiqua" w:eastAsia="Book Antiqua" w:hAnsi="Book Antiqua" w:cs="Book Antiqua"/>
          <w:color w:val="000000"/>
        </w:rPr>
        <w:t>bDMARDs</w:t>
      </w:r>
      <w:proofErr w:type="spellEnd"/>
      <w:r>
        <w:rPr>
          <w:rFonts w:ascii="Book Antiqua" w:eastAsia="Book Antiqua" w:hAnsi="Book Antiqua" w:cs="Book Antiqua"/>
          <w:color w:val="000000"/>
        </w:rPr>
        <w:t xml:space="preserve">) targeting specific cytokines are suggested for the treatment of those cases that are refractory to </w:t>
      </w:r>
      <w:proofErr w:type="spellStart"/>
      <w:r>
        <w:rPr>
          <w:rFonts w:ascii="Book Antiqua" w:eastAsia="Book Antiqua" w:hAnsi="Book Antiqua" w:cs="Book Antiqua"/>
          <w:color w:val="000000"/>
        </w:rPr>
        <w:t>csDMARDs</w:t>
      </w:r>
      <w:proofErr w:type="spellEnd"/>
      <w:r>
        <w:rPr>
          <w:rFonts w:ascii="Book Antiqua" w:eastAsia="Book Antiqua" w:hAnsi="Book Antiqua" w:cs="Book Antiqua"/>
          <w:color w:val="000000"/>
        </w:rPr>
        <w:t xml:space="preserve"> and corticosteroids. Some studies have revealed a key role of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such as IL-1, IL-6, IL-8, IL-18 and tumor necrosis factor-α (TNF-α) in disease pathogenesis, promoting the development of novel targeted therapies aimed at the optimum method of disease control</w:t>
      </w:r>
      <w:r>
        <w:rPr>
          <w:rFonts w:ascii="Book Antiqua" w:eastAsia="Book Antiqua" w:hAnsi="Book Antiqua" w:cs="Book Antiqua"/>
          <w:color w:val="000000"/>
          <w:szCs w:val="36"/>
          <w:vertAlign w:val="superscript"/>
        </w:rPr>
        <w:t>[44]</w:t>
      </w:r>
      <w:r>
        <w:rPr>
          <w:rFonts w:ascii="Book Antiqua" w:eastAsia="Book Antiqua" w:hAnsi="Book Antiqua" w:cs="Book Antiqua"/>
          <w:color w:val="000000"/>
        </w:rPr>
        <w:t xml:space="preserve">. It has been reported that </w:t>
      </w:r>
      <w:proofErr w:type="spellStart"/>
      <w:r>
        <w:rPr>
          <w:rFonts w:ascii="Book Antiqua" w:eastAsia="Book Antiqua" w:hAnsi="Book Antiqua" w:cs="Book Antiqua"/>
          <w:color w:val="000000"/>
        </w:rPr>
        <w:t>bDMARDs</w:t>
      </w:r>
      <w:proofErr w:type="spellEnd"/>
      <w:r>
        <w:rPr>
          <w:rFonts w:ascii="Book Antiqua" w:eastAsia="Book Antiqua" w:hAnsi="Book Antiqua" w:cs="Book Antiqua"/>
          <w:color w:val="000000"/>
        </w:rPr>
        <w:t xml:space="preserve"> are an important option for relapsed patients or as a first-line regimen, </w:t>
      </w:r>
      <w:r>
        <w:rPr>
          <w:rFonts w:ascii="Book Antiqua" w:eastAsia="Book Antiqua" w:hAnsi="Book Antiqua" w:cs="Book Antiqua"/>
          <w:color w:val="000000"/>
        </w:rPr>
        <w:lastRenderedPageBreak/>
        <w:t xml:space="preserve">which may help to reduce the dosage in terms of glucocorticoid and other </w:t>
      </w:r>
      <w:proofErr w:type="spellStart"/>
      <w:r>
        <w:rPr>
          <w:rFonts w:ascii="Book Antiqua" w:eastAsia="Book Antiqua" w:hAnsi="Book Antiqua" w:cs="Book Antiqua"/>
          <w:color w:val="000000"/>
        </w:rPr>
        <w:t>cDMARD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exposure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45,46]</w:t>
      </w:r>
      <w:r>
        <w:rPr>
          <w:rFonts w:ascii="Book Antiqua" w:eastAsia="Book Antiqua" w:hAnsi="Book Antiqua" w:cs="Book Antiqua"/>
          <w:color w:val="000000"/>
        </w:rPr>
        <w:t xml:space="preserve">. Some researchers have shown that most patients (84.4%) are able to achieve clinical remission initially by using </w:t>
      </w:r>
      <w:proofErr w:type="spellStart"/>
      <w:proofErr w:type="gramStart"/>
      <w:r>
        <w:rPr>
          <w:rFonts w:ascii="Book Antiqua" w:eastAsia="Book Antiqua" w:hAnsi="Book Antiqua" w:cs="Book Antiqua"/>
          <w:color w:val="000000"/>
        </w:rPr>
        <w:t>bDMARDs</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 xml:space="preserve">. It has also been reported that a case of glucocorticoid and cyclosporine refractory AOSD complicated by DIC was successfully managed with a humanized anti-IL-6 receptor monoclonal antibody. IL-6 inhibition can lead to a rapid response, symptomatic improvement, and corticosteroid </w:t>
      </w:r>
      <w:proofErr w:type="gramStart"/>
      <w:r>
        <w:rPr>
          <w:rFonts w:ascii="Book Antiqua" w:eastAsia="Book Antiqua" w:hAnsi="Book Antiqua" w:cs="Book Antiqua"/>
          <w:color w:val="000000"/>
        </w:rPr>
        <w:t>sparing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48]</w:t>
      </w:r>
      <w:r>
        <w:rPr>
          <w:rFonts w:ascii="Book Antiqua" w:eastAsia="Book Antiqua" w:hAnsi="Book Antiqua" w:cs="Book Antiqua"/>
          <w:color w:val="000000"/>
        </w:rPr>
        <w:t xml:space="preserve">. Wang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xml:space="preserve"> have found that anti-IL-6 antibody combined with MTX have significant therapeutic effects for refractory AOSD, is conducive to the reduction and discontinuation of prednisone, and may allow stabilization of the patient’s condition after reducing the dosage of anti-IL-6 antibody, with good safety.</w:t>
      </w:r>
    </w:p>
    <w:p w:rsidR="001B0CC3" w:rsidRDefault="004845D5">
      <w:pPr>
        <w:spacing w:line="360" w:lineRule="auto"/>
        <w:ind w:firstLineChars="100" w:firstLine="240"/>
        <w:jc w:val="both"/>
      </w:pPr>
      <w:r>
        <w:rPr>
          <w:rFonts w:ascii="Book Antiqua" w:eastAsia="Book Antiqua" w:hAnsi="Book Antiqua" w:cs="Book Antiqua"/>
          <w:color w:val="000000"/>
        </w:rPr>
        <w:t xml:space="preserve">In this case, the patient experienced relapse of the disease due to voluntary drug withdrawal or dosage reduction several times, and her WBC and SF levels were significantly increased. Because of the frequent recurrence of the disease, the patient received anti-IL-6 antibody, and the frequency of disease recurrence was significantly reduced; glucocorticoid dosage was also reduced. The recurrence of her disease was caused by the spontaneous cessation of </w:t>
      </w:r>
      <w:proofErr w:type="spellStart"/>
      <w:r>
        <w:rPr>
          <w:rFonts w:ascii="Book Antiqua" w:eastAsia="Book Antiqua" w:hAnsi="Book Antiqua" w:cs="Book Antiqua"/>
          <w:color w:val="000000"/>
        </w:rPr>
        <w:t>Actemra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leflunomide</w:t>
      </w:r>
      <w:proofErr w:type="spellEnd"/>
      <w:r>
        <w:rPr>
          <w:rFonts w:ascii="Book Antiqua" w:eastAsia="Book Antiqua" w:hAnsi="Book Antiqua" w:cs="Book Antiqua"/>
          <w:color w:val="000000"/>
        </w:rPr>
        <w:t xml:space="preserve"> at 2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surgery. Diarrhea was the main factor that caused the rapid progression of the disease. The most frequently implicated triggering factors include infections, medications, and disease </w:t>
      </w:r>
      <w:proofErr w:type="gramStart"/>
      <w:r>
        <w:rPr>
          <w:rFonts w:ascii="Book Antiqua" w:eastAsia="Book Antiqua" w:hAnsi="Book Antiqua" w:cs="Book Antiqua"/>
          <w:color w:val="000000"/>
        </w:rPr>
        <w:t>flares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50]</w:t>
      </w:r>
      <w:r>
        <w:rPr>
          <w:rFonts w:ascii="Book Antiqua" w:eastAsia="Book Antiqua" w:hAnsi="Book Antiqua" w:cs="Book Antiqua"/>
          <w:color w:val="000000"/>
        </w:rPr>
        <w:t xml:space="preserve">. This may induce T cell activation and proliferation with cytokine secretion (interferon-gamma and granulocyte macrophage colony-stimulating factor) and macrophage </w:t>
      </w:r>
      <w:proofErr w:type="spellStart"/>
      <w:r>
        <w:rPr>
          <w:rFonts w:ascii="Book Antiqua" w:eastAsia="Book Antiqua" w:hAnsi="Book Antiqua" w:cs="Book Antiqua"/>
          <w:color w:val="000000"/>
        </w:rPr>
        <w:t>hyperactivation</w:t>
      </w:r>
      <w:proofErr w:type="spellEnd"/>
      <w:r>
        <w:rPr>
          <w:rFonts w:ascii="Book Antiqua" w:eastAsia="Book Antiqua" w:hAnsi="Book Antiqua" w:cs="Book Antiqua"/>
          <w:color w:val="000000"/>
        </w:rPr>
        <w:t xml:space="preserve">. The final result is an uncontrollable increase in IL-1, TNFα, and IL-6 production, with a severe systemic inflammatory </w:t>
      </w:r>
      <w:proofErr w:type="gramStart"/>
      <w:r>
        <w:rPr>
          <w:rFonts w:ascii="Book Antiqua" w:eastAsia="Book Antiqua" w:hAnsi="Book Antiqua" w:cs="Book Antiqua"/>
          <w:color w:val="000000"/>
        </w:rPr>
        <w:t>reaction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51]</w:t>
      </w:r>
      <w:r>
        <w:rPr>
          <w:rFonts w:ascii="Book Antiqua" w:eastAsia="Book Antiqua" w:hAnsi="Book Antiqua" w:cs="Book Antiqua"/>
          <w:color w:val="000000"/>
        </w:rPr>
        <w:t>. Rituximab may suppress the triggering factor effectively, but the severe AOSD flare and subsequent cytokine release required more T-cell-specific immunosuppression (</w:t>
      </w:r>
      <w:r>
        <w:rPr>
          <w:rFonts w:ascii="Book Antiqua" w:eastAsia="Book Antiqua" w:hAnsi="Book Antiqua" w:cs="Book Antiqua"/>
          <w:i/>
          <w:iCs/>
          <w:color w:val="000000"/>
        </w:rPr>
        <w:t>i.e.</w:t>
      </w:r>
      <w:r>
        <w:rPr>
          <w:rFonts w:ascii="Book Antiqua" w:eastAsia="Book Antiqua" w:hAnsi="Book Antiqua" w:cs="Book Antiqua"/>
          <w:color w:val="000000"/>
        </w:rPr>
        <w:t xml:space="preserve">, cyclosporine) for effective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52]</w:t>
      </w:r>
      <w:r>
        <w:rPr>
          <w:rFonts w:ascii="Book Antiqua" w:eastAsia="Book Antiqua" w:hAnsi="Book Antiqua" w:cs="Book Antiqua"/>
          <w:color w:val="000000"/>
        </w:rPr>
        <w:t xml:space="preserve">. Furthermore, the diarrhea resulted in a large amount of fluid loss, electrolyte disturbance, and malnutrition, which aggravated the development of the disease and eventually resulted in DIC and MODS. The mortality rate of MODS patients with two-organ failure is 50%-60%, and the mortality rate of MODS patients with failure of more than four organs is 100%. In addition, a large prospective </w:t>
      </w:r>
      <w:r>
        <w:rPr>
          <w:rFonts w:ascii="Book Antiqua" w:eastAsia="Book Antiqua" w:hAnsi="Book Antiqua" w:cs="Book Antiqua"/>
          <w:color w:val="000000"/>
        </w:rPr>
        <w:lastRenderedPageBreak/>
        <w:t xml:space="preserve">study identified an increased risk of death in patients with continued platelet depletion and poor response to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53]</w:t>
      </w:r>
      <w:r>
        <w:rPr>
          <w:rFonts w:ascii="Book Antiqua" w:eastAsia="Book Antiqua" w:hAnsi="Book Antiqua" w:cs="Book Antiqua"/>
          <w:color w:val="000000"/>
        </w:rPr>
        <w:t xml:space="preserve">. Our patient simultaneously developed five-organ failure, and glucocorticoid shock therapy and blood purification failed; the disease progressed violently, and the patient died before the use of cyclosporine and </w:t>
      </w:r>
      <w:proofErr w:type="spellStart"/>
      <w:r>
        <w:rPr>
          <w:rFonts w:ascii="Book Antiqua" w:eastAsia="Book Antiqua" w:hAnsi="Book Antiqua" w:cs="Book Antiqua"/>
          <w:color w:val="000000"/>
        </w:rPr>
        <w:t>Actemra</w:t>
      </w:r>
      <w:proofErr w:type="spellEnd"/>
      <w:r>
        <w:rPr>
          <w:rFonts w:ascii="Book Antiqua" w:eastAsia="Book Antiqua" w:hAnsi="Book Antiqua" w:cs="Book Antiqua"/>
          <w:color w:val="000000"/>
        </w:rPr>
        <w:t xml:space="preserve">. In particular, attention should be paid to the signature value of the biopsychosocial model in the process of patient management, which may have great potential value, and mental health may be related to the occurrence, progression, and prognosis of the disease. The patient experienced a high fever lasting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due to bad mood. Some scholars have found the levels of ESR, CRP, and PLT in patients with rheumatoid arthritis combined with depression to be significantly higher than those in patients with no depression. Psychological intervention for rheumatoid arthritis with depression has obvious effects in improving patients' treatment compliance, as well as improving their primary symptoms and depressive </w:t>
      </w:r>
      <w:proofErr w:type="gramStart"/>
      <w:r>
        <w:rPr>
          <w:rFonts w:ascii="Book Antiqua" w:eastAsia="Book Antiqua" w:hAnsi="Book Antiqua" w:cs="Book Antiqua"/>
          <w:color w:val="000000"/>
        </w:rPr>
        <w:t>state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54]</w:t>
      </w:r>
      <w:r>
        <w:rPr>
          <w:rFonts w:ascii="Book Antiqua" w:eastAsia="Book Antiqua" w:hAnsi="Book Antiqua" w:cs="Book Antiqua"/>
          <w:color w:val="000000"/>
        </w:rPr>
        <w:t>. Several cross-sectional studies have revealed that those exhibiting depressive manifestations have increased levels of IL-1, IL-6, IL-2, TNF-α, and CRP,  which are associated with depression in patients being treated for clinical depression</w:t>
      </w:r>
      <w:r>
        <w:rPr>
          <w:rFonts w:ascii="Book Antiqua" w:eastAsia="Book Antiqua" w:hAnsi="Book Antiqua" w:cs="Book Antiqua"/>
          <w:color w:val="000000"/>
          <w:szCs w:val="36"/>
          <w:vertAlign w:val="superscript"/>
        </w:rPr>
        <w:t>[55,56]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-Braga </w:t>
      </w:r>
      <w:r>
        <w:rPr>
          <w:rFonts w:ascii="Book Antiqua" w:eastAsia="Book Antiqua" w:hAnsi="Book Antiqua" w:cs="Book Antiqua"/>
          <w:i/>
          <w:color w:val="000000"/>
        </w:rPr>
        <w:t>et al</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reported</w:t>
      </w:r>
      <w:r>
        <w:rPr>
          <w:rFonts w:ascii="Book Antiqua" w:eastAsia="Book Antiqua" w:hAnsi="Book Antiqua" w:cs="Book Antiqua"/>
          <w:color w:val="000000"/>
        </w:rPr>
        <w:t xml:space="preserve"> that anxiety and depression in lupus are influenced by a complicated mix of biological, social, and psychological factors. Their study also found that IL-6 and IL-10 correlated with increased Hospital Anxiety and Depression Scale (HADS) depression scores in depressed patients. IL-10 is responsible for helping drive the Th2-mediated response that results in increased B cell activation, </w:t>
      </w:r>
      <w:bookmarkStart w:id="0" w:name="_Hlk56435039"/>
      <w:r>
        <w:rPr>
          <w:rFonts w:ascii="Book Antiqua" w:eastAsia="Book Antiqua" w:hAnsi="Book Antiqua" w:cs="Book Antiqua"/>
          <w:color w:val="000000"/>
        </w:rPr>
        <w:t>immunoglobulin</w:t>
      </w:r>
      <w:bookmarkEnd w:id="0"/>
      <w:r>
        <w:rPr>
          <w:rFonts w:ascii="Book Antiqua" w:eastAsia="Book Antiqua" w:hAnsi="Book Antiqua" w:cs="Book Antiqua"/>
          <w:color w:val="000000"/>
        </w:rPr>
        <w:t xml:space="preserve"> G class switching, and increased antibody production. It is also strongly associated with disease activity in patients with systemic lupus erythematosus (SLE</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 Overall, the relationship between AOSD and psychology remains to be further studied.</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caps/>
          <w:color w:val="000000"/>
          <w:u w:val="single"/>
        </w:rPr>
        <w:t>CONCLUSION</w:t>
      </w:r>
    </w:p>
    <w:p w:rsidR="001B0CC3" w:rsidRDefault="004845D5">
      <w:pPr>
        <w:spacing w:line="360" w:lineRule="auto"/>
        <w:jc w:val="both"/>
      </w:pPr>
      <w:r>
        <w:rPr>
          <w:rFonts w:ascii="Book Antiqua" w:eastAsia="Book Antiqua" w:hAnsi="Book Antiqua" w:cs="Book Antiqua"/>
          <w:color w:val="000000"/>
        </w:rPr>
        <w:t xml:space="preserve">AOSD is an exclusionary diagnosis that can be very challenging. It requires an extensive workup and multidisciplinary evaluation. Despite access to many imaging technologies </w:t>
      </w:r>
      <w:r>
        <w:rPr>
          <w:rFonts w:ascii="Book Antiqua" w:eastAsia="Book Antiqua" w:hAnsi="Book Antiqua" w:cs="Book Antiqua"/>
          <w:color w:val="000000"/>
        </w:rPr>
        <w:lastRenderedPageBreak/>
        <w:t>and medical tests, a detailed history and good physical examination are still two powerful tools that can guide an accurate diagnosis. Importantly, more clinical studies will be useful to increase our knowledge about AOSD and complications and offer tailoring for more effective therapies. The biopsychosocial model has great potential value and should also be taken seriously.</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caps/>
          <w:color w:val="000000"/>
          <w:u w:val="single"/>
        </w:rPr>
        <w:t>ACKNOWLEDGEMENTS</w:t>
      </w:r>
    </w:p>
    <w:p w:rsidR="001B0CC3" w:rsidRDefault="004845D5">
      <w:pPr>
        <w:spacing w:line="360" w:lineRule="auto"/>
        <w:jc w:val="both"/>
      </w:pPr>
      <w:r>
        <w:rPr>
          <w:rFonts w:ascii="Book Antiqua" w:eastAsia="Book Antiqua" w:hAnsi="Book Antiqua" w:cs="Book Antiqua"/>
          <w:color w:val="000000"/>
        </w:rPr>
        <w:t>We thank Li HM for her technical assistance.</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color w:val="000000"/>
        </w:rPr>
        <w:t>REFERENCES</w:t>
      </w:r>
    </w:p>
    <w:p w:rsidR="001B0CC3" w:rsidRDefault="004845D5">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Reihl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Crnogaj</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Čubelić</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Babić</w:t>
      </w:r>
      <w:proofErr w:type="spellEnd"/>
      <w:r>
        <w:rPr>
          <w:rFonts w:ascii="Book Antiqua" w:eastAsia="Book Antiqua" w:hAnsi="Book Antiqua" w:cs="Book Antiqua"/>
          <w:color w:val="000000"/>
        </w:rPr>
        <w:t xml:space="preserve"> A, Mayer M, </w:t>
      </w:r>
      <w:proofErr w:type="spellStart"/>
      <w:r>
        <w:rPr>
          <w:rFonts w:ascii="Book Antiqua" w:eastAsia="Book Antiqua" w:hAnsi="Book Antiqua" w:cs="Book Antiqua"/>
          <w:color w:val="000000"/>
        </w:rPr>
        <w:t>Anić</w:t>
      </w:r>
      <w:proofErr w:type="spellEnd"/>
      <w:r>
        <w:rPr>
          <w:rFonts w:ascii="Book Antiqua" w:eastAsia="Book Antiqua" w:hAnsi="Book Antiqua" w:cs="Book Antiqua"/>
          <w:color w:val="000000"/>
        </w:rPr>
        <w:t xml:space="preserve"> B. Treatment of refractory adult onset Still's disease with tocilizumab-a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experience and literature review.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1317-1325 [PMID: 32506202 DOI: 10.1007/s00296-020-04622-4]</w:t>
      </w:r>
    </w:p>
    <w:p w:rsidR="001B0CC3" w:rsidRDefault="004845D5">
      <w:pPr>
        <w:spacing w:line="360" w:lineRule="auto"/>
        <w:jc w:val="both"/>
      </w:pPr>
      <w:proofErr w:type="gramStart"/>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Giacomelli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Ruscitti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Shoenfeld</w:t>
      </w:r>
      <w:proofErr w:type="spellEnd"/>
      <w:r>
        <w:rPr>
          <w:rFonts w:ascii="Book Antiqua" w:eastAsia="Book Antiqua" w:hAnsi="Book Antiqua" w:cs="Book Antiqua"/>
          <w:color w:val="000000"/>
        </w:rPr>
        <w:t xml:space="preserve"> Y.</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comprehensive review on adult onset Still's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93</w:t>
      </w:r>
      <w:r>
        <w:rPr>
          <w:rFonts w:ascii="Book Antiqua" w:eastAsia="Book Antiqua" w:hAnsi="Book Antiqua" w:cs="Book Antiqua"/>
          <w:color w:val="000000"/>
        </w:rPr>
        <w:t>: 24-36 [PMID: 30077425 DOI: 10.1016/j.jaut.2018.07.018]</w:t>
      </w:r>
    </w:p>
    <w:p w:rsidR="001B0CC3" w:rsidRDefault="004845D5">
      <w:pPr>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MIDDLEMISS JH</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Juvenile rheumatoid arthritis (Still's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Proc R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1951; </w:t>
      </w:r>
      <w:r>
        <w:rPr>
          <w:rFonts w:ascii="Book Antiqua" w:eastAsia="Book Antiqua" w:hAnsi="Book Antiqua" w:cs="Book Antiqua"/>
          <w:b/>
          <w:bCs/>
          <w:color w:val="000000"/>
        </w:rPr>
        <w:t>44</w:t>
      </w:r>
      <w:r>
        <w:rPr>
          <w:rFonts w:ascii="Book Antiqua" w:eastAsia="Book Antiqua" w:hAnsi="Book Antiqua" w:cs="Book Antiqua"/>
          <w:color w:val="000000"/>
        </w:rPr>
        <w:t>: 805-816 [PMID: 14891783</w:t>
      </w:r>
      <w:r>
        <w:rPr>
          <w:rFonts w:ascii="Book Antiqua" w:eastAsia="Book Antiqua" w:hAnsi="Book Antiqua" w:cs="Book Antiqua" w:hint="eastAsia"/>
          <w:color w:val="000000"/>
        </w:rPr>
        <w:t xml:space="preserve"> DOI: 10.1177/003591575104400906</w:t>
      </w:r>
      <w:r>
        <w:rPr>
          <w:rFonts w:ascii="Book Antiqua" w:eastAsia="Book Antiqua" w:hAnsi="Book Antiqua" w:cs="Book Antiqua"/>
          <w:color w:val="000000"/>
        </w:rPr>
        <w:t>]</w:t>
      </w:r>
    </w:p>
    <w:p w:rsidR="001B0CC3" w:rsidRDefault="004845D5">
      <w:pPr>
        <w:spacing w:line="360" w:lineRule="auto"/>
        <w:jc w:val="both"/>
      </w:pPr>
      <w:proofErr w:type="gramStart"/>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Bywaters</w:t>
      </w:r>
      <w:proofErr w:type="spellEnd"/>
      <w:r>
        <w:rPr>
          <w:rFonts w:ascii="Book Antiqua" w:eastAsia="Book Antiqua" w:hAnsi="Book Antiqua" w:cs="Book Antiqua"/>
          <w:b/>
          <w:bCs/>
          <w:color w:val="000000"/>
        </w:rPr>
        <w:t xml:space="preserve"> EG</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Still's disease in the adult.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1971; </w:t>
      </w:r>
      <w:r>
        <w:rPr>
          <w:rFonts w:ascii="Book Antiqua" w:eastAsia="Book Antiqua" w:hAnsi="Book Antiqua" w:cs="Book Antiqua"/>
          <w:b/>
          <w:bCs/>
          <w:color w:val="000000"/>
        </w:rPr>
        <w:t>30</w:t>
      </w:r>
      <w:r>
        <w:rPr>
          <w:rFonts w:ascii="Book Antiqua" w:eastAsia="Book Antiqua" w:hAnsi="Book Antiqua" w:cs="Book Antiqua"/>
          <w:color w:val="000000"/>
        </w:rPr>
        <w:t>: 121-133 [PMID: 5315135 DOI: 10.1136/ard.30.2.121]</w:t>
      </w:r>
    </w:p>
    <w:p w:rsidR="001B0CC3" w:rsidRDefault="004845D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Mehta BY</w:t>
      </w:r>
      <w:r>
        <w:rPr>
          <w:rFonts w:ascii="Book Antiqua" w:eastAsia="Book Antiqua" w:hAnsi="Book Antiqua" w:cs="Book Antiqua"/>
          <w:color w:val="000000"/>
        </w:rPr>
        <w:t xml:space="preserve">, Ibrahim S, Briggs W, </w:t>
      </w:r>
      <w:proofErr w:type="spellStart"/>
      <w:r>
        <w:rPr>
          <w:rFonts w:ascii="Book Antiqua" w:eastAsia="Book Antiqua" w:hAnsi="Book Antiqua" w:cs="Book Antiqua"/>
          <w:color w:val="000000"/>
        </w:rPr>
        <w:t>Efthimiou</w:t>
      </w:r>
      <w:proofErr w:type="spellEnd"/>
      <w:r>
        <w:rPr>
          <w:rFonts w:ascii="Book Antiqua" w:eastAsia="Book Antiqua" w:hAnsi="Book Antiqua" w:cs="Book Antiqua"/>
          <w:color w:val="000000"/>
        </w:rPr>
        <w:t xml:space="preserve"> P. Racial/Ethnic variations in morbidity and mortality in Adult Onset Still's Disease: An analysis of national dataset.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Arthritis Rheum</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469-473 [PMID: 31109638 DOI: 10.1016/j.semarthrit.2019.04.004]</w:t>
      </w:r>
    </w:p>
    <w:p w:rsidR="001B0CC3" w:rsidRDefault="004845D5">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Magadur</w:t>
      </w:r>
      <w:proofErr w:type="spellEnd"/>
      <w:r>
        <w:rPr>
          <w:rFonts w:ascii="Book Antiqua" w:eastAsia="Book Antiqua" w:hAnsi="Book Antiqua" w:cs="Book Antiqua"/>
          <w:b/>
          <w:bCs/>
          <w:color w:val="000000"/>
        </w:rPr>
        <w:t>-Joly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Billaud</w:t>
      </w:r>
      <w:proofErr w:type="spellEnd"/>
      <w:r>
        <w:rPr>
          <w:rFonts w:ascii="Book Antiqua" w:eastAsia="Book Antiqua" w:hAnsi="Book Antiqua" w:cs="Book Antiqua"/>
          <w:color w:val="000000"/>
        </w:rPr>
        <w:t xml:space="preserve"> E, Barrier JH, </w:t>
      </w:r>
      <w:proofErr w:type="spellStart"/>
      <w:r>
        <w:rPr>
          <w:rFonts w:ascii="Book Antiqua" w:eastAsia="Book Antiqua" w:hAnsi="Book Antiqua" w:cs="Book Antiqua"/>
          <w:color w:val="000000"/>
        </w:rPr>
        <w:t>Pennec</w:t>
      </w:r>
      <w:proofErr w:type="spellEnd"/>
      <w:r>
        <w:rPr>
          <w:rFonts w:ascii="Book Antiqua" w:eastAsia="Book Antiqua" w:hAnsi="Book Antiqua" w:cs="Book Antiqua"/>
          <w:color w:val="000000"/>
        </w:rPr>
        <w:t xml:space="preserve"> YL, Masson C, </w:t>
      </w:r>
      <w:proofErr w:type="spellStart"/>
      <w:r>
        <w:rPr>
          <w:rFonts w:ascii="Book Antiqua" w:eastAsia="Book Antiqua" w:hAnsi="Book Antiqua" w:cs="Book Antiqua"/>
          <w:color w:val="000000"/>
        </w:rPr>
        <w:t>Renou</w:t>
      </w:r>
      <w:proofErr w:type="spellEnd"/>
      <w:r>
        <w:rPr>
          <w:rFonts w:ascii="Book Antiqua" w:eastAsia="Book Antiqua" w:hAnsi="Book Antiqua" w:cs="Book Antiqua"/>
          <w:color w:val="000000"/>
        </w:rPr>
        <w:t xml:space="preserve"> P, </w:t>
      </w:r>
      <w:proofErr w:type="gramStart"/>
      <w:r>
        <w:rPr>
          <w:rFonts w:ascii="Book Antiqua" w:eastAsia="Book Antiqua" w:hAnsi="Book Antiqua" w:cs="Book Antiqua"/>
          <w:color w:val="000000"/>
        </w:rPr>
        <w:t>Prost</w:t>
      </w:r>
      <w:proofErr w:type="gramEnd"/>
      <w:r>
        <w:rPr>
          <w:rFonts w:ascii="Book Antiqua" w:eastAsia="Book Antiqua" w:hAnsi="Book Antiqua" w:cs="Book Antiqua"/>
          <w:color w:val="000000"/>
        </w:rPr>
        <w:t xml:space="preserve"> A. Epidemiology of adult Still's disease: estimate of the incidence by a retrospective study in west France.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1995; </w:t>
      </w:r>
      <w:r>
        <w:rPr>
          <w:rFonts w:ascii="Book Antiqua" w:eastAsia="Book Antiqua" w:hAnsi="Book Antiqua" w:cs="Book Antiqua"/>
          <w:b/>
          <w:bCs/>
          <w:color w:val="000000"/>
        </w:rPr>
        <w:t>54</w:t>
      </w:r>
      <w:r>
        <w:rPr>
          <w:rFonts w:ascii="Book Antiqua" w:eastAsia="Book Antiqua" w:hAnsi="Book Antiqua" w:cs="Book Antiqua"/>
          <w:color w:val="000000"/>
        </w:rPr>
        <w:t>: 587-590 [PMID: 7668903 DOI: 10.1136/ard.54.7.587]</w:t>
      </w:r>
    </w:p>
    <w:p w:rsidR="001B0CC3" w:rsidRDefault="004845D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Wakai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Tamakoshi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Ohno</w:t>
      </w:r>
      <w:proofErr w:type="spellEnd"/>
      <w:r>
        <w:rPr>
          <w:rFonts w:ascii="Book Antiqua" w:eastAsia="Book Antiqua" w:hAnsi="Book Antiqua" w:cs="Book Antiqua"/>
          <w:color w:val="000000"/>
        </w:rPr>
        <w:t xml:space="preserve"> Y, Kawamura T, Aoki R, Kojima M, Lin Y, Hashimoto S, </w:t>
      </w:r>
      <w:proofErr w:type="spellStart"/>
      <w:r>
        <w:rPr>
          <w:rFonts w:ascii="Book Antiqua" w:eastAsia="Book Antiqua" w:hAnsi="Book Antiqua" w:cs="Book Antiqua"/>
          <w:color w:val="000000"/>
        </w:rPr>
        <w:t>Inaba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Minowa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Aizawa</w:t>
      </w:r>
      <w:proofErr w:type="spellEnd"/>
      <w:r>
        <w:rPr>
          <w:rFonts w:ascii="Book Antiqua" w:eastAsia="Book Antiqua" w:hAnsi="Book Antiqua" w:cs="Book Antiqua"/>
          <w:color w:val="000000"/>
        </w:rPr>
        <w:t xml:space="preserve"> S, Ichikawa Y, </w:t>
      </w:r>
      <w:proofErr w:type="spellStart"/>
      <w:r>
        <w:rPr>
          <w:rFonts w:ascii="Book Antiqua" w:eastAsia="Book Antiqua" w:hAnsi="Book Antiqua" w:cs="Book Antiqua"/>
          <w:color w:val="000000"/>
        </w:rPr>
        <w:t>Miyasaka</w:t>
      </w:r>
      <w:proofErr w:type="spellEnd"/>
      <w:r>
        <w:rPr>
          <w:rFonts w:ascii="Book Antiqua" w:eastAsia="Book Antiqua" w:hAnsi="Book Antiqua" w:cs="Book Antiqua"/>
          <w:color w:val="000000"/>
        </w:rPr>
        <w:t xml:space="preserve"> N. Estimated prevalence and incidence of adult Still's disease: findings by a nationwide </w:t>
      </w:r>
      <w:r>
        <w:rPr>
          <w:rFonts w:ascii="Book Antiqua" w:eastAsia="Book Antiqua" w:hAnsi="Book Antiqua" w:cs="Book Antiqua"/>
          <w:color w:val="000000"/>
        </w:rPr>
        <w:lastRenderedPageBreak/>
        <w:t xml:space="preserve">epidemiological survey in Japan.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7</w:t>
      </w:r>
      <w:r>
        <w:rPr>
          <w:rFonts w:ascii="Book Antiqua" w:eastAsia="Book Antiqua" w:hAnsi="Book Antiqua" w:cs="Book Antiqua"/>
          <w:color w:val="000000"/>
        </w:rPr>
        <w:t>: 221-225 [PMID: 9465547 DOI: 10.2188/jea.7.221]</w:t>
      </w:r>
    </w:p>
    <w:p w:rsidR="001B0CC3" w:rsidRDefault="004845D5">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Sfriso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Priori R, </w:t>
      </w:r>
      <w:proofErr w:type="spellStart"/>
      <w:r>
        <w:rPr>
          <w:rFonts w:ascii="Book Antiqua" w:eastAsia="Book Antiqua" w:hAnsi="Book Antiqua" w:cs="Book Antiqua"/>
          <w:color w:val="000000"/>
        </w:rPr>
        <w:t>Valesini</w:t>
      </w:r>
      <w:proofErr w:type="spellEnd"/>
      <w:r>
        <w:rPr>
          <w:rFonts w:ascii="Book Antiqua" w:eastAsia="Book Antiqua" w:hAnsi="Book Antiqua" w:cs="Book Antiqua"/>
          <w:color w:val="000000"/>
        </w:rPr>
        <w:t xml:space="preserve"> G, Rossi S, </w:t>
      </w:r>
      <w:proofErr w:type="spellStart"/>
      <w:r>
        <w:rPr>
          <w:rFonts w:ascii="Book Antiqua" w:eastAsia="Book Antiqua" w:hAnsi="Book Antiqua" w:cs="Book Antiqua"/>
          <w:color w:val="000000"/>
        </w:rPr>
        <w:t>Montecucco</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D'Ascanio</w:t>
      </w:r>
      <w:proofErr w:type="spellEnd"/>
      <w:r>
        <w:rPr>
          <w:rFonts w:ascii="Book Antiqua" w:eastAsia="Book Antiqua" w:hAnsi="Book Antiqua" w:cs="Book Antiqua"/>
          <w:color w:val="000000"/>
        </w:rPr>
        <w:t xml:space="preserve"> A, Carli L, </w:t>
      </w:r>
      <w:proofErr w:type="spellStart"/>
      <w:r>
        <w:rPr>
          <w:rFonts w:ascii="Book Antiqua" w:eastAsia="Book Antiqua" w:hAnsi="Book Antiqua" w:cs="Book Antiqua"/>
          <w:color w:val="000000"/>
        </w:rPr>
        <w:t>Bombardieri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LaSelva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Iannone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Lapadula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Alivernini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Ferraccioli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Colaci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Iacono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Valentini</w:t>
      </w:r>
      <w:proofErr w:type="spellEnd"/>
      <w:r>
        <w:rPr>
          <w:rFonts w:ascii="Book Antiqua" w:eastAsia="Book Antiqua" w:hAnsi="Book Antiqua" w:cs="Book Antiqua"/>
          <w:color w:val="000000"/>
        </w:rPr>
        <w:t xml:space="preserve"> G, Costa L, </w:t>
      </w:r>
      <w:proofErr w:type="spellStart"/>
      <w:r>
        <w:rPr>
          <w:rFonts w:ascii="Book Antiqua" w:eastAsia="Book Antiqua" w:hAnsi="Book Antiqua" w:cs="Book Antiqua"/>
          <w:color w:val="000000"/>
        </w:rPr>
        <w:t>Scarpa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LoMonaco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Bagnari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Govoni</w:t>
      </w:r>
      <w:proofErr w:type="spellEnd"/>
      <w:r>
        <w:rPr>
          <w:rFonts w:ascii="Book Antiqua" w:eastAsia="Book Antiqua" w:hAnsi="Book Antiqua" w:cs="Book Antiqua"/>
          <w:color w:val="000000"/>
        </w:rPr>
        <w:t xml:space="preserve"> M, Piazza I, </w:t>
      </w:r>
      <w:proofErr w:type="spellStart"/>
      <w:r>
        <w:rPr>
          <w:rFonts w:ascii="Book Antiqua" w:eastAsia="Book Antiqua" w:hAnsi="Book Antiqua" w:cs="Book Antiqua"/>
          <w:color w:val="000000"/>
        </w:rPr>
        <w:t>Adami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Ciccia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Triolo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Alessandri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Cutolo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Cantarini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Galeazzi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Ruscitti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Giacomelli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Caso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Galozzi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Punzi</w:t>
      </w:r>
      <w:proofErr w:type="spellEnd"/>
      <w:r>
        <w:rPr>
          <w:rFonts w:ascii="Book Antiqua" w:eastAsia="Book Antiqua" w:hAnsi="Book Antiqua" w:cs="Book Antiqua"/>
          <w:color w:val="000000"/>
        </w:rPr>
        <w:t xml:space="preserve"> L. Adult-onset Still's disease: an Italian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retrospective observational study of manifestations and treatments in 245 patients.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1683-1689 [PMID: 27207567 DOI: 10.1007/s10067-016-3308-8]</w:t>
      </w:r>
    </w:p>
    <w:p w:rsidR="001B0CC3" w:rsidRDefault="004845D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Efthimiou</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Kadavath</w:t>
      </w:r>
      <w:proofErr w:type="spellEnd"/>
      <w:r>
        <w:rPr>
          <w:rFonts w:ascii="Book Antiqua" w:eastAsia="Book Antiqua" w:hAnsi="Book Antiqua" w:cs="Book Antiqua"/>
          <w:color w:val="000000"/>
        </w:rPr>
        <w:t xml:space="preserve"> S, Mehta B. Life-threatening complications of adult-onset </w:t>
      </w:r>
      <w:proofErr w:type="gramStart"/>
      <w:r>
        <w:rPr>
          <w:rFonts w:ascii="Book Antiqua" w:eastAsia="Book Antiqua" w:hAnsi="Book Antiqua" w:cs="Book Antiqua"/>
          <w:color w:val="000000"/>
        </w:rPr>
        <w:t>Still's</w:t>
      </w:r>
      <w:proofErr w:type="gramEnd"/>
      <w:r>
        <w:rPr>
          <w:rFonts w:ascii="Book Antiqua" w:eastAsia="Book Antiqua" w:hAnsi="Book Antiqua" w:cs="Book Antiqua"/>
          <w:color w:val="000000"/>
        </w:rPr>
        <w:t xml:space="preserve"> disease.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305-314 [PMID: 24435354 DOI: 10.1007/s10067-014-2487-4]</w:t>
      </w:r>
    </w:p>
    <w:p w:rsidR="001B0CC3" w:rsidRDefault="004845D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Lee SW</w:t>
      </w:r>
      <w:r>
        <w:rPr>
          <w:rFonts w:ascii="Book Antiqua" w:eastAsia="Book Antiqua" w:hAnsi="Book Antiqua" w:cs="Book Antiqua"/>
          <w:color w:val="000000"/>
        </w:rPr>
        <w:t xml:space="preserve">, Park YB, Song JS, Lee SK. The mid-range of the adjusted level of ferritin can predict the chronic course in patients with adult onset Still's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36</w:t>
      </w:r>
      <w:r>
        <w:rPr>
          <w:rFonts w:ascii="Book Antiqua" w:eastAsia="Book Antiqua" w:hAnsi="Book Antiqua" w:cs="Book Antiqua"/>
          <w:color w:val="000000"/>
        </w:rPr>
        <w:t>: 156-162 [PMID: 19040301 DOI: 10.3899/jrheum.080537]</w:t>
      </w:r>
    </w:p>
    <w:p w:rsidR="001B0CC3" w:rsidRDefault="004845D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Chen DY</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Lan</w:t>
      </w:r>
      <w:proofErr w:type="gramEnd"/>
      <w:r>
        <w:rPr>
          <w:rFonts w:ascii="Book Antiqua" w:eastAsia="Book Antiqua" w:hAnsi="Book Antiqua" w:cs="Book Antiqua"/>
          <w:color w:val="000000"/>
        </w:rPr>
        <w:t xml:space="preserve"> JL, Lin FJ, Hsieh TY.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 profiles in sera and pathological tissues of patients with active untreated adult onset Still's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31</w:t>
      </w:r>
      <w:r>
        <w:rPr>
          <w:rFonts w:ascii="Book Antiqua" w:eastAsia="Book Antiqua" w:hAnsi="Book Antiqua" w:cs="Book Antiqua"/>
          <w:color w:val="000000"/>
        </w:rPr>
        <w:t>: 2189-2198 [PMID: 15517632]</w:t>
      </w:r>
    </w:p>
    <w:p w:rsidR="001B0CC3" w:rsidRDefault="004845D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Priori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Colafrancesco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Alessandri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Minniti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Perricone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Iaiani</w:t>
      </w:r>
      <w:proofErr w:type="spellEnd"/>
      <w:r>
        <w:rPr>
          <w:rFonts w:ascii="Book Antiqua" w:eastAsia="Book Antiqua" w:hAnsi="Book Antiqua" w:cs="Book Antiqua"/>
          <w:color w:val="000000"/>
        </w:rPr>
        <w:t xml:space="preserve"> G, Palazzo D, </w:t>
      </w:r>
      <w:proofErr w:type="spellStart"/>
      <w:r>
        <w:rPr>
          <w:rFonts w:ascii="Book Antiqua" w:eastAsia="Book Antiqua" w:hAnsi="Book Antiqua" w:cs="Book Antiqua"/>
          <w:color w:val="000000"/>
        </w:rPr>
        <w:t>Valesini</w:t>
      </w:r>
      <w:proofErr w:type="spellEnd"/>
      <w:r>
        <w:rPr>
          <w:rFonts w:ascii="Book Antiqua" w:eastAsia="Book Antiqua" w:hAnsi="Book Antiqua" w:cs="Book Antiqua"/>
          <w:color w:val="000000"/>
        </w:rPr>
        <w:t xml:space="preserve"> G. Interleukin 18: a biomarker for differential diagnosis between adult-onset Still's disease and sepsis.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41</w:t>
      </w:r>
      <w:r>
        <w:rPr>
          <w:rFonts w:ascii="Book Antiqua" w:eastAsia="Book Antiqua" w:hAnsi="Book Antiqua" w:cs="Book Antiqua"/>
          <w:color w:val="000000"/>
        </w:rPr>
        <w:t>: 1118-1123 [PMID: 24786926 DOI: 10.3899/jrheum.130575]</w:t>
      </w:r>
    </w:p>
    <w:p w:rsidR="001B0CC3" w:rsidRDefault="004845D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Sun Y</w:t>
      </w:r>
      <w:r>
        <w:rPr>
          <w:rFonts w:ascii="Book Antiqua" w:eastAsia="Book Antiqua" w:hAnsi="Book Antiqua" w:cs="Book Antiqua"/>
          <w:color w:val="000000"/>
        </w:rPr>
        <w:t xml:space="preserve">, Wang Z, Chi H, Hu Q, Ye J, Liu H, Cheng X, Shi H, Zhou Z, </w:t>
      </w:r>
      <w:proofErr w:type="spellStart"/>
      <w:r>
        <w:rPr>
          <w:rFonts w:ascii="Book Antiqua" w:eastAsia="Book Antiqua" w:hAnsi="Book Antiqua" w:cs="Book Antiqua"/>
          <w:color w:val="000000"/>
        </w:rPr>
        <w:t>Teng</w:t>
      </w:r>
      <w:proofErr w:type="spellEnd"/>
      <w:r>
        <w:rPr>
          <w:rFonts w:ascii="Book Antiqua" w:eastAsia="Book Antiqua" w:hAnsi="Book Antiqua" w:cs="Book Antiqua"/>
          <w:color w:val="000000"/>
        </w:rPr>
        <w:t xml:space="preserve"> J, Yang C, Su Y. Elevated serum levels of interleukin-10 in adult-onset Still's disease are associated with disease activity.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3205-3210 [PMID: 31236746 DOI: 10.1007/s10067-019-04642-x]</w:t>
      </w:r>
    </w:p>
    <w:p w:rsidR="001B0CC3" w:rsidRDefault="004845D5">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Yamaguchi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Tsunematsu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Kasukawa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Mizushima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Kashiwagi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Kashiwazaki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Tanimoto</w:t>
      </w:r>
      <w:proofErr w:type="spellEnd"/>
      <w:r>
        <w:rPr>
          <w:rFonts w:ascii="Book Antiqua" w:eastAsia="Book Antiqua" w:hAnsi="Book Antiqua" w:cs="Book Antiqua"/>
          <w:color w:val="000000"/>
        </w:rPr>
        <w:t xml:space="preserve"> K, Matsumoto Y, Ota T. Preliminary criteria for classification of adult Still's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19</w:t>
      </w:r>
      <w:r>
        <w:rPr>
          <w:rFonts w:ascii="Book Antiqua" w:eastAsia="Book Antiqua" w:hAnsi="Book Antiqua" w:cs="Book Antiqua"/>
          <w:color w:val="000000"/>
        </w:rPr>
        <w:t>: 424-430 [PMID: 1578458]</w:t>
      </w:r>
    </w:p>
    <w:p w:rsidR="001B0CC3" w:rsidRDefault="004845D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Kadavath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Efthimiou</w:t>
      </w:r>
      <w:proofErr w:type="spellEnd"/>
      <w:r>
        <w:rPr>
          <w:rFonts w:ascii="Book Antiqua" w:eastAsia="Book Antiqua" w:hAnsi="Book Antiqua" w:cs="Book Antiqua"/>
          <w:color w:val="000000"/>
        </w:rPr>
        <w:t xml:space="preserve"> P. Adult-onset </w:t>
      </w:r>
      <w:proofErr w:type="gramStart"/>
      <w:r>
        <w:rPr>
          <w:rFonts w:ascii="Book Antiqua" w:eastAsia="Book Antiqua" w:hAnsi="Book Antiqua" w:cs="Book Antiqua"/>
          <w:color w:val="000000"/>
        </w:rPr>
        <w:t>Still's</w:t>
      </w:r>
      <w:proofErr w:type="gramEnd"/>
      <w:r>
        <w:rPr>
          <w:rFonts w:ascii="Book Antiqua" w:eastAsia="Book Antiqua" w:hAnsi="Book Antiqua" w:cs="Book Antiqua"/>
          <w:color w:val="000000"/>
        </w:rPr>
        <w:t xml:space="preserve"> disease-pathogenesis, clinical manifestations, and new treatment options. </w:t>
      </w:r>
      <w:r>
        <w:rPr>
          <w:rFonts w:ascii="Book Antiqua" w:eastAsia="Book Antiqua" w:hAnsi="Book Antiqua" w:cs="Book Antiqua"/>
          <w:i/>
          <w:iCs/>
          <w:color w:val="000000"/>
        </w:rPr>
        <w:t>Ann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6-14 [PMID: 25613167 DOI: 10.3109/07853890.2014.971052]</w:t>
      </w:r>
    </w:p>
    <w:p w:rsidR="001B0CC3" w:rsidRDefault="004845D5">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Koperdanova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Cullis</w:t>
      </w:r>
      <w:proofErr w:type="spellEnd"/>
      <w:r>
        <w:rPr>
          <w:rFonts w:ascii="Book Antiqua" w:eastAsia="Book Antiqua" w:hAnsi="Book Antiqua" w:cs="Book Antiqua"/>
          <w:color w:val="000000"/>
        </w:rPr>
        <w:t xml:space="preserve"> JO. Interpreting raised serum ferritin levels.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2015; </w:t>
      </w:r>
      <w:r>
        <w:rPr>
          <w:rFonts w:ascii="Book Antiqua" w:eastAsia="Book Antiqua" w:hAnsi="Book Antiqua" w:cs="Book Antiqua"/>
          <w:b/>
          <w:bCs/>
          <w:color w:val="000000"/>
        </w:rPr>
        <w:t>351</w:t>
      </w:r>
      <w:r>
        <w:rPr>
          <w:rFonts w:ascii="Book Antiqua" w:eastAsia="Book Antiqua" w:hAnsi="Book Antiqua" w:cs="Book Antiqua"/>
          <w:color w:val="000000"/>
        </w:rPr>
        <w:t>: h3692 [PMID: 26239322 DOI: 10.1136/bmj.h3692]</w:t>
      </w:r>
    </w:p>
    <w:p w:rsidR="001B0CC3" w:rsidRDefault="004845D5">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Ohta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Yamaguchi M, </w:t>
      </w:r>
      <w:proofErr w:type="spellStart"/>
      <w:r>
        <w:rPr>
          <w:rFonts w:ascii="Book Antiqua" w:eastAsia="Book Antiqua" w:hAnsi="Book Antiqua" w:cs="Book Antiqua"/>
          <w:color w:val="000000"/>
        </w:rPr>
        <w:t>Tsunematsu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Kasukawa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Mizushima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Kashiwagi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Kashiwazaki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Tanimoto</w:t>
      </w:r>
      <w:proofErr w:type="spellEnd"/>
      <w:r>
        <w:rPr>
          <w:rFonts w:ascii="Book Antiqua" w:eastAsia="Book Antiqua" w:hAnsi="Book Antiqua" w:cs="Book Antiqua"/>
          <w:color w:val="000000"/>
        </w:rPr>
        <w:t xml:space="preserve"> K, Matsumoto Y, </w:t>
      </w:r>
      <w:proofErr w:type="spellStart"/>
      <w:r>
        <w:rPr>
          <w:rFonts w:ascii="Book Antiqua" w:eastAsia="Book Antiqua" w:hAnsi="Book Antiqua" w:cs="Book Antiqua"/>
          <w:color w:val="000000"/>
        </w:rPr>
        <w:t>Akizuki</w:t>
      </w:r>
      <w:proofErr w:type="spellEnd"/>
      <w:r>
        <w:rPr>
          <w:rFonts w:ascii="Book Antiqua" w:eastAsia="Book Antiqua" w:hAnsi="Book Antiqua" w:cs="Book Antiqua"/>
          <w:color w:val="000000"/>
        </w:rPr>
        <w:t xml:space="preserve"> M. Adult Still's disease: a multicenter survey of Japanese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17</w:t>
      </w:r>
      <w:r>
        <w:rPr>
          <w:rFonts w:ascii="Book Antiqua" w:eastAsia="Book Antiqua" w:hAnsi="Book Antiqua" w:cs="Book Antiqua"/>
          <w:color w:val="000000"/>
        </w:rPr>
        <w:t>: 1058-1063 [PMID: 2213780]</w:t>
      </w:r>
    </w:p>
    <w:p w:rsidR="001B0CC3" w:rsidRDefault="004845D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Yamashita S</w:t>
      </w:r>
      <w:r>
        <w:rPr>
          <w:rFonts w:ascii="Book Antiqua" w:eastAsia="Book Antiqua" w:hAnsi="Book Antiqua" w:cs="Book Antiqua"/>
          <w:color w:val="000000"/>
        </w:rPr>
        <w:t xml:space="preserve">, Furukawa NE, Matsunaga T, </w:t>
      </w:r>
      <w:proofErr w:type="spellStart"/>
      <w:r>
        <w:rPr>
          <w:rFonts w:ascii="Book Antiqua" w:eastAsia="Book Antiqua" w:hAnsi="Book Antiqua" w:cs="Book Antiqua"/>
          <w:color w:val="000000"/>
        </w:rPr>
        <w:t>Hirakawa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Tago</w:t>
      </w:r>
      <w:proofErr w:type="spellEnd"/>
      <w:r>
        <w:rPr>
          <w:rFonts w:ascii="Book Antiqua" w:eastAsia="Book Antiqua" w:hAnsi="Book Antiqua" w:cs="Book Antiqua"/>
          <w:color w:val="000000"/>
        </w:rPr>
        <w:t xml:space="preserve"> M, Yamashita SI. Extremely High Serum Ferritin: An Instrumental Marker of Masquerading Adult-Onset Still's Disease with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Am J Case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1296-1301 [PMID: 29208852 DOI: 10.12659/ajcr.905684]</w:t>
      </w:r>
    </w:p>
    <w:p w:rsidR="001B0CC3" w:rsidRDefault="004845D5">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Coffernils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Soupart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Pradier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Feremans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Nève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Decaux</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Hyperferritinemia</w:t>
      </w:r>
      <w:proofErr w:type="spellEnd"/>
      <w:r>
        <w:rPr>
          <w:rFonts w:ascii="Book Antiqua" w:eastAsia="Book Antiqua" w:hAnsi="Book Antiqua" w:cs="Book Antiqua"/>
          <w:color w:val="000000"/>
        </w:rPr>
        <w:t xml:space="preserve"> in adult onset Still's disease and the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19</w:t>
      </w:r>
      <w:r>
        <w:rPr>
          <w:rFonts w:ascii="Book Antiqua" w:eastAsia="Book Antiqua" w:hAnsi="Book Antiqua" w:cs="Book Antiqua"/>
          <w:color w:val="000000"/>
        </w:rPr>
        <w:t>: 1425-1427 [PMID: 1433011]</w:t>
      </w:r>
    </w:p>
    <w:p w:rsidR="001B0CC3" w:rsidRDefault="004845D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Moore C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Ormseth</w:t>
      </w:r>
      <w:proofErr w:type="spellEnd"/>
      <w:r>
        <w:rPr>
          <w:rFonts w:ascii="Book Antiqua" w:eastAsia="Book Antiqua" w:hAnsi="Book Antiqua" w:cs="Book Antiqua"/>
          <w:color w:val="000000"/>
        </w:rPr>
        <w:t xml:space="preserve"> M, Fuchs H. Causes and significance of markedly elevated serum ferritin levels in an academic medical center.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324-328 [PMID: 23965472 DOI: 10.1097/RHU.0b013e31829ce01f]</w:t>
      </w:r>
    </w:p>
    <w:p w:rsidR="001B0CC3" w:rsidRDefault="004845D5">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Evensen</w:t>
      </w:r>
      <w:proofErr w:type="spellEnd"/>
      <w:r>
        <w:rPr>
          <w:rFonts w:ascii="Book Antiqua" w:eastAsia="Book Antiqua" w:hAnsi="Book Antiqua" w:cs="Book Antiqua"/>
          <w:b/>
          <w:bCs/>
          <w:color w:val="000000"/>
        </w:rPr>
        <w:t xml:space="preserve">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Swaak</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Nossent</w:t>
      </w:r>
      <w:proofErr w:type="spellEnd"/>
      <w:r>
        <w:rPr>
          <w:rFonts w:ascii="Book Antiqua" w:eastAsia="Book Antiqua" w:hAnsi="Book Antiqua" w:cs="Book Antiqua"/>
          <w:color w:val="000000"/>
        </w:rPr>
        <w:t xml:space="preserve"> JC. Increased ferritin response in adult Still's disease: specificity and relationship to outcome.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36</w:t>
      </w:r>
      <w:r>
        <w:rPr>
          <w:rFonts w:ascii="Book Antiqua" w:eastAsia="Book Antiqua" w:hAnsi="Book Antiqua" w:cs="Book Antiqua"/>
          <w:color w:val="000000"/>
        </w:rPr>
        <w:t>: 107-110 [PMID: 17476616 DOI: 10.1080/03009740600958504]</w:t>
      </w:r>
    </w:p>
    <w:p w:rsidR="001B0CC3" w:rsidRDefault="004845D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Wang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Knovich</w:t>
      </w:r>
      <w:proofErr w:type="spellEnd"/>
      <w:r>
        <w:rPr>
          <w:rFonts w:ascii="Book Antiqua" w:eastAsia="Book Antiqua" w:hAnsi="Book Antiqua" w:cs="Book Antiqua"/>
          <w:color w:val="000000"/>
        </w:rPr>
        <w:t xml:space="preserve"> MA, Coffman LG, </w:t>
      </w:r>
      <w:proofErr w:type="spellStart"/>
      <w:r>
        <w:rPr>
          <w:rFonts w:ascii="Book Antiqua" w:eastAsia="Book Antiqua" w:hAnsi="Book Antiqua" w:cs="Book Antiqua"/>
          <w:color w:val="000000"/>
        </w:rPr>
        <w:t>Torti</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Torti</w:t>
      </w:r>
      <w:proofErr w:type="spellEnd"/>
      <w:r>
        <w:rPr>
          <w:rFonts w:ascii="Book Antiqua" w:eastAsia="Book Antiqua" w:hAnsi="Book Antiqua" w:cs="Book Antiqua"/>
          <w:color w:val="000000"/>
        </w:rPr>
        <w:t xml:space="preserve"> SV. Serum ferritin: Past, present and future.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1800</w:t>
      </w:r>
      <w:r>
        <w:rPr>
          <w:rFonts w:ascii="Book Antiqua" w:eastAsia="Book Antiqua" w:hAnsi="Book Antiqua" w:cs="Book Antiqua"/>
          <w:color w:val="000000"/>
        </w:rPr>
        <w:t>: 760-769 [PMID: 20304033 DOI: 10.1016/j.bbagen.2010.03.011]</w:t>
      </w:r>
    </w:p>
    <w:p w:rsidR="001B0CC3" w:rsidRDefault="004845D5">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Fautrel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Ferritin levels in adult Still's disease: any sugar? </w:t>
      </w:r>
      <w:r>
        <w:rPr>
          <w:rFonts w:ascii="Book Antiqua" w:eastAsia="Book Antiqua" w:hAnsi="Book Antiqua" w:cs="Book Antiqua"/>
          <w:i/>
          <w:iCs/>
          <w:color w:val="000000"/>
        </w:rPr>
        <w:t>Joint Bone Spine</w:t>
      </w:r>
      <w:r>
        <w:rPr>
          <w:rFonts w:ascii="Book Antiqua" w:eastAsia="Book Antiqua" w:hAnsi="Book Antiqua" w:cs="Book Antiqua"/>
          <w:color w:val="000000"/>
        </w:rPr>
        <w:t xml:space="preserve"> 2002; </w:t>
      </w:r>
      <w:r>
        <w:rPr>
          <w:rFonts w:ascii="Book Antiqua" w:eastAsia="Book Antiqua" w:hAnsi="Book Antiqua" w:cs="Book Antiqua"/>
          <w:b/>
          <w:bCs/>
          <w:color w:val="000000"/>
        </w:rPr>
        <w:t>69</w:t>
      </w:r>
      <w:r>
        <w:rPr>
          <w:rFonts w:ascii="Book Antiqua" w:eastAsia="Book Antiqua" w:hAnsi="Book Antiqua" w:cs="Book Antiqua"/>
          <w:color w:val="000000"/>
        </w:rPr>
        <w:t>: 355-357 [PMID: 12184429 DOI: 10.1016/s1297-</w:t>
      </w:r>
      <w:proofErr w:type="gramStart"/>
      <w:r>
        <w:rPr>
          <w:rFonts w:ascii="Book Antiqua" w:eastAsia="Book Antiqua" w:hAnsi="Book Antiqua" w:cs="Book Antiqua"/>
          <w:color w:val="000000"/>
        </w:rPr>
        <w:t>319x(</w:t>
      </w:r>
      <w:proofErr w:type="gramEnd"/>
      <w:r>
        <w:rPr>
          <w:rFonts w:ascii="Book Antiqua" w:eastAsia="Book Antiqua" w:hAnsi="Book Antiqua" w:cs="Book Antiqua"/>
          <w:color w:val="000000"/>
        </w:rPr>
        <w:t>02)00409-8]</w:t>
      </w:r>
    </w:p>
    <w:p w:rsidR="001B0CC3" w:rsidRDefault="004845D5">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Torti</w:t>
      </w:r>
      <w:proofErr w:type="spellEnd"/>
      <w:r>
        <w:rPr>
          <w:rFonts w:ascii="Book Antiqua" w:eastAsia="Book Antiqua" w:hAnsi="Book Antiqua" w:cs="Book Antiqua"/>
          <w:b/>
          <w:bCs/>
          <w:color w:val="000000"/>
        </w:rPr>
        <w:t xml:space="preserve"> FM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Torti</w:t>
      </w:r>
      <w:proofErr w:type="spellEnd"/>
      <w:r>
        <w:rPr>
          <w:rFonts w:ascii="Book Antiqua" w:eastAsia="Book Antiqua" w:hAnsi="Book Antiqua" w:cs="Book Antiqua"/>
          <w:color w:val="000000"/>
        </w:rPr>
        <w:t xml:space="preserve"> SV. </w:t>
      </w:r>
      <w:proofErr w:type="gramStart"/>
      <w:r>
        <w:rPr>
          <w:rFonts w:ascii="Book Antiqua" w:eastAsia="Book Antiqua" w:hAnsi="Book Antiqua" w:cs="Book Antiqua"/>
          <w:color w:val="000000"/>
        </w:rPr>
        <w:t>Regulation of ferritin genes and protein.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2002; </w:t>
      </w:r>
      <w:r>
        <w:rPr>
          <w:rFonts w:ascii="Book Antiqua" w:eastAsia="Book Antiqua" w:hAnsi="Book Antiqua" w:cs="Book Antiqua"/>
          <w:b/>
          <w:bCs/>
          <w:color w:val="000000"/>
        </w:rPr>
        <w:t>99</w:t>
      </w:r>
      <w:r>
        <w:rPr>
          <w:rFonts w:ascii="Book Antiqua" w:eastAsia="Book Antiqua" w:hAnsi="Book Antiqua" w:cs="Book Antiqua"/>
          <w:color w:val="000000"/>
        </w:rPr>
        <w:t>: 3505-3516 [PMID: 11986201 DOI: 10.1182/blood.v99.10.3505]</w:t>
      </w:r>
    </w:p>
    <w:p w:rsidR="001B0CC3" w:rsidRDefault="004845D5">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Gerfaud</w:t>
      </w:r>
      <w:proofErr w:type="spellEnd"/>
      <w:r>
        <w:rPr>
          <w:rFonts w:ascii="Book Antiqua" w:eastAsia="Book Antiqua" w:hAnsi="Book Antiqua" w:cs="Book Antiqua"/>
          <w:b/>
          <w:bCs/>
          <w:color w:val="000000"/>
        </w:rPr>
        <w:t>-Valentin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Jamilloux</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Iwaz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Sève</w:t>
      </w:r>
      <w:proofErr w:type="spellEnd"/>
      <w:r>
        <w:rPr>
          <w:rFonts w:ascii="Book Antiqua" w:eastAsia="Book Antiqua" w:hAnsi="Book Antiqua" w:cs="Book Antiqua"/>
          <w:color w:val="000000"/>
        </w:rPr>
        <w:t xml:space="preserve"> P. Adult-onset Still's disease.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708-722 [PMID: 24657513 DOI: 10.1016/j.autrev.2014.01.058]</w:t>
      </w:r>
    </w:p>
    <w:p w:rsidR="001B0CC3" w:rsidRDefault="004845D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Ichikawa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Shimojima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Otuki</w:t>
      </w:r>
      <w:proofErr w:type="spellEnd"/>
      <w:r>
        <w:rPr>
          <w:rFonts w:ascii="Book Antiqua" w:eastAsia="Book Antiqua" w:hAnsi="Book Antiqua" w:cs="Book Antiqua"/>
          <w:color w:val="000000"/>
        </w:rPr>
        <w:t xml:space="preserve"> T, Ueno KI, </w:t>
      </w:r>
      <w:proofErr w:type="spellStart"/>
      <w:r>
        <w:rPr>
          <w:rFonts w:ascii="Book Antiqua" w:eastAsia="Book Antiqua" w:hAnsi="Book Antiqua" w:cs="Book Antiqua"/>
          <w:color w:val="000000"/>
        </w:rPr>
        <w:t>Kishida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Sekijima</w:t>
      </w:r>
      <w:proofErr w:type="spellEnd"/>
      <w:r>
        <w:rPr>
          <w:rFonts w:ascii="Book Antiqua" w:eastAsia="Book Antiqua" w:hAnsi="Book Antiqua" w:cs="Book Antiqua"/>
          <w:color w:val="000000"/>
        </w:rPr>
        <w:t xml:space="preserve"> Y. Acquired </w:t>
      </w:r>
      <w:proofErr w:type="spellStart"/>
      <w:r>
        <w:rPr>
          <w:rFonts w:ascii="Book Antiqua" w:eastAsia="Book Antiqua" w:hAnsi="Book Antiqua" w:cs="Book Antiqua"/>
          <w:color w:val="000000"/>
        </w:rPr>
        <w:t>Amegakaryocytic</w:t>
      </w:r>
      <w:proofErr w:type="spellEnd"/>
      <w:r>
        <w:rPr>
          <w:rFonts w:ascii="Book Antiqua" w:eastAsia="Book Antiqua" w:hAnsi="Book Antiqua" w:cs="Book Antiqua"/>
          <w:color w:val="000000"/>
        </w:rPr>
        <w:t xml:space="preserve"> Thrombocytopenia in Adult-onset Still's Disease: Successful Combination Therapy with Tocilizumab and Cyclosporine.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3473-3478 [PMID: 31391399 DOI: 10.2169/internalmedicine.2929-19]</w:t>
      </w:r>
    </w:p>
    <w:p w:rsidR="001B0CC3" w:rsidRDefault="004845D5">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Kirino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Kawaguchi Y, Tada Y, Tsukamoto H, Ota T, Iwamoto M, Takahashi H, </w:t>
      </w:r>
      <w:proofErr w:type="spellStart"/>
      <w:r>
        <w:rPr>
          <w:rFonts w:ascii="Book Antiqua" w:eastAsia="Book Antiqua" w:hAnsi="Book Antiqua" w:cs="Book Antiqua"/>
          <w:color w:val="000000"/>
        </w:rPr>
        <w:t>Nagasawa</w:t>
      </w:r>
      <w:proofErr w:type="spellEnd"/>
      <w:r>
        <w:rPr>
          <w:rFonts w:ascii="Book Antiqua" w:eastAsia="Book Antiqua" w:hAnsi="Book Antiqua" w:cs="Book Antiqua"/>
          <w:color w:val="000000"/>
        </w:rPr>
        <w:t xml:space="preserve"> K, Takei S, </w:t>
      </w:r>
      <w:proofErr w:type="spellStart"/>
      <w:r>
        <w:rPr>
          <w:rFonts w:ascii="Book Antiqua" w:eastAsia="Book Antiqua" w:hAnsi="Book Antiqua" w:cs="Book Antiqua"/>
          <w:color w:val="000000"/>
        </w:rPr>
        <w:t>Horiuchi</w:t>
      </w:r>
      <w:proofErr w:type="spellEnd"/>
      <w:r>
        <w:rPr>
          <w:rFonts w:ascii="Book Antiqua" w:eastAsia="Book Antiqua" w:hAnsi="Book Antiqua" w:cs="Book Antiqua"/>
          <w:color w:val="000000"/>
        </w:rPr>
        <w:t xml:space="preserve"> T, Ichida H, </w:t>
      </w:r>
      <w:proofErr w:type="spellStart"/>
      <w:r>
        <w:rPr>
          <w:rFonts w:ascii="Book Antiqua" w:eastAsia="Book Antiqua" w:hAnsi="Book Antiqua" w:cs="Book Antiqua"/>
          <w:color w:val="000000"/>
        </w:rPr>
        <w:t>Minota</w:t>
      </w:r>
      <w:proofErr w:type="spellEnd"/>
      <w:r>
        <w:rPr>
          <w:rFonts w:ascii="Book Antiqua" w:eastAsia="Book Antiqua" w:hAnsi="Book Antiqua" w:cs="Book Antiqua"/>
          <w:color w:val="000000"/>
        </w:rPr>
        <w:t xml:space="preserve"> S, Ueda A,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Ishigatsubo</w:t>
      </w:r>
      <w:proofErr w:type="spellEnd"/>
      <w:r>
        <w:rPr>
          <w:rFonts w:ascii="Book Antiqua" w:eastAsia="Book Antiqua" w:hAnsi="Book Antiqua" w:cs="Book Antiqua"/>
          <w:color w:val="000000"/>
        </w:rPr>
        <w:t xml:space="preserve"> Y. Beneficial use of serum ferritin and </w:t>
      </w:r>
      <w:proofErr w:type="spellStart"/>
      <w:r>
        <w:rPr>
          <w:rFonts w:ascii="Book Antiqua" w:eastAsia="Book Antiqua" w:hAnsi="Book Antiqua" w:cs="Book Antiqua"/>
          <w:color w:val="000000"/>
        </w:rPr>
        <w:t>heme</w:t>
      </w:r>
      <w:proofErr w:type="spellEnd"/>
      <w:r>
        <w:rPr>
          <w:rFonts w:ascii="Book Antiqua" w:eastAsia="Book Antiqua" w:hAnsi="Book Antiqua" w:cs="Book Antiqua"/>
          <w:color w:val="000000"/>
        </w:rPr>
        <w:t xml:space="preserve"> oxygenase-1 as biomarkers in adult-onset Still's disease: A multicenter retrospective study.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858-864 [PMID: 29278009 DOI: 10.1080/14397595.2017.1422231]</w:t>
      </w:r>
    </w:p>
    <w:p w:rsidR="001B0CC3" w:rsidRDefault="004845D5">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Ruscitti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Cipriani P, </w:t>
      </w:r>
      <w:proofErr w:type="spellStart"/>
      <w:r>
        <w:rPr>
          <w:rFonts w:ascii="Book Antiqua" w:eastAsia="Book Antiqua" w:hAnsi="Book Antiqua" w:cs="Book Antiqua"/>
          <w:color w:val="000000"/>
        </w:rPr>
        <w:t>Masedu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Iacono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Ciccia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Liakouli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Guggino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Carubbi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Berardicurti</w:t>
      </w:r>
      <w:proofErr w:type="spellEnd"/>
      <w:r>
        <w:rPr>
          <w:rFonts w:ascii="Book Antiqua" w:eastAsia="Book Antiqua" w:hAnsi="Book Antiqua" w:cs="Book Antiqua"/>
          <w:color w:val="000000"/>
        </w:rPr>
        <w:t xml:space="preserve"> O, Di Benedetto P,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Triolo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Valentini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Giacomelli</w:t>
      </w:r>
      <w:proofErr w:type="spellEnd"/>
      <w:r>
        <w:rPr>
          <w:rFonts w:ascii="Book Antiqua" w:eastAsia="Book Antiqua" w:hAnsi="Book Antiqua" w:cs="Book Antiqua"/>
          <w:color w:val="000000"/>
        </w:rPr>
        <w:t xml:space="preserve"> R. Adult-onset Still's disease: evaluation of prognostic tools and validation of the systemic score by analysis of 100 cases from three centers.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194 [PMID: 27903264 DOI: 10.1186/s12916-016-0738-8]</w:t>
      </w:r>
    </w:p>
    <w:p w:rsidR="001B0CC3" w:rsidRDefault="004845D5">
      <w:pPr>
        <w:spacing w:line="360" w:lineRule="auto"/>
        <w:jc w:val="both"/>
      </w:pPr>
      <w:proofErr w:type="gramStart"/>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Janka</w:t>
      </w:r>
      <w:proofErr w:type="spellEnd"/>
      <w:r>
        <w:rPr>
          <w:rFonts w:ascii="Book Antiqua" w:eastAsia="Book Antiqua" w:hAnsi="Book Antiqua" w:cs="Book Antiqua"/>
          <w:b/>
          <w:bCs/>
          <w:color w:val="000000"/>
        </w:rPr>
        <w:t xml:space="preserve"> GE</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Familial and acquired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63</w:t>
      </w:r>
      <w:r>
        <w:rPr>
          <w:rFonts w:ascii="Book Antiqua" w:eastAsia="Book Antiqua" w:hAnsi="Book Antiqua" w:cs="Book Antiqua"/>
          <w:color w:val="000000"/>
        </w:rPr>
        <w:t>: 233-246 [PMID: 22248322 DOI: 10.1146/annurev-med-041610-134208]</w:t>
      </w:r>
    </w:p>
    <w:p w:rsidR="001B0CC3" w:rsidRDefault="004845D5">
      <w:pPr>
        <w:spacing w:line="360" w:lineRule="auto"/>
        <w:jc w:val="both"/>
      </w:pPr>
      <w:proofErr w:type="gramStart"/>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Schulert</w:t>
      </w:r>
      <w:proofErr w:type="spellEnd"/>
      <w:r>
        <w:rPr>
          <w:rFonts w:ascii="Book Antiqua" w:eastAsia="Book Antiqua" w:hAnsi="Book Antiqua" w:cs="Book Antiqua"/>
          <w:b/>
          <w:bCs/>
          <w:color w:val="000000"/>
        </w:rPr>
        <w:t xml:space="preserve"> GS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Grom</w:t>
      </w:r>
      <w:proofErr w:type="spellEnd"/>
      <w:r>
        <w:rPr>
          <w:rFonts w:ascii="Book Antiqua" w:eastAsia="Book Antiqua" w:hAnsi="Book Antiqua" w:cs="Book Antiqua"/>
          <w:color w:val="000000"/>
        </w:rPr>
        <w:t xml:space="preserve"> AA.</w:t>
      </w:r>
      <w:proofErr w:type="gramEnd"/>
      <w:r>
        <w:rPr>
          <w:rFonts w:ascii="Book Antiqua" w:eastAsia="Book Antiqua" w:hAnsi="Book Antiqua" w:cs="Book Antiqua"/>
          <w:color w:val="000000"/>
        </w:rPr>
        <w:t xml:space="preserve"> Pathogenesis of macrophage activation syndrome and potential for cytokine- directed therapies.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66</w:t>
      </w:r>
      <w:r>
        <w:rPr>
          <w:rFonts w:ascii="Book Antiqua" w:eastAsia="Book Antiqua" w:hAnsi="Book Antiqua" w:cs="Book Antiqua"/>
          <w:color w:val="000000"/>
        </w:rPr>
        <w:t>: 145-159 [PMID: 25386930 DOI: 10.1146/annurev-med-061813-012806]</w:t>
      </w:r>
    </w:p>
    <w:p w:rsidR="001B0CC3" w:rsidRDefault="004845D5">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Favara</w:t>
      </w:r>
      <w:proofErr w:type="spellEnd"/>
      <w:r>
        <w:rPr>
          <w:rFonts w:ascii="Book Antiqua" w:eastAsia="Book Antiqua" w:hAnsi="Book Antiqua" w:cs="Book Antiqua"/>
          <w:b/>
          <w:bCs/>
          <w:color w:val="000000"/>
        </w:rPr>
        <w:t xml:space="preserve"> BE</w:t>
      </w:r>
      <w:r>
        <w:rPr>
          <w:rFonts w:ascii="Book Antiqua" w:eastAsia="Book Antiqua" w:hAnsi="Book Antiqua" w:cs="Book Antiqua"/>
          <w:color w:val="000000"/>
        </w:rPr>
        <w:t xml:space="preserve">, Feller AC, Pauli M, Jaffe ES, Weiss LM, </w:t>
      </w:r>
      <w:proofErr w:type="spellStart"/>
      <w:r>
        <w:rPr>
          <w:rFonts w:ascii="Book Antiqua" w:eastAsia="Book Antiqua" w:hAnsi="Book Antiqua" w:cs="Book Antiqua"/>
          <w:color w:val="000000"/>
        </w:rPr>
        <w:t>Arico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Bucsky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Egeler</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Elinder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Gadner</w:t>
      </w:r>
      <w:proofErr w:type="spellEnd"/>
      <w:r>
        <w:rPr>
          <w:rFonts w:ascii="Book Antiqua" w:eastAsia="Book Antiqua" w:hAnsi="Book Antiqua" w:cs="Book Antiqua"/>
          <w:color w:val="000000"/>
        </w:rPr>
        <w:t xml:space="preserve"> H, Gresik M, </w:t>
      </w:r>
      <w:proofErr w:type="spellStart"/>
      <w:r>
        <w:rPr>
          <w:rFonts w:ascii="Book Antiqua" w:eastAsia="Book Antiqua" w:hAnsi="Book Antiqua" w:cs="Book Antiqua"/>
          <w:color w:val="000000"/>
        </w:rPr>
        <w:t>Henter</w:t>
      </w:r>
      <w:proofErr w:type="spellEnd"/>
      <w:r>
        <w:rPr>
          <w:rFonts w:ascii="Book Antiqua" w:eastAsia="Book Antiqua" w:hAnsi="Book Antiqua" w:cs="Book Antiqua"/>
          <w:color w:val="000000"/>
        </w:rPr>
        <w:t xml:space="preserve"> JI, </w:t>
      </w:r>
      <w:proofErr w:type="spellStart"/>
      <w:r>
        <w:rPr>
          <w:rFonts w:ascii="Book Antiqua" w:eastAsia="Book Antiqua" w:hAnsi="Book Antiqua" w:cs="Book Antiqua"/>
          <w:color w:val="000000"/>
        </w:rPr>
        <w:t>Imashuku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Janka</w:t>
      </w:r>
      <w:proofErr w:type="spellEnd"/>
      <w:r>
        <w:rPr>
          <w:rFonts w:ascii="Book Antiqua" w:eastAsia="Book Antiqua" w:hAnsi="Book Antiqua" w:cs="Book Antiqua"/>
          <w:color w:val="000000"/>
        </w:rPr>
        <w:t xml:space="preserve">-Schaub G, Jaffe R, </w:t>
      </w:r>
      <w:proofErr w:type="spellStart"/>
      <w:r>
        <w:rPr>
          <w:rFonts w:ascii="Book Antiqua" w:eastAsia="Book Antiqua" w:hAnsi="Book Antiqua" w:cs="Book Antiqua"/>
          <w:color w:val="000000"/>
        </w:rPr>
        <w:t>Ladisch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Nezelof</w:t>
      </w:r>
      <w:proofErr w:type="spellEnd"/>
      <w:r>
        <w:rPr>
          <w:rFonts w:ascii="Book Antiqua" w:eastAsia="Book Antiqua" w:hAnsi="Book Antiqua" w:cs="Book Antiqua"/>
          <w:color w:val="000000"/>
        </w:rPr>
        <w:t xml:space="preserve"> C, Pritchard J. Contemporary classification of histiocytic disorders. </w:t>
      </w:r>
      <w:proofErr w:type="gramStart"/>
      <w:r>
        <w:rPr>
          <w:rFonts w:ascii="Book Antiqua" w:eastAsia="Book Antiqua" w:hAnsi="Book Antiqua" w:cs="Book Antiqua"/>
          <w:color w:val="000000"/>
        </w:rPr>
        <w:t>The WHO Committee On Histiocytic/Reticulum Cell Proliferations.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Reclassification Working Group of the </w:t>
      </w:r>
      <w:proofErr w:type="spellStart"/>
      <w:r>
        <w:rPr>
          <w:rFonts w:ascii="Book Antiqua" w:eastAsia="Book Antiqua" w:hAnsi="Book Antiqua" w:cs="Book Antiqua"/>
          <w:color w:val="000000"/>
        </w:rPr>
        <w:t>Histiocyte</w:t>
      </w:r>
      <w:proofErr w:type="spellEnd"/>
      <w:r>
        <w:rPr>
          <w:rFonts w:ascii="Book Antiqua" w:eastAsia="Book Antiqua" w:hAnsi="Book Antiqua" w:cs="Book Antiqua"/>
          <w:color w:val="000000"/>
        </w:rPr>
        <w:t xml:space="preserve"> Society.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29</w:t>
      </w:r>
      <w:r>
        <w:rPr>
          <w:rFonts w:ascii="Book Antiqua" w:eastAsia="Book Antiqua" w:hAnsi="Book Antiqua" w:cs="Book Antiqua"/>
          <w:color w:val="000000"/>
        </w:rPr>
        <w:t>: 157-166 [PMID: 9212839 DOI: 10.1002</w:t>
      </w:r>
      <w:proofErr w:type="gramStart"/>
      <w:r>
        <w:rPr>
          <w:rFonts w:ascii="Book Antiqua" w:eastAsia="Book Antiqua" w:hAnsi="Book Antiqua" w:cs="Book Antiqua"/>
          <w:color w:val="000000"/>
        </w:rPr>
        <w:t>/(</w:t>
      </w:r>
      <w:proofErr w:type="spellStart"/>
      <w:proofErr w:type="gramEnd"/>
      <w:r>
        <w:rPr>
          <w:rFonts w:ascii="Book Antiqua" w:eastAsia="Book Antiqua" w:hAnsi="Book Antiqua" w:cs="Book Antiqua"/>
          <w:color w:val="000000"/>
        </w:rPr>
        <w:t>sici</w:t>
      </w:r>
      <w:proofErr w:type="spellEnd"/>
      <w:r>
        <w:rPr>
          <w:rFonts w:ascii="Book Antiqua" w:eastAsia="Book Antiqua" w:hAnsi="Book Antiqua" w:cs="Book Antiqua"/>
          <w:color w:val="000000"/>
        </w:rPr>
        <w:t>)1096-911x(199709)29:3&lt;157::aid-mpo1&gt;3.0.co;2-c]</w:t>
      </w:r>
    </w:p>
    <w:p w:rsidR="001B0CC3" w:rsidRDefault="004845D5">
      <w:pPr>
        <w:spacing w:line="360" w:lineRule="auto"/>
        <w:jc w:val="both"/>
      </w:pPr>
      <w:r>
        <w:rPr>
          <w:rFonts w:ascii="Book Antiqua" w:eastAsia="Book Antiqua" w:hAnsi="Book Antiqua" w:cs="Book Antiqua"/>
          <w:color w:val="000000"/>
        </w:rPr>
        <w:lastRenderedPageBreak/>
        <w:t xml:space="preserve">32 </w:t>
      </w:r>
      <w:proofErr w:type="spellStart"/>
      <w:r>
        <w:rPr>
          <w:rFonts w:ascii="Book Antiqua" w:eastAsia="Book Antiqua" w:hAnsi="Book Antiqua" w:cs="Book Antiqua"/>
          <w:b/>
          <w:bCs/>
          <w:color w:val="000000"/>
        </w:rPr>
        <w:t>Sawar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Espinoza LR, </w:t>
      </w:r>
      <w:proofErr w:type="spellStart"/>
      <w:r>
        <w:rPr>
          <w:rFonts w:ascii="Book Antiqua" w:eastAsia="Book Antiqua" w:hAnsi="Book Antiqua" w:cs="Book Antiqua"/>
          <w:color w:val="000000"/>
        </w:rPr>
        <w:t>Gedalia</w:t>
      </w:r>
      <w:proofErr w:type="spellEnd"/>
      <w:r>
        <w:rPr>
          <w:rFonts w:ascii="Book Antiqua" w:eastAsia="Book Antiqua" w:hAnsi="Book Antiqua" w:cs="Book Antiqua"/>
          <w:color w:val="000000"/>
        </w:rPr>
        <w:t xml:space="preserve"> A. Macrophage activation syndrome and </w:t>
      </w:r>
      <w:proofErr w:type="spellStart"/>
      <w:r>
        <w:rPr>
          <w:rFonts w:ascii="Book Antiqua" w:eastAsia="Book Antiqua" w:hAnsi="Book Antiqua" w:cs="Book Antiqua"/>
          <w:color w:val="000000"/>
        </w:rPr>
        <w:t>etanercept</w:t>
      </w:r>
      <w:proofErr w:type="spellEnd"/>
      <w:r>
        <w:rPr>
          <w:rFonts w:ascii="Book Antiqua" w:eastAsia="Book Antiqua" w:hAnsi="Book Antiqua" w:cs="Book Antiqua"/>
          <w:color w:val="000000"/>
        </w:rPr>
        <w:t xml:space="preserve"> in children with systemic juvenile rheumatoid arthritis.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31</w:t>
      </w:r>
      <w:r>
        <w:rPr>
          <w:rFonts w:ascii="Book Antiqua" w:eastAsia="Book Antiqua" w:hAnsi="Book Antiqua" w:cs="Book Antiqua"/>
          <w:color w:val="000000"/>
        </w:rPr>
        <w:t>: 623; author reply 623-623; author reply 624 [PMID: 14994420]</w:t>
      </w:r>
    </w:p>
    <w:p w:rsidR="001B0CC3" w:rsidRDefault="004845D5">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Henter</w:t>
      </w:r>
      <w:proofErr w:type="spellEnd"/>
      <w:r>
        <w:rPr>
          <w:rFonts w:ascii="Book Antiqua" w:eastAsia="Book Antiqua" w:hAnsi="Book Antiqua" w:cs="Book Antiqua"/>
          <w:b/>
          <w:bCs/>
          <w:color w:val="000000"/>
        </w:rPr>
        <w:t xml:space="preserve"> JI</w:t>
      </w:r>
      <w:r>
        <w:rPr>
          <w:rFonts w:ascii="Book Antiqua" w:eastAsia="Book Antiqua" w:hAnsi="Book Antiqua" w:cs="Book Antiqua"/>
          <w:color w:val="000000"/>
        </w:rPr>
        <w:t xml:space="preserve">, Horne A, </w:t>
      </w:r>
      <w:proofErr w:type="spellStart"/>
      <w:r>
        <w:rPr>
          <w:rFonts w:ascii="Book Antiqua" w:eastAsia="Book Antiqua" w:hAnsi="Book Antiqua" w:cs="Book Antiqua"/>
          <w:color w:val="000000"/>
        </w:rPr>
        <w:t>Aricó</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Egeler</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Filipovich</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Imashuku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Ladisch</w:t>
      </w:r>
      <w:proofErr w:type="spellEnd"/>
      <w:r>
        <w:rPr>
          <w:rFonts w:ascii="Book Antiqua" w:eastAsia="Book Antiqua" w:hAnsi="Book Antiqua" w:cs="Book Antiqua"/>
          <w:color w:val="000000"/>
        </w:rPr>
        <w:t xml:space="preserve"> S, McClain K, Webb D, </w:t>
      </w:r>
      <w:proofErr w:type="spellStart"/>
      <w:r>
        <w:rPr>
          <w:rFonts w:ascii="Book Antiqua" w:eastAsia="Book Antiqua" w:hAnsi="Book Antiqua" w:cs="Book Antiqua"/>
          <w:color w:val="000000"/>
        </w:rPr>
        <w:t>Winiarski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Janka</w:t>
      </w:r>
      <w:proofErr w:type="spellEnd"/>
      <w:r>
        <w:rPr>
          <w:rFonts w:ascii="Book Antiqua" w:eastAsia="Book Antiqua" w:hAnsi="Book Antiqua" w:cs="Book Antiqua"/>
          <w:color w:val="000000"/>
        </w:rPr>
        <w:t xml:space="preserve"> G. HLH-2004: Diagnostic and therapeutic guidelines for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48</w:t>
      </w:r>
      <w:r>
        <w:rPr>
          <w:rFonts w:ascii="Book Antiqua" w:eastAsia="Book Antiqua" w:hAnsi="Book Antiqua" w:cs="Book Antiqua"/>
          <w:color w:val="000000"/>
        </w:rPr>
        <w:t>: 124-131 [PMID: 16937360 DOI: 10.1002/pbc.21039]</w:t>
      </w:r>
    </w:p>
    <w:p w:rsidR="001B0CC3" w:rsidRDefault="004845D5">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Ravelli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Minoia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Davì</w:t>
      </w:r>
      <w:proofErr w:type="spellEnd"/>
      <w:r>
        <w:rPr>
          <w:rFonts w:ascii="Book Antiqua" w:eastAsia="Book Antiqua" w:hAnsi="Book Antiqua" w:cs="Book Antiqua"/>
          <w:color w:val="000000"/>
        </w:rPr>
        <w:t xml:space="preserve"> S, Horne A, </w:t>
      </w:r>
      <w:proofErr w:type="spellStart"/>
      <w:r>
        <w:rPr>
          <w:rFonts w:ascii="Book Antiqua" w:eastAsia="Book Antiqua" w:hAnsi="Book Antiqua" w:cs="Book Antiqua"/>
          <w:color w:val="000000"/>
        </w:rPr>
        <w:t>Bovis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Pistorio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Aricò</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Avcin</w:t>
      </w:r>
      <w:proofErr w:type="spellEnd"/>
      <w:r>
        <w:rPr>
          <w:rFonts w:ascii="Book Antiqua" w:eastAsia="Book Antiqua" w:hAnsi="Book Antiqua" w:cs="Book Antiqua"/>
          <w:color w:val="000000"/>
        </w:rPr>
        <w:t xml:space="preserve"> T, Behrens EM, De Benedetti F, </w:t>
      </w:r>
      <w:proofErr w:type="spellStart"/>
      <w:r>
        <w:rPr>
          <w:rFonts w:ascii="Book Antiqua" w:eastAsia="Book Antiqua" w:hAnsi="Book Antiqua" w:cs="Book Antiqua"/>
          <w:color w:val="000000"/>
        </w:rPr>
        <w:t>Filipovic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Grom</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Henter</w:t>
      </w:r>
      <w:proofErr w:type="spellEnd"/>
      <w:r>
        <w:rPr>
          <w:rFonts w:ascii="Book Antiqua" w:eastAsia="Book Antiqua" w:hAnsi="Book Antiqua" w:cs="Book Antiqua"/>
          <w:color w:val="000000"/>
        </w:rPr>
        <w:t xml:space="preserve"> JI, </w:t>
      </w:r>
      <w:proofErr w:type="spellStart"/>
      <w:r>
        <w:rPr>
          <w:rFonts w:ascii="Book Antiqua" w:eastAsia="Book Antiqua" w:hAnsi="Book Antiqua" w:cs="Book Antiqua"/>
          <w:color w:val="000000"/>
        </w:rPr>
        <w:t>Ilowite</w:t>
      </w:r>
      <w:proofErr w:type="spellEnd"/>
      <w:r>
        <w:rPr>
          <w:rFonts w:ascii="Book Antiqua" w:eastAsia="Book Antiqua" w:hAnsi="Book Antiqua" w:cs="Book Antiqua"/>
          <w:color w:val="000000"/>
        </w:rPr>
        <w:t xml:space="preserve"> NT, Jordan MB, </w:t>
      </w:r>
      <w:proofErr w:type="spellStart"/>
      <w:r>
        <w:rPr>
          <w:rFonts w:ascii="Book Antiqua" w:eastAsia="Book Antiqua" w:hAnsi="Book Antiqua" w:cs="Book Antiqua"/>
          <w:color w:val="000000"/>
        </w:rPr>
        <w:t>Khubchandani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Kitoh</w:t>
      </w:r>
      <w:proofErr w:type="spellEnd"/>
      <w:r>
        <w:rPr>
          <w:rFonts w:ascii="Book Antiqua" w:eastAsia="Book Antiqua" w:hAnsi="Book Antiqua" w:cs="Book Antiqua"/>
          <w:color w:val="000000"/>
        </w:rPr>
        <w:t xml:space="preserve"> T, Lehmberg K, Lovell DJ, </w:t>
      </w:r>
      <w:proofErr w:type="spellStart"/>
      <w:r>
        <w:rPr>
          <w:rFonts w:ascii="Book Antiqua" w:eastAsia="Book Antiqua" w:hAnsi="Book Antiqua" w:cs="Book Antiqua"/>
          <w:color w:val="000000"/>
        </w:rPr>
        <w:t>Miettunen</w:t>
      </w:r>
      <w:proofErr w:type="spellEnd"/>
      <w:r>
        <w:rPr>
          <w:rFonts w:ascii="Book Antiqua" w:eastAsia="Book Antiqua" w:hAnsi="Book Antiqua" w:cs="Book Antiqua"/>
          <w:color w:val="000000"/>
        </w:rPr>
        <w:t xml:space="preserve"> P, Nichols KE, </w:t>
      </w:r>
      <w:proofErr w:type="spellStart"/>
      <w:r>
        <w:rPr>
          <w:rFonts w:ascii="Book Antiqua" w:eastAsia="Book Antiqua" w:hAnsi="Book Antiqua" w:cs="Book Antiqua"/>
          <w:color w:val="000000"/>
        </w:rPr>
        <w:t>Ozen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Pachlopnik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Schmid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Ramanan</w:t>
      </w:r>
      <w:proofErr w:type="spellEnd"/>
      <w:r>
        <w:rPr>
          <w:rFonts w:ascii="Book Antiqua" w:eastAsia="Book Antiqua" w:hAnsi="Book Antiqua" w:cs="Book Antiqua"/>
          <w:color w:val="000000"/>
        </w:rPr>
        <w:t xml:space="preserve"> AV, Russo R, Schneider R, </w:t>
      </w:r>
      <w:proofErr w:type="spellStart"/>
      <w:r>
        <w:rPr>
          <w:rFonts w:ascii="Book Antiqua" w:eastAsia="Book Antiqua" w:hAnsi="Book Antiqua" w:cs="Book Antiqua"/>
          <w:color w:val="000000"/>
        </w:rPr>
        <w:t>Sterba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Uziel</w:t>
      </w:r>
      <w:proofErr w:type="spellEnd"/>
      <w:r>
        <w:rPr>
          <w:rFonts w:ascii="Book Antiqua" w:eastAsia="Book Antiqua" w:hAnsi="Book Antiqua" w:cs="Book Antiqua"/>
          <w:color w:val="000000"/>
        </w:rPr>
        <w:t xml:space="preserve"> Y, Wallace C, </w:t>
      </w:r>
      <w:proofErr w:type="spellStart"/>
      <w:r>
        <w:rPr>
          <w:rFonts w:ascii="Book Antiqua" w:eastAsia="Book Antiqua" w:hAnsi="Book Antiqua" w:cs="Book Antiqua"/>
          <w:color w:val="000000"/>
        </w:rPr>
        <w:t>Wouters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Wulffraat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Demirkaya</w:t>
      </w:r>
      <w:proofErr w:type="spellEnd"/>
      <w:r>
        <w:rPr>
          <w:rFonts w:ascii="Book Antiqua" w:eastAsia="Book Antiqua" w:hAnsi="Book Antiqua" w:cs="Book Antiqua"/>
          <w:color w:val="000000"/>
        </w:rPr>
        <w:t xml:space="preserve"> E, Brunner HI, Martini A, </w:t>
      </w:r>
      <w:proofErr w:type="spellStart"/>
      <w:r>
        <w:rPr>
          <w:rFonts w:ascii="Book Antiqua" w:eastAsia="Book Antiqua" w:hAnsi="Book Antiqua" w:cs="Book Antiqua"/>
          <w:color w:val="000000"/>
        </w:rPr>
        <w:t>Ruperto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Cron</w:t>
      </w:r>
      <w:proofErr w:type="spellEnd"/>
      <w:r>
        <w:rPr>
          <w:rFonts w:ascii="Book Antiqua" w:eastAsia="Book Antiqua" w:hAnsi="Book Antiqua" w:cs="Book Antiqua"/>
          <w:color w:val="000000"/>
        </w:rPr>
        <w:t xml:space="preserve"> RQ;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Rheumatology International Trials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Childhood Arthritis and Rheumatology Research Alliance; Pediatric Rheumatology Collaborative Study Group; </w:t>
      </w:r>
      <w:proofErr w:type="spellStart"/>
      <w:r>
        <w:rPr>
          <w:rFonts w:ascii="Book Antiqua" w:eastAsia="Book Antiqua" w:hAnsi="Book Antiqua" w:cs="Book Antiqua"/>
          <w:color w:val="000000"/>
        </w:rPr>
        <w:t>Histiocyte</w:t>
      </w:r>
      <w:proofErr w:type="spellEnd"/>
      <w:r>
        <w:rPr>
          <w:rFonts w:ascii="Book Antiqua" w:eastAsia="Book Antiqua" w:hAnsi="Book Antiqua" w:cs="Book Antiqua"/>
          <w:color w:val="000000"/>
        </w:rPr>
        <w:t xml:space="preserve"> Society. 2016 Classification Criteria for Macrophage Activation Syndrome Complicating Systemic Juvenile Idiopathic Arthritis: A European League </w:t>
      </w:r>
      <w:proofErr w:type="gramStart"/>
      <w:r>
        <w:rPr>
          <w:rFonts w:ascii="Book Antiqua" w:eastAsia="Book Antiqua" w:hAnsi="Book Antiqua" w:cs="Book Antiqua"/>
          <w:color w:val="000000"/>
        </w:rPr>
        <w:t>Against</w:t>
      </w:r>
      <w:proofErr w:type="gramEnd"/>
      <w:r>
        <w:rPr>
          <w:rFonts w:ascii="Book Antiqua" w:eastAsia="Book Antiqua" w:hAnsi="Book Antiqua" w:cs="Book Antiqua"/>
          <w:color w:val="000000"/>
        </w:rPr>
        <w:t xml:space="preserve"> Rheumatism/American College of Rheumatology/</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Rheumatology International Trials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Collaborative Initiative.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75</w:t>
      </w:r>
      <w:r>
        <w:rPr>
          <w:rFonts w:ascii="Book Antiqua" w:eastAsia="Book Antiqua" w:hAnsi="Book Antiqua" w:cs="Book Antiqua"/>
          <w:color w:val="000000"/>
        </w:rPr>
        <w:t>: 481-489 [PMID: 26865703 DOI: 10.1136/annrheumdis-2015-208982]</w:t>
      </w:r>
    </w:p>
    <w:p w:rsidR="001B0CC3" w:rsidRDefault="004845D5">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Arai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Mitani</w:t>
      </w:r>
      <w:proofErr w:type="spellEnd"/>
      <w:r>
        <w:rPr>
          <w:rFonts w:ascii="Book Antiqua" w:eastAsia="Book Antiqua" w:hAnsi="Book Antiqua" w:cs="Book Antiqua"/>
          <w:color w:val="000000"/>
        </w:rPr>
        <w:t xml:space="preserve"> K. [Adult-onset Still disease presenting with disseminated intravascular coagulation]. </w:t>
      </w:r>
      <w:proofErr w:type="spellStart"/>
      <w:r>
        <w:rPr>
          <w:rFonts w:ascii="Book Antiqua" w:eastAsia="Book Antiqua" w:hAnsi="Book Antiqua" w:cs="Book Antiqua"/>
          <w:i/>
          <w:iCs/>
          <w:color w:val="000000"/>
        </w:rPr>
        <w:t>Rinsho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Ketsueki</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45</w:t>
      </w:r>
      <w:r>
        <w:rPr>
          <w:rFonts w:ascii="Book Antiqua" w:eastAsia="Book Antiqua" w:hAnsi="Book Antiqua" w:cs="Book Antiqua"/>
          <w:color w:val="000000"/>
        </w:rPr>
        <w:t>: 316-318 [PMID: 15168449]</w:t>
      </w:r>
    </w:p>
    <w:p w:rsidR="001B0CC3" w:rsidRDefault="004845D5">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Kötter</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Wacker A, Koch S, </w:t>
      </w:r>
      <w:proofErr w:type="spellStart"/>
      <w:r>
        <w:rPr>
          <w:rFonts w:ascii="Book Antiqua" w:eastAsia="Book Antiqua" w:hAnsi="Book Antiqua" w:cs="Book Antiqua"/>
          <w:color w:val="000000"/>
        </w:rPr>
        <w:t>Henes</w:t>
      </w:r>
      <w:proofErr w:type="spellEnd"/>
      <w:r>
        <w:rPr>
          <w:rFonts w:ascii="Book Antiqua" w:eastAsia="Book Antiqua" w:hAnsi="Book Antiqua" w:cs="Book Antiqua"/>
          <w:color w:val="000000"/>
        </w:rPr>
        <w:t xml:space="preserve"> J, Richter C, Engel A, </w:t>
      </w:r>
      <w:proofErr w:type="spellStart"/>
      <w:r>
        <w:rPr>
          <w:rFonts w:ascii="Book Antiqua" w:eastAsia="Book Antiqua" w:hAnsi="Book Antiqua" w:cs="Book Antiqua"/>
          <w:color w:val="000000"/>
        </w:rPr>
        <w:t>Günaydin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Kanz</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Anakinra</w:t>
      </w:r>
      <w:proofErr w:type="spellEnd"/>
      <w:r>
        <w:rPr>
          <w:rFonts w:ascii="Book Antiqua" w:eastAsia="Book Antiqua" w:hAnsi="Book Antiqua" w:cs="Book Antiqua"/>
          <w:color w:val="000000"/>
        </w:rPr>
        <w:t xml:space="preserve"> in patients with treatment-resistant adult-onset </w:t>
      </w:r>
      <w:proofErr w:type="gramStart"/>
      <w:r>
        <w:rPr>
          <w:rFonts w:ascii="Book Antiqua" w:eastAsia="Book Antiqua" w:hAnsi="Book Antiqua" w:cs="Book Antiqua"/>
          <w:color w:val="000000"/>
        </w:rPr>
        <w:t>Still's</w:t>
      </w:r>
      <w:proofErr w:type="gramEnd"/>
      <w:r>
        <w:rPr>
          <w:rFonts w:ascii="Book Antiqua" w:eastAsia="Book Antiqua" w:hAnsi="Book Antiqua" w:cs="Book Antiqua"/>
          <w:color w:val="000000"/>
        </w:rPr>
        <w:t xml:space="preserve"> disease: four case reports with serial cytokine measurements and a review of the literature.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Arthritis Rheum</w:t>
      </w:r>
      <w:r>
        <w:rPr>
          <w:rFonts w:ascii="Book Antiqua" w:eastAsia="Book Antiqua" w:hAnsi="Book Antiqua" w:cs="Book Antiqua"/>
          <w:color w:val="000000"/>
        </w:rPr>
        <w:t xml:space="preserve"> 2007; </w:t>
      </w:r>
      <w:r>
        <w:rPr>
          <w:rFonts w:ascii="Book Antiqua" w:eastAsia="Book Antiqua" w:hAnsi="Book Antiqua" w:cs="Book Antiqua"/>
          <w:b/>
          <w:bCs/>
          <w:color w:val="000000"/>
        </w:rPr>
        <w:t>37</w:t>
      </w:r>
      <w:r>
        <w:rPr>
          <w:rFonts w:ascii="Book Antiqua" w:eastAsia="Book Antiqua" w:hAnsi="Book Antiqua" w:cs="Book Antiqua"/>
          <w:color w:val="000000"/>
        </w:rPr>
        <w:t>: 189-197 [PMID: 17583775 DOI: 10.1016/j.semarthrit.2007.04.002]</w:t>
      </w:r>
    </w:p>
    <w:p w:rsidR="001B0CC3" w:rsidRDefault="004845D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Mori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Tanigawa</w:t>
      </w:r>
      <w:proofErr w:type="spellEnd"/>
      <w:r>
        <w:rPr>
          <w:rFonts w:ascii="Book Antiqua" w:eastAsia="Book Antiqua" w:hAnsi="Book Antiqua" w:cs="Book Antiqua"/>
          <w:color w:val="000000"/>
        </w:rPr>
        <w:t xml:space="preserve"> M, Iwasaki E, Tamaki S, Ono T, Wada H, </w:t>
      </w:r>
      <w:proofErr w:type="spellStart"/>
      <w:r>
        <w:rPr>
          <w:rFonts w:ascii="Book Antiqua" w:eastAsia="Book Antiqua" w:hAnsi="Book Antiqua" w:cs="Book Antiqua"/>
          <w:color w:val="000000"/>
        </w:rPr>
        <w:t>Deguchi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Shirakawa</w:t>
      </w:r>
      <w:proofErr w:type="spellEnd"/>
      <w:r>
        <w:rPr>
          <w:rFonts w:ascii="Book Antiqua" w:eastAsia="Book Antiqua" w:hAnsi="Book Antiqua" w:cs="Book Antiqua"/>
          <w:color w:val="000000"/>
        </w:rPr>
        <w:t xml:space="preserve"> S. [Cyclosporine therapy of adult onset Still's disease with disseminated intravascular coagulation]. </w:t>
      </w:r>
      <w:proofErr w:type="spellStart"/>
      <w:r>
        <w:rPr>
          <w:rFonts w:ascii="Book Antiqua" w:eastAsia="Book Antiqua" w:hAnsi="Book Antiqua" w:cs="Book Antiqua"/>
          <w:i/>
          <w:iCs/>
          <w:color w:val="000000"/>
        </w:rPr>
        <w:t>Rinsho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Ketsueki</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34</w:t>
      </w:r>
      <w:r>
        <w:rPr>
          <w:rFonts w:ascii="Book Antiqua" w:eastAsia="Book Antiqua" w:hAnsi="Book Antiqua" w:cs="Book Antiqua"/>
          <w:color w:val="000000"/>
        </w:rPr>
        <w:t>: 147-152 [PMID: 8492412]</w:t>
      </w:r>
    </w:p>
    <w:p w:rsidR="001B0CC3" w:rsidRDefault="004845D5">
      <w:pPr>
        <w:spacing w:line="360" w:lineRule="auto"/>
        <w:jc w:val="both"/>
      </w:pPr>
      <w:r>
        <w:rPr>
          <w:rFonts w:ascii="Book Antiqua" w:eastAsia="Book Antiqua" w:hAnsi="Book Antiqua" w:cs="Book Antiqua"/>
          <w:color w:val="000000"/>
        </w:rPr>
        <w:lastRenderedPageBreak/>
        <w:t xml:space="preserve">38 </w:t>
      </w:r>
      <w:proofErr w:type="spellStart"/>
      <w:r>
        <w:rPr>
          <w:rFonts w:ascii="Book Antiqua" w:eastAsia="Book Antiqua" w:hAnsi="Book Antiqua" w:cs="Book Antiqua"/>
          <w:b/>
          <w:bCs/>
          <w:color w:val="000000"/>
        </w:rPr>
        <w:t>Jamilloux</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Gerfaud</w:t>
      </w:r>
      <w:proofErr w:type="spellEnd"/>
      <w:r>
        <w:rPr>
          <w:rFonts w:ascii="Book Antiqua" w:eastAsia="Book Antiqua" w:hAnsi="Book Antiqua" w:cs="Book Antiqua"/>
          <w:color w:val="000000"/>
        </w:rPr>
        <w:t xml:space="preserve">-Valentin M, Henry T, </w:t>
      </w:r>
      <w:proofErr w:type="spellStart"/>
      <w:r>
        <w:rPr>
          <w:rFonts w:ascii="Book Antiqua" w:eastAsia="Book Antiqua" w:hAnsi="Book Antiqua" w:cs="Book Antiqua"/>
          <w:color w:val="000000"/>
        </w:rPr>
        <w:t>Sève</w:t>
      </w:r>
      <w:proofErr w:type="spellEnd"/>
      <w:r>
        <w:rPr>
          <w:rFonts w:ascii="Book Antiqua" w:eastAsia="Book Antiqua" w:hAnsi="Book Antiqua" w:cs="Book Antiqua"/>
          <w:color w:val="000000"/>
        </w:rPr>
        <w:t xml:space="preserve"> P. Treatment of adult-onset Still's disease: a review.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Risk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33-43 [PMID: 25653531 DOI: 10.2147/TCRM.S64951]</w:t>
      </w:r>
    </w:p>
    <w:p w:rsidR="001B0CC3" w:rsidRDefault="004845D5">
      <w:pPr>
        <w:spacing w:line="360" w:lineRule="auto"/>
        <w:jc w:val="both"/>
      </w:pPr>
      <w:proofErr w:type="gramStart"/>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DH</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Treatment of adult-onset still's disease: up to date.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849-866 [PMID: 28540751 DOI: 10.1080/1744666X.2017.1332994]</w:t>
      </w:r>
    </w:p>
    <w:p w:rsidR="001B0CC3" w:rsidRDefault="004845D5">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Plaçais</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Mekinian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Bornes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Poujol</w:t>
      </w:r>
      <w:proofErr w:type="spellEnd"/>
      <w:r>
        <w:rPr>
          <w:rFonts w:ascii="Book Antiqua" w:eastAsia="Book Antiqua" w:hAnsi="Book Antiqua" w:cs="Book Antiqua"/>
          <w:color w:val="000000"/>
        </w:rPr>
        <w:t xml:space="preserve">-Robert A, </w:t>
      </w:r>
      <w:proofErr w:type="spellStart"/>
      <w:r>
        <w:rPr>
          <w:rFonts w:ascii="Book Antiqua" w:eastAsia="Book Antiqua" w:hAnsi="Book Antiqua" w:cs="Book Antiqua"/>
          <w:color w:val="000000"/>
        </w:rPr>
        <w:t>Bigé</w:t>
      </w:r>
      <w:proofErr w:type="spellEnd"/>
      <w:r>
        <w:rPr>
          <w:rFonts w:ascii="Book Antiqua" w:eastAsia="Book Antiqua" w:hAnsi="Book Antiqua" w:cs="Book Antiqua"/>
          <w:color w:val="000000"/>
        </w:rPr>
        <w:t xml:space="preserve"> N, Maury E, Fain O. Adult onset Still's disease occurring during pregnancy: Case-report and literature review.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Arthritis Rheum</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575-577 [PMID: 28781105 DOI: 10.1016/j.semarthrit.2017.07.003]</w:t>
      </w:r>
    </w:p>
    <w:p w:rsidR="001B0CC3" w:rsidRDefault="004845D5">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Franchini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Dagna</w:t>
      </w:r>
      <w:proofErr w:type="spellEnd"/>
      <w:r>
        <w:rPr>
          <w:rFonts w:ascii="Book Antiqua" w:eastAsia="Book Antiqua" w:hAnsi="Book Antiqua" w:cs="Book Antiqua"/>
          <w:color w:val="000000"/>
        </w:rPr>
        <w:t xml:space="preserve"> L, Salvo F, Aiello P, </w:t>
      </w:r>
      <w:proofErr w:type="spellStart"/>
      <w:r>
        <w:rPr>
          <w:rFonts w:ascii="Book Antiqua" w:eastAsia="Book Antiqua" w:hAnsi="Book Antiqua" w:cs="Book Antiqua"/>
          <w:color w:val="000000"/>
        </w:rPr>
        <w:t>Baldissera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Sabbadini</w:t>
      </w:r>
      <w:proofErr w:type="spellEnd"/>
      <w:r>
        <w:rPr>
          <w:rFonts w:ascii="Book Antiqua" w:eastAsia="Book Antiqua" w:hAnsi="Book Antiqua" w:cs="Book Antiqua"/>
          <w:color w:val="000000"/>
        </w:rPr>
        <w:t xml:space="preserve"> MG. Efficacy of traditional and biologic agents in different clinical phenotypes of adult-onset Still's disease.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2010; </w:t>
      </w:r>
      <w:r>
        <w:rPr>
          <w:rFonts w:ascii="Book Antiqua" w:eastAsia="Book Antiqua" w:hAnsi="Book Antiqua" w:cs="Book Antiqua"/>
          <w:b/>
          <w:bCs/>
          <w:color w:val="000000"/>
        </w:rPr>
        <w:t>62</w:t>
      </w:r>
      <w:r>
        <w:rPr>
          <w:rFonts w:ascii="Book Antiqua" w:eastAsia="Book Antiqua" w:hAnsi="Book Antiqua" w:cs="Book Antiqua"/>
          <w:color w:val="000000"/>
        </w:rPr>
        <w:t>: 2530-2535 [PMID: 20506370 DOI: 10.1002/art.27532]</w:t>
      </w:r>
    </w:p>
    <w:p w:rsidR="001B0CC3" w:rsidRDefault="004845D5">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Mitamura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Tada Y, </w:t>
      </w:r>
      <w:proofErr w:type="spellStart"/>
      <w:r>
        <w:rPr>
          <w:rFonts w:ascii="Book Antiqua" w:eastAsia="Book Antiqua" w:hAnsi="Book Antiqua" w:cs="Book Antiqua"/>
          <w:color w:val="000000"/>
        </w:rPr>
        <w:t>Koarada</w:t>
      </w:r>
      <w:proofErr w:type="spellEnd"/>
      <w:r>
        <w:rPr>
          <w:rFonts w:ascii="Book Antiqua" w:eastAsia="Book Antiqua" w:hAnsi="Book Antiqua" w:cs="Book Antiqua"/>
          <w:color w:val="000000"/>
        </w:rPr>
        <w:t xml:space="preserve"> S, Inoue H, </w:t>
      </w:r>
      <w:proofErr w:type="spellStart"/>
      <w:r>
        <w:rPr>
          <w:rFonts w:ascii="Book Antiqua" w:eastAsia="Book Antiqua" w:hAnsi="Book Antiqua" w:cs="Book Antiqua"/>
          <w:color w:val="000000"/>
        </w:rPr>
        <w:t>Suematsu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Nagasawa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Cyclosporin</w:t>
      </w:r>
      <w:proofErr w:type="spellEnd"/>
      <w:r>
        <w:rPr>
          <w:rFonts w:ascii="Book Antiqua" w:eastAsia="Book Antiqua" w:hAnsi="Book Antiqua" w:cs="Book Antiqua"/>
          <w:color w:val="000000"/>
        </w:rPr>
        <w:t xml:space="preserve"> A treatment for Japanese patients with severe adult-onset Still's disease.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19</w:t>
      </w:r>
      <w:r>
        <w:rPr>
          <w:rFonts w:ascii="Book Antiqua" w:eastAsia="Book Antiqua" w:hAnsi="Book Antiqua" w:cs="Book Antiqua"/>
          <w:color w:val="000000"/>
        </w:rPr>
        <w:t>: 57-63 [PMID: 18839270 DOI: 10.1007/s10165-008-0126-0]</w:t>
      </w:r>
    </w:p>
    <w:p w:rsidR="001B0CC3" w:rsidRDefault="004845D5">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Mehta MV</w:t>
      </w:r>
      <w:r>
        <w:rPr>
          <w:rFonts w:ascii="Book Antiqua" w:eastAsia="Book Antiqua" w:hAnsi="Book Antiqua" w:cs="Book Antiqua"/>
          <w:color w:val="000000"/>
        </w:rPr>
        <w:t xml:space="preserve">, Manson DK, Horn EM, </w:t>
      </w:r>
      <w:proofErr w:type="spellStart"/>
      <w:r>
        <w:rPr>
          <w:rFonts w:ascii="Book Antiqua" w:eastAsia="Book Antiqua" w:hAnsi="Book Antiqua" w:cs="Book Antiqua"/>
          <w:color w:val="000000"/>
        </w:rPr>
        <w:t>Haythe</w:t>
      </w:r>
      <w:proofErr w:type="spellEnd"/>
      <w:r>
        <w:rPr>
          <w:rFonts w:ascii="Book Antiqua" w:eastAsia="Book Antiqua" w:hAnsi="Book Antiqua" w:cs="Book Antiqua"/>
          <w:color w:val="000000"/>
        </w:rPr>
        <w:t xml:space="preserve"> J. An atypical presentation of adult-onset Still's disease complicated by pulmonary hypertension and macrophage activation syndrome treated with immunosuppression: a case-based review of the literature. </w:t>
      </w:r>
      <w:proofErr w:type="spellStart"/>
      <w:r>
        <w:rPr>
          <w:rFonts w:ascii="Book Antiqua" w:eastAsia="Book Antiqua" w:hAnsi="Book Antiqua" w:cs="Book Antiqua"/>
          <w:i/>
          <w:iCs/>
          <w:color w:val="000000"/>
        </w:rPr>
        <w:t>Pulm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136-142 [PMID: 27162622 DOI: 10.1086/685112]</w:t>
      </w:r>
    </w:p>
    <w:p w:rsidR="001B0CC3" w:rsidRDefault="004845D5">
      <w:pPr>
        <w:spacing w:line="360" w:lineRule="auto"/>
        <w:jc w:val="both"/>
      </w:pPr>
      <w:proofErr w:type="gramStart"/>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Castañeda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Blanco R, González-Gay MA.</w:t>
      </w:r>
      <w:proofErr w:type="gramEnd"/>
      <w:r>
        <w:rPr>
          <w:rFonts w:ascii="Book Antiqua" w:eastAsia="Book Antiqua" w:hAnsi="Book Antiqua" w:cs="Book Antiqua"/>
          <w:color w:val="000000"/>
        </w:rPr>
        <w:t xml:space="preserve"> Adult-onset </w:t>
      </w:r>
      <w:proofErr w:type="gramStart"/>
      <w:r>
        <w:rPr>
          <w:rFonts w:ascii="Book Antiqua" w:eastAsia="Book Antiqua" w:hAnsi="Book Antiqua" w:cs="Book Antiqua"/>
          <w:color w:val="000000"/>
        </w:rPr>
        <w:t>Still's</w:t>
      </w:r>
      <w:proofErr w:type="gramEnd"/>
      <w:r>
        <w:rPr>
          <w:rFonts w:ascii="Book Antiqua" w:eastAsia="Book Antiqua" w:hAnsi="Book Antiqua" w:cs="Book Antiqua"/>
          <w:color w:val="000000"/>
        </w:rPr>
        <w:t xml:space="preserve"> disease: Advances in the treatment.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222-238 [PMID: 27886796 DOI: 10.1016/j.berh.2016.08.003]</w:t>
      </w:r>
    </w:p>
    <w:p w:rsidR="001B0CC3" w:rsidRDefault="004845D5">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Zhou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J, Bai J, Wu Y, Fang H. Biological therapy of traditional therapy-resistant adult-onset Still's disease: an evidence-based review.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Risk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167-171 [PMID: 29416343 DOI: 10.2147/TCRM.S155488]</w:t>
      </w:r>
    </w:p>
    <w:p w:rsidR="001B0CC3" w:rsidRDefault="004845D5">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Ruscitti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Ursini</w:t>
      </w:r>
      <w:proofErr w:type="spellEnd"/>
      <w:r>
        <w:rPr>
          <w:rFonts w:ascii="Book Antiqua" w:eastAsia="Book Antiqua" w:hAnsi="Book Antiqua" w:cs="Book Antiqua"/>
          <w:color w:val="000000"/>
        </w:rPr>
        <w:t xml:space="preserve"> F, Cipriani P, De </w:t>
      </w:r>
      <w:proofErr w:type="spellStart"/>
      <w:r>
        <w:rPr>
          <w:rFonts w:ascii="Book Antiqua" w:eastAsia="Book Antiqua" w:hAnsi="Book Antiqua" w:cs="Book Antiqua"/>
          <w:color w:val="000000"/>
        </w:rPr>
        <w:t>Sarro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Giacomelli</w:t>
      </w:r>
      <w:proofErr w:type="spellEnd"/>
      <w:r>
        <w:rPr>
          <w:rFonts w:ascii="Book Antiqua" w:eastAsia="Book Antiqua" w:hAnsi="Book Antiqua" w:cs="Book Antiqua"/>
          <w:color w:val="000000"/>
        </w:rPr>
        <w:t xml:space="preserve"> R. Biologic drugs in adult onset Still's disease: a systematic review and meta-analysis of observational studies.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1089-1097 [PMID: 28870100 DOI: 10.1080/1744666X.2017.1375853]</w:t>
      </w:r>
    </w:p>
    <w:p w:rsidR="001B0CC3" w:rsidRDefault="004845D5">
      <w:pPr>
        <w:spacing w:line="360" w:lineRule="auto"/>
        <w:jc w:val="both"/>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Hu QY</w:t>
      </w:r>
      <w:r>
        <w:rPr>
          <w:rFonts w:ascii="Book Antiqua" w:eastAsia="Book Antiqua" w:hAnsi="Book Antiqua" w:cs="Book Antiqua"/>
          <w:color w:val="000000"/>
        </w:rPr>
        <w:t xml:space="preserve">, Zeng T, Sun CY, Luo CN, Liu S, Ding TT, Ji ZF, Lu A, </w:t>
      </w:r>
      <w:proofErr w:type="spellStart"/>
      <w:r>
        <w:rPr>
          <w:rFonts w:ascii="Book Antiqua" w:eastAsia="Book Antiqua" w:hAnsi="Book Antiqua" w:cs="Book Antiqua"/>
          <w:color w:val="000000"/>
        </w:rPr>
        <w:t>Yimaiti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Teng</w:t>
      </w:r>
      <w:proofErr w:type="spellEnd"/>
      <w:r>
        <w:rPr>
          <w:rFonts w:ascii="Book Antiqua" w:eastAsia="Book Antiqua" w:hAnsi="Book Antiqua" w:cs="Book Antiqua"/>
          <w:color w:val="000000"/>
        </w:rPr>
        <w:t xml:space="preserve"> JL, Cheng XB, Ye JN, Su YT, Shi H, Sun Y, Chi HH, Zhou ZC, Chen LJ, Xu J, Jiang LD, Wu LJ, Lin J, Yang CD, Liu HL. Clinical features and current treatments of adult-onset </w:t>
      </w:r>
      <w:proofErr w:type="gramStart"/>
      <w:r>
        <w:rPr>
          <w:rFonts w:ascii="Book Antiqua" w:eastAsia="Book Antiqua" w:hAnsi="Book Antiqua" w:cs="Book Antiqua"/>
          <w:color w:val="000000"/>
        </w:rPr>
        <w:t>Still's</w:t>
      </w:r>
      <w:proofErr w:type="gramEnd"/>
      <w:r>
        <w:rPr>
          <w:rFonts w:ascii="Book Antiqua" w:eastAsia="Book Antiqua" w:hAnsi="Book Antiqua" w:cs="Book Antiqua"/>
          <w:color w:val="000000"/>
        </w:rPr>
        <w:t xml:space="preserve"> disease: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survey of 517 patients in China.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 xml:space="preserve">37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121</w:t>
      </w:r>
      <w:r>
        <w:rPr>
          <w:rFonts w:ascii="Book Antiqua" w:eastAsia="Book Antiqua" w:hAnsi="Book Antiqua" w:cs="Book Antiqua"/>
          <w:color w:val="000000"/>
        </w:rPr>
        <w:t>: 52-57 [PMID: 31573475]</w:t>
      </w:r>
    </w:p>
    <w:p w:rsidR="001B0CC3" w:rsidRDefault="004845D5">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Matsumoto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Nagashima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Takatori</w:t>
      </w:r>
      <w:proofErr w:type="spellEnd"/>
      <w:r>
        <w:rPr>
          <w:rFonts w:ascii="Book Antiqua" w:eastAsia="Book Antiqua" w:hAnsi="Book Antiqua" w:cs="Book Antiqua"/>
          <w:color w:val="000000"/>
        </w:rPr>
        <w:t xml:space="preserve"> S, Kawahara Y, Yagi M, Iwamoto M, Okazaki H, </w:t>
      </w:r>
      <w:proofErr w:type="spellStart"/>
      <w:r>
        <w:rPr>
          <w:rFonts w:ascii="Book Antiqua" w:eastAsia="Book Antiqua" w:hAnsi="Book Antiqua" w:cs="Book Antiqua"/>
          <w:color w:val="000000"/>
        </w:rPr>
        <w:t>Minota</w:t>
      </w:r>
      <w:proofErr w:type="spellEnd"/>
      <w:r>
        <w:rPr>
          <w:rFonts w:ascii="Book Antiqua" w:eastAsia="Book Antiqua" w:hAnsi="Book Antiqua" w:cs="Book Antiqua"/>
          <w:color w:val="000000"/>
        </w:rPr>
        <w:t xml:space="preserve"> S. Glucocorticoid and cyclosporine refractory adult onset Still's disease successfully treated with tocilizumab.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28</w:t>
      </w:r>
      <w:r>
        <w:rPr>
          <w:rFonts w:ascii="Book Antiqua" w:eastAsia="Book Antiqua" w:hAnsi="Book Antiqua" w:cs="Book Antiqua"/>
          <w:color w:val="000000"/>
        </w:rPr>
        <w:t>: 485-487 [PMID: 19184270 DOI: 10.1007/s10067-009-1097-z]</w:t>
      </w:r>
    </w:p>
    <w:p w:rsidR="001B0CC3" w:rsidRDefault="004845D5">
      <w:pPr>
        <w:spacing w:line="360" w:lineRule="auto"/>
        <w:jc w:val="both"/>
      </w:pPr>
      <w:proofErr w:type="gramStart"/>
      <w:r>
        <w:rPr>
          <w:rFonts w:ascii="Book Antiqua" w:eastAsia="Book Antiqua" w:hAnsi="Book Antiqua" w:cs="Book Antiqua"/>
          <w:color w:val="000000"/>
        </w:rPr>
        <w:t xml:space="preserve">49 </w:t>
      </w:r>
      <w:r>
        <w:rPr>
          <w:rFonts w:ascii="Book Antiqua" w:eastAsia="Book Antiqua" w:hAnsi="Book Antiqua" w:cs="Book Antiqua"/>
          <w:b/>
          <w:bCs/>
          <w:color w:val="000000"/>
        </w:rPr>
        <w:t>Wang CY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SH, Wang LP, Shen HL.</w:t>
      </w:r>
      <w:proofErr w:type="gramEnd"/>
      <w:r>
        <w:rPr>
          <w:rFonts w:ascii="Book Antiqua" w:eastAsia="Book Antiqua" w:hAnsi="Book Antiqua" w:cs="Book Antiqua"/>
          <w:color w:val="000000"/>
        </w:rPr>
        <w:t xml:space="preserve"> Refractory adult-onset Still disease treated by tocilizumab combined with methotrexate: A STROBE-compliant article.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e16682 [PMID: 31393368 DOI: 10.1097/MD.0000000000016682]</w:t>
      </w:r>
    </w:p>
    <w:p w:rsidR="001B0CC3" w:rsidRDefault="004845D5">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Ravelli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Magni</w:t>
      </w:r>
      <w:proofErr w:type="spellEnd"/>
      <w:r>
        <w:rPr>
          <w:rFonts w:ascii="Book Antiqua" w:eastAsia="Book Antiqua" w:hAnsi="Book Antiqua" w:cs="Book Antiqua"/>
          <w:color w:val="000000"/>
        </w:rPr>
        <w:t xml:space="preserve">-Manzoni S, </w:t>
      </w:r>
      <w:proofErr w:type="spellStart"/>
      <w:r>
        <w:rPr>
          <w:rFonts w:ascii="Book Antiqua" w:eastAsia="Book Antiqua" w:hAnsi="Book Antiqua" w:cs="Book Antiqua"/>
          <w:color w:val="000000"/>
        </w:rPr>
        <w:t>Pistorio</w:t>
      </w:r>
      <w:proofErr w:type="spellEnd"/>
      <w:r>
        <w:rPr>
          <w:rFonts w:ascii="Book Antiqua" w:eastAsia="Book Antiqua" w:hAnsi="Book Antiqua" w:cs="Book Antiqua"/>
          <w:color w:val="000000"/>
        </w:rPr>
        <w:t xml:space="preserve"> A, Besana C, </w:t>
      </w:r>
      <w:proofErr w:type="spellStart"/>
      <w:r>
        <w:rPr>
          <w:rFonts w:ascii="Book Antiqua" w:eastAsia="Book Antiqua" w:hAnsi="Book Antiqua" w:cs="Book Antiqua"/>
          <w:color w:val="000000"/>
        </w:rPr>
        <w:t>Foti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Ruperto</w:t>
      </w:r>
      <w:proofErr w:type="spellEnd"/>
      <w:r>
        <w:rPr>
          <w:rFonts w:ascii="Book Antiqua" w:eastAsia="Book Antiqua" w:hAnsi="Book Antiqua" w:cs="Book Antiqua"/>
          <w:color w:val="000000"/>
        </w:rPr>
        <w:t xml:space="preserve"> N, Viola S, Martini A. Preliminary diagnostic guidelines for macrophage activation syndrome complicating systemic juvenile idiopathic arthritis.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146</w:t>
      </w:r>
      <w:r>
        <w:rPr>
          <w:rFonts w:ascii="Book Antiqua" w:eastAsia="Book Antiqua" w:hAnsi="Book Antiqua" w:cs="Book Antiqua"/>
          <w:color w:val="000000"/>
        </w:rPr>
        <w:t>: 598-604 [PMID: 15870661 DOI: 10.1016/j.jpeds.2004.12.016]</w:t>
      </w:r>
    </w:p>
    <w:p w:rsidR="001B0CC3" w:rsidRDefault="004845D5">
      <w:pPr>
        <w:spacing w:line="360" w:lineRule="auto"/>
        <w:jc w:val="both"/>
      </w:pPr>
      <w:proofErr w:type="gramStart"/>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Tristano</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Macrophage activation syndrome: a frequent but under-diagnosed complication associated with rheumatic diseases.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RA27-RA36 [PMID: 18301366]</w:t>
      </w:r>
    </w:p>
    <w:p w:rsidR="001B0CC3" w:rsidRDefault="004845D5">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Schäfer</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Jung W, </w:t>
      </w:r>
      <w:proofErr w:type="spellStart"/>
      <w:r>
        <w:rPr>
          <w:rFonts w:ascii="Book Antiqua" w:eastAsia="Book Antiqua" w:hAnsi="Book Antiqua" w:cs="Book Antiqua"/>
          <w:color w:val="000000"/>
        </w:rPr>
        <w:t>Korsten</w:t>
      </w:r>
      <w:proofErr w:type="spellEnd"/>
      <w:r>
        <w:rPr>
          <w:rFonts w:ascii="Book Antiqua" w:eastAsia="Book Antiqua" w:hAnsi="Book Antiqua" w:cs="Book Antiqua"/>
          <w:color w:val="000000"/>
        </w:rPr>
        <w:t xml:space="preserve"> P. Combination Immunosuppressive Therapy Including Rituximab for Epstein-Barr Virus-Associated </w:t>
      </w:r>
      <w:proofErr w:type="spellStart"/>
      <w:r>
        <w:rPr>
          <w:rFonts w:ascii="Book Antiqua" w:eastAsia="Book Antiqua" w:hAnsi="Book Antiqua" w:cs="Book Antiqua"/>
          <w:color w:val="000000"/>
        </w:rPr>
        <w:t>Hemophagocytic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in Adult-Onset Still's Disease.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8605274 [PMID: 28018698 DOI: 10.1155/2016/8605274]</w:t>
      </w:r>
    </w:p>
    <w:p w:rsidR="001B0CC3" w:rsidRDefault="004845D5">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Moreau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Timsit</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Vesin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Garrouste-Orgeas</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Lassence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Zahar</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Adrie</w:t>
      </w:r>
      <w:proofErr w:type="spellEnd"/>
      <w:r>
        <w:rPr>
          <w:rFonts w:ascii="Book Antiqua" w:eastAsia="Book Antiqua" w:hAnsi="Book Antiqua" w:cs="Book Antiqua"/>
          <w:color w:val="000000"/>
        </w:rPr>
        <w:t xml:space="preserve"> C, Vincent F, Cohen Y, </w:t>
      </w:r>
      <w:proofErr w:type="spellStart"/>
      <w:r>
        <w:rPr>
          <w:rFonts w:ascii="Book Antiqua" w:eastAsia="Book Antiqua" w:hAnsi="Book Antiqua" w:cs="Book Antiqua"/>
          <w:color w:val="000000"/>
        </w:rPr>
        <w:t>Schlemmer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E. Platelet count decline: an early prognostic marker in critically ill patients with prolonged ICU stays.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2007; </w:t>
      </w:r>
      <w:r>
        <w:rPr>
          <w:rFonts w:ascii="Book Antiqua" w:eastAsia="Book Antiqua" w:hAnsi="Book Antiqua" w:cs="Book Antiqua"/>
          <w:b/>
          <w:bCs/>
          <w:color w:val="000000"/>
        </w:rPr>
        <w:t>131</w:t>
      </w:r>
      <w:r>
        <w:rPr>
          <w:rFonts w:ascii="Book Antiqua" w:eastAsia="Book Antiqua" w:hAnsi="Book Antiqua" w:cs="Book Antiqua"/>
          <w:color w:val="000000"/>
        </w:rPr>
        <w:t>: 1735-1741 [PMID: 17475637 DOI: 10.1378/chest.06-2233]</w:t>
      </w:r>
    </w:p>
    <w:p w:rsidR="001B0CC3" w:rsidRDefault="004845D5">
      <w:pPr>
        <w:spacing w:line="360" w:lineRule="auto"/>
        <w:jc w:val="both"/>
      </w:pPr>
      <w:r>
        <w:rPr>
          <w:rFonts w:ascii="Book Antiqua" w:eastAsia="Book Antiqua" w:hAnsi="Book Antiqua" w:cs="Book Antiqua"/>
          <w:color w:val="000000"/>
        </w:rPr>
        <w:lastRenderedPageBreak/>
        <w:t xml:space="preserve">54 </w:t>
      </w:r>
      <w:r>
        <w:rPr>
          <w:rFonts w:ascii="Book Antiqua" w:eastAsia="Book Antiqua" w:hAnsi="Book Antiqua" w:cs="Book Antiqua"/>
          <w:b/>
          <w:bCs/>
          <w:color w:val="000000"/>
        </w:rPr>
        <w:t>Zhang YF</w:t>
      </w:r>
      <w:r>
        <w:rPr>
          <w:rFonts w:ascii="Book Antiqua" w:eastAsia="Book Antiqua" w:hAnsi="Book Antiqua" w:cs="Book Antiqua"/>
          <w:color w:val="000000"/>
        </w:rPr>
        <w:t xml:space="preserve">, Ci CZ, Wang XD,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S, Su YH. </w:t>
      </w:r>
      <w:proofErr w:type="gramStart"/>
      <w:r>
        <w:rPr>
          <w:rFonts w:ascii="Book Antiqua" w:eastAsia="Book Antiqua" w:hAnsi="Book Antiqua" w:cs="Book Antiqua"/>
          <w:color w:val="000000"/>
        </w:rPr>
        <w:t>An investigation of depression and related factors in rheumatoid arthritis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Weifang </w:t>
      </w:r>
      <w:proofErr w:type="spellStart"/>
      <w:r>
        <w:rPr>
          <w:rFonts w:ascii="Book Antiqua" w:eastAsia="Book Antiqua" w:hAnsi="Book Antiqua" w:cs="Book Antiqua"/>
          <w:i/>
          <w:iCs/>
          <w:color w:val="000000"/>
        </w:rPr>
        <w:t>Yixueyuan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Xuebao</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233-235 [DOI: 10.16846/j.issn.1004-3101.2017.03.025]</w:t>
      </w:r>
    </w:p>
    <w:p w:rsidR="001B0CC3" w:rsidRDefault="004845D5">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Dowlati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Herrmann N, </w:t>
      </w:r>
      <w:proofErr w:type="spellStart"/>
      <w:r>
        <w:rPr>
          <w:rFonts w:ascii="Book Antiqua" w:eastAsia="Book Antiqua" w:hAnsi="Book Antiqua" w:cs="Book Antiqua"/>
          <w:color w:val="000000"/>
        </w:rPr>
        <w:t>Swardfager</w:t>
      </w:r>
      <w:proofErr w:type="spellEnd"/>
      <w:r>
        <w:rPr>
          <w:rFonts w:ascii="Book Antiqua" w:eastAsia="Book Antiqua" w:hAnsi="Book Antiqua" w:cs="Book Antiqua"/>
          <w:color w:val="000000"/>
        </w:rPr>
        <w:t xml:space="preserve"> W, Liu H, Sham L, </w:t>
      </w:r>
      <w:proofErr w:type="spellStart"/>
      <w:r>
        <w:rPr>
          <w:rFonts w:ascii="Book Antiqua" w:eastAsia="Book Antiqua" w:hAnsi="Book Antiqua" w:cs="Book Antiqua"/>
          <w:color w:val="000000"/>
        </w:rPr>
        <w:t>Reim</w:t>
      </w:r>
      <w:proofErr w:type="spellEnd"/>
      <w:r>
        <w:rPr>
          <w:rFonts w:ascii="Book Antiqua" w:eastAsia="Book Antiqua" w:hAnsi="Book Antiqua" w:cs="Book Antiqua"/>
          <w:color w:val="000000"/>
        </w:rPr>
        <w:t xml:space="preserve"> EK, </w:t>
      </w:r>
      <w:proofErr w:type="spellStart"/>
      <w:r>
        <w:rPr>
          <w:rFonts w:ascii="Book Antiqua" w:eastAsia="Book Antiqua" w:hAnsi="Book Antiqua" w:cs="Book Antiqua"/>
          <w:color w:val="000000"/>
        </w:rPr>
        <w:t>Lanctôt</w:t>
      </w:r>
      <w:proofErr w:type="spellEnd"/>
      <w:r>
        <w:rPr>
          <w:rFonts w:ascii="Book Antiqua" w:eastAsia="Book Antiqua" w:hAnsi="Book Antiqua" w:cs="Book Antiqua"/>
          <w:color w:val="000000"/>
        </w:rPr>
        <w:t xml:space="preserve"> KL. </w:t>
      </w:r>
      <w:proofErr w:type="gramStart"/>
      <w:r>
        <w:rPr>
          <w:rFonts w:ascii="Book Antiqua" w:eastAsia="Book Antiqua" w:hAnsi="Book Antiqua" w:cs="Book Antiqua"/>
          <w:color w:val="000000"/>
        </w:rPr>
        <w:t>A meta-analysis of cytokines in major depression.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67</w:t>
      </w:r>
      <w:r>
        <w:rPr>
          <w:rFonts w:ascii="Book Antiqua" w:eastAsia="Book Antiqua" w:hAnsi="Book Antiqua" w:cs="Book Antiqua"/>
          <w:color w:val="000000"/>
        </w:rPr>
        <w:t>: 446-457 [PMID: 20015486 DOI: 10.1016/j.biopsych.2009.09.033]</w:t>
      </w:r>
    </w:p>
    <w:p w:rsidR="001B0CC3" w:rsidRDefault="004845D5">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Howren</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Lamkin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Suls</w:t>
      </w:r>
      <w:proofErr w:type="spellEnd"/>
      <w:r>
        <w:rPr>
          <w:rFonts w:ascii="Book Antiqua" w:eastAsia="Book Antiqua" w:hAnsi="Book Antiqua" w:cs="Book Antiqua"/>
          <w:color w:val="000000"/>
        </w:rPr>
        <w:t xml:space="preserve"> J. Associations of depression with C-reactive protein, IL-1, and IL-6: a meta-analysis.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71</w:t>
      </w:r>
      <w:r>
        <w:rPr>
          <w:rFonts w:ascii="Book Antiqua" w:eastAsia="Book Antiqua" w:hAnsi="Book Antiqua" w:cs="Book Antiqua"/>
          <w:color w:val="000000"/>
        </w:rPr>
        <w:t>: 171-186 [PMID: 19188531 DOI: 10.1097/PSY.0b013e3181907c1b]</w:t>
      </w:r>
    </w:p>
    <w:p w:rsidR="001B0CC3" w:rsidRDefault="004845D5">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Figueiredo</w:t>
      </w:r>
      <w:proofErr w:type="spellEnd"/>
      <w:r>
        <w:rPr>
          <w:rFonts w:ascii="Book Antiqua" w:eastAsia="Book Antiqua" w:hAnsi="Book Antiqua" w:cs="Book Antiqua"/>
          <w:b/>
          <w:bCs/>
          <w:color w:val="000000"/>
        </w:rPr>
        <w:t>-Braga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Cornaby</w:t>
      </w:r>
      <w:proofErr w:type="spellEnd"/>
      <w:r>
        <w:rPr>
          <w:rFonts w:ascii="Book Antiqua" w:eastAsia="Book Antiqua" w:hAnsi="Book Antiqua" w:cs="Book Antiqua"/>
          <w:color w:val="000000"/>
        </w:rPr>
        <w:t xml:space="preserve"> C, Cortez A, </w:t>
      </w:r>
      <w:proofErr w:type="spellStart"/>
      <w:r>
        <w:rPr>
          <w:rFonts w:ascii="Book Antiqua" w:eastAsia="Book Antiqua" w:hAnsi="Book Antiqua" w:cs="Book Antiqua"/>
          <w:color w:val="000000"/>
        </w:rPr>
        <w:t>Bernardes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Terroso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Mesquita</w:t>
      </w:r>
      <w:proofErr w:type="spellEnd"/>
      <w:r>
        <w:rPr>
          <w:rFonts w:ascii="Book Antiqua" w:eastAsia="Book Antiqua" w:hAnsi="Book Antiqua" w:cs="Book Antiqua"/>
          <w:color w:val="000000"/>
        </w:rPr>
        <w:t xml:space="preserve"> CDS, Costa L, Poole BD. Depression and anxiety in systemic lupus erythematosus: The crosstalk between immunological, clinical, and psychosocial factors.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e11376 [PMID: 29995777 DOI: 10.1097/MD.0000000000011376]</w:t>
      </w:r>
    </w:p>
    <w:p w:rsidR="001B0CC3" w:rsidRDefault="001B0CC3">
      <w:pPr>
        <w:spacing w:line="360" w:lineRule="auto"/>
        <w:jc w:val="both"/>
        <w:sectPr w:rsidR="001B0CC3">
          <w:pgSz w:w="12240" w:h="15840"/>
          <w:pgMar w:top="1440" w:right="1440" w:bottom="1440" w:left="1440" w:header="720" w:footer="720" w:gutter="0"/>
          <w:cols w:space="720"/>
          <w:docGrid w:linePitch="360"/>
        </w:sectPr>
      </w:pPr>
    </w:p>
    <w:p w:rsidR="001B0CC3" w:rsidRDefault="004845D5">
      <w:pPr>
        <w:spacing w:line="360" w:lineRule="auto"/>
        <w:jc w:val="both"/>
      </w:pPr>
      <w:r>
        <w:rPr>
          <w:rFonts w:ascii="Book Antiqua" w:eastAsia="Book Antiqua" w:hAnsi="Book Antiqua" w:cs="Book Antiqua"/>
          <w:b/>
          <w:color w:val="000000"/>
        </w:rPr>
        <w:lastRenderedPageBreak/>
        <w:t>Footnotes</w:t>
      </w:r>
    </w:p>
    <w:p w:rsidR="001B0CC3" w:rsidRDefault="004845D5">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 xml:space="preserve">Informed written consent was obtained from the patient for publication of this report and any accompanying images. </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The authors declare that they have no conflict of interest to report. </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5, 2020</w:t>
      </w:r>
    </w:p>
    <w:p w:rsidR="001B0CC3" w:rsidRDefault="004845D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20, 2020</w:t>
      </w:r>
    </w:p>
    <w:p w:rsidR="001B0CC3" w:rsidRDefault="004845D5">
      <w:pPr>
        <w:spacing w:line="360" w:lineRule="auto"/>
        <w:jc w:val="both"/>
        <w:rPr>
          <w:bCs/>
        </w:rPr>
      </w:pPr>
      <w:r>
        <w:rPr>
          <w:rFonts w:ascii="Book Antiqua" w:eastAsia="Book Antiqua" w:hAnsi="Book Antiqua" w:cs="Book Antiqua"/>
          <w:b/>
          <w:color w:val="000000"/>
        </w:rPr>
        <w:t>Article in press:</w:t>
      </w:r>
      <w:r>
        <w:rPr>
          <w:rFonts w:ascii="Book Antiqua" w:eastAsia="Book Antiqua" w:hAnsi="Book Antiqua" w:cs="Book Antiqua"/>
          <w:bCs/>
          <w:color w:val="000000"/>
        </w:rPr>
        <w:t xml:space="preserve"> </w:t>
      </w:r>
      <w:r>
        <w:rPr>
          <w:rFonts w:ascii="Book Antiqua" w:eastAsia="Book Antiqua" w:hAnsi="Book Antiqua" w:cs="Book Antiqua" w:hint="eastAsia"/>
          <w:bCs/>
          <w:color w:val="000000"/>
        </w:rPr>
        <w:t>December 10, 2020</w:t>
      </w:r>
    </w:p>
    <w:p w:rsidR="001B0CC3" w:rsidRDefault="001B0CC3">
      <w:pPr>
        <w:spacing w:line="360" w:lineRule="auto"/>
        <w:jc w:val="both"/>
      </w:pPr>
    </w:p>
    <w:p w:rsidR="001B0CC3" w:rsidRDefault="004845D5">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Medicine, research and experimental</w:t>
      </w:r>
    </w:p>
    <w:p w:rsidR="001B0CC3" w:rsidRDefault="004845D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1B0CC3" w:rsidRDefault="004845D5">
      <w:pPr>
        <w:spacing w:line="360" w:lineRule="auto"/>
        <w:jc w:val="both"/>
      </w:pPr>
      <w:r>
        <w:rPr>
          <w:rFonts w:ascii="Book Antiqua" w:eastAsia="Book Antiqua" w:hAnsi="Book Antiqua" w:cs="Book Antiqua"/>
          <w:b/>
          <w:color w:val="000000"/>
        </w:rPr>
        <w:t>Peer-review report’s scientific quality classification</w:t>
      </w:r>
    </w:p>
    <w:p w:rsidR="001B0CC3" w:rsidRDefault="004845D5">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rsidR="001B0CC3" w:rsidRDefault="004845D5">
      <w:pPr>
        <w:spacing w:line="360" w:lineRule="auto"/>
        <w:jc w:val="both"/>
      </w:pPr>
      <w:r>
        <w:rPr>
          <w:rFonts w:ascii="Book Antiqua" w:eastAsia="Book Antiqua" w:hAnsi="Book Antiqua" w:cs="Book Antiqua"/>
          <w:color w:val="000000"/>
        </w:rPr>
        <w:t>Grade B (Very good): 0</w:t>
      </w:r>
    </w:p>
    <w:p w:rsidR="001B0CC3" w:rsidRDefault="004845D5">
      <w:pPr>
        <w:spacing w:line="360" w:lineRule="auto"/>
        <w:jc w:val="both"/>
      </w:pPr>
      <w:r>
        <w:rPr>
          <w:rFonts w:ascii="Book Antiqua" w:eastAsia="Book Antiqua" w:hAnsi="Book Antiqua" w:cs="Book Antiqua"/>
          <w:color w:val="000000"/>
        </w:rPr>
        <w:lastRenderedPageBreak/>
        <w:t>Grade C (Good): C</w:t>
      </w:r>
    </w:p>
    <w:p w:rsidR="001B0CC3" w:rsidRDefault="004845D5">
      <w:pPr>
        <w:spacing w:line="360" w:lineRule="auto"/>
        <w:jc w:val="both"/>
      </w:pPr>
      <w:r>
        <w:rPr>
          <w:rFonts w:ascii="Book Antiqua" w:eastAsia="Book Antiqua" w:hAnsi="Book Antiqua" w:cs="Book Antiqua"/>
          <w:color w:val="000000"/>
        </w:rPr>
        <w:t>Grade D (Fair): D</w:t>
      </w:r>
    </w:p>
    <w:p w:rsidR="001B0CC3" w:rsidRDefault="004845D5">
      <w:pPr>
        <w:spacing w:line="360" w:lineRule="auto"/>
        <w:jc w:val="both"/>
      </w:pPr>
      <w:r>
        <w:rPr>
          <w:rFonts w:ascii="Book Antiqua" w:eastAsia="Book Antiqua" w:hAnsi="Book Antiqua" w:cs="Book Antiqua"/>
          <w:color w:val="000000"/>
        </w:rPr>
        <w:t>Grade E (Poor): 0</w:t>
      </w:r>
    </w:p>
    <w:p w:rsidR="001B0CC3" w:rsidRDefault="001B0CC3">
      <w:pPr>
        <w:spacing w:line="360" w:lineRule="auto"/>
        <w:jc w:val="both"/>
      </w:pPr>
    </w:p>
    <w:p w:rsidR="001B0CC3" w:rsidRDefault="004845D5">
      <w:pPr>
        <w:spacing w:line="360" w:lineRule="auto"/>
        <w:jc w:val="both"/>
        <w:rPr>
          <w:rFonts w:ascii="Book Antiqua" w:eastAsia="宋体" w:hAnsi="Book Antiqua" w:cs="Book Antiqua"/>
          <w:b/>
          <w:color w:val="000000"/>
          <w:lang w:eastAsia="zh-CN"/>
        </w:rPr>
        <w:sectPr w:rsidR="001B0CC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Losurdo</w:t>
      </w:r>
      <w:proofErr w:type="spellEnd"/>
      <w:r>
        <w:rPr>
          <w:rFonts w:ascii="Book Antiqua" w:eastAsia="Book Antiqua" w:hAnsi="Book Antiqua" w:cs="Book Antiqua"/>
          <w:color w:val="000000"/>
        </w:rPr>
        <w:t xml:space="preserve"> G, Velázquez-Soto H</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Pr>
          <w:rFonts w:ascii="Book Antiqua" w:eastAsia="Book Antiqua" w:hAnsi="Book Antiqua" w:cs="Book Antiqua"/>
          <w:bCs/>
          <w:color w:val="000000"/>
        </w:rPr>
        <w:t xml:space="preserve"> </w:t>
      </w:r>
      <w:r>
        <w:rPr>
          <w:rFonts w:ascii="Book Antiqua" w:eastAsia="宋体" w:hAnsi="Book Antiqua" w:cs="Book Antiqua" w:hint="eastAsia"/>
          <w:bCs/>
          <w:color w:val="000000"/>
          <w:lang w:eastAsia="zh-CN"/>
        </w:rPr>
        <w:t>Y</w:t>
      </w:r>
      <w:r>
        <w:rPr>
          <w:rFonts w:ascii="Book Antiqua" w:eastAsia="Book Antiqua" w:hAnsi="Book Antiqua" w:cs="Book Antiqua" w:hint="eastAsia"/>
          <w:bCs/>
          <w:color w:val="000000"/>
        </w:rPr>
        <w:t>u</w:t>
      </w:r>
      <w:r>
        <w:rPr>
          <w:rFonts w:ascii="Book Antiqua" w:eastAsia="宋体" w:hAnsi="Book Antiqua" w:cs="Book Antiqua" w:hint="eastAsia"/>
          <w:bCs/>
          <w:color w:val="000000"/>
          <w:lang w:eastAsia="zh-CN"/>
        </w:rPr>
        <w:t>an</w:t>
      </w:r>
      <w:r>
        <w:rPr>
          <w:rFonts w:ascii="Book Antiqua" w:eastAsia="Book Antiqua" w:hAnsi="Book Antiqua" w:cs="Book Antiqua" w:hint="eastAsia"/>
          <w:bCs/>
          <w:color w:val="000000"/>
        </w:rPr>
        <w:t xml:space="preserve"> Y</w:t>
      </w:r>
      <w:r>
        <w:rPr>
          <w:rFonts w:ascii="Book Antiqua" w:eastAsia="宋体" w:hAnsi="Book Antiqua" w:cs="Book Antiqua" w:hint="eastAsia"/>
          <w:bCs/>
          <w:color w:val="000000"/>
          <w:lang w:eastAsia="zh-CN"/>
        </w:rPr>
        <w:t>Y</w:t>
      </w:r>
    </w:p>
    <w:p w:rsidR="001B0CC3" w:rsidRDefault="004845D5">
      <w:pPr>
        <w:spacing w:line="360" w:lineRule="auto"/>
        <w:jc w:val="both"/>
        <w:rPr>
          <w:rFonts w:ascii="Book Antiqua" w:hAnsi="Book Antiqua"/>
          <w:b/>
          <w:bCs/>
        </w:rPr>
      </w:pPr>
      <w:r>
        <w:rPr>
          <w:rFonts w:ascii="Book Antiqua" w:hAnsi="Book Antiqua"/>
          <w:b/>
          <w:bCs/>
        </w:rPr>
        <w:lastRenderedPageBreak/>
        <w:t>Table 1 Main laboratory findings (Day 1 to Day 4)</w:t>
      </w:r>
    </w:p>
    <w:tbl>
      <w:tblPr>
        <w:tblW w:w="4899" w:type="pct"/>
        <w:tblLayout w:type="fixed"/>
        <w:tblLook w:val="04A0" w:firstRow="1" w:lastRow="0" w:firstColumn="1" w:lastColumn="0" w:noHBand="0" w:noVBand="1"/>
      </w:tblPr>
      <w:tblGrid>
        <w:gridCol w:w="4159"/>
        <w:gridCol w:w="1242"/>
        <w:gridCol w:w="1337"/>
        <w:gridCol w:w="1255"/>
        <w:gridCol w:w="2490"/>
        <w:gridCol w:w="2427"/>
      </w:tblGrid>
      <w:tr w:rsidR="001B0CC3">
        <w:trPr>
          <w:trHeight w:val="427"/>
        </w:trPr>
        <w:tc>
          <w:tcPr>
            <w:tcW w:w="4159" w:type="dxa"/>
            <w:vMerge w:val="restart"/>
            <w:tcBorders>
              <w:top w:val="single" w:sz="4" w:space="0" w:color="auto"/>
              <w:bottom w:val="single" w:sz="4" w:space="0" w:color="auto"/>
            </w:tcBorders>
          </w:tcPr>
          <w:p w:rsidR="001B0CC3" w:rsidRDefault="004845D5">
            <w:pPr>
              <w:spacing w:line="360" w:lineRule="auto"/>
              <w:jc w:val="both"/>
              <w:rPr>
                <w:rFonts w:ascii="Book Antiqua" w:hAnsi="Book Antiqua" w:cs="Book Antiqua"/>
                <w:b/>
              </w:rPr>
            </w:pPr>
            <w:r>
              <w:rPr>
                <w:rFonts w:ascii="Book Antiqua" w:hAnsi="Book Antiqua" w:cs="Book Antiqua"/>
                <w:b/>
                <w:color w:val="333333"/>
                <w:lang w:bidi="ar"/>
              </w:rPr>
              <w:t>Main laboratory finding</w:t>
            </w:r>
          </w:p>
        </w:tc>
        <w:tc>
          <w:tcPr>
            <w:tcW w:w="6324" w:type="dxa"/>
            <w:gridSpan w:val="4"/>
            <w:tcBorders>
              <w:top w:val="single" w:sz="4" w:space="0" w:color="auto"/>
              <w:bottom w:val="single" w:sz="4" w:space="0" w:color="auto"/>
            </w:tcBorders>
          </w:tcPr>
          <w:p w:rsidR="001B0CC3" w:rsidRDefault="004845D5">
            <w:pPr>
              <w:spacing w:line="360" w:lineRule="auto"/>
              <w:jc w:val="both"/>
              <w:rPr>
                <w:rFonts w:ascii="Book Antiqua" w:hAnsi="Book Antiqua" w:cs="Book Antiqua"/>
                <w:b/>
              </w:rPr>
            </w:pPr>
            <w:r>
              <w:rPr>
                <w:rFonts w:ascii="Book Antiqua" w:hAnsi="Book Antiqua" w:cs="Book Antiqua"/>
                <w:b/>
                <w:color w:val="333333"/>
                <w:lang w:bidi="ar"/>
              </w:rPr>
              <w:t>Value</w:t>
            </w:r>
          </w:p>
        </w:tc>
        <w:tc>
          <w:tcPr>
            <w:tcW w:w="2427" w:type="dxa"/>
            <w:vMerge w:val="restart"/>
            <w:tcBorders>
              <w:top w:val="single" w:sz="4" w:space="0" w:color="auto"/>
              <w:bottom w:val="single" w:sz="4" w:space="0" w:color="auto"/>
            </w:tcBorders>
          </w:tcPr>
          <w:p w:rsidR="001B0CC3" w:rsidRDefault="004845D5">
            <w:pPr>
              <w:spacing w:line="360" w:lineRule="auto"/>
              <w:jc w:val="both"/>
              <w:rPr>
                <w:rFonts w:ascii="Book Antiqua" w:hAnsi="Book Antiqua" w:cs="Book Antiqua"/>
              </w:rPr>
            </w:pPr>
            <w:r>
              <w:rPr>
                <w:rFonts w:ascii="Book Antiqua" w:hAnsi="Book Antiqua" w:cs="Book Antiqua"/>
                <w:b/>
                <w:color w:val="333333"/>
                <w:lang w:bidi="ar"/>
              </w:rPr>
              <w:t>Normal range</w:t>
            </w:r>
          </w:p>
        </w:tc>
      </w:tr>
      <w:tr w:rsidR="001B0CC3">
        <w:trPr>
          <w:trHeight w:val="427"/>
        </w:trPr>
        <w:tc>
          <w:tcPr>
            <w:tcW w:w="4159" w:type="dxa"/>
            <w:vMerge/>
            <w:tcBorders>
              <w:top w:val="single" w:sz="4" w:space="0" w:color="auto"/>
              <w:bottom w:val="single" w:sz="4" w:space="0" w:color="auto"/>
            </w:tcBorders>
          </w:tcPr>
          <w:p w:rsidR="001B0CC3" w:rsidRDefault="001B0CC3">
            <w:pPr>
              <w:spacing w:line="360" w:lineRule="auto"/>
              <w:jc w:val="center"/>
              <w:rPr>
                <w:rFonts w:ascii="Book Antiqua" w:hAnsi="Book Antiqua" w:cs="Book Antiqua"/>
                <w:bCs/>
              </w:rPr>
            </w:pPr>
          </w:p>
        </w:tc>
        <w:tc>
          <w:tcPr>
            <w:tcW w:w="1242" w:type="dxa"/>
            <w:tcBorders>
              <w:top w:val="single" w:sz="4" w:space="0" w:color="auto"/>
              <w:bottom w:val="single" w:sz="4" w:space="0" w:color="auto"/>
            </w:tcBorders>
          </w:tcPr>
          <w:p w:rsidR="001B0CC3" w:rsidRDefault="004845D5">
            <w:pPr>
              <w:spacing w:line="360" w:lineRule="auto"/>
              <w:jc w:val="both"/>
              <w:rPr>
                <w:rFonts w:ascii="Book Antiqua" w:hAnsi="Book Antiqua" w:cs="Book Antiqua"/>
                <w:b/>
                <w:bCs/>
              </w:rPr>
            </w:pPr>
            <w:r>
              <w:rPr>
                <w:rFonts w:ascii="Book Antiqua" w:hAnsi="Book Antiqua" w:cs="Book Antiqua"/>
                <w:b/>
                <w:bCs/>
              </w:rPr>
              <w:t>Day 1</w:t>
            </w:r>
          </w:p>
        </w:tc>
        <w:tc>
          <w:tcPr>
            <w:tcW w:w="1337" w:type="dxa"/>
            <w:tcBorders>
              <w:top w:val="single" w:sz="4" w:space="0" w:color="auto"/>
              <w:bottom w:val="single" w:sz="4" w:space="0" w:color="auto"/>
            </w:tcBorders>
          </w:tcPr>
          <w:p w:rsidR="001B0CC3" w:rsidRDefault="004845D5">
            <w:pPr>
              <w:spacing w:line="360" w:lineRule="auto"/>
              <w:jc w:val="both"/>
              <w:rPr>
                <w:rFonts w:ascii="Book Antiqua" w:hAnsi="Book Antiqua" w:cs="Book Antiqua"/>
                <w:b/>
                <w:bCs/>
              </w:rPr>
            </w:pPr>
            <w:r>
              <w:rPr>
                <w:rFonts w:ascii="Book Antiqua" w:hAnsi="Book Antiqua" w:cs="Book Antiqua"/>
                <w:b/>
                <w:bCs/>
              </w:rPr>
              <w:t>Day 2</w:t>
            </w:r>
          </w:p>
        </w:tc>
        <w:tc>
          <w:tcPr>
            <w:tcW w:w="1255" w:type="dxa"/>
            <w:tcBorders>
              <w:top w:val="single" w:sz="4" w:space="0" w:color="auto"/>
              <w:bottom w:val="single" w:sz="4" w:space="0" w:color="auto"/>
            </w:tcBorders>
          </w:tcPr>
          <w:p w:rsidR="001B0CC3" w:rsidRDefault="004845D5">
            <w:pPr>
              <w:spacing w:line="360" w:lineRule="auto"/>
              <w:jc w:val="both"/>
              <w:rPr>
                <w:rFonts w:ascii="Book Antiqua" w:hAnsi="Book Antiqua" w:cs="Book Antiqua"/>
                <w:b/>
                <w:bCs/>
              </w:rPr>
            </w:pPr>
            <w:r>
              <w:rPr>
                <w:rFonts w:ascii="Book Antiqua" w:hAnsi="Book Antiqua" w:cs="Book Antiqua"/>
                <w:b/>
                <w:bCs/>
              </w:rPr>
              <w:t>Day 3</w:t>
            </w:r>
          </w:p>
        </w:tc>
        <w:tc>
          <w:tcPr>
            <w:tcW w:w="2488" w:type="dxa"/>
            <w:tcBorders>
              <w:top w:val="single" w:sz="4" w:space="0" w:color="auto"/>
              <w:bottom w:val="single" w:sz="4" w:space="0" w:color="auto"/>
            </w:tcBorders>
          </w:tcPr>
          <w:p w:rsidR="001B0CC3" w:rsidRDefault="004845D5">
            <w:pPr>
              <w:spacing w:line="360" w:lineRule="auto"/>
              <w:jc w:val="both"/>
              <w:rPr>
                <w:rFonts w:ascii="Book Antiqua" w:hAnsi="Book Antiqua" w:cs="Book Antiqua"/>
                <w:b/>
                <w:bCs/>
              </w:rPr>
            </w:pPr>
            <w:r>
              <w:rPr>
                <w:rFonts w:ascii="Book Antiqua" w:hAnsi="Book Antiqua" w:cs="Book Antiqua"/>
                <w:b/>
                <w:bCs/>
              </w:rPr>
              <w:t>Day 4</w:t>
            </w:r>
          </w:p>
        </w:tc>
        <w:tc>
          <w:tcPr>
            <w:tcW w:w="2427" w:type="dxa"/>
            <w:vMerge/>
            <w:tcBorders>
              <w:top w:val="single" w:sz="4" w:space="0" w:color="auto"/>
              <w:bottom w:val="single" w:sz="4" w:space="0" w:color="auto"/>
            </w:tcBorders>
          </w:tcPr>
          <w:p w:rsidR="001B0CC3" w:rsidRDefault="001B0CC3">
            <w:pPr>
              <w:spacing w:line="360" w:lineRule="auto"/>
              <w:jc w:val="center"/>
              <w:rPr>
                <w:rFonts w:ascii="Book Antiqua" w:hAnsi="Book Antiqua" w:cs="Book Antiqua"/>
              </w:rPr>
            </w:pPr>
          </w:p>
        </w:tc>
      </w:tr>
      <w:tr w:rsidR="001B0CC3">
        <w:trPr>
          <w:trHeight w:val="432"/>
        </w:trPr>
        <w:tc>
          <w:tcPr>
            <w:tcW w:w="4159" w:type="dxa"/>
            <w:tcBorders>
              <w:top w:val="single" w:sz="4" w:space="0" w:color="auto"/>
            </w:tcBorders>
          </w:tcPr>
          <w:p w:rsidR="001B0CC3" w:rsidRDefault="004845D5">
            <w:pPr>
              <w:pStyle w:val="4"/>
              <w:widowControl/>
              <w:shd w:val="clear" w:color="auto" w:fill="F9FBFC"/>
              <w:spacing w:before="0" w:beforeAutospacing="0" w:after="90" w:afterAutospacing="0" w:line="360" w:lineRule="auto"/>
              <w:jc w:val="both"/>
              <w:rPr>
                <w:rFonts w:ascii="Book Antiqua" w:hAnsi="Book Antiqua" w:cs="Book Antiqua" w:hint="default"/>
                <w:b w:val="0"/>
                <w:bCs/>
                <w:color w:val="333333"/>
                <w:lang w:bidi="ar"/>
              </w:rPr>
            </w:pPr>
            <w:hyperlink r:id="rId10" w:history="1">
              <w:r>
                <w:rPr>
                  <w:rFonts w:ascii="Book Antiqua" w:eastAsiaTheme="minorEastAsia" w:hAnsi="Book Antiqua" w:cs="Book Antiqua" w:hint="default"/>
                  <w:b w:val="0"/>
                  <w:bCs/>
                  <w:color w:val="333333"/>
                  <w:lang w:eastAsia="en-US" w:bidi="ar"/>
                </w:rPr>
                <w:t>White blood cell count</w:t>
              </w:r>
            </w:hyperlink>
          </w:p>
        </w:tc>
        <w:tc>
          <w:tcPr>
            <w:tcW w:w="1242" w:type="dxa"/>
            <w:tcBorders>
              <w:top w:val="single" w:sz="4" w:space="0" w:color="auto"/>
            </w:tcBorders>
          </w:tcPr>
          <w:p w:rsidR="001B0CC3" w:rsidRDefault="004845D5">
            <w:pPr>
              <w:spacing w:line="360" w:lineRule="auto"/>
              <w:jc w:val="both"/>
              <w:rPr>
                <w:rFonts w:ascii="Book Antiqua" w:hAnsi="Book Antiqua" w:cs="Book Antiqua"/>
              </w:rPr>
            </w:pPr>
            <w:r>
              <w:rPr>
                <w:rFonts w:ascii="Book Antiqua" w:hAnsi="Book Antiqua" w:cs="Book Antiqua"/>
              </w:rPr>
              <w:t>5.0</w:t>
            </w:r>
          </w:p>
        </w:tc>
        <w:tc>
          <w:tcPr>
            <w:tcW w:w="1337" w:type="dxa"/>
            <w:tcBorders>
              <w:top w:val="single" w:sz="4" w:space="0" w:color="auto"/>
            </w:tcBorders>
          </w:tcPr>
          <w:p w:rsidR="001B0CC3" w:rsidRDefault="004845D5">
            <w:pPr>
              <w:spacing w:line="360" w:lineRule="auto"/>
              <w:jc w:val="both"/>
              <w:rPr>
                <w:rFonts w:ascii="Book Antiqua" w:hAnsi="Book Antiqua" w:cs="Book Antiqua"/>
              </w:rPr>
            </w:pPr>
            <w:r>
              <w:rPr>
                <w:rFonts w:ascii="Book Antiqua" w:hAnsi="Book Antiqua" w:cs="Book Antiqua"/>
              </w:rPr>
              <w:t>5.6</w:t>
            </w:r>
          </w:p>
        </w:tc>
        <w:tc>
          <w:tcPr>
            <w:tcW w:w="1255" w:type="dxa"/>
            <w:tcBorders>
              <w:top w:val="single" w:sz="4" w:space="0" w:color="auto"/>
            </w:tcBorders>
          </w:tcPr>
          <w:p w:rsidR="001B0CC3" w:rsidRDefault="004845D5">
            <w:pPr>
              <w:spacing w:line="360" w:lineRule="auto"/>
              <w:jc w:val="both"/>
              <w:rPr>
                <w:rFonts w:ascii="Book Antiqua" w:hAnsi="Book Antiqua" w:cs="Book Antiqua"/>
              </w:rPr>
            </w:pPr>
            <w:r>
              <w:rPr>
                <w:rFonts w:ascii="Book Antiqua" w:hAnsi="Book Antiqua" w:cs="Book Antiqua"/>
              </w:rPr>
              <w:t>20.5</w:t>
            </w:r>
          </w:p>
        </w:tc>
        <w:tc>
          <w:tcPr>
            <w:tcW w:w="2488" w:type="dxa"/>
            <w:tcBorders>
              <w:top w:val="single" w:sz="4" w:space="0" w:color="auto"/>
            </w:tcBorders>
          </w:tcPr>
          <w:p w:rsidR="001B0CC3" w:rsidRDefault="004845D5">
            <w:pPr>
              <w:spacing w:line="360" w:lineRule="auto"/>
              <w:jc w:val="both"/>
              <w:rPr>
                <w:rFonts w:ascii="Book Antiqua" w:hAnsi="Book Antiqua" w:cs="Book Antiqua"/>
              </w:rPr>
            </w:pPr>
            <w:r>
              <w:rPr>
                <w:rFonts w:ascii="Book Antiqua" w:hAnsi="Book Antiqua" w:cs="Book Antiqua"/>
              </w:rPr>
              <w:t>28.3</w:t>
            </w:r>
          </w:p>
        </w:tc>
        <w:tc>
          <w:tcPr>
            <w:tcW w:w="2427" w:type="dxa"/>
            <w:tcBorders>
              <w:top w:val="single" w:sz="4" w:space="0" w:color="auto"/>
            </w:tcBorders>
          </w:tcPr>
          <w:p w:rsidR="001B0CC3" w:rsidRDefault="004845D5">
            <w:pPr>
              <w:spacing w:line="360" w:lineRule="auto"/>
              <w:jc w:val="both"/>
              <w:rPr>
                <w:rFonts w:ascii="Book Antiqua" w:hAnsi="Book Antiqua" w:cs="Book Antiqua"/>
              </w:rPr>
            </w:pPr>
            <w:r>
              <w:rPr>
                <w:rFonts w:ascii="Book Antiqua" w:hAnsi="Book Antiqua" w:cs="Book Antiqua"/>
                <w:color w:val="333333"/>
                <w:shd w:val="clear" w:color="auto" w:fill="FFFFFF"/>
              </w:rPr>
              <w:t xml:space="preserve">(3.5-9.5) </w:t>
            </w:r>
            <w:r>
              <w:rPr>
                <w:rFonts w:ascii="Book Antiqua" w:eastAsia="宋体" w:hAnsi="Book Antiqua" w:cs="Book Antiqua"/>
                <w:color w:val="333333"/>
                <w:shd w:val="clear" w:color="auto" w:fill="FFFFFF"/>
              </w:rPr>
              <w:t>×</w:t>
            </w:r>
            <w:r>
              <w:rPr>
                <w:rFonts w:ascii="Book Antiqua" w:hAnsi="Book Antiqua" w:cs="Book Antiqua"/>
                <w:color w:val="333333"/>
                <w:shd w:val="clear" w:color="auto" w:fill="FFFFFF"/>
              </w:rPr>
              <w:t xml:space="preserve"> 10</w:t>
            </w:r>
            <w:r>
              <w:rPr>
                <w:rFonts w:ascii="Book Antiqua" w:hAnsi="Book Antiqua" w:cs="Book Antiqua"/>
                <w:color w:val="333333"/>
                <w:shd w:val="clear" w:color="auto" w:fill="FFFFFF"/>
                <w:vertAlign w:val="superscript"/>
              </w:rPr>
              <w:t>9</w:t>
            </w:r>
            <w:r>
              <w:rPr>
                <w:rFonts w:ascii="Book Antiqua" w:hAnsi="Book Antiqua" w:cs="Book Antiqua"/>
                <w:color w:val="333333"/>
                <w:shd w:val="clear" w:color="auto" w:fill="FFFFFF"/>
              </w:rPr>
              <w:t>/L</w:t>
            </w:r>
          </w:p>
        </w:tc>
      </w:tr>
      <w:tr w:rsidR="001B0CC3">
        <w:trPr>
          <w:trHeight w:val="452"/>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Lymphocyte percentage</w:t>
            </w:r>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6.6</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10.1</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8.9</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15.6</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20%-50%</w:t>
            </w:r>
          </w:p>
        </w:tc>
      </w:tr>
      <w:tr w:rsidR="001B0CC3">
        <w:trPr>
          <w:trHeight w:val="452"/>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Neutrophil percentage</w:t>
            </w:r>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90</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86.7</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90.1</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81</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40%-75%</w:t>
            </w:r>
          </w:p>
        </w:tc>
      </w:tr>
      <w:tr w:rsidR="001B0CC3">
        <w:trPr>
          <w:trHeight w:val="439"/>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Hemoglobin</w:t>
            </w:r>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80</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99</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112</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98</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(115-150) g/L</w:t>
            </w:r>
          </w:p>
        </w:tc>
      </w:tr>
      <w:tr w:rsidR="001B0CC3">
        <w:trPr>
          <w:trHeight w:val="452"/>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Platelets</w:t>
            </w:r>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30</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32</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52</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35</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(125-350)</w:t>
            </w:r>
            <w:r>
              <w:rPr>
                <w:rFonts w:ascii="Book Antiqua" w:hAnsi="Book Antiqua" w:cs="Book Antiqua" w:hint="eastAsia"/>
                <w:lang w:eastAsia="zh-CN"/>
              </w:rPr>
              <w:t xml:space="preserve"> </w:t>
            </w:r>
            <w:r>
              <w:rPr>
                <w:rFonts w:ascii="Book Antiqua" w:eastAsia="宋体" w:hAnsi="Book Antiqua" w:cs="Book Antiqua"/>
                <w:color w:val="333333"/>
                <w:shd w:val="clear" w:color="auto" w:fill="FFFFFF"/>
              </w:rPr>
              <w:t>×</w:t>
            </w:r>
            <w:r>
              <w:rPr>
                <w:rFonts w:ascii="Book Antiqua" w:hAnsi="Book Antiqua" w:cs="Book Antiqua"/>
                <w:color w:val="333333"/>
                <w:shd w:val="clear" w:color="auto" w:fill="FFFFFF"/>
              </w:rPr>
              <w:t xml:space="preserve"> 10</w:t>
            </w:r>
            <w:r>
              <w:rPr>
                <w:rFonts w:ascii="Book Antiqua" w:hAnsi="Book Antiqua" w:cs="Book Antiqua"/>
                <w:color w:val="333333"/>
                <w:shd w:val="clear" w:color="auto" w:fill="FFFFFF"/>
                <w:vertAlign w:val="superscript"/>
              </w:rPr>
              <w:t>9</w:t>
            </w:r>
            <w:r>
              <w:rPr>
                <w:rFonts w:ascii="Book Antiqua" w:hAnsi="Book Antiqua" w:cs="Book Antiqua"/>
                <w:color w:val="333333"/>
                <w:shd w:val="clear" w:color="auto" w:fill="FFFFFF"/>
              </w:rPr>
              <w:t>/L</w:t>
            </w:r>
          </w:p>
        </w:tc>
      </w:tr>
      <w:tr w:rsidR="001B0CC3">
        <w:trPr>
          <w:trHeight w:val="452"/>
        </w:trPr>
        <w:tc>
          <w:tcPr>
            <w:tcW w:w="4159" w:type="dxa"/>
          </w:tcPr>
          <w:p w:rsidR="001B0CC3" w:rsidRDefault="004845D5">
            <w:pPr>
              <w:spacing w:line="360" w:lineRule="auto"/>
              <w:jc w:val="both"/>
              <w:rPr>
                <w:rFonts w:ascii="Book Antiqua" w:hAnsi="Book Antiqua" w:cs="Book Antiqua"/>
                <w:bCs/>
                <w:color w:val="333333"/>
                <w:lang w:bidi="ar"/>
              </w:rPr>
            </w:pPr>
            <w:hyperlink r:id="rId11" w:history="1">
              <w:r>
                <w:rPr>
                  <w:rFonts w:ascii="Book Antiqua" w:hAnsi="Book Antiqua" w:cs="Book Antiqua"/>
                  <w:bCs/>
                  <w:color w:val="333333"/>
                  <w:lang w:bidi="ar"/>
                </w:rPr>
                <w:t>Prothrombin time</w:t>
              </w:r>
            </w:hyperlink>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18.1</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18.8</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18.2</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16.4</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(9-14) s</w:t>
            </w:r>
          </w:p>
        </w:tc>
      </w:tr>
      <w:tr w:rsidR="001B0CC3">
        <w:trPr>
          <w:trHeight w:val="90"/>
        </w:trPr>
        <w:tc>
          <w:tcPr>
            <w:tcW w:w="4159" w:type="dxa"/>
          </w:tcPr>
          <w:p w:rsidR="001B0CC3" w:rsidRDefault="004845D5">
            <w:pPr>
              <w:spacing w:line="360" w:lineRule="auto"/>
              <w:jc w:val="both"/>
              <w:rPr>
                <w:rFonts w:ascii="Book Antiqua" w:hAnsi="Book Antiqua" w:cs="Book Antiqua"/>
                <w:bCs/>
                <w:color w:val="333333"/>
                <w:lang w:bidi="ar"/>
              </w:rPr>
            </w:pPr>
            <w:hyperlink r:id="rId12" w:history="1">
              <w:r>
                <w:rPr>
                  <w:rFonts w:ascii="Book Antiqua" w:hAnsi="Book Antiqua" w:cs="Book Antiqua"/>
                  <w:bCs/>
                  <w:color w:val="333333"/>
                  <w:lang w:bidi="ar"/>
                </w:rPr>
                <w:t>International normalized ratio</w:t>
              </w:r>
            </w:hyperlink>
            <w:r>
              <w:rPr>
                <w:rFonts w:ascii="Book Antiqua" w:hAnsi="Book Antiqua" w:cs="Book Antiqua"/>
                <w:bCs/>
                <w:color w:val="333333"/>
                <w:lang w:bidi="ar"/>
              </w:rPr>
              <w:t> </w:t>
            </w:r>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1.6</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1.68</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1.62</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1.42</w:t>
            </w:r>
          </w:p>
        </w:tc>
        <w:tc>
          <w:tcPr>
            <w:tcW w:w="2427" w:type="dxa"/>
          </w:tcPr>
          <w:p w:rsidR="001B0CC3" w:rsidRDefault="001B0CC3">
            <w:pPr>
              <w:spacing w:line="360" w:lineRule="auto"/>
              <w:jc w:val="both"/>
              <w:rPr>
                <w:rFonts w:ascii="Book Antiqua" w:hAnsi="Book Antiqua" w:cs="Book Antiqua"/>
              </w:rPr>
            </w:pPr>
          </w:p>
        </w:tc>
      </w:tr>
      <w:tr w:rsidR="001B0CC3">
        <w:trPr>
          <w:trHeight w:val="439"/>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Prothrombin activity</w:t>
            </w:r>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54.9</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51.8</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54.2</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63</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w:t>
            </w:r>
          </w:p>
        </w:tc>
      </w:tr>
      <w:tr w:rsidR="001B0CC3">
        <w:trPr>
          <w:trHeight w:val="654"/>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Activated partial thromboplastin time standardization</w:t>
            </w:r>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61</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55.3</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54.1</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56.8</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(20-40)</w:t>
            </w:r>
            <w:r>
              <w:rPr>
                <w:rFonts w:ascii="Book Antiqua" w:hAnsi="Book Antiqua" w:cs="Book Antiqua" w:hint="eastAsia"/>
                <w:lang w:eastAsia="zh-CN"/>
              </w:rPr>
              <w:t xml:space="preserve"> </w:t>
            </w:r>
            <w:r>
              <w:rPr>
                <w:rFonts w:ascii="Book Antiqua" w:hAnsi="Book Antiqua" w:cs="Book Antiqua"/>
              </w:rPr>
              <w:t>s</w:t>
            </w:r>
          </w:p>
        </w:tc>
      </w:tr>
      <w:tr w:rsidR="001B0CC3">
        <w:trPr>
          <w:trHeight w:val="90"/>
        </w:trPr>
        <w:tc>
          <w:tcPr>
            <w:tcW w:w="4159" w:type="dxa"/>
          </w:tcPr>
          <w:p w:rsidR="001B0CC3" w:rsidRDefault="004845D5">
            <w:pPr>
              <w:spacing w:line="360" w:lineRule="auto"/>
              <w:jc w:val="both"/>
              <w:rPr>
                <w:rFonts w:ascii="Book Antiqua" w:hAnsi="Book Antiqua" w:cs="Book Antiqua"/>
                <w:bCs/>
                <w:color w:val="333333"/>
                <w:lang w:bidi="ar"/>
              </w:rPr>
            </w:pPr>
            <w:hyperlink r:id="rId13" w:history="1">
              <w:r>
                <w:rPr>
                  <w:rFonts w:ascii="Book Antiqua" w:hAnsi="Book Antiqua" w:cs="Book Antiqua"/>
                  <w:bCs/>
                  <w:color w:val="333333"/>
                  <w:lang w:bidi="ar"/>
                </w:rPr>
                <w:t>Thrombin </w:t>
              </w:r>
            </w:hyperlink>
            <w:hyperlink r:id="rId14" w:history="1"/>
            <w:hyperlink r:id="rId15" w:history="1">
              <w:r>
                <w:rPr>
                  <w:rFonts w:ascii="Book Antiqua" w:hAnsi="Book Antiqua" w:cs="Book Antiqua"/>
                  <w:bCs/>
                  <w:color w:val="333333"/>
                  <w:lang w:bidi="ar"/>
                </w:rPr>
                <w:t>time</w:t>
              </w:r>
            </w:hyperlink>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39.7</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37.1</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50.6</w:t>
            </w:r>
          </w:p>
        </w:tc>
        <w:tc>
          <w:tcPr>
            <w:tcW w:w="2488" w:type="dxa"/>
          </w:tcPr>
          <w:p w:rsidR="001B0CC3" w:rsidRDefault="004845D5">
            <w:pPr>
              <w:spacing w:line="360" w:lineRule="auto"/>
              <w:jc w:val="both"/>
              <w:rPr>
                <w:rFonts w:ascii="Book Antiqua" w:hAnsi="Book Antiqua" w:cs="Book Antiqua"/>
              </w:rPr>
            </w:pPr>
            <w:proofErr w:type="spellStart"/>
            <w:r>
              <w:rPr>
                <w:rFonts w:ascii="Book Antiqua" w:hAnsi="Book Antiqua" w:cs="Book Antiqua"/>
              </w:rPr>
              <w:t>Chyle</w:t>
            </w:r>
            <w:proofErr w:type="spellEnd"/>
            <w:r>
              <w:rPr>
                <w:rFonts w:ascii="Book Antiqua" w:hAnsi="Book Antiqua" w:cs="Book Antiqua"/>
              </w:rPr>
              <w:t xml:space="preserve"> blood</w:t>
            </w:r>
            <w:r>
              <w:rPr>
                <w:rFonts w:ascii="Book Antiqua" w:hAnsi="Book Antiqua" w:cs="Book Antiqua" w:hint="eastAsia"/>
                <w:lang w:eastAsia="zh-CN"/>
              </w:rPr>
              <w:t>,</w:t>
            </w:r>
            <w:r>
              <w:rPr>
                <w:rFonts w:ascii="Book Antiqua" w:hAnsi="Book Antiqua" w:cs="Book Antiqua"/>
                <w:lang w:eastAsia="zh-CN"/>
              </w:rPr>
              <w:t xml:space="preserve"> </w:t>
            </w:r>
            <w:r>
              <w:rPr>
                <w:rFonts w:ascii="Book Antiqua" w:hAnsi="Book Antiqua" w:cs="Book Antiqua"/>
              </w:rPr>
              <w:t>no test</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(14-21)</w:t>
            </w:r>
            <w:r>
              <w:rPr>
                <w:rFonts w:ascii="Book Antiqua" w:hAnsi="Book Antiqua" w:cs="Book Antiqua" w:hint="eastAsia"/>
                <w:lang w:eastAsia="zh-CN"/>
              </w:rPr>
              <w:t xml:space="preserve"> </w:t>
            </w:r>
            <w:r>
              <w:rPr>
                <w:rFonts w:ascii="Book Antiqua" w:hAnsi="Book Antiqua" w:cs="Book Antiqua"/>
              </w:rPr>
              <w:t>s</w:t>
            </w:r>
          </w:p>
        </w:tc>
      </w:tr>
      <w:tr w:rsidR="001B0CC3">
        <w:trPr>
          <w:trHeight w:val="412"/>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Fibrinogen</w:t>
            </w:r>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1.37</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1.0</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0.77</w:t>
            </w:r>
          </w:p>
        </w:tc>
        <w:tc>
          <w:tcPr>
            <w:tcW w:w="2488" w:type="dxa"/>
          </w:tcPr>
          <w:p w:rsidR="001B0CC3" w:rsidRDefault="004845D5">
            <w:pPr>
              <w:spacing w:line="360" w:lineRule="auto"/>
              <w:jc w:val="both"/>
              <w:rPr>
                <w:rFonts w:ascii="Book Antiqua" w:hAnsi="Book Antiqua" w:cs="Book Antiqua"/>
              </w:rPr>
            </w:pPr>
            <w:proofErr w:type="spellStart"/>
            <w:r>
              <w:rPr>
                <w:rFonts w:ascii="Book Antiqua" w:hAnsi="Book Antiqua" w:cs="Book Antiqua"/>
              </w:rPr>
              <w:t>Chyle</w:t>
            </w:r>
            <w:proofErr w:type="spellEnd"/>
            <w:r>
              <w:rPr>
                <w:rFonts w:ascii="Book Antiqua" w:hAnsi="Book Antiqua" w:cs="Book Antiqua"/>
              </w:rPr>
              <w:t xml:space="preserve"> blood</w:t>
            </w:r>
            <w:r>
              <w:rPr>
                <w:rFonts w:ascii="Book Antiqua" w:hAnsi="Book Antiqua" w:cs="Book Antiqua" w:hint="eastAsia"/>
                <w:lang w:eastAsia="zh-CN"/>
              </w:rPr>
              <w:t>,</w:t>
            </w:r>
            <w:r>
              <w:rPr>
                <w:rFonts w:ascii="Book Antiqua" w:hAnsi="Book Antiqua" w:cs="Book Antiqua"/>
                <w:lang w:eastAsia="zh-CN"/>
              </w:rPr>
              <w:t xml:space="preserve"> </w:t>
            </w:r>
            <w:r>
              <w:rPr>
                <w:rFonts w:ascii="Book Antiqua" w:hAnsi="Book Antiqua" w:cs="Book Antiqua"/>
              </w:rPr>
              <w:t>no test</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(2-4)</w:t>
            </w:r>
            <w:r>
              <w:rPr>
                <w:rFonts w:ascii="Book Antiqua" w:hAnsi="Book Antiqua" w:cs="Book Antiqua" w:hint="eastAsia"/>
                <w:lang w:eastAsia="zh-CN"/>
              </w:rPr>
              <w:t xml:space="preserve"> </w:t>
            </w:r>
            <w:r>
              <w:rPr>
                <w:rFonts w:ascii="Book Antiqua" w:hAnsi="Book Antiqua" w:cs="Book Antiqua"/>
              </w:rPr>
              <w:t>g/L</w:t>
            </w:r>
          </w:p>
        </w:tc>
      </w:tr>
      <w:tr w:rsidR="001B0CC3">
        <w:trPr>
          <w:trHeight w:val="452"/>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D-Dimer</w:t>
            </w:r>
          </w:p>
        </w:tc>
        <w:tc>
          <w:tcPr>
            <w:tcW w:w="1242" w:type="dxa"/>
          </w:tcPr>
          <w:p w:rsidR="001B0CC3" w:rsidRDefault="001B0CC3">
            <w:pPr>
              <w:spacing w:line="360" w:lineRule="auto"/>
              <w:jc w:val="both"/>
              <w:rPr>
                <w:rFonts w:ascii="Book Antiqua" w:hAnsi="Book Antiqua" w:cs="Book Antiqua"/>
              </w:rPr>
            </w:pP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4.88</w:t>
            </w:r>
          </w:p>
        </w:tc>
        <w:tc>
          <w:tcPr>
            <w:tcW w:w="1255" w:type="dxa"/>
          </w:tcPr>
          <w:p w:rsidR="001B0CC3" w:rsidRDefault="001B0CC3">
            <w:pPr>
              <w:spacing w:line="360" w:lineRule="auto"/>
              <w:jc w:val="both"/>
              <w:rPr>
                <w:rFonts w:ascii="Book Antiqua" w:hAnsi="Book Antiqua" w:cs="Book Antiqua"/>
              </w:rPr>
            </w:pP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5.96</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(0-0.5)</w:t>
            </w:r>
            <w:r>
              <w:rPr>
                <w:rFonts w:ascii="Book Antiqua" w:hAnsi="Book Antiqua" w:cs="Book Antiqua" w:hint="eastAsia"/>
                <w:lang w:eastAsia="zh-CN"/>
              </w:rPr>
              <w:t xml:space="preserve"> </w:t>
            </w:r>
            <w:proofErr w:type="spellStart"/>
            <w:r>
              <w:rPr>
                <w:rFonts w:ascii="Book Antiqua" w:hAnsi="Book Antiqua" w:cs="Book Antiqua"/>
              </w:rPr>
              <w:t>μg</w:t>
            </w:r>
            <w:proofErr w:type="spellEnd"/>
            <w:r>
              <w:rPr>
                <w:rFonts w:ascii="Book Antiqua" w:hAnsi="Book Antiqua" w:cs="Book Antiqua"/>
              </w:rPr>
              <w:t>/L</w:t>
            </w:r>
          </w:p>
        </w:tc>
      </w:tr>
      <w:tr w:rsidR="001B0CC3">
        <w:trPr>
          <w:trHeight w:val="452"/>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Fibrinogen degradation products</w:t>
            </w:r>
          </w:p>
        </w:tc>
        <w:tc>
          <w:tcPr>
            <w:tcW w:w="1242" w:type="dxa"/>
          </w:tcPr>
          <w:p w:rsidR="001B0CC3" w:rsidRDefault="001B0CC3">
            <w:pPr>
              <w:spacing w:line="360" w:lineRule="auto"/>
              <w:jc w:val="both"/>
              <w:rPr>
                <w:rFonts w:ascii="Book Antiqua" w:hAnsi="Book Antiqua" w:cs="Book Antiqua"/>
              </w:rPr>
            </w:pP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272.9</w:t>
            </w:r>
          </w:p>
        </w:tc>
        <w:tc>
          <w:tcPr>
            <w:tcW w:w="1255" w:type="dxa"/>
          </w:tcPr>
          <w:p w:rsidR="001B0CC3" w:rsidRDefault="001B0CC3">
            <w:pPr>
              <w:spacing w:line="360" w:lineRule="auto"/>
              <w:jc w:val="both"/>
              <w:rPr>
                <w:rFonts w:ascii="Book Antiqua" w:hAnsi="Book Antiqua" w:cs="Book Antiqua"/>
              </w:rPr>
            </w:pP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90.6</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 xml:space="preserve">(0-5) </w:t>
            </w:r>
            <w:proofErr w:type="spellStart"/>
            <w:r>
              <w:rPr>
                <w:rFonts w:ascii="Book Antiqua" w:hAnsi="Book Antiqua" w:cs="Book Antiqua"/>
              </w:rPr>
              <w:t>μg</w:t>
            </w:r>
            <w:proofErr w:type="spellEnd"/>
            <w:r>
              <w:rPr>
                <w:rFonts w:ascii="Book Antiqua" w:hAnsi="Book Antiqua" w:cs="Book Antiqua"/>
              </w:rPr>
              <w:t>/L</w:t>
            </w:r>
          </w:p>
        </w:tc>
      </w:tr>
      <w:tr w:rsidR="001B0CC3">
        <w:trPr>
          <w:trHeight w:val="439"/>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Erythrocyte sedimentation rate</w:t>
            </w:r>
          </w:p>
        </w:tc>
        <w:tc>
          <w:tcPr>
            <w:tcW w:w="1242" w:type="dxa"/>
          </w:tcPr>
          <w:p w:rsidR="001B0CC3" w:rsidRDefault="001B0CC3">
            <w:pPr>
              <w:spacing w:line="360" w:lineRule="auto"/>
              <w:jc w:val="both"/>
              <w:rPr>
                <w:rFonts w:ascii="Book Antiqua" w:hAnsi="Book Antiqua" w:cs="Book Antiqua"/>
              </w:rPr>
            </w:pPr>
          </w:p>
        </w:tc>
        <w:tc>
          <w:tcPr>
            <w:tcW w:w="1337" w:type="dxa"/>
          </w:tcPr>
          <w:p w:rsidR="001B0CC3" w:rsidRDefault="001B0CC3">
            <w:pPr>
              <w:spacing w:line="360" w:lineRule="auto"/>
              <w:jc w:val="both"/>
              <w:rPr>
                <w:rFonts w:ascii="Book Antiqua" w:hAnsi="Book Antiqua" w:cs="Book Antiqua"/>
              </w:rPr>
            </w:pP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10</w:t>
            </w:r>
          </w:p>
        </w:tc>
        <w:tc>
          <w:tcPr>
            <w:tcW w:w="2488" w:type="dxa"/>
          </w:tcPr>
          <w:p w:rsidR="001B0CC3" w:rsidRDefault="001B0CC3">
            <w:pPr>
              <w:spacing w:line="360" w:lineRule="auto"/>
              <w:jc w:val="both"/>
              <w:rPr>
                <w:rFonts w:ascii="Book Antiqua" w:hAnsi="Book Antiqua" w:cs="Book Antiqua"/>
              </w:rPr>
            </w:pP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(0-20) mm/L</w:t>
            </w:r>
          </w:p>
        </w:tc>
      </w:tr>
      <w:tr w:rsidR="001B0CC3">
        <w:trPr>
          <w:trHeight w:val="289"/>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C-reactive protein</w:t>
            </w:r>
          </w:p>
        </w:tc>
        <w:tc>
          <w:tcPr>
            <w:tcW w:w="1242" w:type="dxa"/>
          </w:tcPr>
          <w:p w:rsidR="001B0CC3" w:rsidRDefault="001B0CC3">
            <w:pPr>
              <w:spacing w:line="360" w:lineRule="auto"/>
              <w:jc w:val="both"/>
              <w:rPr>
                <w:rFonts w:ascii="Book Antiqua" w:hAnsi="Book Antiqua" w:cs="Book Antiqua"/>
              </w:rPr>
            </w:pP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121.01</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111.7</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104.2</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(0-10) mg/L</w:t>
            </w:r>
          </w:p>
        </w:tc>
      </w:tr>
      <w:tr w:rsidR="001B0CC3">
        <w:trPr>
          <w:trHeight w:val="452"/>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Hemolytic index</w:t>
            </w:r>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15</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15</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60</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55</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0-15</w:t>
            </w:r>
          </w:p>
        </w:tc>
      </w:tr>
      <w:tr w:rsidR="001B0CC3">
        <w:trPr>
          <w:trHeight w:val="452"/>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lastRenderedPageBreak/>
              <w:t>Blood lipid index</w:t>
            </w:r>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2</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2</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2</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225</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0-2</w:t>
            </w:r>
          </w:p>
        </w:tc>
      </w:tr>
      <w:tr w:rsidR="001B0CC3">
        <w:trPr>
          <w:trHeight w:val="439"/>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Total Protein</w:t>
            </w:r>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57.1</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53.5</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46.8</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55.7</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(65-85) g/L</w:t>
            </w:r>
          </w:p>
        </w:tc>
      </w:tr>
      <w:tr w:rsidR="001B0CC3">
        <w:trPr>
          <w:trHeight w:val="452"/>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Albumin</w:t>
            </w:r>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28.8</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26.3</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26.3</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23.2</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(40-55) g/L</w:t>
            </w:r>
          </w:p>
        </w:tc>
      </w:tr>
      <w:tr w:rsidR="001B0CC3">
        <w:trPr>
          <w:trHeight w:val="452"/>
        </w:trPr>
        <w:tc>
          <w:tcPr>
            <w:tcW w:w="4159" w:type="dxa"/>
          </w:tcPr>
          <w:p w:rsidR="001B0CC3" w:rsidRDefault="004845D5">
            <w:pPr>
              <w:spacing w:line="360" w:lineRule="auto"/>
              <w:jc w:val="both"/>
              <w:rPr>
                <w:rFonts w:ascii="Book Antiqua" w:hAnsi="Book Antiqua" w:cs="Book Antiqua"/>
                <w:bCs/>
              </w:rPr>
            </w:pPr>
            <w:r>
              <w:rPr>
                <w:rFonts w:ascii="Book Antiqua" w:hAnsi="Book Antiqua" w:cs="Book Antiqua"/>
                <w:bCs/>
                <w:color w:val="333333"/>
                <w:lang w:bidi="ar"/>
              </w:rPr>
              <w:t>Globin</w:t>
            </w:r>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28.3</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27.3</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26.2</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24.4</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(20-40) g/L</w:t>
            </w:r>
          </w:p>
        </w:tc>
      </w:tr>
      <w:tr w:rsidR="001B0CC3">
        <w:trPr>
          <w:trHeight w:val="452"/>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Total bilirubin</w:t>
            </w:r>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35.9</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42.9</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49.6</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62.1</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 xml:space="preserve">(0-21) </w:t>
            </w:r>
            <w:proofErr w:type="spellStart"/>
            <w:r>
              <w:rPr>
                <w:rFonts w:ascii="Book Antiqua" w:hAnsi="Book Antiqua" w:cs="Book Antiqua"/>
              </w:rPr>
              <w:t>μmol</w:t>
            </w:r>
            <w:proofErr w:type="spellEnd"/>
            <w:r>
              <w:rPr>
                <w:rFonts w:ascii="Book Antiqua" w:hAnsi="Book Antiqua" w:cs="Book Antiqua"/>
              </w:rPr>
              <w:t>/L</w:t>
            </w:r>
          </w:p>
        </w:tc>
      </w:tr>
      <w:tr w:rsidR="001B0CC3">
        <w:trPr>
          <w:trHeight w:val="439"/>
        </w:trPr>
        <w:tc>
          <w:tcPr>
            <w:tcW w:w="4159" w:type="dxa"/>
          </w:tcPr>
          <w:p w:rsidR="001B0CC3" w:rsidRDefault="004845D5">
            <w:pPr>
              <w:spacing w:line="360" w:lineRule="auto"/>
              <w:jc w:val="both"/>
              <w:rPr>
                <w:rFonts w:ascii="Book Antiqua" w:hAnsi="Book Antiqua" w:cs="Book Antiqua"/>
                <w:bCs/>
                <w:color w:val="333333"/>
                <w:lang w:bidi="ar"/>
              </w:rPr>
            </w:pPr>
            <w:hyperlink r:id="rId16" w:history="1">
              <w:r>
                <w:rPr>
                  <w:rFonts w:ascii="Book Antiqua" w:hAnsi="Book Antiqua" w:cs="Book Antiqua"/>
                  <w:bCs/>
                  <w:color w:val="333333"/>
                  <w:lang w:bidi="ar"/>
                </w:rPr>
                <w:t>Conjugated </w:t>
              </w:r>
            </w:hyperlink>
            <w:hyperlink r:id="rId17" w:history="1"/>
            <w:hyperlink r:id="rId18" w:history="1">
              <w:r>
                <w:rPr>
                  <w:rFonts w:ascii="Book Antiqua" w:hAnsi="Book Antiqua" w:cs="Book Antiqua"/>
                  <w:bCs/>
                  <w:color w:val="333333"/>
                  <w:lang w:bidi="ar"/>
                </w:rPr>
                <w:t>bilirubin</w:t>
              </w:r>
            </w:hyperlink>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14.6</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19.5</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27.3</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35.2</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 xml:space="preserve">(0-5) </w:t>
            </w:r>
            <w:proofErr w:type="spellStart"/>
            <w:r>
              <w:rPr>
                <w:rFonts w:ascii="Book Antiqua" w:hAnsi="Book Antiqua" w:cs="Book Antiqua"/>
              </w:rPr>
              <w:t>μmol</w:t>
            </w:r>
            <w:proofErr w:type="spellEnd"/>
            <w:r>
              <w:rPr>
                <w:rFonts w:ascii="Book Antiqua" w:hAnsi="Book Antiqua" w:cs="Book Antiqua"/>
              </w:rPr>
              <w:t>/L</w:t>
            </w:r>
          </w:p>
        </w:tc>
      </w:tr>
      <w:tr w:rsidR="001B0CC3">
        <w:trPr>
          <w:trHeight w:val="362"/>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Unconjugated hyperbilirubinemia</w:t>
            </w:r>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3.5</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3.5</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2.6</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4.2</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 xml:space="preserve">(0-19) </w:t>
            </w:r>
            <w:proofErr w:type="spellStart"/>
            <w:r>
              <w:rPr>
                <w:rFonts w:ascii="Book Antiqua" w:hAnsi="Book Antiqua" w:cs="Book Antiqua"/>
              </w:rPr>
              <w:t>μmol</w:t>
            </w:r>
            <w:proofErr w:type="spellEnd"/>
            <w:r>
              <w:rPr>
                <w:rFonts w:ascii="Book Antiqua" w:hAnsi="Book Antiqua" w:cs="Book Antiqua"/>
              </w:rPr>
              <w:t>/L</w:t>
            </w:r>
          </w:p>
        </w:tc>
      </w:tr>
      <w:tr w:rsidR="001B0CC3">
        <w:trPr>
          <w:trHeight w:val="497"/>
        </w:trPr>
        <w:tc>
          <w:tcPr>
            <w:tcW w:w="4159" w:type="dxa"/>
          </w:tcPr>
          <w:p w:rsidR="001B0CC3" w:rsidRDefault="004845D5">
            <w:pPr>
              <w:spacing w:line="360" w:lineRule="auto"/>
              <w:jc w:val="both"/>
              <w:rPr>
                <w:rFonts w:ascii="Book Antiqua" w:hAnsi="Book Antiqua" w:cs="Book Antiqua"/>
                <w:bCs/>
                <w:color w:val="333333"/>
                <w:lang w:bidi="ar"/>
              </w:rPr>
            </w:pPr>
            <w:hyperlink r:id="rId19" w:history="1">
              <w:r>
                <w:rPr>
                  <w:rFonts w:ascii="Book Antiqua" w:hAnsi="Book Antiqua" w:cs="Book Antiqua"/>
                  <w:bCs/>
                  <w:color w:val="333333"/>
                  <w:lang w:bidi="ar"/>
                </w:rPr>
                <w:t>Glutamic-pyruvic </w:t>
              </w:r>
            </w:hyperlink>
            <w:hyperlink r:id="rId20" w:history="1"/>
            <w:hyperlink r:id="rId21" w:history="1">
              <w:r>
                <w:rPr>
                  <w:rFonts w:ascii="Book Antiqua" w:hAnsi="Book Antiqua" w:cs="Book Antiqua"/>
                  <w:bCs/>
                  <w:color w:val="333333"/>
                  <w:lang w:bidi="ar"/>
                </w:rPr>
                <w:t>transaminase</w:t>
              </w:r>
            </w:hyperlink>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84.9</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90.9</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139.8</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153.8</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(0-40) U/L</w:t>
            </w:r>
          </w:p>
        </w:tc>
      </w:tr>
      <w:tr w:rsidR="001B0CC3">
        <w:trPr>
          <w:trHeight w:val="452"/>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Aspartate aminotransferase</w:t>
            </w:r>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295</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329</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593</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589</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(0-40) U/L</w:t>
            </w:r>
          </w:p>
        </w:tc>
      </w:tr>
      <w:tr w:rsidR="001B0CC3">
        <w:trPr>
          <w:trHeight w:val="452"/>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Alkaline phosphatase</w:t>
            </w:r>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366</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510</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508</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453</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(38-126) U/L</w:t>
            </w:r>
          </w:p>
        </w:tc>
      </w:tr>
      <w:tr w:rsidR="001B0CC3">
        <w:trPr>
          <w:trHeight w:val="439"/>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γ-</w:t>
            </w:r>
            <w:proofErr w:type="spellStart"/>
            <w:r>
              <w:rPr>
                <w:rFonts w:ascii="Book Antiqua" w:hAnsi="Book Antiqua" w:cs="Book Antiqua"/>
                <w:bCs/>
                <w:color w:val="333333"/>
                <w:lang w:bidi="ar"/>
              </w:rPr>
              <w:t>Glutamyl</w:t>
            </w:r>
            <w:proofErr w:type="spellEnd"/>
            <w:r>
              <w:rPr>
                <w:rFonts w:ascii="Book Antiqua" w:hAnsi="Book Antiqua" w:cs="Book Antiqua"/>
                <w:bCs/>
                <w:color w:val="333333"/>
                <w:lang w:bidi="ar"/>
              </w:rPr>
              <w:t xml:space="preserve"> </w:t>
            </w:r>
            <w:proofErr w:type="spellStart"/>
            <w:r>
              <w:rPr>
                <w:rFonts w:ascii="Book Antiqua" w:hAnsi="Book Antiqua" w:cs="Book Antiqua"/>
                <w:bCs/>
                <w:color w:val="333333"/>
                <w:lang w:bidi="ar"/>
              </w:rPr>
              <w:t>transpeptidase</w:t>
            </w:r>
            <w:proofErr w:type="spellEnd"/>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118</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161</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185</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183</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(6-35) U/L</w:t>
            </w:r>
          </w:p>
        </w:tc>
      </w:tr>
      <w:tr w:rsidR="001B0CC3">
        <w:trPr>
          <w:trHeight w:val="452"/>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 </w:t>
            </w:r>
            <w:hyperlink r:id="rId22" w:history="1"/>
            <w:hyperlink r:id="rId23" w:history="1">
              <w:r>
                <w:rPr>
                  <w:rFonts w:ascii="Book Antiqua" w:hAnsi="Book Antiqua" w:cs="Book Antiqua"/>
                  <w:bCs/>
                  <w:color w:val="333333"/>
                  <w:lang w:bidi="ar"/>
                </w:rPr>
                <w:t>Cholinesterase</w:t>
              </w:r>
            </w:hyperlink>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3584.3</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3395.1</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3476.1</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4351.8</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(4650-12220) U/L</w:t>
            </w:r>
          </w:p>
        </w:tc>
      </w:tr>
      <w:tr w:rsidR="001B0CC3">
        <w:trPr>
          <w:trHeight w:val="452"/>
        </w:trPr>
        <w:tc>
          <w:tcPr>
            <w:tcW w:w="4159" w:type="dxa"/>
          </w:tcPr>
          <w:p w:rsidR="001B0CC3" w:rsidRDefault="004845D5">
            <w:pPr>
              <w:spacing w:line="360" w:lineRule="auto"/>
              <w:jc w:val="both"/>
              <w:rPr>
                <w:rFonts w:ascii="Book Antiqua" w:hAnsi="Book Antiqua" w:cs="Book Antiqua"/>
                <w:bCs/>
                <w:color w:val="333333"/>
                <w:lang w:bidi="ar"/>
              </w:rPr>
            </w:pPr>
            <w:hyperlink r:id="rId24" w:history="1">
              <w:r>
                <w:rPr>
                  <w:rFonts w:ascii="Book Antiqua" w:hAnsi="Book Antiqua" w:cs="Book Antiqua"/>
                  <w:bCs/>
                  <w:color w:val="333333"/>
                  <w:lang w:bidi="ar"/>
                </w:rPr>
                <w:t>Lactate dehydrogenase</w:t>
              </w:r>
            </w:hyperlink>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5292</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5616</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9299</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8746</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(313-618) U/L</w:t>
            </w:r>
          </w:p>
        </w:tc>
      </w:tr>
      <w:tr w:rsidR="001B0CC3">
        <w:trPr>
          <w:trHeight w:val="452"/>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K</w:t>
            </w:r>
            <w:r>
              <w:rPr>
                <w:rFonts w:ascii="Book Antiqua" w:hAnsi="Book Antiqua" w:cs="Book Antiqua"/>
                <w:bCs/>
                <w:color w:val="333333"/>
                <w:vertAlign w:val="superscript"/>
                <w:lang w:bidi="ar"/>
              </w:rPr>
              <w:t>+</w:t>
            </w:r>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4.9</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4.57</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4.42</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5.3</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(3.6-5) mm/L</w:t>
            </w:r>
          </w:p>
        </w:tc>
      </w:tr>
      <w:tr w:rsidR="001B0CC3">
        <w:trPr>
          <w:trHeight w:val="452"/>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Na</w:t>
            </w:r>
            <w:r>
              <w:rPr>
                <w:rFonts w:ascii="Book Antiqua" w:hAnsi="Book Antiqua" w:cs="Book Antiqua"/>
                <w:bCs/>
                <w:color w:val="333333"/>
                <w:vertAlign w:val="superscript"/>
                <w:lang w:bidi="ar"/>
              </w:rPr>
              <w:t>+</w:t>
            </w:r>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127.8</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128.9</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142.6</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146.2</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(137-145) mm/L</w:t>
            </w:r>
          </w:p>
        </w:tc>
      </w:tr>
      <w:tr w:rsidR="001B0CC3">
        <w:trPr>
          <w:trHeight w:val="439"/>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Cl</w:t>
            </w:r>
            <w:r>
              <w:rPr>
                <w:rFonts w:ascii="Book Antiqua" w:hAnsi="Book Antiqua" w:cs="Book Antiqua"/>
                <w:bCs/>
                <w:color w:val="333333"/>
                <w:vertAlign w:val="superscript"/>
                <w:lang w:bidi="ar"/>
              </w:rPr>
              <w:t>-</w:t>
            </w:r>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102</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103.9</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111.8</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106.7</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(98-107) mm/L</w:t>
            </w:r>
          </w:p>
        </w:tc>
      </w:tr>
      <w:tr w:rsidR="001B0CC3">
        <w:trPr>
          <w:trHeight w:val="452"/>
        </w:trPr>
        <w:tc>
          <w:tcPr>
            <w:tcW w:w="4159" w:type="dxa"/>
          </w:tcPr>
          <w:p w:rsidR="001B0CC3" w:rsidRDefault="004845D5">
            <w:pPr>
              <w:spacing w:line="360" w:lineRule="auto"/>
              <w:jc w:val="both"/>
              <w:rPr>
                <w:rFonts w:ascii="Book Antiqua" w:hAnsi="Book Antiqua" w:cs="Book Antiqua"/>
                <w:bCs/>
                <w:color w:val="333333"/>
                <w:lang w:bidi="ar"/>
              </w:rPr>
            </w:pPr>
            <w:hyperlink r:id="rId25" w:history="1">
              <w:r>
                <w:rPr>
                  <w:rFonts w:ascii="Book Antiqua" w:hAnsi="Book Antiqua" w:cs="Book Antiqua"/>
                  <w:bCs/>
                  <w:color w:val="333333"/>
                  <w:lang w:bidi="ar"/>
                </w:rPr>
                <w:t>Creatinine</w:t>
              </w:r>
            </w:hyperlink>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288.1</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299.2</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298.8</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311.5</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 xml:space="preserve">(41-73) </w:t>
            </w:r>
            <w:proofErr w:type="spellStart"/>
            <w:r>
              <w:rPr>
                <w:rFonts w:ascii="Book Antiqua" w:hAnsi="Book Antiqua" w:cs="Book Antiqua"/>
              </w:rPr>
              <w:t>μmol</w:t>
            </w:r>
            <w:proofErr w:type="spellEnd"/>
            <w:r>
              <w:rPr>
                <w:rFonts w:ascii="Book Antiqua" w:hAnsi="Book Antiqua" w:cs="Book Antiqua"/>
              </w:rPr>
              <w:t>/L</w:t>
            </w:r>
          </w:p>
        </w:tc>
      </w:tr>
      <w:tr w:rsidR="001B0CC3">
        <w:trPr>
          <w:trHeight w:val="452"/>
        </w:trPr>
        <w:tc>
          <w:tcPr>
            <w:tcW w:w="4159" w:type="dxa"/>
          </w:tcPr>
          <w:p w:rsidR="001B0CC3" w:rsidRDefault="004845D5">
            <w:pPr>
              <w:spacing w:line="360" w:lineRule="auto"/>
              <w:jc w:val="both"/>
              <w:rPr>
                <w:rFonts w:ascii="Book Antiqua" w:hAnsi="Book Antiqua" w:cs="Book Antiqua"/>
                <w:bCs/>
                <w:color w:val="333333"/>
                <w:lang w:bidi="ar"/>
              </w:rPr>
            </w:pPr>
            <w:proofErr w:type="spellStart"/>
            <w:r>
              <w:rPr>
                <w:rFonts w:ascii="Book Antiqua" w:hAnsi="Book Antiqua" w:cs="Book Antiqua"/>
                <w:bCs/>
                <w:color w:val="333333"/>
                <w:lang w:bidi="ar"/>
              </w:rPr>
              <w:t>Carbamide</w:t>
            </w:r>
            <w:proofErr w:type="spellEnd"/>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16.19</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17.79</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22.38</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28.01</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(2.6-7.5) mm/L</w:t>
            </w:r>
          </w:p>
        </w:tc>
      </w:tr>
      <w:tr w:rsidR="001B0CC3">
        <w:trPr>
          <w:trHeight w:val="452"/>
        </w:trPr>
        <w:tc>
          <w:tcPr>
            <w:tcW w:w="4159" w:type="dxa"/>
          </w:tcPr>
          <w:p w:rsidR="001B0CC3" w:rsidRDefault="004845D5">
            <w:pPr>
              <w:spacing w:line="360" w:lineRule="auto"/>
              <w:jc w:val="both"/>
              <w:rPr>
                <w:rFonts w:ascii="Book Antiqua" w:hAnsi="Book Antiqua" w:cs="Book Antiqua"/>
                <w:bCs/>
                <w:color w:val="333333"/>
                <w:lang w:bidi="ar"/>
              </w:rPr>
            </w:pPr>
            <w:hyperlink r:id="rId26" w:history="1">
              <w:r>
                <w:rPr>
                  <w:rFonts w:ascii="Book Antiqua" w:hAnsi="Book Antiqua" w:cs="Book Antiqua"/>
                  <w:bCs/>
                  <w:color w:val="333333"/>
                  <w:lang w:bidi="ar"/>
                </w:rPr>
                <w:t>Uric acid</w:t>
              </w:r>
            </w:hyperlink>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683</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706.4</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487.4</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510.4</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 xml:space="preserve">(155-357) </w:t>
            </w:r>
            <w:proofErr w:type="spellStart"/>
            <w:r>
              <w:rPr>
                <w:rFonts w:ascii="Book Antiqua" w:hAnsi="Book Antiqua" w:cs="Book Antiqua"/>
              </w:rPr>
              <w:t>μmol</w:t>
            </w:r>
            <w:proofErr w:type="spellEnd"/>
            <w:r>
              <w:rPr>
                <w:rFonts w:ascii="Book Antiqua" w:hAnsi="Book Antiqua" w:cs="Book Antiqua"/>
              </w:rPr>
              <w:t>/L</w:t>
            </w:r>
          </w:p>
        </w:tc>
      </w:tr>
      <w:tr w:rsidR="001B0CC3">
        <w:trPr>
          <w:trHeight w:val="90"/>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Hypersensitive troponin</w:t>
            </w:r>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0.012</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0.138</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13</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52</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(0-0.034) ng/L</w:t>
            </w:r>
          </w:p>
        </w:tc>
      </w:tr>
      <w:tr w:rsidR="001B0CC3">
        <w:trPr>
          <w:trHeight w:val="452"/>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lastRenderedPageBreak/>
              <w:t>NT-</w:t>
            </w:r>
            <w:proofErr w:type="spellStart"/>
            <w:r>
              <w:rPr>
                <w:rFonts w:ascii="Book Antiqua" w:hAnsi="Book Antiqua" w:cs="Book Antiqua"/>
                <w:bCs/>
                <w:color w:val="333333"/>
                <w:lang w:bidi="ar"/>
              </w:rPr>
              <w:t>ProBNP</w:t>
            </w:r>
            <w:proofErr w:type="spellEnd"/>
          </w:p>
        </w:tc>
        <w:tc>
          <w:tcPr>
            <w:tcW w:w="1242" w:type="dxa"/>
          </w:tcPr>
          <w:p w:rsidR="001B0CC3" w:rsidRDefault="004845D5">
            <w:pPr>
              <w:spacing w:line="360" w:lineRule="auto"/>
              <w:jc w:val="both"/>
              <w:rPr>
                <w:rFonts w:ascii="Book Antiqua" w:hAnsi="Book Antiqua" w:cs="Book Antiqua"/>
              </w:rPr>
            </w:pPr>
            <w:r>
              <w:rPr>
                <w:rFonts w:ascii="Book Antiqua" w:hAnsi="Book Antiqua" w:cs="Book Antiqua"/>
              </w:rPr>
              <w:t>4120</w:t>
            </w: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9910</w:t>
            </w:r>
          </w:p>
        </w:tc>
        <w:tc>
          <w:tcPr>
            <w:tcW w:w="1255" w:type="dxa"/>
          </w:tcPr>
          <w:p w:rsidR="001B0CC3" w:rsidRDefault="004845D5">
            <w:pPr>
              <w:spacing w:line="360" w:lineRule="auto"/>
              <w:jc w:val="both"/>
              <w:rPr>
                <w:rFonts w:ascii="Book Antiqua" w:hAnsi="Book Antiqua" w:cs="Book Antiqua"/>
              </w:rPr>
            </w:pPr>
            <w:r>
              <w:rPr>
                <w:rFonts w:ascii="Book Antiqua" w:hAnsi="Book Antiqua" w:cs="Book Antiqua"/>
              </w:rPr>
              <w:t>35000</w:t>
            </w: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35000</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 xml:space="preserve">(0-125) </w:t>
            </w:r>
            <w:proofErr w:type="spellStart"/>
            <w:r>
              <w:rPr>
                <w:rFonts w:ascii="Book Antiqua" w:hAnsi="Book Antiqua" w:cs="Book Antiqua"/>
              </w:rPr>
              <w:t>pg</w:t>
            </w:r>
            <w:proofErr w:type="spellEnd"/>
            <w:r>
              <w:rPr>
                <w:rFonts w:ascii="Book Antiqua" w:hAnsi="Book Antiqua" w:cs="Book Antiqua"/>
              </w:rPr>
              <w:t>/L</w:t>
            </w:r>
          </w:p>
        </w:tc>
      </w:tr>
      <w:tr w:rsidR="001B0CC3">
        <w:trPr>
          <w:trHeight w:val="452"/>
        </w:trPr>
        <w:tc>
          <w:tcPr>
            <w:tcW w:w="4159" w:type="dxa"/>
          </w:tcPr>
          <w:p w:rsidR="001B0CC3" w:rsidRDefault="004845D5">
            <w:pPr>
              <w:spacing w:line="360" w:lineRule="auto"/>
              <w:jc w:val="both"/>
              <w:rPr>
                <w:rFonts w:ascii="Book Antiqua" w:hAnsi="Book Antiqua" w:cs="Book Antiqua"/>
                <w:bCs/>
                <w:color w:val="333333"/>
                <w:lang w:bidi="ar"/>
              </w:rPr>
            </w:pPr>
            <w:r>
              <w:rPr>
                <w:rFonts w:ascii="Book Antiqua" w:hAnsi="Book Antiqua" w:cs="Book Antiqua"/>
                <w:bCs/>
                <w:color w:val="333333"/>
                <w:lang w:bidi="ar"/>
              </w:rPr>
              <w:t>Myoglobin</w:t>
            </w:r>
          </w:p>
        </w:tc>
        <w:tc>
          <w:tcPr>
            <w:tcW w:w="1242" w:type="dxa"/>
          </w:tcPr>
          <w:p w:rsidR="001B0CC3" w:rsidRDefault="001B0CC3">
            <w:pPr>
              <w:spacing w:line="360" w:lineRule="auto"/>
              <w:jc w:val="both"/>
              <w:rPr>
                <w:rFonts w:ascii="Book Antiqua" w:hAnsi="Book Antiqua" w:cs="Book Antiqua"/>
              </w:rPr>
            </w:pPr>
          </w:p>
        </w:tc>
        <w:tc>
          <w:tcPr>
            <w:tcW w:w="1337" w:type="dxa"/>
          </w:tcPr>
          <w:p w:rsidR="001B0CC3" w:rsidRDefault="004845D5">
            <w:pPr>
              <w:spacing w:line="360" w:lineRule="auto"/>
              <w:jc w:val="both"/>
              <w:rPr>
                <w:rFonts w:ascii="Book Antiqua" w:hAnsi="Book Antiqua" w:cs="Book Antiqua"/>
              </w:rPr>
            </w:pPr>
            <w:r>
              <w:rPr>
                <w:rFonts w:ascii="Book Antiqua" w:hAnsi="Book Antiqua" w:cs="Book Antiqua"/>
              </w:rPr>
              <w:t>145.7</w:t>
            </w:r>
          </w:p>
        </w:tc>
        <w:tc>
          <w:tcPr>
            <w:tcW w:w="1255" w:type="dxa"/>
          </w:tcPr>
          <w:p w:rsidR="001B0CC3" w:rsidRDefault="001B0CC3">
            <w:pPr>
              <w:spacing w:line="360" w:lineRule="auto"/>
              <w:jc w:val="both"/>
              <w:rPr>
                <w:rFonts w:ascii="Book Antiqua" w:hAnsi="Book Antiqua" w:cs="Book Antiqua"/>
              </w:rPr>
            </w:pPr>
          </w:p>
        </w:tc>
        <w:tc>
          <w:tcPr>
            <w:tcW w:w="2488" w:type="dxa"/>
          </w:tcPr>
          <w:p w:rsidR="001B0CC3" w:rsidRDefault="004845D5">
            <w:pPr>
              <w:spacing w:line="360" w:lineRule="auto"/>
              <w:jc w:val="both"/>
              <w:rPr>
                <w:rFonts w:ascii="Book Antiqua" w:hAnsi="Book Antiqua" w:cs="Book Antiqua"/>
              </w:rPr>
            </w:pPr>
            <w:r>
              <w:rPr>
                <w:rFonts w:ascii="Book Antiqua" w:hAnsi="Book Antiqua" w:cs="Book Antiqua"/>
              </w:rPr>
              <w:t>936.4</w:t>
            </w:r>
          </w:p>
        </w:tc>
        <w:tc>
          <w:tcPr>
            <w:tcW w:w="2427" w:type="dxa"/>
          </w:tcPr>
          <w:p w:rsidR="001B0CC3" w:rsidRDefault="004845D5">
            <w:pPr>
              <w:spacing w:line="360" w:lineRule="auto"/>
              <w:jc w:val="both"/>
              <w:rPr>
                <w:rFonts w:ascii="Book Antiqua" w:hAnsi="Book Antiqua" w:cs="Book Antiqua"/>
              </w:rPr>
            </w:pPr>
            <w:r>
              <w:rPr>
                <w:rFonts w:ascii="Book Antiqua" w:hAnsi="Book Antiqua" w:cs="Book Antiqua"/>
              </w:rPr>
              <w:t>(0-110) ng/</w:t>
            </w:r>
            <w:proofErr w:type="spellStart"/>
            <w:r>
              <w:rPr>
                <w:rFonts w:ascii="Book Antiqua" w:hAnsi="Book Antiqua" w:cs="Book Antiqua"/>
              </w:rPr>
              <w:t>moL</w:t>
            </w:r>
            <w:proofErr w:type="spellEnd"/>
          </w:p>
        </w:tc>
      </w:tr>
      <w:tr w:rsidR="001B0CC3">
        <w:trPr>
          <w:trHeight w:val="452"/>
        </w:trPr>
        <w:tc>
          <w:tcPr>
            <w:tcW w:w="4159" w:type="dxa"/>
            <w:tcBorders>
              <w:bottom w:val="single" w:sz="4" w:space="0" w:color="auto"/>
            </w:tcBorders>
          </w:tcPr>
          <w:p w:rsidR="001B0CC3" w:rsidRDefault="004845D5">
            <w:pPr>
              <w:spacing w:line="360" w:lineRule="auto"/>
              <w:jc w:val="both"/>
              <w:rPr>
                <w:rFonts w:ascii="Book Antiqua" w:hAnsi="Book Antiqua" w:cs="Book Antiqua"/>
                <w:bCs/>
                <w:color w:val="333333"/>
                <w:lang w:bidi="ar"/>
              </w:rPr>
            </w:pPr>
            <w:proofErr w:type="spellStart"/>
            <w:r>
              <w:rPr>
                <w:rFonts w:ascii="Book Antiqua" w:hAnsi="Book Antiqua" w:cs="Book Antiqua"/>
                <w:bCs/>
                <w:color w:val="333333"/>
                <w:lang w:bidi="ar"/>
              </w:rPr>
              <w:t>Procalcitonin</w:t>
            </w:r>
            <w:proofErr w:type="spellEnd"/>
          </w:p>
        </w:tc>
        <w:tc>
          <w:tcPr>
            <w:tcW w:w="1242" w:type="dxa"/>
            <w:tcBorders>
              <w:bottom w:val="single" w:sz="4" w:space="0" w:color="auto"/>
            </w:tcBorders>
          </w:tcPr>
          <w:p w:rsidR="001B0CC3" w:rsidRDefault="001B0CC3">
            <w:pPr>
              <w:spacing w:line="360" w:lineRule="auto"/>
              <w:jc w:val="both"/>
              <w:rPr>
                <w:rFonts w:ascii="Book Antiqua" w:hAnsi="Book Antiqua" w:cs="Book Antiqua"/>
              </w:rPr>
            </w:pPr>
          </w:p>
        </w:tc>
        <w:tc>
          <w:tcPr>
            <w:tcW w:w="1337" w:type="dxa"/>
            <w:tcBorders>
              <w:bottom w:val="single" w:sz="4" w:space="0" w:color="auto"/>
            </w:tcBorders>
          </w:tcPr>
          <w:p w:rsidR="001B0CC3" w:rsidRDefault="004845D5">
            <w:pPr>
              <w:spacing w:line="360" w:lineRule="auto"/>
              <w:jc w:val="both"/>
              <w:rPr>
                <w:rFonts w:ascii="Book Antiqua" w:hAnsi="Book Antiqua" w:cs="Book Antiqua"/>
              </w:rPr>
            </w:pPr>
            <w:r>
              <w:rPr>
                <w:rFonts w:ascii="Book Antiqua" w:hAnsi="Book Antiqua" w:cs="Book Antiqua"/>
              </w:rPr>
              <w:t>10.479</w:t>
            </w:r>
          </w:p>
        </w:tc>
        <w:tc>
          <w:tcPr>
            <w:tcW w:w="1255" w:type="dxa"/>
            <w:tcBorders>
              <w:bottom w:val="single" w:sz="4" w:space="0" w:color="auto"/>
            </w:tcBorders>
          </w:tcPr>
          <w:p w:rsidR="001B0CC3" w:rsidRDefault="001B0CC3">
            <w:pPr>
              <w:spacing w:line="360" w:lineRule="auto"/>
              <w:jc w:val="both"/>
              <w:rPr>
                <w:rFonts w:ascii="Book Antiqua" w:hAnsi="Book Antiqua" w:cs="Book Antiqua"/>
              </w:rPr>
            </w:pPr>
          </w:p>
        </w:tc>
        <w:tc>
          <w:tcPr>
            <w:tcW w:w="2488" w:type="dxa"/>
            <w:tcBorders>
              <w:bottom w:val="single" w:sz="4" w:space="0" w:color="auto"/>
            </w:tcBorders>
          </w:tcPr>
          <w:p w:rsidR="001B0CC3" w:rsidRDefault="004845D5">
            <w:pPr>
              <w:spacing w:line="360" w:lineRule="auto"/>
              <w:jc w:val="both"/>
              <w:rPr>
                <w:rFonts w:ascii="Book Antiqua" w:hAnsi="Book Antiqua" w:cs="Book Antiqua"/>
              </w:rPr>
            </w:pPr>
            <w:r>
              <w:rPr>
                <w:rFonts w:ascii="Book Antiqua" w:hAnsi="Book Antiqua" w:cs="Book Antiqua"/>
              </w:rPr>
              <w:t>24.025</w:t>
            </w:r>
          </w:p>
        </w:tc>
        <w:tc>
          <w:tcPr>
            <w:tcW w:w="2427" w:type="dxa"/>
            <w:tcBorders>
              <w:bottom w:val="single" w:sz="4" w:space="0" w:color="auto"/>
            </w:tcBorders>
          </w:tcPr>
          <w:p w:rsidR="001B0CC3" w:rsidRDefault="004845D5">
            <w:pPr>
              <w:spacing w:line="360" w:lineRule="auto"/>
              <w:jc w:val="both"/>
              <w:rPr>
                <w:rFonts w:ascii="Book Antiqua" w:hAnsi="Book Antiqua" w:cs="Book Antiqua"/>
              </w:rPr>
            </w:pPr>
            <w:r>
              <w:rPr>
                <w:rFonts w:ascii="Book Antiqua" w:hAnsi="Book Antiqua" w:cs="Book Antiqua"/>
              </w:rPr>
              <w:t>(0-0.05) ng/mL</w:t>
            </w:r>
          </w:p>
        </w:tc>
      </w:tr>
    </w:tbl>
    <w:p w:rsidR="001B0CC3" w:rsidRDefault="004845D5">
      <w:pPr>
        <w:spacing w:line="360" w:lineRule="auto"/>
        <w:jc w:val="both"/>
        <w:rPr>
          <w:rFonts w:ascii="Book Antiqua" w:hAnsi="Book Antiqua" w:hint="eastAsia"/>
          <w:lang w:eastAsia="zh-CN"/>
        </w:rPr>
      </w:pPr>
      <w:r>
        <w:rPr>
          <w:rFonts w:ascii="Book Antiqua" w:hAnsi="Book Antiqua"/>
        </w:rPr>
        <w:t>This table shows the main laboratory findings of the patient during the intensive care unit.</w:t>
      </w:r>
    </w:p>
    <w:p w:rsidR="004845D5" w:rsidRDefault="004845D5">
      <w:pPr>
        <w:spacing w:line="360" w:lineRule="auto"/>
        <w:jc w:val="both"/>
        <w:rPr>
          <w:rFonts w:ascii="Book Antiqua" w:hAnsi="Book Antiqua" w:hint="eastAsia"/>
          <w:lang w:eastAsia="zh-CN"/>
        </w:rPr>
      </w:pPr>
    </w:p>
    <w:p w:rsidR="004845D5" w:rsidRDefault="004845D5">
      <w:pPr>
        <w:spacing w:line="360" w:lineRule="auto"/>
        <w:jc w:val="both"/>
        <w:rPr>
          <w:rFonts w:ascii="Book Antiqua" w:hAnsi="Book Antiqua" w:hint="eastAsia"/>
          <w:lang w:eastAsia="zh-CN"/>
        </w:rPr>
      </w:pPr>
    </w:p>
    <w:p w:rsidR="004845D5" w:rsidRDefault="004845D5">
      <w:pPr>
        <w:spacing w:line="360" w:lineRule="auto"/>
        <w:jc w:val="both"/>
        <w:rPr>
          <w:rFonts w:ascii="Book Antiqua" w:hAnsi="Book Antiqua" w:hint="eastAsia"/>
          <w:lang w:eastAsia="zh-CN"/>
        </w:rPr>
      </w:pPr>
    </w:p>
    <w:p w:rsidR="004845D5" w:rsidRDefault="004845D5">
      <w:pPr>
        <w:spacing w:line="360" w:lineRule="auto"/>
        <w:jc w:val="both"/>
        <w:rPr>
          <w:rFonts w:ascii="Book Antiqua" w:hAnsi="Book Antiqua" w:hint="eastAsia"/>
          <w:lang w:eastAsia="zh-CN"/>
        </w:rPr>
      </w:pPr>
    </w:p>
    <w:p w:rsidR="004845D5" w:rsidRDefault="004845D5">
      <w:pPr>
        <w:spacing w:line="360" w:lineRule="auto"/>
        <w:jc w:val="both"/>
        <w:rPr>
          <w:rFonts w:ascii="Book Antiqua" w:hAnsi="Book Antiqua" w:hint="eastAsia"/>
          <w:lang w:eastAsia="zh-CN"/>
        </w:rPr>
      </w:pPr>
    </w:p>
    <w:p w:rsidR="004845D5" w:rsidRDefault="004845D5">
      <w:pPr>
        <w:spacing w:line="360" w:lineRule="auto"/>
        <w:jc w:val="both"/>
        <w:rPr>
          <w:rFonts w:ascii="Book Antiqua" w:hAnsi="Book Antiqua" w:hint="eastAsia"/>
          <w:lang w:eastAsia="zh-CN"/>
        </w:rPr>
      </w:pPr>
    </w:p>
    <w:p w:rsidR="004845D5" w:rsidRDefault="004845D5">
      <w:pPr>
        <w:spacing w:line="360" w:lineRule="auto"/>
        <w:jc w:val="both"/>
        <w:rPr>
          <w:rFonts w:ascii="Book Antiqua" w:hAnsi="Book Antiqua" w:hint="eastAsia"/>
          <w:lang w:eastAsia="zh-CN"/>
        </w:rPr>
      </w:pPr>
    </w:p>
    <w:p w:rsidR="004845D5" w:rsidRDefault="004845D5">
      <w:pPr>
        <w:spacing w:line="360" w:lineRule="auto"/>
        <w:jc w:val="both"/>
        <w:rPr>
          <w:rFonts w:ascii="Book Antiqua" w:hAnsi="Book Antiqua" w:hint="eastAsia"/>
          <w:lang w:eastAsia="zh-CN"/>
        </w:rPr>
      </w:pPr>
    </w:p>
    <w:p w:rsidR="004845D5" w:rsidRDefault="004845D5">
      <w:pPr>
        <w:spacing w:line="360" w:lineRule="auto"/>
        <w:jc w:val="both"/>
        <w:rPr>
          <w:rFonts w:ascii="Book Antiqua" w:hAnsi="Book Antiqua" w:hint="eastAsia"/>
          <w:lang w:eastAsia="zh-CN"/>
        </w:rPr>
      </w:pPr>
    </w:p>
    <w:p w:rsidR="004845D5" w:rsidRDefault="004845D5">
      <w:pPr>
        <w:spacing w:line="360" w:lineRule="auto"/>
        <w:jc w:val="both"/>
        <w:rPr>
          <w:rFonts w:ascii="Book Antiqua" w:hAnsi="Book Antiqua" w:hint="eastAsia"/>
          <w:lang w:eastAsia="zh-CN"/>
        </w:rPr>
      </w:pPr>
    </w:p>
    <w:p w:rsidR="004845D5" w:rsidRDefault="004845D5">
      <w:pPr>
        <w:spacing w:line="360" w:lineRule="auto"/>
        <w:jc w:val="both"/>
        <w:rPr>
          <w:rFonts w:ascii="Book Antiqua" w:hAnsi="Book Antiqua" w:hint="eastAsia"/>
          <w:lang w:eastAsia="zh-CN"/>
        </w:rPr>
      </w:pPr>
    </w:p>
    <w:p w:rsidR="004845D5" w:rsidRDefault="004845D5">
      <w:pPr>
        <w:spacing w:line="360" w:lineRule="auto"/>
        <w:jc w:val="both"/>
        <w:rPr>
          <w:rFonts w:ascii="Book Antiqua" w:hAnsi="Book Antiqua" w:hint="eastAsia"/>
          <w:lang w:eastAsia="zh-CN"/>
        </w:rPr>
      </w:pPr>
    </w:p>
    <w:p w:rsidR="004845D5" w:rsidRDefault="004845D5">
      <w:pPr>
        <w:spacing w:line="360" w:lineRule="auto"/>
        <w:jc w:val="both"/>
        <w:rPr>
          <w:rFonts w:ascii="Book Antiqua" w:hAnsi="Book Antiqua" w:hint="eastAsia"/>
          <w:lang w:eastAsia="zh-CN"/>
        </w:rPr>
      </w:pPr>
    </w:p>
    <w:p w:rsidR="004845D5" w:rsidRDefault="004845D5">
      <w:pPr>
        <w:spacing w:line="360" w:lineRule="auto"/>
        <w:jc w:val="both"/>
        <w:rPr>
          <w:rFonts w:ascii="Book Antiqua" w:hAnsi="Book Antiqua" w:hint="eastAsia"/>
          <w:lang w:eastAsia="zh-CN"/>
        </w:rPr>
      </w:pPr>
    </w:p>
    <w:p w:rsidR="004845D5" w:rsidRDefault="004845D5">
      <w:pPr>
        <w:spacing w:line="360" w:lineRule="auto"/>
        <w:jc w:val="both"/>
        <w:rPr>
          <w:rFonts w:ascii="Book Antiqua" w:hAnsi="Book Antiqua" w:hint="eastAsia"/>
          <w:lang w:eastAsia="zh-CN"/>
        </w:rPr>
      </w:pPr>
    </w:p>
    <w:p w:rsidR="004845D5" w:rsidRDefault="004845D5">
      <w:pPr>
        <w:spacing w:line="360" w:lineRule="auto"/>
        <w:jc w:val="both"/>
        <w:rPr>
          <w:rFonts w:ascii="Book Antiqua" w:hAnsi="Book Antiqua" w:hint="eastAsia"/>
          <w:lang w:eastAsia="zh-CN"/>
        </w:rPr>
      </w:pPr>
    </w:p>
    <w:p w:rsidR="004845D5" w:rsidRDefault="004845D5" w:rsidP="004845D5">
      <w:pPr>
        <w:rPr>
          <w:rFonts w:ascii="Book Antiqua" w:hAnsi="Book Antiqua" w:hint="eastAsia"/>
          <w:lang w:eastAsia="zh-CN"/>
        </w:rPr>
      </w:pPr>
    </w:p>
    <w:p w:rsidR="004845D5" w:rsidRDefault="004845D5" w:rsidP="009339A3">
      <w:pPr>
        <w:jc w:val="center"/>
        <w:rPr>
          <w:rFonts w:ascii="Book Antiqua" w:hAnsi="Book Antiqua"/>
        </w:rPr>
      </w:pPr>
      <w:bookmarkStart w:id="1" w:name="_GoBack"/>
      <w:r>
        <w:rPr>
          <w:rFonts w:ascii="Book Antiqua" w:hAnsi="Book Antiqua"/>
          <w:noProof/>
          <w:lang w:eastAsia="zh-CN"/>
        </w:rPr>
        <w:lastRenderedPageBreak/>
        <w:drawing>
          <wp:inline distT="0" distB="0" distL="0" distR="0">
            <wp:extent cx="2499360" cy="1440180"/>
            <wp:effectExtent l="0" t="0" r="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4845D5" w:rsidRDefault="004845D5" w:rsidP="009339A3">
      <w:pPr>
        <w:jc w:val="center"/>
        <w:rPr>
          <w:rFonts w:ascii="Book Antiqua" w:hAnsi="Book Antiqua"/>
        </w:rPr>
      </w:pPr>
    </w:p>
    <w:p w:rsidR="004845D5" w:rsidRDefault="004845D5" w:rsidP="009339A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4845D5" w:rsidRDefault="004845D5" w:rsidP="009339A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4845D5" w:rsidRDefault="004845D5" w:rsidP="009339A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4845D5" w:rsidRDefault="004845D5" w:rsidP="009339A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4845D5" w:rsidRDefault="004845D5" w:rsidP="009339A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4845D5" w:rsidRDefault="004845D5" w:rsidP="009339A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4845D5" w:rsidRDefault="004845D5" w:rsidP="009339A3">
      <w:pPr>
        <w:jc w:val="center"/>
        <w:rPr>
          <w:rFonts w:ascii="Book Antiqua" w:hAnsi="Book Antiqua"/>
        </w:rPr>
      </w:pPr>
    </w:p>
    <w:p w:rsidR="004845D5" w:rsidRDefault="004845D5" w:rsidP="009339A3">
      <w:pPr>
        <w:jc w:val="center"/>
        <w:rPr>
          <w:rFonts w:ascii="Book Antiqua" w:hAnsi="Book Antiqua"/>
        </w:rPr>
      </w:pPr>
    </w:p>
    <w:p w:rsidR="004845D5" w:rsidRDefault="004845D5" w:rsidP="009339A3">
      <w:pPr>
        <w:jc w:val="center"/>
        <w:rPr>
          <w:rFonts w:ascii="Book Antiqua" w:hAnsi="Book Antiqua"/>
        </w:rPr>
      </w:pPr>
    </w:p>
    <w:p w:rsidR="004845D5" w:rsidRDefault="004845D5" w:rsidP="009339A3">
      <w:pPr>
        <w:jc w:val="center"/>
        <w:rPr>
          <w:rFonts w:ascii="Book Antiqua" w:hAnsi="Book Antiqua"/>
        </w:rPr>
      </w:pPr>
      <w:r>
        <w:rPr>
          <w:rFonts w:ascii="Book Antiqua" w:hAnsi="Book Antiqua"/>
          <w:noProof/>
          <w:lang w:eastAsia="zh-CN"/>
        </w:rPr>
        <w:drawing>
          <wp:inline distT="0" distB="0" distL="0" distR="0" wp14:anchorId="61BFDB17" wp14:editId="1844E384">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4845D5" w:rsidRDefault="004845D5" w:rsidP="009339A3">
      <w:pPr>
        <w:jc w:val="center"/>
        <w:rPr>
          <w:rFonts w:ascii="Book Antiqua" w:hAnsi="Book Antiqua"/>
        </w:rPr>
      </w:pPr>
    </w:p>
    <w:p w:rsidR="004845D5" w:rsidRDefault="004845D5" w:rsidP="009339A3">
      <w:pPr>
        <w:jc w:val="center"/>
        <w:rPr>
          <w:rFonts w:ascii="Book Antiqua" w:hAnsi="Book Antiqua" w:hint="eastAsia"/>
          <w:lang w:eastAsia="zh-CN"/>
        </w:rPr>
      </w:pPr>
    </w:p>
    <w:p w:rsidR="004845D5" w:rsidRDefault="004845D5" w:rsidP="009339A3">
      <w:pPr>
        <w:jc w:val="center"/>
        <w:rPr>
          <w:rFonts w:ascii="Book Antiqua" w:hAnsi="Book Antiqua"/>
        </w:rPr>
      </w:pPr>
    </w:p>
    <w:p w:rsidR="004845D5" w:rsidRDefault="004845D5" w:rsidP="009339A3">
      <w:pPr>
        <w:jc w:val="center"/>
        <w:rPr>
          <w:rFonts w:ascii="Book Antiqua" w:hAnsi="Book Antiqua"/>
          <w:color w:val="000000" w:themeColor="text1"/>
        </w:rPr>
      </w:pPr>
    </w:p>
    <w:p w:rsidR="004845D5" w:rsidRDefault="004845D5" w:rsidP="009339A3">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1"/>
    </w:p>
    <w:sectPr w:rsidR="004845D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B03" w:rsidRDefault="00D55B03">
      <w:r>
        <w:separator/>
      </w:r>
    </w:p>
  </w:endnote>
  <w:endnote w:type="continuationSeparator" w:id="0">
    <w:p w:rsidR="00D55B03" w:rsidRDefault="00D5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377526"/>
    </w:sdtPr>
    <w:sdtEndPr>
      <w:rPr>
        <w:rFonts w:ascii="Book Antiqua" w:hAnsi="Book Antiqua"/>
        <w:sz w:val="24"/>
        <w:szCs w:val="24"/>
      </w:rPr>
    </w:sdtEndPr>
    <w:sdtContent>
      <w:sdt>
        <w:sdtPr>
          <w:id w:val="-1705238520"/>
        </w:sdtPr>
        <w:sdtEndPr>
          <w:rPr>
            <w:rFonts w:ascii="Book Antiqua" w:hAnsi="Book Antiqua"/>
            <w:sz w:val="24"/>
            <w:szCs w:val="24"/>
          </w:rPr>
        </w:sdtEndPr>
        <w:sdtContent>
          <w:p w:rsidR="004845D5" w:rsidRDefault="004845D5">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9339A3">
              <w:rPr>
                <w:rFonts w:ascii="Book Antiqua" w:hAnsi="Book Antiqua"/>
                <w:noProof/>
                <w:sz w:val="24"/>
                <w:szCs w:val="24"/>
              </w:rPr>
              <w:t>30</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9339A3">
              <w:rPr>
                <w:rFonts w:ascii="Book Antiqua" w:hAnsi="Book Antiqua"/>
                <w:noProof/>
                <w:sz w:val="24"/>
                <w:szCs w:val="24"/>
              </w:rPr>
              <w:t>30</w:t>
            </w:r>
            <w:r>
              <w:rPr>
                <w:rFonts w:ascii="Book Antiqua" w:hAnsi="Book Antiqua"/>
                <w:sz w:val="24"/>
                <w:szCs w:val="24"/>
              </w:rPr>
              <w:fldChar w:fldCharType="end"/>
            </w:r>
          </w:p>
        </w:sdtContent>
      </w:sdt>
    </w:sdtContent>
  </w:sdt>
  <w:p w:rsidR="004845D5" w:rsidRDefault="004845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B03" w:rsidRDefault="00D55B03">
      <w:r>
        <w:separator/>
      </w:r>
    </w:p>
  </w:footnote>
  <w:footnote w:type="continuationSeparator" w:id="0">
    <w:p w:rsidR="00D55B03" w:rsidRDefault="00D55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4C1"/>
    <w:rsid w:val="00047776"/>
    <w:rsid w:val="000822E7"/>
    <w:rsid w:val="00091EC5"/>
    <w:rsid w:val="00177610"/>
    <w:rsid w:val="001A173C"/>
    <w:rsid w:val="001A6DC1"/>
    <w:rsid w:val="001B0CC3"/>
    <w:rsid w:val="00221967"/>
    <w:rsid w:val="00232CD3"/>
    <w:rsid w:val="00244E15"/>
    <w:rsid w:val="00260BC8"/>
    <w:rsid w:val="00290557"/>
    <w:rsid w:val="002A2B13"/>
    <w:rsid w:val="002B09EF"/>
    <w:rsid w:val="0031591C"/>
    <w:rsid w:val="00370A14"/>
    <w:rsid w:val="003A172F"/>
    <w:rsid w:val="004845D5"/>
    <w:rsid w:val="004C7641"/>
    <w:rsid w:val="00597495"/>
    <w:rsid w:val="005C3491"/>
    <w:rsid w:val="005F76F4"/>
    <w:rsid w:val="006C4A59"/>
    <w:rsid w:val="006D6907"/>
    <w:rsid w:val="00793C50"/>
    <w:rsid w:val="007C435B"/>
    <w:rsid w:val="007D01CC"/>
    <w:rsid w:val="008660C8"/>
    <w:rsid w:val="00880C7C"/>
    <w:rsid w:val="00926816"/>
    <w:rsid w:val="009339A3"/>
    <w:rsid w:val="00A2335C"/>
    <w:rsid w:val="00A47C5F"/>
    <w:rsid w:val="00A77B3E"/>
    <w:rsid w:val="00AF6552"/>
    <w:rsid w:val="00B34B25"/>
    <w:rsid w:val="00BA4889"/>
    <w:rsid w:val="00BD5B70"/>
    <w:rsid w:val="00BE43A9"/>
    <w:rsid w:val="00BF7063"/>
    <w:rsid w:val="00C32FB1"/>
    <w:rsid w:val="00C572B1"/>
    <w:rsid w:val="00CA2A55"/>
    <w:rsid w:val="00CF09CE"/>
    <w:rsid w:val="00CF2D7D"/>
    <w:rsid w:val="00D55B03"/>
    <w:rsid w:val="00DE4397"/>
    <w:rsid w:val="00E213D3"/>
    <w:rsid w:val="00E35016"/>
    <w:rsid w:val="00E628ED"/>
    <w:rsid w:val="00E927FE"/>
    <w:rsid w:val="00EC54EA"/>
    <w:rsid w:val="00F00B40"/>
    <w:rsid w:val="00F30A36"/>
    <w:rsid w:val="00F32EC9"/>
    <w:rsid w:val="00FB60ED"/>
    <w:rsid w:val="00FD4B48"/>
    <w:rsid w:val="00FE49DE"/>
    <w:rsid w:val="00FE5BF9"/>
    <w:rsid w:val="00FE6654"/>
    <w:rsid w:val="097308ED"/>
    <w:rsid w:val="15AE0393"/>
    <w:rsid w:val="231F3E4B"/>
    <w:rsid w:val="2C6953D8"/>
    <w:rsid w:val="324C763A"/>
    <w:rsid w:val="3ED47DE9"/>
    <w:rsid w:val="44DF5F8F"/>
    <w:rsid w:val="45E15159"/>
    <w:rsid w:val="48902722"/>
    <w:rsid w:val="4F641C8F"/>
    <w:rsid w:val="4F8C5A82"/>
    <w:rsid w:val="5C3423DF"/>
    <w:rsid w:val="69403626"/>
    <w:rsid w:val="69582C4E"/>
    <w:rsid w:val="77202CA2"/>
    <w:rsid w:val="7740370F"/>
    <w:rsid w:val="79F24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4">
    <w:name w:val="heading 4"/>
    <w:basedOn w:val="a"/>
    <w:next w:val="a"/>
    <w:link w:val="4Char"/>
    <w:qFormat/>
    <w:pPr>
      <w:widowControl w:val="0"/>
      <w:spacing w:before="100" w:beforeAutospacing="1" w:after="100" w:afterAutospacing="1"/>
      <w:outlineLvl w:val="3"/>
    </w:pPr>
    <w:rPr>
      <w:rFonts w:ascii="宋体" w:eastAsia="宋体" w:hAnsi="宋体" w:hint="eastAsia"/>
      <w:b/>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qFormat/>
    <w:rPr>
      <w:sz w:val="18"/>
      <w:szCs w:val="18"/>
    </w:rPr>
  </w:style>
  <w:style w:type="character" w:customStyle="1" w:styleId="4Char">
    <w:name w:val="标题 4 Char"/>
    <w:basedOn w:val="a0"/>
    <w:link w:val="4"/>
    <w:qFormat/>
    <w:rPr>
      <w:rFonts w:ascii="宋体" w:eastAsia="宋体" w:hAnsi="宋体"/>
      <w:b/>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4">
    <w:name w:val="heading 4"/>
    <w:basedOn w:val="a"/>
    <w:next w:val="a"/>
    <w:link w:val="4Char"/>
    <w:qFormat/>
    <w:pPr>
      <w:widowControl w:val="0"/>
      <w:spacing w:before="100" w:beforeAutospacing="1" w:after="100" w:afterAutospacing="1"/>
      <w:outlineLvl w:val="3"/>
    </w:pPr>
    <w:rPr>
      <w:rFonts w:ascii="宋体" w:eastAsia="宋体" w:hAnsi="宋体" w:hint="eastAsia"/>
      <w:b/>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qFormat/>
    <w:rPr>
      <w:sz w:val="18"/>
      <w:szCs w:val="18"/>
    </w:rPr>
  </w:style>
  <w:style w:type="character" w:customStyle="1" w:styleId="4Char">
    <w:name w:val="标题 4 Char"/>
    <w:basedOn w:val="a0"/>
    <w:link w:val="4"/>
    <w:qFormat/>
    <w:rPr>
      <w:rFonts w:ascii="宋体" w:eastAsia="宋体" w:hAnsi="宋体"/>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4319">
      <w:bodyDiv w:val="1"/>
      <w:marLeft w:val="0"/>
      <w:marRight w:val="0"/>
      <w:marTop w:val="0"/>
      <w:marBottom w:val="0"/>
      <w:divBdr>
        <w:top w:val="none" w:sz="0" w:space="0" w:color="auto"/>
        <w:left w:val="none" w:sz="0" w:space="0" w:color="auto"/>
        <w:bottom w:val="none" w:sz="0" w:space="0" w:color="auto"/>
        <w:right w:val="none" w:sz="0" w:space="0" w:color="auto"/>
      </w:divBdr>
    </w:div>
    <w:div w:id="170998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Program%20Files/Youdao/Dict/7.5.2.0/resultui/dict/?keyword=thrombin" TargetMode="External"/><Relationship Id="rId18" Type="http://schemas.openxmlformats.org/officeDocument/2006/relationships/hyperlink" Target="C:/Program%20Files/Youdao/Dict/7.5.2.0/resultui/dict/?keyword=bilirubin" TargetMode="External"/><Relationship Id="rId26" Type="http://schemas.openxmlformats.org/officeDocument/2006/relationships/hyperlink" Target="C:/Program%20Files/Youdao/Dict/7.5.2.0/resultui/dict/javascript:;" TargetMode="External"/><Relationship Id="rId3" Type="http://schemas.microsoft.com/office/2007/relationships/stylesWithEffects" Target="stylesWithEffects.xml"/><Relationship Id="rId21" Type="http://schemas.openxmlformats.org/officeDocument/2006/relationships/hyperlink" Target="C:/Program%20Files/Youdao/Dict/7.5.2.0/resultui/dict/?keyword=transaminase" TargetMode="External"/><Relationship Id="rId7" Type="http://schemas.openxmlformats.org/officeDocument/2006/relationships/endnotes" Target="endnotes.xml"/><Relationship Id="rId12" Type="http://schemas.openxmlformats.org/officeDocument/2006/relationships/hyperlink" Target="C:/Program%20Files/Youdao/Dict/7.5.2.0/resultui/dict/../dict/result.html?keyword=international%20normalized%20ratio&amp;lang=en" TargetMode="External"/><Relationship Id="rId17" Type="http://schemas.openxmlformats.org/officeDocument/2006/relationships/hyperlink" Target="C:/Program%20Files/Youdao/Dict/7.5.2.0/resultui/dict/?keyword=" TargetMode="External"/><Relationship Id="rId25" Type="http://schemas.openxmlformats.org/officeDocument/2006/relationships/hyperlink" Target="C:/Program%20Files/Youdao/Dict/7.5.2.0/resultui/dict/javascript:;" TargetMode="External"/><Relationship Id="rId2" Type="http://schemas.openxmlformats.org/officeDocument/2006/relationships/styles" Target="styles.xml"/><Relationship Id="rId16" Type="http://schemas.openxmlformats.org/officeDocument/2006/relationships/hyperlink" Target="C:/Program%20Files/Youdao/Dict/7.5.2.0/resultui/dict/?keyword=conjugated" TargetMode="External"/><Relationship Id="rId20" Type="http://schemas.openxmlformats.org/officeDocument/2006/relationships/hyperlink" Target="C:/Program%20Files/Youdao/Dict/7.5.2.0/resultui/dict/?keywor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Program%20Files/Youdao/Dict/7.5.2.0/resultui/dict/javascript:;" TargetMode="External"/><Relationship Id="rId24" Type="http://schemas.openxmlformats.org/officeDocument/2006/relationships/hyperlink" Target="C:/Program%20Files/Youdao/Dict/7.5.2.0/resultui/dict/javascript:;" TargetMode="External"/><Relationship Id="rId5" Type="http://schemas.openxmlformats.org/officeDocument/2006/relationships/webSettings" Target="webSettings.xml"/><Relationship Id="rId15" Type="http://schemas.openxmlformats.org/officeDocument/2006/relationships/hyperlink" Target="C:/Program%20Files/Youdao/Dict/7.5.2.0/resultui/dict/?keyword=time" TargetMode="External"/><Relationship Id="rId23" Type="http://schemas.openxmlformats.org/officeDocument/2006/relationships/hyperlink" Target="C:/Program%20Files/Youdao/Dict/7.5.2.0/resultui/dict/?keyword=cholinesterase" TargetMode="External"/><Relationship Id="rId28" Type="http://schemas.openxmlformats.org/officeDocument/2006/relationships/image" Target="media/image2.png"/><Relationship Id="rId10" Type="http://schemas.openxmlformats.org/officeDocument/2006/relationships/hyperlink" Target="C:/Program%20Files/Youdao/Dict/7.5.2.0/resultui/dict/javascript:;" TargetMode="External"/><Relationship Id="rId19" Type="http://schemas.openxmlformats.org/officeDocument/2006/relationships/hyperlink" Target="C:/Program%20Files/Youdao/Dict/7.5.2.0/resultui/dict/?keyword=glutamic-pyruvic" TargetMode="External"/><Relationship Id="rId4" Type="http://schemas.openxmlformats.org/officeDocument/2006/relationships/settings" Target="settings.xml"/><Relationship Id="rId9" Type="http://schemas.openxmlformats.org/officeDocument/2006/relationships/hyperlink" Target="file:///C:/Program%2520Files/Youdao/Dict/7.5.2.0/resultui/dict/?keyword=now" TargetMode="External"/><Relationship Id="rId14" Type="http://schemas.openxmlformats.org/officeDocument/2006/relationships/hyperlink" Target="C:/Program%20Files/Youdao/Dict/7.5.2.0/resultui/dict/?keyword=" TargetMode="External"/><Relationship Id="rId22" Type="http://schemas.openxmlformats.org/officeDocument/2006/relationships/hyperlink" Target="C:/Program%20Files/Youdao/Dict/7.5.2.0/resultui/dict/?keyword="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7695</Words>
  <Characters>43864</Characters>
  <Application>Microsoft Office Word</Application>
  <DocSecurity>0</DocSecurity>
  <Lines>365</Lines>
  <Paragraphs>102</Paragraphs>
  <ScaleCrop>false</ScaleCrop>
  <Company>HP</Company>
  <LinksUpToDate>false</LinksUpToDate>
  <CharactersWithSpaces>51457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7</cp:revision>
  <dcterms:created xsi:type="dcterms:W3CDTF">2020-12-17T00:48:00Z</dcterms:created>
  <dcterms:modified xsi:type="dcterms:W3CDTF">2021-01-22T17:25:00Z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