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9.0 -->
  <w:body>
    <w:p w:rsidR="00A77B3E">
      <w:pPr>
        <w:spacing w:line="360" w:lineRule="auto"/>
        <w:jc w:val="both"/>
        <w:rPr>
          <w:sz w:val="24"/>
        </w:rPr>
      </w:pPr>
      <w:r>
        <w:rPr>
          <w:rFonts w:ascii="Book Antiqua" w:eastAsia="Book Antiqua" w:hAnsi="Book Antiqua" w:cs="Book Antiqua"/>
          <w:b/>
          <w:color w:val="000000"/>
          <w:sz w:val="24"/>
        </w:rPr>
        <w:t xml:space="preserve">Name of Journal: </w:t>
      </w:r>
      <w:r>
        <w:rPr>
          <w:rFonts w:ascii="Book Antiqua" w:eastAsia="Book Antiqua" w:hAnsi="Book Antiqua" w:cs="Book Antiqua"/>
          <w:i/>
          <w:color w:val="000000"/>
          <w:sz w:val="24"/>
        </w:rPr>
        <w:t>World Journal of Clinical Cases</w:t>
      </w:r>
    </w:p>
    <w:p w:rsidR="00A77B3E">
      <w:pPr>
        <w:spacing w:line="360" w:lineRule="auto"/>
        <w:jc w:val="both"/>
        <w:rPr>
          <w:sz w:val="24"/>
        </w:rPr>
      </w:pPr>
      <w:r>
        <w:rPr>
          <w:rFonts w:ascii="Book Antiqua" w:eastAsia="Book Antiqua" w:hAnsi="Book Antiqua" w:cs="Book Antiqua"/>
          <w:b/>
          <w:color w:val="000000"/>
          <w:sz w:val="24"/>
        </w:rPr>
        <w:t xml:space="preserve">Manuscript NO: </w:t>
      </w:r>
      <w:r>
        <w:rPr>
          <w:rFonts w:ascii="Book Antiqua" w:eastAsia="Book Antiqua" w:hAnsi="Book Antiqua" w:cs="Book Antiqua"/>
          <w:color w:val="000000"/>
          <w:sz w:val="24"/>
        </w:rPr>
        <w:t>59366</w:t>
      </w:r>
    </w:p>
    <w:p w:rsidR="00A77B3E">
      <w:pPr>
        <w:spacing w:line="360" w:lineRule="auto"/>
        <w:jc w:val="both"/>
        <w:rPr>
          <w:sz w:val="24"/>
        </w:rPr>
      </w:pPr>
      <w:r>
        <w:rPr>
          <w:rFonts w:ascii="Book Antiqua" w:eastAsia="Book Antiqua" w:hAnsi="Book Antiqua" w:cs="Book Antiqua"/>
          <w:b/>
          <w:color w:val="000000"/>
          <w:sz w:val="24"/>
        </w:rPr>
        <w:t xml:space="preserve">Manuscript Type: </w:t>
      </w:r>
      <w:r>
        <w:rPr>
          <w:rFonts w:ascii="Book Antiqua" w:eastAsia="Book Antiqua" w:hAnsi="Book Antiqua" w:cs="Book Antiqua"/>
          <w:color w:val="000000"/>
          <w:sz w:val="24"/>
        </w:rPr>
        <w:t>LETTER TO THE EDITOR</w:t>
      </w:r>
    </w:p>
    <w:p w:rsidR="00A77B3E">
      <w:pPr>
        <w:spacing w:line="360" w:lineRule="auto"/>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Is positivity for hepatitis C virus antibody predictive of lower risk of death in COVID-19 patients with cirrhosis?</w:t>
      </w:r>
    </w:p>
    <w:p w:rsidR="00A77B3E">
      <w:pPr>
        <w:spacing w:line="360" w:lineRule="auto"/>
        <w:ind w:firstLine="0"/>
        <w:jc w:val="both"/>
        <w:rPr>
          <w:sz w:val="24"/>
        </w:rPr>
      </w:pPr>
    </w:p>
    <w:p w:rsidR="00A77B3E">
      <w:pPr>
        <w:spacing w:line="360" w:lineRule="auto"/>
        <w:ind w:firstLine="0"/>
        <w:jc w:val="both"/>
        <w:rPr>
          <w:sz w:val="24"/>
        </w:rPr>
      </w:pPr>
      <w:r>
        <w:rPr>
          <w:rStyle w:val="PageNumber"/>
          <w:rFonts w:ascii="Book Antiqua" w:eastAsia="Book Antiqua" w:hAnsi="Book Antiqua" w:cs="Book Antiqua"/>
          <w:color w:val="000000"/>
          <w:sz w:val="24"/>
        </w:rPr>
        <w:t>HCV-related cirrhosis and COVID-19</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Alessandra Mangia, Giovanni Cenderello, Gabriella Verucchi, Alessia Ciancio, Andrea Fontana, Valeria Piazzolla, Nicola Minerva, Maria Maddalena Squillante, Massimiliano Copetti</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Alessandra Mangia, Valeria Piazzolla, Maria Maddalena Squillante, </w:t>
      </w:r>
      <w:r>
        <w:rPr>
          <w:rFonts w:ascii="Book Antiqua" w:eastAsia="Book Antiqua" w:hAnsi="Book Antiqua" w:cs="Book Antiqua"/>
          <w:color w:val="000000"/>
          <w:sz w:val="24"/>
        </w:rPr>
        <w:t>Liver Unit, Department of Medical Sciences, Fondazione IRCCS “Casa Sollievo della Sofferenza”, San Giovanni Rotondo 71013, Italy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Giovanni Cenderello, </w:t>
      </w:r>
      <w:r>
        <w:rPr>
          <w:rFonts w:ascii="Book Antiqua" w:eastAsia="Book Antiqua" w:hAnsi="Book Antiqua" w:cs="Book Antiqua"/>
          <w:color w:val="000000"/>
          <w:sz w:val="24"/>
        </w:rPr>
        <w:t>Department of Infectious Disease, ASL1 Imperiese, Sanremo 18038, Italy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Gabriella Verucchi, </w:t>
      </w:r>
      <w:r>
        <w:rPr>
          <w:rFonts w:ascii="Book Antiqua" w:eastAsia="Book Antiqua" w:hAnsi="Book Antiqua" w:cs="Book Antiqua"/>
          <w:color w:val="000000"/>
          <w:sz w:val="24"/>
        </w:rPr>
        <w:t>Department of Infectious Disease, University of Bologna, Bologna 40138, Italy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Alessia Ciancio, </w:t>
      </w:r>
      <w:r>
        <w:rPr>
          <w:rFonts w:ascii="Book Antiqua" w:eastAsia="Book Antiqua" w:hAnsi="Book Antiqua" w:cs="Book Antiqua"/>
          <w:color w:val="000000"/>
          <w:sz w:val="24"/>
        </w:rPr>
        <w:t>Department of Gastroenterology, University of Turin, Torino 10156, Italy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Andrea Fontana, Massimiliano Copetti, </w:t>
      </w:r>
      <w:r>
        <w:rPr>
          <w:rFonts w:ascii="Book Antiqua" w:eastAsia="Book Antiqua" w:hAnsi="Book Antiqua" w:cs="Book Antiqua"/>
          <w:color w:val="000000"/>
          <w:sz w:val="24"/>
        </w:rPr>
        <w:t>Department of Biostatistics, Fondazione IRCCS “Casa Sollievo della Sofferenza”, San Giovanni Rotondo 71013, Italy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Nicola Minerva, </w:t>
      </w:r>
      <w:r>
        <w:rPr>
          <w:rFonts w:ascii="Book Antiqua" w:eastAsia="Book Antiqua" w:hAnsi="Book Antiqua" w:cs="Book Antiqua"/>
          <w:color w:val="000000"/>
          <w:sz w:val="24"/>
        </w:rPr>
        <w:t>Department of Internal Medicine, Ospedale Bonomo, Andria 76123, Italy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Author contributions: </w:t>
      </w:r>
      <w:r>
        <w:rPr>
          <w:rStyle w:val="PageNumber"/>
          <w:rFonts w:ascii="Book Antiqua" w:eastAsia="Book Antiqua" w:hAnsi="Book Antiqua" w:cs="Book Antiqua"/>
          <w:color w:val="000000"/>
          <w:sz w:val="24"/>
        </w:rPr>
        <w:t>Mangia A designed the study; Mangia A, Fontana A and Copetti M performed the data analysis and wrote the manuscript; Ciancio A, Verucchi G, Cenderello G, Minerva N and Piazzolla V collected the data and revised the manuscript for important intellectual content.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Corresponding author: </w:t>
      </w:r>
      <w:r>
        <w:rPr>
          <w:rFonts w:ascii="Book Antiqua" w:eastAsia="Book Antiqua" w:hAnsi="Book Antiqua" w:cs="Book Antiqua"/>
          <w:b/>
          <w:bCs/>
          <w:color w:val="000000"/>
          <w:sz w:val="24"/>
        </w:rPr>
        <w:t xml:space="preserve">Alessandra Mangia, MD, N/A, N/A, </w:t>
      </w:r>
      <w:r>
        <w:rPr>
          <w:rFonts w:ascii="Book Antiqua" w:eastAsia="Book Antiqua" w:hAnsi="Book Antiqua" w:cs="Book Antiqua"/>
          <w:color w:val="000000"/>
          <w:sz w:val="24"/>
        </w:rPr>
        <w:t>Liver Unit, Department of Medical Sciences, Fondazione IRCCS “Casa Sollievo della Sofferenza”, viale Cappuccini,1, San Giovanni Rotondo 71013, Italy. a.mangia@tin.it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September 11, 2020</w:t>
      </w:r>
    </w:p>
    <w:p w:rsidR="00A77B3E">
      <w:pPr>
        <w:spacing w:line="360" w:lineRule="auto"/>
        <w:ind w:firstLine="0"/>
        <w:jc w:val="both"/>
        <w:rPr>
          <w:sz w:val="24"/>
        </w:rPr>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October 1, 2020</w:t>
      </w:r>
    </w:p>
    <w:p w:rsidR="00A77B3E">
      <w:pPr>
        <w:spacing w:line="360" w:lineRule="auto"/>
        <w:ind w:firstLine="0"/>
        <w:jc w:val="both"/>
        <w:rPr>
          <w:sz w:val="24"/>
        </w:rPr>
      </w:pPr>
      <w:r>
        <w:rPr>
          <w:rFonts w:ascii="Book Antiqua" w:eastAsia="Book Antiqua" w:hAnsi="Book Antiqua" w:cs="Book Antiqua"/>
          <w:b/>
          <w:bCs/>
          <w:color w:val="000000"/>
          <w:sz w:val="24"/>
        </w:rPr>
        <w:t xml:space="preserve">Accepted: </w:t>
      </w:r>
      <w:r>
        <w:rPr>
          <w:rFonts w:ascii="Book Antiqua" w:eastAsia="Book Antiqua" w:hAnsi="Book Antiqua" w:cs="Book Antiqua"/>
          <w:color w:val="000000"/>
          <w:sz w:val="24"/>
        </w:rPr>
        <w:t>November 2, 2020</w:t>
      </w:r>
    </w:p>
    <w:p w:rsidR="00A77B3E">
      <w:pPr>
        <w:spacing w:line="360" w:lineRule="auto"/>
        <w:ind w:firstLine="0"/>
        <w:jc w:val="both"/>
        <w:rPr>
          <w:sz w:val="24"/>
        </w:rPr>
      </w:pPr>
      <w:r>
        <w:rPr>
          <w:rFonts w:ascii="Book Antiqua" w:eastAsia="Book Antiqua" w:hAnsi="Book Antiqua" w:cs="Book Antiqua"/>
          <w:b/>
          <w:bCs/>
          <w:color w:val="000000"/>
          <w:sz w:val="24"/>
        </w:rPr>
        <w:t xml:space="preserve">Published online: </w:t>
      </w:r>
      <w:r>
        <w:rPr>
          <w:rFonts w:ascii="Book Antiqua" w:eastAsia="Book Antiqua" w:hAnsi="Book Antiqua" w:cs="Book Antiqua"/>
          <w:color w:val="000000"/>
          <w:sz w:val="24"/>
        </w:rPr>
        <w:t>November 26, 2020</w:t>
      </w:r>
    </w:p>
    <w:p w:rsidR="00A77B3E">
      <w:pPr>
        <w:spacing w:line="360" w:lineRule="auto"/>
        <w:ind w:firstLine="0"/>
        <w:jc w:val="both"/>
        <w:rPr>
          <w:sz w:val="24"/>
        </w:rPr>
        <w:sectPr>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Abstract</w:t>
      </w:r>
    </w:p>
    <w:p w:rsidR="00A77B3E">
      <w:pPr>
        <w:spacing w:line="360" w:lineRule="auto"/>
        <w:ind w:firstLine="0"/>
        <w:jc w:val="both"/>
        <w:rPr>
          <w:sz w:val="24"/>
        </w:rPr>
      </w:pPr>
      <w:r>
        <w:rPr>
          <w:rStyle w:val="PageNumber"/>
          <w:rFonts w:ascii="Book Antiqua" w:eastAsia="Book Antiqua" w:hAnsi="Book Antiqua" w:cs="Book Antiqua"/>
          <w:color w:val="000000"/>
          <w:sz w:val="24"/>
        </w:rPr>
        <w:t xml:space="preserve">Liver injury has been reported in coronavirus disease 2019 (COVID-19) cases but the impact of pre-existing liver damage and related etiology have not been completely elucidated. Our research interests include the potential reciprocal influence of COVID-19 and pre-existing liver damage related to hepatitis C virus (HCV) infection, in particular. To this end, we have evaluated three cohorts of patients admitted at three Italian hospitals during the coronavirus pandemic; these included 332 patients with COVID-19 and 1527 patients with HCV who were from established real-world antiviral treatment study cohorts (sofosbuvir/velpatasvir), with either liver disease (various severities; </w:t>
      </w:r>
      <w:r>
        <w:rPr>
          <w:rStyle w:val="PageNumber"/>
          <w:rFonts w:ascii="Book Antiqua" w:eastAsia="Book Antiqua" w:hAnsi="Book Antiqua" w:cs="Book Antiqua"/>
          <w:i/>
          <w:iCs/>
          <w:color w:val="000000"/>
          <w:sz w:val="24"/>
        </w:rPr>
        <w:t>n</w:t>
      </w:r>
      <w:r>
        <w:rPr>
          <w:rStyle w:val="PageNumber"/>
          <w:rFonts w:ascii="Book Antiqua" w:eastAsia="Book Antiqua" w:hAnsi="Book Antiqua" w:cs="Book Antiqua"/>
          <w:color w:val="000000"/>
          <w:sz w:val="24"/>
        </w:rPr>
        <w:t xml:space="preserve"> = 1319) or cirrhosis (</w:t>
      </w:r>
      <w:r>
        <w:rPr>
          <w:rStyle w:val="PageNumber"/>
          <w:rFonts w:ascii="Book Antiqua" w:eastAsia="Book Antiqua" w:hAnsi="Book Antiqua" w:cs="Book Antiqua"/>
          <w:i/>
          <w:iCs/>
          <w:color w:val="000000"/>
          <w:sz w:val="24"/>
        </w:rPr>
        <w:t>n</w:t>
      </w:r>
      <w:r>
        <w:rPr>
          <w:rFonts w:ascii="Book Antiqua" w:eastAsia="Book Antiqua" w:hAnsi="Book Antiqua" w:cs="Book Antiqua"/>
          <w:b w:val="0"/>
          <w:bCs w:val="0"/>
          <w:i w:val="0"/>
          <w:iCs w:val="0"/>
          <w:color w:val="000000"/>
          <w:sz w:val="24"/>
          <w:u w:val="none"/>
          <w:vertAlign w:val="baseline"/>
        </w:rPr>
        <w:t xml:space="preserve"> = 208). Among the COVID-19 patients, 10 had cirrhosis (3%), including 7 of metabolic origin and 3 of viral origin. Mortality among the COVID-19 patients was 27.1%, with 70% of those with cirrhosis of metabolic etiology having died. Cirrhosis, older age, low white blood cell count and lymphocyte count being identified as risk predictors of death </w:t>
      </w:r>
      <w:r>
        <w:rPr>
          <w:rFonts w:ascii="Book Antiqua" w:eastAsia="Book Antiqua" w:hAnsi="Book Antiqua" w:cs="Book Antiqua"/>
          <w:b w:val="0"/>
          <w:bCs w:val="0"/>
          <w:i w:val="0"/>
          <w:iCs w:val="0"/>
          <w:color w:val="000000"/>
          <w:sz w:val="24"/>
          <w:u w:val="none"/>
          <w:vertAlign w:val="baseline"/>
        </w:rPr>
        <w:t xml:space="preserve">[odds ratio (OR) = 13.7, 95% confidence interval (CI): 2.59-83.01, </w:t>
      </w:r>
      <w:r>
        <w:rPr>
          <w:rStyle w:val="PageNumber"/>
          <w:rFonts w:ascii="Book Antiqua" w:eastAsia="Book Antiqua" w:hAnsi="Book Antiqua" w:cs="Book Antiqua"/>
          <w:i/>
          <w:iCs/>
          <w:color w:val="000000"/>
          <w:sz w:val="24"/>
        </w:rPr>
        <w:t>P</w:t>
      </w:r>
      <w:r>
        <w:rPr>
          <w:rStyle w:val="PageNumber"/>
          <w:rFonts w:ascii="Book Antiqua" w:eastAsia="Book Antiqua" w:hAnsi="Book Antiqua" w:cs="Book Antiqua"/>
          <w:color w:val="000000"/>
          <w:sz w:val="24"/>
        </w:rPr>
        <w:t xml:space="preserve"> = 0.006; OR = 1.05, 95%CI: 1.03-1.08, </w:t>
      </w:r>
      <w:r>
        <w:rPr>
          <w:rStyle w:val="PageNumber"/>
          <w:rFonts w:ascii="Book Antiqua" w:eastAsia="Book Antiqua" w:hAnsi="Book Antiqua" w:cs="Book Antiqua"/>
          <w:i/>
          <w:iCs/>
          <w:color w:val="000000"/>
          <w:sz w:val="24"/>
        </w:rPr>
        <w:t>P</w:t>
      </w:r>
      <w:r>
        <w:rPr>
          <w:rStyle w:val="PageNumber"/>
          <w:rFonts w:ascii="Book Antiqua" w:eastAsia="Book Antiqua" w:hAnsi="Book Antiqua" w:cs="Book Antiqua"/>
          <w:color w:val="000000"/>
          <w:sz w:val="24"/>
        </w:rPr>
        <w:t xml:space="preserve"> = 0.0001; OR = 1.09, 95%CI: 1.36-1.16, </w:t>
      </w:r>
      <w:r>
        <w:rPr>
          <w:rStyle w:val="PageNumber"/>
          <w:rFonts w:ascii="Book Antiqua" w:eastAsia="Book Antiqua" w:hAnsi="Book Antiqua" w:cs="Book Antiqua"/>
          <w:i/>
          <w:iCs/>
          <w:color w:val="000000"/>
          <w:sz w:val="24"/>
        </w:rPr>
        <w:t>P</w:t>
      </w:r>
      <w:r>
        <w:rPr>
          <w:rStyle w:val="PageNumber"/>
          <w:rFonts w:ascii="Book Antiqua" w:eastAsia="Book Antiqua" w:hAnsi="Book Antiqua" w:cs="Book Antiqua"/>
          <w:color w:val="000000"/>
          <w:sz w:val="24"/>
        </w:rPr>
        <w:t xml:space="preserve"> = 0.001; OR = 0.61, 95%CI: 0.39-0.93, </w:t>
      </w:r>
      <w:r>
        <w:rPr>
          <w:rStyle w:val="PageNumber"/>
          <w:rFonts w:ascii="Book Antiqua" w:eastAsia="Book Antiqua" w:hAnsi="Book Antiqua" w:cs="Book Antiqua"/>
          <w:i/>
          <w:iCs/>
          <w:color w:val="000000"/>
          <w:sz w:val="24"/>
        </w:rPr>
        <w:t>P</w:t>
      </w:r>
      <w:r>
        <w:rPr>
          <w:rStyle w:val="PageNumber"/>
          <w:rFonts w:ascii="Book Antiqua" w:eastAsia="Book Antiqua" w:hAnsi="Book Antiqua" w:cs="Book Antiqua"/>
          <w:color w:val="000000"/>
          <w:sz w:val="24"/>
        </w:rPr>
        <w:t xml:space="preserve"> = 0.023, respectively]. In the two cohorts of HCV patients, COVID-19 diagnosis was made in 0.07% of those with liver disease and 1% of those with cirrhosis. Thus, the prevalence of HCV antibodies among COVID-19-infected patients was comparable to that currently reported for the general population in Italy. Amongst the COVID-19 patients, pre-existing metabolic cirrhosis appears to be associated with higher mortality, while HCV antibodies may be suggestive of “protection” against COVID-19.</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Key Words: </w:t>
      </w:r>
      <w:r>
        <w:rPr>
          <w:rStyle w:val="PageNumber"/>
          <w:rFonts w:ascii="Book Antiqua" w:eastAsia="Book Antiqua" w:hAnsi="Book Antiqua" w:cs="Book Antiqua"/>
          <w:color w:val="000000"/>
          <w:sz w:val="24"/>
        </w:rPr>
        <w:t>Hepatitis C virus; Hepatitis B virus; Cirrhosis; COVID-19; Sofosbuvir; Velpatasvir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 xml:space="preserve">Mangia A, Cenderello G, Verucchi G, Ciancio A, Fontana A, Piazzolla V, Minerva N, Squillante MM, Copetti M. Is positivity for hepatitis C virus antibody predictive of lower risk of death in COVID-19 patients with cirrhosis?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2020; In press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Core Tip: </w:t>
      </w:r>
      <w:r>
        <w:rPr>
          <w:rStyle w:val="PageNumber"/>
          <w:rFonts w:ascii="Book Antiqua" w:eastAsia="Book Antiqua" w:hAnsi="Book Antiqua" w:cs="Book Antiqua"/>
          <w:color w:val="000000"/>
          <w:sz w:val="24"/>
        </w:rPr>
        <w:t>This ongoing study aims to investigate the potential reciprocal influence of coronavirus disease 2019 (COVID-19) and pre-existing cirrhosis. To date, it has included 332 patients with COVID-19 admitted to three Italian hospitals during the current pandemic, as well as two large cohorts of hepatitis C virus (HCV) patients from real-world antiviral treatment (pangenotypic sofosbuvir/velpatasvir combination) studies. Despite the limited COVID-19 sample size, cirrhosis was found to be associated with higher mortality, with the majority of deaths related to cirrhosis of metabolic origin. The very low prevalence of COVID-19 in the HCV cohorts supports a possible protective role of HCV antibodies.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TO THE EDITOR</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 xml:space="preserve">Coronavirus disease 2019 (COVID-19) caused by the severe acute respiratory syndrome-coronavirus type-2 (SARS-CoV-2) presents a spectrum of clinical manifestations; although, it predominantly results in severe respiratory disease that is associated with significant morbidity and mortality. Early reports of COVID-19 cases described hepatic manifestations, but the pathogenesis of liver injury remains unclear. The role of a pre-existing liver disease related to infections with either the hepatitis B virus (HBV) or hepatitis C virus (HCV) </w:t>
      </w:r>
      <w:r>
        <w:rPr>
          <w:rFonts w:ascii="Book Antiqua" w:eastAsia="Book Antiqua" w:hAnsi="Book Antiqua" w:cs="Book Antiqua"/>
          <w:b w:val="0"/>
          <w:bCs w:val="0"/>
          <w:i w:val="0"/>
          <w:iCs w:val="0"/>
          <w:color w:val="000000"/>
          <w:sz w:val="24"/>
          <w:u w:val="none"/>
          <w:vertAlign w:val="baseline"/>
        </w:rPr>
        <w:t>[± human immunodeficiency virus (HIV) co-infection]</w:t>
      </w:r>
      <w:r>
        <w:rPr>
          <w:rFonts w:ascii="Book Antiqua" w:eastAsia="Book Antiqua" w:hAnsi="Book Antiqua" w:cs="Book Antiqua"/>
          <w:b w:val="0"/>
          <w:bCs w:val="0"/>
          <w:i w:val="0"/>
          <w:iCs w:val="0"/>
          <w:color w:val="000000"/>
          <w:sz w:val="24"/>
          <w:u w:val="none"/>
          <w:vertAlign w:val="baseline"/>
        </w:rPr>
        <w:t xml:space="preserve"> or to metabolic liver damage with concomitant obesity and diabetes may be relevant. In a large cohort of SARS-CoV-2 patients in the United States, among which 41.7% of cases had comorbid metabolic disease, HBV and HCV infections were determined to play a marginal role, being reported in only 0.1% and &lt; 0.1%, respectively</w:t>
      </w:r>
      <w:r>
        <w:rPr>
          <w:rStyle w:val="PageNumber"/>
          <w:rFonts w:ascii="Book Antiqua" w:eastAsia="Book Antiqua" w:hAnsi="Book Antiqua" w:cs="Book Antiqua"/>
          <w:color w:val="000000"/>
          <w:sz w:val="24"/>
          <w:szCs w:val="20"/>
          <w:vertAlign w:val="superscript"/>
        </w:rPr>
        <w:t>[1]</w:t>
      </w:r>
      <w:r>
        <w:rPr>
          <w:rStyle w:val="PageNumber"/>
          <w:rFonts w:ascii="Book Antiqua" w:eastAsia="Book Antiqua" w:hAnsi="Book Antiqua" w:cs="Book Antiqua"/>
          <w:color w:val="000000"/>
          <w:sz w:val="24"/>
        </w:rPr>
        <w:t>. In SARS-CoV-2 patients from China, however, the rate of HBV infection was 2.1%, reflecting the greater local prevalence of HBV</w:t>
      </w:r>
      <w:r>
        <w:rPr>
          <w:rStyle w:val="PageNumber"/>
          <w:rFonts w:ascii="Book Antiqua" w:eastAsia="Book Antiqua" w:hAnsi="Book Antiqua" w:cs="Book Antiqua"/>
          <w:color w:val="000000"/>
          <w:sz w:val="24"/>
          <w:szCs w:val="20"/>
          <w:vertAlign w:val="superscript"/>
        </w:rPr>
        <w:t>[2]</w:t>
      </w:r>
      <w:r>
        <w:rPr>
          <w:rStyle w:val="PageNumber"/>
          <w:rFonts w:ascii="Book Antiqua" w:eastAsia="Book Antiqua" w:hAnsi="Book Antiqua" w:cs="Book Antiqua"/>
          <w:color w:val="000000"/>
          <w:sz w:val="24"/>
        </w:rPr>
        <w:t>. Otherwise, data on replicative status of these hepatitis patients are lacking. As the global prevalence of HBV and HCV infections is geographically variable</w:t>
      </w:r>
      <w:r>
        <w:rPr>
          <w:rStyle w:val="PageNumber"/>
          <w:rFonts w:ascii="Book Antiqua" w:eastAsia="Book Antiqua" w:hAnsi="Book Antiqua" w:cs="Book Antiqua"/>
          <w:color w:val="000000"/>
          <w:sz w:val="24"/>
          <w:szCs w:val="20"/>
          <w:vertAlign w:val="superscript"/>
        </w:rPr>
        <w:t>[3,4]</w:t>
      </w:r>
      <w:r>
        <w:rPr>
          <w:rStyle w:val="PageNumber"/>
          <w:rFonts w:ascii="Book Antiqua" w:eastAsia="Book Antiqua" w:hAnsi="Book Antiqua" w:cs="Book Antiqua"/>
          <w:color w:val="000000"/>
          <w:sz w:val="24"/>
        </w:rPr>
        <w:t>, data from Europe may help improve our understanding of the reciprocal impact of SARS-CoV-2 and HCV/HBV. We have focused our recent research on determining the liver function markers that show abnormalities in routine laboratory testing, including markers of HBV/HCV ± HIV co-infections, and rates of pre-existing cirrhosis in patients hospitalized with COVID-19 in Italy. Simultaneously, we have investigated the prevalence of COVID-19 among two real-world cohorts of HCV patients who achieved cure by sofosbuvir/velpatasvir (SOF/VEL) combination antiviral treatment in over 97% of the cases</w:t>
      </w:r>
      <w:r>
        <w:rPr>
          <w:rStyle w:val="PageNumber"/>
          <w:rFonts w:ascii="Book Antiqua" w:eastAsia="Book Antiqua" w:hAnsi="Book Antiqua" w:cs="Book Antiqua"/>
          <w:color w:val="000000"/>
          <w:sz w:val="24"/>
          <w:szCs w:val="20"/>
          <w:vertAlign w:val="superscript"/>
        </w:rPr>
        <w:t>[5,6]</w:t>
      </w:r>
      <w:r>
        <w:rPr>
          <w:rStyle w:val="PageNumber"/>
          <w:rFonts w:ascii="Book Antiqua" w:eastAsia="Book Antiqua" w:hAnsi="Book Antiqua" w:cs="Book Antiqua"/>
          <w:color w:val="000000"/>
          <w:sz w:val="24"/>
        </w:rPr>
        <w:t>.</w:t>
      </w:r>
    </w:p>
    <w:p w:rsidR="00A77B3E">
      <w:pPr>
        <w:spacing w:line="360" w:lineRule="auto"/>
        <w:ind w:firstLine="240"/>
        <w:jc w:val="both"/>
        <w:rPr>
          <w:sz w:val="24"/>
        </w:rPr>
      </w:pPr>
      <w:r>
        <w:rPr>
          <w:rStyle w:val="PageNumber"/>
          <w:rFonts w:ascii="Book Antiqua" w:eastAsia="Book Antiqua" w:hAnsi="Book Antiqua" w:cs="Book Antiqua"/>
          <w:color w:val="000000"/>
          <w:sz w:val="24"/>
        </w:rPr>
        <w:t xml:space="preserve">We prospectively collected demographic, clinical and laboratory data of patients treated at three hospitals in Northern and Southern Italy from March 7 to May 7, 2020. These hospitals represent areas with different COVID-19 prevalence and the patients represent consecutive admissions with SARS-CoV-2 diagnosis. </w:t>
      </w:r>
    </w:p>
    <w:p w:rsidR="00A77B3E">
      <w:pPr>
        <w:spacing w:line="360" w:lineRule="auto"/>
        <w:ind w:firstLine="240"/>
        <w:jc w:val="both"/>
        <w:rPr>
          <w:sz w:val="24"/>
        </w:rPr>
      </w:pPr>
      <w:r>
        <w:rPr>
          <w:rStyle w:val="PageNumber"/>
          <w:rFonts w:ascii="Book Antiqua" w:eastAsia="Book Antiqua" w:hAnsi="Book Antiqua" w:cs="Book Antiqua"/>
          <w:color w:val="000000"/>
          <w:sz w:val="24"/>
        </w:rPr>
        <w:t>Simultaneously, we interviewed all the HCV patients enrolled in two original HCV real-world treatment studies on pangenotypic SOF/VEL treatment recently published by our collaborative group</w:t>
      </w:r>
      <w:r>
        <w:rPr>
          <w:rStyle w:val="PageNumber"/>
          <w:rFonts w:ascii="Book Antiqua" w:eastAsia="Book Antiqua" w:hAnsi="Book Antiqua" w:cs="Book Antiqua"/>
          <w:color w:val="000000"/>
          <w:sz w:val="24"/>
          <w:szCs w:val="20"/>
          <w:vertAlign w:val="superscript"/>
        </w:rPr>
        <w:t>[3,4]</w:t>
      </w:r>
      <w:r>
        <w:rPr>
          <w:rStyle w:val="PageNumber"/>
          <w:rFonts w:ascii="Book Antiqua" w:eastAsia="Book Antiqua" w:hAnsi="Book Antiqua" w:cs="Book Antiqua"/>
          <w:color w:val="000000"/>
          <w:sz w:val="24"/>
        </w:rPr>
        <w:t>. The interviews were conducted with an “ad hoc” questionnaire, and patients were excluded from analysis if they had died before the COVID-19 outbreak. The first study was unrestricted for HCV genotype (GT) or degree of fibrosis (</w:t>
      </w:r>
      <w:r>
        <w:rPr>
          <w:rStyle w:val="PageNumber"/>
          <w:rFonts w:ascii="Book Antiqua" w:eastAsia="Book Antiqua" w:hAnsi="Book Antiqua" w:cs="Book Antiqua"/>
          <w:i/>
          <w:iCs/>
          <w:color w:val="000000"/>
          <w:sz w:val="24"/>
        </w:rPr>
        <w:t>n</w:t>
      </w:r>
      <w:r>
        <w:rPr>
          <w:rStyle w:val="PageNumber"/>
          <w:rFonts w:ascii="Book Antiqua" w:eastAsia="Book Antiqua" w:hAnsi="Book Antiqua" w:cs="Book Antiqua"/>
          <w:color w:val="000000"/>
          <w:sz w:val="24"/>
        </w:rPr>
        <w:t xml:space="preserve"> = 1319 total, 21% with cirrhosis), while the second focused on GT3 infections with compensated cirrhosis and portal hypertension (</w:t>
      </w:r>
      <w:r>
        <w:rPr>
          <w:rStyle w:val="PageNumber"/>
          <w:rFonts w:ascii="Book Antiqua" w:eastAsia="Book Antiqua" w:hAnsi="Book Antiqua" w:cs="Book Antiqua"/>
          <w:i/>
          <w:iCs/>
          <w:color w:val="000000"/>
          <w:sz w:val="24"/>
        </w:rPr>
        <w:t>n</w:t>
      </w:r>
      <w:r>
        <w:rPr>
          <w:rStyle w:val="PageNumber"/>
          <w:rFonts w:ascii="Book Antiqua" w:eastAsia="Book Antiqua" w:hAnsi="Book Antiqua" w:cs="Book Antiqua"/>
          <w:color w:val="000000"/>
          <w:sz w:val="24"/>
        </w:rPr>
        <w:t xml:space="preserve"> = 208). Pre-COVID-19 death excluded 29 (2.1%) of the patients in the pangenotypic study and 8 (3.8%) in the GT3 cirrhosis study. Characteristics of these patients were reported</w:t>
      </w:r>
      <w:r>
        <w:rPr>
          <w:rStyle w:val="PageNumber"/>
          <w:rFonts w:ascii="Book Antiqua" w:eastAsia="Book Antiqua" w:hAnsi="Book Antiqua" w:cs="Book Antiqua"/>
          <w:color w:val="000000"/>
          <w:sz w:val="24"/>
          <w:szCs w:val="20"/>
          <w:vertAlign w:val="superscript"/>
        </w:rPr>
        <w:t>[3,4]</w:t>
      </w:r>
      <w:r>
        <w:rPr>
          <w:rStyle w:val="PageNumber"/>
          <w:rFonts w:ascii="Book Antiqua" w:eastAsia="Book Antiqua" w:hAnsi="Book Antiqua" w:cs="Book Antiqua"/>
          <w:color w:val="000000"/>
          <w:sz w:val="24"/>
        </w:rPr>
        <w:t xml:space="preserve">. </w:t>
      </w:r>
    </w:p>
    <w:p w:rsidR="00A77B3E">
      <w:pPr>
        <w:spacing w:line="360" w:lineRule="auto"/>
        <w:ind w:firstLine="240"/>
        <w:jc w:val="both"/>
        <w:rPr>
          <w:sz w:val="24"/>
        </w:rPr>
      </w:pPr>
      <w:r>
        <w:rPr>
          <w:rStyle w:val="PageNumber"/>
          <w:rFonts w:ascii="Book Antiqua" w:eastAsia="Book Antiqua" w:hAnsi="Book Antiqua" w:cs="Book Antiqua"/>
          <w:color w:val="000000"/>
          <w:sz w:val="24"/>
        </w:rPr>
        <w:t>In our subsequent observational prospective study, the prevalence of positivity for HCV antibodies (Abs) and hepatitis B surface antigen (HBsAg) among the COVID-19 patients was compared to the recently reported rates of prevalence of HCVAbs (1.37%) and HBsAg (0.8%-1%) in our country</w:t>
      </w:r>
      <w:r>
        <w:rPr>
          <w:rStyle w:val="PageNumber"/>
          <w:rFonts w:ascii="Book Antiqua" w:eastAsia="Book Antiqua" w:hAnsi="Book Antiqua" w:cs="Book Antiqua"/>
          <w:color w:val="000000"/>
          <w:sz w:val="24"/>
          <w:szCs w:val="20"/>
          <w:vertAlign w:val="superscript"/>
        </w:rPr>
        <w:t>[7,8]</w:t>
      </w:r>
      <w:r>
        <w:rPr>
          <w:rStyle w:val="PageNumber"/>
          <w:rFonts w:ascii="Book Antiqua" w:eastAsia="Book Antiqua" w:hAnsi="Book Antiqua" w:cs="Book Antiqua"/>
          <w:color w:val="000000"/>
          <w:sz w:val="24"/>
        </w:rPr>
        <w:t xml:space="preserve">. Baseline demographical and clinical characteristics of patients enrolled in our prospective study were reported as mean ± standard deviation or median and range for continuous variables, and as frequency and percentages for categorical variables. Group comparisons were carried out using Wilcoxon rank-sum test for continuous variables and Pearson’s chi-square or Fisher’s test, as appropriate, for categorical variables. </w:t>
      </w:r>
    </w:p>
    <w:p w:rsidR="00A77B3E">
      <w:pPr>
        <w:spacing w:line="360" w:lineRule="auto"/>
        <w:ind w:firstLine="240"/>
        <w:jc w:val="both"/>
        <w:rPr>
          <w:sz w:val="24"/>
        </w:rPr>
      </w:pPr>
      <w:r>
        <w:rPr>
          <w:rStyle w:val="PageNumber"/>
          <w:rFonts w:ascii="Book Antiqua" w:eastAsia="Book Antiqua" w:hAnsi="Book Antiqua" w:cs="Book Antiqua"/>
          <w:color w:val="000000"/>
          <w:sz w:val="24"/>
        </w:rPr>
        <w:t>We prospectively evaluated 332 patients consecutively admitted with COVID-19. The demographic and laboratory results are summarized in Table 1. Mortality rate was 27.1% (Supplemental Table 1). Among the total patients, 91 (27.4%) had increased alanine aminotransferase and 81 (24.3%) had increased aspartate aminotransferase at admission, with death rates of 26.1% and 22.2% among those subgroups, respectively. Moreover, only 4.7% of the total patients showed increased liver enzymes during hospitalization, but 36.0% of those died. In total, 10 patients (3.0%) had pre-existing cirrhosis, of metabolic origin in 7 and of viral origin in 3, the latter including 2 HIV co-infections. Considering the subset of COVID-19 patients with cirrhosis, 70% died (</w:t>
      </w:r>
      <w:r>
        <w:rPr>
          <w:rStyle w:val="PageNumber"/>
          <w:rFonts w:ascii="Book Antiqua" w:eastAsia="Book Antiqua" w:hAnsi="Book Antiqua" w:cs="Book Antiqua"/>
          <w:i/>
          <w:iCs/>
          <w:color w:val="000000"/>
          <w:sz w:val="24"/>
        </w:rPr>
        <w:t>P</w:t>
      </w:r>
      <w:r>
        <w:rPr>
          <w:rStyle w:val="PageNumber"/>
          <w:rFonts w:ascii="Book Antiqua" w:eastAsia="Book Antiqua" w:hAnsi="Book Antiqua" w:cs="Book Antiqua"/>
          <w:color w:val="000000"/>
          <w:sz w:val="24"/>
        </w:rPr>
        <w:t xml:space="preserve"> = 0.005). Among patients with cirrhosis and leucopenia 50% died. Among patients with cirrhosis only one had antiHBc antibodies.</w:t>
      </w:r>
    </w:p>
    <w:p w:rsidR="00A77B3E">
      <w:pPr>
        <w:spacing w:line="360" w:lineRule="auto"/>
        <w:ind w:firstLine="240"/>
        <w:jc w:val="both"/>
        <w:rPr>
          <w:sz w:val="24"/>
        </w:rPr>
      </w:pPr>
      <w:r>
        <w:rPr>
          <w:rStyle w:val="PageNumber"/>
          <w:rFonts w:ascii="Book Antiqua" w:eastAsia="Book Antiqua" w:hAnsi="Book Antiqua" w:cs="Book Antiqua"/>
          <w:color w:val="000000"/>
          <w:sz w:val="24"/>
        </w:rPr>
        <w:t xml:space="preserve">Among the COVID patients, only 10 (3.0%) showed HCVAbs positivity. Only 1 of those 10, however, showed detectable HCV-RNA; the remaining appeared to have spontaneous resolution or treatment-induced HCV-RNA clearance. None of the patients in the group admitted for COVID were under antiviral treatment. Among the HCV-RNA un-reactive COVID patients, 2 had cirrhosis (1 died due to lung cancer, the other was HIV co-infected). Three of the HCVAbs-positive non-cirrhotic patients also died; the first was 97-years-old, the second was 86-years-old with a history of cardiac rhythm abnormalities, and the third was 80-years-old and the single HCV-RNA-reactive case mentioned above. The age distribution of the COVID-19 patients with HCVAbs positivity is presented in Supplemental Table 1. The frequency of HCVAbs among subjects with increased alanine aminotransferase at baseline (6.6%) was significantly higher than in patients with normal liver enzymes (6.6% </w:t>
      </w:r>
      <w:r>
        <w:rPr>
          <w:rStyle w:val="PageNumber"/>
          <w:rFonts w:ascii="Book Antiqua" w:eastAsia="Book Antiqua" w:hAnsi="Book Antiqua" w:cs="Book Antiqua"/>
          <w:i/>
          <w:iCs/>
          <w:color w:val="000000"/>
          <w:sz w:val="24"/>
        </w:rPr>
        <w:t>vs</w:t>
      </w:r>
      <w:r>
        <w:rPr>
          <w:rStyle w:val="PageNumber"/>
          <w:rFonts w:ascii="Book Antiqua" w:eastAsia="Book Antiqua" w:hAnsi="Book Antiqua" w:cs="Book Antiqua"/>
          <w:color w:val="000000"/>
          <w:sz w:val="24"/>
        </w:rPr>
        <w:t xml:space="preserve"> 1.8%; </w:t>
      </w:r>
      <w:r>
        <w:rPr>
          <w:rStyle w:val="PageNumber"/>
          <w:rFonts w:ascii="Book Antiqua" w:eastAsia="Book Antiqua" w:hAnsi="Book Antiqua" w:cs="Book Antiqua"/>
          <w:i/>
          <w:iCs/>
          <w:color w:val="000000"/>
          <w:sz w:val="24"/>
        </w:rPr>
        <w:t>P</w:t>
      </w:r>
      <w:r>
        <w:rPr>
          <w:rStyle w:val="PageNumber"/>
          <w:rFonts w:ascii="Book Antiqua" w:eastAsia="Book Antiqua" w:hAnsi="Book Antiqua" w:cs="Book Antiqua"/>
          <w:color w:val="000000"/>
          <w:sz w:val="24"/>
        </w:rPr>
        <w:t xml:space="preserve"> = 0.038). HBsAg positivity occurred in 4 patients (1.2%), all of who were under treatment by nucleotide analogs that resulted in HBV-DNA un-reactive status. The 1 death among this subgroup represented an HIV co-infection with cirrhosis. Discounting the patient who died of lung cancer, 7 out of the 10 cirrhotic patients who died had a non-viral etiology.</w:t>
      </w:r>
    </w:p>
    <w:p w:rsidR="00A77B3E">
      <w:pPr>
        <w:spacing w:line="360" w:lineRule="auto"/>
        <w:ind w:firstLine="240"/>
        <w:jc w:val="both"/>
        <w:rPr>
          <w:sz w:val="24"/>
        </w:rPr>
      </w:pPr>
      <w:r>
        <w:rPr>
          <w:rFonts w:ascii="Book Antiqua" w:eastAsia="Book Antiqua" w:hAnsi="Book Antiqua" w:cs="Book Antiqua"/>
          <w:b w:val="0"/>
          <w:bCs w:val="0"/>
          <w:i w:val="0"/>
          <w:iCs w:val="0"/>
          <w:color w:val="000000"/>
          <w:sz w:val="24"/>
          <w:u w:val="none"/>
          <w:vertAlign w:val="baseline"/>
        </w:rPr>
        <w:t xml:space="preserve">Cirrhosis, older age, low counts for white blood cells and lymphocytes were predictors of death </w:t>
      </w:r>
      <w:r>
        <w:rPr>
          <w:rFonts w:ascii="Book Antiqua" w:eastAsia="Book Antiqua" w:hAnsi="Book Antiqua" w:cs="Book Antiqua"/>
          <w:b w:val="0"/>
          <w:bCs w:val="0"/>
          <w:i w:val="0"/>
          <w:iCs w:val="0"/>
          <w:color w:val="000000"/>
          <w:sz w:val="24"/>
          <w:u w:val="none"/>
          <w:vertAlign w:val="baseline"/>
        </w:rPr>
        <w:t xml:space="preserve">[odds ratio (OR) = 13.7, 95% confidence interval (CI): 2.59-83.01, </w:t>
      </w:r>
      <w:r>
        <w:rPr>
          <w:rStyle w:val="PageNumber"/>
          <w:rFonts w:ascii="Book Antiqua" w:eastAsia="Book Antiqua" w:hAnsi="Book Antiqua" w:cs="Book Antiqua"/>
          <w:i/>
          <w:iCs/>
          <w:color w:val="000000"/>
          <w:sz w:val="24"/>
        </w:rPr>
        <w:t>P</w:t>
      </w:r>
      <w:r>
        <w:rPr>
          <w:rStyle w:val="PageNumber"/>
          <w:rFonts w:ascii="Book Antiqua" w:eastAsia="Book Antiqua" w:hAnsi="Book Antiqua" w:cs="Book Antiqua"/>
          <w:color w:val="000000"/>
          <w:sz w:val="24"/>
        </w:rPr>
        <w:t xml:space="preserve"> = 0.006; OR = 1.05, 95%CI: 1.03-1.08, </w:t>
      </w:r>
      <w:r>
        <w:rPr>
          <w:rStyle w:val="PageNumber"/>
          <w:rFonts w:ascii="Book Antiqua" w:eastAsia="Book Antiqua" w:hAnsi="Book Antiqua" w:cs="Book Antiqua"/>
          <w:i/>
          <w:iCs/>
          <w:color w:val="000000"/>
          <w:sz w:val="24"/>
        </w:rPr>
        <w:t>P</w:t>
      </w:r>
      <w:r>
        <w:rPr>
          <w:rStyle w:val="PageNumber"/>
          <w:rFonts w:ascii="Book Antiqua" w:eastAsia="Book Antiqua" w:hAnsi="Book Antiqua" w:cs="Book Antiqua"/>
          <w:color w:val="000000"/>
          <w:sz w:val="24"/>
        </w:rPr>
        <w:t xml:space="preserve"> = 0.0001; OR = 1.09, 95%CI: 1.36-1.16, </w:t>
      </w:r>
      <w:r>
        <w:rPr>
          <w:rStyle w:val="PageNumber"/>
          <w:rFonts w:ascii="Book Antiqua" w:eastAsia="Book Antiqua" w:hAnsi="Book Antiqua" w:cs="Book Antiqua"/>
          <w:i/>
          <w:iCs/>
          <w:color w:val="000000"/>
          <w:sz w:val="24"/>
        </w:rPr>
        <w:t>P</w:t>
      </w:r>
      <w:r>
        <w:rPr>
          <w:rStyle w:val="PageNumber"/>
          <w:rFonts w:ascii="Book Antiqua" w:eastAsia="Book Antiqua" w:hAnsi="Book Antiqua" w:cs="Book Antiqua"/>
          <w:color w:val="000000"/>
          <w:sz w:val="24"/>
        </w:rPr>
        <w:t xml:space="preserve"> = 0.001; OR = 0.61, 95%CI: 0.39-0.93, </w:t>
      </w:r>
      <w:r>
        <w:rPr>
          <w:rStyle w:val="PageNumber"/>
          <w:rFonts w:ascii="Book Antiqua" w:eastAsia="Book Antiqua" w:hAnsi="Book Antiqua" w:cs="Book Antiqua"/>
          <w:i/>
          <w:iCs/>
          <w:color w:val="000000"/>
          <w:sz w:val="24"/>
        </w:rPr>
        <w:t>P</w:t>
      </w:r>
      <w:r>
        <w:rPr>
          <w:rStyle w:val="PageNumber"/>
          <w:rFonts w:ascii="Book Antiqua" w:eastAsia="Book Antiqua" w:hAnsi="Book Antiqua" w:cs="Book Antiqua"/>
          <w:color w:val="000000"/>
          <w:sz w:val="24"/>
        </w:rPr>
        <w:t xml:space="preserve"> = 0.023, respectively].</w:t>
      </w:r>
    </w:p>
    <w:p w:rsidR="00A77B3E">
      <w:pPr>
        <w:spacing w:line="360" w:lineRule="auto"/>
        <w:ind w:firstLine="240"/>
        <w:jc w:val="both"/>
        <w:rPr>
          <w:sz w:val="24"/>
        </w:rPr>
      </w:pPr>
      <w:r>
        <w:rPr>
          <w:rStyle w:val="PageNumber"/>
          <w:rFonts w:ascii="Book Antiqua" w:eastAsia="Book Antiqua" w:hAnsi="Book Antiqua" w:cs="Book Antiqua"/>
          <w:color w:val="000000"/>
          <w:sz w:val="24"/>
        </w:rPr>
        <w:t xml:space="preserve">Among the HCV infection patients from the real-world antiviral treatment cohorts, 1 (0.07%) with cirrhosis in the pangenotypic study and 2 (1%) in the GT3 cirrhosis study reported COVID-19 ascertained infection; all who were between the ages of 45-65, recovered. All the remaining patients showed no symptoms or, in cases of suspected symptoms, had negative COVID-19 molecular testing results. </w:t>
      </w:r>
    </w:p>
    <w:p w:rsidR="00A77B3E">
      <w:pPr>
        <w:spacing w:line="360" w:lineRule="auto"/>
        <w:ind w:firstLine="240"/>
        <w:jc w:val="both"/>
        <w:rPr>
          <w:sz w:val="24"/>
        </w:rPr>
      </w:pPr>
      <w:r>
        <w:rPr>
          <w:rStyle w:val="PageNumber"/>
          <w:rFonts w:ascii="Book Antiqua" w:eastAsia="Book Antiqua" w:hAnsi="Book Antiqua" w:cs="Book Antiqua"/>
          <w:color w:val="000000"/>
          <w:sz w:val="24"/>
        </w:rPr>
        <w:t xml:space="preserve">These results suggest that pre-existing liver cirrhosis of metabolic origin is associated with higher COVID-19-related mortality. We acknowledge that the number of cirrhotic patients is small, however, our data indicate that patients with cirrhosis and cured HCV/HBV infections may be at a lower risk of fatality than those with metabolic cirrhosis, when infected by SARS-Cov-2. </w:t>
      </w:r>
    </w:p>
    <w:p w:rsidR="00A77B3E">
      <w:pPr>
        <w:spacing w:line="360" w:lineRule="auto"/>
        <w:ind w:firstLine="240"/>
        <w:jc w:val="both"/>
        <w:rPr>
          <w:sz w:val="24"/>
        </w:rPr>
      </w:pPr>
      <w:r>
        <w:rPr>
          <w:rStyle w:val="PageNumber"/>
          <w:rFonts w:ascii="Book Antiqua" w:eastAsia="Book Antiqua" w:hAnsi="Book Antiqua" w:cs="Book Antiqua"/>
          <w:color w:val="000000"/>
          <w:sz w:val="24"/>
        </w:rPr>
        <w:t>Whether recently cured HCV patients had a smaller exposure or were less vulnerable to COVID-19 due to possible background cellular immunity deserves further investigation. The results we have discussed here, although limited to the regions involved in our collaborative projects, are representative of geographical areas with both high and low COVID-19 prevalence.</w:t>
      </w:r>
    </w:p>
    <w:p w:rsidR="00A77B3E">
      <w:pPr>
        <w:spacing w:line="360" w:lineRule="auto"/>
        <w:ind w:firstLine="240"/>
        <w:jc w:val="both"/>
        <w:rPr>
          <w:sz w:val="24"/>
        </w:rPr>
      </w:pPr>
    </w:p>
    <w:p w:rsidR="00A77B3E">
      <w:pPr>
        <w:spacing w:line="360" w:lineRule="auto"/>
        <w:ind w:firstLine="240"/>
        <w:jc w:val="both"/>
        <w:rPr>
          <w:sz w:val="24"/>
        </w:rPr>
      </w:pPr>
      <w:r>
        <w:rPr>
          <w:rFonts w:ascii="Book Antiqua" w:eastAsia="Book Antiqua" w:hAnsi="Book Antiqua" w:cs="Book Antiqua"/>
          <w:b/>
          <w:color w:val="000000"/>
          <w:sz w:val="24"/>
        </w:rPr>
        <w:t>REFERENCES</w:t>
      </w:r>
    </w:p>
    <w:p w:rsidR="00A77B3E">
      <w:pPr>
        <w:spacing w:line="360" w:lineRule="auto"/>
        <w:ind w:firstLine="0"/>
        <w:jc w:val="both"/>
        <w:rPr>
          <w:sz w:val="24"/>
        </w:rPr>
      </w:pPr>
      <w:r>
        <w:rPr>
          <w:rFonts w:ascii="Book Antiqua" w:eastAsia="Book Antiqua" w:hAnsi="Book Antiqua" w:cs="Book Antiqua"/>
          <w:color w:val="000000"/>
          <w:sz w:val="24"/>
        </w:rPr>
        <w:t xml:space="preserve">1 </w:t>
      </w:r>
      <w:r>
        <w:rPr>
          <w:rFonts w:ascii="Book Antiqua" w:eastAsia="Book Antiqua" w:hAnsi="Book Antiqua" w:cs="Book Antiqua"/>
          <w:b/>
          <w:bCs/>
          <w:color w:val="000000"/>
          <w:sz w:val="24"/>
        </w:rPr>
        <w:t>Richardson S</w:t>
      </w:r>
      <w:r>
        <w:rPr>
          <w:rFonts w:ascii="Book Antiqua" w:eastAsia="Book Antiqua" w:hAnsi="Book Antiqua" w:cs="Book Antiqua"/>
          <w:color w:val="000000"/>
          <w:sz w:val="24"/>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color w:val="000000"/>
          <w:sz w:val="24"/>
        </w:rPr>
        <w:t>JAMA</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323</w:t>
      </w:r>
      <w:r>
        <w:rPr>
          <w:rFonts w:ascii="Book Antiqua" w:eastAsia="Book Antiqua" w:hAnsi="Book Antiqua" w:cs="Book Antiqua"/>
          <w:b w:val="0"/>
          <w:bCs w:val="0"/>
          <w:i w:val="0"/>
          <w:iCs w:val="0"/>
          <w:color w:val="000000"/>
          <w:sz w:val="24"/>
          <w:u w:val="none"/>
          <w:vertAlign w:val="baseline"/>
        </w:rPr>
        <w:t xml:space="preserve">: 2052-2059 </w:t>
      </w:r>
      <w:r>
        <w:rPr>
          <w:rFonts w:ascii="Book Antiqua" w:eastAsia="Book Antiqua" w:hAnsi="Book Antiqua" w:cs="Book Antiqua"/>
          <w:b w:val="0"/>
          <w:bCs w:val="0"/>
          <w:i w:val="0"/>
          <w:iCs w:val="0"/>
          <w:color w:val="000000"/>
          <w:sz w:val="24"/>
          <w:u w:val="none"/>
          <w:vertAlign w:val="baseline"/>
        </w:rPr>
        <w:t>[PMID: 32320003 DOI: 10.1001/jama.2020.6775]</w:t>
      </w:r>
    </w:p>
    <w:p w:rsidR="00A77B3E">
      <w:pPr>
        <w:spacing w:line="360" w:lineRule="auto"/>
        <w:ind w:firstLine="0"/>
        <w:jc w:val="both"/>
        <w:rPr>
          <w:sz w:val="24"/>
        </w:rPr>
      </w:pPr>
      <w:r>
        <w:rPr>
          <w:rFonts w:ascii="Book Antiqua" w:eastAsia="Book Antiqua" w:hAnsi="Book Antiqua" w:cs="Book Antiqua"/>
          <w:color w:val="000000"/>
          <w:sz w:val="24"/>
        </w:rPr>
        <w:t xml:space="preserve">2 </w:t>
      </w:r>
      <w:r>
        <w:rPr>
          <w:rFonts w:ascii="Book Antiqua" w:eastAsia="Book Antiqua" w:hAnsi="Book Antiqua" w:cs="Book Antiqua"/>
          <w:b/>
          <w:bCs/>
          <w:color w:val="000000"/>
          <w:sz w:val="24"/>
        </w:rPr>
        <w:t>Guan WJ</w:t>
      </w:r>
      <w:r>
        <w:rPr>
          <w:rFonts w:ascii="Book Antiqua" w:eastAsia="Book Antiqua" w:hAnsi="Book Antiqua" w:cs="Book Antiqua"/>
          <w:color w:val="000000"/>
          <w:sz w:val="24"/>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sz w:val="24"/>
        </w:rPr>
        <w:t>N Engl J Med</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382</w:t>
      </w:r>
      <w:r>
        <w:rPr>
          <w:rFonts w:ascii="Book Antiqua" w:eastAsia="Book Antiqua" w:hAnsi="Book Antiqua" w:cs="Book Antiqua"/>
          <w:b w:val="0"/>
          <w:bCs w:val="0"/>
          <w:i w:val="0"/>
          <w:iCs w:val="0"/>
          <w:color w:val="000000"/>
          <w:sz w:val="24"/>
          <w:u w:val="none"/>
          <w:vertAlign w:val="baseline"/>
        </w:rPr>
        <w:t xml:space="preserve">: 1708-1720 </w:t>
      </w:r>
      <w:r>
        <w:rPr>
          <w:rFonts w:ascii="Book Antiqua" w:eastAsia="Book Antiqua" w:hAnsi="Book Antiqua" w:cs="Book Antiqua"/>
          <w:b w:val="0"/>
          <w:bCs w:val="0"/>
          <w:i w:val="0"/>
          <w:iCs w:val="0"/>
          <w:color w:val="000000"/>
          <w:sz w:val="24"/>
          <w:u w:val="none"/>
          <w:vertAlign w:val="baseline"/>
        </w:rPr>
        <w:t>[PMID: 32109013 DOI: 10.1056/NEJMoa2002032]</w:t>
      </w:r>
    </w:p>
    <w:p w:rsidR="00A77B3E">
      <w:pPr>
        <w:spacing w:line="360" w:lineRule="auto"/>
        <w:ind w:firstLine="0"/>
        <w:jc w:val="both"/>
        <w:rPr>
          <w:sz w:val="24"/>
        </w:rPr>
      </w:pPr>
      <w:r>
        <w:rPr>
          <w:rFonts w:ascii="Book Antiqua" w:eastAsia="Book Antiqua" w:hAnsi="Book Antiqua" w:cs="Book Antiqua"/>
          <w:color w:val="000000"/>
          <w:sz w:val="24"/>
        </w:rPr>
        <w:t xml:space="preserve">3 </w:t>
      </w:r>
      <w:r>
        <w:rPr>
          <w:rFonts w:ascii="Book Antiqua" w:eastAsia="Book Antiqua" w:hAnsi="Book Antiqua" w:cs="Book Antiqua"/>
          <w:b/>
          <w:bCs/>
          <w:color w:val="000000"/>
          <w:sz w:val="24"/>
        </w:rPr>
        <w:t>Han R</w:t>
      </w:r>
      <w:r>
        <w:rPr>
          <w:rFonts w:ascii="Book Antiqua" w:eastAsia="Book Antiqua" w:hAnsi="Book Antiqua" w:cs="Book Antiqua"/>
          <w:color w:val="000000"/>
          <w:sz w:val="24"/>
        </w:rPr>
        <w:t xml:space="preserve">, Zhou J, François C, Toumi M. Prevalence of hepatitis C infection among the general population and high-risk groups in the EU/EEA: a systematic review update. </w:t>
      </w:r>
      <w:r>
        <w:rPr>
          <w:rFonts w:ascii="Book Antiqua" w:eastAsia="Book Antiqua" w:hAnsi="Book Antiqua" w:cs="Book Antiqua"/>
          <w:i/>
          <w:iCs/>
          <w:color w:val="000000"/>
          <w:sz w:val="24"/>
        </w:rPr>
        <w:t>BMC Infect Dis</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19</w:t>
      </w:r>
      <w:r>
        <w:rPr>
          <w:rFonts w:ascii="Book Antiqua" w:eastAsia="Book Antiqua" w:hAnsi="Book Antiqua" w:cs="Book Antiqua"/>
          <w:b w:val="0"/>
          <w:bCs w:val="0"/>
          <w:i w:val="0"/>
          <w:iCs w:val="0"/>
          <w:color w:val="000000"/>
          <w:sz w:val="24"/>
          <w:u w:val="none"/>
          <w:vertAlign w:val="baseline"/>
        </w:rPr>
        <w:t xml:space="preserve">: 655 </w:t>
      </w:r>
      <w:r>
        <w:rPr>
          <w:rFonts w:ascii="Book Antiqua" w:eastAsia="Book Antiqua" w:hAnsi="Book Antiqua" w:cs="Book Antiqua"/>
          <w:b w:val="0"/>
          <w:bCs w:val="0"/>
          <w:i w:val="0"/>
          <w:iCs w:val="0"/>
          <w:color w:val="000000"/>
          <w:sz w:val="24"/>
          <w:u w:val="none"/>
          <w:vertAlign w:val="baseline"/>
        </w:rPr>
        <w:t>[PMID: 31337339 DOI: 10.1186/s12879-019-4284-9]</w:t>
      </w:r>
    </w:p>
    <w:p w:rsidR="00A77B3E">
      <w:pPr>
        <w:spacing w:line="360" w:lineRule="auto"/>
        <w:ind w:firstLine="0"/>
        <w:jc w:val="both"/>
        <w:rPr>
          <w:sz w:val="24"/>
        </w:rPr>
      </w:pPr>
      <w:r>
        <w:rPr>
          <w:rFonts w:ascii="Book Antiqua" w:eastAsia="Book Antiqua" w:hAnsi="Book Antiqua" w:cs="Book Antiqua"/>
          <w:color w:val="000000"/>
          <w:sz w:val="24"/>
        </w:rPr>
        <w:t xml:space="preserve">4 </w:t>
      </w:r>
      <w:r>
        <w:rPr>
          <w:rFonts w:ascii="Book Antiqua" w:eastAsia="Book Antiqua" w:hAnsi="Book Antiqua" w:cs="Book Antiqua"/>
          <w:b/>
          <w:bCs/>
          <w:color w:val="000000"/>
          <w:sz w:val="24"/>
        </w:rPr>
        <w:t>Lai A</w:t>
      </w:r>
      <w:r>
        <w:rPr>
          <w:rFonts w:ascii="Book Antiqua" w:eastAsia="Book Antiqua" w:hAnsi="Book Antiqua" w:cs="Book Antiqua"/>
          <w:color w:val="000000"/>
          <w:sz w:val="24"/>
        </w:rPr>
        <w:t xml:space="preserve">, Sagnelli C, Presti AL, Cella E, Angeletti S, Spoto S, Costantino S, Sagnelli E, Ciccozzi M. What is changed in HBV molecular epidemiology in Italy? </w:t>
      </w:r>
      <w:r>
        <w:rPr>
          <w:rFonts w:ascii="Book Antiqua" w:eastAsia="Book Antiqua" w:hAnsi="Book Antiqua" w:cs="Book Antiqua"/>
          <w:i/>
          <w:iCs/>
          <w:color w:val="000000"/>
          <w:sz w:val="24"/>
        </w:rPr>
        <w:t>J Med Virol</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90</w:t>
      </w:r>
      <w:r>
        <w:rPr>
          <w:rFonts w:ascii="Book Antiqua" w:eastAsia="Book Antiqua" w:hAnsi="Book Antiqua" w:cs="Book Antiqua"/>
          <w:b w:val="0"/>
          <w:bCs w:val="0"/>
          <w:i w:val="0"/>
          <w:iCs w:val="0"/>
          <w:color w:val="000000"/>
          <w:sz w:val="24"/>
          <w:u w:val="none"/>
          <w:vertAlign w:val="baseline"/>
        </w:rPr>
        <w:t xml:space="preserve">: 786-795 </w:t>
      </w:r>
      <w:r>
        <w:rPr>
          <w:rFonts w:ascii="Book Antiqua" w:eastAsia="Book Antiqua" w:hAnsi="Book Antiqua" w:cs="Book Antiqua"/>
          <w:b w:val="0"/>
          <w:bCs w:val="0"/>
          <w:i w:val="0"/>
          <w:iCs w:val="0"/>
          <w:color w:val="000000"/>
          <w:sz w:val="24"/>
          <w:u w:val="none"/>
          <w:vertAlign w:val="baseline"/>
        </w:rPr>
        <w:t>[PMID: 29315661 DOI: 10.1002/jmv.25027]</w:t>
      </w:r>
    </w:p>
    <w:p w:rsidR="00A77B3E">
      <w:pPr>
        <w:spacing w:line="360" w:lineRule="auto"/>
        <w:ind w:firstLine="0"/>
        <w:jc w:val="both"/>
        <w:rPr>
          <w:sz w:val="24"/>
        </w:rPr>
      </w:pPr>
      <w:r>
        <w:rPr>
          <w:rFonts w:ascii="Book Antiqua" w:eastAsia="Book Antiqua" w:hAnsi="Book Antiqua" w:cs="Book Antiqua"/>
          <w:color w:val="000000"/>
          <w:sz w:val="24"/>
        </w:rPr>
        <w:t xml:space="preserve">5 </w:t>
      </w:r>
      <w:r>
        <w:rPr>
          <w:rFonts w:ascii="Book Antiqua" w:eastAsia="Book Antiqua" w:hAnsi="Book Antiqua" w:cs="Book Antiqua"/>
          <w:b/>
          <w:bCs/>
          <w:color w:val="000000"/>
          <w:sz w:val="24"/>
        </w:rPr>
        <w:t>Mangia A</w:t>
      </w:r>
      <w:r>
        <w:rPr>
          <w:rFonts w:ascii="Book Antiqua" w:eastAsia="Book Antiqua" w:hAnsi="Book Antiqua" w:cs="Book Antiqua"/>
          <w:color w:val="000000"/>
          <w:sz w:val="24"/>
        </w:rPr>
        <w:t xml:space="preserve">, Piazzolla V, Giannelli A, Visaggi E, Minerva N, Palmieri V, Carraturo I, Potenza D, Napoli N, Lauletta G, Tagarielli V, Santoro R, Piccigallo E, De Gioia S, Chimenti A, Cuccorese G, Metrangolo A, Mazzola M, Agostinacchio E, Mennea G, Sabbà C, Cela M, Copetti M, Losappio R. SVR12 rates higher than 99% after sofosbuvir/velpatasvir combination in HCV infected patients with F0-F1 fibrosis stage: A real world experience. </w:t>
      </w:r>
      <w:r>
        <w:rPr>
          <w:rFonts w:ascii="Book Antiqua" w:eastAsia="Book Antiqua" w:hAnsi="Book Antiqua" w:cs="Book Antiqua"/>
          <w:i/>
          <w:iCs/>
          <w:color w:val="000000"/>
          <w:sz w:val="24"/>
        </w:rPr>
        <w:t>PLoS One</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14</w:t>
      </w:r>
      <w:r>
        <w:rPr>
          <w:rFonts w:ascii="Book Antiqua" w:eastAsia="Book Antiqua" w:hAnsi="Book Antiqua" w:cs="Book Antiqua"/>
          <w:b w:val="0"/>
          <w:bCs w:val="0"/>
          <w:i w:val="0"/>
          <w:iCs w:val="0"/>
          <w:color w:val="000000"/>
          <w:sz w:val="24"/>
          <w:u w:val="none"/>
          <w:vertAlign w:val="baseline"/>
        </w:rPr>
        <w:t xml:space="preserve">: e0215783 </w:t>
      </w:r>
      <w:r>
        <w:rPr>
          <w:rFonts w:ascii="Book Antiqua" w:eastAsia="Book Antiqua" w:hAnsi="Book Antiqua" w:cs="Book Antiqua"/>
          <w:b w:val="0"/>
          <w:bCs w:val="0"/>
          <w:i w:val="0"/>
          <w:iCs w:val="0"/>
          <w:color w:val="000000"/>
          <w:sz w:val="24"/>
          <w:u w:val="none"/>
          <w:vertAlign w:val="baseline"/>
        </w:rPr>
        <w:t>[PMID: 31091254 DOI: 10.1371/journal.pone.0215783]</w:t>
      </w:r>
    </w:p>
    <w:p w:rsidR="00A77B3E">
      <w:pPr>
        <w:spacing w:line="360" w:lineRule="auto"/>
        <w:ind w:firstLine="0"/>
        <w:jc w:val="both"/>
        <w:rPr>
          <w:sz w:val="24"/>
        </w:rPr>
      </w:pPr>
      <w:r>
        <w:rPr>
          <w:rFonts w:ascii="Book Antiqua" w:eastAsia="Book Antiqua" w:hAnsi="Book Antiqua" w:cs="Book Antiqua"/>
          <w:color w:val="000000"/>
          <w:sz w:val="24"/>
        </w:rPr>
        <w:t xml:space="preserve">6 </w:t>
      </w:r>
      <w:r>
        <w:rPr>
          <w:rFonts w:ascii="Book Antiqua" w:eastAsia="Book Antiqua" w:hAnsi="Book Antiqua" w:cs="Book Antiqua"/>
          <w:b/>
          <w:bCs/>
          <w:color w:val="000000"/>
          <w:sz w:val="24"/>
        </w:rPr>
        <w:t>Mangia A</w:t>
      </w:r>
      <w:r>
        <w:rPr>
          <w:rFonts w:ascii="Book Antiqua" w:eastAsia="Book Antiqua" w:hAnsi="Book Antiqua" w:cs="Book Antiqua"/>
          <w:color w:val="000000"/>
          <w:sz w:val="24"/>
        </w:rPr>
        <w:t xml:space="preserve">, Cenderello G, Copetti M, Verucchi G, Piazzolla V, Lorusso C, Santoro R, Squillante MM, Orlandini A, Minisini R, Ciancio A. SVR12 Higher than 97% in GT3 Cirrhotic Patients with Evidence of Portal Hypertension Treated with SOF/VEL without Ribavirin: A Nation-Wide Cohort Study. </w:t>
      </w:r>
      <w:r>
        <w:rPr>
          <w:rFonts w:ascii="Book Antiqua" w:eastAsia="Book Antiqua" w:hAnsi="Book Antiqua" w:cs="Book Antiqua"/>
          <w:i/>
          <w:iCs/>
          <w:color w:val="000000"/>
          <w:sz w:val="24"/>
        </w:rPr>
        <w:t>Cells</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8</w:t>
      </w:r>
      <w:r>
        <w:rPr>
          <w:rFonts w:ascii="Book Antiqua" w:eastAsia="Book Antiqua" w:hAnsi="Book Antiqua" w:cs="Book Antiqua"/>
          <w:b w:val="0"/>
          <w:bCs w:val="0"/>
          <w:i w:val="0"/>
          <w:iCs w:val="0"/>
          <w:color w:val="000000"/>
          <w:sz w:val="24"/>
          <w:u w:val="none"/>
          <w:vertAlign w:val="baseline"/>
        </w:rPr>
        <w:t xml:space="preserve">: </w:t>
      </w:r>
      <w:r>
        <w:rPr>
          <w:rFonts w:ascii="Book Antiqua" w:eastAsia="Book Antiqua" w:hAnsi="Book Antiqua" w:cs="Book Antiqua"/>
          <w:b w:val="0"/>
          <w:bCs w:val="0"/>
          <w:i w:val="0"/>
          <w:iCs w:val="0"/>
          <w:color w:val="000000"/>
          <w:sz w:val="24"/>
          <w:u w:val="none"/>
          <w:vertAlign w:val="baseline"/>
        </w:rPr>
        <w:t>[PMID: 30987413 DOI: 10.3390/cells8040313]</w:t>
      </w:r>
    </w:p>
    <w:p w:rsidR="00A77B3E">
      <w:pPr>
        <w:spacing w:line="360" w:lineRule="auto"/>
        <w:ind w:firstLine="0"/>
        <w:jc w:val="both"/>
        <w:rPr>
          <w:sz w:val="24"/>
        </w:rPr>
      </w:pPr>
      <w:r>
        <w:rPr>
          <w:rFonts w:ascii="Book Antiqua" w:eastAsia="Book Antiqua" w:hAnsi="Book Antiqua" w:cs="Book Antiqua"/>
          <w:color w:val="000000"/>
          <w:sz w:val="24"/>
        </w:rPr>
        <w:t xml:space="preserve">7 </w:t>
      </w:r>
      <w:r>
        <w:rPr>
          <w:rFonts w:ascii="Book Antiqua" w:eastAsia="Book Antiqua" w:hAnsi="Book Antiqua" w:cs="Book Antiqua"/>
          <w:b/>
          <w:bCs/>
          <w:color w:val="000000"/>
          <w:sz w:val="24"/>
        </w:rPr>
        <w:t>Andriulli A</w:t>
      </w:r>
      <w:r>
        <w:rPr>
          <w:rFonts w:ascii="Book Antiqua" w:eastAsia="Book Antiqua" w:hAnsi="Book Antiqua" w:cs="Book Antiqua"/>
          <w:color w:val="000000"/>
          <w:sz w:val="24"/>
        </w:rPr>
        <w:t xml:space="preserve">, Stroffolini T, Mariano A, Valvano MR, Grattagliano I, Ippolito AM, Grossi A, Brancaccio G, Coco C, Russello M, Smedile A, Petrini E, Martini S, Gaeta GB, Rizzetto M. Declining prevalence and increasing awareness of HCV infection in Italy: A population-based survey in five metropolitan areas. </w:t>
      </w:r>
      <w:r>
        <w:rPr>
          <w:rFonts w:ascii="Book Antiqua" w:eastAsia="Book Antiqua" w:hAnsi="Book Antiqua" w:cs="Book Antiqua"/>
          <w:i/>
          <w:iCs/>
          <w:color w:val="000000"/>
          <w:sz w:val="24"/>
        </w:rPr>
        <w:t>Eur J Intern Med</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53</w:t>
      </w:r>
      <w:r>
        <w:rPr>
          <w:rFonts w:ascii="Book Antiqua" w:eastAsia="Book Antiqua" w:hAnsi="Book Antiqua" w:cs="Book Antiqua"/>
          <w:b w:val="0"/>
          <w:bCs w:val="0"/>
          <w:i w:val="0"/>
          <w:iCs w:val="0"/>
          <w:color w:val="000000"/>
          <w:sz w:val="24"/>
          <w:u w:val="none"/>
          <w:vertAlign w:val="baseline"/>
        </w:rPr>
        <w:t xml:space="preserve">: 79-84 </w:t>
      </w:r>
      <w:r>
        <w:rPr>
          <w:rFonts w:ascii="Book Antiqua" w:eastAsia="Book Antiqua" w:hAnsi="Book Antiqua" w:cs="Book Antiqua"/>
          <w:b w:val="0"/>
          <w:bCs w:val="0"/>
          <w:i w:val="0"/>
          <w:iCs w:val="0"/>
          <w:color w:val="000000"/>
          <w:sz w:val="24"/>
          <w:u w:val="none"/>
          <w:vertAlign w:val="baseline"/>
        </w:rPr>
        <w:t>[PMID: 29475770 DOI: 10.1016/j.ejim.2018.02.015]</w:t>
      </w:r>
    </w:p>
    <w:p w:rsidR="00A77B3E">
      <w:pPr>
        <w:spacing w:line="360" w:lineRule="auto"/>
        <w:ind w:firstLine="0"/>
        <w:jc w:val="both"/>
        <w:rPr>
          <w:sz w:val="24"/>
        </w:rPr>
      </w:pPr>
      <w:r>
        <w:rPr>
          <w:rFonts w:ascii="Book Antiqua" w:eastAsia="Book Antiqua" w:hAnsi="Book Antiqua" w:cs="Book Antiqua"/>
          <w:color w:val="000000"/>
          <w:sz w:val="24"/>
        </w:rPr>
        <w:t xml:space="preserve">8 </w:t>
      </w:r>
      <w:r>
        <w:rPr>
          <w:rFonts w:ascii="Book Antiqua" w:eastAsia="Book Antiqua" w:hAnsi="Book Antiqua" w:cs="Book Antiqua"/>
          <w:b/>
          <w:bCs/>
          <w:color w:val="000000"/>
          <w:sz w:val="24"/>
        </w:rPr>
        <w:t>Signorelli C</w:t>
      </w:r>
      <w:r>
        <w:rPr>
          <w:rFonts w:ascii="Book Antiqua" w:eastAsia="Book Antiqua" w:hAnsi="Book Antiqua" w:cs="Book Antiqua"/>
          <w:color w:val="000000"/>
          <w:sz w:val="24"/>
        </w:rPr>
        <w:t xml:space="preserve">, Scognamiglio T, Odone A. COVID-19 in Italy: impact of containment measures and prevalence estimates of infection in the general population. </w:t>
      </w:r>
      <w:r>
        <w:rPr>
          <w:rFonts w:ascii="Book Antiqua" w:eastAsia="Book Antiqua" w:hAnsi="Book Antiqua" w:cs="Book Antiqua"/>
          <w:i/>
          <w:iCs/>
          <w:color w:val="000000"/>
          <w:sz w:val="24"/>
        </w:rPr>
        <w:t>Acta Biomed</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91</w:t>
      </w:r>
      <w:r>
        <w:rPr>
          <w:rFonts w:ascii="Book Antiqua" w:eastAsia="Book Antiqua" w:hAnsi="Book Antiqua" w:cs="Book Antiqua"/>
          <w:b w:val="0"/>
          <w:bCs w:val="0"/>
          <w:i w:val="0"/>
          <w:iCs w:val="0"/>
          <w:color w:val="000000"/>
          <w:sz w:val="24"/>
          <w:u w:val="none"/>
          <w:vertAlign w:val="baseline"/>
        </w:rPr>
        <w:t xml:space="preserve">: 175-179 </w:t>
      </w:r>
      <w:r>
        <w:rPr>
          <w:rFonts w:ascii="Book Antiqua" w:eastAsia="Book Antiqua" w:hAnsi="Book Antiqua" w:cs="Book Antiqua"/>
          <w:b w:val="0"/>
          <w:bCs w:val="0"/>
          <w:i w:val="0"/>
          <w:iCs w:val="0"/>
          <w:color w:val="000000"/>
          <w:sz w:val="24"/>
          <w:u w:val="none"/>
          <w:vertAlign w:val="baseline"/>
        </w:rPr>
        <w:t>[PMID: 32275287 DOI: 10.23750/abm.v91i3-S.9511]</w:t>
      </w: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Footnotes</w:t>
      </w:r>
    </w:p>
    <w:p w:rsidR="00A77B3E">
      <w:pPr>
        <w:spacing w:line="360" w:lineRule="auto"/>
        <w:ind w:firstLine="0"/>
        <w:jc w:val="both"/>
        <w:rPr>
          <w:sz w:val="24"/>
        </w:rPr>
      </w:pPr>
      <w:r>
        <w:rPr>
          <w:rFonts w:ascii="Book Antiqua" w:eastAsia="Book Antiqua" w:hAnsi="Book Antiqua" w:cs="Book Antiqua"/>
          <w:b/>
          <w:bCs/>
          <w:color w:val="000000"/>
          <w:sz w:val="24"/>
        </w:rPr>
        <w:t xml:space="preserve">Conflict-of-interest statement: </w:t>
      </w:r>
      <w:r>
        <w:rPr>
          <w:rStyle w:val="s1"/>
          <w:rFonts w:ascii="Book Antiqua" w:eastAsia="Book Antiqua" w:hAnsi="Book Antiqua" w:cs="Book Antiqua"/>
          <w:color w:val="000000"/>
          <w:sz w:val="24"/>
        </w:rPr>
        <w:t>The authors declare no conflicts of interest.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Unsolicited Manuscript</w:t>
      </w:r>
    </w:p>
    <w:p w:rsidR="00A77B3E">
      <w:pPr>
        <w:spacing w:line="360" w:lineRule="auto"/>
        <w:ind w:firstLine="0"/>
        <w:jc w:val="both"/>
        <w:rPr>
          <w:sz w:val="24"/>
        </w:rPr>
      </w:pPr>
      <w:r>
        <w:rPr>
          <w:rFonts w:ascii="Book Antiqua" w:eastAsia="Book Antiqua" w:hAnsi="Book Antiqua" w:cs="Book Antiqua"/>
          <w:b/>
          <w:color w:val="000000"/>
          <w:sz w:val="24"/>
        </w:rPr>
        <w:t xml:space="preserve">Corresponding Author's Membership in Professional Societies: </w:t>
      </w:r>
      <w:r>
        <w:rPr>
          <w:rFonts w:ascii="Book Antiqua" w:eastAsia="Book Antiqua" w:hAnsi="Book Antiqua" w:cs="Book Antiqua"/>
          <w:color w:val="000000"/>
          <w:sz w:val="24"/>
        </w:rPr>
        <w:t>United European Gastroenterology, ; European Association study of liver, ; Associazione Italiana Studio Fegato, .</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September 11, 2020</w:t>
      </w:r>
    </w:p>
    <w:p w:rsidR="00A77B3E">
      <w:pPr>
        <w:spacing w:line="360" w:lineRule="auto"/>
        <w:ind w:firstLine="0"/>
        <w:jc w:val="both"/>
        <w:rPr>
          <w:sz w:val="24"/>
        </w:rPr>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September 29, 2020</w:t>
      </w:r>
    </w:p>
    <w:p w:rsidR="00A77B3E">
      <w:pPr>
        <w:spacing w:line="360" w:lineRule="auto"/>
        <w:ind w:firstLine="0"/>
        <w:jc w:val="both"/>
        <w:rPr>
          <w:sz w:val="24"/>
        </w:rPr>
      </w:pPr>
      <w:r>
        <w:rPr>
          <w:rFonts w:ascii="Book Antiqua" w:eastAsia="Book Antiqua" w:hAnsi="Book Antiqua" w:cs="Book Antiqua"/>
          <w:b/>
          <w:color w:val="000000"/>
          <w:sz w:val="24"/>
        </w:rPr>
        <w:t xml:space="preserve">Article in press: </w:t>
      </w:r>
      <w:r>
        <w:rPr>
          <w:rFonts w:ascii="Book Antiqua" w:eastAsia="Book Antiqua" w:hAnsi="Book Antiqua" w:cs="Book Antiqua"/>
          <w:color w:val="000000"/>
          <w:sz w:val="24"/>
        </w:rPr>
        <w:t>November 2, 2020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Specialty type: </w:t>
      </w:r>
      <w:r>
        <w:rPr>
          <w:rFonts w:ascii="Book Antiqua" w:eastAsia="Book Antiqua" w:hAnsi="Book Antiqua" w:cs="Book Antiqua"/>
          <w:color w:val="000000"/>
          <w:sz w:val="24"/>
        </w:rPr>
        <w:t>Gastroenterology and Hepatology</w:t>
      </w:r>
    </w:p>
    <w:p w:rsidR="00A77B3E">
      <w:pPr>
        <w:spacing w:line="360" w:lineRule="auto"/>
        <w:ind w:firstLine="0"/>
        <w:jc w:val="both"/>
        <w:rPr>
          <w:sz w:val="24"/>
        </w:rPr>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Italy</w:t>
      </w:r>
    </w:p>
    <w:p w:rsidR="00A77B3E">
      <w:pPr>
        <w:spacing w:line="360" w:lineRule="auto"/>
        <w:ind w:firstLine="0"/>
        <w:jc w:val="both"/>
        <w:rPr>
          <w:sz w:val="24"/>
        </w:rPr>
      </w:pPr>
      <w:r>
        <w:rPr>
          <w:rFonts w:ascii="Book Antiqua" w:eastAsia="Book Antiqua" w:hAnsi="Book Antiqua" w:cs="Book Antiqua"/>
          <w:b/>
          <w:color w:val="000000"/>
          <w:sz w:val="24"/>
        </w:rPr>
        <w:t>Peer-review report’s scientific quality classification</w:t>
      </w:r>
    </w:p>
    <w:p w:rsidR="00A77B3E">
      <w:pPr>
        <w:spacing w:line="360" w:lineRule="auto"/>
        <w:ind w:firstLine="0"/>
        <w:jc w:val="both"/>
        <w:rPr>
          <w:sz w:val="24"/>
        </w:rPr>
      </w:pPr>
      <w:r>
        <w:rPr>
          <w:rFonts w:ascii="Book Antiqua" w:eastAsia="Book Antiqua" w:hAnsi="Book Antiqua" w:cs="Book Antiqua"/>
          <w:color w:val="000000"/>
          <w:sz w:val="24"/>
        </w:rPr>
        <w:t>Grade A (Excellent): 0</w:t>
      </w:r>
    </w:p>
    <w:p w:rsidR="00A77B3E">
      <w:pPr>
        <w:spacing w:line="360" w:lineRule="auto"/>
        <w:ind w:firstLine="0"/>
        <w:jc w:val="both"/>
        <w:rPr>
          <w:sz w:val="24"/>
        </w:rPr>
      </w:pPr>
      <w:r>
        <w:rPr>
          <w:rFonts w:ascii="Book Antiqua" w:eastAsia="Book Antiqua" w:hAnsi="Book Antiqua" w:cs="Book Antiqua"/>
          <w:color w:val="000000"/>
          <w:sz w:val="24"/>
        </w:rPr>
        <w:t>Grade B (Very good): 0</w:t>
      </w:r>
    </w:p>
    <w:p w:rsidR="00A77B3E">
      <w:pPr>
        <w:spacing w:line="360" w:lineRule="auto"/>
        <w:ind w:firstLine="0"/>
        <w:jc w:val="both"/>
        <w:rPr>
          <w:sz w:val="24"/>
        </w:rPr>
      </w:pPr>
      <w:r>
        <w:rPr>
          <w:rFonts w:ascii="Book Antiqua" w:eastAsia="Book Antiqua" w:hAnsi="Book Antiqua" w:cs="Book Antiqua"/>
          <w:color w:val="000000"/>
          <w:sz w:val="24"/>
        </w:rPr>
        <w:t>Grade C (Good): C</w:t>
      </w:r>
    </w:p>
    <w:p w:rsidR="00A77B3E">
      <w:pPr>
        <w:spacing w:line="360" w:lineRule="auto"/>
        <w:ind w:firstLine="0"/>
        <w:jc w:val="both"/>
        <w:rPr>
          <w:sz w:val="24"/>
        </w:rPr>
      </w:pPr>
      <w:r>
        <w:rPr>
          <w:rFonts w:ascii="Book Antiqua" w:eastAsia="Book Antiqua" w:hAnsi="Book Antiqua" w:cs="Book Antiqua"/>
          <w:color w:val="000000"/>
          <w:sz w:val="24"/>
        </w:rPr>
        <w:t>Grade D (Fair): 0</w:t>
      </w:r>
    </w:p>
    <w:p w:rsidR="00A77B3E">
      <w:pPr>
        <w:spacing w:line="360" w:lineRule="auto"/>
        <w:ind w:firstLine="0"/>
        <w:jc w:val="both"/>
        <w:rPr>
          <w:sz w:val="24"/>
        </w:rPr>
      </w:pPr>
      <w:r>
        <w:rPr>
          <w:rFonts w:ascii="Book Antiqua" w:eastAsia="Book Antiqua" w:hAnsi="Book Antiqua" w:cs="Book Antiqua"/>
          <w:color w:val="000000"/>
          <w:sz w:val="24"/>
        </w:rPr>
        <w:t>Grade E (Poor): 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P-Reviewer: </w:t>
      </w:r>
      <w:r>
        <w:rPr>
          <w:rFonts w:ascii="Book Antiqua" w:eastAsia="Book Antiqua" w:hAnsi="Book Antiqua" w:cs="Book Antiqua"/>
          <w:color w:val="000000"/>
          <w:sz w:val="24"/>
        </w:rPr>
        <w:t>Mohamed SY</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Gao CC</w:t>
      </w:r>
      <w:r>
        <w:rPr>
          <w:rFonts w:ascii="Book Antiqua" w:eastAsia="Book Antiqua" w:hAnsi="Book Antiqua" w:cs="Book Antiqua"/>
          <w:b/>
          <w:color w:val="000000"/>
          <w:sz w:val="24"/>
        </w:rPr>
        <w:t xml:space="preserve"> L-Editor: </w:t>
      </w:r>
      <w:r>
        <w:rPr>
          <w:rFonts w:ascii="Book Antiqua" w:eastAsia="Book Antiqua" w:hAnsi="Book Antiqua" w:cs="Book Antiqua"/>
          <w:b/>
          <w:color w:val="000000"/>
          <w:sz w:val="24"/>
        </w:rPr>
        <w:t xml:space="preserve"> P-Editor: </w:t>
      </w:r>
    </w:p>
    <w:sectPr>
      <w:type w:val="nextPag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geNumber">
    <w:name w:val="PageNumber"/>
    <w:basedOn w:val="DefaultParagraphFont"/>
  </w:style>
  <w:style w:type="character" w:customStyle="1" w:styleId="s1">
    <w:name w:val="s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