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63BC7" w14:textId="77777777" w:rsidR="00A77B3E" w:rsidRDefault="008264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500BEC" w14:textId="77777777" w:rsidR="00A77B3E" w:rsidRDefault="008264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59436</w:t>
      </w:r>
    </w:p>
    <w:p w14:paraId="50E63347" w14:textId="77777777" w:rsidR="00A77B3E" w:rsidRDefault="008264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49FCC4" w14:textId="77777777" w:rsidR="00A77B3E" w:rsidRDefault="00A77B3E">
      <w:pPr>
        <w:spacing w:line="360" w:lineRule="auto"/>
        <w:jc w:val="both"/>
      </w:pPr>
    </w:p>
    <w:p w14:paraId="7372BA1A" w14:textId="77777777" w:rsidR="00A77B3E" w:rsidRDefault="0082641C">
      <w:pPr>
        <w:spacing w:line="360" w:lineRule="auto"/>
        <w:jc w:val="both"/>
      </w:pPr>
      <w:r>
        <w:rPr>
          <w:rFonts w:ascii="Book Antiqua" w:eastAsia="Book Antiqua" w:hAnsi="Book Antiqua" w:cs="Book Antiqua"/>
          <w:b/>
          <w:bCs/>
          <w:color w:val="000000"/>
        </w:rPr>
        <w:t>Subtalar joint pigmented villonodular synovitis misdiagnosed at the first visit: A case report</w:t>
      </w:r>
    </w:p>
    <w:p w14:paraId="135A5B8D" w14:textId="77777777" w:rsidR="00A77B3E" w:rsidRDefault="00A77B3E">
      <w:pPr>
        <w:spacing w:line="360" w:lineRule="auto"/>
        <w:jc w:val="both"/>
      </w:pPr>
    </w:p>
    <w:p w14:paraId="0C76FD7A" w14:textId="7FE1927E" w:rsidR="00A77B3E" w:rsidRDefault="003F5316">
      <w:pPr>
        <w:spacing w:line="360" w:lineRule="auto"/>
        <w:jc w:val="both"/>
      </w:pPr>
      <w:r>
        <w:rPr>
          <w:rFonts w:ascii="Book Antiqua" w:eastAsia="Book Antiqua" w:hAnsi="Book Antiqua" w:cs="Book Antiqua"/>
          <w:color w:val="000000"/>
        </w:rPr>
        <w:t xml:space="preserve">Zhao WQ </w:t>
      </w:r>
      <w:r w:rsidRPr="00551E3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2641C">
        <w:rPr>
          <w:rFonts w:ascii="Book Antiqua" w:eastAsia="Book Antiqua" w:hAnsi="Book Antiqua" w:cs="Book Antiqua"/>
          <w:color w:val="000000"/>
        </w:rPr>
        <w:t>Misdiagnosed subtalar joint PVNS</w:t>
      </w:r>
    </w:p>
    <w:p w14:paraId="4BE6EF36" w14:textId="77777777" w:rsidR="00A77B3E" w:rsidRDefault="00A77B3E">
      <w:pPr>
        <w:spacing w:line="360" w:lineRule="auto"/>
        <w:jc w:val="both"/>
      </w:pPr>
    </w:p>
    <w:p w14:paraId="7573C5CD" w14:textId="77777777" w:rsidR="00A77B3E" w:rsidRDefault="0082641C">
      <w:pPr>
        <w:spacing w:line="360" w:lineRule="auto"/>
        <w:jc w:val="both"/>
      </w:pPr>
      <w:r>
        <w:rPr>
          <w:rFonts w:ascii="Book Antiqua" w:eastAsia="Book Antiqua" w:hAnsi="Book Antiqua" w:cs="Book Antiqua"/>
          <w:color w:val="000000"/>
        </w:rPr>
        <w:t>Wen-Qian Zhao, Bin Zhao, Wan-Sheng Li, Isaac Assan</w:t>
      </w:r>
    </w:p>
    <w:p w14:paraId="75784BD8" w14:textId="77777777" w:rsidR="00A77B3E" w:rsidRDefault="00A77B3E">
      <w:pPr>
        <w:spacing w:line="360" w:lineRule="auto"/>
        <w:jc w:val="both"/>
      </w:pPr>
    </w:p>
    <w:p w14:paraId="23029FC5" w14:textId="77777777" w:rsidR="00A77B3E" w:rsidRDefault="0082641C">
      <w:pPr>
        <w:spacing w:line="360" w:lineRule="auto"/>
        <w:jc w:val="both"/>
      </w:pPr>
      <w:r>
        <w:rPr>
          <w:rFonts w:ascii="Book Antiqua" w:eastAsia="Book Antiqua" w:hAnsi="Book Antiqua" w:cs="Book Antiqua"/>
          <w:b/>
          <w:bCs/>
          <w:color w:val="000000"/>
        </w:rPr>
        <w:t xml:space="preserve">Wen-Qian Zhao, </w:t>
      </w:r>
      <w:r>
        <w:rPr>
          <w:rFonts w:ascii="Book Antiqua" w:eastAsia="Book Antiqua" w:hAnsi="Book Antiqua" w:cs="Book Antiqua"/>
          <w:color w:val="000000"/>
        </w:rPr>
        <w:t>Department of Traditional Chinese Medicine, The People's Hospital of Shouguang City, Shouguang 262700, Shandong Province, China</w:t>
      </w:r>
    </w:p>
    <w:p w14:paraId="36B81D9C" w14:textId="77777777" w:rsidR="00A77B3E" w:rsidRDefault="00A77B3E">
      <w:pPr>
        <w:spacing w:line="360" w:lineRule="auto"/>
        <w:jc w:val="both"/>
      </w:pPr>
    </w:p>
    <w:p w14:paraId="5054C9BB" w14:textId="77777777" w:rsidR="00A77B3E" w:rsidRDefault="0082641C">
      <w:pPr>
        <w:spacing w:line="360" w:lineRule="auto"/>
        <w:jc w:val="both"/>
      </w:pPr>
      <w:r>
        <w:rPr>
          <w:rFonts w:ascii="Book Antiqua" w:eastAsia="Book Antiqua" w:hAnsi="Book Antiqua" w:cs="Book Antiqua"/>
          <w:b/>
          <w:bCs/>
          <w:color w:val="000000"/>
        </w:rPr>
        <w:t xml:space="preserve">Bin Zhao, </w:t>
      </w:r>
      <w:r>
        <w:rPr>
          <w:rFonts w:ascii="Book Antiqua" w:eastAsia="Book Antiqua" w:hAnsi="Book Antiqua" w:cs="Book Antiqua"/>
          <w:color w:val="000000"/>
        </w:rPr>
        <w:t>Department of Orthopedics, Shouguang Hospital of Traditional Chinese Medicine, Shouguang 262700, Shandong Province, China</w:t>
      </w:r>
    </w:p>
    <w:p w14:paraId="5FCBDF87" w14:textId="77777777" w:rsidR="00A77B3E" w:rsidRDefault="00A77B3E">
      <w:pPr>
        <w:spacing w:line="360" w:lineRule="auto"/>
        <w:jc w:val="both"/>
      </w:pPr>
    </w:p>
    <w:p w14:paraId="2B4B1AA8" w14:textId="77777777" w:rsidR="00A77B3E" w:rsidRDefault="0082641C">
      <w:pPr>
        <w:spacing w:line="360" w:lineRule="auto"/>
        <w:jc w:val="both"/>
      </w:pPr>
      <w:r>
        <w:rPr>
          <w:rFonts w:ascii="Book Antiqua" w:eastAsia="Book Antiqua" w:hAnsi="Book Antiqua" w:cs="Book Antiqua"/>
          <w:b/>
          <w:bCs/>
          <w:color w:val="000000"/>
        </w:rPr>
        <w:t xml:space="preserve">Wan-Sheng Li, </w:t>
      </w:r>
      <w:r>
        <w:rPr>
          <w:rFonts w:ascii="Book Antiqua" w:eastAsia="Book Antiqua" w:hAnsi="Book Antiqua" w:cs="Book Antiqua"/>
          <w:color w:val="000000"/>
        </w:rPr>
        <w:t>Department of General Surgery, Shouguang Hospital of Traditional Chinese Medicine, Shouguang 262700, Shandong Province, China</w:t>
      </w:r>
    </w:p>
    <w:p w14:paraId="7B4A65FC" w14:textId="77777777" w:rsidR="00A77B3E" w:rsidRDefault="00A77B3E">
      <w:pPr>
        <w:spacing w:line="360" w:lineRule="auto"/>
        <w:jc w:val="both"/>
      </w:pPr>
    </w:p>
    <w:p w14:paraId="70377545" w14:textId="77777777" w:rsidR="00A77B3E" w:rsidRDefault="0082641C">
      <w:pPr>
        <w:spacing w:line="360" w:lineRule="auto"/>
        <w:jc w:val="both"/>
      </w:pPr>
      <w:r>
        <w:rPr>
          <w:rFonts w:ascii="Book Antiqua" w:eastAsia="Book Antiqua" w:hAnsi="Book Antiqua" w:cs="Book Antiqua"/>
          <w:b/>
          <w:bCs/>
          <w:color w:val="000000"/>
        </w:rPr>
        <w:t xml:space="preserve">Isaac Assan, </w:t>
      </w:r>
      <w:r>
        <w:rPr>
          <w:rFonts w:ascii="Book Antiqua" w:eastAsia="Book Antiqua" w:hAnsi="Book Antiqua" w:cs="Book Antiqua"/>
          <w:color w:val="000000"/>
        </w:rPr>
        <w:t>School of International Education, Weifang Medical University, Weifang 261053, Shandong Province, China</w:t>
      </w:r>
    </w:p>
    <w:p w14:paraId="1A9ADAAB" w14:textId="77777777" w:rsidR="00A77B3E" w:rsidRDefault="00A77B3E">
      <w:pPr>
        <w:spacing w:line="360" w:lineRule="auto"/>
        <w:jc w:val="both"/>
      </w:pPr>
    </w:p>
    <w:p w14:paraId="41C39CAD" w14:textId="7F522ECF" w:rsidR="00A77B3E" w:rsidRDefault="0082641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and </w:t>
      </w:r>
      <w:r>
        <w:rPr>
          <w:rFonts w:ascii="Book Antiqua" w:eastAsia="Book Antiqua" w:hAnsi="Book Antiqua" w:cs="Book Antiqua"/>
          <w:color w:val="000000"/>
        </w:rPr>
        <w:t>Zhao WQ</w:t>
      </w:r>
      <w:r w:rsidR="003F5316">
        <w:rPr>
          <w:rFonts w:ascii="Book Antiqua" w:eastAsia="Book Antiqua" w:hAnsi="Book Antiqua" w:cs="Book Antiqua"/>
          <w:color w:val="000000"/>
        </w:rPr>
        <w:t xml:space="preserve">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w:t>
      </w:r>
      <w:r w:rsidR="003F5316">
        <w:rPr>
          <w:rFonts w:ascii="Book Antiqua" w:eastAsia="Book Antiqua" w:hAnsi="Book Antiqua" w:cs="Book Antiqua"/>
          <w:color w:val="000000"/>
        </w:rPr>
        <w:t>conceptualization</w:t>
      </w:r>
      <w:r w:rsidR="00C05783">
        <w:rPr>
          <w:rFonts w:ascii="Book Antiqua" w:eastAsia="Book Antiqua" w:hAnsi="Book Antiqua" w:cs="Book Antiqua"/>
          <w:color w:val="000000"/>
        </w:rPr>
        <w:t xml:space="preserve"> of the study</w:t>
      </w:r>
      <w:r w:rsidR="003F5316">
        <w:rPr>
          <w:rFonts w:ascii="Book Antiqua" w:eastAsia="Book Antiqua" w:hAnsi="Book Antiqua" w:cs="Book Antiqua"/>
          <w:color w:val="000000"/>
        </w:rPr>
        <w:t xml:space="preserve">;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w:t>
      </w:r>
      <w:r w:rsidR="008C784B">
        <w:rPr>
          <w:rFonts w:ascii="Book Antiqua" w:eastAsia="Book Antiqua" w:hAnsi="Book Antiqua" w:cs="Book Antiqua"/>
          <w:color w:val="000000"/>
        </w:rPr>
        <w:t>aided with</w:t>
      </w:r>
      <w:r w:rsidR="00C05783">
        <w:rPr>
          <w:rFonts w:ascii="Book Antiqua" w:eastAsia="Book Antiqua" w:hAnsi="Book Antiqua" w:cs="Book Antiqua"/>
          <w:color w:val="000000"/>
        </w:rPr>
        <w:t xml:space="preserve"> the </w:t>
      </w:r>
      <w:r w:rsidR="003F5316">
        <w:rPr>
          <w:rFonts w:ascii="Book Antiqua" w:eastAsia="Book Antiqua" w:hAnsi="Book Antiqua" w:cs="Book Antiqua"/>
          <w:color w:val="000000"/>
        </w:rPr>
        <w:t xml:space="preserve">surgery; </w:t>
      </w:r>
      <w:r>
        <w:rPr>
          <w:rFonts w:ascii="Book Antiqua" w:eastAsia="Book Antiqua" w:hAnsi="Book Antiqua" w:cs="Book Antiqua"/>
          <w:color w:val="000000"/>
        </w:rPr>
        <w:t>Zhao WQ</w:t>
      </w:r>
      <w:r w:rsidR="00C05783">
        <w:rPr>
          <w:rFonts w:ascii="Book Antiqua" w:eastAsia="Book Antiqua" w:hAnsi="Book Antiqua" w:cs="Book Antiqua"/>
          <w:color w:val="000000"/>
        </w:rPr>
        <w:t>,</w:t>
      </w:r>
      <w:r w:rsidR="003F5316">
        <w:rPr>
          <w:rFonts w:ascii="Book Antiqua" w:eastAsia="Book Antiqua" w:hAnsi="Book Antiqua" w:cs="Book Antiqua"/>
          <w:color w:val="000000"/>
        </w:rPr>
        <w:t xml:space="preserve"> and </w:t>
      </w:r>
      <w:r>
        <w:rPr>
          <w:rFonts w:ascii="Book Antiqua" w:eastAsia="Book Antiqua" w:hAnsi="Book Antiqua" w:cs="Book Antiqua"/>
          <w:color w:val="000000"/>
        </w:rPr>
        <w:t>Li WS</w:t>
      </w:r>
      <w:r w:rsidR="003F5316">
        <w:rPr>
          <w:rFonts w:ascii="Book Antiqua" w:eastAsia="Book Antiqua" w:hAnsi="Book Antiqua" w:cs="Book Antiqua"/>
          <w:color w:val="000000"/>
        </w:rPr>
        <w:t xml:space="preserve">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the </w:t>
      </w:r>
      <w:r w:rsidR="003F5316">
        <w:rPr>
          <w:rFonts w:ascii="Book Antiqua" w:eastAsia="Book Antiqua" w:hAnsi="Book Antiqua" w:cs="Book Antiqua"/>
          <w:color w:val="000000"/>
        </w:rPr>
        <w:t xml:space="preserve">data curation; </w:t>
      </w:r>
      <w:r>
        <w:rPr>
          <w:rFonts w:ascii="Book Antiqua" w:eastAsia="Book Antiqua" w:hAnsi="Book Antiqua" w:cs="Book Antiqua"/>
          <w:color w:val="000000"/>
        </w:rPr>
        <w:t>Zhao B</w:t>
      </w:r>
      <w:r w:rsidR="003F5316">
        <w:rPr>
          <w:rFonts w:ascii="Book Antiqua" w:eastAsia="Book Antiqua" w:hAnsi="Book Antiqua" w:cs="Book Antiqua"/>
          <w:color w:val="000000"/>
        </w:rPr>
        <w:t xml:space="preserve"> wrote </w:t>
      </w:r>
      <w:r w:rsidR="008C784B">
        <w:rPr>
          <w:rFonts w:ascii="Book Antiqua" w:eastAsia="Book Antiqua" w:hAnsi="Book Antiqua" w:cs="Book Antiqua"/>
          <w:color w:val="000000"/>
        </w:rPr>
        <w:t xml:space="preserve">the </w:t>
      </w:r>
      <w:r w:rsidR="003F5316">
        <w:rPr>
          <w:rFonts w:ascii="Book Antiqua" w:eastAsia="Book Antiqua" w:hAnsi="Book Antiqua" w:cs="Book Antiqua"/>
          <w:color w:val="000000"/>
        </w:rPr>
        <w:t xml:space="preserve">original draft; </w:t>
      </w:r>
      <w:r>
        <w:rPr>
          <w:rFonts w:ascii="Book Antiqua" w:eastAsia="Book Antiqua" w:hAnsi="Book Antiqua" w:cs="Book Antiqua"/>
          <w:color w:val="000000"/>
        </w:rPr>
        <w:t>Assan</w:t>
      </w:r>
      <w:r w:rsidR="003F5316">
        <w:rPr>
          <w:rFonts w:ascii="Book Antiqua" w:eastAsia="Book Antiqua" w:hAnsi="Book Antiqua" w:cs="Book Antiqua"/>
          <w:color w:val="000000"/>
        </w:rPr>
        <w:t xml:space="preserve"> I </w:t>
      </w:r>
      <w:r w:rsidR="003F5316" w:rsidRPr="003F5316">
        <w:rPr>
          <w:rFonts w:ascii="Book Antiqua" w:eastAsia="Book Antiqua" w:hAnsi="Book Antiqua" w:cs="Book Antiqua"/>
          <w:color w:val="000000"/>
        </w:rPr>
        <w:t>contribut</w:t>
      </w:r>
      <w:r w:rsidR="003F5316">
        <w:rPr>
          <w:rFonts w:ascii="Book Antiqua" w:eastAsia="Book Antiqua" w:hAnsi="Book Antiqua" w:cs="Book Antiqua"/>
          <w:color w:val="000000"/>
        </w:rPr>
        <w:t xml:space="preserve">ed </w:t>
      </w:r>
      <w:r w:rsidR="00C05783">
        <w:rPr>
          <w:rFonts w:ascii="Book Antiqua" w:eastAsia="Book Antiqua" w:hAnsi="Book Antiqua" w:cs="Book Antiqua"/>
          <w:color w:val="000000"/>
        </w:rPr>
        <w:t xml:space="preserve">to the </w:t>
      </w:r>
      <w:r w:rsidR="003F5316">
        <w:rPr>
          <w:rFonts w:ascii="Book Antiqua" w:eastAsia="Book Antiqua" w:hAnsi="Book Antiqua" w:cs="Book Antiqua"/>
          <w:color w:val="000000"/>
        </w:rPr>
        <w:t xml:space="preserve">article review, edit, and diction analysis; </w:t>
      </w:r>
      <w:r w:rsidR="00C05783">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085E686D" w14:textId="77777777" w:rsidR="00A77B3E" w:rsidRDefault="00A77B3E">
      <w:pPr>
        <w:spacing w:line="360" w:lineRule="auto"/>
        <w:jc w:val="both"/>
      </w:pPr>
    </w:p>
    <w:p w14:paraId="28D8CD54" w14:textId="77777777" w:rsidR="00A77B3E" w:rsidRDefault="0082641C">
      <w:pPr>
        <w:spacing w:line="360" w:lineRule="auto"/>
        <w:jc w:val="both"/>
      </w:pPr>
      <w:r>
        <w:rPr>
          <w:rFonts w:ascii="Book Antiqua" w:eastAsia="Book Antiqua" w:hAnsi="Book Antiqua" w:cs="Book Antiqua"/>
          <w:b/>
          <w:bCs/>
          <w:color w:val="000000"/>
        </w:rPr>
        <w:lastRenderedPageBreak/>
        <w:t xml:space="preserve">Corresponding author: Bin Zhao, MD, Attending Doctor, </w:t>
      </w:r>
      <w:r>
        <w:rPr>
          <w:rFonts w:ascii="Book Antiqua" w:eastAsia="Book Antiqua" w:hAnsi="Book Antiqua" w:cs="Book Antiqua"/>
          <w:color w:val="000000"/>
        </w:rPr>
        <w:t>Department of Orthopedics, Shouguang Hospital of Traditional Chinese Medicine, No. 3353 Shengcheng Street, Shouguang 262700, Shandong Province, China. benjaminyan1@163.com</w:t>
      </w:r>
    </w:p>
    <w:p w14:paraId="2049DE0B" w14:textId="77777777" w:rsidR="00A77B3E" w:rsidRDefault="00A77B3E">
      <w:pPr>
        <w:spacing w:line="360" w:lineRule="auto"/>
        <w:jc w:val="both"/>
      </w:pPr>
    </w:p>
    <w:p w14:paraId="4CD80D42" w14:textId="77777777" w:rsidR="00A77B3E" w:rsidRDefault="008264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14:paraId="17817ED6" w14:textId="77777777" w:rsidR="00A77B3E" w:rsidRDefault="008264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5DEB93C2" w14:textId="48AD8E4B" w:rsidR="00A77B3E" w:rsidRDefault="0082641C">
      <w:pPr>
        <w:spacing w:line="360" w:lineRule="auto"/>
        <w:jc w:val="both"/>
      </w:pPr>
      <w:r>
        <w:rPr>
          <w:rFonts w:ascii="Book Antiqua" w:eastAsia="Book Antiqua" w:hAnsi="Book Antiqua" w:cs="Book Antiqua"/>
          <w:b/>
          <w:bCs/>
          <w:color w:val="000000"/>
        </w:rPr>
        <w:t xml:space="preserve">Accepted: </w:t>
      </w:r>
      <w:r w:rsidR="005742F0" w:rsidRPr="005742F0">
        <w:rPr>
          <w:rFonts w:ascii="Book Antiqua" w:eastAsia="Book Antiqua" w:hAnsi="Book Antiqua" w:cs="Book Antiqua"/>
          <w:color w:val="000000"/>
        </w:rPr>
        <w:t>December 23, 2020</w:t>
      </w:r>
    </w:p>
    <w:p w14:paraId="31906646" w14:textId="77777777" w:rsidR="00A77B3E" w:rsidRDefault="0082641C">
      <w:pPr>
        <w:spacing w:line="360" w:lineRule="auto"/>
        <w:jc w:val="both"/>
      </w:pPr>
      <w:r>
        <w:rPr>
          <w:rFonts w:ascii="Book Antiqua" w:eastAsia="Book Antiqua" w:hAnsi="Book Antiqua" w:cs="Book Antiqua"/>
          <w:b/>
          <w:bCs/>
          <w:color w:val="000000"/>
        </w:rPr>
        <w:t xml:space="preserve">Published online: </w:t>
      </w:r>
    </w:p>
    <w:p w14:paraId="0BB05B6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7AE6AD0" w14:textId="77777777" w:rsidR="00A77B3E" w:rsidRDefault="0082641C">
      <w:pPr>
        <w:spacing w:line="360" w:lineRule="auto"/>
        <w:jc w:val="both"/>
      </w:pPr>
      <w:r>
        <w:rPr>
          <w:rFonts w:ascii="Book Antiqua" w:eastAsia="Book Antiqua" w:hAnsi="Book Antiqua" w:cs="Book Antiqua"/>
          <w:b/>
          <w:color w:val="000000"/>
        </w:rPr>
        <w:lastRenderedPageBreak/>
        <w:t>Abstract</w:t>
      </w:r>
    </w:p>
    <w:p w14:paraId="4944677B" w14:textId="77777777" w:rsidR="00A77B3E" w:rsidRDefault="0082641C">
      <w:pPr>
        <w:spacing w:line="360" w:lineRule="auto"/>
        <w:jc w:val="both"/>
      </w:pPr>
      <w:r>
        <w:rPr>
          <w:rFonts w:ascii="Book Antiqua" w:eastAsia="Book Antiqua" w:hAnsi="Book Antiqua" w:cs="Book Antiqua"/>
          <w:color w:val="000000"/>
        </w:rPr>
        <w:t>BACKGROUND</w:t>
      </w:r>
    </w:p>
    <w:p w14:paraId="6042C32E" w14:textId="77777777" w:rsidR="00A77B3E" w:rsidRDefault="0082641C">
      <w:pPr>
        <w:spacing w:line="360" w:lineRule="auto"/>
        <w:jc w:val="both"/>
      </w:pPr>
      <w:r>
        <w:rPr>
          <w:rFonts w:ascii="Book Antiqua" w:eastAsia="Book Antiqua" w:hAnsi="Book Antiqua" w:cs="Book Antiqua"/>
          <w:color w:val="000000"/>
        </w:rPr>
        <w:t>Pigmented villonodular synovitis (PVNS) is an uncommon disease that usually occurs in large joints, and involvement of the subtalar joint is rare. The lack of comprehensive knowledge of subtalar joint PVNS could lead to misdiagnosis.</w:t>
      </w:r>
    </w:p>
    <w:p w14:paraId="7C46B252" w14:textId="77777777" w:rsidR="00A77B3E" w:rsidRDefault="00A77B3E">
      <w:pPr>
        <w:spacing w:line="360" w:lineRule="auto"/>
        <w:jc w:val="both"/>
      </w:pPr>
    </w:p>
    <w:p w14:paraId="3F33E23C" w14:textId="77777777" w:rsidR="00A77B3E" w:rsidRDefault="0082641C">
      <w:pPr>
        <w:spacing w:line="360" w:lineRule="auto"/>
        <w:jc w:val="both"/>
      </w:pPr>
      <w:r>
        <w:rPr>
          <w:rFonts w:ascii="Book Antiqua" w:eastAsia="Book Antiqua" w:hAnsi="Book Antiqua" w:cs="Book Antiqua"/>
          <w:color w:val="000000"/>
        </w:rPr>
        <w:t>CASE SUMMARY</w:t>
      </w:r>
    </w:p>
    <w:p w14:paraId="447AE7BF" w14:textId="77777777" w:rsidR="00A77B3E" w:rsidRDefault="0082641C">
      <w:pPr>
        <w:spacing w:line="360" w:lineRule="auto"/>
        <w:jc w:val="both"/>
      </w:pPr>
      <w:r>
        <w:rPr>
          <w:rFonts w:ascii="Book Antiqua" w:eastAsia="Book Antiqua" w:hAnsi="Book Antiqua" w:cs="Book Antiqua"/>
          <w:color w:val="000000"/>
        </w:rPr>
        <w:t>We present a 64-year-old woman who, at her first visit, complained of discomfort in the right ankle when she walked. Based on the physical signs and X-ray report, the physician failed to make the suspected diagnosis of PVNS. Eighteen months later, the patient returned with a complaint of a mass in her right lateral malleolus with intermittent blunt pain. The X-ray presented an osteophyte formation and soft tissue calcification at the margin of the subtalar joint. The laboratory tests were normal, whereas magnetic resonance imaging (MRI) showed a low-intensity area on both T1- and T2-weighted images. A suspected diagnosis of PVNS was made and later confirmed by postoperative pathology. Subsequently, the patient received radiotherapy with 32 Gy in 16 fractions. At 6 mo postoperatively, the patient only complained of discomfort after walking three blocks. The American Orthopedic Foot and Ankle Society Ankle–Hindfoot score was 97.</w:t>
      </w:r>
    </w:p>
    <w:p w14:paraId="3A195CF5" w14:textId="77777777" w:rsidR="00A77B3E" w:rsidRDefault="00A77B3E">
      <w:pPr>
        <w:spacing w:line="360" w:lineRule="auto"/>
        <w:jc w:val="both"/>
      </w:pPr>
    </w:p>
    <w:p w14:paraId="7A100349" w14:textId="77777777" w:rsidR="00A77B3E" w:rsidRDefault="0082641C">
      <w:pPr>
        <w:spacing w:line="360" w:lineRule="auto"/>
        <w:jc w:val="both"/>
      </w:pPr>
      <w:r>
        <w:rPr>
          <w:rFonts w:ascii="Book Antiqua" w:eastAsia="Book Antiqua" w:hAnsi="Book Antiqua" w:cs="Book Antiqua"/>
          <w:color w:val="000000"/>
        </w:rPr>
        <w:t>CONCLUSION</w:t>
      </w:r>
    </w:p>
    <w:p w14:paraId="535AF105" w14:textId="781AB2C0" w:rsidR="00A77B3E" w:rsidRDefault="0082641C">
      <w:pPr>
        <w:spacing w:line="360" w:lineRule="auto"/>
        <w:jc w:val="both"/>
      </w:pPr>
      <w:r>
        <w:rPr>
          <w:rFonts w:ascii="Book Antiqua" w:eastAsia="Book Antiqua" w:hAnsi="Book Antiqua" w:cs="Book Antiqua"/>
          <w:color w:val="000000"/>
        </w:rPr>
        <w:t xml:space="preserve">MRI is necessary for </w:t>
      </w:r>
      <w:r w:rsidR="00B771AE">
        <w:rPr>
          <w:rFonts w:ascii="Book Antiqua" w:eastAsia="Book Antiqua" w:hAnsi="Book Antiqua" w:cs="Book Antiqua"/>
          <w:color w:val="000000"/>
        </w:rPr>
        <w:t xml:space="preserve">the </w:t>
      </w:r>
      <w:r>
        <w:rPr>
          <w:rFonts w:ascii="Book Antiqua" w:eastAsia="Book Antiqua" w:hAnsi="Book Antiqua" w:cs="Book Antiqua"/>
          <w:color w:val="000000"/>
        </w:rPr>
        <w:t>diagnosis of PVNS. Early soft tissue calcification and painless joint swelling should be of concern.</w:t>
      </w:r>
    </w:p>
    <w:p w14:paraId="62DD1D10" w14:textId="77777777" w:rsidR="00A77B3E" w:rsidRDefault="00A77B3E">
      <w:pPr>
        <w:spacing w:line="360" w:lineRule="auto"/>
        <w:jc w:val="both"/>
      </w:pPr>
    </w:p>
    <w:p w14:paraId="57B0DD41" w14:textId="6BA01527" w:rsidR="00A77B3E" w:rsidRDefault="008264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Pigmented villonodular synovitis; </w:t>
      </w:r>
      <w:r w:rsidR="003F5316">
        <w:rPr>
          <w:rFonts w:ascii="Book Antiqua" w:eastAsia="Book Antiqua" w:hAnsi="Book Antiqua" w:cs="Book Antiqua"/>
          <w:color w:val="000000"/>
        </w:rPr>
        <w:t>S</w:t>
      </w:r>
      <w:r>
        <w:rPr>
          <w:rFonts w:ascii="Book Antiqua" w:eastAsia="Book Antiqua" w:hAnsi="Book Antiqua" w:cs="Book Antiqua"/>
          <w:color w:val="000000"/>
        </w:rPr>
        <w:t xml:space="preserve">ubtalar joint; Steinmann pin retractor; </w:t>
      </w:r>
      <w:r w:rsidR="003F5316">
        <w:rPr>
          <w:rFonts w:ascii="Book Antiqua" w:eastAsia="Book Antiqua" w:hAnsi="Book Antiqua" w:cs="Book Antiqua"/>
          <w:color w:val="000000"/>
        </w:rPr>
        <w:t>C</w:t>
      </w:r>
      <w:r>
        <w:rPr>
          <w:rFonts w:ascii="Book Antiqua" w:eastAsia="Book Antiqua" w:hAnsi="Book Antiqua" w:cs="Book Antiqua"/>
          <w:color w:val="000000"/>
        </w:rPr>
        <w:t>ase report; </w:t>
      </w:r>
      <w:r w:rsidR="003F5316">
        <w:rPr>
          <w:rFonts w:ascii="Book Antiqua" w:eastAsia="Book Antiqua" w:hAnsi="Book Antiqua" w:cs="Book Antiqua"/>
          <w:color w:val="000000"/>
        </w:rPr>
        <w:t>Tenosynovial giant cell tumor</w:t>
      </w:r>
    </w:p>
    <w:p w14:paraId="3724FCC7" w14:textId="77777777" w:rsidR="00A77B3E" w:rsidRDefault="00A77B3E">
      <w:pPr>
        <w:spacing w:line="360" w:lineRule="auto"/>
        <w:jc w:val="both"/>
      </w:pPr>
    </w:p>
    <w:p w14:paraId="210222EE" w14:textId="77777777" w:rsidR="00A77B3E" w:rsidRDefault="0082641C">
      <w:pPr>
        <w:spacing w:line="360" w:lineRule="auto"/>
        <w:jc w:val="both"/>
      </w:pPr>
      <w:r>
        <w:rPr>
          <w:rFonts w:ascii="Book Antiqua" w:eastAsia="Book Antiqua" w:hAnsi="Book Antiqua" w:cs="Book Antiqua"/>
          <w:color w:val="000000"/>
        </w:rPr>
        <w:t xml:space="preserve">Zhao WQ, Zhao B, Li WS, Assan I. Subtalar joint pigmented villonodular synovitis misdiagnosed at the first visit: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6A02C69F" w14:textId="77777777" w:rsidR="00A77B3E" w:rsidRDefault="00A77B3E">
      <w:pPr>
        <w:spacing w:line="360" w:lineRule="auto"/>
        <w:jc w:val="both"/>
      </w:pPr>
    </w:p>
    <w:p w14:paraId="078AAA84" w14:textId="79108298" w:rsidR="00A77B3E" w:rsidRDefault="0082641C">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Diffuse subtalar joint pigmented villonodular synovitis (PVNS) is a rare disease that can potentially cause bone and cartilage lesions if misdiagnosed at </w:t>
      </w:r>
      <w:r w:rsidR="00E93198">
        <w:rPr>
          <w:rFonts w:ascii="Book Antiqua" w:eastAsia="Book Antiqua" w:hAnsi="Book Antiqua" w:cs="Book Antiqua"/>
          <w:color w:val="000000"/>
        </w:rPr>
        <w:t xml:space="preserve">an </w:t>
      </w:r>
      <w:r>
        <w:rPr>
          <w:rFonts w:ascii="Book Antiqua" w:eastAsia="Book Antiqua" w:hAnsi="Book Antiqua" w:cs="Book Antiqua"/>
          <w:color w:val="000000"/>
        </w:rPr>
        <w:t>early stage. Magnetic resonance imaging should be recommended if a physician is suspicious of PVNS. We present a case of misdiagnosed PVNS to improve our understanding of the early characteristics of diffuse subtalar joint PVNS.</w:t>
      </w:r>
    </w:p>
    <w:p w14:paraId="692BBB07" w14:textId="16C52234" w:rsidR="00A77B3E" w:rsidRDefault="003F5316">
      <w:pPr>
        <w:spacing w:line="360" w:lineRule="auto"/>
        <w:jc w:val="both"/>
      </w:pPr>
      <w:r>
        <w:br w:type="page"/>
      </w:r>
      <w:r w:rsidR="0082641C">
        <w:rPr>
          <w:rFonts w:ascii="Book Antiqua" w:eastAsia="Book Antiqua" w:hAnsi="Book Antiqua" w:cs="Book Antiqua"/>
          <w:b/>
          <w:caps/>
          <w:color w:val="000000"/>
          <w:u w:val="single"/>
        </w:rPr>
        <w:lastRenderedPageBreak/>
        <w:t>INTRODUCTION</w:t>
      </w:r>
    </w:p>
    <w:p w14:paraId="4DB2EDF5" w14:textId="4BE01612" w:rsidR="00A77B3E" w:rsidRDefault="0082641C">
      <w:pPr>
        <w:spacing w:line="360" w:lineRule="auto"/>
        <w:jc w:val="both"/>
      </w:pPr>
      <w:r>
        <w:rPr>
          <w:rFonts w:ascii="Book Antiqua" w:eastAsia="Book Antiqua" w:hAnsi="Book Antiqua" w:cs="Book Antiqua"/>
          <w:color w:val="000000"/>
        </w:rPr>
        <w:t>Pigmented villonodular synovitis (PVNS), also called tenosynovial giant cell tumor (TGCT), is an uncommon proliferative disease with an uncertain etiology. It usually occurs in middle-aged people</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Almost less than two cases per million population are diagnosed each year. The diffuse type of PVNS is predominant, usually causing soft tissue, bone, or cartilage lesions. PVNS usually occurs in large joints including the knee, hip, ankle, elbow and hand, and subtalar joint involvement in PVNS is rare. A lack of comprehensive knowledge of subtalar joint PVNS c</w:t>
      </w:r>
      <w:r w:rsidR="006D5EE4">
        <w:rPr>
          <w:rFonts w:ascii="Book Antiqua" w:eastAsia="Book Antiqua" w:hAnsi="Book Antiqua" w:cs="Book Antiqua"/>
          <w:color w:val="000000"/>
        </w:rPr>
        <w:t>an</w:t>
      </w:r>
      <w:r>
        <w:rPr>
          <w:rFonts w:ascii="Book Antiqua" w:eastAsia="Book Antiqua" w:hAnsi="Book Antiqua" w:cs="Book Antiqua"/>
          <w:color w:val="000000"/>
        </w:rPr>
        <w:t xml:space="preserve"> lead to misdiagnosis</w:t>
      </w:r>
      <w:r w:rsidR="006D5EE4">
        <w:rPr>
          <w:rFonts w:ascii="Book Antiqua" w:eastAsia="Book Antiqua" w:hAnsi="Book Antiqua" w:cs="Book Antiqua"/>
          <w:color w:val="000000"/>
        </w:rPr>
        <w:t>, which</w:t>
      </w:r>
      <w:r>
        <w:rPr>
          <w:rFonts w:ascii="Book Antiqua" w:eastAsia="Book Antiqua" w:hAnsi="Book Antiqua" w:cs="Book Antiqua"/>
          <w:color w:val="000000"/>
        </w:rPr>
        <w:t xml:space="preserve"> </w:t>
      </w:r>
      <w:r w:rsidR="006D5EE4">
        <w:rPr>
          <w:rFonts w:ascii="Book Antiqua" w:eastAsia="Book Antiqua" w:hAnsi="Book Antiqua" w:cs="Book Antiqua"/>
          <w:color w:val="000000"/>
        </w:rPr>
        <w:t xml:space="preserve">may </w:t>
      </w:r>
      <w:r>
        <w:rPr>
          <w:rFonts w:ascii="Book Antiqua" w:eastAsia="Book Antiqua" w:hAnsi="Book Antiqua" w:cs="Book Antiqua"/>
          <w:color w:val="000000"/>
        </w:rPr>
        <w:t>cause bone and cartilage lesions.</w:t>
      </w:r>
    </w:p>
    <w:p w14:paraId="645FB7DA" w14:textId="77777777" w:rsidR="00A77B3E" w:rsidRDefault="00A77B3E">
      <w:pPr>
        <w:spacing w:line="360" w:lineRule="auto"/>
        <w:jc w:val="both"/>
      </w:pPr>
    </w:p>
    <w:p w14:paraId="471D1CF5" w14:textId="77777777" w:rsidR="00A77B3E" w:rsidRDefault="0082641C">
      <w:pPr>
        <w:spacing w:line="360" w:lineRule="auto"/>
        <w:jc w:val="both"/>
      </w:pPr>
      <w:r>
        <w:rPr>
          <w:rFonts w:ascii="Book Antiqua" w:eastAsia="Book Antiqua" w:hAnsi="Book Antiqua" w:cs="Book Antiqua"/>
          <w:b/>
          <w:caps/>
          <w:color w:val="000000"/>
          <w:u w:val="single"/>
        </w:rPr>
        <w:t>CASE PRESENTATION</w:t>
      </w:r>
    </w:p>
    <w:p w14:paraId="42ECB906" w14:textId="77777777" w:rsidR="00A77B3E" w:rsidRDefault="0082641C">
      <w:pPr>
        <w:spacing w:line="360" w:lineRule="auto"/>
        <w:jc w:val="both"/>
      </w:pPr>
      <w:r>
        <w:rPr>
          <w:rFonts w:ascii="Book Antiqua" w:eastAsia="Book Antiqua" w:hAnsi="Book Antiqua" w:cs="Book Antiqua"/>
          <w:b/>
          <w:i/>
          <w:color w:val="000000"/>
        </w:rPr>
        <w:t>Chief complaints</w:t>
      </w:r>
    </w:p>
    <w:p w14:paraId="0E82E2BD" w14:textId="77777777" w:rsidR="00A77B3E" w:rsidRDefault="0082641C">
      <w:pPr>
        <w:spacing w:line="360" w:lineRule="auto"/>
        <w:jc w:val="both"/>
      </w:pPr>
      <w:r>
        <w:rPr>
          <w:rFonts w:ascii="Book Antiqua" w:eastAsia="Book Antiqua" w:hAnsi="Book Antiqua" w:cs="Book Antiqua"/>
          <w:color w:val="000000"/>
        </w:rPr>
        <w:t xml:space="preserve">A 64-year-old woman complained of a growing mass in her right lateral malleolus with intermittent blunt pain. </w:t>
      </w:r>
    </w:p>
    <w:p w14:paraId="4E41320B" w14:textId="77777777" w:rsidR="00A77B3E" w:rsidRDefault="00A77B3E">
      <w:pPr>
        <w:spacing w:line="360" w:lineRule="auto"/>
        <w:jc w:val="both"/>
      </w:pPr>
    </w:p>
    <w:p w14:paraId="3629B17B" w14:textId="77777777" w:rsidR="00A77B3E" w:rsidRDefault="0082641C">
      <w:pPr>
        <w:spacing w:line="360" w:lineRule="auto"/>
        <w:jc w:val="both"/>
      </w:pPr>
      <w:r>
        <w:rPr>
          <w:rFonts w:ascii="Book Antiqua" w:eastAsia="Book Antiqua" w:hAnsi="Book Antiqua" w:cs="Book Antiqua"/>
          <w:b/>
          <w:i/>
          <w:color w:val="000000"/>
        </w:rPr>
        <w:t>History of present illness</w:t>
      </w:r>
    </w:p>
    <w:p w14:paraId="788A7B38" w14:textId="77777777" w:rsidR="00A77B3E" w:rsidRDefault="0082641C">
      <w:pPr>
        <w:spacing w:line="360" w:lineRule="auto"/>
        <w:jc w:val="both"/>
      </w:pPr>
      <w:r>
        <w:rPr>
          <w:rFonts w:ascii="Book Antiqua" w:eastAsia="Book Antiqua" w:hAnsi="Book Antiqua" w:cs="Book Antiqua"/>
          <w:color w:val="000000"/>
        </w:rPr>
        <w:t>The growing mass in the right lateral malleolus lasted for &gt; 12 mo, with intermittent blunt pain during the daytime for 3 mo.</w:t>
      </w:r>
    </w:p>
    <w:p w14:paraId="73A614BE" w14:textId="77777777" w:rsidR="00A77B3E" w:rsidRDefault="00A77B3E">
      <w:pPr>
        <w:spacing w:line="360" w:lineRule="auto"/>
        <w:jc w:val="both"/>
      </w:pPr>
    </w:p>
    <w:p w14:paraId="4576B189" w14:textId="77777777" w:rsidR="00A77B3E" w:rsidRDefault="0082641C">
      <w:pPr>
        <w:spacing w:line="360" w:lineRule="auto"/>
        <w:jc w:val="both"/>
      </w:pPr>
      <w:r>
        <w:rPr>
          <w:rFonts w:ascii="Book Antiqua" w:eastAsia="Book Antiqua" w:hAnsi="Book Antiqua" w:cs="Book Antiqua"/>
          <w:b/>
          <w:i/>
          <w:color w:val="000000"/>
        </w:rPr>
        <w:t>History of past illness</w:t>
      </w:r>
    </w:p>
    <w:p w14:paraId="7585BFFD" w14:textId="77777777" w:rsidR="00A77B3E" w:rsidRDefault="0082641C">
      <w:pPr>
        <w:spacing w:line="360" w:lineRule="auto"/>
        <w:jc w:val="both"/>
      </w:pPr>
      <w:r>
        <w:rPr>
          <w:rFonts w:ascii="Book Antiqua" w:eastAsia="Book Antiqua" w:hAnsi="Book Antiqua" w:cs="Book Antiqua"/>
          <w:color w:val="000000"/>
        </w:rPr>
        <w:t>The patient had no history of ankle trauma or surgery.</w:t>
      </w:r>
    </w:p>
    <w:p w14:paraId="27234A58" w14:textId="77777777" w:rsidR="00A77B3E" w:rsidRDefault="00A77B3E">
      <w:pPr>
        <w:spacing w:line="360" w:lineRule="auto"/>
        <w:jc w:val="both"/>
      </w:pPr>
    </w:p>
    <w:p w14:paraId="0FE7C825" w14:textId="77777777" w:rsidR="00A77B3E" w:rsidRDefault="0082641C">
      <w:pPr>
        <w:spacing w:line="360" w:lineRule="auto"/>
        <w:jc w:val="both"/>
      </w:pPr>
      <w:r>
        <w:rPr>
          <w:rFonts w:ascii="Book Antiqua" w:eastAsia="Book Antiqua" w:hAnsi="Book Antiqua" w:cs="Book Antiqua"/>
          <w:b/>
          <w:i/>
          <w:color w:val="000000"/>
        </w:rPr>
        <w:t>Personal and family history</w:t>
      </w:r>
    </w:p>
    <w:p w14:paraId="49F5F36E" w14:textId="77777777" w:rsidR="00A77B3E" w:rsidRDefault="0082641C">
      <w:pPr>
        <w:spacing w:line="360" w:lineRule="auto"/>
        <w:jc w:val="both"/>
      </w:pPr>
      <w:r>
        <w:rPr>
          <w:rFonts w:ascii="Book Antiqua" w:eastAsia="Book Antiqua" w:hAnsi="Book Antiqua" w:cs="Book Antiqua"/>
          <w:color w:val="000000"/>
        </w:rPr>
        <w:t>The patient had no previous or family history of similar illnesses.</w:t>
      </w:r>
    </w:p>
    <w:p w14:paraId="7B88A171" w14:textId="77777777" w:rsidR="00A77B3E" w:rsidRDefault="00A77B3E">
      <w:pPr>
        <w:spacing w:line="360" w:lineRule="auto"/>
        <w:jc w:val="both"/>
      </w:pPr>
    </w:p>
    <w:p w14:paraId="43A66E20" w14:textId="77777777" w:rsidR="00A77B3E" w:rsidRDefault="0082641C">
      <w:pPr>
        <w:spacing w:line="360" w:lineRule="auto"/>
        <w:jc w:val="both"/>
      </w:pPr>
      <w:r>
        <w:rPr>
          <w:rFonts w:ascii="Book Antiqua" w:eastAsia="Book Antiqua" w:hAnsi="Book Antiqua" w:cs="Book Antiqua"/>
          <w:b/>
          <w:i/>
          <w:color w:val="000000"/>
        </w:rPr>
        <w:t>Physical examination</w:t>
      </w:r>
    </w:p>
    <w:p w14:paraId="62DBA80D" w14:textId="77777777" w:rsidR="00A77B3E" w:rsidRDefault="0082641C">
      <w:pPr>
        <w:spacing w:line="360" w:lineRule="auto"/>
        <w:jc w:val="both"/>
      </w:pPr>
      <w:r>
        <w:rPr>
          <w:rFonts w:ascii="Book Antiqua" w:eastAsia="Book Antiqua" w:hAnsi="Book Antiqua" w:cs="Book Antiqua"/>
          <w:color w:val="000000"/>
        </w:rPr>
        <w:t xml:space="preserve">A soft movable mass was palpated at the posterior lower margin of the right lateral malleolus tip, without symptoms of redness, erythema and drainage (Figure 1); however, deeper palpation of the mass triggered severe blunt pain. </w:t>
      </w:r>
    </w:p>
    <w:p w14:paraId="1FCAE02E" w14:textId="77777777" w:rsidR="00A77B3E" w:rsidRDefault="00A77B3E">
      <w:pPr>
        <w:spacing w:line="360" w:lineRule="auto"/>
        <w:jc w:val="both"/>
      </w:pPr>
    </w:p>
    <w:p w14:paraId="4506F5F0" w14:textId="77777777" w:rsidR="00A77B3E" w:rsidRDefault="0082641C">
      <w:pPr>
        <w:spacing w:line="360" w:lineRule="auto"/>
        <w:jc w:val="both"/>
      </w:pPr>
      <w:r>
        <w:rPr>
          <w:rFonts w:ascii="Book Antiqua" w:eastAsia="Book Antiqua" w:hAnsi="Book Antiqua" w:cs="Book Antiqua"/>
          <w:b/>
          <w:i/>
          <w:color w:val="000000"/>
        </w:rPr>
        <w:lastRenderedPageBreak/>
        <w:t>Laboratory examinations</w:t>
      </w:r>
    </w:p>
    <w:p w14:paraId="3715DEFD" w14:textId="77777777" w:rsidR="00A77B3E" w:rsidRDefault="0082641C">
      <w:pPr>
        <w:spacing w:line="360" w:lineRule="auto"/>
        <w:jc w:val="both"/>
      </w:pPr>
      <w:r>
        <w:rPr>
          <w:rFonts w:ascii="Book Antiqua" w:eastAsia="Book Antiqua" w:hAnsi="Book Antiqua" w:cs="Book Antiqua"/>
          <w:color w:val="000000"/>
        </w:rPr>
        <w:t xml:space="preserve">The following laboratory tests were all normal: complete blood count, serum biochemical test (including renal and liver function, creatine kinase, lactate dehydrogenase, and electrolytes), hypersensitive C-reactive protein, erythrocyte sedimentation rate, antistreptolysin O, rheumatoid factor, anti-cyclic citrullinated peptide, common tumor markers included a-fetoprotein, carcinoembryonic antigen, cancer antigen (CA)-125, CA-15-3, and CA-19-9. </w:t>
      </w:r>
    </w:p>
    <w:p w14:paraId="5D1871D7" w14:textId="77777777" w:rsidR="00A77B3E" w:rsidRDefault="00A77B3E">
      <w:pPr>
        <w:spacing w:line="360" w:lineRule="auto"/>
        <w:jc w:val="both"/>
      </w:pPr>
    </w:p>
    <w:p w14:paraId="0DD42E75" w14:textId="77777777" w:rsidR="00A77B3E" w:rsidRDefault="0082641C">
      <w:pPr>
        <w:spacing w:line="360" w:lineRule="auto"/>
        <w:jc w:val="both"/>
      </w:pPr>
      <w:r>
        <w:rPr>
          <w:rFonts w:ascii="Book Antiqua" w:eastAsia="Book Antiqua" w:hAnsi="Book Antiqua" w:cs="Book Antiqua"/>
          <w:b/>
          <w:i/>
          <w:color w:val="000000"/>
        </w:rPr>
        <w:t>Imaging examinations</w:t>
      </w:r>
    </w:p>
    <w:p w14:paraId="200700D1" w14:textId="1CE9AF1E" w:rsidR="00A77B3E" w:rsidRDefault="0082641C">
      <w:pPr>
        <w:spacing w:line="360" w:lineRule="auto"/>
        <w:jc w:val="both"/>
      </w:pPr>
      <w:r>
        <w:rPr>
          <w:rFonts w:ascii="Book Antiqua" w:eastAsia="Book Antiqua" w:hAnsi="Book Antiqua" w:cs="Book Antiqua"/>
          <w:color w:val="000000"/>
        </w:rPr>
        <w:t xml:space="preserve">X-ray and </w:t>
      </w:r>
      <w:r w:rsidR="003F5316">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3F5316">
        <w:rPr>
          <w:rFonts w:ascii="Book Antiqua" w:eastAsia="Book Antiqua" w:hAnsi="Book Antiqua" w:cs="Book Antiqua"/>
          <w:color w:val="000000"/>
        </w:rPr>
        <w:t>)</w:t>
      </w:r>
      <w:r>
        <w:rPr>
          <w:rFonts w:ascii="Book Antiqua" w:eastAsia="Book Antiqua" w:hAnsi="Book Antiqua" w:cs="Book Antiqua"/>
          <w:color w:val="000000"/>
        </w:rPr>
        <w:t xml:space="preserve"> of the right ankle were taken. The X-ray presented an osteophyte formation at the posterior margin of the subtalar joint and irregular soft tissue calcification (Figure 2A), whereas MRI showed a mass of low-intensity on both T1- and T2-weighted imaging protruding from the posterior margin of the subtalar joint into the soft tissue, with mild cartilage erosion (Figure 3). </w:t>
      </w:r>
    </w:p>
    <w:p w14:paraId="47B72240" w14:textId="77777777" w:rsidR="00A77B3E" w:rsidRDefault="00A77B3E">
      <w:pPr>
        <w:spacing w:line="360" w:lineRule="auto"/>
        <w:jc w:val="both"/>
      </w:pPr>
    </w:p>
    <w:p w14:paraId="57A9C04C" w14:textId="77777777" w:rsidR="00A77B3E" w:rsidRDefault="0082641C">
      <w:pPr>
        <w:spacing w:line="360" w:lineRule="auto"/>
        <w:jc w:val="both"/>
      </w:pPr>
      <w:r>
        <w:rPr>
          <w:rFonts w:ascii="Book Antiqua" w:eastAsia="Book Antiqua" w:hAnsi="Book Antiqua" w:cs="Book Antiqua"/>
          <w:b/>
          <w:bCs/>
          <w:i/>
          <w:iCs/>
          <w:color w:val="000000"/>
        </w:rPr>
        <w:t>Preliminary diagnosis</w:t>
      </w:r>
    </w:p>
    <w:p w14:paraId="264315A7" w14:textId="77777777" w:rsidR="00A77B3E" w:rsidRDefault="0082641C">
      <w:pPr>
        <w:spacing w:line="360" w:lineRule="auto"/>
        <w:jc w:val="both"/>
      </w:pPr>
      <w:r>
        <w:rPr>
          <w:rFonts w:ascii="Book Antiqua" w:eastAsia="Book Antiqua" w:hAnsi="Book Antiqua" w:cs="Book Antiqua"/>
          <w:color w:val="000000"/>
        </w:rPr>
        <w:t>Based on the medical history, physical signs, and imaging examinations, a suspected diagnosis of diffuse PVNS of the right subtalar joint was made.</w:t>
      </w:r>
    </w:p>
    <w:p w14:paraId="76A26CAD" w14:textId="77777777" w:rsidR="00A77B3E" w:rsidRDefault="00A77B3E">
      <w:pPr>
        <w:spacing w:line="360" w:lineRule="auto"/>
        <w:jc w:val="both"/>
      </w:pPr>
    </w:p>
    <w:p w14:paraId="50300DDA" w14:textId="77777777" w:rsidR="00A77B3E" w:rsidRDefault="0082641C">
      <w:pPr>
        <w:spacing w:line="360" w:lineRule="auto"/>
        <w:jc w:val="both"/>
      </w:pPr>
      <w:r>
        <w:rPr>
          <w:rFonts w:ascii="Book Antiqua" w:eastAsia="Book Antiqua" w:hAnsi="Book Antiqua" w:cs="Book Antiqua"/>
          <w:b/>
          <w:bCs/>
          <w:i/>
          <w:iCs/>
          <w:color w:val="000000"/>
        </w:rPr>
        <w:t>Surgical procedure</w:t>
      </w:r>
    </w:p>
    <w:p w14:paraId="5E903857" w14:textId="29EC919B" w:rsidR="00A77B3E" w:rsidRDefault="0082641C">
      <w:pPr>
        <w:spacing w:line="360" w:lineRule="auto"/>
        <w:jc w:val="both"/>
      </w:pPr>
      <w:r>
        <w:rPr>
          <w:rFonts w:ascii="Book Antiqua" w:eastAsia="Book Antiqua" w:hAnsi="Book Antiqua" w:cs="Book Antiqua"/>
          <w:color w:val="000000"/>
        </w:rPr>
        <w:t>The mass was resected using the Kocher approach (Figure 4A). During surgery, we found deep brown soft tissue mixed with a small amount of cartilaginous tissue. The pedicle of this brown tissue was traced to the margin of the subtalar joint and the tendon sheath of the flexor hallucis longus tendon. After removing the mass in surgical vision, a 3.0 Steinmann pin was drilled into the lateral process of the calcaneal and talus, respectively. A retractor was used to distract the Steinmann pin (Figure 4B) (Huatrau, Chinatrau Instrument Co. Ltd., Guangzhou, China)</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until sufficient vision of the subtalar joint was achieved. The mass surrounding the articular surface was removed completely</w:t>
      </w:r>
      <w:r w:rsidR="004B3701">
        <w:rPr>
          <w:rFonts w:ascii="Book Antiqua" w:eastAsia="Book Antiqua" w:hAnsi="Book Antiqua" w:cs="Book Antiqua"/>
          <w:color w:val="000000"/>
        </w:rPr>
        <w:t>;</w:t>
      </w:r>
      <w:r>
        <w:rPr>
          <w:rFonts w:ascii="Book Antiqua" w:eastAsia="Book Antiqua" w:hAnsi="Book Antiqua" w:cs="Book Antiqua"/>
          <w:color w:val="000000"/>
        </w:rPr>
        <w:t xml:space="preserve"> however, some of the cartilage was mildly degenerated.</w:t>
      </w:r>
    </w:p>
    <w:p w14:paraId="5DCE3AC5" w14:textId="77777777" w:rsidR="00A77B3E" w:rsidRDefault="00A77B3E">
      <w:pPr>
        <w:spacing w:line="360" w:lineRule="auto"/>
        <w:jc w:val="both"/>
      </w:pPr>
    </w:p>
    <w:p w14:paraId="4BB17740" w14:textId="77777777" w:rsidR="00A77B3E" w:rsidRDefault="0082641C">
      <w:pPr>
        <w:spacing w:line="360" w:lineRule="auto"/>
        <w:jc w:val="both"/>
      </w:pPr>
      <w:r>
        <w:rPr>
          <w:rFonts w:ascii="Book Antiqua" w:eastAsia="Book Antiqua" w:hAnsi="Book Antiqua" w:cs="Book Antiqua"/>
          <w:b/>
          <w:caps/>
          <w:color w:val="000000"/>
          <w:u w:val="single"/>
        </w:rPr>
        <w:lastRenderedPageBreak/>
        <w:t>FINAL DIAGNOSIS</w:t>
      </w:r>
    </w:p>
    <w:p w14:paraId="7238AA5D" w14:textId="77777777" w:rsidR="00A77B3E" w:rsidRDefault="0082641C">
      <w:pPr>
        <w:spacing w:line="360" w:lineRule="auto"/>
        <w:jc w:val="both"/>
      </w:pPr>
      <w:r>
        <w:rPr>
          <w:rFonts w:ascii="Book Antiqua" w:eastAsia="Book Antiqua" w:hAnsi="Book Antiqua" w:cs="Book Antiqua"/>
          <w:color w:val="000000"/>
        </w:rPr>
        <w:t xml:space="preserve">The postoperative histological examination confirmed the diagnosis as diffuse PVNS (Figure 5). </w:t>
      </w:r>
    </w:p>
    <w:p w14:paraId="02ECA302" w14:textId="77777777" w:rsidR="00A77B3E" w:rsidRDefault="00A77B3E">
      <w:pPr>
        <w:spacing w:line="360" w:lineRule="auto"/>
        <w:jc w:val="both"/>
      </w:pPr>
    </w:p>
    <w:p w14:paraId="4B362286" w14:textId="77777777" w:rsidR="00A77B3E" w:rsidRDefault="0082641C">
      <w:pPr>
        <w:spacing w:line="360" w:lineRule="auto"/>
        <w:jc w:val="both"/>
      </w:pPr>
      <w:r>
        <w:rPr>
          <w:rFonts w:ascii="Book Antiqua" w:eastAsia="Book Antiqua" w:hAnsi="Book Antiqua" w:cs="Book Antiqua"/>
          <w:b/>
          <w:caps/>
          <w:color w:val="000000"/>
          <w:u w:val="single"/>
        </w:rPr>
        <w:t>TREATMENT</w:t>
      </w:r>
    </w:p>
    <w:p w14:paraId="3A0935E2" w14:textId="2AF22AD4" w:rsidR="00A77B3E" w:rsidRDefault="0082641C">
      <w:pPr>
        <w:spacing w:line="360" w:lineRule="auto"/>
        <w:jc w:val="both"/>
      </w:pPr>
      <w:r>
        <w:rPr>
          <w:rFonts w:ascii="Book Antiqua" w:eastAsia="Book Antiqua" w:hAnsi="Book Antiqua" w:cs="Book Antiqua"/>
          <w:color w:val="000000"/>
        </w:rPr>
        <w:t>The patient received radiotherapy with 32 Gy in 16 fractions using the Varian Clinac 21EX</w:t>
      </w:r>
      <w:r w:rsidR="003F5316">
        <w:rPr>
          <w:rFonts w:ascii="Book Antiqua" w:eastAsia="Book Antiqua" w:hAnsi="Book Antiqua" w:cs="Book Antiqua"/>
          <w:color w:val="000000"/>
        </w:rPr>
        <w:t xml:space="preserve"> </w:t>
      </w:r>
      <w:r>
        <w:rPr>
          <w:rFonts w:ascii="Book Antiqua" w:eastAsia="Book Antiqua" w:hAnsi="Book Antiqua" w:cs="Book Antiqua"/>
          <w:color w:val="000000"/>
        </w:rPr>
        <w:t>(Trilogy) accelerator (Varian Medical Systems, Palo Alto, CA, U</w:t>
      </w:r>
      <w:r w:rsidR="003F5316">
        <w:rPr>
          <w:rFonts w:ascii="Book Antiqua" w:eastAsia="Book Antiqua" w:hAnsi="Book Antiqua" w:cs="Book Antiqua"/>
          <w:color w:val="000000"/>
        </w:rPr>
        <w:t>nited States</w:t>
      </w:r>
      <w:r>
        <w:rPr>
          <w:rFonts w:ascii="Book Antiqua" w:eastAsia="Book Antiqua" w:hAnsi="Book Antiqua" w:cs="Book Antiqua"/>
          <w:color w:val="000000"/>
        </w:rPr>
        <w:t xml:space="preserve">) after the stitches were removed. </w:t>
      </w:r>
    </w:p>
    <w:p w14:paraId="0E64EFF4" w14:textId="77777777" w:rsidR="00A77B3E" w:rsidRDefault="00A77B3E">
      <w:pPr>
        <w:spacing w:line="360" w:lineRule="auto"/>
        <w:jc w:val="both"/>
      </w:pPr>
    </w:p>
    <w:p w14:paraId="515616BE" w14:textId="77777777" w:rsidR="00A77B3E" w:rsidRDefault="0082641C">
      <w:pPr>
        <w:spacing w:line="360" w:lineRule="auto"/>
        <w:jc w:val="both"/>
      </w:pPr>
      <w:r>
        <w:rPr>
          <w:rFonts w:ascii="Book Antiqua" w:eastAsia="Book Antiqua" w:hAnsi="Book Antiqua" w:cs="Book Antiqua"/>
          <w:b/>
          <w:caps/>
          <w:color w:val="000000"/>
          <w:u w:val="single"/>
        </w:rPr>
        <w:t>OUTCOME AND FOLLOW-UP</w:t>
      </w:r>
    </w:p>
    <w:p w14:paraId="6EB34C37" w14:textId="77777777" w:rsidR="00A77B3E" w:rsidRDefault="0082641C">
      <w:pPr>
        <w:spacing w:line="360" w:lineRule="auto"/>
        <w:jc w:val="both"/>
      </w:pPr>
      <w:r>
        <w:rPr>
          <w:rFonts w:ascii="Book Antiqua" w:eastAsia="Book Antiqua" w:hAnsi="Book Antiqua" w:cs="Book Antiqua"/>
          <w:color w:val="000000"/>
        </w:rPr>
        <w:t>At 6 mo postoperatively, the patient had no pain but complained of discomfort after walking three blocks with the American Orthopedic Foot and Ankle Society Ankle–Hindfoot score of 97.</w:t>
      </w:r>
    </w:p>
    <w:p w14:paraId="6F7FC7F9" w14:textId="77777777" w:rsidR="00A77B3E" w:rsidRDefault="00A77B3E">
      <w:pPr>
        <w:spacing w:line="360" w:lineRule="auto"/>
        <w:jc w:val="both"/>
      </w:pPr>
    </w:p>
    <w:p w14:paraId="14278E2D" w14:textId="77777777" w:rsidR="00A77B3E" w:rsidRDefault="0082641C">
      <w:pPr>
        <w:spacing w:line="360" w:lineRule="auto"/>
        <w:jc w:val="both"/>
      </w:pPr>
      <w:r>
        <w:rPr>
          <w:rFonts w:ascii="Book Antiqua" w:eastAsia="Book Antiqua" w:hAnsi="Book Antiqua" w:cs="Book Antiqua"/>
          <w:b/>
          <w:caps/>
          <w:color w:val="000000"/>
          <w:u w:val="single"/>
        </w:rPr>
        <w:t>DISCUSSION</w:t>
      </w:r>
    </w:p>
    <w:p w14:paraId="4C860B6B" w14:textId="739AA1AD" w:rsidR="00A77B3E" w:rsidRDefault="0082641C">
      <w:pPr>
        <w:spacing w:line="360" w:lineRule="auto"/>
        <w:jc w:val="both"/>
      </w:pPr>
      <w:r>
        <w:rPr>
          <w:rFonts w:ascii="Book Antiqua" w:eastAsia="Book Antiqua" w:hAnsi="Book Antiqua" w:cs="Book Antiqua"/>
          <w:color w:val="000000"/>
        </w:rPr>
        <w:t>PVNS was first described by Henry L. Jaffe in 1941</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According to the pathological classification, it can be divided into two types: localized and diffuse, with the diffuse type drawing much attention due to its potential of causing damage to bone and cartilage</w:t>
      </w:r>
      <w:r>
        <w:rPr>
          <w:rFonts w:ascii="Book Antiqua" w:eastAsia="Book Antiqua" w:hAnsi="Book Antiqua" w:cs="Book Antiqua"/>
          <w:color w:val="000000"/>
          <w:szCs w:val="30"/>
          <w:vertAlign w:val="superscript"/>
        </w:rPr>
        <w:t>[</w:t>
      </w:r>
      <w:r w:rsidR="003F531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 present, the etiology of the PVNS remains a topic of discussion. Many researchers have concluded the inflammatory pathogenic theory as a cause of </w:t>
      </w:r>
      <w:proofErr w:type="gramStart"/>
      <w:r>
        <w:rPr>
          <w:rFonts w:ascii="Book Antiqua" w:eastAsia="Book Antiqua" w:hAnsi="Book Antiqua" w:cs="Book Antiqua"/>
          <w:color w:val="000000"/>
        </w:rPr>
        <w:t>PVNS</w:t>
      </w:r>
      <w:r>
        <w:rPr>
          <w:rFonts w:ascii="Book Antiqua" w:eastAsia="Book Antiqua" w:hAnsi="Book Antiqua" w:cs="Book Antiqua"/>
          <w:color w:val="000000"/>
          <w:szCs w:val="30"/>
          <w:vertAlign w:val="superscript"/>
        </w:rPr>
        <w:t>[</w:t>
      </w:r>
      <w:proofErr w:type="gramEnd"/>
      <w:r w:rsidR="003F5316">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This theory stems from colony-stimulating factor (CSF)-1, which recruits inflammatory cells such as lymphocytes, and osteoclast-type multinucleated giant cells, playing a critical role in the development of the disease. Matrix metalloproteinase stimulated by tumor necrosis factor-α leads directly to cartilage and bone erosion. Other researchers have focused on the theory of trauma pathogenesis, since two reports have confirmed the occurrence of PVNS after total knee arthroplasty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4D70F51E" w14:textId="0E3956CC" w:rsidR="00A77B3E" w:rsidRDefault="0082641C" w:rsidP="009E4DFF">
      <w:pPr>
        <w:spacing w:line="360" w:lineRule="auto"/>
        <w:ind w:firstLineChars="100" w:firstLine="240"/>
        <w:jc w:val="both"/>
      </w:pPr>
      <w:r>
        <w:rPr>
          <w:rFonts w:ascii="Book Antiqua" w:eastAsia="Book Antiqua" w:hAnsi="Book Antiqua" w:cs="Book Antiqua"/>
          <w:color w:val="000000"/>
        </w:rPr>
        <w:t>Diffuse PVNS is an uncommon disease with 75% of reported cases involving the knee. Cases involving the subtalar joint are rare</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 present, MRI is a specific method for the preliminary diagnosis of diffuse PVNS. However, the role of physical signs and X-ray in the suspected diagnosis of diffuse subtalar joint PVNS should not be ignored. This is </w:t>
      </w:r>
      <w:r>
        <w:rPr>
          <w:rFonts w:ascii="Book Antiqua" w:eastAsia="Book Antiqua" w:hAnsi="Book Antiqua" w:cs="Book Antiqua"/>
          <w:color w:val="000000"/>
        </w:rPr>
        <w:lastRenderedPageBreak/>
        <w:t>because some X-ray characteristics distinguish PVNS from osteoarthritis, thus guiding physicians to make an early suspicious diagnosis of PVNS. Our patient presented with a chief complaint of discomfort while walking on the right ankle at her first visit 18 mo before the second visit. There was swelling in the right ankle, but no significant mass formation. The first X-ray revealed osteophyte formation at the margin of the subtalar joint and a small amount of soft tissue calcification; however, the soft tissue calcification was not as apparent as it was on the second visit. The abnormal signs in the X-ray were ignored and no further MRI examination was recommended. Hence, she was misdiagnosed with right subtalar joint osteoarthritis.</w:t>
      </w:r>
    </w:p>
    <w:p w14:paraId="0178534C" w14:textId="48C387C8" w:rsidR="00A77B3E" w:rsidRDefault="0082641C" w:rsidP="009E4DFF">
      <w:pPr>
        <w:spacing w:line="360" w:lineRule="auto"/>
        <w:ind w:firstLineChars="100" w:firstLine="240"/>
        <w:jc w:val="both"/>
      </w:pPr>
      <w:r>
        <w:rPr>
          <w:rFonts w:ascii="Book Antiqua" w:eastAsia="Book Antiqua" w:hAnsi="Book Antiqua" w:cs="Book Antiqua"/>
          <w:color w:val="000000"/>
        </w:rPr>
        <w:t>MRI processes a noticeable sensitivity towards the deposition of hemosiderin, which contributes to early suspicion of PVNS</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Even so, it is not easy to differentiate PVNS from other diseases that potentially cause synovial hyperplasia such as rheumatoid arthritis, amyloid arthropathy, synovial chondromatosis, synovial hemangiomas, synovial lipomatosis, and synovial </w:t>
      </w:r>
      <w:proofErr w:type="gramStart"/>
      <w:r>
        <w:rPr>
          <w:rFonts w:ascii="Book Antiqua" w:eastAsia="Book Antiqua" w:hAnsi="Book Antiqua" w:cs="Book Antiqua"/>
          <w:color w:val="000000"/>
        </w:rPr>
        <w:t>sarcoma</w:t>
      </w:r>
      <w:r>
        <w:rPr>
          <w:rFonts w:ascii="Book Antiqua" w:eastAsia="Book Antiqua" w:hAnsi="Book Antiqua" w:cs="Book Antiqua"/>
          <w:color w:val="000000"/>
          <w:szCs w:val="30"/>
          <w:vertAlign w:val="superscript"/>
        </w:rPr>
        <w:t>[</w:t>
      </w:r>
      <w:proofErr w:type="gramEnd"/>
      <w:r w:rsidR="009E4DFF">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postoperative pathological diagnosis remains the gold standard for the final diagnosis of PVNS. Total synovectomy has become a consensus for the surgical treatment of diffuse PVNS, and that was the surgical protocol used in this case. PVNS associated with severe articular cartilage degeneration is usually treated by joint fusion; however, the cartilage degeneration, in this case, was mild and did not meet the indication for joint fusion. The postoperative treatment remains controversial. Imatinib, as an inhibitor of macrophage</w:t>
      </w:r>
      <w:r w:rsidR="009E4DFF">
        <w:rPr>
          <w:rFonts w:ascii="Book Antiqua" w:eastAsia="Book Antiqua" w:hAnsi="Book Antiqua" w:cs="Book Antiqua"/>
          <w:color w:val="000000"/>
        </w:rPr>
        <w:t>-</w:t>
      </w:r>
      <w:r>
        <w:rPr>
          <w:rFonts w:ascii="Book Antiqua" w:eastAsia="Book Antiqua" w:hAnsi="Book Antiqua" w:cs="Book Antiqua"/>
          <w:color w:val="000000"/>
        </w:rPr>
        <w:t>CSF receptor 1 has been used for the treatment of PVNS postoperatively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its benefits and risks need further assessment. Radiotherapy has been used as an adjuvant postoperative therapy</w:t>
      </w:r>
      <w:r>
        <w:rPr>
          <w:rFonts w:ascii="Book Antiqua" w:eastAsia="Book Antiqua" w:hAnsi="Book Antiqua" w:cs="Book Antiqua"/>
          <w:color w:val="000000"/>
          <w:szCs w:val="30"/>
          <w:vertAlign w:val="superscript"/>
        </w:rPr>
        <w:t>[</w:t>
      </w:r>
      <w:r w:rsidR="009E4DFF">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many years despite the risks of local skin necrosis, joint stiffness, or sarcoma. We chose a low-dose radiotherapy protocol over imatinib for this patient, and the complications of post-radiotherapy mentioned above have not yet occurred.</w:t>
      </w:r>
    </w:p>
    <w:p w14:paraId="00204475" w14:textId="77777777" w:rsidR="00A77B3E" w:rsidRDefault="00A77B3E" w:rsidP="009E4DFF">
      <w:pPr>
        <w:spacing w:line="360" w:lineRule="auto"/>
        <w:jc w:val="both"/>
      </w:pPr>
    </w:p>
    <w:p w14:paraId="70EEF8AB" w14:textId="77777777" w:rsidR="00A77B3E" w:rsidRDefault="0082641C">
      <w:pPr>
        <w:spacing w:line="360" w:lineRule="auto"/>
        <w:jc w:val="both"/>
      </w:pPr>
      <w:r>
        <w:rPr>
          <w:rFonts w:ascii="Book Antiqua" w:eastAsia="Book Antiqua" w:hAnsi="Book Antiqua" w:cs="Book Antiqua"/>
          <w:b/>
          <w:caps/>
          <w:color w:val="000000"/>
          <w:u w:val="single"/>
        </w:rPr>
        <w:t>CONCLUSION</w:t>
      </w:r>
    </w:p>
    <w:p w14:paraId="1AC6BE5B" w14:textId="103CDBED" w:rsidR="00A77B3E" w:rsidRDefault="0082641C">
      <w:pPr>
        <w:spacing w:line="360" w:lineRule="auto"/>
        <w:jc w:val="both"/>
      </w:pPr>
      <w:r>
        <w:rPr>
          <w:rFonts w:ascii="Book Antiqua" w:eastAsia="Book Antiqua" w:hAnsi="Book Antiqua" w:cs="Book Antiqua"/>
          <w:color w:val="000000"/>
        </w:rPr>
        <w:t xml:space="preserve">MRI as a nontraumatic examination should be recommended in the preliminary diagnostic evaluation of PVNS, and above all, the soft tissue calcification in X-ray </w:t>
      </w:r>
      <w:r>
        <w:rPr>
          <w:rFonts w:ascii="Book Antiqua" w:eastAsia="Book Antiqua" w:hAnsi="Book Antiqua" w:cs="Book Antiqua"/>
          <w:color w:val="000000"/>
        </w:rPr>
        <w:lastRenderedPageBreak/>
        <w:t xml:space="preserve">analysis, painless joint swelling, or growing mass should be of concern at </w:t>
      </w:r>
      <w:r w:rsidR="005F7746">
        <w:rPr>
          <w:rFonts w:ascii="Book Antiqua" w:eastAsia="Book Antiqua" w:hAnsi="Book Antiqua" w:cs="Book Antiqua"/>
          <w:color w:val="000000"/>
        </w:rPr>
        <w:t>an</w:t>
      </w:r>
      <w:r>
        <w:rPr>
          <w:rFonts w:ascii="Book Antiqua" w:eastAsia="Book Antiqua" w:hAnsi="Book Antiqua" w:cs="Book Antiqua"/>
          <w:color w:val="000000"/>
        </w:rPr>
        <w:t xml:space="preserve"> early stage of diffuse subtalar joint PVNS.</w:t>
      </w:r>
    </w:p>
    <w:p w14:paraId="55816B5F" w14:textId="77777777" w:rsidR="00A77B3E" w:rsidRDefault="00A77B3E">
      <w:pPr>
        <w:spacing w:line="360" w:lineRule="auto"/>
        <w:jc w:val="both"/>
      </w:pPr>
    </w:p>
    <w:p w14:paraId="49328CC2" w14:textId="77777777" w:rsidR="00A77B3E" w:rsidRDefault="0082641C">
      <w:pPr>
        <w:spacing w:line="360" w:lineRule="auto"/>
        <w:jc w:val="both"/>
      </w:pPr>
      <w:r>
        <w:rPr>
          <w:rFonts w:ascii="Book Antiqua" w:eastAsia="Book Antiqua" w:hAnsi="Book Antiqua" w:cs="Book Antiqua"/>
          <w:b/>
          <w:color w:val="000000"/>
        </w:rPr>
        <w:t>REFERENCES</w:t>
      </w:r>
    </w:p>
    <w:p w14:paraId="334EBB0E" w14:textId="77777777" w:rsidR="00A77B3E" w:rsidRDefault="0082641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Murphey MD</w:t>
      </w:r>
      <w:r>
        <w:rPr>
          <w:rFonts w:ascii="Book Antiqua" w:eastAsia="Book Antiqua" w:hAnsi="Book Antiqua" w:cs="Book Antiqua"/>
          <w:color w:val="000000"/>
        </w:rPr>
        <w:t xml:space="preserve">, Rhee JH, Lewis RB, </w:t>
      </w:r>
      <w:proofErr w:type="spellStart"/>
      <w:r>
        <w:rPr>
          <w:rFonts w:ascii="Book Antiqua" w:eastAsia="Book Antiqua" w:hAnsi="Book Antiqua" w:cs="Book Antiqua"/>
          <w:color w:val="000000"/>
        </w:rPr>
        <w:t>Fanburg</w:t>
      </w:r>
      <w:proofErr w:type="spellEnd"/>
      <w:r>
        <w:rPr>
          <w:rFonts w:ascii="Book Antiqua" w:eastAsia="Book Antiqua" w:hAnsi="Book Antiqua" w:cs="Book Antiqua"/>
          <w:color w:val="000000"/>
        </w:rPr>
        <w:t xml:space="preserve">-Smith JC, </w:t>
      </w: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DJ, Walker EA. Pigmented villonodular synovitis: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1493-1518 [PMID: 18794322 DOI: 10.1148/rg.285085134]</w:t>
      </w:r>
    </w:p>
    <w:p w14:paraId="6E6AD3FC" w14:textId="77777777" w:rsidR="00A77B3E" w:rsidRDefault="0082641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Zhao B</w:t>
      </w:r>
      <w:r>
        <w:rPr>
          <w:rFonts w:ascii="Book Antiqua" w:eastAsia="Book Antiqua" w:hAnsi="Book Antiqua" w:cs="Book Antiqua"/>
          <w:color w:val="000000"/>
        </w:rPr>
        <w:t xml:space="preserve">, Zhao W, Assan I. Steinmann pin retractor-assisted reduction with circle plate fixation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sinus tarsi approach for intra-articular calcaneal fractures: a retrospective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363 [PMID: 31727172 DOI: 10.1186/s13018-019-1405-5]</w:t>
      </w:r>
    </w:p>
    <w:p w14:paraId="13536AD4" w14:textId="77777777" w:rsidR="00A77B3E" w:rsidRDefault="0082641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Bhimani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Wenz JF, </w:t>
      </w:r>
      <w:proofErr w:type="spellStart"/>
      <w:r>
        <w:rPr>
          <w:rFonts w:ascii="Book Antiqua" w:eastAsia="Book Antiqua" w:hAnsi="Book Antiqua" w:cs="Book Antiqua"/>
          <w:color w:val="000000"/>
        </w:rPr>
        <w:t>Frassica</w:t>
      </w:r>
      <w:proofErr w:type="spellEnd"/>
      <w:r>
        <w:rPr>
          <w:rFonts w:ascii="Book Antiqua" w:eastAsia="Book Antiqua" w:hAnsi="Book Antiqua" w:cs="Book Antiqua"/>
          <w:color w:val="000000"/>
        </w:rPr>
        <w:t xml:space="preserve"> FJ. Pigmented villonodular synovitis: keys to early diagnosis.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2001: 197-202 [PMID: 11347835 DOI: 10.1097/00003086-200105000-00025]</w:t>
      </w:r>
    </w:p>
    <w:p w14:paraId="0235F94C" w14:textId="77777777" w:rsidR="00A77B3E" w:rsidRDefault="0082641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West RB</w:t>
      </w:r>
      <w:r>
        <w:rPr>
          <w:rFonts w:ascii="Book Antiqua" w:eastAsia="Book Antiqua" w:hAnsi="Book Antiqua" w:cs="Book Antiqua"/>
          <w:color w:val="000000"/>
        </w:rPr>
        <w:t xml:space="preserve">, Rubin BP, Miller MA, Subramanian S, </w:t>
      </w:r>
      <w:proofErr w:type="spellStart"/>
      <w:r>
        <w:rPr>
          <w:rFonts w:ascii="Book Antiqua" w:eastAsia="Book Antiqua" w:hAnsi="Book Antiqua" w:cs="Book Antiqua"/>
          <w:color w:val="000000"/>
        </w:rPr>
        <w:t>Kaygusuz</w:t>
      </w:r>
      <w:proofErr w:type="spellEnd"/>
      <w:r>
        <w:rPr>
          <w:rFonts w:ascii="Book Antiqua" w:eastAsia="Book Antiqua" w:hAnsi="Book Antiqua" w:cs="Book Antiqua"/>
          <w:color w:val="000000"/>
        </w:rPr>
        <w:t xml:space="preserve"> G, Montgomery K, Zhu S, Marinelli RJ, De Luca A, Downs-Kelly E, Goldblum JR,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Brown PO,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CB, Nielsen TO, Huntsman D, van de Rijn M. A landscape effect in tenosynovial giant-cell tumor from activation of CSF1 expression by a translocation in a minority of tumor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690-695 [PMID: 16407111 DOI: 10.1073/pnas.0507321103]</w:t>
      </w:r>
    </w:p>
    <w:p w14:paraId="6BA98783" w14:textId="77777777" w:rsidR="00A77B3E" w:rsidRDefault="0082641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Cupp</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Miller MA, Montgomery KD, Nielsen TO, O'Connell JX, Huntsman D, van de Rijn M,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CB, West RB. Translocation and expression of CSF1 in pigmented villonodular synovitis, tenosynovial giant cell tumor, rheumatoid arthritis and other reactive </w:t>
      </w:r>
      <w:proofErr w:type="spellStart"/>
      <w:r>
        <w:rPr>
          <w:rFonts w:ascii="Book Antiqua" w:eastAsia="Book Antiqua" w:hAnsi="Book Antiqua" w:cs="Book Antiqua"/>
          <w:color w:val="000000"/>
        </w:rPr>
        <w:t>synovitides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970-976 [PMID: 17527089 DOI: 10.1097/PAS.0b013e31802b86f8]</w:t>
      </w:r>
    </w:p>
    <w:p w14:paraId="61C0A18E" w14:textId="77777777" w:rsidR="00A77B3E" w:rsidRDefault="0082641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Bunting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Kampa</w:t>
      </w:r>
      <w:proofErr w:type="spellEnd"/>
      <w:r>
        <w:rPr>
          <w:rFonts w:ascii="Book Antiqua" w:eastAsia="Book Antiqua" w:hAnsi="Book Antiqua" w:cs="Book Antiqua"/>
          <w:color w:val="000000"/>
        </w:rPr>
        <w:t xml:space="preserve"> R, Pattison R. An unusual case of pigmented villonodular synovitis after total knee arthroplasty.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1229-1231 [PMID: 18078898 DOI: 10.1016/j.arth.2006.11.022]</w:t>
      </w:r>
    </w:p>
    <w:p w14:paraId="3602A3D2" w14:textId="77777777" w:rsidR="00A77B3E" w:rsidRDefault="0082641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Kia C</w:t>
      </w:r>
      <w:r>
        <w:rPr>
          <w:rFonts w:ascii="Book Antiqua" w:eastAsia="Book Antiqua" w:hAnsi="Book Antiqua" w:cs="Book Antiqua"/>
          <w:color w:val="000000"/>
        </w:rPr>
        <w:t xml:space="preserve">, O'Brien DF, Ziegler C, Pacheco R, </w:t>
      </w:r>
      <w:proofErr w:type="spellStart"/>
      <w:r>
        <w:rPr>
          <w:rFonts w:ascii="Book Antiqua" w:eastAsia="Book Antiqua" w:hAnsi="Book Antiqua" w:cs="Book Antiqua"/>
          <w:color w:val="000000"/>
        </w:rPr>
        <w:t>Forouhar</w:t>
      </w:r>
      <w:proofErr w:type="spellEnd"/>
      <w:r>
        <w:rPr>
          <w:rFonts w:ascii="Book Antiqua" w:eastAsia="Book Antiqua" w:hAnsi="Book Antiqua" w:cs="Book Antiqua"/>
          <w:color w:val="000000"/>
        </w:rPr>
        <w:t xml:space="preserve"> F, Williams V. An unusual case of pigmented villonodular synovitis after total knee arthroplasty presenting with recurrent </w:t>
      </w:r>
      <w:r>
        <w:rPr>
          <w:rFonts w:ascii="Book Antiqua" w:eastAsia="Book Antiqua" w:hAnsi="Book Antiqua" w:cs="Book Antiqua"/>
          <w:color w:val="000000"/>
        </w:rPr>
        <w:lastRenderedPageBreak/>
        <w:t xml:space="preserve">hemarthrosis. </w:t>
      </w:r>
      <w:proofErr w:type="spellStart"/>
      <w:r>
        <w:rPr>
          <w:rFonts w:ascii="Book Antiqua" w:eastAsia="Book Antiqua" w:hAnsi="Book Antiqua" w:cs="Book Antiqua"/>
          <w:i/>
          <w:iCs/>
          <w:color w:val="000000"/>
        </w:rPr>
        <w:t>Arthroplast</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426-430 [PMID: 30560170 DOI: 10.1016/j.artd.2018.06.006]</w:t>
      </w:r>
    </w:p>
    <w:p w14:paraId="1E5383F6" w14:textId="77777777" w:rsidR="00A77B3E" w:rsidRDefault="0082641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DH</w:t>
      </w:r>
      <w:r>
        <w:rPr>
          <w:rFonts w:ascii="Book Antiqua" w:eastAsia="Book Antiqua" w:hAnsi="Book Antiqua" w:cs="Book Antiqua"/>
          <w:color w:val="000000"/>
        </w:rPr>
        <w:t xml:space="preserve">, Johnson WA. Pigmented villonodular synovitis arising from the subtalar joint: a case report. </w:t>
      </w:r>
      <w:r>
        <w:rPr>
          <w:rFonts w:ascii="Book Antiqua" w:eastAsia="Book Antiqua" w:hAnsi="Book Antiqua" w:cs="Book Antiqua"/>
          <w:i/>
          <w:iCs/>
          <w:color w:val="000000"/>
        </w:rPr>
        <w:t xml:space="preserve">Iowa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144-146 [PMID: 9234989]</w:t>
      </w:r>
    </w:p>
    <w:p w14:paraId="04FA3196" w14:textId="77777777" w:rsidR="00A77B3E" w:rsidRDefault="0082641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Tritschler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Baudrez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Mutijima</w:t>
      </w:r>
      <w:proofErr w:type="spellEnd"/>
      <w:r>
        <w:rPr>
          <w:rFonts w:ascii="Book Antiqua" w:eastAsia="Book Antiqua" w:hAnsi="Book Antiqua" w:cs="Book Antiqua"/>
          <w:color w:val="000000"/>
        </w:rPr>
        <w:t xml:space="preserve"> E. Diffuse Pigmented Villonodular Synovitis of the Subtalar Joint.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i/>
          <w:iCs/>
          <w:color w:val="000000"/>
        </w:rPr>
        <w:t xml:space="preserve"> Soc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11 [PMID: 30039025 DOI: 10.5334/jbsr.1477]</w:t>
      </w:r>
    </w:p>
    <w:p w14:paraId="0D4D0A55" w14:textId="77777777" w:rsidR="00A77B3E" w:rsidRDefault="0082641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Stephan SR</w:t>
      </w:r>
      <w:r>
        <w:rPr>
          <w:rFonts w:ascii="Book Antiqua" w:eastAsia="Book Antiqua" w:hAnsi="Book Antiqua" w:cs="Book Antiqua"/>
          <w:color w:val="000000"/>
        </w:rPr>
        <w:t xml:space="preserve">, Shallop B, </w:t>
      </w:r>
      <w:proofErr w:type="spellStart"/>
      <w:r>
        <w:rPr>
          <w:rFonts w:ascii="Book Antiqua" w:eastAsia="Book Antiqua" w:hAnsi="Book Antiqua" w:cs="Book Antiqua"/>
          <w:color w:val="000000"/>
        </w:rPr>
        <w:t>Lackman</w:t>
      </w:r>
      <w:proofErr w:type="spellEnd"/>
      <w:r>
        <w:rPr>
          <w:rFonts w:ascii="Book Antiqua" w:eastAsia="Book Antiqua" w:hAnsi="Book Antiqua" w:cs="Book Antiqua"/>
          <w:color w:val="000000"/>
        </w:rPr>
        <w:t xml:space="preserve"> R, Kim TW, </w:t>
      </w:r>
      <w:proofErr w:type="spellStart"/>
      <w:r>
        <w:rPr>
          <w:rFonts w:ascii="Book Antiqua" w:eastAsia="Book Antiqua" w:hAnsi="Book Antiqua" w:cs="Book Antiqua"/>
          <w:color w:val="000000"/>
        </w:rPr>
        <w:t>Mulcahey</w:t>
      </w:r>
      <w:proofErr w:type="spellEnd"/>
      <w:r>
        <w:rPr>
          <w:rFonts w:ascii="Book Antiqua" w:eastAsia="Book Antiqua" w:hAnsi="Book Antiqua" w:cs="Book Antiqua"/>
          <w:color w:val="000000"/>
        </w:rPr>
        <w:t xml:space="preserve"> MK. Pigmented Villonodular Synovitis: A Comprehensive Review and Proposed Treatment Algorithm. </w:t>
      </w:r>
      <w:r>
        <w:rPr>
          <w:rFonts w:ascii="Book Antiqua" w:eastAsia="Book Antiqua" w:hAnsi="Book Antiqua" w:cs="Book Antiqua"/>
          <w:i/>
          <w:iCs/>
          <w:color w:val="000000"/>
        </w:rPr>
        <w:t>JBJS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27509331 DOI: 10.2106/JBJS.RVW.15.00086]</w:t>
      </w:r>
    </w:p>
    <w:p w14:paraId="5F921341" w14:textId="77777777" w:rsidR="00A77B3E" w:rsidRDefault="0082641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Dewar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Cambareri</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Zannettino</w:t>
      </w:r>
      <w:proofErr w:type="spellEnd"/>
      <w:r>
        <w:rPr>
          <w:rFonts w:ascii="Book Antiqua" w:eastAsia="Book Antiqua" w:hAnsi="Book Antiqua" w:cs="Book Antiqua"/>
          <w:color w:val="000000"/>
        </w:rPr>
        <w:t xml:space="preserve"> AC, Miller BL, Doherty KV, Hughes TP, Lyons AB. Macrophage colony-stimulating factor receptor c-</w:t>
      </w:r>
      <w:proofErr w:type="spellStart"/>
      <w:r>
        <w:rPr>
          <w:rFonts w:ascii="Book Antiqua" w:eastAsia="Book Antiqua" w:hAnsi="Book Antiqua" w:cs="Book Antiqua"/>
          <w:color w:val="000000"/>
        </w:rPr>
        <w:t>fms</w:t>
      </w:r>
      <w:proofErr w:type="spellEnd"/>
      <w:r>
        <w:rPr>
          <w:rFonts w:ascii="Book Antiqua" w:eastAsia="Book Antiqua" w:hAnsi="Book Antiqua" w:cs="Book Antiqua"/>
          <w:color w:val="000000"/>
        </w:rPr>
        <w:t xml:space="preserve"> is a novel target of imatinib.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105</w:t>
      </w:r>
      <w:r>
        <w:rPr>
          <w:rFonts w:ascii="Book Antiqua" w:eastAsia="Book Antiqua" w:hAnsi="Book Antiqua" w:cs="Book Antiqua"/>
          <w:color w:val="000000"/>
        </w:rPr>
        <w:t>: 3127-3132 [PMID: 15637141 DOI: 10.1182/blood-2004-10-3967]</w:t>
      </w:r>
    </w:p>
    <w:p w14:paraId="01F97D2F" w14:textId="77777777" w:rsidR="00A77B3E" w:rsidRDefault="0082641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Berger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Ganswindt</w:t>
      </w:r>
      <w:proofErr w:type="spellEnd"/>
      <w:r>
        <w:rPr>
          <w:rFonts w:ascii="Book Antiqua" w:eastAsia="Book Antiqua" w:hAnsi="Book Antiqua" w:cs="Book Antiqua"/>
          <w:color w:val="000000"/>
        </w:rPr>
        <w:t xml:space="preserve"> U, Bamberg M, </w:t>
      </w:r>
      <w:proofErr w:type="spellStart"/>
      <w:r>
        <w:rPr>
          <w:rFonts w:ascii="Book Antiqua" w:eastAsia="Book Antiqua" w:hAnsi="Book Antiqua" w:cs="Book Antiqua"/>
          <w:color w:val="000000"/>
        </w:rPr>
        <w:t>Hehr</w:t>
      </w:r>
      <w:proofErr w:type="spellEnd"/>
      <w:r>
        <w:rPr>
          <w:rFonts w:ascii="Book Antiqua" w:eastAsia="Book Antiqua" w:hAnsi="Book Antiqua" w:cs="Book Antiqua"/>
          <w:color w:val="000000"/>
        </w:rPr>
        <w:t xml:space="preserve"> T. External beam radiotherapy as postoperative treatment of diffuse pigmented villonodular synovitis.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1130-1134 [PMID: 17175116 DOI: 10.1016/j.ijrobp.2006.10.016]</w:t>
      </w:r>
    </w:p>
    <w:p w14:paraId="5B441C0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F371D0" w14:textId="77777777" w:rsidR="00A77B3E" w:rsidRDefault="0082641C">
      <w:pPr>
        <w:spacing w:line="360" w:lineRule="auto"/>
        <w:jc w:val="both"/>
      </w:pPr>
      <w:r>
        <w:rPr>
          <w:rFonts w:ascii="Book Antiqua" w:eastAsia="Book Antiqua" w:hAnsi="Book Antiqua" w:cs="Book Antiqua"/>
          <w:b/>
          <w:color w:val="000000"/>
        </w:rPr>
        <w:lastRenderedPageBreak/>
        <w:t>Footnotes</w:t>
      </w:r>
    </w:p>
    <w:p w14:paraId="3C62176C" w14:textId="77777777" w:rsidR="00A77B3E" w:rsidRDefault="0082641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A29626D" w14:textId="77777777" w:rsidR="00A77B3E" w:rsidRDefault="00A77B3E">
      <w:pPr>
        <w:spacing w:line="360" w:lineRule="auto"/>
        <w:jc w:val="both"/>
      </w:pPr>
    </w:p>
    <w:p w14:paraId="40B1C16B" w14:textId="0DC06277" w:rsidR="00A77B3E" w:rsidRDefault="0082641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D80851">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E560D32" w14:textId="77777777" w:rsidR="00A77B3E" w:rsidRDefault="00A77B3E">
      <w:pPr>
        <w:spacing w:line="360" w:lineRule="auto"/>
        <w:jc w:val="both"/>
      </w:pPr>
    </w:p>
    <w:p w14:paraId="46452383" w14:textId="77777777" w:rsidR="00A77B3E" w:rsidRDefault="0082641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70253D" w14:textId="77777777" w:rsidR="00A77B3E" w:rsidRDefault="00A77B3E">
      <w:pPr>
        <w:spacing w:line="360" w:lineRule="auto"/>
        <w:jc w:val="both"/>
      </w:pPr>
    </w:p>
    <w:p w14:paraId="1A518E66" w14:textId="77777777" w:rsidR="00A77B3E" w:rsidRDefault="008264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D08E7C" w14:textId="77777777" w:rsidR="00A77B3E" w:rsidRDefault="00A77B3E">
      <w:pPr>
        <w:spacing w:line="360" w:lineRule="auto"/>
        <w:jc w:val="both"/>
      </w:pPr>
    </w:p>
    <w:p w14:paraId="6CF7040F" w14:textId="4E70E45B" w:rsidR="00A77B3E" w:rsidRDefault="0082641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F5316">
        <w:rPr>
          <w:rFonts w:ascii="Book Antiqua" w:eastAsia="Book Antiqua" w:hAnsi="Book Antiqua" w:cs="Book Antiqua"/>
          <w:color w:val="000000"/>
        </w:rPr>
        <w:t>m</w:t>
      </w:r>
      <w:r>
        <w:rPr>
          <w:rFonts w:ascii="Book Antiqua" w:eastAsia="Book Antiqua" w:hAnsi="Book Antiqua" w:cs="Book Antiqua"/>
          <w:color w:val="000000"/>
        </w:rPr>
        <w:t>anuscript</w:t>
      </w:r>
    </w:p>
    <w:p w14:paraId="5B63AB8F" w14:textId="77777777" w:rsidR="00A77B3E" w:rsidRDefault="00A77B3E">
      <w:pPr>
        <w:spacing w:line="360" w:lineRule="auto"/>
        <w:jc w:val="both"/>
      </w:pPr>
    </w:p>
    <w:p w14:paraId="19B96D62" w14:textId="77777777" w:rsidR="00A77B3E" w:rsidRDefault="008264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79A619AC" w14:textId="77777777" w:rsidR="00A77B3E" w:rsidRDefault="008264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7433C9DA" w14:textId="77777777" w:rsidR="00A77B3E" w:rsidRDefault="0082641C">
      <w:pPr>
        <w:spacing w:line="360" w:lineRule="auto"/>
        <w:jc w:val="both"/>
      </w:pPr>
      <w:r>
        <w:rPr>
          <w:rFonts w:ascii="Book Antiqua" w:eastAsia="Book Antiqua" w:hAnsi="Book Antiqua" w:cs="Book Antiqua"/>
          <w:b/>
          <w:color w:val="000000"/>
        </w:rPr>
        <w:t xml:space="preserve">Article in press: </w:t>
      </w:r>
    </w:p>
    <w:p w14:paraId="01D39F78" w14:textId="77777777" w:rsidR="00A77B3E" w:rsidRDefault="00A77B3E">
      <w:pPr>
        <w:spacing w:line="360" w:lineRule="auto"/>
        <w:jc w:val="both"/>
      </w:pPr>
    </w:p>
    <w:p w14:paraId="2E996808" w14:textId="18AA27A2" w:rsidR="00A77B3E" w:rsidRDefault="0082641C">
      <w:pPr>
        <w:spacing w:line="360" w:lineRule="auto"/>
        <w:jc w:val="both"/>
      </w:pPr>
      <w:r>
        <w:rPr>
          <w:rFonts w:ascii="Book Antiqua" w:eastAsia="Book Antiqua" w:hAnsi="Book Antiqua" w:cs="Book Antiqua"/>
          <w:b/>
          <w:color w:val="000000"/>
        </w:rPr>
        <w:t xml:space="preserve">Specialty type: </w:t>
      </w:r>
      <w:r w:rsidR="003F5316" w:rsidRPr="00E700C2">
        <w:rPr>
          <w:rFonts w:ascii="Book Antiqua" w:eastAsia="Microsoft YaHei" w:hAnsi="Book Antiqua" w:cs="SimSun"/>
        </w:rPr>
        <w:t>Medicine, research and experimental</w:t>
      </w:r>
    </w:p>
    <w:p w14:paraId="4E38BF8B" w14:textId="77777777" w:rsidR="00A77B3E" w:rsidRDefault="008264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21910A8" w14:textId="77777777" w:rsidR="00A77B3E" w:rsidRDefault="0082641C">
      <w:pPr>
        <w:spacing w:line="360" w:lineRule="auto"/>
        <w:jc w:val="both"/>
      </w:pPr>
      <w:r>
        <w:rPr>
          <w:rFonts w:ascii="Book Antiqua" w:eastAsia="Book Antiqua" w:hAnsi="Book Antiqua" w:cs="Book Antiqua"/>
          <w:b/>
          <w:color w:val="000000"/>
        </w:rPr>
        <w:t>Peer-review report’s scientific quality classification</w:t>
      </w:r>
    </w:p>
    <w:p w14:paraId="46A10314" w14:textId="77777777" w:rsidR="00A77B3E" w:rsidRDefault="0082641C">
      <w:pPr>
        <w:spacing w:line="360" w:lineRule="auto"/>
        <w:jc w:val="both"/>
      </w:pPr>
      <w:r>
        <w:rPr>
          <w:rFonts w:ascii="Book Antiqua" w:eastAsia="Book Antiqua" w:hAnsi="Book Antiqua" w:cs="Book Antiqua"/>
          <w:color w:val="000000"/>
        </w:rPr>
        <w:t>Grade A (Excellent): 0</w:t>
      </w:r>
    </w:p>
    <w:p w14:paraId="29FFEE75" w14:textId="77777777" w:rsidR="00A77B3E" w:rsidRDefault="0082641C">
      <w:pPr>
        <w:spacing w:line="360" w:lineRule="auto"/>
        <w:jc w:val="both"/>
      </w:pPr>
      <w:r>
        <w:rPr>
          <w:rFonts w:ascii="Book Antiqua" w:eastAsia="Book Antiqua" w:hAnsi="Book Antiqua" w:cs="Book Antiqua"/>
          <w:color w:val="000000"/>
        </w:rPr>
        <w:t>Grade B (Very good): 0</w:t>
      </w:r>
    </w:p>
    <w:p w14:paraId="5A6BD053" w14:textId="77777777" w:rsidR="00A77B3E" w:rsidRDefault="0082641C">
      <w:pPr>
        <w:spacing w:line="360" w:lineRule="auto"/>
        <w:jc w:val="both"/>
      </w:pPr>
      <w:r>
        <w:rPr>
          <w:rFonts w:ascii="Book Antiqua" w:eastAsia="Book Antiqua" w:hAnsi="Book Antiqua" w:cs="Book Antiqua"/>
          <w:color w:val="000000"/>
        </w:rPr>
        <w:t>Grade C (Good): C, C, C</w:t>
      </w:r>
    </w:p>
    <w:p w14:paraId="7523E77A" w14:textId="77777777" w:rsidR="00A77B3E" w:rsidRDefault="0082641C">
      <w:pPr>
        <w:spacing w:line="360" w:lineRule="auto"/>
        <w:jc w:val="both"/>
      </w:pPr>
      <w:r>
        <w:rPr>
          <w:rFonts w:ascii="Book Antiqua" w:eastAsia="Book Antiqua" w:hAnsi="Book Antiqua" w:cs="Book Antiqua"/>
          <w:color w:val="000000"/>
        </w:rPr>
        <w:t>Grade D (Fair): D, D</w:t>
      </w:r>
    </w:p>
    <w:p w14:paraId="7D741FAA" w14:textId="77777777" w:rsidR="00A77B3E" w:rsidRDefault="0082641C">
      <w:pPr>
        <w:spacing w:line="360" w:lineRule="auto"/>
        <w:jc w:val="both"/>
      </w:pPr>
      <w:r>
        <w:rPr>
          <w:rFonts w:ascii="Book Antiqua" w:eastAsia="Book Antiqua" w:hAnsi="Book Antiqua" w:cs="Book Antiqua"/>
          <w:color w:val="000000"/>
        </w:rPr>
        <w:t>Grade E (Poor): 0</w:t>
      </w:r>
    </w:p>
    <w:p w14:paraId="6AEFAFC5" w14:textId="77777777" w:rsidR="00A77B3E" w:rsidRDefault="00A77B3E">
      <w:pPr>
        <w:spacing w:line="360" w:lineRule="auto"/>
        <w:jc w:val="both"/>
      </w:pPr>
    </w:p>
    <w:p w14:paraId="083711E1" w14:textId="58C6AA0F" w:rsidR="00A77B3E" w:rsidRDefault="0082641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Boscá L, Kai K, Moschovi MA, 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A3C9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3B59B36" w14:textId="67F63F2F" w:rsidR="00A77B3E" w:rsidRDefault="0082641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CE2E43C" w14:textId="08611E8A" w:rsidR="009E4DFF" w:rsidRDefault="009E4DFF">
      <w:pPr>
        <w:spacing w:line="360" w:lineRule="auto"/>
        <w:jc w:val="both"/>
      </w:pPr>
      <w:r>
        <w:rPr>
          <w:noProof/>
          <w:lang w:eastAsia="zh-CN"/>
        </w:rPr>
        <w:drawing>
          <wp:inline distT="0" distB="0" distL="0" distR="0" wp14:anchorId="10DD3E2C" wp14:editId="7F0B5512">
            <wp:extent cx="2598208" cy="3506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2643" cy="3512510"/>
                    </a:xfrm>
                    <a:prstGeom prst="rect">
                      <a:avLst/>
                    </a:prstGeom>
                  </pic:spPr>
                </pic:pic>
              </a:graphicData>
            </a:graphic>
          </wp:inline>
        </w:drawing>
      </w:r>
    </w:p>
    <w:p w14:paraId="2910427B" w14:textId="0A74C36C" w:rsidR="009E4DFF" w:rsidRDefault="0082641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sidRPr="009E4DFF">
        <w:rPr>
          <w:rFonts w:ascii="Book Antiqua" w:eastAsia="Book Antiqua" w:hAnsi="Book Antiqua" w:cs="Book Antiqua"/>
          <w:b/>
          <w:bCs/>
          <w:color w:val="000000"/>
        </w:rPr>
        <w:t>A mass (black circle) located at the posterior lower margin of the right lateral malleolus tip.</w:t>
      </w:r>
    </w:p>
    <w:p w14:paraId="6774E4A7" w14:textId="09399AC3" w:rsidR="00A77B3E" w:rsidRPr="009E4DFF" w:rsidRDefault="009E4DFF">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01F2EA62" wp14:editId="16F413D0">
            <wp:extent cx="3927944" cy="2323194"/>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8949" cy="2329703"/>
                    </a:xfrm>
                    <a:prstGeom prst="rect">
                      <a:avLst/>
                    </a:prstGeom>
                  </pic:spPr>
                </pic:pic>
              </a:graphicData>
            </a:graphic>
          </wp:inline>
        </w:drawing>
      </w:r>
    </w:p>
    <w:p w14:paraId="6FD336AE" w14:textId="5C0DE5ED" w:rsidR="009E4DFF"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9E4DFF">
        <w:rPr>
          <w:rFonts w:ascii="Book Antiqua" w:eastAsia="Book Antiqua" w:hAnsi="Book Antiqua" w:cs="Book Antiqua"/>
          <w:b/>
          <w:bCs/>
          <w:color w:val="000000"/>
        </w:rPr>
        <w:t xml:space="preserve"> X-rays revealed osteophyte formation at the posterior margin of the subtalar joint and some irregular soft tissue calcification. </w:t>
      </w:r>
      <w:r w:rsidR="009E4DFF">
        <w:rPr>
          <w:rFonts w:ascii="Book Antiqua" w:eastAsia="Book Antiqua" w:hAnsi="Book Antiqua" w:cs="Book Antiqua"/>
          <w:color w:val="000000"/>
        </w:rPr>
        <w:t xml:space="preserve">A and B: </w:t>
      </w:r>
      <w:r>
        <w:rPr>
          <w:rFonts w:ascii="Book Antiqua" w:eastAsia="Book Antiqua" w:hAnsi="Book Antiqua" w:cs="Book Antiqua"/>
          <w:color w:val="000000"/>
        </w:rPr>
        <w:t>The irregular soft tissue calcification (A, white arrow) was more apparent than at 18 mo before the second visit (B, red arrow).</w:t>
      </w:r>
    </w:p>
    <w:p w14:paraId="46A25118" w14:textId="630149E8" w:rsidR="00A77B3E" w:rsidRDefault="009E4DF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37D4703" wp14:editId="7327FB9F">
            <wp:extent cx="4455605" cy="2949934"/>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1353" cy="2953739"/>
                    </a:xfrm>
                    <a:prstGeom prst="rect">
                      <a:avLst/>
                    </a:prstGeom>
                  </pic:spPr>
                </pic:pic>
              </a:graphicData>
            </a:graphic>
          </wp:inline>
        </w:drawing>
      </w:r>
    </w:p>
    <w:p w14:paraId="14E5B4CA" w14:textId="11E35440" w:rsidR="009E4DFF"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9E4DFF">
        <w:rPr>
          <w:rFonts w:ascii="Book Antiqua" w:eastAsia="Book Antiqua" w:hAnsi="Book Antiqua" w:cs="Book Antiqua"/>
          <w:b/>
          <w:bCs/>
          <w:color w:val="000000"/>
        </w:rPr>
        <w:t xml:space="preserve"> </w:t>
      </w:r>
      <w:r w:rsidR="009E4DFF" w:rsidRPr="009E4DFF">
        <w:rPr>
          <w:rFonts w:ascii="Book Antiqua" w:eastAsia="Book Antiqua" w:hAnsi="Book Antiqua" w:cs="Book Antiqua"/>
          <w:b/>
          <w:bCs/>
          <w:color w:val="000000"/>
        </w:rPr>
        <w:t xml:space="preserve">Magnetic resonance imaging. </w:t>
      </w:r>
      <w:r w:rsidR="009E4DFF">
        <w:rPr>
          <w:rFonts w:ascii="Book Antiqua" w:eastAsia="Book Antiqua" w:hAnsi="Book Antiqua" w:cs="Book Antiqua"/>
          <w:color w:val="000000"/>
        </w:rPr>
        <w:t xml:space="preserve">A and B: </w:t>
      </w:r>
      <w:r>
        <w:rPr>
          <w:rFonts w:ascii="Book Antiqua" w:eastAsia="Book Antiqua" w:hAnsi="Book Antiqua" w:cs="Book Antiqua"/>
          <w:color w:val="000000"/>
        </w:rPr>
        <w:t>Sagittal T2-weighted images showed a low-intensity mass (white circle), which protruded from the subtalar joint into the posterior soft tissue</w:t>
      </w:r>
      <w:r w:rsidR="009E4DFF">
        <w:rPr>
          <w:rFonts w:ascii="Book Antiqua" w:eastAsia="Book Antiqua" w:hAnsi="Book Antiqua" w:cs="Book Antiqua"/>
          <w:color w:val="000000"/>
        </w:rPr>
        <w:t>;</w:t>
      </w:r>
      <w:r>
        <w:rPr>
          <w:rFonts w:ascii="Book Antiqua" w:eastAsia="Book Antiqua" w:hAnsi="Book Antiqua" w:cs="Book Antiqua"/>
          <w:color w:val="000000"/>
        </w:rPr>
        <w:t xml:space="preserve"> </w:t>
      </w:r>
      <w:r w:rsidR="009E4DFF">
        <w:rPr>
          <w:rFonts w:ascii="Book Antiqua" w:eastAsia="Book Antiqua" w:hAnsi="Book Antiqua" w:cs="Book Antiqua"/>
          <w:color w:val="000000"/>
        </w:rPr>
        <w:t xml:space="preserve">C and D: </w:t>
      </w:r>
      <w:r>
        <w:rPr>
          <w:rFonts w:ascii="Book Antiqua" w:eastAsia="Book Antiqua" w:hAnsi="Book Antiqua" w:cs="Book Antiqua"/>
          <w:color w:val="000000"/>
        </w:rPr>
        <w:t>Sagittal</w:t>
      </w:r>
      <w:r w:rsidR="009E4DFF">
        <w:rPr>
          <w:rFonts w:ascii="Book Antiqua" w:eastAsia="Book Antiqua" w:hAnsi="Book Antiqua" w:cs="Book Antiqua"/>
          <w:color w:val="000000"/>
        </w:rPr>
        <w:t xml:space="preserve"> </w:t>
      </w:r>
      <w:r>
        <w:rPr>
          <w:rFonts w:ascii="Book Antiqua" w:eastAsia="Book Antiqua" w:hAnsi="Book Antiqua" w:cs="Book Antiqua"/>
          <w:color w:val="000000"/>
        </w:rPr>
        <w:t>T1-weighted images show</w:t>
      </w:r>
      <w:r w:rsidR="009E4DFF">
        <w:rPr>
          <w:rFonts w:ascii="Book Antiqua" w:eastAsia="Book Antiqua" w:hAnsi="Book Antiqua" w:cs="Book Antiqua"/>
          <w:color w:val="000000"/>
        </w:rPr>
        <w:t>ed</w:t>
      </w:r>
      <w:r>
        <w:rPr>
          <w:rFonts w:ascii="Book Antiqua" w:eastAsia="Book Antiqua" w:hAnsi="Book Antiqua" w:cs="Book Antiqua"/>
          <w:color w:val="000000"/>
        </w:rPr>
        <w:t xml:space="preserve"> a low-intensity mass (red circle) in the corresponding area. Besides that, mild degeneration of cartilage was observed in the subtalar joint, without apparent bony erosion.</w:t>
      </w:r>
    </w:p>
    <w:p w14:paraId="220E190A" w14:textId="78348F70" w:rsidR="00A77B3E" w:rsidRDefault="009E4DF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36FA531" wp14:editId="6DDD48E8">
            <wp:extent cx="3737257" cy="287042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805" cy="2873914"/>
                    </a:xfrm>
                    <a:prstGeom prst="rect">
                      <a:avLst/>
                    </a:prstGeom>
                  </pic:spPr>
                </pic:pic>
              </a:graphicData>
            </a:graphic>
          </wp:inline>
        </w:drawing>
      </w:r>
    </w:p>
    <w:p w14:paraId="4B555B5C" w14:textId="5105B177" w:rsidR="002853E3" w:rsidRDefault="008264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2853E3" w:rsidRPr="002853E3">
        <w:rPr>
          <w:rFonts w:ascii="Book Antiqua" w:eastAsia="Book Antiqua" w:hAnsi="Book Antiqua" w:cs="Book Antiqua"/>
          <w:b/>
          <w:bCs/>
          <w:color w:val="000000"/>
        </w:rPr>
        <w:t>Surgical</w:t>
      </w:r>
      <w:r w:rsidR="002853E3">
        <w:rPr>
          <w:rFonts w:ascii="Book Antiqua" w:eastAsia="Book Antiqua" w:hAnsi="Book Antiqua" w:cs="Book Antiqua"/>
          <w:b/>
          <w:bCs/>
          <w:color w:val="000000"/>
        </w:rPr>
        <w:t xml:space="preserve"> images. </w:t>
      </w:r>
      <w:r w:rsidR="002853E3" w:rsidRPr="002853E3">
        <w:rPr>
          <w:rFonts w:ascii="Book Antiqua" w:eastAsia="Book Antiqua" w:hAnsi="Book Antiqua" w:cs="Book Antiqua"/>
          <w:color w:val="000000"/>
        </w:rPr>
        <w:t xml:space="preserve">A: </w:t>
      </w:r>
      <w:r>
        <w:rPr>
          <w:rFonts w:ascii="Book Antiqua" w:eastAsia="Book Antiqua" w:hAnsi="Book Antiqua" w:cs="Book Antiqua"/>
          <w:color w:val="000000"/>
        </w:rPr>
        <w:t>Deep brown soft tissue was found during the operation</w:t>
      </w:r>
      <w:r w:rsidR="002853E3">
        <w:rPr>
          <w:rFonts w:ascii="Book Antiqua" w:eastAsia="Book Antiqua" w:hAnsi="Book Antiqua" w:cs="Book Antiqua"/>
          <w:color w:val="000000"/>
        </w:rPr>
        <w:t>;</w:t>
      </w:r>
      <w:r>
        <w:rPr>
          <w:rFonts w:ascii="Book Antiqua" w:eastAsia="Book Antiqua" w:hAnsi="Book Antiqua" w:cs="Book Antiqua"/>
          <w:color w:val="000000"/>
        </w:rPr>
        <w:t xml:space="preserve"> </w:t>
      </w:r>
      <w:r w:rsidR="002853E3">
        <w:rPr>
          <w:rFonts w:ascii="Book Antiqua" w:eastAsia="Book Antiqua" w:hAnsi="Book Antiqua" w:cs="Book Antiqua"/>
          <w:color w:val="000000"/>
        </w:rPr>
        <w:t xml:space="preserve">B: </w:t>
      </w:r>
      <w:r>
        <w:rPr>
          <w:rFonts w:ascii="Book Antiqua" w:eastAsia="Book Antiqua" w:hAnsi="Book Antiqua" w:cs="Book Antiqua"/>
          <w:color w:val="000000"/>
        </w:rPr>
        <w:t>We gradually retracted the Steinmann pin until sufficient vision of the subtalar joint was achieved, and some of the cartilage was found to have mild degeneration.</w:t>
      </w:r>
    </w:p>
    <w:p w14:paraId="0E46E682" w14:textId="5E5F7B92" w:rsidR="00A77B3E" w:rsidRDefault="002853E3">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0148A66" wp14:editId="06423401">
            <wp:extent cx="2656161" cy="35303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2800" cy="3539204"/>
                    </a:xfrm>
                    <a:prstGeom prst="rect">
                      <a:avLst/>
                    </a:prstGeom>
                  </pic:spPr>
                </pic:pic>
              </a:graphicData>
            </a:graphic>
          </wp:inline>
        </w:drawing>
      </w:r>
    </w:p>
    <w:p w14:paraId="249EB82F" w14:textId="3D292E13" w:rsidR="00A77B3E" w:rsidRDefault="0082641C">
      <w:pPr>
        <w:spacing w:line="360" w:lineRule="auto"/>
        <w:jc w:val="both"/>
      </w:pPr>
      <w:r>
        <w:rPr>
          <w:rFonts w:ascii="Book Antiqua" w:eastAsia="Book Antiqua" w:hAnsi="Book Antiqua" w:cs="Book Antiqua"/>
          <w:b/>
          <w:bCs/>
          <w:color w:val="000000"/>
        </w:rPr>
        <w:t xml:space="preserve">Figure 5 </w:t>
      </w:r>
      <w:r w:rsidR="002853E3" w:rsidRPr="002853E3">
        <w:rPr>
          <w:rFonts w:ascii="Book Antiqua" w:eastAsia="Book Antiqua" w:hAnsi="Book Antiqua" w:cs="Book Antiqua"/>
          <w:b/>
          <w:bCs/>
          <w:color w:val="000000"/>
        </w:rPr>
        <w:t>The postoperative histological examination images.</w:t>
      </w:r>
      <w:r w:rsidR="002853E3">
        <w:rPr>
          <w:rFonts w:ascii="Book Antiqua" w:eastAsia="Book Antiqua" w:hAnsi="Book Antiqua" w:cs="Book Antiqua"/>
          <w:b/>
          <w:bCs/>
          <w:color w:val="000000"/>
        </w:rPr>
        <w:t xml:space="preserve"> </w:t>
      </w:r>
      <w:r w:rsidR="002853E3" w:rsidRPr="002853E3">
        <w:rPr>
          <w:rFonts w:ascii="Book Antiqua" w:eastAsia="Book Antiqua" w:hAnsi="Book Antiqua" w:cs="Book Antiqua"/>
          <w:color w:val="000000"/>
        </w:rPr>
        <w:t xml:space="preserve">A: </w:t>
      </w:r>
      <w:r>
        <w:rPr>
          <w:rFonts w:ascii="Book Antiqua" w:eastAsia="Book Antiqua" w:hAnsi="Book Antiqua" w:cs="Book Antiqua"/>
          <w:color w:val="000000"/>
        </w:rPr>
        <w:t>Dark brown and yellow soft pathological tissue mixed with a small amount of cartilaginous tissue</w:t>
      </w:r>
      <w:r w:rsidR="002853E3">
        <w:rPr>
          <w:rFonts w:ascii="Book Antiqua" w:eastAsia="Book Antiqua" w:hAnsi="Book Antiqua" w:cs="Book Antiqua"/>
          <w:color w:val="000000"/>
        </w:rPr>
        <w:t>; B:</w:t>
      </w:r>
      <w:r>
        <w:rPr>
          <w:rFonts w:ascii="Book Antiqua" w:eastAsia="Book Antiqua" w:hAnsi="Book Antiqua" w:cs="Book Antiqua"/>
          <w:color w:val="000000"/>
        </w:rPr>
        <w:t xml:space="preserve"> The pathological synovial tissue presented as villous nodular hyperplasia, with hemosiderin deposition (black arrow). Numerous multinucleated giant cells stained with hemosiderin (black circle).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3A71C" w14:textId="77777777" w:rsidR="00F01654" w:rsidRDefault="00F01654" w:rsidP="0028248B">
      <w:r>
        <w:separator/>
      </w:r>
    </w:p>
  </w:endnote>
  <w:endnote w:type="continuationSeparator" w:id="0">
    <w:p w14:paraId="20CC0331" w14:textId="77777777" w:rsidR="00F01654" w:rsidRDefault="00F01654" w:rsidP="0028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86845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C89036E" w14:textId="5ED0BCE3" w:rsidR="0028248B" w:rsidRPr="0028248B" w:rsidRDefault="0028248B" w:rsidP="0028248B">
            <w:pPr>
              <w:pStyle w:val="Footer"/>
              <w:jc w:val="right"/>
              <w:rPr>
                <w:rFonts w:ascii="Book Antiqua" w:hAnsi="Book Antiqua"/>
                <w:sz w:val="24"/>
                <w:szCs w:val="24"/>
              </w:rPr>
            </w:pPr>
            <w:r w:rsidRPr="0028248B">
              <w:rPr>
                <w:rFonts w:ascii="Book Antiqua" w:hAnsi="Book Antiqua"/>
                <w:sz w:val="24"/>
                <w:szCs w:val="24"/>
                <w:lang w:val="zh-CN" w:eastAsia="zh-CN"/>
              </w:rPr>
              <w:t xml:space="preserve"> </w:t>
            </w:r>
            <w:r w:rsidRPr="0028248B">
              <w:rPr>
                <w:rFonts w:ascii="Book Antiqua" w:hAnsi="Book Antiqua"/>
                <w:sz w:val="24"/>
                <w:szCs w:val="24"/>
              </w:rPr>
              <w:fldChar w:fldCharType="begin"/>
            </w:r>
            <w:r w:rsidRPr="0028248B">
              <w:rPr>
                <w:rFonts w:ascii="Book Antiqua" w:hAnsi="Book Antiqua"/>
                <w:sz w:val="24"/>
                <w:szCs w:val="24"/>
              </w:rPr>
              <w:instrText>PAGE</w:instrText>
            </w:r>
            <w:r w:rsidRPr="0028248B">
              <w:rPr>
                <w:rFonts w:ascii="Book Antiqua" w:hAnsi="Book Antiqua"/>
                <w:sz w:val="24"/>
                <w:szCs w:val="24"/>
              </w:rPr>
              <w:fldChar w:fldCharType="separate"/>
            </w:r>
            <w:r w:rsidR="00AD3F42">
              <w:rPr>
                <w:rFonts w:ascii="Book Antiqua" w:hAnsi="Book Antiqua"/>
                <w:noProof/>
                <w:sz w:val="24"/>
                <w:szCs w:val="24"/>
              </w:rPr>
              <w:t>17</w:t>
            </w:r>
            <w:r w:rsidRPr="0028248B">
              <w:rPr>
                <w:rFonts w:ascii="Book Antiqua" w:hAnsi="Book Antiqua"/>
                <w:sz w:val="24"/>
                <w:szCs w:val="24"/>
              </w:rPr>
              <w:fldChar w:fldCharType="end"/>
            </w:r>
            <w:r w:rsidRPr="0028248B">
              <w:rPr>
                <w:rFonts w:ascii="Book Antiqua" w:hAnsi="Book Antiqua"/>
                <w:sz w:val="24"/>
                <w:szCs w:val="24"/>
                <w:lang w:val="zh-CN" w:eastAsia="zh-CN"/>
              </w:rPr>
              <w:t xml:space="preserve"> / </w:t>
            </w:r>
            <w:r w:rsidRPr="0028248B">
              <w:rPr>
                <w:rFonts w:ascii="Book Antiqua" w:hAnsi="Book Antiqua"/>
                <w:sz w:val="24"/>
                <w:szCs w:val="24"/>
              </w:rPr>
              <w:fldChar w:fldCharType="begin"/>
            </w:r>
            <w:r w:rsidRPr="0028248B">
              <w:rPr>
                <w:rFonts w:ascii="Book Antiqua" w:hAnsi="Book Antiqua"/>
                <w:sz w:val="24"/>
                <w:szCs w:val="24"/>
              </w:rPr>
              <w:instrText>NUMPAGES</w:instrText>
            </w:r>
            <w:r w:rsidRPr="0028248B">
              <w:rPr>
                <w:rFonts w:ascii="Book Antiqua" w:hAnsi="Book Antiqua"/>
                <w:sz w:val="24"/>
                <w:szCs w:val="24"/>
              </w:rPr>
              <w:fldChar w:fldCharType="separate"/>
            </w:r>
            <w:r w:rsidR="00AD3F42">
              <w:rPr>
                <w:rFonts w:ascii="Book Antiqua" w:hAnsi="Book Antiqua"/>
                <w:noProof/>
                <w:sz w:val="24"/>
                <w:szCs w:val="24"/>
              </w:rPr>
              <w:t>17</w:t>
            </w:r>
            <w:r w:rsidRPr="0028248B">
              <w:rPr>
                <w:rFonts w:ascii="Book Antiqua" w:hAnsi="Book Antiqua"/>
                <w:sz w:val="24"/>
                <w:szCs w:val="24"/>
              </w:rPr>
              <w:fldChar w:fldCharType="end"/>
            </w:r>
          </w:p>
        </w:sdtContent>
      </w:sdt>
    </w:sdtContent>
  </w:sdt>
  <w:p w14:paraId="0ABE446F" w14:textId="77777777" w:rsidR="0028248B" w:rsidRPr="0028248B" w:rsidRDefault="0028248B" w:rsidP="0028248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42519" w14:textId="77777777" w:rsidR="00F01654" w:rsidRDefault="00F01654" w:rsidP="0028248B">
      <w:r>
        <w:separator/>
      </w:r>
    </w:p>
  </w:footnote>
  <w:footnote w:type="continuationSeparator" w:id="0">
    <w:p w14:paraId="3C902281" w14:textId="77777777" w:rsidR="00F01654" w:rsidRDefault="00F01654" w:rsidP="002824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4243"/>
    <w:rsid w:val="0011306D"/>
    <w:rsid w:val="00202233"/>
    <w:rsid w:val="002211F0"/>
    <w:rsid w:val="0026020F"/>
    <w:rsid w:val="0028248B"/>
    <w:rsid w:val="002853E3"/>
    <w:rsid w:val="002A3489"/>
    <w:rsid w:val="003F5316"/>
    <w:rsid w:val="004B3701"/>
    <w:rsid w:val="00500A6F"/>
    <w:rsid w:val="00551E32"/>
    <w:rsid w:val="005742F0"/>
    <w:rsid w:val="005F7746"/>
    <w:rsid w:val="0067694F"/>
    <w:rsid w:val="006D5EE4"/>
    <w:rsid w:val="007E579F"/>
    <w:rsid w:val="0082638E"/>
    <w:rsid w:val="0082641C"/>
    <w:rsid w:val="008C5B11"/>
    <w:rsid w:val="008C784B"/>
    <w:rsid w:val="00940C4E"/>
    <w:rsid w:val="009A3C98"/>
    <w:rsid w:val="009B61CA"/>
    <w:rsid w:val="009D4B3A"/>
    <w:rsid w:val="009E4DFF"/>
    <w:rsid w:val="00A77B3E"/>
    <w:rsid w:val="00AB5B98"/>
    <w:rsid w:val="00AD3F42"/>
    <w:rsid w:val="00B43B9E"/>
    <w:rsid w:val="00B771AE"/>
    <w:rsid w:val="00C05783"/>
    <w:rsid w:val="00C74E50"/>
    <w:rsid w:val="00CA2A55"/>
    <w:rsid w:val="00D80851"/>
    <w:rsid w:val="00E8498A"/>
    <w:rsid w:val="00E90DF8"/>
    <w:rsid w:val="00E93198"/>
    <w:rsid w:val="00E93F87"/>
    <w:rsid w:val="00EF46BE"/>
    <w:rsid w:val="00F01654"/>
    <w:rsid w:val="00FB4629"/>
    <w:rsid w:val="00FD5374"/>
    <w:rsid w:val="00FE4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1A7D8"/>
  <w15:docId w15:val="{62E9C6D3-1B9B-406B-AB9B-DBC488CB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F5316"/>
    <w:rPr>
      <w:sz w:val="18"/>
      <w:szCs w:val="18"/>
    </w:rPr>
  </w:style>
  <w:style w:type="character" w:customStyle="1" w:styleId="BalloonTextChar">
    <w:name w:val="Balloon Text Char"/>
    <w:basedOn w:val="DefaultParagraphFont"/>
    <w:link w:val="BalloonText"/>
    <w:rsid w:val="003F5316"/>
    <w:rPr>
      <w:sz w:val="18"/>
      <w:szCs w:val="18"/>
    </w:rPr>
  </w:style>
  <w:style w:type="paragraph" w:styleId="Header">
    <w:name w:val="header"/>
    <w:basedOn w:val="Normal"/>
    <w:link w:val="HeaderChar"/>
    <w:unhideWhenUsed/>
    <w:rsid w:val="002824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8248B"/>
    <w:rPr>
      <w:sz w:val="18"/>
      <w:szCs w:val="18"/>
    </w:rPr>
  </w:style>
  <w:style w:type="paragraph" w:styleId="Footer">
    <w:name w:val="footer"/>
    <w:basedOn w:val="Normal"/>
    <w:link w:val="FooterChar"/>
    <w:uiPriority w:val="99"/>
    <w:unhideWhenUsed/>
    <w:rsid w:val="0028248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824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2511</Words>
  <Characters>14313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2021-01-03T21:26:00Z</dcterms:created>
  <dcterms:modified xsi:type="dcterms:W3CDTF">2021-01-03T21:26:00Z</dcterms:modified>
</cp:coreProperties>
</file>