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F465D" w14:textId="77777777" w:rsidR="00A77B3E" w:rsidRDefault="000315D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70B2530" w14:textId="77777777" w:rsidR="00A77B3E" w:rsidRDefault="000315D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59451</w:t>
      </w:r>
    </w:p>
    <w:p w14:paraId="019EA69D" w14:textId="77777777" w:rsidR="00A77B3E" w:rsidRDefault="000315D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E6A9865" w14:textId="77777777" w:rsidR="00A77B3E" w:rsidRDefault="00A77B3E">
      <w:pPr>
        <w:spacing w:line="360" w:lineRule="auto"/>
        <w:jc w:val="both"/>
      </w:pPr>
    </w:p>
    <w:p w14:paraId="1A653FD9" w14:textId="77777777" w:rsidR="00A77B3E" w:rsidRDefault="000315DE">
      <w:pPr>
        <w:spacing w:line="360" w:lineRule="auto"/>
        <w:jc w:val="both"/>
      </w:pPr>
      <w:r>
        <w:rPr>
          <w:rFonts w:ascii="Book Antiqua" w:eastAsia="Book Antiqua" w:hAnsi="Book Antiqua" w:cs="Book Antiqua"/>
          <w:b/>
          <w:i/>
          <w:color w:val="000000"/>
        </w:rPr>
        <w:t>Retrospective Study</w:t>
      </w:r>
    </w:p>
    <w:p w14:paraId="394F2F04" w14:textId="2DA0633E" w:rsidR="00A77B3E" w:rsidRDefault="000315DE">
      <w:pPr>
        <w:spacing w:line="360" w:lineRule="auto"/>
        <w:jc w:val="both"/>
      </w:pPr>
      <w:r>
        <w:rPr>
          <w:rFonts w:ascii="Book Antiqua" w:eastAsia="Book Antiqua" w:hAnsi="Book Antiqua" w:cs="Book Antiqua"/>
          <w:b/>
          <w:color w:val="000000"/>
        </w:rPr>
        <w:t>Evaluation of controlled attenuation parameter in ass</w:t>
      </w:r>
      <w:r>
        <w:rPr>
          <w:rFonts w:ascii="Book Antiqua" w:eastAsia="Book Antiqua" w:hAnsi="Book Antiqua" w:cs="Book Antiqua"/>
          <w:b/>
          <w:color w:val="000000"/>
        </w:rPr>
        <w:t>essing hepatic steatosis in patients with autoimmune liver diseases</w:t>
      </w:r>
    </w:p>
    <w:p w14:paraId="2DCB755C" w14:textId="77777777" w:rsidR="00A77B3E" w:rsidRDefault="00A77B3E">
      <w:pPr>
        <w:spacing w:line="360" w:lineRule="auto"/>
        <w:jc w:val="both"/>
      </w:pPr>
    </w:p>
    <w:p w14:paraId="71621A25" w14:textId="77777777" w:rsidR="00A77B3E" w:rsidRDefault="000315DE">
      <w:pPr>
        <w:spacing w:line="360" w:lineRule="auto"/>
        <w:jc w:val="both"/>
      </w:pPr>
      <w:r>
        <w:rPr>
          <w:rFonts w:ascii="Book Antiqua" w:eastAsia="Book Antiqua" w:hAnsi="Book Antiqua" w:cs="Book Antiqua"/>
          <w:color w:val="000000"/>
        </w:rPr>
        <w:t xml:space="preserve">Ni XX </w:t>
      </w:r>
      <w:r>
        <w:rPr>
          <w:rFonts w:ascii="Book Antiqua" w:eastAsia="Book Antiqua" w:hAnsi="Book Antiqua" w:cs="Book Antiqua"/>
          <w:i/>
          <w:iCs/>
          <w:color w:val="000000"/>
        </w:rPr>
        <w:t>et al</w:t>
      </w:r>
      <w:r>
        <w:rPr>
          <w:rFonts w:ascii="Book Antiqua" w:eastAsia="Book Antiqua" w:hAnsi="Book Antiqua" w:cs="Book Antiqua"/>
          <w:color w:val="000000"/>
        </w:rPr>
        <w:t>. CAP for evaluating hepatic steatosis in AILDs</w:t>
      </w:r>
    </w:p>
    <w:p w14:paraId="5B91E178" w14:textId="77777777" w:rsidR="00A77B3E" w:rsidRDefault="00A77B3E">
      <w:pPr>
        <w:spacing w:line="360" w:lineRule="auto"/>
        <w:jc w:val="both"/>
      </w:pPr>
    </w:p>
    <w:p w14:paraId="0683A552" w14:textId="77777777" w:rsidR="00A77B3E" w:rsidRDefault="000315DE">
      <w:pPr>
        <w:spacing w:line="360" w:lineRule="auto"/>
        <w:jc w:val="both"/>
      </w:pPr>
      <w:r>
        <w:rPr>
          <w:rFonts w:ascii="Book Antiqua" w:eastAsia="Book Antiqua" w:hAnsi="Book Antiqua" w:cs="Book Antiqua"/>
          <w:color w:val="000000"/>
        </w:rPr>
        <w:t xml:space="preserve">Xi-Xi Ni, Min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Hui-Min Wu, Xiao-Yun Li, Li Sheng, Han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Qi Miao, Xiao </w:t>
      </w:r>
      <w:proofErr w:type="spellStart"/>
      <w:r>
        <w:rPr>
          <w:rFonts w:ascii="Book Antiqua" w:eastAsia="Book Antiqua" w:hAnsi="Book Antiqua" w:cs="Book Antiqua"/>
          <w:color w:val="000000"/>
        </w:rPr>
        <w:t>Xiao</w:t>
      </w:r>
      <w:proofErr w:type="spellEnd"/>
      <w:r>
        <w:rPr>
          <w:rFonts w:ascii="Book Antiqua" w:eastAsia="Book Antiqua" w:hAnsi="Book Antiqua" w:cs="Book Antiqua"/>
          <w:color w:val="000000"/>
        </w:rPr>
        <w:t>, Can-</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Hai Li,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Ma, Jing Hua</w:t>
      </w:r>
    </w:p>
    <w:p w14:paraId="0369DD69" w14:textId="77777777" w:rsidR="00A77B3E" w:rsidRDefault="00A77B3E">
      <w:pPr>
        <w:spacing w:line="360" w:lineRule="auto"/>
        <w:jc w:val="both"/>
      </w:pPr>
    </w:p>
    <w:p w14:paraId="0F5FB57A" w14:textId="7A369DBD" w:rsidR="00A77B3E" w:rsidRDefault="000315DE">
      <w:pPr>
        <w:spacing w:line="360" w:lineRule="auto"/>
        <w:jc w:val="both"/>
      </w:pPr>
      <w:r>
        <w:rPr>
          <w:rFonts w:ascii="Book Antiqua" w:eastAsia="Book Antiqua" w:hAnsi="Book Antiqua" w:cs="Book Antiqua"/>
          <w:b/>
          <w:bCs/>
          <w:color w:val="000000"/>
        </w:rPr>
        <w:t xml:space="preserve">Xi-Xi Ni, </w:t>
      </w:r>
      <w:r w:rsidR="00A44637">
        <w:rPr>
          <w:rFonts w:ascii="Book Antiqua" w:eastAsia="Book Antiqua" w:hAnsi="Book Antiqua" w:cs="Book Antiqua"/>
          <w:b/>
          <w:bCs/>
          <w:color w:val="000000"/>
        </w:rPr>
        <w:t xml:space="preserve">Hui-Min Wu, Xiao-Yun Li, Xiao </w:t>
      </w:r>
      <w:proofErr w:type="spellStart"/>
      <w:r w:rsidR="00A44637">
        <w:rPr>
          <w:rFonts w:ascii="Book Antiqua" w:eastAsia="Book Antiqua" w:hAnsi="Book Antiqua" w:cs="Book Antiqua"/>
          <w:b/>
          <w:bCs/>
          <w:color w:val="000000"/>
        </w:rPr>
        <w:t>Xiao</w:t>
      </w:r>
      <w:proofErr w:type="spellEnd"/>
      <w:r w:rsidR="00A44637">
        <w:rPr>
          <w:rFonts w:ascii="Book Antiqua" w:eastAsia="Book Antiqua" w:hAnsi="Book Antiqua" w:cs="Book Antiqua"/>
          <w:b/>
          <w:bCs/>
          <w:color w:val="000000"/>
        </w:rPr>
        <w:t xml:space="preserve">, Jing Hua, </w:t>
      </w:r>
      <w:r>
        <w:rPr>
          <w:rFonts w:ascii="Book Antiqua" w:eastAsia="Book Antiqua" w:hAnsi="Book Antiqua" w:cs="Book Antiqua"/>
          <w:color w:val="000000"/>
        </w:rPr>
        <w:t>D</w:t>
      </w:r>
      <w:r w:rsidR="00A44637">
        <w:rPr>
          <w:rFonts w:ascii="Book Antiqua" w:eastAsia="Book Antiqua" w:hAnsi="Book Antiqua" w:cs="Book Antiqua"/>
          <w:color w:val="000000"/>
        </w:rPr>
        <w:t>epartment</w:t>
      </w:r>
      <w:r>
        <w:rPr>
          <w:rFonts w:ascii="Book Antiqua" w:eastAsia="Book Antiqua" w:hAnsi="Book Antiqua" w:cs="Book Antiqua"/>
          <w:color w:val="000000"/>
        </w:rPr>
        <w:t xml:space="preserve"> of Gastroenterology and Hepatology, </w:t>
      </w:r>
      <w:proofErr w:type="spellStart"/>
      <w:r>
        <w:rPr>
          <w:rFonts w:ascii="Book Antiqua" w:eastAsia="Book Antiqua" w:hAnsi="Book Antiqua" w:cs="Book Antiqua"/>
          <w:color w:val="000000"/>
        </w:rPr>
        <w:t>Ren</w:t>
      </w:r>
      <w:r w:rsidR="00A44637">
        <w:rPr>
          <w:rFonts w:ascii="Book Antiqua" w:eastAsia="Book Antiqua" w:hAnsi="Book Antiqua" w:cs="Book Antiqua"/>
          <w:color w:val="000000"/>
        </w:rPr>
        <w:t>j</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Hospital, School of Medicine, Shanghai Jiao</w:t>
      </w:r>
      <w:r w:rsidR="00A44637">
        <w:rPr>
          <w:rFonts w:ascii="Book Antiqua" w:eastAsia="Book Antiqua" w:hAnsi="Book Antiqua" w:cs="Book Antiqua"/>
          <w:color w:val="000000"/>
        </w:rPr>
        <w:t xml:space="preserve"> T</w:t>
      </w:r>
      <w:r>
        <w:rPr>
          <w:rFonts w:ascii="Book Antiqua" w:eastAsia="Book Antiqua" w:hAnsi="Book Antiqua" w:cs="Book Antiqua"/>
          <w:color w:val="000000"/>
        </w:rPr>
        <w:t>ong University, Shanghai Institute of Digestive Disease, Shanghai 200127, China</w:t>
      </w:r>
    </w:p>
    <w:p w14:paraId="65C1C2DD" w14:textId="77777777" w:rsidR="00A77B3E" w:rsidRDefault="00A77B3E">
      <w:pPr>
        <w:spacing w:line="360" w:lineRule="auto"/>
        <w:jc w:val="both"/>
      </w:pPr>
    </w:p>
    <w:p w14:paraId="555D854E" w14:textId="555144FA" w:rsidR="00A77B3E" w:rsidRDefault="000315DE">
      <w:pPr>
        <w:spacing w:line="360" w:lineRule="auto"/>
        <w:jc w:val="both"/>
      </w:pPr>
      <w:r>
        <w:rPr>
          <w:rFonts w:ascii="Book Antiqua" w:eastAsia="Book Antiqua" w:hAnsi="Book Antiqua" w:cs="Book Antiqua"/>
          <w:b/>
          <w:bCs/>
          <w:color w:val="000000"/>
        </w:rPr>
        <w:t xml:space="preserve">Min </w:t>
      </w:r>
      <w:proofErr w:type="spellStart"/>
      <w:r>
        <w:rPr>
          <w:rFonts w:ascii="Book Antiqua" w:eastAsia="Book Antiqua" w:hAnsi="Book Antiqua" w:cs="Book Antiqua"/>
          <w:b/>
          <w:bCs/>
          <w:color w:val="000000"/>
        </w:rPr>
        <w:t>Lian</w:t>
      </w:r>
      <w:proofErr w:type="spellEnd"/>
      <w:r>
        <w:rPr>
          <w:rFonts w:ascii="Book Antiqua" w:eastAsia="Book Antiqua" w:hAnsi="Book Antiqua" w:cs="Book Antiqua"/>
          <w:b/>
          <w:bCs/>
          <w:color w:val="000000"/>
        </w:rPr>
        <w:t xml:space="preserve">, Han </w:t>
      </w:r>
      <w:proofErr w:type="spellStart"/>
      <w:r>
        <w:rPr>
          <w:rFonts w:ascii="Book Antiqua" w:eastAsia="Book Antiqua" w:hAnsi="Book Antiqua" w:cs="Book Antiqua"/>
          <w:b/>
          <w:bCs/>
          <w:color w:val="000000"/>
        </w:rPr>
        <w:t>Bao</w:t>
      </w:r>
      <w:proofErr w:type="spellEnd"/>
      <w:r>
        <w:rPr>
          <w:rFonts w:ascii="Book Antiqua" w:eastAsia="Book Antiqua" w:hAnsi="Book Antiqua" w:cs="Book Antiqua"/>
          <w:b/>
          <w:bCs/>
          <w:color w:val="000000"/>
        </w:rPr>
        <w:t>,</w:t>
      </w:r>
      <w:r w:rsidR="00A44637" w:rsidRPr="00A44637">
        <w:rPr>
          <w:rFonts w:ascii="Book Antiqua" w:eastAsia="Book Antiqua" w:hAnsi="Book Antiqua" w:cs="Book Antiqua"/>
          <w:b/>
          <w:bCs/>
          <w:color w:val="000000"/>
        </w:rPr>
        <w:t xml:space="preserve"> </w:t>
      </w:r>
      <w:r w:rsidR="00A44637">
        <w:rPr>
          <w:rFonts w:ascii="Book Antiqua" w:eastAsia="Book Antiqua" w:hAnsi="Book Antiqua" w:cs="Book Antiqua"/>
          <w:b/>
          <w:bCs/>
          <w:color w:val="000000"/>
        </w:rPr>
        <w:t>Can-</w:t>
      </w:r>
      <w:proofErr w:type="spellStart"/>
      <w:r w:rsidR="00A44637">
        <w:rPr>
          <w:rFonts w:ascii="Book Antiqua" w:eastAsia="Book Antiqua" w:hAnsi="Book Antiqua" w:cs="Book Antiqua"/>
          <w:b/>
          <w:bCs/>
          <w:color w:val="000000"/>
        </w:rPr>
        <w:t>Jie</w:t>
      </w:r>
      <w:proofErr w:type="spellEnd"/>
      <w:r w:rsidR="00A44637">
        <w:rPr>
          <w:rFonts w:ascii="Book Antiqua" w:eastAsia="Book Antiqua" w:hAnsi="Book Antiqua" w:cs="Book Antiqua"/>
          <w:b/>
          <w:bCs/>
          <w:color w:val="000000"/>
        </w:rPr>
        <w:t xml:space="preserve"> </w:t>
      </w:r>
      <w:proofErr w:type="spellStart"/>
      <w:r w:rsidR="00A44637">
        <w:rPr>
          <w:rFonts w:ascii="Book Antiqua" w:eastAsia="Book Antiqua" w:hAnsi="Book Antiqua" w:cs="Book Antiqua"/>
          <w:b/>
          <w:bCs/>
          <w:color w:val="000000"/>
        </w:rPr>
        <w:t>Guo</w:t>
      </w:r>
      <w:proofErr w:type="spellEnd"/>
      <w:r w:rsidR="00A44637">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A44637">
        <w:rPr>
          <w:rFonts w:ascii="Book Antiqua" w:eastAsia="Book Antiqua" w:hAnsi="Book Antiqua" w:cs="Book Antiqua"/>
          <w:color w:val="000000"/>
        </w:rPr>
        <w:t>Department</w:t>
      </w:r>
      <w:r>
        <w:rPr>
          <w:rFonts w:ascii="Book Antiqua" w:eastAsia="Book Antiqua" w:hAnsi="Book Antiqua" w:cs="Book Antiqua"/>
          <w:color w:val="000000"/>
        </w:rPr>
        <w:t xml:space="preserve"> of Gastroenterology and Hepatology, </w:t>
      </w:r>
      <w:proofErr w:type="spellStart"/>
      <w:r>
        <w:rPr>
          <w:rFonts w:ascii="Book Antiqua" w:eastAsia="Book Antiqua" w:hAnsi="Book Antiqua" w:cs="Book Antiqua"/>
          <w:color w:val="000000"/>
        </w:rPr>
        <w:t>Renji</w:t>
      </w:r>
      <w:proofErr w:type="spellEnd"/>
      <w:r>
        <w:rPr>
          <w:rFonts w:ascii="Book Antiqua" w:eastAsia="Book Antiqua" w:hAnsi="Book Antiqua" w:cs="Book Antiqua"/>
          <w:color w:val="000000"/>
        </w:rPr>
        <w:t xml:space="preserve"> Hospital, School of Medicine, Shanghai Jiao Tong University, Shanghai 200127, China</w:t>
      </w:r>
    </w:p>
    <w:p w14:paraId="0AF76E93" w14:textId="77777777" w:rsidR="00A77B3E" w:rsidRDefault="00A77B3E">
      <w:pPr>
        <w:spacing w:line="360" w:lineRule="auto"/>
        <w:jc w:val="both"/>
      </w:pPr>
    </w:p>
    <w:p w14:paraId="5159A51D" w14:textId="3D0A4D53" w:rsidR="00A77B3E" w:rsidRDefault="000315DE">
      <w:pPr>
        <w:spacing w:line="360" w:lineRule="auto"/>
        <w:jc w:val="both"/>
      </w:pPr>
      <w:r>
        <w:rPr>
          <w:rFonts w:ascii="Book Antiqua" w:eastAsia="Book Antiqua" w:hAnsi="Book Antiqua" w:cs="Book Antiqua"/>
          <w:b/>
          <w:bCs/>
          <w:color w:val="000000"/>
        </w:rPr>
        <w:t xml:space="preserve">Li Sheng, </w:t>
      </w:r>
      <w:proofErr w:type="spellStart"/>
      <w:r w:rsidR="005307B1">
        <w:rPr>
          <w:rFonts w:ascii="Book Antiqua" w:eastAsia="Book Antiqua" w:hAnsi="Book Antiqua" w:cs="Book Antiqua"/>
          <w:b/>
          <w:bCs/>
          <w:color w:val="000000"/>
        </w:rPr>
        <w:t>Xiong</w:t>
      </w:r>
      <w:proofErr w:type="spellEnd"/>
      <w:r w:rsidR="005307B1">
        <w:rPr>
          <w:rFonts w:ascii="Book Antiqua" w:eastAsia="Book Antiqua" w:hAnsi="Book Antiqua" w:cs="Book Antiqua"/>
          <w:b/>
          <w:bCs/>
          <w:color w:val="000000"/>
        </w:rPr>
        <w:t xml:space="preserve"> Ma, </w:t>
      </w:r>
      <w:r>
        <w:rPr>
          <w:rFonts w:ascii="Book Antiqua" w:eastAsia="Book Antiqua" w:hAnsi="Book Antiqua" w:cs="Book Antiqua"/>
          <w:color w:val="000000"/>
        </w:rPr>
        <w:t>School of Medicine, Shanghai Jiao Tong University, Shanghai Cancer Institute, Shanghai Institute of Digestive Disease, Shanghai 200127, China</w:t>
      </w:r>
    </w:p>
    <w:p w14:paraId="77202DB6" w14:textId="77777777" w:rsidR="00A77B3E" w:rsidRDefault="00A77B3E">
      <w:pPr>
        <w:spacing w:line="360" w:lineRule="auto"/>
        <w:jc w:val="both"/>
      </w:pPr>
    </w:p>
    <w:p w14:paraId="288699B4" w14:textId="77777777" w:rsidR="00A77B3E" w:rsidRDefault="000315DE">
      <w:pPr>
        <w:spacing w:line="360" w:lineRule="auto"/>
        <w:jc w:val="both"/>
      </w:pPr>
      <w:r>
        <w:rPr>
          <w:rFonts w:ascii="Book Antiqua" w:eastAsia="Book Antiqua" w:hAnsi="Book Antiqua" w:cs="Book Antiqua"/>
          <w:b/>
          <w:bCs/>
          <w:color w:val="000000"/>
        </w:rPr>
        <w:t xml:space="preserve">Qi Miao, </w:t>
      </w:r>
      <w:r>
        <w:rPr>
          <w:rFonts w:ascii="Book Antiqua" w:eastAsia="Book Antiqua" w:hAnsi="Book Antiqua" w:cs="Book Antiqua"/>
          <w:color w:val="000000"/>
        </w:rPr>
        <w:t>School of Medicine, Shanghai Jiao Tong University, Shanghai Institute of Digestive Disease, Shanghai 200127, China</w:t>
      </w:r>
    </w:p>
    <w:p w14:paraId="7E80E8FE" w14:textId="77777777" w:rsidR="00A77B3E" w:rsidRDefault="00A77B3E">
      <w:pPr>
        <w:spacing w:line="360" w:lineRule="auto"/>
        <w:jc w:val="both"/>
      </w:pPr>
    </w:p>
    <w:p w14:paraId="327745F8" w14:textId="77777777" w:rsidR="00A77B3E" w:rsidRDefault="000315DE">
      <w:pPr>
        <w:spacing w:line="360" w:lineRule="auto"/>
        <w:jc w:val="both"/>
      </w:pPr>
      <w:r>
        <w:rPr>
          <w:rFonts w:ascii="Book Antiqua" w:eastAsia="Book Antiqua" w:hAnsi="Book Antiqua" w:cs="Book Antiqua"/>
          <w:b/>
          <w:bCs/>
          <w:color w:val="000000"/>
        </w:rPr>
        <w:t xml:space="preserve">Hai Li,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Renji</w:t>
      </w:r>
      <w:proofErr w:type="spellEnd"/>
      <w:r>
        <w:rPr>
          <w:rFonts w:ascii="Book Antiqua" w:eastAsia="Book Antiqua" w:hAnsi="Book Antiqua" w:cs="Book Antiqua"/>
          <w:color w:val="000000"/>
        </w:rPr>
        <w:t xml:space="preserve"> Hospital, Shanghai Jiao Tong University School of Medicine, Shanghai 200127, China</w:t>
      </w:r>
    </w:p>
    <w:p w14:paraId="24C411F0" w14:textId="77777777" w:rsidR="00A77B3E" w:rsidRDefault="00A77B3E">
      <w:pPr>
        <w:spacing w:line="360" w:lineRule="auto"/>
        <w:jc w:val="both"/>
      </w:pPr>
    </w:p>
    <w:p w14:paraId="30229EF5" w14:textId="150640DC" w:rsidR="00A44637" w:rsidRDefault="000315DE">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b/>
          <w:bCs/>
          <w:color w:val="000000"/>
        </w:rPr>
        <w:lastRenderedPageBreak/>
        <w:t>Xiong</w:t>
      </w:r>
      <w:proofErr w:type="spellEnd"/>
      <w:r>
        <w:rPr>
          <w:rFonts w:ascii="Book Antiqua" w:eastAsia="Book Antiqua" w:hAnsi="Book Antiqua" w:cs="Book Antiqua"/>
          <w:b/>
          <w:bCs/>
          <w:color w:val="000000"/>
        </w:rPr>
        <w:t xml:space="preserve"> Ma, </w:t>
      </w:r>
      <w:r w:rsidR="00A44637">
        <w:rPr>
          <w:rFonts w:ascii="Book Antiqua" w:eastAsia="Book Antiqua" w:hAnsi="Book Antiqua" w:cs="Book Antiqua"/>
          <w:color w:val="000000"/>
        </w:rPr>
        <w:t xml:space="preserve">Department of Gastroenterology, </w:t>
      </w:r>
      <w:proofErr w:type="spellStart"/>
      <w:r w:rsidR="00A44637">
        <w:rPr>
          <w:rFonts w:ascii="Book Antiqua" w:eastAsia="Book Antiqua" w:hAnsi="Book Antiqua" w:cs="Book Antiqua"/>
          <w:color w:val="000000"/>
        </w:rPr>
        <w:t>Renji</w:t>
      </w:r>
      <w:proofErr w:type="spellEnd"/>
      <w:r w:rsidR="00A44637">
        <w:rPr>
          <w:rFonts w:ascii="Book Antiqua" w:eastAsia="Book Antiqua" w:hAnsi="Book Antiqua" w:cs="Book Antiqua"/>
          <w:color w:val="000000"/>
        </w:rPr>
        <w:t xml:space="preserve"> Hospital, </w:t>
      </w:r>
      <w:r>
        <w:rPr>
          <w:rFonts w:ascii="Book Antiqua" w:eastAsia="Book Antiqua" w:hAnsi="Book Antiqua" w:cs="Book Antiqua"/>
          <w:color w:val="000000"/>
        </w:rPr>
        <w:t>School of Medicine, Shanghai Jiao Tong Univ</w:t>
      </w:r>
      <w:r w:rsidR="00A44637">
        <w:rPr>
          <w:rFonts w:ascii="Book Antiqua" w:eastAsia="Book Antiqua" w:hAnsi="Book Antiqua" w:cs="Book Antiqua"/>
          <w:color w:val="000000"/>
        </w:rPr>
        <w:t>ersity</w:t>
      </w:r>
      <w:r>
        <w:rPr>
          <w:rFonts w:ascii="Book Antiqua" w:eastAsia="Book Antiqua" w:hAnsi="Book Antiqua" w:cs="Book Antiqua"/>
          <w:color w:val="000000"/>
        </w:rPr>
        <w:t xml:space="preserve">, </w:t>
      </w:r>
      <w:r w:rsidR="00A44637">
        <w:rPr>
          <w:rFonts w:ascii="Book Antiqua" w:eastAsia="Book Antiqua" w:hAnsi="Book Antiqua" w:cs="Book Antiqua"/>
          <w:color w:val="000000"/>
        </w:rPr>
        <w:t>Shanghai Institute of Digestive Disease</w:t>
      </w:r>
      <w:r>
        <w:rPr>
          <w:rFonts w:ascii="Book Antiqua" w:eastAsia="Book Antiqua" w:hAnsi="Book Antiqua" w:cs="Book Antiqua"/>
          <w:color w:val="000000"/>
        </w:rPr>
        <w:t>, Shanghai 200001, China</w:t>
      </w:r>
    </w:p>
    <w:p w14:paraId="7D13E80E" w14:textId="77777777" w:rsidR="00A77B3E" w:rsidRDefault="00A77B3E">
      <w:pPr>
        <w:spacing w:line="360" w:lineRule="auto"/>
        <w:jc w:val="both"/>
      </w:pPr>
    </w:p>
    <w:p w14:paraId="7FBA6601" w14:textId="7D0C1A3C" w:rsidR="00A77B3E" w:rsidRDefault="000315DE">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Ni XX,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M, Wu HM</w:t>
      </w:r>
      <w:r w:rsidR="00C50E15">
        <w:rPr>
          <w:rFonts w:ascii="Book Antiqua" w:eastAsia="Book Antiqua" w:hAnsi="Book Antiqua" w:cs="Book Antiqua"/>
          <w:color w:val="000000"/>
        </w:rPr>
        <w:t>,</w:t>
      </w:r>
      <w:r>
        <w:rPr>
          <w:rFonts w:ascii="Book Antiqua" w:eastAsia="Book Antiqua" w:hAnsi="Book Antiqua" w:cs="Book Antiqua"/>
          <w:color w:val="000000"/>
        </w:rPr>
        <w:t xml:space="preserve"> and Li XY contributed equally to this work, </w:t>
      </w:r>
      <w:r w:rsidR="00C50E15">
        <w:rPr>
          <w:rFonts w:ascii="Book Antiqua" w:eastAsia="Book Antiqua" w:hAnsi="Book Antiqua" w:cs="Book Antiqua"/>
          <w:color w:val="000000"/>
        </w:rPr>
        <w:t xml:space="preserve">and </w:t>
      </w:r>
      <w:r>
        <w:rPr>
          <w:rFonts w:ascii="Book Antiqua" w:eastAsia="Book Antiqua" w:hAnsi="Book Antiqua" w:cs="Book Antiqua"/>
          <w:color w:val="000000"/>
        </w:rPr>
        <w:t>collected and analyzed the data; Sheng L</w:t>
      </w:r>
      <w:r w:rsidR="00C50E15">
        <w:rPr>
          <w:rFonts w:ascii="Book Antiqua" w:eastAsia="Book Antiqua" w:hAnsi="Book Antiqua" w:cs="Book Antiqua"/>
          <w:color w:val="000000"/>
        </w:rPr>
        <w:t xml:space="preserve"> </w:t>
      </w:r>
      <w:r>
        <w:rPr>
          <w:rFonts w:ascii="Book Antiqua" w:eastAsia="Book Antiqua" w:hAnsi="Book Antiqua" w:cs="Book Antiqua"/>
          <w:color w:val="000000"/>
        </w:rPr>
        <w:t xml:space="preserve">coordinated the research;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H and Xiao X performed the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and coordinated </w:t>
      </w:r>
      <w:r w:rsidR="00C50E15">
        <w:rPr>
          <w:rFonts w:ascii="Book Antiqua" w:eastAsia="Book Antiqua" w:hAnsi="Book Antiqua" w:cs="Book Antiqua"/>
          <w:color w:val="000000"/>
        </w:rPr>
        <w:t xml:space="preserve">the </w:t>
      </w:r>
      <w:r>
        <w:rPr>
          <w:rFonts w:ascii="Book Antiqua" w:eastAsia="Book Antiqua" w:hAnsi="Book Antiqua" w:cs="Book Antiqua"/>
          <w:color w:val="000000"/>
        </w:rPr>
        <w:t xml:space="preserve">liver biopsy; Miao Q contributed to histological examination; Ma X, Hua J, Li H, and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CJ analyzed the data; Hua J designed the study; Ni XX,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M</w:t>
      </w:r>
      <w:r w:rsidR="00C50E15">
        <w:rPr>
          <w:rFonts w:ascii="Book Antiqua" w:eastAsia="Book Antiqua" w:hAnsi="Book Antiqua" w:cs="Book Antiqua"/>
          <w:color w:val="000000"/>
        </w:rPr>
        <w:t>,</w:t>
      </w:r>
      <w:r>
        <w:rPr>
          <w:rFonts w:ascii="Book Antiqua" w:eastAsia="Book Antiqua" w:hAnsi="Book Antiqua" w:cs="Book Antiqua"/>
          <w:color w:val="000000"/>
        </w:rPr>
        <w:t xml:space="preserve"> and Hua J wrote the manuscript; all authors have read and approve</w:t>
      </w:r>
      <w:r w:rsidR="00C50E15">
        <w:rPr>
          <w:rFonts w:ascii="Book Antiqua" w:eastAsia="Book Antiqua" w:hAnsi="Book Antiqua" w:cs="Book Antiqua"/>
          <w:color w:val="000000"/>
        </w:rPr>
        <w:t>d</w:t>
      </w:r>
      <w:r>
        <w:rPr>
          <w:rFonts w:ascii="Book Antiqua" w:eastAsia="Book Antiqua" w:hAnsi="Book Antiqua" w:cs="Book Antiqua"/>
          <w:color w:val="000000"/>
        </w:rPr>
        <w:t xml:space="preserve"> the final </w:t>
      </w:r>
      <w:r>
        <w:rPr>
          <w:rFonts w:ascii="Book Antiqua" w:eastAsia="Book Antiqua" w:hAnsi="Book Antiqua" w:cs="Book Antiqua"/>
          <w:color w:val="000000"/>
        </w:rPr>
        <w:t>manuscript.</w:t>
      </w:r>
    </w:p>
    <w:p w14:paraId="2CE83D8F" w14:textId="77777777" w:rsidR="00A77B3E" w:rsidRDefault="00A77B3E">
      <w:pPr>
        <w:spacing w:line="360" w:lineRule="auto"/>
        <w:jc w:val="both"/>
      </w:pPr>
    </w:p>
    <w:p w14:paraId="648E60E7" w14:textId="4579F153" w:rsidR="00A77B3E" w:rsidRDefault="000315DE">
      <w:pPr>
        <w:spacing w:line="360" w:lineRule="auto"/>
        <w:jc w:val="both"/>
      </w:pPr>
      <w:r>
        <w:rPr>
          <w:rFonts w:ascii="Book Antiqua" w:eastAsia="Book Antiqua" w:hAnsi="Book Antiqua" w:cs="Book Antiqua"/>
          <w:b/>
          <w:bCs/>
          <w:color w:val="000000"/>
          <w:szCs w:val="21"/>
        </w:rPr>
        <w:t>Supported by</w:t>
      </w:r>
      <w:r>
        <w:rPr>
          <w:rFonts w:ascii="Book Antiqua" w:eastAsia="Book Antiqua" w:hAnsi="Book Antiqua" w:cs="Book Antiqua"/>
          <w:color w:val="000000"/>
        </w:rPr>
        <w:t xml:space="preserve"> National Natural Science Foundation of China, No. 81470842 and No. 81770572.</w:t>
      </w:r>
    </w:p>
    <w:p w14:paraId="45286279" w14:textId="77777777" w:rsidR="00A77B3E" w:rsidRDefault="00A77B3E">
      <w:pPr>
        <w:spacing w:line="360" w:lineRule="auto"/>
        <w:jc w:val="both"/>
      </w:pPr>
    </w:p>
    <w:p w14:paraId="39568CA8" w14:textId="76F56BEB" w:rsidR="00A77B3E" w:rsidRDefault="000315DE">
      <w:pPr>
        <w:spacing w:line="360" w:lineRule="auto"/>
        <w:jc w:val="both"/>
      </w:pPr>
      <w:r>
        <w:rPr>
          <w:rFonts w:ascii="Book Antiqua" w:eastAsia="Book Antiqua" w:hAnsi="Book Antiqua" w:cs="Book Antiqua"/>
          <w:b/>
          <w:bCs/>
          <w:color w:val="000000"/>
        </w:rPr>
        <w:t xml:space="preserve">Corresponding author: Jing Hua, MD, PhD, Professor, </w:t>
      </w:r>
      <w:r w:rsidR="005307B1">
        <w:rPr>
          <w:rFonts w:ascii="Book Antiqua" w:eastAsia="Book Antiqua" w:hAnsi="Book Antiqua" w:cs="Book Antiqua"/>
          <w:color w:val="000000"/>
        </w:rPr>
        <w:t xml:space="preserve">Department of Gastroenterology and Hepatology, </w:t>
      </w:r>
      <w:proofErr w:type="spellStart"/>
      <w:r w:rsidR="005307B1">
        <w:rPr>
          <w:rFonts w:ascii="Book Antiqua" w:eastAsia="Book Antiqua" w:hAnsi="Book Antiqua" w:cs="Book Antiqua"/>
          <w:color w:val="000000"/>
        </w:rPr>
        <w:t>Renji</w:t>
      </w:r>
      <w:proofErr w:type="spellEnd"/>
      <w:r w:rsidR="005307B1">
        <w:rPr>
          <w:rFonts w:ascii="Book Antiqua" w:eastAsia="Book Antiqua" w:hAnsi="Book Antiqua" w:cs="Book Antiqua"/>
          <w:color w:val="000000"/>
        </w:rPr>
        <w:t xml:space="preserve"> Hospital, School of Medicine, Shanghai Jiao Tong University, Shanghai Institute of Digestive Disease</w:t>
      </w:r>
      <w:r>
        <w:rPr>
          <w:rFonts w:ascii="Book Antiqua" w:eastAsia="Book Antiqua" w:hAnsi="Book Antiqua" w:cs="Book Antiqua"/>
          <w:color w:val="000000"/>
        </w:rPr>
        <w:t xml:space="preserve">, No. 160 </w:t>
      </w:r>
      <w:proofErr w:type="spellStart"/>
      <w:r>
        <w:rPr>
          <w:rFonts w:ascii="Book Antiqua" w:eastAsia="Book Antiqua" w:hAnsi="Book Antiqua" w:cs="Book Antiqua"/>
          <w:color w:val="000000"/>
        </w:rPr>
        <w:t>Pu</w:t>
      </w:r>
      <w:r w:rsidR="005307B1">
        <w:rPr>
          <w:rFonts w:ascii="Book Antiqua" w:eastAsia="Book Antiqua" w:hAnsi="Book Antiqua" w:cs="Book Antiqua"/>
          <w:color w:val="000000"/>
        </w:rPr>
        <w:t>j</w:t>
      </w:r>
      <w:r>
        <w:rPr>
          <w:rFonts w:ascii="Book Antiqua" w:eastAsia="Book Antiqua" w:hAnsi="Book Antiqua" w:cs="Book Antiqua"/>
          <w:color w:val="000000"/>
        </w:rPr>
        <w:t>ian</w:t>
      </w:r>
      <w:proofErr w:type="spellEnd"/>
      <w:r>
        <w:rPr>
          <w:rFonts w:ascii="Book Antiqua" w:eastAsia="Book Antiqua" w:hAnsi="Book Antiqua" w:cs="Book Antiqua"/>
          <w:color w:val="000000"/>
        </w:rPr>
        <w:t xml:space="preserve"> Road, Shanghai 200127, China. hua_jing88@163.com</w:t>
      </w:r>
    </w:p>
    <w:p w14:paraId="485ED48F" w14:textId="77777777" w:rsidR="00A77B3E" w:rsidRDefault="00A77B3E">
      <w:pPr>
        <w:spacing w:line="360" w:lineRule="auto"/>
        <w:jc w:val="both"/>
      </w:pPr>
    </w:p>
    <w:p w14:paraId="790D4F62" w14:textId="77777777" w:rsidR="00A77B3E" w:rsidRDefault="000315D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11, 2020</w:t>
      </w:r>
    </w:p>
    <w:p w14:paraId="0EAB4FDA" w14:textId="77777777" w:rsidR="00A77B3E" w:rsidRDefault="000315D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 2020</w:t>
      </w:r>
    </w:p>
    <w:p w14:paraId="5D230B60" w14:textId="054268F2" w:rsidR="00A77B3E" w:rsidRDefault="000315DE">
      <w:pPr>
        <w:spacing w:line="360" w:lineRule="auto"/>
        <w:jc w:val="both"/>
      </w:pPr>
      <w:r>
        <w:rPr>
          <w:rFonts w:ascii="Book Antiqua" w:eastAsia="Book Antiqua" w:hAnsi="Book Antiqua" w:cs="Book Antiqua"/>
          <w:b/>
          <w:bCs/>
          <w:color w:val="000000"/>
        </w:rPr>
        <w:t xml:space="preserve">Accepted: </w:t>
      </w:r>
      <w:r w:rsidR="00472C4A" w:rsidRPr="00472C4A">
        <w:rPr>
          <w:rFonts w:ascii="Book Antiqua" w:eastAsia="Book Antiqua" w:hAnsi="Book Antiqua" w:cs="Book Antiqua"/>
          <w:color w:val="000000"/>
        </w:rPr>
        <w:t>December 11, 2020</w:t>
      </w:r>
    </w:p>
    <w:p w14:paraId="24785006" w14:textId="77777777" w:rsidR="00A77B3E" w:rsidRDefault="000315DE">
      <w:pPr>
        <w:spacing w:line="360" w:lineRule="auto"/>
        <w:jc w:val="both"/>
      </w:pPr>
      <w:r>
        <w:rPr>
          <w:rFonts w:ascii="Book Antiqua" w:eastAsia="Book Antiqua" w:hAnsi="Book Antiqua" w:cs="Book Antiqua"/>
          <w:b/>
          <w:bCs/>
          <w:color w:val="000000"/>
        </w:rPr>
        <w:t xml:space="preserve">Published online: </w:t>
      </w:r>
    </w:p>
    <w:p w14:paraId="36A2AA1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964A2EE" w14:textId="77777777" w:rsidR="00A77B3E" w:rsidRDefault="000315DE">
      <w:pPr>
        <w:spacing w:line="360" w:lineRule="auto"/>
        <w:jc w:val="both"/>
      </w:pPr>
      <w:r>
        <w:rPr>
          <w:rFonts w:ascii="Book Antiqua" w:eastAsia="Book Antiqua" w:hAnsi="Book Antiqua" w:cs="Book Antiqua"/>
          <w:b/>
          <w:color w:val="000000"/>
        </w:rPr>
        <w:lastRenderedPageBreak/>
        <w:t>Abstract</w:t>
      </w:r>
    </w:p>
    <w:p w14:paraId="44CB4520" w14:textId="77777777" w:rsidR="00A77B3E" w:rsidRDefault="000315DE">
      <w:pPr>
        <w:spacing w:line="360" w:lineRule="auto"/>
        <w:jc w:val="both"/>
      </w:pPr>
      <w:r>
        <w:rPr>
          <w:rFonts w:ascii="Book Antiqua" w:eastAsia="Book Antiqua" w:hAnsi="Book Antiqua" w:cs="Book Antiqua"/>
          <w:color w:val="000000"/>
        </w:rPr>
        <w:t>BACKGROUND</w:t>
      </w:r>
    </w:p>
    <w:p w14:paraId="4527AD19" w14:textId="77777777" w:rsidR="00A77B3E" w:rsidRDefault="000315DE">
      <w:pPr>
        <w:spacing w:line="360" w:lineRule="auto"/>
        <w:jc w:val="both"/>
      </w:pPr>
      <w:r>
        <w:rPr>
          <w:rFonts w:ascii="Book Antiqua" w:eastAsia="Book Antiqua" w:hAnsi="Book Antiqua" w:cs="Book Antiqua"/>
          <w:color w:val="000000"/>
        </w:rPr>
        <w:t>Hepatic steatosis commonly occurs in some chronic liver diseases and may affect disease progression.</w:t>
      </w:r>
    </w:p>
    <w:p w14:paraId="1E287512" w14:textId="77777777" w:rsidR="00A77B3E" w:rsidRDefault="00A77B3E">
      <w:pPr>
        <w:spacing w:line="360" w:lineRule="auto"/>
        <w:jc w:val="both"/>
      </w:pPr>
    </w:p>
    <w:p w14:paraId="111FF6FA" w14:textId="77777777" w:rsidR="00A77B3E" w:rsidRDefault="000315DE">
      <w:pPr>
        <w:spacing w:line="360" w:lineRule="auto"/>
        <w:jc w:val="both"/>
      </w:pPr>
      <w:r>
        <w:rPr>
          <w:rFonts w:ascii="Book Antiqua" w:eastAsia="Book Antiqua" w:hAnsi="Book Antiqua" w:cs="Book Antiqua"/>
          <w:color w:val="000000"/>
        </w:rPr>
        <w:t>AIM</w:t>
      </w:r>
    </w:p>
    <w:p w14:paraId="12529A95" w14:textId="4EBEDDEF" w:rsidR="00A77B3E" w:rsidRDefault="005D28DA">
      <w:pPr>
        <w:spacing w:line="360" w:lineRule="auto"/>
        <w:jc w:val="both"/>
      </w:pPr>
      <w:r>
        <w:rPr>
          <w:rFonts w:ascii="Book Antiqua" w:eastAsia="Book Antiqua" w:hAnsi="Book Antiqua" w:cs="Book Antiqua"/>
          <w:color w:val="000000"/>
        </w:rPr>
        <w:t>To</w:t>
      </w:r>
      <w:r w:rsidR="000315DE">
        <w:rPr>
          <w:rFonts w:ascii="Book Antiqua" w:eastAsia="Book Antiqua" w:hAnsi="Book Antiqua" w:cs="Book Antiqua"/>
          <w:color w:val="000000"/>
        </w:rPr>
        <w:t xml:space="preserve"> investigat</w:t>
      </w:r>
      <w:r>
        <w:rPr>
          <w:rFonts w:ascii="Book Antiqua" w:eastAsia="Book Antiqua" w:hAnsi="Book Antiqua" w:cs="Book Antiqua"/>
          <w:color w:val="000000"/>
        </w:rPr>
        <w:t>e</w:t>
      </w:r>
      <w:r w:rsidR="000315DE">
        <w:rPr>
          <w:rFonts w:ascii="Book Antiqua" w:eastAsia="Book Antiqua" w:hAnsi="Book Antiqua" w:cs="Book Antiqua"/>
          <w:color w:val="000000"/>
        </w:rPr>
        <w:t xml:space="preserve"> the performance of controlled attenuation parameter (CAP) for the diagnosis of hepatic steatosis in patients with autoimmune liver diseases (AILDs).</w:t>
      </w:r>
    </w:p>
    <w:p w14:paraId="0600FDBB" w14:textId="77777777" w:rsidR="00A77B3E" w:rsidRDefault="00A77B3E">
      <w:pPr>
        <w:spacing w:line="360" w:lineRule="auto"/>
        <w:jc w:val="both"/>
      </w:pPr>
    </w:p>
    <w:p w14:paraId="6F1299DD" w14:textId="77777777" w:rsidR="00A77B3E" w:rsidRDefault="000315DE">
      <w:pPr>
        <w:spacing w:line="360" w:lineRule="auto"/>
        <w:jc w:val="both"/>
      </w:pPr>
      <w:r>
        <w:rPr>
          <w:rFonts w:ascii="Book Antiqua" w:eastAsia="Book Antiqua" w:hAnsi="Book Antiqua" w:cs="Book Antiqua"/>
          <w:color w:val="000000"/>
        </w:rPr>
        <w:t>METHODS</w:t>
      </w:r>
    </w:p>
    <w:p w14:paraId="37A5B68F" w14:textId="0B5501FA" w:rsidR="00A77B3E" w:rsidRDefault="000315DE">
      <w:pPr>
        <w:spacing w:line="360" w:lineRule="auto"/>
        <w:jc w:val="both"/>
      </w:pPr>
      <w:r>
        <w:rPr>
          <w:rFonts w:ascii="Book Antiqua" w:eastAsia="Book Antiqua" w:hAnsi="Book Antiqua" w:cs="Book Antiqua"/>
          <w:color w:val="000000"/>
        </w:rPr>
        <w:t xml:space="preserve">Patients who were suspected of having AILDs and underwent liver biopsy were consistently enrolled. Liver stiffness measurement (LSM) and CAP were performed by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The area under the receiver operating characteristic (AUROC) curve was used to evaluate the performance of CAP for diagnosing hepatic steatosis compared with biopsy.</w:t>
      </w:r>
    </w:p>
    <w:p w14:paraId="6B596EC7" w14:textId="77777777" w:rsidR="00A77B3E" w:rsidRDefault="00A77B3E">
      <w:pPr>
        <w:spacing w:line="360" w:lineRule="auto"/>
        <w:jc w:val="both"/>
      </w:pPr>
    </w:p>
    <w:p w14:paraId="60FBB889" w14:textId="77777777" w:rsidR="00A77B3E" w:rsidRDefault="000315DE">
      <w:pPr>
        <w:spacing w:line="360" w:lineRule="auto"/>
        <w:jc w:val="both"/>
      </w:pPr>
      <w:r>
        <w:rPr>
          <w:rFonts w:ascii="Book Antiqua" w:eastAsia="Book Antiqua" w:hAnsi="Book Antiqua" w:cs="Book Antiqua"/>
          <w:color w:val="000000"/>
        </w:rPr>
        <w:t>RESULTS</w:t>
      </w:r>
    </w:p>
    <w:p w14:paraId="33E33D82" w14:textId="74FB993E" w:rsidR="00A77B3E" w:rsidRDefault="000315DE">
      <w:pPr>
        <w:spacing w:line="360" w:lineRule="auto"/>
        <w:jc w:val="both"/>
      </w:pPr>
      <w:r>
        <w:rPr>
          <w:rFonts w:ascii="Book Antiqua" w:eastAsia="Book Antiqua" w:hAnsi="Book Antiqua" w:cs="Book Antiqua"/>
          <w:color w:val="000000"/>
        </w:rPr>
        <w:t>Among</w:t>
      </w:r>
      <w:r>
        <w:rPr>
          <w:rFonts w:ascii="Book Antiqua" w:eastAsia="Book Antiqua" w:hAnsi="Book Antiqua" w:cs="Book Antiqua"/>
          <w:b/>
          <w:bCs/>
          <w:color w:val="000000"/>
        </w:rPr>
        <w:t xml:space="preserve"> </w:t>
      </w:r>
      <w:r>
        <w:rPr>
          <w:rFonts w:ascii="Book Antiqua" w:eastAsia="Book Antiqua" w:hAnsi="Book Antiqua" w:cs="Book Antiqua"/>
          <w:color w:val="000000"/>
        </w:rPr>
        <w:t>190 patients with biopsy-proven h</w:t>
      </w:r>
      <w:r>
        <w:rPr>
          <w:rFonts w:ascii="Book Antiqua" w:eastAsia="Book Antiqua" w:hAnsi="Book Antiqua" w:cs="Book Antiqua"/>
          <w:color w:val="000000"/>
        </w:rPr>
        <w:t>epatic steatosis, 69</w:t>
      </w:r>
      <w:r w:rsidR="00C50E15">
        <w:rPr>
          <w:rFonts w:ascii="Book Antiqua" w:eastAsia="Book Antiqua" w:hAnsi="Book Antiqua" w:cs="Book Antiqua"/>
          <w:color w:val="000000"/>
        </w:rPr>
        <w:t xml:space="preserve"> </w:t>
      </w:r>
      <w:r>
        <w:rPr>
          <w:rFonts w:ascii="Book Antiqua" w:eastAsia="Book Antiqua" w:hAnsi="Book Antiqua" w:cs="Book Antiqua"/>
          <w:color w:val="000000"/>
        </w:rPr>
        <w:t>were diagnosed with autoimmune hepatitis (AIH), 18</w:t>
      </w:r>
      <w:r w:rsidR="00C50E15">
        <w:rPr>
          <w:rFonts w:ascii="Book Antiqua" w:eastAsia="Book Antiqua" w:hAnsi="Book Antiqua" w:cs="Book Antiqua"/>
          <w:color w:val="000000"/>
        </w:rPr>
        <w:t xml:space="preserve"> </w:t>
      </w:r>
      <w:r>
        <w:rPr>
          <w:rFonts w:ascii="Book Antiqua" w:eastAsia="Book Antiqua" w:hAnsi="Book Antiqua" w:cs="Book Antiqua"/>
          <w:color w:val="000000"/>
        </w:rPr>
        <w:t>with primary biliary cholangitis (PBC)</w:t>
      </w:r>
      <w:r w:rsidR="00C50E15">
        <w:rPr>
          <w:rFonts w:ascii="Book Antiqua" w:eastAsia="Book Antiqua" w:hAnsi="Book Antiqua" w:cs="Book Antiqua"/>
          <w:color w:val="000000"/>
        </w:rPr>
        <w:t>,</w:t>
      </w:r>
      <w:r>
        <w:rPr>
          <w:rFonts w:ascii="Book Antiqua" w:eastAsia="Book Antiqua" w:hAnsi="Book Antiqua" w:cs="Book Antiqua"/>
          <w:color w:val="000000"/>
        </w:rPr>
        <w:t xml:space="preserve"> and 27</w:t>
      </w:r>
      <w:r w:rsidR="00C50E15">
        <w:rPr>
          <w:rFonts w:ascii="Book Antiqua" w:eastAsia="Book Antiqua" w:hAnsi="Book Antiqua" w:cs="Book Antiqua"/>
          <w:color w:val="000000"/>
        </w:rPr>
        <w:t xml:space="preserve"> </w:t>
      </w:r>
      <w:r>
        <w:rPr>
          <w:rFonts w:ascii="Book Antiqua" w:eastAsia="Book Antiqua" w:hAnsi="Book Antiqua" w:cs="Book Antiqua"/>
          <w:color w:val="000000"/>
        </w:rPr>
        <w:t>with AIH-PBC overlap syndrome. The A</w:t>
      </w:r>
      <w:r>
        <w:rPr>
          <w:rFonts w:ascii="Book Antiqua" w:eastAsia="Book Antiqua" w:hAnsi="Book Antiqua" w:cs="Book Antiqua"/>
          <w:color w:val="000000"/>
        </w:rPr>
        <w:t>UROCs of CAP for the diagnosis of steatosis in AILDS were 0.878 (0.791-0.965) for S1, 0.764 (0.676-0.853) for S2, and 0.821 (0.716-0.926) for S3. The CAP value was significantly related to hepatic steatosis grade (</w:t>
      </w:r>
      <w:r>
        <w:rPr>
          <w:rFonts w:ascii="Book Antiqua" w:eastAsia="Book Antiqua" w:hAnsi="Book Antiqua" w:cs="Book Antiqua"/>
          <w:i/>
          <w:iCs/>
          <w:color w:val="000000"/>
        </w:rPr>
        <w:t>P</w:t>
      </w:r>
      <w:r w:rsidR="005D28DA">
        <w:rPr>
          <w:rFonts w:ascii="Book Antiqua" w:eastAsia="Book Antiqua" w:hAnsi="Book Antiqua" w:cs="Book Antiqua"/>
          <w:i/>
          <w:iCs/>
          <w:color w:val="000000"/>
        </w:rPr>
        <w:t xml:space="preserve"> </w:t>
      </w:r>
      <w:r>
        <w:rPr>
          <w:rFonts w:ascii="Book Antiqua" w:eastAsia="Book Antiqua" w:hAnsi="Book Antiqua" w:cs="Book Antiqua"/>
          <w:color w:val="000000"/>
        </w:rPr>
        <w:t>&lt; 0.001). Among 69 patients with AIH, the median CAP score was 205.63</w:t>
      </w:r>
      <w:r w:rsidR="005D28DA">
        <w:rPr>
          <w:rFonts w:ascii="Book Antiqua" w:eastAsia="Book Antiqua" w:hAnsi="Book Antiqua" w:cs="Book Antiqua"/>
          <w:color w:val="000000"/>
        </w:rPr>
        <w:t xml:space="preserve"> </w:t>
      </w:r>
      <w:r>
        <w:rPr>
          <w:rFonts w:ascii="Book Antiqua" w:eastAsia="Book Antiqua" w:hAnsi="Book Antiqua" w:cs="Book Antiqua"/>
          <w:color w:val="000000"/>
        </w:rPr>
        <w:t>±</w:t>
      </w:r>
      <w:r w:rsidR="005D28DA">
        <w:rPr>
          <w:rFonts w:ascii="Book Antiqua" w:eastAsia="Book Antiqua" w:hAnsi="Book Antiqua" w:cs="Book Antiqua"/>
          <w:color w:val="000000"/>
        </w:rPr>
        <w:t xml:space="preserve"> </w:t>
      </w:r>
      <w:r>
        <w:rPr>
          <w:rFonts w:ascii="Book Antiqua" w:eastAsia="Book Antiqua" w:hAnsi="Book Antiqua" w:cs="Book Antiqua"/>
          <w:color w:val="000000"/>
        </w:rPr>
        <w:t>47.36 dB/m for S0, 258.41</w:t>
      </w:r>
      <w:r w:rsidR="005D28DA">
        <w:rPr>
          <w:rFonts w:ascii="Book Antiqua" w:eastAsia="Book Antiqua" w:hAnsi="Book Antiqua" w:cs="Book Antiqua"/>
          <w:color w:val="000000"/>
        </w:rPr>
        <w:t xml:space="preserve"> </w:t>
      </w:r>
      <w:r>
        <w:rPr>
          <w:rFonts w:ascii="Book Antiqua" w:eastAsia="Book Antiqua" w:hAnsi="Book Antiqua" w:cs="Book Antiqua"/>
          <w:color w:val="000000"/>
        </w:rPr>
        <w:t>±</w:t>
      </w:r>
      <w:r w:rsidR="005D28DA">
        <w:rPr>
          <w:rFonts w:ascii="Book Antiqua" w:eastAsia="Book Antiqua" w:hAnsi="Book Antiqua" w:cs="Book Antiqua"/>
          <w:color w:val="000000"/>
        </w:rPr>
        <w:t xml:space="preserve"> </w:t>
      </w:r>
      <w:r>
        <w:rPr>
          <w:rFonts w:ascii="Book Antiqua" w:eastAsia="Book Antiqua" w:hAnsi="Book Antiqua" w:cs="Book Antiqua"/>
          <w:color w:val="000000"/>
        </w:rPr>
        <w:t>42.83 dB/m for S1, 293.00</w:t>
      </w:r>
      <w:r w:rsidR="005D28DA">
        <w:rPr>
          <w:rFonts w:ascii="Book Antiqua" w:eastAsia="Book Antiqua" w:hAnsi="Book Antiqua" w:cs="Book Antiqua"/>
          <w:color w:val="000000"/>
        </w:rPr>
        <w:t xml:space="preserve"> </w:t>
      </w:r>
      <w:r>
        <w:rPr>
          <w:rFonts w:ascii="Book Antiqua" w:eastAsia="Book Antiqua" w:hAnsi="Book Antiqua" w:cs="Book Antiqua"/>
          <w:color w:val="000000"/>
        </w:rPr>
        <w:t>±</w:t>
      </w:r>
      <w:r w:rsidR="005D28DA">
        <w:rPr>
          <w:rFonts w:ascii="Book Antiqua" w:eastAsia="Book Antiqua" w:hAnsi="Book Antiqua" w:cs="Book Antiqua"/>
          <w:color w:val="000000"/>
        </w:rPr>
        <w:t xml:space="preserve"> </w:t>
      </w:r>
      <w:r>
        <w:rPr>
          <w:rFonts w:ascii="Book Antiqua" w:eastAsia="Book Antiqua" w:hAnsi="Book Antiqua" w:cs="Book Antiqua"/>
          <w:color w:val="000000"/>
        </w:rPr>
        <w:t>37.18 dB/m for S2, and 313.60</w:t>
      </w:r>
      <w:r w:rsidR="005D28DA">
        <w:rPr>
          <w:rFonts w:ascii="Book Antiqua" w:eastAsia="Book Antiqua" w:hAnsi="Book Antiqua" w:cs="Book Antiqua"/>
          <w:color w:val="000000"/>
        </w:rPr>
        <w:t xml:space="preserve"> </w:t>
      </w:r>
      <w:r>
        <w:rPr>
          <w:rFonts w:ascii="Book Antiqua" w:eastAsia="Book Antiqua" w:hAnsi="Book Antiqua" w:cs="Book Antiqua"/>
          <w:color w:val="000000"/>
        </w:rPr>
        <w:t>±</w:t>
      </w:r>
      <w:r w:rsidR="005D28DA">
        <w:rPr>
          <w:rFonts w:ascii="Book Antiqua" w:eastAsia="Book Antiqua" w:hAnsi="Book Antiqua" w:cs="Book Antiqua"/>
          <w:color w:val="000000"/>
        </w:rPr>
        <w:t xml:space="preserve"> </w:t>
      </w:r>
      <w:r>
        <w:rPr>
          <w:rFonts w:ascii="Book Antiqua" w:eastAsia="Book Antiqua" w:hAnsi="Book Antiqua" w:cs="Book Antiqua"/>
          <w:color w:val="000000"/>
        </w:rPr>
        <w:t>27.89 dB/m for S3. Compared with patients with nonalcoholic fatty liver disease (NAFLD) presenting with autoimmune markers, patients with AIH concomitant with NAFLD were much older and had higher serum IgG levels and LSM values.</w:t>
      </w:r>
    </w:p>
    <w:p w14:paraId="2FBB609F" w14:textId="77777777" w:rsidR="00A77B3E" w:rsidRDefault="00A77B3E">
      <w:pPr>
        <w:spacing w:line="360" w:lineRule="auto"/>
        <w:jc w:val="both"/>
      </w:pPr>
    </w:p>
    <w:p w14:paraId="427676AC" w14:textId="77777777" w:rsidR="00A77B3E" w:rsidRDefault="000315DE">
      <w:pPr>
        <w:spacing w:line="360" w:lineRule="auto"/>
        <w:jc w:val="both"/>
      </w:pPr>
      <w:r>
        <w:rPr>
          <w:rFonts w:ascii="Book Antiqua" w:eastAsia="Book Antiqua" w:hAnsi="Book Antiqua" w:cs="Book Antiqua"/>
          <w:color w:val="000000"/>
        </w:rPr>
        <w:t>CONCLUSION</w:t>
      </w:r>
    </w:p>
    <w:p w14:paraId="55B38631" w14:textId="7332DBFA" w:rsidR="00A77B3E" w:rsidRDefault="000315DE">
      <w:pPr>
        <w:spacing w:line="360" w:lineRule="auto"/>
        <w:jc w:val="both"/>
      </w:pPr>
      <w:r>
        <w:rPr>
          <w:rFonts w:ascii="Book Antiqua" w:eastAsia="Book Antiqua" w:hAnsi="Book Antiqua" w:cs="Book Antiqua"/>
          <w:color w:val="000000"/>
        </w:rPr>
        <w:lastRenderedPageBreak/>
        <w:t>CAP can be used as a noninvasive diagnostic method to evaluate hepatic steatosis in patients with AILDs. Determination of LSM combined with CAP may help to identify patients with AIH concomitant with NAFL</w:t>
      </w:r>
      <w:r>
        <w:rPr>
          <w:rFonts w:ascii="Book Antiqua" w:eastAsia="Book Antiqua" w:hAnsi="Book Antiqua" w:cs="Book Antiqua"/>
          <w:color w:val="000000"/>
        </w:rPr>
        <w:t xml:space="preserve">D from </w:t>
      </w:r>
      <w:r w:rsidR="00C50E15">
        <w:rPr>
          <w:rFonts w:ascii="Book Antiqua" w:eastAsia="Book Antiqua" w:hAnsi="Book Antiqua" w:cs="Book Antiqua"/>
          <w:color w:val="000000"/>
        </w:rPr>
        <w:t xml:space="preserve">those </w:t>
      </w:r>
      <w:r>
        <w:rPr>
          <w:rFonts w:ascii="Book Antiqua" w:eastAsia="Book Antiqua" w:hAnsi="Book Antiqua" w:cs="Book Antiqua"/>
          <w:color w:val="000000"/>
        </w:rPr>
        <w:t xml:space="preserve">with </w:t>
      </w:r>
      <w:r>
        <w:rPr>
          <w:rFonts w:ascii="Book Antiqua" w:eastAsia="Book Antiqua" w:hAnsi="Book Antiqua" w:cs="Book Antiqua"/>
          <w:color w:val="000000"/>
        </w:rPr>
        <w:t>NAFLD with autoimmune phenomena.</w:t>
      </w:r>
    </w:p>
    <w:p w14:paraId="632FDA3E" w14:textId="77777777" w:rsidR="00A77B3E" w:rsidRDefault="00A77B3E">
      <w:pPr>
        <w:spacing w:line="360" w:lineRule="auto"/>
        <w:jc w:val="both"/>
      </w:pPr>
    </w:p>
    <w:p w14:paraId="3DD47190" w14:textId="77777777" w:rsidR="00A77B3E" w:rsidRDefault="000315D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Controlled attenuation parameter; Hepatic steatosis; Autoimmune liver diseases; Nonalcoholic fatty liver disease; Liver stiffness measurement; Autoimmune hepatitis</w:t>
      </w:r>
    </w:p>
    <w:p w14:paraId="1A157084" w14:textId="77777777" w:rsidR="00A77B3E" w:rsidRDefault="00A77B3E">
      <w:pPr>
        <w:spacing w:line="360" w:lineRule="auto"/>
        <w:jc w:val="both"/>
      </w:pPr>
    </w:p>
    <w:p w14:paraId="438A2B34" w14:textId="11D98EAA" w:rsidR="00A77B3E" w:rsidRDefault="000315DE">
      <w:pPr>
        <w:spacing w:line="360" w:lineRule="auto"/>
        <w:jc w:val="both"/>
      </w:pPr>
      <w:r>
        <w:rPr>
          <w:rFonts w:ascii="Book Antiqua" w:eastAsia="Book Antiqua" w:hAnsi="Book Antiqua" w:cs="Book Antiqua"/>
          <w:color w:val="000000"/>
        </w:rPr>
        <w:t xml:space="preserve">Ni XX,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M, Wu HM, Li XY, Sheng L,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H, Miao Q, Xiao X,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CJ, Li H, Ma X, Hua J. </w:t>
      </w:r>
      <w:r>
        <w:rPr>
          <w:rFonts w:ascii="Book Antiqua" w:eastAsia="Book Antiqua" w:hAnsi="Book Antiqua" w:cs="Book Antiqua"/>
          <w:color w:val="000000"/>
        </w:rPr>
        <w:t>Evaluation of controlled attenuation parameter in assess</w:t>
      </w:r>
      <w:r>
        <w:rPr>
          <w:rFonts w:ascii="Book Antiqua" w:eastAsia="Book Antiqua" w:hAnsi="Book Antiqua" w:cs="Book Antiqua"/>
          <w:color w:val="000000"/>
        </w:rPr>
        <w:t xml:space="preserve">ing hepatic steatosis in patients with autoimmune liver diseases.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26A84D06" w14:textId="77777777" w:rsidR="00A77B3E" w:rsidRDefault="00A77B3E">
      <w:pPr>
        <w:spacing w:line="360" w:lineRule="auto"/>
        <w:jc w:val="both"/>
      </w:pPr>
    </w:p>
    <w:p w14:paraId="03931425" w14:textId="3F564162" w:rsidR="00A77B3E" w:rsidRDefault="000315D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retrospective study determined that controlled attenuation parameter (CAP) could be used as a noninvasive diagnostic tool to evaluate hepatic steatosis effectively and accurately in patients with autoimmune liver diseases. Patients with autoimmune hepatitis concomitant with nonalcoholic fatty liver disease (NAFLD) had higher IgG levels and </w:t>
      </w:r>
      <w:r w:rsidR="005D28DA">
        <w:rPr>
          <w:rFonts w:ascii="Book Antiqua" w:eastAsia="Book Antiqua" w:hAnsi="Book Antiqua" w:cs="Book Antiqua"/>
          <w:color w:val="000000"/>
        </w:rPr>
        <w:t>liver stiffness measurement</w:t>
      </w:r>
      <w:r>
        <w:rPr>
          <w:rFonts w:ascii="Book Antiqua" w:eastAsia="Book Antiqua" w:hAnsi="Book Antiqua" w:cs="Book Antiqua"/>
          <w:color w:val="000000"/>
        </w:rPr>
        <w:t xml:space="preserve"> values, while patients with NAFLD with autoimmune phenomena had higher </w:t>
      </w:r>
      <w:r w:rsidR="00B57C2F">
        <w:rPr>
          <w:rFonts w:ascii="Book Antiqua" w:eastAsia="Book Antiqua" w:hAnsi="Book Antiqua" w:cs="Book Antiqua"/>
          <w:color w:val="000000"/>
        </w:rPr>
        <w:t>gamma-</w:t>
      </w:r>
      <w:proofErr w:type="spellStart"/>
      <w:r w:rsidR="00B57C2F">
        <w:rPr>
          <w:rFonts w:ascii="Book Antiqua" w:eastAsia="Book Antiqua" w:hAnsi="Book Antiqua" w:cs="Book Antiqua"/>
          <w:color w:val="000000"/>
        </w:rPr>
        <w:t>glutamyl</w:t>
      </w:r>
      <w:proofErr w:type="spellEnd"/>
      <w:r w:rsidR="00B57C2F">
        <w:rPr>
          <w:rFonts w:ascii="Book Antiqua" w:eastAsia="Book Antiqua" w:hAnsi="Book Antiqua" w:cs="Book Antiqua"/>
          <w:color w:val="000000"/>
        </w:rPr>
        <w:t xml:space="preserve"> transferase</w:t>
      </w:r>
      <w:r>
        <w:rPr>
          <w:rFonts w:ascii="Book Antiqua" w:eastAsia="Book Antiqua" w:hAnsi="Book Antiqua" w:cs="Book Antiqua"/>
          <w:color w:val="000000"/>
        </w:rPr>
        <w:t xml:space="preserve"> levels and CAP values, which benefits the identification of these two kinds of patients.</w:t>
      </w:r>
    </w:p>
    <w:p w14:paraId="3C787F65" w14:textId="334D80E3" w:rsidR="00A77B3E" w:rsidRDefault="00B57C2F">
      <w:pPr>
        <w:spacing w:line="360" w:lineRule="auto"/>
        <w:jc w:val="both"/>
      </w:pPr>
      <w:r>
        <w:rPr>
          <w:rFonts w:ascii="Book Antiqua" w:eastAsia="Book Antiqua" w:hAnsi="Book Antiqua" w:cs="Book Antiqua"/>
          <w:b/>
          <w:caps/>
          <w:color w:val="000000"/>
          <w:u w:val="single"/>
        </w:rPr>
        <w:br w:type="page"/>
      </w:r>
      <w:r w:rsidR="000315DE">
        <w:rPr>
          <w:rFonts w:ascii="Book Antiqua" w:eastAsia="Book Antiqua" w:hAnsi="Book Antiqua" w:cs="Book Antiqua"/>
          <w:b/>
          <w:caps/>
          <w:color w:val="000000"/>
          <w:u w:val="single"/>
        </w:rPr>
        <w:lastRenderedPageBreak/>
        <w:t>INTRODUCTION</w:t>
      </w:r>
    </w:p>
    <w:p w14:paraId="75BC291E" w14:textId="3A2E1998" w:rsidR="00A77B3E" w:rsidRDefault="000315DE">
      <w:pPr>
        <w:spacing w:line="360" w:lineRule="auto"/>
        <w:jc w:val="both"/>
      </w:pPr>
      <w:r>
        <w:rPr>
          <w:rFonts w:ascii="Book Antiqua" w:eastAsia="Book Antiqua" w:hAnsi="Book Antiqua" w:cs="Book Antiqua"/>
          <w:color w:val="000000"/>
        </w:rPr>
        <w:t xml:space="preserve">Hepatic steatosis is the accumulation of lipids within hepatocytes and is considered pathologic when it affects more than 5% of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 most common cause of steatosis is insulin resistance associated with nonalcoholic fatty liver disease (NAFLD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It also occurs in alcoholic liver disease and chronic viral hepatitis, defined as a “cofactor” capable of affecting disease progression and treatment </w:t>
      </w:r>
      <w:proofErr w:type="gramStart"/>
      <w:r>
        <w:rPr>
          <w:rFonts w:ascii="Book Antiqua" w:eastAsia="Book Antiqua" w:hAnsi="Book Antiqua" w:cs="Book Antiqua"/>
          <w:color w:val="000000"/>
        </w:rPr>
        <w:t>perspectives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Autoimmune liver diseases (AILDs) are a group of autoimmune diseases associated with the liver and are characterized by dysregulation of immune cell homeostasis and inflammation, including autoimmune hepatitis (AIH), primary biliary cholangitis (PBC), primary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chola</w:t>
      </w:r>
      <w:r>
        <w:rPr>
          <w:rFonts w:ascii="Book Antiqua" w:eastAsia="Book Antiqua" w:hAnsi="Book Antiqua" w:cs="Book Antiqua"/>
          <w:color w:val="000000"/>
        </w:rPr>
        <w:t>ngitis</w:t>
      </w:r>
      <w:r w:rsidR="00C50E15">
        <w:rPr>
          <w:rFonts w:ascii="Book Antiqua" w:eastAsia="Book Antiqua" w:hAnsi="Book Antiqua" w:cs="Book Antiqua"/>
          <w:color w:val="000000"/>
        </w:rPr>
        <w:t>,</w:t>
      </w:r>
      <w:r>
        <w:rPr>
          <w:rFonts w:ascii="Book Antiqua" w:eastAsia="Book Antiqua" w:hAnsi="Book Antiqua" w:cs="Book Antiqua"/>
          <w:color w:val="000000"/>
        </w:rPr>
        <w:t xml:space="preserve"> an</w:t>
      </w:r>
      <w:r>
        <w:rPr>
          <w:rFonts w:ascii="Book Antiqua" w:eastAsia="Book Antiqua" w:hAnsi="Book Antiqua" w:cs="Book Antiqua"/>
          <w:color w:val="000000"/>
        </w:rPr>
        <w:t>d their overlapping subtypes</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When </w:t>
      </w:r>
      <w:r>
        <w:rPr>
          <w:rFonts w:ascii="Book Antiqua" w:eastAsia="Book Antiqua" w:hAnsi="Book Antiqua" w:cs="Book Antiqua"/>
          <w:color w:val="000000"/>
        </w:rPr>
        <w:t xml:space="preserve">hepatic steatosis </w:t>
      </w:r>
      <w:r w:rsidR="00C50E15">
        <w:rPr>
          <w:rFonts w:ascii="Book Antiqua" w:eastAsia="Book Antiqua" w:hAnsi="Book Antiqua" w:cs="Book Antiqua"/>
          <w:color w:val="000000"/>
        </w:rPr>
        <w:t xml:space="preserve">is </w:t>
      </w:r>
      <w:r>
        <w:rPr>
          <w:rFonts w:ascii="Book Antiqua" w:eastAsia="Book Antiqua" w:hAnsi="Book Antiqua" w:cs="Book Antiqua"/>
          <w:color w:val="000000"/>
        </w:rPr>
        <w:t>present in subjects with AILDs, this coexisting scenario may cause a synergistic combination of steatosis, cellular adaptation</w:t>
      </w:r>
      <w:r w:rsidR="00C50E15">
        <w:rPr>
          <w:rFonts w:ascii="Book Antiqua" w:eastAsia="Book Antiqua" w:hAnsi="Book Antiqua" w:cs="Book Antiqua"/>
          <w:color w:val="000000"/>
        </w:rPr>
        <w:t>,</w:t>
      </w:r>
      <w:r>
        <w:rPr>
          <w:rFonts w:ascii="Book Antiqua" w:eastAsia="Book Antiqua" w:hAnsi="Book Antiqua" w:cs="Book Antiqua"/>
          <w:color w:val="000000"/>
        </w:rPr>
        <w:t xml:space="preserve"> and oxidative damage that aggravates liver injury and affects the treatment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Moreover, the standard regimen </w:t>
      </w:r>
      <w:r w:rsidR="00C50E15">
        <w:rPr>
          <w:rFonts w:ascii="Book Antiqua" w:eastAsia="Book Antiqua" w:hAnsi="Book Antiqua" w:cs="Book Antiqua"/>
          <w:color w:val="000000"/>
        </w:rPr>
        <w:t xml:space="preserve">for </w:t>
      </w:r>
      <w:r>
        <w:rPr>
          <w:rFonts w:ascii="Book Antiqua" w:eastAsia="Book Antiqua" w:hAnsi="Book Antiqua" w:cs="Book Antiqua"/>
          <w:color w:val="000000"/>
        </w:rPr>
        <w:t>AIH i</w:t>
      </w:r>
      <w:r>
        <w:rPr>
          <w:rFonts w:ascii="Book Antiqua" w:eastAsia="Book Antiqua" w:hAnsi="Book Antiqua" w:cs="Book Antiqua"/>
          <w:color w:val="000000"/>
        </w:rPr>
        <w:t xml:space="preserve">nvolves </w:t>
      </w:r>
      <w:proofErr w:type="gramStart"/>
      <w:r>
        <w:rPr>
          <w:rFonts w:ascii="Book Antiqua" w:eastAsia="Book Antiqua" w:hAnsi="Book Antiqua" w:cs="Book Antiqua"/>
          <w:color w:val="000000"/>
        </w:rPr>
        <w:t>glucocorticoids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long-term administration of which will further aggravate hepatic steatosis. However, the incidence of AILDs combined with hepatic steatosis has not been reported. Therefore, the evaluation of hepatic steatosis is a component that cannot be ignored in the management of patients with AILDs.</w:t>
      </w:r>
    </w:p>
    <w:p w14:paraId="4E826586" w14:textId="1598AB0C" w:rsidR="00A77B3E" w:rsidRDefault="000315DE" w:rsidP="00E20E34">
      <w:pPr>
        <w:spacing w:line="360" w:lineRule="auto"/>
        <w:ind w:firstLineChars="100" w:firstLine="240"/>
        <w:jc w:val="both"/>
      </w:pPr>
      <w:r>
        <w:rPr>
          <w:rFonts w:ascii="Book Antiqua" w:eastAsia="Book Antiqua" w:hAnsi="Book Antiqua" w:cs="Book Antiqua"/>
          <w:color w:val="000000"/>
        </w:rPr>
        <w:t>Liver biopsy is con</w:t>
      </w:r>
      <w:r>
        <w:rPr>
          <w:rFonts w:ascii="Book Antiqua" w:eastAsia="Book Antiqua" w:hAnsi="Book Antiqua" w:cs="Book Antiqua"/>
          <w:color w:val="000000"/>
        </w:rPr>
        <w:t>sidered</w:t>
      </w:r>
      <w:r w:rsidR="00C50E15">
        <w:rPr>
          <w:rFonts w:ascii="Book Antiqua" w:eastAsia="Book Antiqua" w:hAnsi="Book Antiqua" w:cs="Book Antiqua"/>
          <w:color w:val="000000"/>
        </w:rPr>
        <w:t xml:space="preserve"> </w:t>
      </w:r>
      <w:r>
        <w:rPr>
          <w:rFonts w:ascii="Book Antiqua" w:eastAsia="Book Antiqua" w:hAnsi="Book Antiqua" w:cs="Book Antiqua"/>
          <w:color w:val="000000"/>
        </w:rPr>
        <w:t>the standa</w:t>
      </w:r>
      <w:r>
        <w:rPr>
          <w:rFonts w:ascii="Book Antiqua" w:eastAsia="Book Antiqua" w:hAnsi="Book Antiqua" w:cs="Book Antiqua"/>
          <w:color w:val="000000"/>
        </w:rPr>
        <w:t>rd method for staging hepatic inflammation, steat</w:t>
      </w:r>
      <w:r>
        <w:rPr>
          <w:rFonts w:ascii="Book Antiqua" w:eastAsia="Book Antiqua" w:hAnsi="Book Antiqua" w:cs="Book Antiqua"/>
          <w:color w:val="000000"/>
        </w:rPr>
        <w:t>osis</w:t>
      </w:r>
      <w:r w:rsidR="00C50E15">
        <w:rPr>
          <w:rFonts w:ascii="Book Antiqua" w:eastAsia="Book Antiqua" w:hAnsi="Book Antiqua" w:cs="Book Antiqua"/>
          <w:color w:val="000000"/>
        </w:rPr>
        <w:t>,</w:t>
      </w:r>
      <w:r>
        <w:rPr>
          <w:rFonts w:ascii="Book Antiqua" w:eastAsia="Book Antiqua" w:hAnsi="Book Antiqua" w:cs="Book Antiqua"/>
          <w:color w:val="000000"/>
        </w:rPr>
        <w:t xml:space="preserve"> an</w:t>
      </w:r>
      <w:r>
        <w:rPr>
          <w:rFonts w:ascii="Book Antiqua" w:eastAsia="Book Antiqua" w:hAnsi="Book Antiqua" w:cs="Book Antiqua"/>
          <w:color w:val="000000"/>
        </w:rPr>
        <w:t xml:space="preserve">d fibrosis. Thus, it plays a vital role in the diagnosis and follow-up of </w:t>
      </w:r>
      <w:proofErr w:type="gramStart"/>
      <w:r>
        <w:rPr>
          <w:rFonts w:ascii="Book Antiqua" w:eastAsia="Book Antiqua" w:hAnsi="Book Antiqua" w:cs="Book Antiqua"/>
          <w:color w:val="000000"/>
        </w:rPr>
        <w:t>AILDs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However, liver biopsy is an invasive procedure, which bears a potential risk of severe complications and is of limited acceptance among patients. Furthermore, the severity of hepatic steatosis may change within weeks after treatment that cannot be sufficiently monitored by repetitive invasive procedures.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Accordingly, noninvasive assessments are urgently </w:t>
      </w:r>
      <w:proofErr w:type="gramStart"/>
      <w:r>
        <w:rPr>
          <w:rFonts w:ascii="Book Antiqua" w:eastAsia="Book Antiqua" w:hAnsi="Book Antiqua" w:cs="Book Antiqua"/>
          <w:color w:val="000000"/>
        </w:rPr>
        <w:t>needed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7B7DA8CE" w14:textId="56E6C3B9" w:rsidR="00A77B3E" w:rsidRDefault="000315DE" w:rsidP="00E20E34">
      <w:pPr>
        <w:spacing w:line="360" w:lineRule="auto"/>
        <w:ind w:firstLineChars="100" w:firstLine="240"/>
        <w:jc w:val="both"/>
      </w:pPr>
      <w:r>
        <w:rPr>
          <w:rFonts w:ascii="Book Antiqua" w:eastAsia="Book Antiqua" w:hAnsi="Book Antiqua" w:cs="Book Antiqua"/>
          <w:color w:val="000000"/>
        </w:rPr>
        <w:t xml:space="preserve">The controlled attenuation parameter (CAP) measured by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(TE) is an easy and rapid noninvasive examination method for the detection of hepatic steatosis. It is based on the physical phenomenon that the amplitude of ultrasound waves is attenuated more quickly when they traverse across a </w:t>
      </w:r>
      <w:proofErr w:type="spellStart"/>
      <w:r>
        <w:rPr>
          <w:rFonts w:ascii="Book Antiqua" w:eastAsia="Book Antiqua" w:hAnsi="Book Antiqua" w:cs="Book Antiqua"/>
          <w:color w:val="000000"/>
        </w:rPr>
        <w:t>steatotic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TE can also quantify the speed of a mechanically induced shear wave in liver tissue and hence </w:t>
      </w:r>
      <w:r>
        <w:rPr>
          <w:rFonts w:ascii="Book Antiqua" w:eastAsia="Book Antiqua" w:hAnsi="Book Antiqua" w:cs="Book Antiqua"/>
          <w:color w:val="000000"/>
        </w:rPr>
        <w:lastRenderedPageBreak/>
        <w:t xml:space="preserve">generate a parameter called liver stiffness measurement (LSM) to estimate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CAP is measured simultaneously with LSM, making it possible to assess hepatic steatosis and fibrosis at the same time. Studies with CA</w:t>
      </w:r>
      <w:r>
        <w:rPr>
          <w:rFonts w:ascii="Book Antiqua" w:eastAsia="Book Antiqua" w:hAnsi="Book Antiqua" w:cs="Book Antiqua"/>
          <w:color w:val="000000"/>
        </w:rPr>
        <w:t>P have been performed in</w:t>
      </w:r>
      <w:r w:rsidR="00C50E15">
        <w:rPr>
          <w:rFonts w:ascii="Book Antiqua" w:eastAsia="Book Antiqua" w:hAnsi="Book Antiqua" w:cs="Book Antiqua"/>
          <w:color w:val="000000"/>
        </w:rPr>
        <w:t xml:space="preserve"> </w:t>
      </w:r>
      <w:r>
        <w:rPr>
          <w:rFonts w:ascii="Book Antiqua" w:eastAsia="Book Antiqua" w:hAnsi="Book Antiqua" w:cs="Book Antiqua"/>
          <w:color w:val="000000"/>
        </w:rPr>
        <w:t>NAFLD, alcoholic liver disease</w:t>
      </w:r>
      <w:r w:rsidR="00C50E15">
        <w:rPr>
          <w:rFonts w:ascii="Book Antiqua" w:eastAsia="Book Antiqua" w:hAnsi="Book Antiqua" w:cs="Book Antiqua"/>
          <w:color w:val="000000"/>
        </w:rPr>
        <w:t>,</w:t>
      </w:r>
      <w:r>
        <w:rPr>
          <w:rFonts w:ascii="Book Antiqua" w:eastAsia="Book Antiqua" w:hAnsi="Book Antiqua" w:cs="Book Antiqua"/>
          <w:color w:val="000000"/>
        </w:rPr>
        <w:t xml:space="preserve"> and viral hepatitis, but very few data are available on </w:t>
      </w:r>
      <w:proofErr w:type="gramStart"/>
      <w:r>
        <w:rPr>
          <w:rFonts w:ascii="Book Antiqua" w:eastAsia="Book Antiqua" w:hAnsi="Book Antiqua" w:cs="Book Antiqua"/>
          <w:color w:val="000000"/>
        </w:rPr>
        <w:t>AILDs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It </w:t>
      </w:r>
      <w:r w:rsidR="00C50E15">
        <w:rPr>
          <w:rFonts w:ascii="Book Antiqua" w:eastAsia="Book Antiqua" w:hAnsi="Book Antiqua" w:cs="Book Antiqua"/>
          <w:color w:val="000000"/>
        </w:rPr>
        <w:t xml:space="preserve">has been </w:t>
      </w:r>
      <w:r>
        <w:rPr>
          <w:rFonts w:ascii="Book Antiqua" w:eastAsia="Book Antiqua" w:hAnsi="Book Antiqua" w:cs="Book Antiqua"/>
          <w:color w:val="000000"/>
        </w:rPr>
        <w:t xml:space="preserve">showed that in patients with chronic viral hepatitis and advanced liver fibrosis, CAP performed better than ultrasound for assessing liver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Besides, a recent meta-analysis showed that CAP diagnosed moderate and severe hepatic steatosis with diagnostic accuracies above 0.85 in patients with liver disease of mixed etiology. However, the analysis did not include patients with </w:t>
      </w:r>
      <w:proofErr w:type="gramStart"/>
      <w:r>
        <w:rPr>
          <w:rFonts w:ascii="Book Antiqua" w:eastAsia="Book Antiqua" w:hAnsi="Book Antiqua" w:cs="Book Antiqua"/>
          <w:color w:val="000000"/>
        </w:rPr>
        <w:t>AILDs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1EC1F2F4" w14:textId="6DEF7415" w:rsidR="00A77B3E" w:rsidRDefault="000315DE" w:rsidP="00E20E34">
      <w:pPr>
        <w:spacing w:line="360" w:lineRule="auto"/>
        <w:ind w:firstLineChars="100" w:firstLine="240"/>
        <w:jc w:val="both"/>
      </w:pPr>
      <w:r>
        <w:rPr>
          <w:rFonts w:ascii="Book Antiqua" w:eastAsia="Book Antiqua" w:hAnsi="Book Antiqua" w:cs="Book Antiqua"/>
          <w:color w:val="000000"/>
        </w:rPr>
        <w:t xml:space="preserve">In this study, we assessed the performance of CAP for evaluating hepatic steatosis in AILDs </w:t>
      </w:r>
      <w:r w:rsidR="00C50E15">
        <w:rPr>
          <w:rFonts w:ascii="Book Antiqua" w:eastAsia="Book Antiqua" w:hAnsi="Book Antiqua" w:cs="Book Antiqua"/>
          <w:color w:val="000000"/>
        </w:rPr>
        <w:t>to determine whether</w:t>
      </w:r>
      <w:r>
        <w:rPr>
          <w:rFonts w:ascii="Book Antiqua" w:eastAsia="Book Antiqua" w:hAnsi="Book Antiqua" w:cs="Book Antiqua"/>
          <w:color w:val="000000"/>
        </w:rPr>
        <w:t xml:space="preserve"> it could be regarded as a</w:t>
      </w:r>
      <w:r>
        <w:rPr>
          <w:rFonts w:ascii="Book Antiqua" w:eastAsia="Book Antiqua" w:hAnsi="Book Antiqua" w:cs="Book Antiqua"/>
          <w:color w:val="000000"/>
        </w:rPr>
        <w:t xml:space="preserve"> reliable tool to monitor disease course.</w:t>
      </w:r>
    </w:p>
    <w:p w14:paraId="119247E5" w14:textId="77777777" w:rsidR="00A77B3E" w:rsidRDefault="00A77B3E">
      <w:pPr>
        <w:spacing w:line="360" w:lineRule="auto"/>
        <w:jc w:val="both"/>
      </w:pPr>
    </w:p>
    <w:p w14:paraId="33DCDA15" w14:textId="77777777" w:rsidR="00A77B3E" w:rsidRDefault="000315DE">
      <w:pPr>
        <w:spacing w:line="360" w:lineRule="auto"/>
        <w:jc w:val="both"/>
      </w:pPr>
      <w:r>
        <w:rPr>
          <w:rFonts w:ascii="Book Antiqua" w:eastAsia="Book Antiqua" w:hAnsi="Book Antiqua" w:cs="Book Antiqua"/>
          <w:b/>
          <w:caps/>
          <w:color w:val="000000"/>
          <w:u w:val="single"/>
        </w:rPr>
        <w:t>MATERIALS AND METHODS</w:t>
      </w:r>
    </w:p>
    <w:p w14:paraId="3AA732D1" w14:textId="77777777" w:rsidR="00A77B3E" w:rsidRPr="00E20E34" w:rsidRDefault="000315DE">
      <w:pPr>
        <w:spacing w:line="360" w:lineRule="auto"/>
        <w:jc w:val="both"/>
        <w:rPr>
          <w:i/>
          <w:iCs/>
        </w:rPr>
      </w:pPr>
      <w:r w:rsidRPr="00E20E34">
        <w:rPr>
          <w:rFonts w:ascii="Book Antiqua" w:eastAsia="Book Antiqua" w:hAnsi="Book Antiqua" w:cs="Book Antiqua"/>
          <w:b/>
          <w:bCs/>
          <w:i/>
          <w:iCs/>
          <w:color w:val="000000"/>
        </w:rPr>
        <w:t>Patients</w:t>
      </w:r>
    </w:p>
    <w:p w14:paraId="3B5557F0" w14:textId="29ABB0A1" w:rsidR="00A77B3E" w:rsidRDefault="000315DE">
      <w:pPr>
        <w:spacing w:line="360" w:lineRule="auto"/>
        <w:jc w:val="both"/>
      </w:pPr>
      <w:r>
        <w:rPr>
          <w:rFonts w:ascii="Book Antiqua" w:eastAsia="Book Antiqua" w:hAnsi="Book Antiqua" w:cs="Book Antiqua"/>
          <w:color w:val="000000"/>
        </w:rPr>
        <w:t xml:space="preserve">Patients who were suspected of having </w:t>
      </w:r>
      <w:r w:rsidR="00E20E34">
        <w:rPr>
          <w:rFonts w:ascii="Book Antiqua" w:eastAsia="Book Antiqua" w:hAnsi="Book Antiqua" w:cs="Book Antiqua"/>
          <w:color w:val="000000"/>
        </w:rPr>
        <w:t>AILD</w:t>
      </w:r>
      <w:r w:rsidR="00E430CB">
        <w:rPr>
          <w:rFonts w:ascii="Book Antiqua" w:eastAsia="Book Antiqua" w:hAnsi="Book Antiqua" w:cs="Book Antiqua"/>
          <w:color w:val="000000"/>
        </w:rPr>
        <w:t>s</w:t>
      </w:r>
      <w:r>
        <w:rPr>
          <w:rFonts w:ascii="Book Antiqua" w:eastAsia="Book Antiqua" w:hAnsi="Book Antiqua" w:cs="Book Antiqua"/>
          <w:color w:val="000000"/>
        </w:rPr>
        <w:t xml:space="preserve"> and eventually underwent liver biopsy at Shanghai Jiao</w:t>
      </w:r>
      <w:r w:rsidR="00E20E34">
        <w:rPr>
          <w:rFonts w:ascii="Book Antiqua" w:eastAsia="Book Antiqua" w:hAnsi="Book Antiqua" w:cs="Book Antiqua"/>
          <w:color w:val="000000"/>
        </w:rPr>
        <w:t xml:space="preserve"> T</w:t>
      </w:r>
      <w:r>
        <w:rPr>
          <w:rFonts w:ascii="Book Antiqua" w:eastAsia="Book Antiqua" w:hAnsi="Book Antiqua" w:cs="Book Antiqua"/>
          <w:color w:val="000000"/>
        </w:rPr>
        <w:t xml:space="preserve">ong University </w:t>
      </w:r>
      <w:proofErr w:type="spellStart"/>
      <w:r>
        <w:rPr>
          <w:rFonts w:ascii="Book Antiqua" w:eastAsia="Book Antiqua" w:hAnsi="Book Antiqua" w:cs="Book Antiqua"/>
          <w:color w:val="000000"/>
        </w:rPr>
        <w:t>Renji</w:t>
      </w:r>
      <w:proofErr w:type="spellEnd"/>
      <w:r>
        <w:rPr>
          <w:rFonts w:ascii="Book Antiqua" w:eastAsia="Book Antiqua" w:hAnsi="Book Antiqua" w:cs="Book Antiqua"/>
          <w:color w:val="000000"/>
        </w:rPr>
        <w:t xml:space="preserve"> Hospital were consistently enrolled from January 2016 to November 2018. A total of 800 patients were analyzed for steatosis in liver histology.</w:t>
      </w:r>
    </w:p>
    <w:p w14:paraId="541B6E20" w14:textId="77777777" w:rsidR="00A77B3E" w:rsidRDefault="00A77B3E">
      <w:pPr>
        <w:spacing w:line="360" w:lineRule="auto"/>
        <w:jc w:val="both"/>
      </w:pPr>
    </w:p>
    <w:p w14:paraId="3B5C9698" w14:textId="77777777" w:rsidR="00A77B3E" w:rsidRPr="00E20E34" w:rsidRDefault="000315DE">
      <w:pPr>
        <w:spacing w:line="360" w:lineRule="auto"/>
        <w:jc w:val="both"/>
        <w:rPr>
          <w:i/>
          <w:iCs/>
        </w:rPr>
      </w:pPr>
      <w:r w:rsidRPr="00E20E34">
        <w:rPr>
          <w:rFonts w:ascii="Book Antiqua" w:eastAsia="Book Antiqua" w:hAnsi="Book Antiqua" w:cs="Book Antiqua"/>
          <w:b/>
          <w:bCs/>
          <w:i/>
          <w:iCs/>
          <w:color w:val="000000"/>
        </w:rPr>
        <w:t>Diagnostic criteria</w:t>
      </w:r>
    </w:p>
    <w:p w14:paraId="6A0A1E4E" w14:textId="7B96B751" w:rsidR="00A77B3E" w:rsidRDefault="000315DE">
      <w:pPr>
        <w:spacing w:line="360" w:lineRule="auto"/>
        <w:jc w:val="both"/>
      </w:pPr>
      <w:r>
        <w:rPr>
          <w:rFonts w:ascii="Book Antiqua" w:eastAsia="Book Antiqua" w:hAnsi="Book Antiqua" w:cs="Book Antiqua"/>
          <w:color w:val="000000"/>
        </w:rPr>
        <w:t>Diagnosis was made according to the diagnostic criteria described in the clinical practice guidelines for AIH,</w:t>
      </w:r>
      <w:r w:rsidR="00E20E34">
        <w:rPr>
          <w:rFonts w:ascii="Book Antiqua" w:eastAsia="Book Antiqua" w:hAnsi="Book Antiqua" w:cs="Book Antiqua"/>
          <w:color w:val="000000"/>
        </w:rPr>
        <w:t xml:space="preserve"> </w:t>
      </w:r>
      <w:r>
        <w:rPr>
          <w:rFonts w:ascii="Book Antiqua" w:eastAsia="Book Antiqua" w:hAnsi="Book Antiqua" w:cs="Book Antiqua"/>
          <w:color w:val="000000"/>
        </w:rPr>
        <w:t>PBC, AIH-PBC overlap sy</w:t>
      </w:r>
      <w:r>
        <w:rPr>
          <w:rFonts w:ascii="Book Antiqua" w:eastAsia="Book Antiqua" w:hAnsi="Book Antiqua" w:cs="Book Antiqua"/>
          <w:color w:val="000000"/>
        </w:rPr>
        <w:t>ndrome</w:t>
      </w:r>
      <w:r w:rsidR="001D573C">
        <w:rPr>
          <w:rFonts w:ascii="Book Antiqua" w:eastAsia="Book Antiqua" w:hAnsi="Book Antiqua" w:cs="Book Antiqua"/>
          <w:color w:val="000000"/>
        </w:rPr>
        <w:t>,</w:t>
      </w:r>
      <w:r>
        <w:rPr>
          <w:rFonts w:ascii="Book Antiqua" w:eastAsia="Book Antiqua" w:hAnsi="Book Antiqua" w:cs="Book Antiqua"/>
          <w:color w:val="000000"/>
        </w:rPr>
        <w:t xml:space="preserve"> and NAFLD. </w:t>
      </w:r>
      <w:proofErr w:type="gramStart"/>
      <w:r>
        <w:rPr>
          <w:rFonts w:ascii="Book Antiqua" w:eastAsia="Book Antiqua" w:hAnsi="Book Antiqua" w:cs="Book Antiqua"/>
          <w:color w:val="000000"/>
        </w:rPr>
        <w:t>AIH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was diagnosed according to a simple score based on four measurements: </w:t>
      </w:r>
      <w:r w:rsidR="00E20E34">
        <w:rPr>
          <w:rFonts w:ascii="Book Antiqua" w:eastAsia="Book Antiqua" w:hAnsi="Book Antiqua" w:cs="Book Antiqua"/>
          <w:color w:val="000000"/>
        </w:rPr>
        <w:t>L</w:t>
      </w:r>
      <w:r>
        <w:rPr>
          <w:rFonts w:ascii="Book Antiqua" w:eastAsia="Book Antiqua" w:hAnsi="Book Antiqua" w:cs="Book Antiqua"/>
          <w:color w:val="000000"/>
        </w:rPr>
        <w:t>iver histology, autoantibody titers, gamma-globulin/IgG levels, and the absence of viral hepatitis. The diagnosis of PBC</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required fulfilment of two or more of the following criteria: (</w:t>
      </w:r>
      <w:r w:rsidR="00E20E34">
        <w:rPr>
          <w:rFonts w:ascii="Book Antiqua" w:eastAsia="Book Antiqua" w:hAnsi="Book Antiqua" w:cs="Book Antiqua"/>
          <w:color w:val="000000"/>
        </w:rPr>
        <w:t>1</w:t>
      </w:r>
      <w:r>
        <w:rPr>
          <w:rFonts w:ascii="Book Antiqua" w:eastAsia="Book Antiqua" w:hAnsi="Book Antiqua" w:cs="Book Antiqua"/>
          <w:color w:val="000000"/>
        </w:rPr>
        <w:t xml:space="preserve">) </w:t>
      </w:r>
      <w:r w:rsidR="00E20E34">
        <w:rPr>
          <w:rFonts w:ascii="Book Antiqua" w:eastAsia="Book Antiqua" w:hAnsi="Book Antiqua" w:cs="Book Antiqua"/>
          <w:color w:val="000000"/>
        </w:rPr>
        <w:t>B</w:t>
      </w:r>
      <w:r>
        <w:rPr>
          <w:rFonts w:ascii="Book Antiqua" w:eastAsia="Book Antiqua" w:hAnsi="Book Antiqua" w:cs="Book Antiqua"/>
          <w:color w:val="000000"/>
        </w:rPr>
        <w:t>iochemical evidence of cholestasis based mainly on alkaline phosphatase</w:t>
      </w:r>
      <w:r w:rsidR="00456653">
        <w:rPr>
          <w:rFonts w:ascii="Book Antiqua" w:eastAsia="Book Antiqua" w:hAnsi="Book Antiqua" w:cs="Book Antiqua"/>
          <w:color w:val="000000"/>
        </w:rPr>
        <w:t xml:space="preserve"> (AKP)</w:t>
      </w:r>
      <w:r>
        <w:rPr>
          <w:rFonts w:ascii="Book Antiqua" w:eastAsia="Book Antiqua" w:hAnsi="Book Antiqua" w:cs="Book Antiqua"/>
          <w:color w:val="000000"/>
        </w:rPr>
        <w:t xml:space="preserve"> elevation; (</w:t>
      </w:r>
      <w:r w:rsidR="00B6615C">
        <w:rPr>
          <w:rFonts w:ascii="Book Antiqua" w:eastAsia="Book Antiqua" w:hAnsi="Book Antiqua" w:cs="Book Antiqua"/>
          <w:color w:val="000000"/>
        </w:rPr>
        <w:t>2</w:t>
      </w:r>
      <w:r>
        <w:rPr>
          <w:rFonts w:ascii="Book Antiqua" w:eastAsia="Book Antiqua" w:hAnsi="Book Antiqua" w:cs="Book Antiqua"/>
          <w:color w:val="000000"/>
        </w:rPr>
        <w:t xml:space="preserve">) </w:t>
      </w:r>
      <w:r w:rsidR="001D573C">
        <w:rPr>
          <w:rFonts w:ascii="Book Antiqua" w:eastAsia="Book Antiqua" w:hAnsi="Book Antiqua" w:cs="Book Antiqua"/>
          <w:color w:val="000000"/>
        </w:rPr>
        <w:t xml:space="preserve">detection </w:t>
      </w:r>
      <w:r>
        <w:rPr>
          <w:rFonts w:ascii="Book Antiqua" w:eastAsia="Book Antiqua" w:hAnsi="Book Antiqua" w:cs="Book Antiqua"/>
          <w:color w:val="000000"/>
        </w:rPr>
        <w:t>of anti-mitochondrial autoantibodies (AMA); and (</w:t>
      </w:r>
      <w:r w:rsidR="00E20E34">
        <w:rPr>
          <w:rFonts w:ascii="Book Antiqua" w:eastAsia="Book Antiqua" w:hAnsi="Book Antiqua" w:cs="Book Antiqua"/>
          <w:color w:val="000000"/>
        </w:rPr>
        <w:t>3</w:t>
      </w:r>
      <w:r>
        <w:rPr>
          <w:rFonts w:ascii="Book Antiqua" w:eastAsia="Book Antiqua" w:hAnsi="Book Antiqua" w:cs="Book Antiqua"/>
          <w:color w:val="000000"/>
        </w:rPr>
        <w:t xml:space="preserve">) </w:t>
      </w:r>
      <w:r w:rsidR="001D573C">
        <w:rPr>
          <w:rFonts w:ascii="Book Antiqua" w:eastAsia="Book Antiqua" w:hAnsi="Book Antiqua" w:cs="Book Antiqua"/>
          <w:color w:val="000000"/>
        </w:rPr>
        <w:t xml:space="preserve">typical </w:t>
      </w:r>
      <w:r>
        <w:rPr>
          <w:rFonts w:ascii="Book Antiqua" w:eastAsia="Book Antiqua" w:hAnsi="Book Antiqua" w:cs="Book Antiqua"/>
          <w:color w:val="000000"/>
        </w:rPr>
        <w:t xml:space="preserve">histologic evidence of </w:t>
      </w:r>
      <w:proofErr w:type="spellStart"/>
      <w:r>
        <w:rPr>
          <w:rFonts w:ascii="Book Antiqua" w:eastAsia="Book Antiqua" w:hAnsi="Book Antiqua" w:cs="Book Antiqua"/>
          <w:color w:val="000000"/>
        </w:rPr>
        <w:t>nonsuppurative</w:t>
      </w:r>
      <w:proofErr w:type="spellEnd"/>
      <w:r>
        <w:rPr>
          <w:rFonts w:ascii="Book Antiqua" w:eastAsia="Book Antiqua" w:hAnsi="Book Antiqua" w:cs="Book Antiqua"/>
          <w:color w:val="000000"/>
        </w:rPr>
        <w:t xml:space="preserve"> destr</w:t>
      </w:r>
      <w:r>
        <w:rPr>
          <w:rFonts w:ascii="Book Antiqua" w:eastAsia="Book Antiqua" w:hAnsi="Book Antiqua" w:cs="Book Antiqua"/>
          <w:color w:val="000000"/>
        </w:rPr>
        <w:t xml:space="preserve">uctive cholangitis and destruction of </w:t>
      </w:r>
      <w:r>
        <w:rPr>
          <w:rFonts w:ascii="Book Antiqua" w:eastAsia="Book Antiqua" w:hAnsi="Book Antiqua" w:cs="Book Antiqua"/>
          <w:color w:val="000000"/>
        </w:rPr>
        <w:lastRenderedPageBreak/>
        <w:t xml:space="preserve">interlobular bile ducts. AIH-PBC overlap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was diagnosed based on clinical, biochemical, serological, and histological features overlapping those of PBC and AIH. The diagnosis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00E20E34" w:rsidRPr="00E20E34">
        <w:rPr>
          <w:rFonts w:ascii="Book Antiqua" w:eastAsia="Book Antiqua" w:hAnsi="Book Antiqua" w:cs="Book Antiqua"/>
          <w:color w:val="000000"/>
        </w:rPr>
        <w:t xml:space="preserve"> </w:t>
      </w:r>
      <w:r>
        <w:rPr>
          <w:rFonts w:ascii="Book Antiqua" w:eastAsia="Book Antiqua" w:hAnsi="Book Antiqua" w:cs="Book Antiqua"/>
          <w:color w:val="000000"/>
        </w:rPr>
        <w:t>required imaging or histological evidence of diffuse hepatic steatosis and ruling o</w:t>
      </w:r>
      <w:r>
        <w:rPr>
          <w:rFonts w:ascii="Book Antiqua" w:eastAsia="Book Antiqua" w:hAnsi="Book Antiqua" w:cs="Book Antiqua"/>
          <w:color w:val="000000"/>
        </w:rPr>
        <w:t xml:space="preserve">ut other </w:t>
      </w:r>
      <w:r>
        <w:rPr>
          <w:rFonts w:ascii="Book Antiqua" w:eastAsia="Book Antiqua" w:hAnsi="Book Antiqua" w:cs="Book Antiqua"/>
          <w:color w:val="000000"/>
        </w:rPr>
        <w:t>causes of hepatic steatosis, such as excessive alcohol consumption.</w:t>
      </w:r>
    </w:p>
    <w:p w14:paraId="2139956B" w14:textId="77777777" w:rsidR="00A77B3E" w:rsidRDefault="00A77B3E">
      <w:pPr>
        <w:spacing w:line="360" w:lineRule="auto"/>
        <w:jc w:val="both"/>
      </w:pPr>
    </w:p>
    <w:p w14:paraId="3925DFBF" w14:textId="77777777" w:rsidR="00A77B3E" w:rsidRPr="00E20E34" w:rsidRDefault="000315DE">
      <w:pPr>
        <w:spacing w:line="360" w:lineRule="auto"/>
        <w:jc w:val="both"/>
        <w:rPr>
          <w:i/>
          <w:iCs/>
        </w:rPr>
      </w:pPr>
      <w:r w:rsidRPr="00E20E34">
        <w:rPr>
          <w:rFonts w:ascii="Book Antiqua" w:eastAsia="Book Antiqua" w:hAnsi="Book Antiqua" w:cs="Book Antiqua"/>
          <w:b/>
          <w:bCs/>
          <w:i/>
          <w:iCs/>
          <w:color w:val="000000"/>
        </w:rPr>
        <w:t>Histological examination</w:t>
      </w:r>
    </w:p>
    <w:p w14:paraId="7D056CDD" w14:textId="33276D7D" w:rsidR="00A77B3E" w:rsidRDefault="000315DE">
      <w:pPr>
        <w:spacing w:line="360" w:lineRule="auto"/>
        <w:jc w:val="both"/>
      </w:pPr>
      <w:r>
        <w:rPr>
          <w:rFonts w:ascii="Book Antiqua" w:eastAsia="Book Antiqua" w:hAnsi="Book Antiqua" w:cs="Book Antiqua"/>
          <w:color w:val="000000"/>
        </w:rPr>
        <w:t>Percutaneous liver biopsy guided by ultrasound was performed under local anesthesia using a 16G disposable needle. Liver specimens at least 1 cm in length with eight complete portal tracts were included. The specimens were immediately fixed in 10% neutral formalin and embedded in paraffin. Hematoxylin a</w:t>
      </w:r>
      <w:r>
        <w:rPr>
          <w:rFonts w:ascii="Book Antiqua" w:eastAsia="Book Antiqua" w:hAnsi="Book Antiqua" w:cs="Book Antiqua"/>
          <w:color w:val="000000"/>
        </w:rPr>
        <w:t xml:space="preserve">nd eosin staining </w:t>
      </w:r>
      <w:r w:rsidR="001D573C">
        <w:rPr>
          <w:rFonts w:ascii="Book Antiqua" w:eastAsia="Book Antiqua" w:hAnsi="Book Antiqua" w:cs="Book Antiqua"/>
          <w:color w:val="000000"/>
        </w:rPr>
        <w:t xml:space="preserve">was </w:t>
      </w:r>
      <w:r>
        <w:rPr>
          <w:rFonts w:ascii="Book Antiqua" w:eastAsia="Book Antiqua" w:hAnsi="Book Antiqua" w:cs="Book Antiqua"/>
          <w:color w:val="000000"/>
        </w:rPr>
        <w:t xml:space="preserve">used to observe the morphology of the liver, and Masson’s trichrome and </w:t>
      </w:r>
      <w:proofErr w:type="spellStart"/>
      <w:r>
        <w:rPr>
          <w:rFonts w:ascii="Book Antiqua" w:eastAsia="Book Antiqua" w:hAnsi="Book Antiqua" w:cs="Book Antiqua"/>
          <w:color w:val="000000"/>
        </w:rPr>
        <w:t>reticulin</w:t>
      </w:r>
      <w:proofErr w:type="spellEnd"/>
      <w:r>
        <w:rPr>
          <w:rFonts w:ascii="Book Antiqua" w:eastAsia="Book Antiqua" w:hAnsi="Book Antiqua" w:cs="Book Antiqua"/>
          <w:color w:val="000000"/>
        </w:rPr>
        <w:t xml:space="preserve"> staining was performed to detect fibrosis. One single experienced pathologist who was blinded to the patients’ clinical data assessed liver histology using a METAVIR-derived scoring system. Hepatic steatosis was scored as S0: &lt;</w:t>
      </w:r>
      <w:r w:rsidR="00456653">
        <w:rPr>
          <w:rFonts w:ascii="Book Antiqua" w:eastAsia="Book Antiqua" w:hAnsi="Book Antiqua" w:cs="Book Antiqua"/>
          <w:color w:val="000000"/>
        </w:rPr>
        <w:t xml:space="preserve"> </w:t>
      </w:r>
      <w:r>
        <w:rPr>
          <w:rFonts w:ascii="Book Antiqua" w:eastAsia="Book Antiqua" w:hAnsi="Book Antiqua" w:cs="Book Antiqua"/>
          <w:color w:val="000000"/>
        </w:rPr>
        <w:t>5%, S1: 5</w:t>
      </w:r>
      <w:r w:rsidR="00456653">
        <w:rPr>
          <w:rFonts w:ascii="Book Antiqua" w:eastAsia="Book Antiqua" w:hAnsi="Book Antiqua" w:cs="Book Antiqua"/>
          <w:color w:val="000000"/>
        </w:rPr>
        <w:t>%-</w:t>
      </w:r>
      <w:r>
        <w:rPr>
          <w:rFonts w:ascii="Book Antiqua" w:eastAsia="Book Antiqua" w:hAnsi="Book Antiqua" w:cs="Book Antiqua"/>
          <w:color w:val="000000"/>
        </w:rPr>
        <w:t>33%, S2: &gt;</w:t>
      </w:r>
      <w:r w:rsidR="00456653">
        <w:rPr>
          <w:rFonts w:ascii="Book Antiqua" w:eastAsia="Book Antiqua" w:hAnsi="Book Antiqua" w:cs="Book Antiqua"/>
          <w:color w:val="000000"/>
        </w:rPr>
        <w:t xml:space="preserve"> </w:t>
      </w:r>
      <w:r>
        <w:rPr>
          <w:rFonts w:ascii="Book Antiqua" w:eastAsia="Book Antiqua" w:hAnsi="Book Antiqua" w:cs="Book Antiqua"/>
          <w:color w:val="000000"/>
        </w:rPr>
        <w:t>33</w:t>
      </w:r>
      <w:r w:rsidR="00456653">
        <w:rPr>
          <w:rFonts w:ascii="Book Antiqua" w:eastAsia="Book Antiqua" w:hAnsi="Book Antiqua" w:cs="Book Antiqua"/>
          <w:color w:val="000000"/>
        </w:rPr>
        <w:t>%-</w:t>
      </w:r>
      <w:r>
        <w:rPr>
          <w:rFonts w:ascii="Book Antiqua" w:eastAsia="Book Antiqua" w:hAnsi="Book Antiqua" w:cs="Book Antiqua"/>
          <w:color w:val="000000"/>
        </w:rPr>
        <w:t>66%, and S3: &gt;</w:t>
      </w:r>
      <w:r w:rsidR="00456653">
        <w:rPr>
          <w:rFonts w:ascii="Book Antiqua" w:eastAsia="Book Antiqua" w:hAnsi="Book Antiqua" w:cs="Book Antiqua"/>
          <w:color w:val="000000"/>
        </w:rPr>
        <w:t xml:space="preserve"> </w:t>
      </w:r>
      <w:r>
        <w:rPr>
          <w:rFonts w:ascii="Book Antiqua" w:eastAsia="Book Antiqua" w:hAnsi="Book Antiqua" w:cs="Book Antiqua"/>
          <w:color w:val="000000"/>
        </w:rPr>
        <w:t xml:space="preserve">66%. Fibrosis was staged as follows: F0, no fibrosis; F1, portal fibrosis without septa; F2, portal and </w:t>
      </w:r>
      <w:proofErr w:type="spellStart"/>
      <w:r>
        <w:rPr>
          <w:rFonts w:ascii="Book Antiqua" w:eastAsia="Book Antiqua" w:hAnsi="Book Antiqua" w:cs="Book Antiqua"/>
          <w:color w:val="000000"/>
        </w:rPr>
        <w:t>periportal</w:t>
      </w:r>
      <w:proofErr w:type="spellEnd"/>
      <w:r>
        <w:rPr>
          <w:rFonts w:ascii="Book Antiqua" w:eastAsia="Book Antiqua" w:hAnsi="Book Antiqua" w:cs="Book Antiqua"/>
          <w:color w:val="000000"/>
        </w:rPr>
        <w:t xml:space="preserve"> fibrosis with few septa; F3, portal and </w:t>
      </w:r>
      <w:proofErr w:type="spellStart"/>
      <w:r>
        <w:rPr>
          <w:rFonts w:ascii="Book Antiqua" w:eastAsia="Book Antiqua" w:hAnsi="Book Antiqua" w:cs="Book Antiqua"/>
          <w:color w:val="000000"/>
        </w:rPr>
        <w:t>periportal</w:t>
      </w:r>
      <w:proofErr w:type="spellEnd"/>
      <w:r>
        <w:rPr>
          <w:rFonts w:ascii="Book Antiqua" w:eastAsia="Book Antiqua" w:hAnsi="Book Antiqua" w:cs="Book Antiqua"/>
          <w:color w:val="000000"/>
        </w:rPr>
        <w:t xml:space="preserve"> fibrosis with numerous septa without cirrhosis; and F4, cirrhosis. Hepatic inflammatory activity was graded as follows: A0, none; A1, mild; A2, moderate; and A3, severe.</w:t>
      </w:r>
    </w:p>
    <w:p w14:paraId="542E4941" w14:textId="77777777" w:rsidR="00A77B3E" w:rsidRDefault="00A77B3E">
      <w:pPr>
        <w:spacing w:line="360" w:lineRule="auto"/>
        <w:jc w:val="both"/>
      </w:pPr>
    </w:p>
    <w:p w14:paraId="0EBD1CE8" w14:textId="77777777" w:rsidR="00A77B3E" w:rsidRPr="00456653" w:rsidRDefault="000315DE">
      <w:pPr>
        <w:spacing w:line="360" w:lineRule="auto"/>
        <w:jc w:val="both"/>
        <w:rPr>
          <w:i/>
          <w:iCs/>
        </w:rPr>
      </w:pPr>
      <w:r w:rsidRPr="00456653">
        <w:rPr>
          <w:rFonts w:ascii="Book Antiqua" w:eastAsia="Book Antiqua" w:hAnsi="Book Antiqua" w:cs="Book Antiqua"/>
          <w:b/>
          <w:bCs/>
          <w:i/>
          <w:iCs/>
          <w:color w:val="000000"/>
        </w:rPr>
        <w:t>Clinical measurements</w:t>
      </w:r>
    </w:p>
    <w:p w14:paraId="080A9F0A" w14:textId="47DC5087" w:rsidR="00A77B3E" w:rsidRDefault="000315DE">
      <w:pPr>
        <w:spacing w:line="360" w:lineRule="auto"/>
        <w:jc w:val="both"/>
      </w:pPr>
      <w:r>
        <w:rPr>
          <w:rFonts w:ascii="Book Antiqua" w:eastAsia="Book Antiqua" w:hAnsi="Book Antiqua" w:cs="Book Antiqua"/>
          <w:color w:val="000000"/>
        </w:rPr>
        <w:t>Medical records of the patients who were finally included were reviewed, and clinical data and laboratory findings were collected and analyzed. Body mass index (BMI) was calculated. Laboratory evaluations included liver biochemistry [</w:t>
      </w:r>
      <w:r w:rsidRPr="00456653">
        <w:rPr>
          <w:rFonts w:ascii="Book Antiqua" w:eastAsia="Book Antiqua" w:hAnsi="Book Antiqua" w:cs="Book Antiqua"/>
          <w:i/>
          <w:iCs/>
          <w:color w:val="000000"/>
        </w:rPr>
        <w:t>i.e.</w:t>
      </w:r>
      <w:r>
        <w:rPr>
          <w:rFonts w:ascii="Book Antiqua" w:eastAsia="Book Antiqua" w:hAnsi="Book Antiqua" w:cs="Book Antiqua"/>
          <w:color w:val="000000"/>
        </w:rPr>
        <w:t>, alanine aminotransferase (ALT), aspartate aminotransferase, AKP, gamma-</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transferase (GGT), total bilirubin, direct bilirubin, globulin, and albumin], serum immunoglobulins (IgG, IgM, and IgA), routine blood tests (white blood cell count and platelet count), and prothrombin time. Serum autoantibodies, including anti-nuclear antibody (ANA), AMA</w:t>
      </w:r>
      <w:r w:rsidR="001D573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anti-smooth muscle actin antibody (ASMA), were detected by indirect immunofluorescence (</w:t>
      </w:r>
      <w:proofErr w:type="spellStart"/>
      <w:r>
        <w:rPr>
          <w:rFonts w:ascii="Book Antiqua" w:eastAsia="Book Antiqua" w:hAnsi="Book Antiqua" w:cs="Book Antiqua"/>
          <w:color w:val="000000"/>
        </w:rPr>
        <w:t>Euroimmun</w:t>
      </w:r>
      <w:proofErr w:type="spellEnd"/>
      <w:r>
        <w:rPr>
          <w:rFonts w:ascii="Book Antiqua" w:eastAsia="Book Antiqua" w:hAnsi="Book Antiqua" w:cs="Book Antiqua"/>
          <w:color w:val="000000"/>
        </w:rPr>
        <w:t xml:space="preserve"> AG, Hangzhou, China).</w:t>
      </w:r>
    </w:p>
    <w:p w14:paraId="1A84034C" w14:textId="77777777" w:rsidR="00A77B3E" w:rsidRDefault="00A77B3E">
      <w:pPr>
        <w:spacing w:line="360" w:lineRule="auto"/>
        <w:jc w:val="both"/>
      </w:pPr>
    </w:p>
    <w:p w14:paraId="557F4B15" w14:textId="77777777" w:rsidR="00A77B3E" w:rsidRPr="00456653" w:rsidRDefault="000315DE">
      <w:pPr>
        <w:spacing w:line="360" w:lineRule="auto"/>
        <w:jc w:val="both"/>
        <w:rPr>
          <w:i/>
          <w:iCs/>
        </w:rPr>
      </w:pPr>
      <w:r w:rsidRPr="00456653">
        <w:rPr>
          <w:rFonts w:ascii="Book Antiqua" w:eastAsia="Book Antiqua" w:hAnsi="Book Antiqua" w:cs="Book Antiqua"/>
          <w:b/>
          <w:bCs/>
          <w:i/>
          <w:iCs/>
          <w:color w:val="000000"/>
        </w:rPr>
        <w:t>CAP and LSM by TE</w:t>
      </w:r>
    </w:p>
    <w:p w14:paraId="0F70419E" w14:textId="3EF5AC19" w:rsidR="00A77B3E" w:rsidRDefault="000315DE">
      <w:pPr>
        <w:spacing w:line="360" w:lineRule="auto"/>
        <w:jc w:val="both"/>
      </w:pPr>
      <w:r>
        <w:rPr>
          <w:rFonts w:ascii="Book Antiqua" w:eastAsia="Book Antiqua" w:hAnsi="Book Antiqua" w:cs="Book Antiqua"/>
          <w:color w:val="000000"/>
        </w:rPr>
        <w:t xml:space="preserve">TE measured with </w:t>
      </w: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device and an M probe ultrasound transducer (</w:t>
      </w:r>
      <w:proofErr w:type="spellStart"/>
      <w:r>
        <w:rPr>
          <w:rFonts w:ascii="Book Antiqua" w:eastAsia="Book Antiqua" w:hAnsi="Book Antiqua" w:cs="Book Antiqua"/>
          <w:color w:val="000000"/>
        </w:rPr>
        <w:t>Echosens</w:t>
      </w:r>
      <w:proofErr w:type="spellEnd"/>
      <w:r>
        <w:rPr>
          <w:rFonts w:ascii="Book Antiqua" w:eastAsia="Book Antiqua" w:hAnsi="Book Antiqua" w:cs="Book Antiqua"/>
          <w:color w:val="000000"/>
        </w:rPr>
        <w:t>, Paris, France) was performed in all patients who underwent liver biopsy on the same day. Subjects were placed in the supine position with the right arm in maximal abduction, and meas</w:t>
      </w:r>
      <w:r>
        <w:rPr>
          <w:rFonts w:ascii="Book Antiqua" w:eastAsia="Book Antiqua" w:hAnsi="Book Antiqua" w:cs="Book Antiqua"/>
          <w:color w:val="000000"/>
        </w:rPr>
        <w:t xml:space="preserve">urements were taken over the right hepatic lobe through an intercostal space. We obtained </w:t>
      </w:r>
      <w:r w:rsidR="00087C74">
        <w:rPr>
          <w:rFonts w:ascii="Book Antiqua" w:eastAsia="Book Antiqua" w:hAnsi="Book Antiqua" w:cs="Book Antiqua"/>
          <w:color w:val="000000"/>
        </w:rPr>
        <w:t xml:space="preserve">ten </w:t>
      </w:r>
      <w:r>
        <w:rPr>
          <w:rFonts w:ascii="Book Antiqua" w:eastAsia="Book Antiqua" w:hAnsi="Book Antiqua" w:cs="Book Antiqua"/>
          <w:color w:val="000000"/>
        </w:rPr>
        <w:t>valid C</w:t>
      </w:r>
      <w:r>
        <w:rPr>
          <w:rFonts w:ascii="Book Antiqua" w:eastAsia="Book Antiqua" w:hAnsi="Book Antiqua" w:cs="Book Antiqua"/>
          <w:color w:val="000000"/>
        </w:rPr>
        <w:t>AP and LSM measurements from each participant and considered LSM with an interquartile range ≤ 30% and a success rate ≥ 60% as reliable. The median CAP and LSM were taken as the estimates for hepatic steatosis and fibrosis, expressed in dB/m and kilopascals (</w:t>
      </w:r>
      <w:proofErr w:type="spellStart"/>
      <w:r>
        <w:rPr>
          <w:rFonts w:ascii="Book Antiqua" w:eastAsia="Book Antiqua" w:hAnsi="Book Antiqua" w:cs="Book Antiqua"/>
          <w:color w:val="000000"/>
        </w:rPr>
        <w:t>kPa</w:t>
      </w:r>
      <w:proofErr w:type="spellEnd"/>
      <w:r>
        <w:rPr>
          <w:rFonts w:ascii="Book Antiqua" w:eastAsia="Book Antiqua" w:hAnsi="Book Antiqua" w:cs="Book Antiqua"/>
          <w:color w:val="000000"/>
        </w:rPr>
        <w:t>), respectively.</w:t>
      </w:r>
    </w:p>
    <w:p w14:paraId="60920DD5" w14:textId="77777777" w:rsidR="00A77B3E" w:rsidRDefault="00A77B3E">
      <w:pPr>
        <w:spacing w:line="360" w:lineRule="auto"/>
        <w:jc w:val="both"/>
      </w:pPr>
    </w:p>
    <w:p w14:paraId="5E299080" w14:textId="77777777" w:rsidR="00A77B3E" w:rsidRPr="00706BF6" w:rsidRDefault="000315DE">
      <w:pPr>
        <w:spacing w:line="360" w:lineRule="auto"/>
        <w:jc w:val="both"/>
        <w:rPr>
          <w:i/>
          <w:iCs/>
        </w:rPr>
      </w:pPr>
      <w:r w:rsidRPr="00706BF6">
        <w:rPr>
          <w:rFonts w:ascii="Book Antiqua" w:eastAsia="Book Antiqua" w:hAnsi="Book Antiqua" w:cs="Book Antiqua"/>
          <w:b/>
          <w:bCs/>
          <w:i/>
          <w:iCs/>
          <w:color w:val="000000"/>
        </w:rPr>
        <w:t>Statistical analysis</w:t>
      </w:r>
    </w:p>
    <w:p w14:paraId="7B995C75" w14:textId="2D5D3E67" w:rsidR="00A77B3E" w:rsidRDefault="000315DE">
      <w:pPr>
        <w:spacing w:line="360" w:lineRule="auto"/>
        <w:jc w:val="both"/>
      </w:pPr>
      <w:r>
        <w:rPr>
          <w:rFonts w:ascii="Book Antiqua" w:eastAsia="Book Antiqua" w:hAnsi="Book Antiqua" w:cs="Book Antiqua"/>
          <w:color w:val="000000"/>
        </w:rPr>
        <w:t xml:space="preserve">Data were analyzed using SPSS software version 22.0 (SPSS </w:t>
      </w:r>
      <w:proofErr w:type="spellStart"/>
      <w:r>
        <w:rPr>
          <w:rFonts w:ascii="Book Antiqua" w:eastAsia="Book Antiqua" w:hAnsi="Book Antiqua" w:cs="Book Antiqua"/>
          <w:color w:val="000000"/>
        </w:rPr>
        <w:t>Inc</w:t>
      </w:r>
      <w:proofErr w:type="spellEnd"/>
      <w:r>
        <w:rPr>
          <w:rFonts w:ascii="Book Antiqua" w:eastAsia="Book Antiqua" w:hAnsi="Book Antiqua" w:cs="Book Antiqua"/>
          <w:color w:val="000000"/>
        </w:rPr>
        <w:t>, Chicago, IL, United States). Summa</w:t>
      </w:r>
      <w:r>
        <w:rPr>
          <w:rFonts w:ascii="Book Antiqua" w:eastAsia="Book Antiqua" w:hAnsi="Book Antiqua" w:cs="Book Antiqua"/>
          <w:color w:val="000000"/>
        </w:rPr>
        <w:t xml:space="preserve">ry data </w:t>
      </w:r>
      <w:r w:rsidR="00087C74">
        <w:rPr>
          <w:rFonts w:ascii="Book Antiqua" w:eastAsia="Book Antiqua" w:hAnsi="Book Antiqua" w:cs="Book Antiqua"/>
          <w:color w:val="000000"/>
        </w:rPr>
        <w:t xml:space="preserve">are </w:t>
      </w:r>
      <w:r>
        <w:rPr>
          <w:rFonts w:ascii="Book Antiqua" w:eastAsia="Book Antiqua" w:hAnsi="Book Antiqua" w:cs="Book Antiqua"/>
          <w:color w:val="000000"/>
        </w:rPr>
        <w:t xml:space="preserve">reported as the mean ± SD or median </w:t>
      </w:r>
      <w:r w:rsidR="00706BF6">
        <w:rPr>
          <w:rFonts w:ascii="Book Antiqua" w:eastAsia="Book Antiqua" w:hAnsi="Book Antiqua" w:cs="Book Antiqua"/>
          <w:color w:val="000000"/>
        </w:rPr>
        <w:t>(</w:t>
      </w:r>
      <w:r>
        <w:rPr>
          <w:rFonts w:ascii="Book Antiqua" w:eastAsia="Book Antiqua" w:hAnsi="Book Antiqua" w:cs="Book Antiqua"/>
          <w:color w:val="000000"/>
        </w:rPr>
        <w:t>interquartile range</w:t>
      </w:r>
      <w:r w:rsidR="00706BF6">
        <w:rPr>
          <w:rFonts w:ascii="Book Antiqua" w:eastAsia="Book Antiqua" w:hAnsi="Book Antiqua" w:cs="Book Antiqua"/>
          <w:color w:val="000000"/>
        </w:rPr>
        <w:t>)</w:t>
      </w:r>
      <w:r>
        <w:rPr>
          <w:rFonts w:ascii="Book Antiqua" w:eastAsia="Book Antiqua" w:hAnsi="Book Antiqua" w:cs="Book Antiqua"/>
          <w:color w:val="000000"/>
        </w:rPr>
        <w:t xml:space="preserve"> according to distribution. Quantitative variables were compared using independent samples Student’s </w:t>
      </w:r>
      <w:r w:rsidRPr="00706BF6">
        <w:rPr>
          <w:rFonts w:ascii="Book Antiqua" w:eastAsia="Book Antiqua" w:hAnsi="Book Antiqua" w:cs="Book Antiqua"/>
          <w:i/>
          <w:iCs/>
          <w:color w:val="000000"/>
        </w:rPr>
        <w:t>t</w:t>
      </w:r>
      <w:r>
        <w:rPr>
          <w:rFonts w:ascii="Book Antiqua" w:eastAsia="Book Antiqua" w:hAnsi="Book Antiqua" w:cs="Book Antiqua"/>
          <w:color w:val="000000"/>
        </w:rPr>
        <w:t>-test or one-way analysis of variance when appropriate. Spearman’s rank correlation test was used to explore the correlation between CAP and hepatic steatosis grade. The diagnostic accuracy of CAP for the prediction of hepatic steatosis grade was calculated using a receiver operator characteristic (ROC) curve. Optimal CAP cut-off values for each steatosis stage were determined based on the highest combined sensitivity and specificity (</w:t>
      </w:r>
      <w:proofErr w:type="spellStart"/>
      <w:r>
        <w:rPr>
          <w:rFonts w:ascii="Book Antiqua" w:eastAsia="Book Antiqua" w:hAnsi="Book Antiqua" w:cs="Book Antiqua"/>
          <w:color w:val="000000"/>
        </w:rPr>
        <w:t>Youden</w:t>
      </w:r>
      <w:proofErr w:type="spellEnd"/>
      <w:r>
        <w:rPr>
          <w:rFonts w:ascii="Book Antiqua" w:eastAsia="Book Antiqua" w:hAnsi="Book Antiqua" w:cs="Book Antiqua"/>
          <w:color w:val="000000"/>
        </w:rPr>
        <w:t xml:space="preserve"> index). The area under the ROC curve (AUROC), sensitivity, specificity, positive predictive value, and negative predictive value</w:t>
      </w:r>
      <w:r w:rsidR="00706BF6">
        <w:rPr>
          <w:rFonts w:ascii="Book Antiqua" w:eastAsia="Book Antiqua" w:hAnsi="Book Antiqua" w:cs="Book Antiqua"/>
          <w:color w:val="000000"/>
        </w:rPr>
        <w:t xml:space="preserve"> </w:t>
      </w:r>
      <w:r>
        <w:rPr>
          <w:rFonts w:ascii="Book Antiqua" w:eastAsia="Book Antiqua" w:hAnsi="Book Antiqua" w:cs="Book Antiqua"/>
          <w:color w:val="000000"/>
        </w:rPr>
        <w:t xml:space="preserve">for the predefined cut-off values were calculated. A </w:t>
      </w:r>
      <w:r>
        <w:rPr>
          <w:rFonts w:ascii="Book Antiqua" w:eastAsia="Book Antiqua" w:hAnsi="Book Antiqua" w:cs="Book Antiqua"/>
          <w:i/>
          <w:iCs/>
          <w:color w:val="000000"/>
        </w:rPr>
        <w:t>P</w:t>
      </w:r>
      <w:r w:rsidR="00706BF6">
        <w:rPr>
          <w:rFonts w:ascii="Book Antiqua" w:eastAsia="Book Antiqua" w:hAnsi="Book Antiqua" w:cs="Book Antiqua"/>
          <w:color w:val="000000"/>
        </w:rPr>
        <w:t xml:space="preserve"> </w:t>
      </w:r>
      <w:r>
        <w:rPr>
          <w:rFonts w:ascii="Book Antiqua" w:eastAsia="Book Antiqua" w:hAnsi="Book Antiqua" w:cs="Book Antiqua"/>
          <w:color w:val="000000"/>
        </w:rPr>
        <w:t xml:space="preserve">value </w:t>
      </w:r>
      <w:r>
        <w:rPr>
          <w:rFonts w:ascii="Book Antiqua" w:eastAsia="Book Antiqua" w:hAnsi="Book Antiqua" w:cs="Book Antiqua"/>
          <w:color w:val="000000"/>
        </w:rPr>
        <w:t>&lt; 0.05 was considered statistically significant.</w:t>
      </w:r>
    </w:p>
    <w:p w14:paraId="457CEC2A" w14:textId="77777777" w:rsidR="00A77B3E" w:rsidRDefault="00A77B3E">
      <w:pPr>
        <w:spacing w:line="360" w:lineRule="auto"/>
        <w:jc w:val="both"/>
      </w:pPr>
    </w:p>
    <w:p w14:paraId="647CE43E" w14:textId="77777777" w:rsidR="00A77B3E" w:rsidRDefault="000315DE">
      <w:pPr>
        <w:spacing w:line="360" w:lineRule="auto"/>
        <w:jc w:val="both"/>
      </w:pPr>
      <w:r>
        <w:rPr>
          <w:rFonts w:ascii="Book Antiqua" w:eastAsia="Book Antiqua" w:hAnsi="Book Antiqua" w:cs="Book Antiqua"/>
          <w:b/>
          <w:caps/>
          <w:color w:val="000000"/>
          <w:u w:val="single"/>
        </w:rPr>
        <w:t>RESULTS</w:t>
      </w:r>
    </w:p>
    <w:p w14:paraId="264D0853" w14:textId="77777777" w:rsidR="00A77B3E" w:rsidRPr="00706BF6" w:rsidRDefault="000315DE">
      <w:pPr>
        <w:spacing w:line="360" w:lineRule="auto"/>
        <w:jc w:val="both"/>
        <w:rPr>
          <w:i/>
          <w:iCs/>
        </w:rPr>
      </w:pPr>
      <w:r w:rsidRPr="00706BF6">
        <w:rPr>
          <w:rFonts w:ascii="Book Antiqua" w:eastAsia="Book Antiqua" w:hAnsi="Book Antiqua" w:cs="Book Antiqua"/>
          <w:b/>
          <w:bCs/>
          <w:i/>
          <w:iCs/>
          <w:color w:val="000000"/>
        </w:rPr>
        <w:t>Characteristics of the patients</w:t>
      </w:r>
    </w:p>
    <w:p w14:paraId="74451DE8" w14:textId="77B7A80A" w:rsidR="00A77B3E" w:rsidRDefault="000315DE">
      <w:pPr>
        <w:spacing w:line="360" w:lineRule="auto"/>
        <w:jc w:val="both"/>
      </w:pPr>
      <w:r>
        <w:rPr>
          <w:rFonts w:ascii="Book Antiqua" w:eastAsia="Book Antiqua" w:hAnsi="Book Antiqua" w:cs="Book Antiqua"/>
          <w:color w:val="000000"/>
        </w:rPr>
        <w:lastRenderedPageBreak/>
        <w:t>In 800 patients with liver biopsy, a total of 190 patients were finally included in the study according to the existence of various grades of hepatic steatosis in liver histology, with a mean age of 46.36</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12.82 years, including 45 males (23.68%) and 145 females (76.32%). Among thes</w:t>
      </w:r>
      <w:r>
        <w:rPr>
          <w:rFonts w:ascii="Book Antiqua" w:eastAsia="Book Antiqua" w:hAnsi="Book Antiqua" w:cs="Book Antiqua"/>
          <w:color w:val="000000"/>
        </w:rPr>
        <w:t>e patients, 69</w:t>
      </w:r>
      <w:r w:rsidR="00087C74">
        <w:rPr>
          <w:rFonts w:ascii="Book Antiqua" w:eastAsia="Book Antiqua" w:hAnsi="Book Antiqua" w:cs="Book Antiqua"/>
          <w:color w:val="000000"/>
        </w:rPr>
        <w:t xml:space="preserve"> </w:t>
      </w:r>
      <w:r>
        <w:rPr>
          <w:rFonts w:ascii="Book Antiqua" w:eastAsia="Book Antiqua" w:hAnsi="Book Antiqua" w:cs="Book Antiqua"/>
          <w:color w:val="000000"/>
        </w:rPr>
        <w:t>were diagnosed with AIH, 18</w:t>
      </w:r>
      <w:r w:rsidR="00087C74">
        <w:rPr>
          <w:rFonts w:ascii="Book Antiqua" w:eastAsia="Book Antiqua" w:hAnsi="Book Antiqua" w:cs="Book Antiqua"/>
          <w:color w:val="000000"/>
        </w:rPr>
        <w:t xml:space="preserve"> </w:t>
      </w:r>
      <w:r>
        <w:rPr>
          <w:rFonts w:ascii="Book Antiqua" w:eastAsia="Book Antiqua" w:hAnsi="Book Antiqua" w:cs="Book Antiqua"/>
          <w:color w:val="000000"/>
        </w:rPr>
        <w:t>with PBC, 27 with AIH-PBC overlap syndrome, 66</w:t>
      </w:r>
      <w:r w:rsidR="00087C74">
        <w:rPr>
          <w:rFonts w:ascii="Book Antiqua" w:eastAsia="Book Antiqua" w:hAnsi="Book Antiqua" w:cs="Book Antiqua"/>
          <w:color w:val="000000"/>
        </w:rPr>
        <w:t xml:space="preserve"> </w:t>
      </w:r>
      <w:r>
        <w:rPr>
          <w:rFonts w:ascii="Book Antiqua" w:eastAsia="Book Antiqua" w:hAnsi="Book Antiqua" w:cs="Book Antiqua"/>
          <w:color w:val="000000"/>
        </w:rPr>
        <w:t>with NAFLD, and 10</w:t>
      </w:r>
      <w:r w:rsidR="00087C74">
        <w:rPr>
          <w:rFonts w:ascii="Book Antiqua" w:eastAsia="Book Antiqua" w:hAnsi="Book Antiqua" w:cs="Book Antiqua"/>
          <w:color w:val="000000"/>
        </w:rPr>
        <w:t xml:space="preserve"> </w:t>
      </w:r>
      <w:r>
        <w:rPr>
          <w:rFonts w:ascii="Book Antiqua" w:eastAsia="Book Antiqua" w:hAnsi="Book Antiqua" w:cs="Book Antiqua"/>
          <w:color w:val="000000"/>
        </w:rPr>
        <w:t>with other liver diseases. In all patients, the prevalence of autoantibodies, including ANA, AMA</w:t>
      </w:r>
      <w:r w:rsidR="00087C74">
        <w:rPr>
          <w:rFonts w:ascii="Book Antiqua" w:eastAsia="Book Antiqua" w:hAnsi="Book Antiqua" w:cs="Book Antiqua"/>
          <w:color w:val="000000"/>
        </w:rPr>
        <w:t>,</w:t>
      </w:r>
      <w:r>
        <w:rPr>
          <w:rFonts w:ascii="Book Antiqua" w:eastAsia="Book Antiqua" w:hAnsi="Book Antiqua" w:cs="Book Antiqua"/>
          <w:color w:val="000000"/>
        </w:rPr>
        <w:t xml:space="preserve"> and ASMA, was 70.53%. The average B</w:t>
      </w:r>
      <w:r>
        <w:rPr>
          <w:rFonts w:ascii="Book Antiqua" w:eastAsia="Book Antiqua" w:hAnsi="Book Antiqua" w:cs="Book Antiqua"/>
          <w:color w:val="000000"/>
        </w:rPr>
        <w:t>MI was 23.97 ± 2.69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A99519B" w14:textId="77777777" w:rsidR="00A77B3E" w:rsidRDefault="00A77B3E">
      <w:pPr>
        <w:spacing w:line="360" w:lineRule="auto"/>
        <w:jc w:val="both"/>
      </w:pPr>
    </w:p>
    <w:p w14:paraId="06DC78C2" w14:textId="77777777" w:rsidR="00A77B3E" w:rsidRPr="00706BF6" w:rsidRDefault="000315DE">
      <w:pPr>
        <w:spacing w:line="360" w:lineRule="auto"/>
        <w:jc w:val="both"/>
        <w:rPr>
          <w:i/>
          <w:iCs/>
        </w:rPr>
      </w:pPr>
      <w:r w:rsidRPr="00706BF6">
        <w:rPr>
          <w:rFonts w:ascii="Book Antiqua" w:eastAsia="Book Antiqua" w:hAnsi="Book Antiqua" w:cs="Book Antiqua"/>
          <w:b/>
          <w:bCs/>
          <w:i/>
          <w:iCs/>
          <w:color w:val="000000"/>
        </w:rPr>
        <w:t>Diagnostic accuracy of CAP to grade hepatic steatosis in patients with mixed etiology liver disease</w:t>
      </w:r>
    </w:p>
    <w:p w14:paraId="53116EF6" w14:textId="5BB66FC8" w:rsidR="00A77B3E" w:rsidRDefault="000315DE">
      <w:pPr>
        <w:spacing w:line="360" w:lineRule="auto"/>
        <w:jc w:val="both"/>
      </w:pPr>
      <w:r>
        <w:rPr>
          <w:rFonts w:ascii="Book Antiqua" w:eastAsia="Book Antiqua" w:hAnsi="Book Antiqua" w:cs="Book Antiqua"/>
          <w:color w:val="000000"/>
        </w:rPr>
        <w:t>In all 190 patients, the median CAP score was 270.17</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54.52 dB/m, and the median LSM score was 7.66</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 xml:space="preserve">5.57 </w:t>
      </w:r>
      <w:proofErr w:type="spellStart"/>
      <w:r>
        <w:rPr>
          <w:rFonts w:ascii="Book Antiqua" w:eastAsia="Book Antiqua" w:hAnsi="Book Antiqua" w:cs="Book Antiqua"/>
          <w:color w:val="000000"/>
        </w:rPr>
        <w:t>kPa</w:t>
      </w:r>
      <w:proofErr w:type="spellEnd"/>
      <w:r>
        <w:rPr>
          <w:rFonts w:ascii="Book Antiqua" w:eastAsia="Book Antiqua" w:hAnsi="Book Antiqua" w:cs="Book Antiqua"/>
          <w:color w:val="000000"/>
        </w:rPr>
        <w:t xml:space="preserve"> (Table 1). The distribution of the CAP value for each steatosis grade in all patients with mixed etiology </w:t>
      </w:r>
      <w:r>
        <w:rPr>
          <w:rFonts w:ascii="Book Antiqua" w:eastAsia="Book Antiqua" w:hAnsi="Book Antiqua" w:cs="Book Antiqua"/>
          <w:color w:val="000000"/>
        </w:rPr>
        <w:t xml:space="preserve">liver disease </w:t>
      </w:r>
      <w:r w:rsidR="00087C74">
        <w:rPr>
          <w:rFonts w:ascii="Book Antiqua" w:eastAsia="Book Antiqua" w:hAnsi="Book Antiqua" w:cs="Book Antiqua"/>
          <w:color w:val="000000"/>
        </w:rPr>
        <w:t xml:space="preserve">is </w:t>
      </w:r>
      <w:r>
        <w:rPr>
          <w:rFonts w:ascii="Book Antiqua" w:eastAsia="Book Antiqua" w:hAnsi="Book Antiqua" w:cs="Book Antiqua"/>
          <w:color w:val="000000"/>
        </w:rPr>
        <w:t>as follows. Th</w:t>
      </w:r>
      <w:r>
        <w:rPr>
          <w:rFonts w:ascii="Book Antiqua" w:eastAsia="Book Antiqua" w:hAnsi="Book Antiqua" w:cs="Book Antiqua"/>
          <w:color w:val="000000"/>
        </w:rPr>
        <w:t>e median CAP score was 201.6</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46.78 dB/m for S0, 260.5</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47.92 dB/m for S1, 293.6</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40.13 dB/m for S2, and 307.4</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45.31 dB/m for S3. The CAP value was significantly related to hepatic steatosis grade (</w:t>
      </w:r>
      <w:r w:rsidR="00467310" w:rsidRPr="00467310">
        <w:rPr>
          <w:rFonts w:ascii="Book Antiqua" w:eastAsia="Book Antiqua" w:hAnsi="Book Antiqua" w:cs="Book Antiqua"/>
          <w:i/>
          <w:iCs/>
          <w:color w:val="000000"/>
        </w:rPr>
        <w:t>ρ</w:t>
      </w:r>
      <w:r w:rsidR="00467310">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 xml:space="preserve">0.549, </w:t>
      </w:r>
      <w:r>
        <w:rPr>
          <w:rFonts w:ascii="Book Antiqua" w:eastAsia="Book Antiqua" w:hAnsi="Book Antiqua" w:cs="Book Antiqua"/>
          <w:i/>
          <w:iCs/>
          <w:color w:val="000000"/>
        </w:rPr>
        <w:t>P</w:t>
      </w:r>
      <w:r w:rsidR="00706BF6">
        <w:rPr>
          <w:rFonts w:ascii="Book Antiqua" w:eastAsia="Book Antiqua" w:hAnsi="Book Antiqua" w:cs="Book Antiqua"/>
          <w:i/>
          <w:iCs/>
          <w:color w:val="000000"/>
        </w:rPr>
        <w:t xml:space="preserve"> </w:t>
      </w:r>
      <w:r>
        <w:rPr>
          <w:rFonts w:ascii="Book Antiqua" w:eastAsia="Book Antiqua" w:hAnsi="Book Antiqua" w:cs="Book Antiqua"/>
          <w:color w:val="000000"/>
        </w:rPr>
        <w:t>&lt; 0.001) (Figure 1A).</w:t>
      </w:r>
    </w:p>
    <w:p w14:paraId="5EDAADF4" w14:textId="7C94952D" w:rsidR="00A77B3E" w:rsidRDefault="000315DE" w:rsidP="00706BF6">
      <w:pPr>
        <w:spacing w:line="360" w:lineRule="auto"/>
        <w:ind w:firstLineChars="100" w:firstLine="240"/>
        <w:jc w:val="both"/>
      </w:pPr>
      <w:r>
        <w:rPr>
          <w:rFonts w:ascii="Book Antiqua" w:eastAsia="Book Antiqua" w:hAnsi="Book Antiqua" w:cs="Book Antiqua"/>
          <w:color w:val="000000"/>
        </w:rPr>
        <w:t>The AUROCs of CAP for the diagnosis of steatosis were 0.883 (0.807-0.958) for S1, 0.772 (0.705-0.838) for S2, and 0.732 (0.640-0.824) for S3 (Figure 1B-D</w:t>
      </w:r>
      <w:r w:rsidR="00706BF6">
        <w:rPr>
          <w:rFonts w:ascii="Book Antiqua" w:eastAsia="Book Antiqua" w:hAnsi="Book Antiqua" w:cs="Book Antiqua"/>
          <w:color w:val="000000"/>
        </w:rPr>
        <w:t xml:space="preserve"> and</w:t>
      </w:r>
      <w:r>
        <w:rPr>
          <w:rFonts w:ascii="Book Antiqua" w:eastAsia="Book Antiqua" w:hAnsi="Book Antiqua" w:cs="Book Antiqua"/>
          <w:color w:val="000000"/>
        </w:rPr>
        <w:t xml:space="preserve"> Table 2). The optimal cut-off values of CAP for steatosis grades were 229 dB/m for S ≥ 1, 259 dB/m for S ≥ 2, and 283.5 dB/m for S3 with the highest combined sensitivity and specificity (Table 2).</w:t>
      </w:r>
    </w:p>
    <w:p w14:paraId="06505AA3" w14:textId="77777777" w:rsidR="00A77B3E" w:rsidRDefault="00A77B3E">
      <w:pPr>
        <w:spacing w:line="360" w:lineRule="auto"/>
        <w:jc w:val="both"/>
      </w:pPr>
    </w:p>
    <w:p w14:paraId="53B1CF65" w14:textId="77777777" w:rsidR="00A77B3E" w:rsidRPr="00706BF6" w:rsidRDefault="000315DE">
      <w:pPr>
        <w:spacing w:line="360" w:lineRule="auto"/>
        <w:jc w:val="both"/>
        <w:rPr>
          <w:i/>
          <w:iCs/>
        </w:rPr>
      </w:pPr>
      <w:r w:rsidRPr="00706BF6">
        <w:rPr>
          <w:rFonts w:ascii="Book Antiqua" w:eastAsia="Book Antiqua" w:hAnsi="Book Antiqua" w:cs="Book Antiqua"/>
          <w:b/>
          <w:bCs/>
          <w:i/>
          <w:iCs/>
          <w:color w:val="000000"/>
        </w:rPr>
        <w:t>Diagnostic accuracy of CAP for grading hepatic steatosis in AILDs</w:t>
      </w:r>
    </w:p>
    <w:p w14:paraId="676E27A9" w14:textId="3E31BF4D" w:rsidR="00A77B3E" w:rsidRDefault="000315DE">
      <w:pPr>
        <w:spacing w:line="360" w:lineRule="auto"/>
        <w:jc w:val="both"/>
      </w:pPr>
      <w:r>
        <w:rPr>
          <w:rFonts w:ascii="Book Antiqua" w:eastAsia="Book Antiqua" w:hAnsi="Book Antiqua" w:cs="Book Antiqua"/>
          <w:color w:val="000000"/>
        </w:rPr>
        <w:t>Next, we further assessed the performance of CAP for evaluating hepatic steatosis in AILDs. The median CAP score for each steatosis grade in AILDs was very similar to that in all patients. The CAP value was also significantly related to hepatic steatosis grade (</w:t>
      </w:r>
      <w:r w:rsidR="00543A9D" w:rsidRPr="00467310">
        <w:rPr>
          <w:rFonts w:ascii="Book Antiqua" w:eastAsia="Book Antiqua" w:hAnsi="Book Antiqua" w:cs="Book Antiqua"/>
          <w:i/>
          <w:iCs/>
          <w:color w:val="000000"/>
        </w:rPr>
        <w:t>ρ</w:t>
      </w:r>
      <w:r w:rsidR="00543A9D">
        <w:rPr>
          <w:rFonts w:ascii="Book Antiqua" w:eastAsia="Book Antiqua" w:hAnsi="Book Antiqua" w:cs="Book Antiqua"/>
          <w:color w:val="000000"/>
        </w:rPr>
        <w:t xml:space="preserve"> </w:t>
      </w:r>
      <w:r>
        <w:rPr>
          <w:rFonts w:ascii="Book Antiqua" w:eastAsia="Book Antiqua" w:hAnsi="Book Antiqua" w:cs="Book Antiqua"/>
          <w:color w:val="000000"/>
        </w:rPr>
        <w:t xml:space="preserve">= 0.553, </w:t>
      </w:r>
      <w:r>
        <w:rPr>
          <w:rFonts w:ascii="Book Antiqua" w:eastAsia="Book Antiqua" w:hAnsi="Book Antiqua" w:cs="Book Antiqua"/>
          <w:i/>
          <w:iCs/>
          <w:color w:val="000000"/>
        </w:rPr>
        <w:t>P</w:t>
      </w:r>
      <w:r w:rsidR="00706BF6">
        <w:rPr>
          <w:rFonts w:ascii="Book Antiqua" w:eastAsia="Book Antiqua" w:hAnsi="Book Antiqua" w:cs="Book Antiqua"/>
          <w:i/>
          <w:iCs/>
          <w:color w:val="000000"/>
        </w:rPr>
        <w:t xml:space="preserve"> </w:t>
      </w:r>
      <w:r>
        <w:rPr>
          <w:rFonts w:ascii="Book Antiqua" w:eastAsia="Book Antiqua" w:hAnsi="Book Antiqua" w:cs="Book Antiqua"/>
          <w:color w:val="000000"/>
        </w:rPr>
        <w:t>&lt; 0.001) (Figure 2A). The AUROCs of CAP for the diagnosis of steatosis in AILDs were 0.878 (0.791-0.965) for S1, 0.764 (0.676-0.853) for S2, and 0.821 (0.716-0.926) for S3 (Figure 2D-F</w:t>
      </w:r>
      <w:r w:rsidR="00706BF6">
        <w:rPr>
          <w:rFonts w:ascii="Book Antiqua" w:eastAsia="Book Antiqua" w:hAnsi="Book Antiqua" w:cs="Book Antiqua"/>
          <w:color w:val="000000"/>
        </w:rPr>
        <w:t xml:space="preserve"> and</w:t>
      </w:r>
      <w:r>
        <w:rPr>
          <w:rFonts w:ascii="Book Antiqua" w:eastAsia="Book Antiqua" w:hAnsi="Book Antiqua" w:cs="Book Antiqua"/>
          <w:color w:val="000000"/>
        </w:rPr>
        <w:t xml:space="preserve"> Table 2). The optimal cut-off values of CAP for steatosis grades were 220.5 dB/m for S ≥ 1, 271.5 dB/m for S ≥ 2, and 283.5 dB/m for S3 (Table 2).</w:t>
      </w:r>
    </w:p>
    <w:p w14:paraId="07F473A9" w14:textId="16CB257A" w:rsidR="00A77B3E" w:rsidRDefault="000315DE" w:rsidP="00706BF6">
      <w:pPr>
        <w:spacing w:line="360" w:lineRule="auto"/>
        <w:ind w:firstLineChars="100" w:firstLine="240"/>
        <w:jc w:val="both"/>
      </w:pPr>
      <w:r>
        <w:rPr>
          <w:rFonts w:ascii="Book Antiqua" w:eastAsia="Book Antiqua" w:hAnsi="Book Antiqua" w:cs="Book Antiqua"/>
          <w:color w:val="000000"/>
        </w:rPr>
        <w:lastRenderedPageBreak/>
        <w:t>Considering the relatively high incidence and clinical significance of AIH, we focused on calculating the median CAP value for patients with AIH. Among 69 patients with AIH, the median CAP score was 205.63</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47.36 dB/m for S0, 258.41</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42.83 dB/m for S1, 293.00</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37.18 dB/m f</w:t>
      </w:r>
      <w:r>
        <w:rPr>
          <w:rFonts w:ascii="Book Antiqua" w:eastAsia="Book Antiqua" w:hAnsi="Book Antiqua" w:cs="Book Antiqua"/>
          <w:color w:val="000000"/>
        </w:rPr>
        <w:t>or S2</w:t>
      </w:r>
      <w:r w:rsidR="00087C74">
        <w:rPr>
          <w:rFonts w:ascii="Book Antiqua" w:eastAsia="Book Antiqua" w:hAnsi="Book Antiqua" w:cs="Book Antiqua"/>
          <w:color w:val="000000"/>
        </w:rPr>
        <w:t>,</w:t>
      </w:r>
      <w:r>
        <w:rPr>
          <w:rFonts w:ascii="Book Antiqua" w:eastAsia="Book Antiqua" w:hAnsi="Book Antiqua" w:cs="Book Antiqua"/>
          <w:color w:val="000000"/>
        </w:rPr>
        <w:t xml:space="preserve"> and 313.60</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27.89 dB/m for S3 (Figure 2B). Furthermore, there was no significant difference in the median CAP value between patients with AIH and NAFLD in each hepatic steatosis grade (Figure 2C).</w:t>
      </w:r>
    </w:p>
    <w:p w14:paraId="4805D823" w14:textId="77777777" w:rsidR="00A77B3E" w:rsidRDefault="00A77B3E">
      <w:pPr>
        <w:spacing w:line="360" w:lineRule="auto"/>
        <w:jc w:val="both"/>
      </w:pPr>
    </w:p>
    <w:p w14:paraId="234183F8" w14:textId="77777777" w:rsidR="00A77B3E" w:rsidRPr="00706BF6" w:rsidRDefault="000315DE">
      <w:pPr>
        <w:spacing w:line="360" w:lineRule="auto"/>
        <w:jc w:val="both"/>
        <w:rPr>
          <w:i/>
          <w:iCs/>
        </w:rPr>
      </w:pPr>
      <w:r w:rsidRPr="00706BF6">
        <w:rPr>
          <w:rFonts w:ascii="Book Antiqua" w:eastAsia="Book Antiqua" w:hAnsi="Book Antiqua" w:cs="Book Antiqua"/>
          <w:b/>
          <w:bCs/>
          <w:i/>
          <w:iCs/>
          <w:color w:val="000000"/>
        </w:rPr>
        <w:t>Factors affecting the performance of CAP</w:t>
      </w:r>
    </w:p>
    <w:p w14:paraId="23707EFD" w14:textId="5AD32ABC" w:rsidR="00A77B3E" w:rsidRDefault="000315DE">
      <w:pPr>
        <w:spacing w:line="360" w:lineRule="auto"/>
        <w:jc w:val="both"/>
      </w:pPr>
      <w:r>
        <w:rPr>
          <w:rFonts w:ascii="Book Antiqua" w:eastAsia="Book Antiqua" w:hAnsi="Book Antiqua" w:cs="Book Antiqua"/>
          <w:color w:val="000000"/>
        </w:rPr>
        <w:t>Univariate and multivariate analyses showed that the CAP value was significantly correlated with BMI and hepatic steatosis (</w:t>
      </w:r>
      <w:r>
        <w:rPr>
          <w:rFonts w:ascii="Book Antiqua" w:eastAsia="Book Antiqua" w:hAnsi="Book Antiqua" w:cs="Book Antiqua"/>
          <w:i/>
          <w:iCs/>
          <w:color w:val="000000"/>
        </w:rPr>
        <w:t>P</w:t>
      </w:r>
      <w:r w:rsidR="00706BF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P</w:t>
      </w:r>
      <w:r w:rsidR="00706BF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0.001). When patients were divided into three subgroups according to BMI &lt; 24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24-27 kg/</w:t>
      </w:r>
      <w:r w:rsidR="00087C74">
        <w:rPr>
          <w:rFonts w:ascii="Book Antiqua" w:eastAsia="Book Antiqua" w:hAnsi="Book Antiqua" w:cs="Book Antiqua"/>
          <w:color w:val="000000"/>
        </w:rPr>
        <w:t>m</w:t>
      </w:r>
      <w:r w:rsidR="00087C74">
        <w:rPr>
          <w:rFonts w:ascii="Book Antiqua" w:eastAsia="Book Antiqua" w:hAnsi="Book Antiqua" w:cs="Book Antiqua"/>
          <w:color w:val="000000"/>
          <w:szCs w:val="30"/>
          <w:vertAlign w:val="superscript"/>
        </w:rPr>
        <w:t>2</w:t>
      </w:r>
      <w:r w:rsidR="00087C74" w:rsidRPr="00620B8D">
        <w:rPr>
          <w:rFonts w:ascii="Book Antiqua" w:eastAsia="Book Antiqua" w:hAnsi="Book Antiqua" w:cs="Book Antiqua"/>
          <w:color w:val="000000"/>
          <w:szCs w:val="30"/>
        </w:rPr>
        <w:t>,</w:t>
      </w:r>
      <w:r w:rsidR="00087C74">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w:t>
      </w:r>
      <w:r>
        <w:rPr>
          <w:rFonts w:ascii="Book Antiqua" w:eastAsia="Book Antiqua" w:hAnsi="Book Antiqua" w:cs="Book Antiqua"/>
          <w:color w:val="000000"/>
        </w:rPr>
        <w:t>d BMI ≥ 27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patients with BMI ≥ 27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had a significantly higher CAP value than the other two groups (Figure 3). The performance of CAP was stable across fibrosis stages. In addition, traditional factors affecting the performance of LSM, such as bilirubin and serum ALT level, did not affect the performance of CAP (data not shown).</w:t>
      </w:r>
    </w:p>
    <w:p w14:paraId="2DC464BC" w14:textId="77777777" w:rsidR="00A77B3E" w:rsidRDefault="00A77B3E">
      <w:pPr>
        <w:spacing w:line="360" w:lineRule="auto"/>
        <w:jc w:val="both"/>
      </w:pPr>
    </w:p>
    <w:p w14:paraId="62595C4F" w14:textId="77777777" w:rsidR="00A77B3E" w:rsidRPr="00706BF6" w:rsidRDefault="000315DE">
      <w:pPr>
        <w:spacing w:line="360" w:lineRule="auto"/>
        <w:jc w:val="both"/>
        <w:rPr>
          <w:i/>
          <w:iCs/>
        </w:rPr>
      </w:pPr>
      <w:r w:rsidRPr="00706BF6">
        <w:rPr>
          <w:rFonts w:ascii="Book Antiqua" w:eastAsia="Book Antiqua" w:hAnsi="Book Antiqua" w:cs="Book Antiqua"/>
          <w:b/>
          <w:bCs/>
          <w:i/>
          <w:iCs/>
          <w:color w:val="000000"/>
        </w:rPr>
        <w:t>Comparative analysis of patients with AIH concomitant with NAFLD and patients with NAFLD with autoimmune phenomena</w:t>
      </w:r>
    </w:p>
    <w:p w14:paraId="19371EA4" w14:textId="77777777" w:rsidR="00A77B3E" w:rsidRDefault="000315DE">
      <w:pPr>
        <w:spacing w:line="360" w:lineRule="auto"/>
        <w:jc w:val="both"/>
      </w:pPr>
      <w:r>
        <w:rPr>
          <w:rFonts w:ascii="Book Antiqua" w:eastAsia="Book Antiqua" w:hAnsi="Book Antiqua" w:cs="Book Antiqua"/>
          <w:color w:val="000000"/>
        </w:rPr>
        <w:t>In this study, we defined patients with histologic evidence of both AIH and NAFLD as patients with AIH concomitant with NAFLD and patients with histologic evidence of NAFLD and positive autoantibodies or elevated IgG or IgM as patients with NAFLD with autoimmune phenomena.</w:t>
      </w:r>
    </w:p>
    <w:p w14:paraId="729F282E" w14:textId="77777777" w:rsidR="00A77B3E" w:rsidRDefault="000315DE" w:rsidP="00706BF6">
      <w:pPr>
        <w:spacing w:line="360" w:lineRule="auto"/>
        <w:ind w:firstLineChars="100" w:firstLine="240"/>
        <w:jc w:val="both"/>
      </w:pPr>
      <w:r>
        <w:rPr>
          <w:rFonts w:ascii="Book Antiqua" w:eastAsia="Book Antiqua" w:hAnsi="Book Antiqua" w:cs="Book Antiqua"/>
          <w:color w:val="000000"/>
        </w:rPr>
        <w:t>The results showed that patients with AIH concomitant with NAFLD were older and had higher IgG levels and LSM values than patients with NAFLD with autoimmune phenomena. In contrast, the GGT level and CAP value were higher in patients with NAFLD with autoimmune phenomena (Table 3). Interestingly, when we compared the LSM value in each steatosis grade of the two groups, patients with AIH concomitant with NAFLD were higher in both S1 and S3 grades, suggesting a potential diagnostic marker for patients with AIH concomitant with NAFLD.</w:t>
      </w:r>
    </w:p>
    <w:p w14:paraId="5ED56C2A" w14:textId="77777777" w:rsidR="00A77B3E" w:rsidRDefault="00A77B3E">
      <w:pPr>
        <w:spacing w:line="360" w:lineRule="auto"/>
        <w:jc w:val="both"/>
      </w:pPr>
    </w:p>
    <w:p w14:paraId="3CA3600C" w14:textId="77777777" w:rsidR="00A77B3E" w:rsidRDefault="000315DE">
      <w:pPr>
        <w:spacing w:line="360" w:lineRule="auto"/>
        <w:jc w:val="both"/>
      </w:pPr>
      <w:r>
        <w:rPr>
          <w:rFonts w:ascii="Book Antiqua" w:eastAsia="Book Antiqua" w:hAnsi="Book Antiqua" w:cs="Book Antiqua"/>
          <w:b/>
          <w:caps/>
          <w:color w:val="000000"/>
          <w:u w:val="single"/>
        </w:rPr>
        <w:t>DISCUSSION</w:t>
      </w:r>
    </w:p>
    <w:p w14:paraId="62A88F90" w14:textId="0B2128CB" w:rsidR="00A77B3E" w:rsidRDefault="000315DE">
      <w:pPr>
        <w:spacing w:line="360" w:lineRule="auto"/>
        <w:jc w:val="both"/>
      </w:pPr>
      <w:r>
        <w:rPr>
          <w:rFonts w:ascii="Book Antiqua" w:eastAsia="Book Antiqua" w:hAnsi="Book Antiqua" w:cs="Book Antiqua"/>
          <w:color w:val="000000"/>
        </w:rPr>
        <w:t xml:space="preserve">The prevalence of hepatic steatosis is rising in association with the global increase in obesity. The overall prevalence of NAFLD over the past two decades is 29.6%, up to 46.4% in heavy drinkers and 50%-80% in the obese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Close attention was paid to the potential interactions between chronic liver disease and hepatic steatosis with the growing NAFLD prevalence. However, the particular role of hepatic steatosis has been less of a focus of attention in AILDs than in other chronic liver diseases, partly due to the lack of proper evaluation tools. Herein, we demonstrated that CAP measured by TE could be used as a noninvasive diagnostic tool to evaluate hepatic steatosis effectively and accurately in patients with AILDs.</w:t>
      </w:r>
    </w:p>
    <w:p w14:paraId="77987408" w14:textId="77777777" w:rsidR="00A77B3E" w:rsidRDefault="000315DE" w:rsidP="00706BF6">
      <w:pPr>
        <w:spacing w:line="360" w:lineRule="auto"/>
        <w:ind w:firstLineChars="100" w:firstLine="240"/>
        <w:jc w:val="both"/>
      </w:pPr>
      <w:r>
        <w:rPr>
          <w:rFonts w:ascii="Book Antiqua" w:eastAsia="Book Antiqua" w:hAnsi="Book Antiqua" w:cs="Book Antiqua"/>
          <w:color w:val="000000"/>
        </w:rPr>
        <w:t>In this study, we confirmed that CAP correlated well with hepatic steatosis on histology, and we were able to establish cut-off values with high diagnostic accuracies. The cut-off values for each steatosis grade in patients with mixed etiology liver disease were similar to the previously proposed cut-off values in an individual patient data meta-analysis (229 dB/m for S ≥ 1, 258 dB/m for S ≥ 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However, the accuracy of CAP in separating steatosis grades 2 and 3 was suboptimal, which was similar to prior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Nevertheless, in clinical practice, the identification of moderate steatosis is of greater utility than distinctions between S2 and S3, and thus, the </w:t>
      </w:r>
      <w:proofErr w:type="spellStart"/>
      <w:r>
        <w:rPr>
          <w:rFonts w:ascii="Book Antiqua" w:eastAsia="Book Antiqua" w:hAnsi="Book Antiqua" w:cs="Book Antiqua"/>
          <w:color w:val="000000"/>
        </w:rPr>
        <w:t>Youden</w:t>
      </w:r>
      <w:proofErr w:type="spellEnd"/>
      <w:r>
        <w:rPr>
          <w:rFonts w:ascii="Book Antiqua" w:eastAsia="Book Antiqua" w:hAnsi="Book Antiqua" w:cs="Book Antiqua"/>
          <w:color w:val="000000"/>
        </w:rPr>
        <w:t xml:space="preserve"> cut-off for S2 of 258 dB/m is sufficient.</w:t>
      </w:r>
    </w:p>
    <w:p w14:paraId="2EA84640" w14:textId="56F30670" w:rsidR="00A77B3E" w:rsidRDefault="000315DE" w:rsidP="00706BF6">
      <w:pPr>
        <w:spacing w:line="360" w:lineRule="auto"/>
        <w:ind w:firstLineChars="100" w:firstLine="240"/>
        <w:jc w:val="both"/>
      </w:pPr>
      <w:r>
        <w:rPr>
          <w:rFonts w:ascii="Book Antiqua" w:eastAsia="Book Antiqua" w:hAnsi="Book Antiqua" w:cs="Book Antiqua"/>
          <w:color w:val="000000"/>
        </w:rPr>
        <w:t xml:space="preserve">Given the high risk of glycolipid metabolism disorder and increased possibility of hepatic steatosis in patients with AIH due to the long-term administration of immunosuppressive drugs such as glucocorticoids, the noninvasive method may be particularly suited for monitoring current hepatic histological changes and therapeutic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7,23]</w:t>
      </w:r>
      <w:r>
        <w:rPr>
          <w:rFonts w:ascii="Book Antiqua" w:eastAsia="Book Antiqua" w:hAnsi="Book Antiqua" w:cs="Book Antiqua"/>
          <w:color w:val="000000"/>
        </w:rPr>
        <w:t>. Here, we found that CAP was closely related to hepatic steatosis in patients with AILDs, as well as patients with AIH. Surprisingly, the performance of CAP for the diagnosis of hepatic steatosis grade in patients with AIH remained stable, which supported that CAP can be used as a noninvasive and reliable diagnostic method to monitor steatosis and disease course.</w:t>
      </w:r>
    </w:p>
    <w:p w14:paraId="089BDC18" w14:textId="6C0C0025" w:rsidR="00A77B3E" w:rsidRDefault="000315DE" w:rsidP="00706BF6">
      <w:pPr>
        <w:spacing w:line="360" w:lineRule="auto"/>
        <w:ind w:firstLineChars="100" w:firstLine="240"/>
        <w:jc w:val="both"/>
      </w:pPr>
      <w:r>
        <w:rPr>
          <w:rFonts w:ascii="Book Antiqua" w:eastAsia="Book Antiqua" w:hAnsi="Book Antiqua" w:cs="Book Antiqua"/>
          <w:color w:val="000000"/>
        </w:rPr>
        <w:lastRenderedPageBreak/>
        <w:t xml:space="preserve">Notably, we found a strong correlation between CAP and BMI, in agreement with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The skin capsular distance (SCD) has also been shown to be associated with increased CAP </w:t>
      </w:r>
      <w:proofErr w:type="gramStart"/>
      <w:r>
        <w:rPr>
          <w:rFonts w:ascii="Book Antiqua" w:eastAsia="Book Antiqua" w:hAnsi="Book Antiqua" w:cs="Book Antiqua"/>
          <w:color w:val="000000"/>
        </w:rPr>
        <w:t>values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Since BMI and SCD are both surrogate markers of adiposity, it is difficult to determine the mechanism underlying the association. However, we did not find a correlation between CAP and LSM as reported for patients with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5E574C33" w14:textId="77777777" w:rsidR="00A77B3E" w:rsidRDefault="000315DE" w:rsidP="00706BF6">
      <w:pPr>
        <w:spacing w:line="360" w:lineRule="auto"/>
        <w:ind w:firstLineChars="100" w:firstLine="240"/>
        <w:jc w:val="both"/>
      </w:pPr>
      <w:r>
        <w:rPr>
          <w:rFonts w:ascii="Book Antiqua" w:eastAsia="Book Antiqua" w:hAnsi="Book Antiqua" w:cs="Book Antiqua"/>
          <w:color w:val="000000"/>
        </w:rPr>
        <w:t>It is found in the clinic that elevated immunoglobulin and/or positive autoantibodies may occur during the progression of NAFLD, which we defined as “patients with NAFLD with autoimmune phenomena” here. On the other hand, patients with AIH can also have NAFLD, thereby affecting the diagnosis and treatment. In this study, we found that patients with AIH concomitant with NAFLD were older and had higher IgG levels and LSM values than patients with NAFLD with autoimmune phenomena, which could be related to the repeated and long-term course of AILDs. In contrast, the GGT level was higher in patients with NAFLD with autoimmune phenomena. Therefore, serum IgG and GGT levels and the LSM value can benefit the identification of these two kinds of patients.</w:t>
      </w:r>
    </w:p>
    <w:p w14:paraId="5613254E" w14:textId="721B5579" w:rsidR="00A77B3E" w:rsidRDefault="000315DE" w:rsidP="00706BF6">
      <w:pPr>
        <w:spacing w:line="360" w:lineRule="auto"/>
        <w:ind w:firstLineChars="100" w:firstLine="240"/>
        <w:jc w:val="both"/>
      </w:pPr>
      <w:r>
        <w:rPr>
          <w:rFonts w:ascii="Book Antiqua" w:eastAsia="Book Antiqua" w:hAnsi="Book Antiqua" w:cs="Book Antiqua"/>
          <w:color w:val="000000"/>
        </w:rPr>
        <w:t>T</w:t>
      </w:r>
      <w:r>
        <w:rPr>
          <w:rFonts w:ascii="Book Antiqua" w:eastAsia="Book Antiqua" w:hAnsi="Book Antiqua" w:cs="Book Antiqua"/>
          <w:color w:val="000000"/>
        </w:rPr>
        <w:t>here are</w:t>
      </w:r>
      <w:r w:rsidR="002C3B29">
        <w:rPr>
          <w:rFonts w:ascii="Book Antiqua" w:eastAsia="Book Antiqua" w:hAnsi="Book Antiqua" w:cs="Book Antiqua"/>
          <w:color w:val="000000"/>
        </w:rPr>
        <w:t xml:space="preserve"> </w:t>
      </w:r>
      <w:r>
        <w:rPr>
          <w:rFonts w:ascii="Book Antiqua" w:eastAsia="Book Antiqua" w:hAnsi="Book Antiqua" w:cs="Book Antiqua"/>
          <w:color w:val="000000"/>
        </w:rPr>
        <w:t>a few limita</w:t>
      </w:r>
      <w:r>
        <w:rPr>
          <w:rFonts w:ascii="Book Antiqua" w:eastAsia="Book Antiqua" w:hAnsi="Book Antiqua" w:cs="Book Antiqua"/>
          <w:color w:val="000000"/>
        </w:rPr>
        <w:t xml:space="preserve">tions in this study. First, our study is retrospective in nature due to the data collection despite the “blinded” analysis of histology. Second, the sample size is limited due to the low prevalence of AILDs, especially PBC and AIH-PBC overlap syndrome. Third, for historical reasons, CAP was measured only using the M probe. However, a recent multicenter prospective study has shown that there was no significant difference in diagnostic accuracy between the two probes to diagnose liver fibrosis and steatosis in patients with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378B06F1" w14:textId="77777777" w:rsidR="00A77B3E" w:rsidRDefault="00A77B3E">
      <w:pPr>
        <w:spacing w:line="360" w:lineRule="auto"/>
        <w:jc w:val="both"/>
      </w:pPr>
    </w:p>
    <w:p w14:paraId="6B960AB7" w14:textId="77777777" w:rsidR="00A77B3E" w:rsidRDefault="000315DE">
      <w:pPr>
        <w:spacing w:line="360" w:lineRule="auto"/>
        <w:jc w:val="both"/>
      </w:pPr>
      <w:r>
        <w:rPr>
          <w:rFonts w:ascii="Book Antiqua" w:eastAsia="Book Antiqua" w:hAnsi="Book Antiqua" w:cs="Book Antiqua"/>
          <w:b/>
          <w:caps/>
          <w:color w:val="000000"/>
          <w:u w:val="single"/>
        </w:rPr>
        <w:t>CONCLUSION</w:t>
      </w:r>
    </w:p>
    <w:p w14:paraId="7625ED09" w14:textId="1DAAECD5" w:rsidR="00A77B3E" w:rsidRDefault="000315DE">
      <w:pPr>
        <w:spacing w:line="360" w:lineRule="auto"/>
        <w:jc w:val="both"/>
      </w:pPr>
      <w:r>
        <w:rPr>
          <w:rFonts w:ascii="Book Antiqua" w:eastAsia="Book Antiqua" w:hAnsi="Book Antiqua" w:cs="Book Antiqua"/>
          <w:color w:val="000000"/>
        </w:rPr>
        <w:t>In summary, this study revealed that CAP could be used as a noninvasive diagnostic method to evaluate hepatic steatosis in patients with AILDs. Determination of LSM combined with CAP may help to identify patients with AIH concomitant with NAFLD f</w:t>
      </w:r>
      <w:r>
        <w:rPr>
          <w:rFonts w:ascii="Book Antiqua" w:eastAsia="Book Antiqua" w:hAnsi="Book Antiqua" w:cs="Book Antiqua"/>
          <w:color w:val="000000"/>
        </w:rPr>
        <w:t xml:space="preserve">rom </w:t>
      </w:r>
      <w:r w:rsidR="002C3B29">
        <w:rPr>
          <w:rFonts w:ascii="Book Antiqua" w:eastAsia="Book Antiqua" w:hAnsi="Book Antiqua" w:cs="Book Antiqua"/>
          <w:color w:val="000000"/>
        </w:rPr>
        <w:t xml:space="preserve">those </w:t>
      </w:r>
      <w:r>
        <w:rPr>
          <w:rFonts w:ascii="Book Antiqua" w:eastAsia="Book Antiqua" w:hAnsi="Book Antiqua" w:cs="Book Antiqua"/>
          <w:color w:val="000000"/>
        </w:rPr>
        <w:t>with NAF</w:t>
      </w:r>
      <w:r>
        <w:rPr>
          <w:rFonts w:ascii="Book Antiqua" w:eastAsia="Book Antiqua" w:hAnsi="Book Antiqua" w:cs="Book Antiqua"/>
          <w:color w:val="000000"/>
        </w:rPr>
        <w:t>LD with autoimmune phenomena.</w:t>
      </w:r>
    </w:p>
    <w:p w14:paraId="28037B77" w14:textId="77777777" w:rsidR="00A77B3E" w:rsidRDefault="00A77B3E">
      <w:pPr>
        <w:spacing w:line="360" w:lineRule="auto"/>
        <w:jc w:val="both"/>
      </w:pPr>
    </w:p>
    <w:p w14:paraId="28A44E30" w14:textId="77777777" w:rsidR="00A77B3E" w:rsidRDefault="000315DE">
      <w:pPr>
        <w:spacing w:line="360" w:lineRule="auto"/>
        <w:jc w:val="both"/>
      </w:pPr>
      <w:r>
        <w:rPr>
          <w:rFonts w:ascii="Book Antiqua" w:eastAsia="Book Antiqua" w:hAnsi="Book Antiqua" w:cs="Book Antiqua"/>
          <w:b/>
          <w:caps/>
          <w:color w:val="000000"/>
          <w:u w:val="single"/>
        </w:rPr>
        <w:lastRenderedPageBreak/>
        <w:t>ARTICLE HIGHLIGHTS</w:t>
      </w:r>
    </w:p>
    <w:p w14:paraId="425845A1" w14:textId="77777777" w:rsidR="00A77B3E" w:rsidRDefault="000315DE">
      <w:pPr>
        <w:spacing w:line="360" w:lineRule="auto"/>
        <w:jc w:val="both"/>
      </w:pPr>
      <w:r>
        <w:rPr>
          <w:rFonts w:ascii="Book Antiqua" w:eastAsia="Book Antiqua" w:hAnsi="Book Antiqua" w:cs="Book Antiqua"/>
          <w:b/>
          <w:i/>
          <w:color w:val="000000"/>
        </w:rPr>
        <w:t>Research background</w:t>
      </w:r>
    </w:p>
    <w:p w14:paraId="4F74022F" w14:textId="414C742E" w:rsidR="00A77B3E" w:rsidRDefault="000315DE">
      <w:pPr>
        <w:spacing w:line="360" w:lineRule="auto"/>
        <w:jc w:val="both"/>
      </w:pPr>
      <w:r>
        <w:rPr>
          <w:rFonts w:ascii="Book Antiqua" w:eastAsia="Book Antiqua" w:hAnsi="Book Antiqua" w:cs="Book Antiqua"/>
          <w:color w:val="000000"/>
        </w:rPr>
        <w:t>The controlled attenuation parameter (CAP) assesses hepatic steatosis with high diagnostic accuracies among several chr</w:t>
      </w:r>
      <w:r>
        <w:rPr>
          <w:rFonts w:ascii="Book Antiqua" w:eastAsia="Book Antiqua" w:hAnsi="Book Antiqua" w:cs="Book Antiqua"/>
          <w:color w:val="000000"/>
        </w:rPr>
        <w:t>onic liver disease</w:t>
      </w:r>
      <w:r w:rsidR="002C3B29">
        <w:rPr>
          <w:rFonts w:ascii="Book Antiqua" w:eastAsia="Book Antiqua" w:hAnsi="Book Antiqua" w:cs="Book Antiqua"/>
          <w:color w:val="000000"/>
        </w:rPr>
        <w:t>s</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However, it has</w:t>
      </w:r>
      <w:r w:rsidR="002C3B29">
        <w:rPr>
          <w:rFonts w:ascii="Book Antiqua" w:eastAsia="Book Antiqua" w:hAnsi="Book Antiqua" w:cs="Book Antiqua"/>
          <w:color w:val="000000"/>
        </w:rPr>
        <w:t xml:space="preserve"> </w:t>
      </w:r>
      <w:r>
        <w:rPr>
          <w:rFonts w:ascii="Book Antiqua" w:eastAsia="Book Antiqua" w:hAnsi="Book Antiqua" w:cs="Book Antiqua"/>
          <w:color w:val="000000"/>
        </w:rPr>
        <w:t>n</w:t>
      </w:r>
      <w:r w:rsidR="002C3B29">
        <w:rPr>
          <w:rFonts w:ascii="Book Antiqua" w:eastAsia="Book Antiqua" w:hAnsi="Book Antiqua" w:cs="Book Antiqua"/>
          <w:color w:val="000000"/>
        </w:rPr>
        <w:t>o</w:t>
      </w:r>
      <w:r>
        <w:rPr>
          <w:rFonts w:ascii="Book Antiqua" w:eastAsia="Book Antiqua" w:hAnsi="Book Antiqua" w:cs="Book Antiqua"/>
          <w:color w:val="000000"/>
        </w:rPr>
        <w:t>t been studied in patients with autoimmune liver diseases (AILDs).</w:t>
      </w:r>
    </w:p>
    <w:p w14:paraId="3084B6F7" w14:textId="77777777" w:rsidR="00A77B3E" w:rsidRDefault="00A77B3E">
      <w:pPr>
        <w:spacing w:line="360" w:lineRule="auto"/>
        <w:jc w:val="both"/>
      </w:pPr>
    </w:p>
    <w:p w14:paraId="6E6BFF2A" w14:textId="77777777" w:rsidR="00A77B3E" w:rsidRDefault="000315DE">
      <w:pPr>
        <w:spacing w:line="360" w:lineRule="auto"/>
        <w:jc w:val="both"/>
      </w:pPr>
      <w:r>
        <w:rPr>
          <w:rFonts w:ascii="Book Antiqua" w:eastAsia="Book Antiqua" w:hAnsi="Book Antiqua" w:cs="Book Antiqua"/>
          <w:b/>
          <w:i/>
          <w:color w:val="000000"/>
        </w:rPr>
        <w:t>Research motivation</w:t>
      </w:r>
    </w:p>
    <w:p w14:paraId="4028DB81" w14:textId="2D11E985" w:rsidR="00A77B3E" w:rsidRDefault="000315DE">
      <w:pPr>
        <w:spacing w:line="360" w:lineRule="auto"/>
        <w:jc w:val="both"/>
      </w:pPr>
      <w:r>
        <w:rPr>
          <w:rFonts w:ascii="Book Antiqua" w:eastAsia="Book Antiqua" w:hAnsi="Book Antiqua" w:cs="Book Antiqua"/>
          <w:color w:val="000000"/>
        </w:rPr>
        <w:t xml:space="preserve">This study </w:t>
      </w:r>
      <w:r w:rsidR="002C3B29">
        <w:rPr>
          <w:rFonts w:ascii="Book Antiqua" w:eastAsia="Book Antiqua" w:hAnsi="Book Antiqua" w:cs="Book Antiqua"/>
          <w:color w:val="000000"/>
        </w:rPr>
        <w:t xml:space="preserve">aimed </w:t>
      </w:r>
      <w:r>
        <w:rPr>
          <w:rFonts w:ascii="Book Antiqua" w:eastAsia="Book Antiqua" w:hAnsi="Book Antiqua" w:cs="Book Antiqua"/>
          <w:color w:val="000000"/>
        </w:rPr>
        <w:t>to investigate the performance of CAP for the diagnosis of hepatic steatosis in patients with AILDs.</w:t>
      </w:r>
    </w:p>
    <w:p w14:paraId="7A79B768" w14:textId="77777777" w:rsidR="00A77B3E" w:rsidRDefault="00A77B3E">
      <w:pPr>
        <w:spacing w:line="360" w:lineRule="auto"/>
        <w:jc w:val="both"/>
      </w:pPr>
    </w:p>
    <w:p w14:paraId="2A7DFEED" w14:textId="77777777" w:rsidR="00A77B3E" w:rsidRDefault="000315DE">
      <w:pPr>
        <w:spacing w:line="360" w:lineRule="auto"/>
        <w:jc w:val="both"/>
      </w:pPr>
      <w:r>
        <w:rPr>
          <w:rFonts w:ascii="Book Antiqua" w:eastAsia="Book Antiqua" w:hAnsi="Book Antiqua" w:cs="Book Antiqua"/>
          <w:b/>
          <w:i/>
          <w:color w:val="000000"/>
        </w:rPr>
        <w:t>Research objectives</w:t>
      </w:r>
    </w:p>
    <w:p w14:paraId="3EA9A489" w14:textId="77777777" w:rsidR="00A77B3E" w:rsidRDefault="000315DE">
      <w:pPr>
        <w:spacing w:line="360" w:lineRule="auto"/>
        <w:jc w:val="both"/>
      </w:pPr>
      <w:r>
        <w:rPr>
          <w:rFonts w:ascii="Book Antiqua" w:eastAsia="Book Antiqua" w:hAnsi="Book Antiqua" w:cs="Book Antiqua"/>
          <w:color w:val="000000"/>
        </w:rPr>
        <w:t>We evaluated the performance and usefulness of CAP for detection of hepatic steatosis in patients with AILDs.</w:t>
      </w:r>
    </w:p>
    <w:p w14:paraId="0D19FED4" w14:textId="77777777" w:rsidR="00A77B3E" w:rsidRDefault="00A77B3E">
      <w:pPr>
        <w:spacing w:line="360" w:lineRule="auto"/>
        <w:jc w:val="both"/>
      </w:pPr>
    </w:p>
    <w:p w14:paraId="3951C370" w14:textId="77777777" w:rsidR="00A77B3E" w:rsidRDefault="000315DE">
      <w:pPr>
        <w:spacing w:line="360" w:lineRule="auto"/>
        <w:jc w:val="both"/>
      </w:pPr>
      <w:r>
        <w:rPr>
          <w:rFonts w:ascii="Book Antiqua" w:eastAsia="Book Antiqua" w:hAnsi="Book Antiqua" w:cs="Book Antiqua"/>
          <w:b/>
          <w:i/>
          <w:color w:val="000000"/>
        </w:rPr>
        <w:t>Research methods</w:t>
      </w:r>
    </w:p>
    <w:p w14:paraId="10C370EA" w14:textId="62C2AC21" w:rsidR="00A77B3E" w:rsidRDefault="000315DE">
      <w:pPr>
        <w:spacing w:line="360" w:lineRule="auto"/>
        <w:jc w:val="both"/>
      </w:pPr>
      <w:r>
        <w:rPr>
          <w:rFonts w:ascii="Book Antiqua" w:eastAsia="Book Antiqua" w:hAnsi="Book Antiqua" w:cs="Book Antiqua"/>
          <w:color w:val="000000"/>
        </w:rPr>
        <w:t>The area under the receiver operating characteristic curve was used to evaluate the performance of CAP for diagnosing hepatic steatosis compared with biopsy. Optimal CAP cut-off values were determined based on the highest combined sensitivity and specificity.</w:t>
      </w:r>
    </w:p>
    <w:p w14:paraId="34CF7097" w14:textId="77777777" w:rsidR="00A77B3E" w:rsidRDefault="00A77B3E">
      <w:pPr>
        <w:spacing w:line="360" w:lineRule="auto"/>
        <w:jc w:val="both"/>
      </w:pPr>
    </w:p>
    <w:p w14:paraId="151F1172" w14:textId="77777777" w:rsidR="00A77B3E" w:rsidRDefault="000315DE">
      <w:pPr>
        <w:spacing w:line="360" w:lineRule="auto"/>
        <w:jc w:val="both"/>
      </w:pPr>
      <w:r>
        <w:rPr>
          <w:rFonts w:ascii="Book Antiqua" w:eastAsia="Book Antiqua" w:hAnsi="Book Antiqua" w:cs="Book Antiqua"/>
          <w:b/>
          <w:i/>
          <w:color w:val="000000"/>
        </w:rPr>
        <w:t>Research results</w:t>
      </w:r>
    </w:p>
    <w:p w14:paraId="63ED0BEB" w14:textId="77777777" w:rsidR="00A77B3E" w:rsidRDefault="000315DE">
      <w:pPr>
        <w:spacing w:line="360" w:lineRule="auto"/>
        <w:jc w:val="both"/>
      </w:pPr>
      <w:r>
        <w:rPr>
          <w:rFonts w:ascii="Book Antiqua" w:eastAsia="Book Antiqua" w:hAnsi="Book Antiqua" w:cs="Book Antiqua"/>
          <w:color w:val="000000"/>
        </w:rPr>
        <w:t>CAP can accurately detect hepatic steatosis as a noninvasive method in patients with AILDs. Compared with patients with nonalcoholic fatty liver disease (NAFLD) presenting with autoimmune markers, patients with autoimmune hepatitis (AIH) concomitant with NAFLD were much older and had higher serum IgG levels and liver stiffness measurement (LSM) values.</w:t>
      </w:r>
    </w:p>
    <w:p w14:paraId="17EF177B" w14:textId="77777777" w:rsidR="00A77B3E" w:rsidRDefault="00A77B3E">
      <w:pPr>
        <w:spacing w:line="360" w:lineRule="auto"/>
        <w:jc w:val="both"/>
      </w:pPr>
    </w:p>
    <w:p w14:paraId="4A648CBE" w14:textId="77777777" w:rsidR="00A77B3E" w:rsidRDefault="000315DE">
      <w:pPr>
        <w:spacing w:line="360" w:lineRule="auto"/>
        <w:jc w:val="both"/>
      </w:pPr>
      <w:r>
        <w:rPr>
          <w:rFonts w:ascii="Book Antiqua" w:eastAsia="Book Antiqua" w:hAnsi="Book Antiqua" w:cs="Book Antiqua"/>
          <w:b/>
          <w:i/>
          <w:color w:val="000000"/>
        </w:rPr>
        <w:t>Research conclusions</w:t>
      </w:r>
    </w:p>
    <w:p w14:paraId="0E7844AC" w14:textId="77777777" w:rsidR="00A77B3E" w:rsidRDefault="000315DE">
      <w:pPr>
        <w:spacing w:line="360" w:lineRule="auto"/>
        <w:jc w:val="both"/>
      </w:pPr>
      <w:r>
        <w:rPr>
          <w:rFonts w:ascii="Book Antiqua" w:eastAsia="Book Antiqua" w:hAnsi="Book Antiqua" w:cs="Book Antiqua"/>
          <w:color w:val="000000"/>
        </w:rPr>
        <w:lastRenderedPageBreak/>
        <w:t>CAP can be used as a noninvasive diagnostic method to evaluate hepatic steatosis in patients with AILDs. Determination of LSM combined with CAP may help to identify patients with AIH concomitant with NAFLD from patients with NAFLD with autoimmune phenomena.</w:t>
      </w:r>
    </w:p>
    <w:p w14:paraId="36EF2053" w14:textId="77777777" w:rsidR="00A77B3E" w:rsidRDefault="00A77B3E">
      <w:pPr>
        <w:spacing w:line="360" w:lineRule="auto"/>
        <w:jc w:val="both"/>
      </w:pPr>
    </w:p>
    <w:p w14:paraId="0EB7DF94" w14:textId="77777777" w:rsidR="00A77B3E" w:rsidRDefault="000315DE">
      <w:pPr>
        <w:spacing w:line="360" w:lineRule="auto"/>
        <w:jc w:val="both"/>
      </w:pPr>
      <w:r>
        <w:rPr>
          <w:rFonts w:ascii="Book Antiqua" w:eastAsia="Book Antiqua" w:hAnsi="Book Antiqua" w:cs="Book Antiqua"/>
          <w:b/>
          <w:i/>
          <w:color w:val="000000"/>
        </w:rPr>
        <w:t>Research perspectives</w:t>
      </w:r>
    </w:p>
    <w:p w14:paraId="3F08F8EC" w14:textId="44E8FE6A" w:rsidR="00A77B3E" w:rsidRDefault="000315DE">
      <w:pPr>
        <w:spacing w:line="360" w:lineRule="auto"/>
        <w:jc w:val="both"/>
      </w:pPr>
      <w:r>
        <w:rPr>
          <w:rFonts w:ascii="Book Antiqua" w:eastAsia="Book Antiqua" w:hAnsi="Book Antiqua" w:cs="Book Antiqua"/>
          <w:color w:val="000000"/>
        </w:rPr>
        <w:t xml:space="preserve">Larger </w:t>
      </w:r>
      <w:r w:rsidR="0009789F">
        <w:rPr>
          <w:rFonts w:ascii="Book Antiqua" w:eastAsia="Book Antiqua" w:hAnsi="Book Antiqua" w:cs="Book Antiqua"/>
          <w:color w:val="000000"/>
        </w:rPr>
        <w:t xml:space="preserve">multicenter </w:t>
      </w:r>
      <w:r>
        <w:rPr>
          <w:rFonts w:ascii="Book Antiqua" w:eastAsia="Book Antiqua" w:hAnsi="Book Antiqua" w:cs="Book Antiqua"/>
          <w:color w:val="000000"/>
        </w:rPr>
        <w:t>studies using both M and XL probes</w:t>
      </w:r>
      <w:r w:rsidR="0009789F">
        <w:rPr>
          <w:rFonts w:ascii="Book Antiqua" w:eastAsia="Book Antiqua" w:hAnsi="Book Antiqua" w:cs="Book Antiqua"/>
          <w:color w:val="000000"/>
        </w:rPr>
        <w:t xml:space="preserve"> </w:t>
      </w:r>
      <w:r>
        <w:rPr>
          <w:rFonts w:ascii="Book Antiqua" w:eastAsia="Book Antiqua" w:hAnsi="Book Antiqua" w:cs="Book Antiqua"/>
          <w:color w:val="000000"/>
        </w:rPr>
        <w:t xml:space="preserve">are needed to confirm </w:t>
      </w:r>
      <w:r w:rsidR="0009789F">
        <w:rPr>
          <w:rFonts w:ascii="Book Antiqua" w:eastAsia="Book Antiqua" w:hAnsi="Book Antiqua" w:cs="Book Antiqua"/>
          <w:color w:val="000000"/>
        </w:rPr>
        <w:t xml:space="preserve">our </w:t>
      </w:r>
      <w:r>
        <w:rPr>
          <w:rFonts w:ascii="Book Antiqua" w:eastAsia="Book Antiqua" w:hAnsi="Book Antiqua" w:cs="Book Antiqua"/>
          <w:color w:val="000000"/>
        </w:rPr>
        <w:t>results.</w:t>
      </w:r>
    </w:p>
    <w:p w14:paraId="56424C80" w14:textId="77777777" w:rsidR="00A77B3E" w:rsidRDefault="00A77B3E">
      <w:pPr>
        <w:spacing w:line="360" w:lineRule="auto"/>
        <w:jc w:val="both"/>
      </w:pPr>
    </w:p>
    <w:p w14:paraId="2E98EC95" w14:textId="77777777" w:rsidR="00A77B3E" w:rsidRDefault="000315DE">
      <w:pPr>
        <w:spacing w:line="360" w:lineRule="auto"/>
        <w:jc w:val="both"/>
      </w:pPr>
      <w:r>
        <w:rPr>
          <w:rFonts w:ascii="Book Antiqua" w:eastAsia="Book Antiqua" w:hAnsi="Book Antiqua" w:cs="Book Antiqua"/>
          <w:b/>
          <w:color w:val="000000"/>
        </w:rPr>
        <w:t>REFERENCES</w:t>
      </w:r>
    </w:p>
    <w:p w14:paraId="3BB8DCEE" w14:textId="0401F751" w:rsidR="00A77B3E" w:rsidRDefault="000315DE">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Yeh</w:t>
      </w:r>
      <w:proofErr w:type="spellEnd"/>
      <w:r>
        <w:rPr>
          <w:rFonts w:ascii="Book Antiqua" w:eastAsia="Book Antiqua" w:hAnsi="Book Antiqua" w:cs="Book Antiqua"/>
          <w:b/>
          <w:bCs/>
          <w:color w:val="000000"/>
        </w:rPr>
        <w:t xml:space="preserve"> MM</w:t>
      </w:r>
      <w:r w:rsidRPr="000F3E63">
        <w:rPr>
          <w:rFonts w:ascii="Book Antiqua" w:eastAsia="Book Antiqua" w:hAnsi="Book Antiqua" w:cs="Book Antiqua"/>
          <w:color w:val="000000"/>
        </w:rPr>
        <w:t xml:space="preserve">, </w:t>
      </w:r>
      <w:r>
        <w:rPr>
          <w:rFonts w:ascii="Book Antiqua" w:eastAsia="Book Antiqua" w:hAnsi="Book Antiqua" w:cs="Book Antiqua"/>
          <w:color w:val="000000"/>
        </w:rPr>
        <w:t xml:space="preserve">Brunt EM. </w:t>
      </w:r>
      <w:r w:rsidR="00BC6554" w:rsidRPr="00BC6554">
        <w:rPr>
          <w:rFonts w:ascii="Book Antiqua" w:eastAsia="Book Antiqua" w:hAnsi="Book Antiqua" w:cs="Book Antiqua"/>
          <w:color w:val="000000"/>
        </w:rPr>
        <w:t>Pathological features of fatty liver disease</w:t>
      </w:r>
      <w:r>
        <w:rPr>
          <w:rFonts w:ascii="Book Antiqua" w:eastAsia="Book Antiqua" w:hAnsi="Book Antiqua" w:cs="Book Antiqua"/>
          <w:color w:val="000000"/>
        </w:rPr>
        <w:t xml:space="preserve">. </w:t>
      </w:r>
      <w:r w:rsidRPr="007A0873">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w:t>
      </w:r>
      <w:r w:rsidR="007A0873">
        <w:rPr>
          <w:rFonts w:ascii="Book Antiqua" w:eastAsia="Book Antiqua" w:hAnsi="Book Antiqua" w:cs="Book Antiqua"/>
          <w:color w:val="000000"/>
        </w:rPr>
        <w:t xml:space="preserve"> </w:t>
      </w:r>
      <w:r w:rsidRPr="007A0873">
        <w:rPr>
          <w:rFonts w:ascii="Book Antiqua" w:eastAsia="Book Antiqua" w:hAnsi="Book Antiqua" w:cs="Book Antiqua"/>
          <w:b/>
          <w:bCs/>
          <w:color w:val="000000"/>
        </w:rPr>
        <w:t>147</w:t>
      </w:r>
      <w:r>
        <w:rPr>
          <w:rFonts w:ascii="Book Antiqua" w:eastAsia="Book Antiqua" w:hAnsi="Book Antiqua" w:cs="Book Antiqua"/>
          <w:color w:val="000000"/>
        </w:rPr>
        <w:t>:</w:t>
      </w:r>
      <w:r w:rsidR="007A0873">
        <w:rPr>
          <w:rFonts w:ascii="Book Antiqua" w:eastAsia="Book Antiqua" w:hAnsi="Book Antiqua" w:cs="Book Antiqua"/>
          <w:color w:val="000000"/>
        </w:rPr>
        <w:t xml:space="preserve"> </w:t>
      </w:r>
      <w:r>
        <w:rPr>
          <w:rFonts w:ascii="Book Antiqua" w:eastAsia="Book Antiqua" w:hAnsi="Book Antiqua" w:cs="Book Antiqua"/>
          <w:color w:val="000000"/>
        </w:rPr>
        <w:t>754-</w:t>
      </w:r>
      <w:r w:rsidR="007A0873">
        <w:rPr>
          <w:rFonts w:ascii="Book Antiqua" w:eastAsia="Book Antiqua" w:hAnsi="Book Antiqua" w:cs="Book Antiqua"/>
          <w:color w:val="000000"/>
        </w:rPr>
        <w:t>7</w:t>
      </w:r>
      <w:r>
        <w:rPr>
          <w:rFonts w:ascii="Book Antiqua" w:eastAsia="Book Antiqua" w:hAnsi="Book Antiqua" w:cs="Book Antiqua"/>
          <w:color w:val="000000"/>
        </w:rPr>
        <w:t>64</w:t>
      </w:r>
      <w:r w:rsidR="007A0873">
        <w:rPr>
          <w:rFonts w:ascii="Book Antiqua" w:eastAsia="Book Antiqua" w:hAnsi="Book Antiqua" w:cs="Book Antiqua"/>
          <w:color w:val="000000"/>
        </w:rPr>
        <w:t xml:space="preserve"> [</w:t>
      </w:r>
      <w:r w:rsidR="007A0873" w:rsidRPr="007A0873">
        <w:rPr>
          <w:rFonts w:ascii="Book Antiqua" w:eastAsia="Book Antiqua" w:hAnsi="Book Antiqua" w:cs="Book Antiqua"/>
          <w:color w:val="000000"/>
        </w:rPr>
        <w:t>PMID: 25109884 DOI: 10.1053/j.gastro.2014.07.056</w:t>
      </w:r>
      <w:r w:rsidR="007A0873">
        <w:rPr>
          <w:rFonts w:ascii="Book Antiqua" w:eastAsia="Book Antiqua" w:hAnsi="Book Antiqua" w:cs="Book Antiqua"/>
          <w:color w:val="000000"/>
        </w:rPr>
        <w:t>]</w:t>
      </w:r>
    </w:p>
    <w:p w14:paraId="3E007745" w14:textId="33A905BA" w:rsidR="00A77B3E" w:rsidRDefault="000315DE">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Sasso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Miette V, </w:t>
      </w:r>
      <w:proofErr w:type="spellStart"/>
      <w:r>
        <w:rPr>
          <w:rFonts w:ascii="Book Antiqua" w:eastAsia="Book Antiqua" w:hAnsi="Book Antiqua" w:cs="Book Antiqua"/>
          <w:color w:val="000000"/>
        </w:rPr>
        <w:t>Sandrin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Beaugrand</w:t>
      </w:r>
      <w:proofErr w:type="spellEnd"/>
      <w:r>
        <w:rPr>
          <w:rFonts w:ascii="Book Antiqua" w:eastAsia="Book Antiqua" w:hAnsi="Book Antiqua" w:cs="Book Antiqua"/>
          <w:color w:val="000000"/>
        </w:rPr>
        <w:t xml:space="preserve"> M. The controlled attenuation parameter (CAP): a novel tool for the non-invasive evaluation of steatosis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13-20 [PMID: 21920839 DOI: 10.1016/j.clinre.2011.08.001</w:t>
      </w:r>
      <w:r w:rsidR="007A0873">
        <w:rPr>
          <w:rFonts w:ascii="Book Antiqua" w:eastAsia="Book Antiqua" w:hAnsi="Book Antiqua" w:cs="Book Antiqua"/>
          <w:color w:val="000000"/>
        </w:rPr>
        <w:t>]</w:t>
      </w:r>
    </w:p>
    <w:p w14:paraId="32EC5F9E" w14:textId="0AECA130" w:rsidR="00A77B3E" w:rsidRDefault="000315D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Persico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Iolascon</w:t>
      </w:r>
      <w:proofErr w:type="spellEnd"/>
      <w:r>
        <w:rPr>
          <w:rFonts w:ascii="Book Antiqua" w:eastAsia="Book Antiqua" w:hAnsi="Book Antiqua" w:cs="Book Antiqua"/>
          <w:color w:val="000000"/>
        </w:rPr>
        <w:t xml:space="preserve"> A. Steatosis as a co-factor in chronic liver diseases.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1171-1176 [PMID: 20222159 DOI: 10.3748/wjg.v16.i10.1171]</w:t>
      </w:r>
    </w:p>
    <w:p w14:paraId="311D0A2A" w14:textId="4D8401AD" w:rsidR="00A77B3E" w:rsidRDefault="000315D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Tanaka A</w:t>
      </w:r>
      <w:r>
        <w:rPr>
          <w:rFonts w:ascii="Book Antiqua" w:eastAsia="Book Antiqua" w:hAnsi="Book Antiqua" w:cs="Book Antiqua"/>
          <w:color w:val="000000"/>
        </w:rPr>
        <w:t xml:space="preserve">, Mori M, Matsumoto K,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Tazuma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Takikawa</w:t>
      </w:r>
      <w:proofErr w:type="spellEnd"/>
      <w:r>
        <w:rPr>
          <w:rFonts w:ascii="Book Antiqua" w:eastAsia="Book Antiqua" w:hAnsi="Book Antiqua" w:cs="Book Antiqua"/>
          <w:color w:val="000000"/>
        </w:rPr>
        <w:t xml:space="preserve"> H. Increase trend in the prevalence and male-to-female ratio of primary biliary cholangitis, autoimmune hepatitis, and primary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cholangitis in Japan.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881-889 [PMID: 30932290 DOI: 10.1111/hepr.13342]</w:t>
      </w:r>
    </w:p>
    <w:p w14:paraId="421BB7F6" w14:textId="4A64A436" w:rsidR="00A77B3E" w:rsidRDefault="000315D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Beringer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Miossec</w:t>
      </w:r>
      <w:proofErr w:type="spellEnd"/>
      <w:r>
        <w:rPr>
          <w:rFonts w:ascii="Book Antiqua" w:eastAsia="Book Antiqua" w:hAnsi="Book Antiqua" w:cs="Book Antiqua"/>
          <w:color w:val="000000"/>
        </w:rPr>
        <w:t xml:space="preserve"> P. IL-17 and IL-17-producing cells and liver diseases, with focus on autoimmune liver diseases.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1176-1185 [PMID: 30321671 DOI: 10.1016/j.autrev.2018.06.008]</w:t>
      </w:r>
    </w:p>
    <w:p w14:paraId="3C6D35E1" w14:textId="205730D1" w:rsidR="00A77B3E" w:rsidRDefault="000315D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Powell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Jonsson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Clouston</w:t>
      </w:r>
      <w:proofErr w:type="spellEnd"/>
      <w:r>
        <w:rPr>
          <w:rFonts w:ascii="Book Antiqua" w:eastAsia="Book Antiqua" w:hAnsi="Book Antiqua" w:cs="Book Antiqua"/>
          <w:color w:val="000000"/>
        </w:rPr>
        <w:t xml:space="preserve"> AD. Steatosis: co-factor in other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42</w:t>
      </w:r>
      <w:r>
        <w:rPr>
          <w:rFonts w:ascii="Book Antiqua" w:eastAsia="Book Antiqua" w:hAnsi="Book Antiqua" w:cs="Book Antiqua"/>
          <w:color w:val="000000"/>
        </w:rPr>
        <w:t>: 5-13 [PMID: 15962320</w:t>
      </w:r>
      <w:r w:rsidR="00234FF8">
        <w:rPr>
          <w:rFonts w:ascii="Book Antiqua" w:eastAsia="Book Antiqua" w:hAnsi="Book Antiqua" w:cs="Book Antiqua"/>
          <w:color w:val="000000"/>
        </w:rPr>
        <w:t xml:space="preserve"> </w:t>
      </w:r>
      <w:r w:rsidR="00234FF8" w:rsidRPr="00234FF8">
        <w:rPr>
          <w:rFonts w:ascii="Book Antiqua" w:eastAsia="Book Antiqua" w:hAnsi="Book Antiqua" w:cs="Book Antiqua"/>
          <w:color w:val="000000"/>
        </w:rPr>
        <w:t>DOI: 10.1002/hep.20750</w:t>
      </w:r>
      <w:r>
        <w:rPr>
          <w:rFonts w:ascii="Book Antiqua" w:eastAsia="Book Antiqua" w:hAnsi="Book Antiqua" w:cs="Book Antiqua"/>
          <w:color w:val="000000"/>
        </w:rPr>
        <w:t>]</w:t>
      </w:r>
    </w:p>
    <w:p w14:paraId="44B8C697" w14:textId="585067DB" w:rsidR="00A77B3E" w:rsidRDefault="000315D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Autoimmune hepatitis.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971-1004 [PMID: 26341719 DOI: 10.1016/j.jhep.2015.06.030]</w:t>
      </w:r>
    </w:p>
    <w:p w14:paraId="7FA75E20" w14:textId="3E6009AF" w:rsidR="00A77B3E" w:rsidRDefault="000315DE">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 xml:space="preserve">European Association for the Study of the Liver. </w:t>
      </w:r>
      <w:r>
        <w:rPr>
          <w:rFonts w:ascii="Book Antiqua" w:eastAsia="Book Antiqua" w:hAnsi="Book Antiqua" w:cs="Book Antiqua"/>
          <w:color w:val="000000"/>
        </w:rPr>
        <w:t xml:space="preserve">European Association for the Study of the Liver. EASL Clinical Practice Guidelines: The diagnosis and management of patients with primary biliary cholangitis.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145-172 [PMID: 28427765 DOI: 10.1016/j.jhep.2017.03.022]</w:t>
      </w:r>
    </w:p>
    <w:p w14:paraId="52D2F892" w14:textId="5DA53B3D" w:rsidR="00A77B3E" w:rsidRDefault="000315DE">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Castera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Vilgrain</w:t>
      </w:r>
      <w:proofErr w:type="spellEnd"/>
      <w:r>
        <w:rPr>
          <w:rFonts w:ascii="Book Antiqua" w:eastAsia="Book Antiqua" w:hAnsi="Book Antiqua" w:cs="Book Antiqua"/>
          <w:color w:val="000000"/>
        </w:rPr>
        <w:t xml:space="preserve"> V, Angulo P. Noninvasive evaluation of NAFLD.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666-675 [PMID: 24061203 DOI: 10.1038/nrgastro.2013.175]</w:t>
      </w:r>
    </w:p>
    <w:p w14:paraId="0296D821" w14:textId="0B6AFC13" w:rsidR="00A77B3E" w:rsidRDefault="000315D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Sasso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Beaugrand</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Douvin</w:t>
      </w:r>
      <w:proofErr w:type="spellEnd"/>
      <w:r>
        <w:rPr>
          <w:rFonts w:ascii="Book Antiqua" w:eastAsia="Book Antiqua" w:hAnsi="Book Antiqua" w:cs="Book Antiqua"/>
          <w:color w:val="000000"/>
        </w:rPr>
        <w:t xml:space="preserve"> C, Marcellin P, </w:t>
      </w:r>
      <w:proofErr w:type="spellStart"/>
      <w:r>
        <w:rPr>
          <w:rFonts w:ascii="Book Antiqua" w:eastAsia="Book Antiqua" w:hAnsi="Book Antiqua" w:cs="Book Antiqua"/>
          <w:color w:val="000000"/>
        </w:rPr>
        <w:t>Poupon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Sandrin</w:t>
      </w:r>
      <w:proofErr w:type="spellEnd"/>
      <w:r>
        <w:rPr>
          <w:rFonts w:ascii="Book Antiqua" w:eastAsia="Book Antiqua" w:hAnsi="Book Antiqua" w:cs="Book Antiqua"/>
          <w:color w:val="000000"/>
        </w:rPr>
        <w:t xml:space="preserve"> L, Miette V. Controlled attenuation parameter (CAP): a novel VCTE™ guided ultrasonic attenuation measurement for the evaluation of hepatic steatosis: preliminary study and validation in a cohort of patients with chronic liver disease from various causes. </w:t>
      </w:r>
      <w:r>
        <w:rPr>
          <w:rFonts w:ascii="Book Antiqua" w:eastAsia="Book Antiqua" w:hAnsi="Book Antiqua" w:cs="Book Antiqua"/>
          <w:i/>
          <w:iCs/>
          <w:color w:val="000000"/>
        </w:rPr>
        <w:t xml:space="preserve">Ultrasound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1825-1835 [PMID: 20870345 DOI: 10.1016/j.ultrasmedbio.2010.07.005</w:t>
      </w:r>
      <w:r w:rsidR="007A0873">
        <w:rPr>
          <w:rFonts w:ascii="Book Antiqua" w:eastAsia="Book Antiqua" w:hAnsi="Book Antiqua" w:cs="Book Antiqua"/>
          <w:color w:val="000000"/>
        </w:rPr>
        <w:t>]</w:t>
      </w:r>
    </w:p>
    <w:p w14:paraId="6FEE0A5B" w14:textId="3855533A" w:rsidR="00A77B3E" w:rsidRDefault="000315D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Sasso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Audière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Kemgang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Gaouar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Corpechot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Chazouillères</w:t>
      </w:r>
      <w:proofErr w:type="spellEnd"/>
      <w:r>
        <w:rPr>
          <w:rFonts w:ascii="Book Antiqua" w:eastAsia="Book Antiqua" w:hAnsi="Book Antiqua" w:cs="Book Antiqua"/>
          <w:color w:val="000000"/>
        </w:rPr>
        <w:t xml:space="preserve"> O, Fournier C, </w:t>
      </w:r>
      <w:proofErr w:type="spellStart"/>
      <w:r>
        <w:rPr>
          <w:rFonts w:ascii="Book Antiqua" w:eastAsia="Book Antiqua" w:hAnsi="Book Antiqua" w:cs="Book Antiqua"/>
          <w:color w:val="000000"/>
        </w:rPr>
        <w:t>Golsztejn</w:t>
      </w:r>
      <w:proofErr w:type="spellEnd"/>
      <w:r>
        <w:rPr>
          <w:rFonts w:ascii="Book Antiqua" w:eastAsia="Book Antiqua" w:hAnsi="Book Antiqua" w:cs="Book Antiqua"/>
          <w:color w:val="000000"/>
        </w:rPr>
        <w:t xml:space="preserve"> O, Prince S, Menu Y, </w:t>
      </w:r>
      <w:proofErr w:type="spellStart"/>
      <w:r>
        <w:rPr>
          <w:rFonts w:ascii="Book Antiqua" w:eastAsia="Book Antiqua" w:hAnsi="Book Antiqua" w:cs="Book Antiqua"/>
          <w:color w:val="000000"/>
        </w:rPr>
        <w:t>Sandrin</w:t>
      </w:r>
      <w:proofErr w:type="spellEnd"/>
      <w:r>
        <w:rPr>
          <w:rFonts w:ascii="Book Antiqua" w:eastAsia="Book Antiqua" w:hAnsi="Book Antiqua" w:cs="Book Antiqua"/>
          <w:color w:val="000000"/>
        </w:rPr>
        <w:t xml:space="preserve"> L, Miette V. Liver Steatosis Assessed by Controlled Attenuation Parameter (CAP) Measured with the XL Probe of 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 Pilot Study Assessing Diagnostic Accuracy. </w:t>
      </w:r>
      <w:r>
        <w:rPr>
          <w:rFonts w:ascii="Book Antiqua" w:eastAsia="Book Antiqua" w:hAnsi="Book Antiqua" w:cs="Book Antiqua"/>
          <w:i/>
          <w:iCs/>
          <w:color w:val="000000"/>
        </w:rPr>
        <w:t xml:space="preserve">Ultrasound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92-103 [PMID: 26386476 DOI: 10.1016/j.ultrasmedbio.2015.08.008</w:t>
      </w:r>
      <w:r w:rsidR="007A0873">
        <w:rPr>
          <w:rFonts w:ascii="Book Antiqua" w:eastAsia="Book Antiqua" w:hAnsi="Book Antiqua" w:cs="Book Antiqua"/>
          <w:color w:val="000000"/>
        </w:rPr>
        <w:t>]</w:t>
      </w:r>
    </w:p>
    <w:p w14:paraId="1A1030E3" w14:textId="7F13DCAB" w:rsidR="00A77B3E" w:rsidRDefault="000315D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Sandrin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Fourquet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Hasquenoph</w:t>
      </w:r>
      <w:proofErr w:type="spellEnd"/>
      <w:r>
        <w:rPr>
          <w:rFonts w:ascii="Book Antiqua" w:eastAsia="Book Antiqua" w:hAnsi="Book Antiqua" w:cs="Book Antiqua"/>
          <w:color w:val="000000"/>
        </w:rPr>
        <w:t xml:space="preserve"> JM, Yon S, Fournier C, Mal F, </w:t>
      </w:r>
      <w:proofErr w:type="spellStart"/>
      <w:r>
        <w:rPr>
          <w:rFonts w:ascii="Book Antiqua" w:eastAsia="Book Antiqua" w:hAnsi="Book Antiqua" w:cs="Book Antiqua"/>
          <w:color w:val="000000"/>
        </w:rPr>
        <w:t>Christidis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Ziol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Poulet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Kazemi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Beaugrand</w:t>
      </w:r>
      <w:proofErr w:type="spellEnd"/>
      <w:r>
        <w:rPr>
          <w:rFonts w:ascii="Book Antiqua" w:eastAsia="Book Antiqua" w:hAnsi="Book Antiqua" w:cs="Book Antiqua"/>
          <w:color w:val="000000"/>
        </w:rPr>
        <w:t xml:space="preserve"> M, Palau R.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a new noninvasive method for assessment of hepatic fibrosis. </w:t>
      </w:r>
      <w:r>
        <w:rPr>
          <w:rFonts w:ascii="Book Antiqua" w:eastAsia="Book Antiqua" w:hAnsi="Book Antiqua" w:cs="Book Antiqua"/>
          <w:i/>
          <w:iCs/>
          <w:color w:val="000000"/>
        </w:rPr>
        <w:t xml:space="preserve">Ultrasound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29</w:t>
      </w:r>
      <w:r>
        <w:rPr>
          <w:rFonts w:ascii="Book Antiqua" w:eastAsia="Book Antiqua" w:hAnsi="Book Antiqua" w:cs="Book Antiqua"/>
          <w:color w:val="000000"/>
        </w:rPr>
        <w:t>: 1705-1713 [PMID: 14698338</w:t>
      </w:r>
      <w:r w:rsidR="00234FF8">
        <w:rPr>
          <w:rFonts w:ascii="Book Antiqua" w:eastAsia="Book Antiqua" w:hAnsi="Book Antiqua" w:cs="Book Antiqua"/>
          <w:color w:val="000000"/>
        </w:rPr>
        <w:t xml:space="preserve"> </w:t>
      </w:r>
      <w:r w:rsidR="00234FF8" w:rsidRPr="00234FF8">
        <w:rPr>
          <w:rFonts w:ascii="Book Antiqua" w:eastAsia="Book Antiqua" w:hAnsi="Book Antiqua" w:cs="Book Antiqua"/>
          <w:color w:val="000000"/>
        </w:rPr>
        <w:t>DOI: 10.1016/j.ultrasmedbio.2003.07.001</w:t>
      </w:r>
      <w:r>
        <w:rPr>
          <w:rFonts w:ascii="Book Antiqua" w:eastAsia="Book Antiqua" w:hAnsi="Book Antiqua" w:cs="Book Antiqua"/>
          <w:color w:val="000000"/>
        </w:rPr>
        <w:t>]</w:t>
      </w:r>
    </w:p>
    <w:p w14:paraId="7A302730" w14:textId="48DE3F2C" w:rsidR="00A77B3E" w:rsidRDefault="000315D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Eddowes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Sasso</w:t>
      </w:r>
      <w:proofErr w:type="spellEnd"/>
      <w:r>
        <w:rPr>
          <w:rFonts w:ascii="Book Antiqua" w:eastAsia="Book Antiqua" w:hAnsi="Book Antiqua" w:cs="Book Antiqua"/>
          <w:color w:val="000000"/>
        </w:rPr>
        <w:t xml:space="preserve"> M, Allison M,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Sheridan D, </w:t>
      </w:r>
      <w:proofErr w:type="spellStart"/>
      <w:r>
        <w:rPr>
          <w:rFonts w:ascii="Book Antiqua" w:eastAsia="Book Antiqua" w:hAnsi="Book Antiqua" w:cs="Book Antiqua"/>
          <w:color w:val="000000"/>
        </w:rPr>
        <w:t>Guha</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Cobbold</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Paradis V,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Newsome PN.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Controlled Attenuation Parameter and Liver Stiffness Measurement in Assessing Steatosis and Fibrosis in Patients With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1717-1730 [PMID: 30689971 DOI: 10.1053/j.gastro.2019.01.042</w:t>
      </w:r>
      <w:r w:rsidR="007A0873">
        <w:rPr>
          <w:rFonts w:ascii="Book Antiqua" w:eastAsia="Book Antiqua" w:hAnsi="Book Antiqua" w:cs="Book Antiqua"/>
          <w:color w:val="000000"/>
        </w:rPr>
        <w:t>]</w:t>
      </w:r>
    </w:p>
    <w:p w14:paraId="245C5B85" w14:textId="20D6CAE3" w:rsidR="00A77B3E" w:rsidRDefault="000315DE">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Seto</w:t>
      </w:r>
      <w:proofErr w:type="spellEnd"/>
      <w:r>
        <w:rPr>
          <w:rFonts w:ascii="Book Antiqua" w:eastAsia="Book Antiqua" w:hAnsi="Book Antiqua" w:cs="Book Antiqua"/>
          <w:b/>
          <w:bCs/>
          <w:color w:val="000000"/>
        </w:rPr>
        <w:t xml:space="preserve"> WK</w:t>
      </w:r>
      <w:r>
        <w:rPr>
          <w:rFonts w:ascii="Book Antiqua" w:eastAsia="Book Antiqua" w:hAnsi="Book Antiqua" w:cs="Book Antiqua"/>
          <w:color w:val="000000"/>
        </w:rPr>
        <w:t xml:space="preserve">, Hui RWH,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LY, Fung J, Cheung KS, Liu KSH, Wong DK, Lai CL, Yuen MF. Association </w:t>
      </w:r>
      <w:proofErr w:type="gramStart"/>
      <w:r>
        <w:rPr>
          <w:rFonts w:ascii="Book Antiqua" w:eastAsia="Book Antiqua" w:hAnsi="Book Antiqua" w:cs="Book Antiqua"/>
          <w:color w:val="000000"/>
        </w:rPr>
        <w:t>Between</w:t>
      </w:r>
      <w:proofErr w:type="gramEnd"/>
      <w:r>
        <w:rPr>
          <w:rFonts w:ascii="Book Antiqua" w:eastAsia="Book Antiqua" w:hAnsi="Book Antiqua" w:cs="Book Antiqua"/>
          <w:color w:val="000000"/>
        </w:rPr>
        <w:t xml:space="preserve"> Hepatic Steatosis, Measured by Controlled Attenuation </w:t>
      </w:r>
      <w:r>
        <w:rPr>
          <w:rFonts w:ascii="Book Antiqua" w:eastAsia="Book Antiqua" w:hAnsi="Book Antiqua" w:cs="Book Antiqua"/>
          <w:color w:val="000000"/>
        </w:rPr>
        <w:lastRenderedPageBreak/>
        <w:t xml:space="preserve">Parameter, and Fibrosis Burden in Chronic Hepatitis B.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575-583.e2 [PMID: 28970146 DOI: 10.1016/j.cgh.2017.09.044</w:t>
      </w:r>
      <w:r w:rsidR="007A0873">
        <w:rPr>
          <w:rFonts w:ascii="Book Antiqua" w:eastAsia="Book Antiqua" w:hAnsi="Book Antiqua" w:cs="Book Antiqua"/>
          <w:color w:val="000000"/>
        </w:rPr>
        <w:t>]</w:t>
      </w:r>
    </w:p>
    <w:p w14:paraId="062FB332" w14:textId="7CF19A85" w:rsidR="00A77B3E" w:rsidRDefault="000315D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Thiele M</w:t>
      </w:r>
      <w:r>
        <w:rPr>
          <w:rFonts w:ascii="Book Antiqua" w:eastAsia="Book Antiqua" w:hAnsi="Book Antiqua" w:cs="Book Antiqua"/>
          <w:color w:val="000000"/>
        </w:rPr>
        <w:t xml:space="preserve">, Rausch V, </w:t>
      </w:r>
      <w:proofErr w:type="spellStart"/>
      <w:r>
        <w:rPr>
          <w:rFonts w:ascii="Book Antiqua" w:eastAsia="Book Antiqua" w:hAnsi="Book Antiqua" w:cs="Book Antiqua"/>
          <w:color w:val="000000"/>
        </w:rPr>
        <w:t>Fluhr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Kjærgaard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Piecha</w:t>
      </w:r>
      <w:proofErr w:type="spellEnd"/>
      <w:r>
        <w:rPr>
          <w:rFonts w:ascii="Book Antiqua" w:eastAsia="Book Antiqua" w:hAnsi="Book Antiqua" w:cs="Book Antiqua"/>
          <w:color w:val="000000"/>
        </w:rPr>
        <w:t xml:space="preserve"> F, Mueller J, Straub BK, </w:t>
      </w:r>
      <w:proofErr w:type="spellStart"/>
      <w:r>
        <w:rPr>
          <w:rFonts w:ascii="Book Antiqua" w:eastAsia="Book Antiqua" w:hAnsi="Book Antiqua" w:cs="Book Antiqua"/>
          <w:color w:val="000000"/>
        </w:rPr>
        <w:t>Lupșor-Platon</w:t>
      </w:r>
      <w:proofErr w:type="spellEnd"/>
      <w:r>
        <w:rPr>
          <w:rFonts w:ascii="Book Antiqua" w:eastAsia="Book Antiqua" w:hAnsi="Book Antiqua" w:cs="Book Antiqua"/>
          <w:color w:val="000000"/>
        </w:rPr>
        <w:t xml:space="preserve"> M, De-</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Seitz HK, </w:t>
      </w:r>
      <w:proofErr w:type="spellStart"/>
      <w:r>
        <w:rPr>
          <w:rFonts w:ascii="Book Antiqua" w:eastAsia="Book Antiqua" w:hAnsi="Book Antiqua" w:cs="Book Antiqua"/>
          <w:color w:val="000000"/>
        </w:rPr>
        <w:t>Detlefsen</w:t>
      </w:r>
      <w:proofErr w:type="spellEnd"/>
      <w:r>
        <w:rPr>
          <w:rFonts w:ascii="Book Antiqua" w:eastAsia="Book Antiqua" w:hAnsi="Book Antiqua" w:cs="Book Antiqua"/>
          <w:color w:val="000000"/>
        </w:rPr>
        <w:t xml:space="preserve"> S, Madsen B, </w:t>
      </w:r>
      <w:proofErr w:type="spellStart"/>
      <w:r>
        <w:rPr>
          <w:rFonts w:ascii="Book Antiqua" w:eastAsia="Book Antiqua" w:hAnsi="Book Antiqua" w:cs="Book Antiqua"/>
          <w:color w:val="000000"/>
        </w:rPr>
        <w:t>Krag</w:t>
      </w:r>
      <w:proofErr w:type="spellEnd"/>
      <w:r>
        <w:rPr>
          <w:rFonts w:ascii="Book Antiqua" w:eastAsia="Book Antiqua" w:hAnsi="Book Antiqua" w:cs="Book Antiqua"/>
          <w:color w:val="000000"/>
        </w:rPr>
        <w:t xml:space="preserve"> A, Mueller S. Controlled attenuation parameter and alcoholic hepatic steatosis: Diagnostic accuracy and role of alcohol detoxification.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1025-1032 [PMID: 29343427 DOI: 10.1016/j.jhep.2017.12.029</w:t>
      </w:r>
      <w:r w:rsidR="007A0873">
        <w:rPr>
          <w:rFonts w:ascii="Book Antiqua" w:eastAsia="Book Antiqua" w:hAnsi="Book Antiqua" w:cs="Book Antiqua"/>
          <w:color w:val="000000"/>
        </w:rPr>
        <w:t>]</w:t>
      </w:r>
    </w:p>
    <w:p w14:paraId="6EFA2947" w14:textId="44E8D543" w:rsidR="00A77B3E" w:rsidRDefault="000315D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Ferraioli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Tinelli</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Silvestri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Lissandrin</w:t>
      </w:r>
      <w:proofErr w:type="spellEnd"/>
      <w:r>
        <w:rPr>
          <w:rFonts w:ascii="Book Antiqua" w:eastAsia="Book Antiqua" w:hAnsi="Book Antiqua" w:cs="Book Antiqua"/>
          <w:color w:val="000000"/>
        </w:rPr>
        <w:t xml:space="preserve"> R, Above E, </w:t>
      </w:r>
      <w:proofErr w:type="spellStart"/>
      <w:r>
        <w:rPr>
          <w:rFonts w:ascii="Book Antiqua" w:eastAsia="Book Antiqua" w:hAnsi="Book Antiqua" w:cs="Book Antiqua"/>
          <w:color w:val="000000"/>
        </w:rPr>
        <w:t>Dellafiore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Poma</w:t>
      </w:r>
      <w:proofErr w:type="spellEnd"/>
      <w:r>
        <w:rPr>
          <w:rFonts w:ascii="Book Antiqua" w:eastAsia="Book Antiqua" w:hAnsi="Book Antiqua" w:cs="Book Antiqua"/>
          <w:color w:val="000000"/>
        </w:rPr>
        <w:t xml:space="preserve"> G, Di Gregorio M, </w:t>
      </w:r>
      <w:proofErr w:type="spellStart"/>
      <w:r>
        <w:rPr>
          <w:rFonts w:ascii="Book Antiqua" w:eastAsia="Book Antiqua" w:hAnsi="Book Antiqua" w:cs="Book Antiqua"/>
          <w:color w:val="000000"/>
        </w:rPr>
        <w:t>Maiocchi</w:t>
      </w:r>
      <w:proofErr w:type="spellEnd"/>
      <w:r>
        <w:rPr>
          <w:rFonts w:ascii="Book Antiqua" w:eastAsia="Book Antiqua" w:hAnsi="Book Antiqua" w:cs="Book Antiqua"/>
          <w:color w:val="000000"/>
        </w:rPr>
        <w:t xml:space="preserve"> L, Maserati R, </w:t>
      </w:r>
      <w:proofErr w:type="spellStart"/>
      <w:r>
        <w:rPr>
          <w:rFonts w:ascii="Book Antiqua" w:eastAsia="Book Antiqua" w:hAnsi="Book Antiqua" w:cs="Book Antiqua"/>
          <w:color w:val="000000"/>
        </w:rPr>
        <w:t>Filice</w:t>
      </w:r>
      <w:proofErr w:type="spellEnd"/>
      <w:r>
        <w:rPr>
          <w:rFonts w:ascii="Book Antiqua" w:eastAsia="Book Antiqua" w:hAnsi="Book Antiqua" w:cs="Book Antiqua"/>
          <w:color w:val="000000"/>
        </w:rPr>
        <w:t xml:space="preserve"> C. The clinical value of controlled attenuation parameter for the noninvasive assessment of liver steatosis.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xml:space="preserve">: 1860-1866 [PMID: 27439331 </w:t>
      </w:r>
      <w:r w:rsidR="00BC6554" w:rsidRPr="00BC6554">
        <w:rPr>
          <w:rFonts w:ascii="Book Antiqua" w:eastAsia="Book Antiqua" w:hAnsi="Book Antiqua" w:cs="Book Antiqua"/>
          <w:color w:val="000000"/>
        </w:rPr>
        <w:t>DOI: 10.1111/liv.13207</w:t>
      </w:r>
      <w:r w:rsidR="007A0873">
        <w:rPr>
          <w:rFonts w:ascii="Book Antiqua" w:eastAsia="Book Antiqua" w:hAnsi="Book Antiqua" w:cs="Book Antiqua"/>
          <w:color w:val="000000"/>
        </w:rPr>
        <w:t>]</w:t>
      </w:r>
    </w:p>
    <w:p w14:paraId="0E0E77C4" w14:textId="60214931" w:rsidR="00A77B3E" w:rsidRDefault="000315DE">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Karlas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Petroff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Sasso</w:t>
      </w:r>
      <w:proofErr w:type="spellEnd"/>
      <w:r>
        <w:rPr>
          <w:rFonts w:ascii="Book Antiqua" w:eastAsia="Book Antiqua" w:hAnsi="Book Antiqua" w:cs="Book Antiqua"/>
          <w:color w:val="000000"/>
        </w:rPr>
        <w:t xml:space="preserve"> M, Fan JG, </w:t>
      </w:r>
      <w:proofErr w:type="spellStart"/>
      <w:r>
        <w:rPr>
          <w:rFonts w:ascii="Book Antiqua" w:eastAsia="Book Antiqua" w:hAnsi="Book Antiqua" w:cs="Book Antiqua"/>
          <w:color w:val="000000"/>
        </w:rPr>
        <w:t>Mi</w:t>
      </w:r>
      <w:proofErr w:type="spellEnd"/>
      <w:r>
        <w:rPr>
          <w:rFonts w:ascii="Book Antiqua" w:eastAsia="Book Antiqua" w:hAnsi="Book Antiqua" w:cs="Book Antiqua"/>
          <w:color w:val="000000"/>
        </w:rPr>
        <w:t xml:space="preserve"> YQ, de </w:t>
      </w:r>
      <w:proofErr w:type="spellStart"/>
      <w:r>
        <w:rPr>
          <w:rFonts w:ascii="Book Antiqua" w:eastAsia="Book Antiqua" w:hAnsi="Book Antiqua" w:cs="Book Antiqua"/>
          <w:color w:val="000000"/>
        </w:rPr>
        <w:t>Lédinghen</w:t>
      </w:r>
      <w:proofErr w:type="spellEnd"/>
      <w:r>
        <w:rPr>
          <w:rFonts w:ascii="Book Antiqua" w:eastAsia="Book Antiqua" w:hAnsi="Book Antiqua" w:cs="Book Antiqua"/>
          <w:color w:val="000000"/>
        </w:rPr>
        <w:t xml:space="preserve"> V, Kumar M, </w:t>
      </w:r>
      <w:proofErr w:type="spellStart"/>
      <w:r>
        <w:rPr>
          <w:rFonts w:ascii="Book Antiqua" w:eastAsia="Book Antiqua" w:hAnsi="Book Antiqua" w:cs="Book Antiqua"/>
          <w:color w:val="000000"/>
        </w:rPr>
        <w:t>Lupsor-Platon</w:t>
      </w:r>
      <w:proofErr w:type="spellEnd"/>
      <w:r>
        <w:rPr>
          <w:rFonts w:ascii="Book Antiqua" w:eastAsia="Book Antiqua" w:hAnsi="Book Antiqua" w:cs="Book Antiqua"/>
          <w:color w:val="000000"/>
        </w:rPr>
        <w:t xml:space="preserve"> M, Han KH, Cardoso AC, </w:t>
      </w:r>
      <w:proofErr w:type="spellStart"/>
      <w:r>
        <w:rPr>
          <w:rFonts w:ascii="Book Antiqua" w:eastAsia="Book Antiqua" w:hAnsi="Book Antiqua" w:cs="Book Antiqua"/>
          <w:color w:val="000000"/>
        </w:rPr>
        <w:t>Ferraioli</w:t>
      </w:r>
      <w:proofErr w:type="spellEnd"/>
      <w:r>
        <w:rPr>
          <w:rFonts w:ascii="Book Antiqua" w:eastAsia="Book Antiqua" w:hAnsi="Book Antiqua" w:cs="Book Antiqua"/>
          <w:color w:val="000000"/>
        </w:rPr>
        <w:t xml:space="preserve"> G, Chan WK, Wong VW, Myers RP,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Friedrich-Rust M, </w:t>
      </w:r>
      <w:proofErr w:type="spellStart"/>
      <w:r>
        <w:rPr>
          <w:rFonts w:ascii="Book Antiqua" w:eastAsia="Book Antiqua" w:hAnsi="Book Antiqua" w:cs="Book Antiqua"/>
          <w:color w:val="000000"/>
        </w:rPr>
        <w:t>Beaugrand</w:t>
      </w:r>
      <w:proofErr w:type="spellEnd"/>
      <w:r>
        <w:rPr>
          <w:rFonts w:ascii="Book Antiqua" w:eastAsia="Book Antiqua" w:hAnsi="Book Antiqua" w:cs="Book Antiqua"/>
          <w:color w:val="000000"/>
        </w:rPr>
        <w:t xml:space="preserve"> M, Shen F, </w:t>
      </w:r>
      <w:proofErr w:type="spellStart"/>
      <w:r>
        <w:rPr>
          <w:rFonts w:ascii="Book Antiqua" w:eastAsia="Book Antiqua" w:hAnsi="Book Antiqua" w:cs="Book Antiqua"/>
          <w:color w:val="000000"/>
        </w:rPr>
        <w:t>Hiriart</w:t>
      </w:r>
      <w:proofErr w:type="spellEnd"/>
      <w:r>
        <w:rPr>
          <w:rFonts w:ascii="Book Antiqua" w:eastAsia="Book Antiqua" w:hAnsi="Book Antiqua" w:cs="Book Antiqua"/>
          <w:color w:val="000000"/>
        </w:rPr>
        <w:t xml:space="preserve"> JB, Sarin SK, </w:t>
      </w:r>
      <w:proofErr w:type="spellStart"/>
      <w:r>
        <w:rPr>
          <w:rFonts w:ascii="Book Antiqua" w:eastAsia="Book Antiqua" w:hAnsi="Book Antiqua" w:cs="Book Antiqua"/>
          <w:color w:val="000000"/>
        </w:rPr>
        <w:t>Badea</w:t>
      </w:r>
      <w:proofErr w:type="spellEnd"/>
      <w:r>
        <w:rPr>
          <w:rFonts w:ascii="Book Antiqua" w:eastAsia="Book Antiqua" w:hAnsi="Book Antiqua" w:cs="Book Antiqua"/>
          <w:color w:val="000000"/>
        </w:rPr>
        <w:t xml:space="preserve"> R, Jung KS, Marcellin P, </w:t>
      </w:r>
      <w:proofErr w:type="spellStart"/>
      <w:r>
        <w:rPr>
          <w:rFonts w:ascii="Book Antiqua" w:eastAsia="Book Antiqua" w:hAnsi="Book Antiqua" w:cs="Book Antiqua"/>
          <w:color w:val="000000"/>
        </w:rPr>
        <w:t>Filice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Mahadeva</w:t>
      </w:r>
      <w:proofErr w:type="spellEnd"/>
      <w:r>
        <w:rPr>
          <w:rFonts w:ascii="Book Antiqua" w:eastAsia="Book Antiqua" w:hAnsi="Book Antiqua" w:cs="Book Antiqua"/>
          <w:color w:val="000000"/>
        </w:rPr>
        <w:t xml:space="preserve"> S, Wong GL, Crotty P, Masaki K, </w:t>
      </w:r>
      <w:proofErr w:type="spellStart"/>
      <w:r>
        <w:rPr>
          <w:rFonts w:ascii="Book Antiqua" w:eastAsia="Book Antiqua" w:hAnsi="Book Antiqua" w:cs="Book Antiqua"/>
          <w:color w:val="000000"/>
        </w:rPr>
        <w:t>Bojunga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Keim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Wiegand</w:t>
      </w:r>
      <w:proofErr w:type="spellEnd"/>
      <w:r>
        <w:rPr>
          <w:rFonts w:ascii="Book Antiqua" w:eastAsia="Book Antiqua" w:hAnsi="Book Antiqua" w:cs="Book Antiqua"/>
          <w:color w:val="000000"/>
        </w:rPr>
        <w:t xml:space="preserve"> J. Individual patient data meta-analysis of controlled attenuation parameter (CAP) technology for assessing steatosis.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1022-1030 [PMID: 28039099 DOI: 10.1016/j.jhep.2016.12.022</w:t>
      </w:r>
      <w:r w:rsidR="007A0873">
        <w:rPr>
          <w:rFonts w:ascii="Book Antiqua" w:eastAsia="Book Antiqua" w:hAnsi="Book Antiqua" w:cs="Book Antiqua"/>
          <w:color w:val="000000"/>
        </w:rPr>
        <w:t>]</w:t>
      </w:r>
    </w:p>
    <w:p w14:paraId="5C154E21" w14:textId="792F508D" w:rsidR="00A77B3E" w:rsidRDefault="000315DE">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Hennes</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Zeniya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Parés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Krawitt</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PL, Porta G, </w:t>
      </w:r>
      <w:proofErr w:type="spellStart"/>
      <w:r>
        <w:rPr>
          <w:rFonts w:ascii="Book Antiqua" w:eastAsia="Book Antiqua" w:hAnsi="Book Antiqua" w:cs="Book Antiqua"/>
          <w:color w:val="000000"/>
        </w:rPr>
        <w:t>Boberg</w:t>
      </w:r>
      <w:proofErr w:type="spellEnd"/>
      <w:r>
        <w:rPr>
          <w:rFonts w:ascii="Book Antiqua" w:eastAsia="Book Antiqua" w:hAnsi="Book Antiqua" w:cs="Book Antiqua"/>
          <w:color w:val="000000"/>
        </w:rPr>
        <w:t xml:space="preserve"> KM, Hofer H, Bianchi FB, Shibata M, Schramm C, </w:t>
      </w:r>
      <w:proofErr w:type="spellStart"/>
      <w:r>
        <w:rPr>
          <w:rFonts w:ascii="Book Antiqua" w:eastAsia="Book Antiqua" w:hAnsi="Book Antiqua" w:cs="Book Antiqua"/>
          <w:color w:val="000000"/>
        </w:rPr>
        <w:t>Eisenmann</w:t>
      </w:r>
      <w:proofErr w:type="spellEnd"/>
      <w:r>
        <w:rPr>
          <w:rFonts w:ascii="Book Antiqua" w:eastAsia="Book Antiqua" w:hAnsi="Book Antiqua" w:cs="Book Antiqua"/>
          <w:color w:val="000000"/>
        </w:rPr>
        <w:t xml:space="preserve"> de Torres B, Galle PR, McFarlane I, Dienes HP, Lohse AW; International Autoimmune Hepatitis Group. Simplified criteria for the diagnosis of autoimmune 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169-176 [PMID: 18537184 DOI: 10.1002/hep.22322</w:t>
      </w:r>
      <w:r w:rsidR="007A0873">
        <w:rPr>
          <w:rFonts w:ascii="Book Antiqua" w:eastAsia="Book Antiqua" w:hAnsi="Book Antiqua" w:cs="Book Antiqua"/>
          <w:color w:val="000000"/>
        </w:rPr>
        <w:t>]</w:t>
      </w:r>
    </w:p>
    <w:p w14:paraId="38631D1C" w14:textId="4AF27C1B" w:rsidR="00A77B3E" w:rsidRDefault="000315D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Lindor</w:t>
      </w:r>
      <w:proofErr w:type="spellEnd"/>
      <w:r>
        <w:rPr>
          <w:rFonts w:ascii="Book Antiqua" w:eastAsia="Book Antiqua" w:hAnsi="Book Antiqua" w:cs="Book Antiqua"/>
          <w:b/>
          <w:bCs/>
          <w:color w:val="000000"/>
        </w:rPr>
        <w:t xml:space="preserve"> KD</w:t>
      </w:r>
      <w:r>
        <w:rPr>
          <w:rFonts w:ascii="Book Antiqua" w:eastAsia="Book Antiqua" w:hAnsi="Book Antiqua" w:cs="Book Antiqua"/>
          <w:color w:val="000000"/>
        </w:rPr>
        <w:t xml:space="preserve">, Gershwin ME, </w:t>
      </w:r>
      <w:proofErr w:type="spellStart"/>
      <w:r>
        <w:rPr>
          <w:rFonts w:ascii="Book Antiqua" w:eastAsia="Book Antiqua" w:hAnsi="Book Antiqua" w:cs="Book Antiqua"/>
          <w:color w:val="000000"/>
        </w:rPr>
        <w:t>Poupon</w:t>
      </w:r>
      <w:proofErr w:type="spellEnd"/>
      <w:r>
        <w:rPr>
          <w:rFonts w:ascii="Book Antiqua" w:eastAsia="Book Antiqua" w:hAnsi="Book Antiqua" w:cs="Book Antiqua"/>
          <w:color w:val="000000"/>
        </w:rPr>
        <w:t xml:space="preserve"> R, Kaplan M, </w:t>
      </w:r>
      <w:proofErr w:type="spellStart"/>
      <w:r>
        <w:rPr>
          <w:rFonts w:ascii="Book Antiqua" w:eastAsia="Book Antiqua" w:hAnsi="Book Antiqua" w:cs="Book Antiqua"/>
          <w:color w:val="000000"/>
        </w:rPr>
        <w:t>Bergasa</w:t>
      </w:r>
      <w:proofErr w:type="spellEnd"/>
      <w:r>
        <w:rPr>
          <w:rFonts w:ascii="Book Antiqua" w:eastAsia="Book Antiqua" w:hAnsi="Book Antiqua" w:cs="Book Antiqua"/>
          <w:color w:val="000000"/>
        </w:rPr>
        <w:t xml:space="preserve"> NV, Heathcote EJ; American Association for Study of Liver Diseases. Primary biliary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291-308 [PMID: 19554543 DOI: 10.1002/hep.22906</w:t>
      </w:r>
      <w:r w:rsidR="007A0873">
        <w:rPr>
          <w:rFonts w:ascii="Book Antiqua" w:eastAsia="Book Antiqua" w:hAnsi="Book Antiqua" w:cs="Book Antiqua"/>
          <w:color w:val="000000"/>
        </w:rPr>
        <w:t>]</w:t>
      </w:r>
    </w:p>
    <w:p w14:paraId="4D607BD6" w14:textId="21ED8A43" w:rsidR="00A77B3E" w:rsidRDefault="000315D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Chazouillères</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Wendum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Serfaty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Montembault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Poupon</w:t>
      </w:r>
      <w:proofErr w:type="spellEnd"/>
      <w:r>
        <w:rPr>
          <w:rFonts w:ascii="Book Antiqua" w:eastAsia="Book Antiqua" w:hAnsi="Book Antiqua" w:cs="Book Antiqua"/>
          <w:color w:val="000000"/>
        </w:rPr>
        <w:t xml:space="preserve"> R. Primary biliary cirrhosis-autoimmune hepatitis overlap syndrome: clinical features and </w:t>
      </w:r>
      <w:r>
        <w:rPr>
          <w:rFonts w:ascii="Book Antiqua" w:eastAsia="Book Antiqua" w:hAnsi="Book Antiqua" w:cs="Book Antiqua"/>
          <w:color w:val="000000"/>
        </w:rPr>
        <w:lastRenderedPageBreak/>
        <w:t xml:space="preserve">response to therapy.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28</w:t>
      </w:r>
      <w:r>
        <w:rPr>
          <w:rFonts w:ascii="Book Antiqua" w:eastAsia="Book Antiqua" w:hAnsi="Book Antiqua" w:cs="Book Antiqua"/>
          <w:color w:val="000000"/>
        </w:rPr>
        <w:t>: 296-301 [PMID: 9695990</w:t>
      </w:r>
      <w:r w:rsidR="00234FF8">
        <w:rPr>
          <w:rFonts w:ascii="Book Antiqua" w:eastAsia="Book Antiqua" w:hAnsi="Book Antiqua" w:cs="Book Antiqua"/>
          <w:color w:val="000000"/>
        </w:rPr>
        <w:t xml:space="preserve"> </w:t>
      </w:r>
      <w:r w:rsidR="00234FF8" w:rsidRPr="00234FF8">
        <w:rPr>
          <w:rFonts w:ascii="Book Antiqua" w:eastAsia="Book Antiqua" w:hAnsi="Book Antiqua" w:cs="Book Antiqua"/>
          <w:color w:val="000000"/>
        </w:rPr>
        <w:t>DOI: 10.1002/hep.510280203</w:t>
      </w:r>
      <w:r>
        <w:rPr>
          <w:rFonts w:ascii="Book Antiqua" w:eastAsia="Book Antiqua" w:hAnsi="Book Antiqua" w:cs="Book Antiqua"/>
          <w:color w:val="000000"/>
        </w:rPr>
        <w:t>]</w:t>
      </w:r>
    </w:p>
    <w:p w14:paraId="097B9138" w14:textId="3889C861" w:rsidR="00A77B3E" w:rsidRDefault="000315D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 xml:space="preserve">National Workshop on Fatty Liver and Alcoholic Liver Disease </w:t>
      </w:r>
      <w:proofErr w:type="spellStart"/>
      <w:r>
        <w:rPr>
          <w:rFonts w:ascii="Book Antiqua" w:eastAsia="Book Antiqua" w:hAnsi="Book Antiqua" w:cs="Book Antiqua"/>
          <w:b/>
          <w:bCs/>
          <w:color w:val="000000"/>
        </w:rPr>
        <w:t>CSoH</w:t>
      </w:r>
      <w:proofErr w:type="spellEnd"/>
      <w:r w:rsidRPr="000F3E63">
        <w:rPr>
          <w:rFonts w:ascii="Book Antiqua" w:eastAsia="Book Antiqua" w:hAnsi="Book Antiqua" w:cs="Book Antiqua"/>
          <w:color w:val="000000"/>
        </w:rPr>
        <w:t>,</w:t>
      </w:r>
      <w:r>
        <w:rPr>
          <w:rFonts w:ascii="Book Antiqua" w:eastAsia="Book Antiqua" w:hAnsi="Book Antiqua" w:cs="Book Antiqua"/>
          <w:color w:val="000000"/>
        </w:rPr>
        <w:t xml:space="preserve"> Chinese Medical Association; Fatty Liver Expert Committee, Chinese Medical Doctor Association. Guidelines of prevention and treatment for nonalcoholic fatty liver disease: a 2018 update. </w:t>
      </w:r>
      <w:proofErr w:type="spellStart"/>
      <w:r w:rsidR="006B665B" w:rsidRPr="006B665B">
        <w:rPr>
          <w:rFonts w:ascii="Book Antiqua" w:eastAsia="Book Antiqua" w:hAnsi="Book Antiqua" w:cs="Book Antiqua"/>
          <w:i/>
          <w:iCs/>
          <w:color w:val="000000"/>
        </w:rPr>
        <w:t>Linchuang</w:t>
      </w:r>
      <w:proofErr w:type="spellEnd"/>
      <w:r w:rsidR="006B665B" w:rsidRPr="006B665B">
        <w:rPr>
          <w:rFonts w:ascii="Book Antiqua" w:eastAsia="Book Antiqua" w:hAnsi="Book Antiqua" w:cs="Book Antiqua"/>
          <w:i/>
          <w:iCs/>
          <w:color w:val="000000"/>
        </w:rPr>
        <w:t xml:space="preserve"> </w:t>
      </w:r>
      <w:proofErr w:type="spellStart"/>
      <w:r w:rsidR="006B665B" w:rsidRPr="006B665B">
        <w:rPr>
          <w:rFonts w:ascii="Book Antiqua" w:eastAsia="Book Antiqua" w:hAnsi="Book Antiqua" w:cs="Book Antiqua"/>
          <w:i/>
          <w:iCs/>
          <w:color w:val="000000"/>
        </w:rPr>
        <w:t>Gandan</w:t>
      </w:r>
      <w:proofErr w:type="spellEnd"/>
      <w:r w:rsidR="006B665B">
        <w:rPr>
          <w:rFonts w:ascii="Book Antiqua" w:eastAsia="Book Antiqua" w:hAnsi="Book Antiqua" w:cs="Book Antiqua"/>
          <w:i/>
          <w:iCs/>
          <w:color w:val="000000"/>
        </w:rPr>
        <w:t xml:space="preserve"> B</w:t>
      </w:r>
      <w:r w:rsidR="006B665B" w:rsidRPr="006B665B">
        <w:rPr>
          <w:rFonts w:ascii="Book Antiqua" w:eastAsia="Book Antiqua" w:hAnsi="Book Antiqua" w:cs="Book Antiqua"/>
          <w:i/>
          <w:iCs/>
          <w:color w:val="000000"/>
        </w:rPr>
        <w:t xml:space="preserve">ing </w:t>
      </w:r>
      <w:proofErr w:type="spellStart"/>
      <w:r w:rsidR="006B665B" w:rsidRPr="006B665B">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2018;</w:t>
      </w:r>
      <w:r w:rsidR="006B665B">
        <w:rPr>
          <w:rFonts w:ascii="Book Antiqua" w:eastAsia="Book Antiqua" w:hAnsi="Book Antiqua" w:cs="Book Antiqua"/>
          <w:color w:val="000000"/>
        </w:rPr>
        <w:t xml:space="preserve"> </w:t>
      </w:r>
      <w:r w:rsidRPr="006B665B">
        <w:rPr>
          <w:rFonts w:ascii="Book Antiqua" w:eastAsia="Book Antiqua" w:hAnsi="Book Antiqua" w:cs="Book Antiqua"/>
          <w:b/>
          <w:bCs/>
          <w:color w:val="000000"/>
        </w:rPr>
        <w:t>34</w:t>
      </w:r>
      <w:r>
        <w:rPr>
          <w:rFonts w:ascii="Book Antiqua" w:eastAsia="Book Antiqua" w:hAnsi="Book Antiqua" w:cs="Book Antiqua"/>
          <w:color w:val="000000"/>
        </w:rPr>
        <w:t>:</w:t>
      </w:r>
      <w:r w:rsidR="006B665B">
        <w:rPr>
          <w:rFonts w:ascii="Book Antiqua" w:eastAsia="Book Antiqua" w:hAnsi="Book Antiqua" w:cs="Book Antiqua"/>
          <w:color w:val="000000"/>
        </w:rPr>
        <w:t xml:space="preserve"> </w:t>
      </w:r>
      <w:r>
        <w:rPr>
          <w:rFonts w:ascii="Book Antiqua" w:eastAsia="Book Antiqua" w:hAnsi="Book Antiqua" w:cs="Book Antiqua"/>
          <w:color w:val="000000"/>
        </w:rPr>
        <w:t>947-</w:t>
      </w:r>
      <w:r w:rsidR="006B665B">
        <w:rPr>
          <w:rFonts w:ascii="Book Antiqua" w:eastAsia="Book Antiqua" w:hAnsi="Book Antiqua" w:cs="Book Antiqua"/>
          <w:color w:val="000000"/>
        </w:rPr>
        <w:t>9</w:t>
      </w:r>
      <w:r>
        <w:rPr>
          <w:rFonts w:ascii="Book Antiqua" w:eastAsia="Book Antiqua" w:hAnsi="Book Antiqua" w:cs="Book Antiqua"/>
          <w:color w:val="000000"/>
        </w:rPr>
        <w:t>57</w:t>
      </w:r>
    </w:p>
    <w:p w14:paraId="647EC7F7" w14:textId="51FFF874" w:rsidR="00A77B3E" w:rsidRDefault="000315D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Zhou J</w:t>
      </w:r>
      <w:r>
        <w:rPr>
          <w:rFonts w:ascii="Book Antiqua" w:eastAsia="Book Antiqua" w:hAnsi="Book Antiqua" w:cs="Book Antiqua"/>
          <w:color w:val="000000"/>
        </w:rPr>
        <w:t xml:space="preserve">, Zhou F, Wang W, Zhang XJ, Ji YX, Zhang P, She ZG, Zhu L,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J, Li H. Epidemiological Features of NAFLD From 1999 to 2018 in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1851-1864 [PMID: 32012320 DOI: 10.1002/hep.31150</w:t>
      </w:r>
      <w:r w:rsidR="007A0873">
        <w:rPr>
          <w:rFonts w:ascii="Book Antiqua" w:eastAsia="Book Antiqua" w:hAnsi="Book Antiqua" w:cs="Book Antiqua"/>
          <w:color w:val="000000"/>
        </w:rPr>
        <w:t>]</w:t>
      </w:r>
    </w:p>
    <w:p w14:paraId="6ECA3887" w14:textId="56DEEBE5" w:rsidR="00A77B3E" w:rsidRDefault="000315DE">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Mieli-Vergani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Krawitt</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JM, Lohse AW, Montano-</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AJ. Autoimmune hepatitis.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18017 [PMID: 29644994 DOI: 10.1038/nrdp.2018.17</w:t>
      </w:r>
      <w:r w:rsidR="007A0873">
        <w:rPr>
          <w:rFonts w:ascii="Book Antiqua" w:eastAsia="Book Antiqua" w:hAnsi="Book Antiqua" w:cs="Book Antiqua"/>
          <w:color w:val="000000"/>
        </w:rPr>
        <w:t>]</w:t>
      </w:r>
    </w:p>
    <w:p w14:paraId="5EE77F2A" w14:textId="1D37171E" w:rsidR="00A77B3E" w:rsidRDefault="000315D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Wong VW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Hiriart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Wong GL, </w:t>
      </w:r>
      <w:proofErr w:type="spellStart"/>
      <w:r>
        <w:rPr>
          <w:rFonts w:ascii="Book Antiqua" w:eastAsia="Book Antiqua" w:hAnsi="Book Antiqua" w:cs="Book Antiqua"/>
          <w:color w:val="000000"/>
        </w:rPr>
        <w:t>Marra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Vergniol</w:t>
      </w:r>
      <w:proofErr w:type="spellEnd"/>
      <w:r>
        <w:rPr>
          <w:rFonts w:ascii="Book Antiqua" w:eastAsia="Book Antiqua" w:hAnsi="Book Antiqua" w:cs="Book Antiqua"/>
          <w:color w:val="000000"/>
        </w:rPr>
        <w:t xml:space="preserve"> J, Chan AW, </w:t>
      </w:r>
      <w:proofErr w:type="spellStart"/>
      <w:r>
        <w:rPr>
          <w:rFonts w:ascii="Book Antiqua" w:eastAsia="Book Antiqua" w:hAnsi="Book Antiqua" w:cs="Book Antiqua"/>
          <w:color w:val="000000"/>
        </w:rPr>
        <w:t>Tuttolomondo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Merrouche</w:t>
      </w:r>
      <w:proofErr w:type="spellEnd"/>
      <w:r>
        <w:rPr>
          <w:rFonts w:ascii="Book Antiqua" w:eastAsia="Book Antiqua" w:hAnsi="Book Antiqua" w:cs="Book Antiqua"/>
          <w:color w:val="000000"/>
        </w:rPr>
        <w:t xml:space="preserve"> W, Chan HL, Le Bail B, Arena U,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Lédinghen</w:t>
      </w:r>
      <w:proofErr w:type="spellEnd"/>
      <w:r>
        <w:rPr>
          <w:rFonts w:ascii="Book Antiqua" w:eastAsia="Book Antiqua" w:hAnsi="Book Antiqua" w:cs="Book Antiqua"/>
          <w:color w:val="000000"/>
        </w:rPr>
        <w:t xml:space="preserve"> V. Validity criteria for the diagnosis of fatty liver by M probe-based controlled attenuation parameter.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577-584 [PMID: 28506907 DOI: 10.1016/j.jhep.2017.05.005</w:t>
      </w:r>
      <w:r w:rsidR="007A0873">
        <w:rPr>
          <w:rFonts w:ascii="Book Antiqua" w:eastAsia="Book Antiqua" w:hAnsi="Book Antiqua" w:cs="Book Antiqua"/>
          <w:color w:val="000000"/>
        </w:rPr>
        <w:t>]</w:t>
      </w:r>
    </w:p>
    <w:p w14:paraId="72064C4A" w14:textId="4641282C" w:rsidR="00A77B3E" w:rsidRDefault="000315D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Lédinghen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Vergniol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Capdepont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Chermak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Hiriart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Cassinotto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Merrouche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Foucher</w:t>
      </w:r>
      <w:proofErr w:type="spellEnd"/>
      <w:r>
        <w:rPr>
          <w:rFonts w:ascii="Book Antiqua" w:eastAsia="Book Antiqua" w:hAnsi="Book Antiqua" w:cs="Book Antiqua"/>
          <w:color w:val="000000"/>
        </w:rPr>
        <w:t xml:space="preserve"> J, Brigitte le B. Controlled attenuation parameter (CAP) for the diagnosis of steatosis: a prospective study of 5323 examinations.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1026-1031 [PMID: 24378529 DOI: 10.1016/j.jhep.2013.12.018</w:t>
      </w:r>
      <w:r w:rsidR="007A0873">
        <w:rPr>
          <w:rFonts w:ascii="Book Antiqua" w:eastAsia="Book Antiqua" w:hAnsi="Book Antiqua" w:cs="Book Antiqua"/>
          <w:color w:val="000000"/>
        </w:rPr>
        <w:t>]</w:t>
      </w:r>
    </w:p>
    <w:p w14:paraId="76A9B182" w14:textId="1F06005E" w:rsidR="00A77B3E" w:rsidRDefault="000315D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Shen F</w:t>
      </w:r>
      <w:r>
        <w:rPr>
          <w:rFonts w:ascii="Book Antiqua" w:eastAsia="Book Antiqua" w:hAnsi="Book Antiqua" w:cs="Book Antiqua"/>
          <w:color w:val="000000"/>
        </w:rPr>
        <w:t xml:space="preserve">, Zheng RD, Shi JP, </w:t>
      </w:r>
      <w:proofErr w:type="spellStart"/>
      <w:r>
        <w:rPr>
          <w:rFonts w:ascii="Book Antiqua" w:eastAsia="Book Antiqua" w:hAnsi="Book Antiqua" w:cs="Book Antiqua"/>
          <w:color w:val="000000"/>
        </w:rPr>
        <w:t>Mi</w:t>
      </w:r>
      <w:proofErr w:type="spellEnd"/>
      <w:r>
        <w:rPr>
          <w:rFonts w:ascii="Book Antiqua" w:eastAsia="Book Antiqua" w:hAnsi="Book Antiqua" w:cs="Book Antiqua"/>
          <w:color w:val="000000"/>
        </w:rPr>
        <w:t xml:space="preserve"> YQ, Chen GF, Hu X, Liu YG, Wang XY, Pan Q, Chen GY, Chen JN, Xu L, Zhang RN, Xu LM, Fan JG. Impact of skin capsular distance on the performance of controlled attenuation parameter in patients with chronic liver disease.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xml:space="preserve">: 2392-2400 [PMID: 25689614 </w:t>
      </w:r>
      <w:r w:rsidR="003B677E" w:rsidRPr="003B677E">
        <w:rPr>
          <w:rFonts w:ascii="Book Antiqua" w:eastAsia="Book Antiqua" w:hAnsi="Book Antiqua" w:cs="Book Antiqua"/>
          <w:color w:val="000000"/>
        </w:rPr>
        <w:t>DOI: 10.1111/liv.12809</w:t>
      </w:r>
      <w:r w:rsidR="007A0873">
        <w:rPr>
          <w:rFonts w:ascii="Book Antiqua" w:eastAsia="Book Antiqua" w:hAnsi="Book Antiqua" w:cs="Book Antiqua"/>
          <w:color w:val="000000"/>
        </w:rPr>
        <w:t>]</w:t>
      </w:r>
    </w:p>
    <w:p w14:paraId="670BC787" w14:textId="7608DED7" w:rsidR="00A77B3E" w:rsidRDefault="000315DE">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Petta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Wong VW,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Hiriart</w:t>
      </w:r>
      <w:proofErr w:type="spellEnd"/>
      <w:r>
        <w:rPr>
          <w:rFonts w:ascii="Book Antiqua" w:eastAsia="Book Antiqua" w:hAnsi="Book Antiqua" w:cs="Book Antiqua"/>
          <w:color w:val="000000"/>
        </w:rPr>
        <w:t xml:space="preserve"> JB, Wong GL, </w:t>
      </w:r>
      <w:proofErr w:type="spellStart"/>
      <w:r>
        <w:rPr>
          <w:rFonts w:ascii="Book Antiqua" w:eastAsia="Book Antiqua" w:hAnsi="Book Antiqua" w:cs="Book Antiqua"/>
          <w:color w:val="000000"/>
        </w:rPr>
        <w:t>Marra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Vergniol</w:t>
      </w:r>
      <w:proofErr w:type="spellEnd"/>
      <w:r>
        <w:rPr>
          <w:rFonts w:ascii="Book Antiqua" w:eastAsia="Book Antiqua" w:hAnsi="Book Antiqua" w:cs="Book Antiqua"/>
          <w:color w:val="000000"/>
        </w:rPr>
        <w:t xml:space="preserve"> J, Chan AW, Di Marco V, </w:t>
      </w:r>
      <w:proofErr w:type="spellStart"/>
      <w:r>
        <w:rPr>
          <w:rFonts w:ascii="Book Antiqua" w:eastAsia="Book Antiqua" w:hAnsi="Book Antiqua" w:cs="Book Antiqua"/>
          <w:color w:val="000000"/>
        </w:rPr>
        <w:t>Merrouche</w:t>
      </w:r>
      <w:proofErr w:type="spellEnd"/>
      <w:r>
        <w:rPr>
          <w:rFonts w:ascii="Book Antiqua" w:eastAsia="Book Antiqua" w:hAnsi="Book Antiqua" w:cs="Book Antiqua"/>
          <w:color w:val="000000"/>
        </w:rPr>
        <w:t xml:space="preserve"> W, Chan HL, Barbara M, Le-Bail B, Arena U,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Improved noninvasive prediction of liver fibrosis by liver stiffness measurement in patients with nonalcoholic fatty liver disease accounting for controlled </w:t>
      </w:r>
      <w:r>
        <w:rPr>
          <w:rFonts w:ascii="Book Antiqua" w:eastAsia="Book Antiqua" w:hAnsi="Book Antiqua" w:cs="Book Antiqua"/>
          <w:color w:val="000000"/>
        </w:rPr>
        <w:lastRenderedPageBreak/>
        <w:t xml:space="preserve">attenuation parameter values.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1145-1155 [PMID: 27639088 DOI: 10.1002/hep.28843</w:t>
      </w:r>
      <w:r w:rsidR="007A0873">
        <w:rPr>
          <w:rFonts w:ascii="Book Antiqua" w:eastAsia="Book Antiqua" w:hAnsi="Book Antiqua" w:cs="Book Antiqua"/>
          <w:color w:val="000000"/>
        </w:rPr>
        <w:t>]</w:t>
      </w:r>
    </w:p>
    <w:p w14:paraId="49F27742" w14:textId="07A49D36" w:rsidR="00A77B3E" w:rsidRDefault="000315DE">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Oeda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Takahashi H, </w:t>
      </w:r>
      <w:proofErr w:type="spellStart"/>
      <w:r>
        <w:rPr>
          <w:rFonts w:ascii="Book Antiqua" w:eastAsia="Book Antiqua" w:hAnsi="Book Antiqua" w:cs="Book Antiqua"/>
          <w:color w:val="000000"/>
        </w:rPr>
        <w:t>Imajo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Seko</w:t>
      </w:r>
      <w:proofErr w:type="spellEnd"/>
      <w:r>
        <w:rPr>
          <w:rFonts w:ascii="Book Antiqua" w:eastAsia="Book Antiqua" w:hAnsi="Book Antiqua" w:cs="Book Antiqua"/>
          <w:color w:val="000000"/>
        </w:rPr>
        <w:t xml:space="preserve"> Y, Ogawa Y, </w:t>
      </w:r>
      <w:proofErr w:type="spellStart"/>
      <w:r>
        <w:rPr>
          <w:rFonts w:ascii="Book Antiqua" w:eastAsia="Book Antiqua" w:hAnsi="Book Antiqua" w:cs="Book Antiqua"/>
          <w:color w:val="000000"/>
        </w:rPr>
        <w:t>Moriguchi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Anzai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Aishima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Kage</w:t>
      </w:r>
      <w:proofErr w:type="spellEnd"/>
      <w:r>
        <w:rPr>
          <w:rFonts w:ascii="Book Antiqua" w:eastAsia="Book Antiqua" w:hAnsi="Book Antiqua" w:cs="Book Antiqua"/>
          <w:color w:val="000000"/>
        </w:rPr>
        <w:t xml:space="preserve"> M, Itoh Y, Nakajima A,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Y. Accuracy of liver stiffness measurement and controlled attenuation parameter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M/XL probes to diagnose liver fibrosis and steatosis in patients with nonalcoholic fatty liver disease: a multicenter prospective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428-440 [PMID: 31654131 DOI: 10.1007/s00535-019-01635-0</w:t>
      </w:r>
      <w:r w:rsidR="007A0873">
        <w:rPr>
          <w:rFonts w:ascii="Book Antiqua" w:eastAsia="Book Antiqua" w:hAnsi="Book Antiqua" w:cs="Book Antiqua"/>
          <w:color w:val="000000"/>
        </w:rPr>
        <w:t>]</w:t>
      </w:r>
    </w:p>
    <w:p w14:paraId="75D60A6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F5ABD35" w14:textId="77777777" w:rsidR="00A77B3E" w:rsidRDefault="000315DE">
      <w:pPr>
        <w:spacing w:line="360" w:lineRule="auto"/>
        <w:jc w:val="both"/>
      </w:pPr>
      <w:r>
        <w:rPr>
          <w:rFonts w:ascii="Book Antiqua" w:eastAsia="Book Antiqua" w:hAnsi="Book Antiqua" w:cs="Book Antiqua"/>
          <w:b/>
          <w:color w:val="000000"/>
        </w:rPr>
        <w:lastRenderedPageBreak/>
        <w:t>Footnotes</w:t>
      </w:r>
    </w:p>
    <w:p w14:paraId="47196A5A" w14:textId="77777777" w:rsidR="00A77B3E" w:rsidRDefault="000315D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reviewed and approved by the Ethics Committee of </w:t>
      </w:r>
      <w:proofErr w:type="spellStart"/>
      <w:r>
        <w:rPr>
          <w:rFonts w:ascii="Book Antiqua" w:eastAsia="Book Antiqua" w:hAnsi="Book Antiqua" w:cs="Book Antiqua"/>
          <w:color w:val="000000"/>
        </w:rPr>
        <w:t>Renji</w:t>
      </w:r>
      <w:proofErr w:type="spellEnd"/>
      <w:r>
        <w:rPr>
          <w:rFonts w:ascii="Book Antiqua" w:eastAsia="Book Antiqua" w:hAnsi="Book Antiqua" w:cs="Book Antiqua"/>
          <w:color w:val="000000"/>
        </w:rPr>
        <w:t xml:space="preserve"> Hospital.</w:t>
      </w:r>
    </w:p>
    <w:p w14:paraId="3511DF34" w14:textId="77777777" w:rsidR="00A77B3E" w:rsidRDefault="00A77B3E">
      <w:pPr>
        <w:spacing w:line="360" w:lineRule="auto"/>
        <w:jc w:val="both"/>
      </w:pPr>
    </w:p>
    <w:p w14:paraId="09ACA5EF" w14:textId="77777777" w:rsidR="00A77B3E" w:rsidRDefault="000315D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3F6685B6" w14:textId="77777777" w:rsidR="00A77B3E" w:rsidRDefault="00A77B3E">
      <w:pPr>
        <w:spacing w:line="360" w:lineRule="auto"/>
        <w:jc w:val="both"/>
      </w:pPr>
    </w:p>
    <w:p w14:paraId="5B246052" w14:textId="5784D020" w:rsidR="00A77B3E" w:rsidRDefault="000315DE">
      <w:pPr>
        <w:spacing w:line="360" w:lineRule="auto"/>
        <w:jc w:val="both"/>
      </w:pPr>
      <w:r>
        <w:rPr>
          <w:rFonts w:ascii="Book Antiqua" w:eastAsia="Book Antiqua" w:hAnsi="Book Antiqua" w:cs="Book Antiqua"/>
          <w:b/>
          <w:bCs/>
          <w:color w:val="000000"/>
        </w:rPr>
        <w:t xml:space="preserve">Conflict-of-interest statement: </w:t>
      </w:r>
      <w:r w:rsidR="00CF34E5">
        <w:rPr>
          <w:rFonts w:ascii="Book Antiqua" w:eastAsia="Book Antiqua" w:hAnsi="Book Antiqua" w:cs="Book Antiqua"/>
          <w:color w:val="000000"/>
        </w:rPr>
        <w:t>The authors</w:t>
      </w:r>
      <w:r>
        <w:rPr>
          <w:rFonts w:ascii="Book Antiqua" w:eastAsia="Book Antiqua" w:hAnsi="Book Antiqua" w:cs="Book Antiqua"/>
          <w:color w:val="000000"/>
        </w:rPr>
        <w:t xml:space="preserve"> have no financial relationships to disclose.</w:t>
      </w:r>
    </w:p>
    <w:p w14:paraId="1D901563" w14:textId="77777777" w:rsidR="00A77B3E" w:rsidRDefault="00A77B3E">
      <w:pPr>
        <w:spacing w:line="360" w:lineRule="auto"/>
        <w:jc w:val="both"/>
      </w:pPr>
    </w:p>
    <w:p w14:paraId="3B914A83" w14:textId="77777777" w:rsidR="00A77B3E" w:rsidRDefault="000315DE">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4FE44B5F" w14:textId="77777777" w:rsidR="00A77B3E" w:rsidRDefault="00A77B3E">
      <w:pPr>
        <w:spacing w:line="360" w:lineRule="auto"/>
        <w:jc w:val="both"/>
      </w:pPr>
    </w:p>
    <w:p w14:paraId="5D737DE1" w14:textId="77777777" w:rsidR="00A77B3E" w:rsidRDefault="000315D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B11793" w14:textId="77777777" w:rsidR="00A77B3E" w:rsidRDefault="00A77B3E">
      <w:pPr>
        <w:spacing w:line="360" w:lineRule="auto"/>
        <w:jc w:val="both"/>
      </w:pPr>
    </w:p>
    <w:p w14:paraId="4EE23F63" w14:textId="23B5BDFE" w:rsidR="00A77B3E" w:rsidRDefault="000315D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613A9">
        <w:rPr>
          <w:rFonts w:ascii="Book Antiqua" w:eastAsia="Book Antiqua" w:hAnsi="Book Antiqua" w:cs="Book Antiqua"/>
          <w:color w:val="000000"/>
        </w:rPr>
        <w:t>m</w:t>
      </w:r>
      <w:r>
        <w:rPr>
          <w:rFonts w:ascii="Book Antiqua" w:eastAsia="Book Antiqua" w:hAnsi="Book Antiqua" w:cs="Book Antiqua"/>
          <w:color w:val="000000"/>
        </w:rPr>
        <w:t>anuscript</w:t>
      </w:r>
    </w:p>
    <w:p w14:paraId="58A6A2C3" w14:textId="77777777" w:rsidR="00A77B3E" w:rsidRDefault="00A77B3E">
      <w:pPr>
        <w:spacing w:line="360" w:lineRule="auto"/>
        <w:jc w:val="both"/>
      </w:pPr>
    </w:p>
    <w:p w14:paraId="0BBEFEF7" w14:textId="77777777" w:rsidR="00A77B3E" w:rsidRDefault="000315D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11, 2020</w:t>
      </w:r>
    </w:p>
    <w:p w14:paraId="39480154" w14:textId="77777777" w:rsidR="00A77B3E" w:rsidRDefault="000315D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23, 2020</w:t>
      </w:r>
    </w:p>
    <w:p w14:paraId="1A67C4D1" w14:textId="77777777" w:rsidR="00A77B3E" w:rsidRDefault="000315DE">
      <w:pPr>
        <w:spacing w:line="360" w:lineRule="auto"/>
        <w:jc w:val="both"/>
      </w:pPr>
      <w:r>
        <w:rPr>
          <w:rFonts w:ascii="Book Antiqua" w:eastAsia="Book Antiqua" w:hAnsi="Book Antiqua" w:cs="Book Antiqua"/>
          <w:b/>
          <w:color w:val="000000"/>
        </w:rPr>
        <w:t xml:space="preserve">Article in press: </w:t>
      </w:r>
    </w:p>
    <w:p w14:paraId="19F63C7A" w14:textId="77777777" w:rsidR="00A77B3E" w:rsidRDefault="00A77B3E">
      <w:pPr>
        <w:spacing w:line="360" w:lineRule="auto"/>
        <w:jc w:val="both"/>
      </w:pPr>
    </w:p>
    <w:p w14:paraId="167AD0CA" w14:textId="404DC1D5" w:rsidR="00A77B3E" w:rsidRDefault="000315D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9613A9">
        <w:rPr>
          <w:rFonts w:ascii="Book Antiqua" w:eastAsia="Book Antiqua" w:hAnsi="Book Antiqua" w:cs="Book Antiqua"/>
          <w:color w:val="000000"/>
        </w:rPr>
        <w:t>h</w:t>
      </w:r>
      <w:r>
        <w:rPr>
          <w:rFonts w:ascii="Book Antiqua" w:eastAsia="Book Antiqua" w:hAnsi="Book Antiqua" w:cs="Book Antiqua"/>
          <w:color w:val="000000"/>
        </w:rPr>
        <w:t>epatology</w:t>
      </w:r>
    </w:p>
    <w:p w14:paraId="00A89F44" w14:textId="77777777" w:rsidR="00A77B3E" w:rsidRDefault="000315D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FF2AAEC" w14:textId="77777777" w:rsidR="00A77B3E" w:rsidRDefault="000315DE">
      <w:pPr>
        <w:spacing w:line="360" w:lineRule="auto"/>
        <w:jc w:val="both"/>
      </w:pPr>
      <w:r>
        <w:rPr>
          <w:rFonts w:ascii="Book Antiqua" w:eastAsia="Book Antiqua" w:hAnsi="Book Antiqua" w:cs="Book Antiqua"/>
          <w:b/>
          <w:color w:val="000000"/>
        </w:rPr>
        <w:t>Peer-review report’s scientific quality classification</w:t>
      </w:r>
    </w:p>
    <w:p w14:paraId="7B941AEA" w14:textId="77777777" w:rsidR="00A77B3E" w:rsidRDefault="000315DE">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BD97FFC" w14:textId="77777777" w:rsidR="00A77B3E" w:rsidRDefault="000315DE">
      <w:pPr>
        <w:spacing w:line="360" w:lineRule="auto"/>
        <w:jc w:val="both"/>
      </w:pPr>
      <w:r>
        <w:rPr>
          <w:rFonts w:ascii="Book Antiqua" w:eastAsia="Book Antiqua" w:hAnsi="Book Antiqua" w:cs="Book Antiqua"/>
          <w:color w:val="000000"/>
        </w:rPr>
        <w:lastRenderedPageBreak/>
        <w:t>Grade B (Very good): 0</w:t>
      </w:r>
    </w:p>
    <w:p w14:paraId="620FE5D9" w14:textId="77777777" w:rsidR="00A77B3E" w:rsidRDefault="000315DE">
      <w:pPr>
        <w:spacing w:line="360" w:lineRule="auto"/>
        <w:jc w:val="both"/>
      </w:pPr>
      <w:r>
        <w:rPr>
          <w:rFonts w:ascii="Book Antiqua" w:eastAsia="Book Antiqua" w:hAnsi="Book Antiqua" w:cs="Book Antiqua"/>
          <w:color w:val="000000"/>
        </w:rPr>
        <w:t>Grade C (Good): C</w:t>
      </w:r>
    </w:p>
    <w:p w14:paraId="16F1A70D" w14:textId="77777777" w:rsidR="00A77B3E" w:rsidRDefault="000315DE">
      <w:pPr>
        <w:spacing w:line="360" w:lineRule="auto"/>
        <w:jc w:val="both"/>
      </w:pPr>
      <w:r>
        <w:rPr>
          <w:rFonts w:ascii="Book Antiqua" w:eastAsia="Book Antiqua" w:hAnsi="Book Antiqua" w:cs="Book Antiqua"/>
          <w:color w:val="000000"/>
        </w:rPr>
        <w:t>Grade D (Fair): 0</w:t>
      </w:r>
    </w:p>
    <w:p w14:paraId="4FA262CE" w14:textId="77777777" w:rsidR="00A77B3E" w:rsidRDefault="000315DE">
      <w:pPr>
        <w:spacing w:line="360" w:lineRule="auto"/>
        <w:jc w:val="both"/>
      </w:pPr>
      <w:r>
        <w:rPr>
          <w:rFonts w:ascii="Book Antiqua" w:eastAsia="Book Antiqua" w:hAnsi="Book Antiqua" w:cs="Book Antiqua"/>
          <w:color w:val="000000"/>
        </w:rPr>
        <w:t>Grade E (Poor): 0</w:t>
      </w:r>
    </w:p>
    <w:p w14:paraId="23B564CF" w14:textId="77777777" w:rsidR="00A77B3E" w:rsidRDefault="00A77B3E">
      <w:pPr>
        <w:spacing w:line="360" w:lineRule="auto"/>
        <w:jc w:val="both"/>
      </w:pPr>
    </w:p>
    <w:p w14:paraId="00E9293A" w14:textId="613A02FE" w:rsidR="00A77B3E" w:rsidRDefault="000315D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Kita K</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w:t>
      </w:r>
      <w:r>
        <w:rPr>
          <w:rFonts w:ascii="Book Antiqua" w:eastAsia="Book Antiqua" w:hAnsi="Book Antiqua" w:cs="Book Antiqua"/>
          <w:b/>
          <w:color w:val="000000"/>
        </w:rPr>
        <w:t xml:space="preserve">-Editor: </w:t>
      </w:r>
      <w:r w:rsidR="0009789F" w:rsidRPr="00620B8D">
        <w:rPr>
          <w:rFonts w:ascii="Book Antiqua" w:eastAsia="Book Antiqua" w:hAnsi="Book Antiqua" w:cs="Book Antiqua"/>
          <w:color w:val="000000"/>
        </w:rPr>
        <w:t>Wang TQ</w:t>
      </w:r>
      <w:r>
        <w:rPr>
          <w:rFonts w:ascii="Book Antiqua" w:eastAsia="Book Antiqua" w:hAnsi="Book Antiqua" w:cs="Book Antiqua"/>
          <w:b/>
          <w:color w:val="000000"/>
        </w:rPr>
        <w:t xml:space="preserve"> P-Ed</w:t>
      </w:r>
      <w:r>
        <w:rPr>
          <w:rFonts w:ascii="Book Antiqua" w:eastAsia="Book Antiqua" w:hAnsi="Book Antiqua" w:cs="Book Antiqua"/>
          <w:b/>
          <w:color w:val="000000"/>
        </w:rPr>
        <w:t xml:space="preserve">itor: </w:t>
      </w:r>
    </w:p>
    <w:p w14:paraId="5C1AA1E0" w14:textId="77777777" w:rsidR="006C574D" w:rsidRDefault="006C574D">
      <w:pPr>
        <w:spacing w:line="360" w:lineRule="auto"/>
        <w:jc w:val="both"/>
        <w:sectPr w:rsidR="006C574D">
          <w:pgSz w:w="12240" w:h="15840"/>
          <w:pgMar w:top="1440" w:right="1440" w:bottom="1440" w:left="1440" w:header="720" w:footer="720" w:gutter="0"/>
          <w:cols w:space="720"/>
          <w:docGrid w:linePitch="360"/>
        </w:sectPr>
      </w:pPr>
    </w:p>
    <w:p w14:paraId="0BDF4940" w14:textId="0211F0C2" w:rsidR="00A77B3E" w:rsidRDefault="000315D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54DF6EE" w14:textId="0ADCB590" w:rsidR="009613A9" w:rsidRDefault="009613A9">
      <w:pPr>
        <w:spacing w:line="360" w:lineRule="auto"/>
        <w:jc w:val="both"/>
      </w:pPr>
      <w:r>
        <w:rPr>
          <w:noProof/>
          <w:lang w:eastAsia="zh-CN"/>
        </w:rPr>
        <w:drawing>
          <wp:inline distT="0" distB="0" distL="0" distR="0" wp14:anchorId="0618FEF3" wp14:editId="302EB4D9">
            <wp:extent cx="59436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412240"/>
                    </a:xfrm>
                    <a:prstGeom prst="rect">
                      <a:avLst/>
                    </a:prstGeom>
                  </pic:spPr>
                </pic:pic>
              </a:graphicData>
            </a:graphic>
          </wp:inline>
        </w:drawing>
      </w:r>
    </w:p>
    <w:p w14:paraId="1009D20E" w14:textId="513AF752" w:rsidR="009613A9" w:rsidRDefault="000315D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proofErr w:type="gramStart"/>
      <w:r>
        <w:rPr>
          <w:rFonts w:ascii="Book Antiqua" w:eastAsia="Book Antiqua" w:hAnsi="Book Antiqua" w:cs="Book Antiqua"/>
          <w:b/>
          <w:bCs/>
          <w:color w:val="000000"/>
        </w:rPr>
        <w:t>The</w:t>
      </w:r>
      <w:proofErr w:type="gramEnd"/>
      <w:r>
        <w:rPr>
          <w:rFonts w:ascii="Book Antiqua" w:eastAsia="Book Antiqua" w:hAnsi="Book Antiqua" w:cs="Book Antiqua"/>
          <w:b/>
          <w:bCs/>
          <w:color w:val="000000"/>
        </w:rPr>
        <w:t xml:space="preserve"> receiver operator characteristic curve of </w:t>
      </w:r>
      <w:r w:rsidR="009613A9" w:rsidRPr="009613A9">
        <w:rPr>
          <w:rFonts w:ascii="Book Antiqua" w:eastAsia="Book Antiqua" w:hAnsi="Book Antiqua" w:cs="Book Antiqua"/>
          <w:b/>
          <w:bCs/>
          <w:color w:val="000000"/>
        </w:rPr>
        <w:t xml:space="preserve">controlled attenuation parameter </w:t>
      </w:r>
      <w:r>
        <w:rPr>
          <w:rFonts w:ascii="Book Antiqua" w:eastAsia="Book Antiqua" w:hAnsi="Book Antiqua" w:cs="Book Antiqua"/>
          <w:b/>
          <w:bCs/>
          <w:color w:val="000000"/>
        </w:rPr>
        <w:t>f</w:t>
      </w:r>
      <w:r>
        <w:rPr>
          <w:rFonts w:ascii="Book Antiqua" w:eastAsia="Book Antiqua" w:hAnsi="Book Antiqua" w:cs="Book Antiqua"/>
          <w:b/>
          <w:bCs/>
          <w:color w:val="000000"/>
        </w:rPr>
        <w:t>or</w:t>
      </w:r>
      <w:r w:rsidR="0009789F">
        <w:rPr>
          <w:rFonts w:ascii="Book Antiqua" w:eastAsia="Book Antiqua" w:hAnsi="Book Antiqua" w:cs="Book Antiqua"/>
          <w:b/>
          <w:bCs/>
          <w:color w:val="000000"/>
        </w:rPr>
        <w:t xml:space="preserve"> </w:t>
      </w:r>
      <w:r>
        <w:rPr>
          <w:rFonts w:ascii="Book Antiqua" w:eastAsia="Book Antiqua" w:hAnsi="Book Antiqua" w:cs="Book Antiqua"/>
          <w:b/>
          <w:bCs/>
          <w:color w:val="000000"/>
        </w:rPr>
        <w:t>diagnosis of hepatic steatosis grade in patients with mixed etiology liver disease.</w:t>
      </w:r>
      <w:r>
        <w:rPr>
          <w:rFonts w:ascii="Book Antiqua" w:eastAsia="Book Antiqua" w:hAnsi="Book Antiqua" w:cs="Book Antiqua"/>
          <w:color w:val="000000"/>
        </w:rPr>
        <w:t xml:space="preserve"> A</w:t>
      </w:r>
      <w:r w:rsidR="009613A9">
        <w:rPr>
          <w:rFonts w:ascii="Book Antiqua" w:eastAsia="Book Antiqua" w:hAnsi="Book Antiqua" w:cs="Book Antiqua"/>
          <w:color w:val="000000"/>
        </w:rPr>
        <w:t>:</w:t>
      </w:r>
      <w:r>
        <w:rPr>
          <w:rFonts w:ascii="Book Antiqua" w:eastAsia="Book Antiqua" w:hAnsi="Book Antiqua" w:cs="Book Antiqua"/>
          <w:color w:val="000000"/>
        </w:rPr>
        <w:t xml:space="preserve"> Correlation between the </w:t>
      </w:r>
      <w:r w:rsidR="009613A9">
        <w:rPr>
          <w:rFonts w:ascii="Book Antiqua" w:eastAsia="Book Antiqua" w:hAnsi="Book Antiqua" w:cs="Book Antiqua"/>
          <w:color w:val="000000"/>
        </w:rPr>
        <w:t>controlled attenuation parameter (</w:t>
      </w:r>
      <w:r>
        <w:rPr>
          <w:rFonts w:ascii="Book Antiqua" w:eastAsia="Book Antiqua" w:hAnsi="Book Antiqua" w:cs="Book Antiqua"/>
          <w:color w:val="000000"/>
        </w:rPr>
        <w:t>CAP</w:t>
      </w:r>
      <w:r w:rsidR="009613A9">
        <w:rPr>
          <w:rFonts w:ascii="Book Antiqua" w:eastAsia="Book Antiqua" w:hAnsi="Book Antiqua" w:cs="Book Antiqua"/>
          <w:color w:val="000000"/>
        </w:rPr>
        <w:t>)</w:t>
      </w:r>
      <w:r>
        <w:rPr>
          <w:rFonts w:ascii="Book Antiqua" w:eastAsia="Book Antiqua" w:hAnsi="Book Antiqua" w:cs="Book Antiqua"/>
          <w:color w:val="000000"/>
        </w:rPr>
        <w:t xml:space="preserve"> and the grade of hepatic steatosis (</w:t>
      </w:r>
      <w:r w:rsidR="001D4011" w:rsidRPr="00467310">
        <w:rPr>
          <w:rFonts w:ascii="Book Antiqua" w:eastAsia="Book Antiqua" w:hAnsi="Book Antiqua" w:cs="Book Antiqua"/>
          <w:i/>
          <w:iCs/>
          <w:color w:val="000000"/>
        </w:rPr>
        <w:t>ρ</w:t>
      </w:r>
      <w:r>
        <w:rPr>
          <w:rFonts w:ascii="Book Antiqua" w:eastAsia="Book Antiqua" w:hAnsi="Book Antiqua" w:cs="Book Antiqua"/>
          <w:color w:val="000000"/>
        </w:rPr>
        <w:t xml:space="preserve"> = 0.549, </w:t>
      </w:r>
      <w:r w:rsidRPr="009613A9">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09789F">
        <w:rPr>
          <w:rFonts w:ascii="Book Antiqua" w:eastAsia="Book Antiqua" w:hAnsi="Book Antiqua" w:cs="Book Antiqua"/>
          <w:color w:val="000000"/>
        </w:rPr>
        <w:t xml:space="preserve">); B-D: </w:t>
      </w:r>
      <w:r>
        <w:rPr>
          <w:rFonts w:ascii="Book Antiqua" w:eastAsia="Book Antiqua" w:hAnsi="Book Antiqua" w:cs="Book Antiqua"/>
          <w:color w:val="000000"/>
        </w:rPr>
        <w:t>The</w:t>
      </w:r>
      <w:r w:rsidR="009613A9" w:rsidRPr="009613A9">
        <w:rPr>
          <w:rFonts w:ascii="Book Antiqua" w:eastAsia="Book Antiqua" w:hAnsi="Book Antiqua" w:cs="Book Antiqua"/>
          <w:color w:val="000000"/>
        </w:rPr>
        <w:t xml:space="preserve"> </w:t>
      </w:r>
      <w:r w:rsidR="009613A9">
        <w:rPr>
          <w:rFonts w:ascii="Book Antiqua" w:eastAsia="Book Antiqua" w:hAnsi="Book Antiqua" w:cs="Book Antiqua"/>
          <w:color w:val="000000"/>
        </w:rPr>
        <w:t>receiver operator characteristic</w:t>
      </w:r>
      <w:r>
        <w:rPr>
          <w:rFonts w:ascii="Book Antiqua" w:eastAsia="Book Antiqua" w:hAnsi="Book Antiqua" w:cs="Book Antiqua"/>
          <w:color w:val="000000"/>
        </w:rPr>
        <w:t xml:space="preserve"> curve of CAP for diagnosis of</w:t>
      </w:r>
      <w:r w:rsidR="0009789F">
        <w:rPr>
          <w:rFonts w:ascii="Book Antiqua" w:eastAsia="Book Antiqua" w:hAnsi="Book Antiqua" w:cs="Book Antiqua"/>
          <w:color w:val="000000"/>
        </w:rPr>
        <w:t xml:space="preserve"> (</w:t>
      </w:r>
      <w:r>
        <w:rPr>
          <w:rFonts w:ascii="Book Antiqua" w:eastAsia="Book Antiqua" w:hAnsi="Book Antiqua" w:cs="Book Antiqua"/>
          <w:color w:val="000000"/>
        </w:rPr>
        <w:t>B</w:t>
      </w:r>
      <w:r w:rsidR="0009789F">
        <w:rPr>
          <w:rFonts w:ascii="Book Antiqua" w:eastAsia="Book Antiqua" w:hAnsi="Book Antiqua" w:cs="Book Antiqua"/>
          <w:color w:val="000000"/>
        </w:rPr>
        <w:t xml:space="preserve">) steatosis </w:t>
      </w:r>
      <w:r>
        <w:rPr>
          <w:rFonts w:ascii="Book Antiqua" w:eastAsia="Book Antiqua" w:hAnsi="Book Antiqua" w:cs="Book Antiqua"/>
          <w:color w:val="000000"/>
        </w:rPr>
        <w:t>grade</w:t>
      </w:r>
      <w:r w:rsidR="009613A9">
        <w:rPr>
          <w:rFonts w:ascii="Book Antiqua" w:eastAsia="Book Antiqua" w:hAnsi="Book Antiqua" w:cs="Book Antiqua"/>
          <w:color w:val="000000"/>
        </w:rPr>
        <w:t xml:space="preserve"> </w:t>
      </w:r>
      <w:r>
        <w:rPr>
          <w:rFonts w:ascii="Book Antiqua" w:eastAsia="Book Antiqua" w:hAnsi="Book Antiqua" w:cs="Book Antiqua"/>
          <w:color w:val="000000"/>
        </w:rPr>
        <w:t>≥</w:t>
      </w:r>
      <w:r w:rsidR="009613A9">
        <w:rPr>
          <w:rFonts w:ascii="Book Antiqua" w:eastAsia="Book Antiqua" w:hAnsi="Book Antiqua" w:cs="Book Antiqua"/>
          <w:color w:val="000000"/>
        </w:rPr>
        <w:t xml:space="preserve"> </w:t>
      </w:r>
      <w:r>
        <w:rPr>
          <w:rFonts w:ascii="Book Antiqua" w:eastAsia="Book Antiqua" w:hAnsi="Book Antiqua" w:cs="Book Antiqua"/>
          <w:color w:val="000000"/>
        </w:rPr>
        <w:t>S1</w:t>
      </w:r>
      <w:r w:rsidR="0009789F">
        <w:rPr>
          <w:rFonts w:ascii="Book Antiqua" w:eastAsia="Book Antiqua" w:hAnsi="Book Antiqua" w:cs="Book Antiqua"/>
          <w:color w:val="000000"/>
        </w:rPr>
        <w:t>, (</w:t>
      </w:r>
      <w:r>
        <w:rPr>
          <w:rFonts w:ascii="Book Antiqua" w:eastAsia="Book Antiqua" w:hAnsi="Book Antiqua" w:cs="Book Antiqua"/>
          <w:color w:val="000000"/>
        </w:rPr>
        <w:t>C</w:t>
      </w:r>
      <w:r w:rsidR="0009789F">
        <w:rPr>
          <w:rFonts w:ascii="Book Antiqua" w:eastAsia="Book Antiqua" w:hAnsi="Book Antiqua" w:cs="Book Antiqua"/>
          <w:color w:val="000000"/>
        </w:rPr>
        <w:t xml:space="preserve">) steatosis </w:t>
      </w:r>
      <w:r>
        <w:rPr>
          <w:rFonts w:ascii="Book Antiqua" w:eastAsia="Book Antiqua" w:hAnsi="Book Antiqua" w:cs="Book Antiqua"/>
          <w:color w:val="000000"/>
        </w:rPr>
        <w:t>grade</w:t>
      </w:r>
      <w:r w:rsidR="009613A9">
        <w:rPr>
          <w:rFonts w:ascii="Book Antiqua" w:eastAsia="Book Antiqua" w:hAnsi="Book Antiqua" w:cs="Book Antiqua"/>
          <w:color w:val="000000"/>
        </w:rPr>
        <w:t xml:space="preserve"> </w:t>
      </w:r>
      <w:r>
        <w:rPr>
          <w:rFonts w:ascii="Book Antiqua" w:eastAsia="Book Antiqua" w:hAnsi="Book Antiqua" w:cs="Book Antiqua"/>
          <w:color w:val="000000"/>
        </w:rPr>
        <w:t>≥</w:t>
      </w:r>
      <w:r w:rsidR="009613A9">
        <w:rPr>
          <w:rFonts w:ascii="Book Antiqua" w:eastAsia="Book Antiqua" w:hAnsi="Book Antiqua" w:cs="Book Antiqua"/>
          <w:color w:val="000000"/>
        </w:rPr>
        <w:t xml:space="preserve"> </w:t>
      </w:r>
      <w:r>
        <w:rPr>
          <w:rFonts w:ascii="Book Antiqua" w:eastAsia="Book Antiqua" w:hAnsi="Book Antiqua" w:cs="Book Antiqua"/>
          <w:color w:val="000000"/>
        </w:rPr>
        <w:t>S2</w:t>
      </w:r>
      <w:r w:rsidR="0009789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09789F">
        <w:rPr>
          <w:rFonts w:ascii="Book Antiqua" w:eastAsia="Book Antiqua" w:hAnsi="Book Antiqua" w:cs="Book Antiqua"/>
          <w:color w:val="000000"/>
        </w:rPr>
        <w:t>(</w:t>
      </w:r>
      <w:r>
        <w:rPr>
          <w:rFonts w:ascii="Book Antiqua" w:eastAsia="Book Antiqua" w:hAnsi="Book Antiqua" w:cs="Book Antiqua"/>
          <w:color w:val="000000"/>
        </w:rPr>
        <w:t>D</w:t>
      </w:r>
      <w:r w:rsidR="0009789F">
        <w:rPr>
          <w:rFonts w:ascii="Book Antiqua" w:eastAsia="Book Antiqua" w:hAnsi="Book Antiqua" w:cs="Book Antiqua"/>
          <w:color w:val="000000"/>
        </w:rPr>
        <w:t xml:space="preserve">) steatosis </w:t>
      </w:r>
      <w:r>
        <w:rPr>
          <w:rFonts w:ascii="Book Antiqua" w:eastAsia="Book Antiqua" w:hAnsi="Book Antiqua" w:cs="Book Antiqua"/>
          <w:color w:val="000000"/>
        </w:rPr>
        <w:t>grade</w:t>
      </w:r>
      <w:r w:rsidR="009613A9">
        <w:rPr>
          <w:rFonts w:ascii="Book Antiqua" w:eastAsia="Book Antiqua" w:hAnsi="Book Antiqua" w:cs="Book Antiqua"/>
          <w:color w:val="000000"/>
        </w:rPr>
        <w:t xml:space="preserve"> </w:t>
      </w:r>
      <w:r>
        <w:rPr>
          <w:rFonts w:ascii="Book Antiqua" w:eastAsia="Book Antiqua" w:hAnsi="Book Antiqua" w:cs="Book Antiqua"/>
          <w:color w:val="000000"/>
        </w:rPr>
        <w:t>≥</w:t>
      </w:r>
      <w:r w:rsidR="009613A9">
        <w:rPr>
          <w:rFonts w:ascii="Book Antiqua" w:eastAsia="Book Antiqua" w:hAnsi="Book Antiqua" w:cs="Book Antiqua"/>
          <w:color w:val="000000"/>
        </w:rPr>
        <w:t xml:space="preserve"> </w:t>
      </w:r>
      <w:r>
        <w:rPr>
          <w:rFonts w:ascii="Book Antiqua" w:eastAsia="Book Antiqua" w:hAnsi="Book Antiqua" w:cs="Book Antiqua"/>
          <w:color w:val="000000"/>
        </w:rPr>
        <w:t xml:space="preserve">S3 in patients with mixed etiology liver disease. </w:t>
      </w:r>
      <w:proofErr w:type="spellStart"/>
      <w:proofErr w:type="gramStart"/>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proofErr w:type="spellEnd"/>
      <w:proofErr w:type="gramEnd"/>
      <w:r w:rsidR="009613A9">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9613A9">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S0</w:t>
      </w:r>
      <w:r w:rsidR="0009789F">
        <w:rPr>
          <w:rFonts w:ascii="Book Antiqua" w:eastAsia="Book Antiqua" w:hAnsi="Book Antiqua" w:cs="Book Antiqua"/>
          <w:color w:val="000000"/>
        </w:rPr>
        <w:t xml:space="preserve">; </w:t>
      </w:r>
      <w:proofErr w:type="spellStart"/>
      <w:r>
        <w:rPr>
          <w:rFonts w:ascii="Book Antiqua" w:eastAsia="Book Antiqua" w:hAnsi="Book Antiqua" w:cs="Book Antiqua"/>
          <w:color w:val="000000"/>
          <w:vertAlign w:val="superscript"/>
        </w:rPr>
        <w:t>d</w:t>
      </w:r>
      <w:r>
        <w:rPr>
          <w:rFonts w:ascii="Book Antiqua" w:eastAsia="Book Antiqua" w:hAnsi="Book Antiqua" w:cs="Book Antiqua"/>
          <w:i/>
          <w:iCs/>
          <w:color w:val="000000"/>
        </w:rPr>
        <w:t>P</w:t>
      </w:r>
      <w:proofErr w:type="spellEnd"/>
      <w:r w:rsidR="009613A9">
        <w:rPr>
          <w:rFonts w:ascii="Book Antiqua" w:eastAsia="Book Antiqua" w:hAnsi="Book Antiqua" w:cs="Book Antiqua"/>
          <w:i/>
          <w:iCs/>
          <w:color w:val="000000"/>
        </w:rPr>
        <w:t xml:space="preserve"> </w:t>
      </w:r>
      <w:r w:rsidR="009613A9">
        <w:rPr>
          <w:rFonts w:ascii="Book Antiqua" w:eastAsia="Book Antiqua" w:hAnsi="Book Antiqua" w:cs="Book Antiqua"/>
          <w:color w:val="000000"/>
        </w:rPr>
        <w:t>&lt;</w:t>
      </w:r>
      <w:r w:rsidR="009613A9">
        <w:rPr>
          <w:rFonts w:ascii="Book Antiqua" w:hAnsi="Book Antiqua" w:cs="Book Antiqua" w:hint="eastAsia"/>
          <w:color w:val="000000"/>
          <w:lang w:eastAsia="zh-CN"/>
        </w:rPr>
        <w:t xml:space="preserve"> </w:t>
      </w:r>
      <w:r>
        <w:rPr>
          <w:rFonts w:ascii="Book Antiqua" w:eastAsia="Book Antiqua" w:hAnsi="Book Antiqua" w:cs="Book Antiqua"/>
          <w:color w:val="000000"/>
        </w:rPr>
        <w:t>0.01.</w:t>
      </w:r>
      <w:r w:rsidR="009613A9">
        <w:rPr>
          <w:rFonts w:ascii="Book Antiqua" w:eastAsia="Book Antiqua" w:hAnsi="Book Antiqua" w:cs="Book Antiqua"/>
          <w:color w:val="000000"/>
        </w:rPr>
        <w:t xml:space="preserve"> CAP: C</w:t>
      </w:r>
      <w:r w:rsidR="009613A9" w:rsidRPr="009613A9">
        <w:rPr>
          <w:rFonts w:ascii="Book Antiqua" w:eastAsia="Book Antiqua" w:hAnsi="Book Antiqua" w:cs="Book Antiqua"/>
          <w:color w:val="000000"/>
        </w:rPr>
        <w:t>ontro</w:t>
      </w:r>
      <w:r w:rsidR="009613A9" w:rsidRPr="009613A9">
        <w:rPr>
          <w:rFonts w:ascii="Book Antiqua" w:eastAsia="Book Antiqua" w:hAnsi="Book Antiqua" w:cs="Book Antiqua"/>
          <w:color w:val="000000"/>
        </w:rPr>
        <w:t>lled attenuation parameter</w:t>
      </w:r>
      <w:r w:rsidR="009613A9">
        <w:rPr>
          <w:rFonts w:ascii="Book Antiqua" w:eastAsia="Book Antiqua" w:hAnsi="Book Antiqua" w:cs="Book Antiqua"/>
          <w:color w:val="000000"/>
        </w:rPr>
        <w:t>.</w:t>
      </w:r>
    </w:p>
    <w:p w14:paraId="18F59055" w14:textId="747DD7C9" w:rsidR="00A77B3E" w:rsidRDefault="009613A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532D4867" wp14:editId="5134DFE3">
            <wp:extent cx="5943600" cy="32467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46755"/>
                    </a:xfrm>
                    <a:prstGeom prst="rect">
                      <a:avLst/>
                    </a:prstGeom>
                  </pic:spPr>
                </pic:pic>
              </a:graphicData>
            </a:graphic>
          </wp:inline>
        </w:drawing>
      </w:r>
    </w:p>
    <w:p w14:paraId="63CC0BBC" w14:textId="07ED15CE" w:rsidR="009613A9" w:rsidRDefault="000315D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9613A9">
        <w:rPr>
          <w:rFonts w:ascii="Book Antiqua" w:eastAsia="Book Antiqua" w:hAnsi="Book Antiqua" w:cs="Book Antiqua"/>
          <w:b/>
          <w:bCs/>
          <w:color w:val="000000"/>
        </w:rPr>
        <w:t xml:space="preserve"> C</w:t>
      </w:r>
      <w:r w:rsidR="009613A9" w:rsidRPr="009613A9">
        <w:rPr>
          <w:rFonts w:ascii="Book Antiqua" w:eastAsia="Book Antiqua" w:hAnsi="Book Antiqua" w:cs="Book Antiqua"/>
          <w:b/>
          <w:bCs/>
          <w:color w:val="000000"/>
        </w:rPr>
        <w:t>ontrolled attenuation parameter</w:t>
      </w:r>
      <w:r>
        <w:rPr>
          <w:rFonts w:ascii="Book Antiqua" w:eastAsia="Book Antiqua" w:hAnsi="Book Antiqua" w:cs="Book Antiqua"/>
          <w:b/>
          <w:bCs/>
          <w:color w:val="000000"/>
        </w:rPr>
        <w:t xml:space="preserve"> value in different hepatic steatosis grades and etiologies and the receiver operator characteristic curve of </w:t>
      </w:r>
      <w:r w:rsidR="006B668B" w:rsidRPr="006B668B">
        <w:rPr>
          <w:rFonts w:ascii="Book Antiqua" w:eastAsia="Book Antiqua" w:hAnsi="Book Antiqua" w:cs="Book Antiqua"/>
          <w:b/>
          <w:bCs/>
          <w:color w:val="000000"/>
        </w:rPr>
        <w:t>controlled attenuation paramet</w:t>
      </w:r>
      <w:r w:rsidR="006B668B" w:rsidRPr="006B668B">
        <w:rPr>
          <w:rFonts w:ascii="Book Antiqua" w:eastAsia="Book Antiqua" w:hAnsi="Book Antiqua" w:cs="Book Antiqua"/>
          <w:b/>
          <w:bCs/>
          <w:color w:val="000000"/>
        </w:rPr>
        <w:t>er</w:t>
      </w:r>
      <w:r>
        <w:rPr>
          <w:rFonts w:ascii="Book Antiqua" w:eastAsia="Book Antiqua" w:hAnsi="Book Antiqua" w:cs="Book Antiqua"/>
          <w:b/>
          <w:bCs/>
          <w:color w:val="000000"/>
        </w:rPr>
        <w:t xml:space="preserve"> for</w:t>
      </w:r>
      <w:r w:rsidR="0009789F">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diagnosis of hepatic steatosis grade in patients with </w:t>
      </w:r>
      <w:r w:rsidR="006B668B" w:rsidRPr="006B668B">
        <w:rPr>
          <w:rFonts w:ascii="Book Antiqua" w:eastAsia="Book Antiqua" w:hAnsi="Book Antiqua" w:cs="Book Antiqua"/>
          <w:b/>
          <w:bCs/>
          <w:color w:val="000000"/>
        </w:rPr>
        <w:t>autoimmune liver disease</w:t>
      </w:r>
      <w:r>
        <w:rPr>
          <w:rFonts w:ascii="Book Antiqua" w:eastAsia="Book Antiqua" w:hAnsi="Book Antiqua" w:cs="Book Antiqua"/>
          <w:b/>
          <w:bCs/>
          <w:color w:val="000000"/>
        </w:rPr>
        <w:t>s.</w:t>
      </w:r>
      <w:r>
        <w:rPr>
          <w:rFonts w:ascii="Book Antiqua" w:eastAsia="Book Antiqua" w:hAnsi="Book Antiqua" w:cs="Book Antiqua"/>
          <w:color w:val="000000"/>
        </w:rPr>
        <w:t xml:space="preserve"> </w:t>
      </w:r>
      <w:r w:rsidR="0009789F">
        <w:rPr>
          <w:rFonts w:ascii="Book Antiqua" w:eastAsia="Book Antiqua" w:hAnsi="Book Antiqua" w:cs="Book Antiqua"/>
          <w:color w:val="000000"/>
        </w:rPr>
        <w:t xml:space="preserve">A and B: </w:t>
      </w:r>
      <w:r>
        <w:rPr>
          <w:rFonts w:ascii="Book Antiqua" w:eastAsia="Book Antiqua" w:hAnsi="Book Antiqua" w:cs="Book Antiqua"/>
          <w:color w:val="000000"/>
        </w:rPr>
        <w:t xml:space="preserve">Correlation between the </w:t>
      </w:r>
      <w:r w:rsidR="006B668B" w:rsidRPr="006B668B">
        <w:rPr>
          <w:rFonts w:ascii="Book Antiqua" w:eastAsia="Book Antiqua" w:hAnsi="Book Antiqua" w:cs="Book Antiqua"/>
          <w:color w:val="000000"/>
        </w:rPr>
        <w:t xml:space="preserve">controlled attenuation parameter </w:t>
      </w:r>
      <w:r w:rsidR="006B668B">
        <w:rPr>
          <w:rFonts w:ascii="Book Antiqua" w:eastAsia="Book Antiqua" w:hAnsi="Book Antiqua" w:cs="Book Antiqua"/>
          <w:color w:val="000000"/>
        </w:rPr>
        <w:t>(</w:t>
      </w:r>
      <w:r>
        <w:rPr>
          <w:rFonts w:ascii="Book Antiqua" w:eastAsia="Book Antiqua" w:hAnsi="Book Antiqua" w:cs="Book Antiqua"/>
          <w:color w:val="000000"/>
        </w:rPr>
        <w:t>CAP</w:t>
      </w:r>
      <w:r w:rsidR="006B668B">
        <w:rPr>
          <w:rFonts w:ascii="Book Antiqua" w:eastAsia="Book Antiqua" w:hAnsi="Book Antiqua" w:cs="Book Antiqua"/>
          <w:color w:val="000000"/>
        </w:rPr>
        <w:t>)</w:t>
      </w:r>
      <w:r>
        <w:rPr>
          <w:rFonts w:ascii="Book Antiqua" w:eastAsia="Book Antiqua" w:hAnsi="Book Antiqua" w:cs="Book Antiqua"/>
          <w:color w:val="000000"/>
        </w:rPr>
        <w:t xml:space="preserve"> and the grade of hepatic steatosis in patients with (A) </w:t>
      </w:r>
      <w:r w:rsidR="006B668B" w:rsidRPr="006B668B">
        <w:rPr>
          <w:rFonts w:ascii="Book Antiqua" w:eastAsia="Book Antiqua" w:hAnsi="Book Antiqua" w:cs="Book Antiqua"/>
          <w:color w:val="000000"/>
        </w:rPr>
        <w:t xml:space="preserve">autoimmune liver diseases </w:t>
      </w:r>
      <w:r w:rsidR="006B668B">
        <w:rPr>
          <w:rFonts w:ascii="Book Antiqua" w:eastAsia="Book Antiqua" w:hAnsi="Book Antiqua" w:cs="Book Antiqua"/>
          <w:color w:val="000000"/>
        </w:rPr>
        <w:t>(</w:t>
      </w:r>
      <w:r>
        <w:rPr>
          <w:rFonts w:ascii="Book Antiqua" w:eastAsia="Book Antiqua" w:hAnsi="Book Antiqua" w:cs="Book Antiqua"/>
          <w:color w:val="000000"/>
        </w:rPr>
        <w:t>AILDs</w:t>
      </w:r>
      <w:r w:rsidR="006B668B">
        <w:rPr>
          <w:rFonts w:ascii="Book Antiqua" w:eastAsia="Book Antiqua" w:hAnsi="Book Antiqua" w:cs="Book Antiqua"/>
          <w:color w:val="000000"/>
        </w:rPr>
        <w:t>)</w:t>
      </w:r>
      <w:r>
        <w:rPr>
          <w:rFonts w:ascii="Book Antiqua" w:eastAsia="Book Antiqua" w:hAnsi="Book Antiqua" w:cs="Book Antiqua"/>
          <w:color w:val="000000"/>
        </w:rPr>
        <w:t xml:space="preserve"> or (B) </w:t>
      </w:r>
      <w:r w:rsidR="006B668B" w:rsidRPr="006B668B">
        <w:rPr>
          <w:rFonts w:ascii="Book Antiqua" w:eastAsia="Book Antiqua" w:hAnsi="Book Antiqua" w:cs="Book Antiqua"/>
          <w:color w:val="000000"/>
        </w:rPr>
        <w:t xml:space="preserve">autoimmune hepatitis </w:t>
      </w:r>
      <w:r w:rsidR="006B668B">
        <w:rPr>
          <w:rFonts w:ascii="Book Antiqua" w:eastAsia="Book Antiqua" w:hAnsi="Book Antiqua" w:cs="Book Antiqua"/>
          <w:color w:val="000000"/>
        </w:rPr>
        <w:t>(</w:t>
      </w:r>
      <w:r>
        <w:rPr>
          <w:rFonts w:ascii="Book Antiqua" w:eastAsia="Book Antiqua" w:hAnsi="Book Antiqua" w:cs="Book Antiqua"/>
          <w:color w:val="000000"/>
        </w:rPr>
        <w:t>AIH</w:t>
      </w:r>
      <w:r w:rsidR="0009789F">
        <w:rPr>
          <w:rFonts w:ascii="Book Antiqua" w:eastAsia="Book Antiqua" w:hAnsi="Book Antiqua" w:cs="Book Antiqua"/>
          <w:color w:val="000000"/>
        </w:rPr>
        <w:t xml:space="preserve">); </w:t>
      </w:r>
      <w:r>
        <w:rPr>
          <w:rFonts w:ascii="Book Antiqua" w:eastAsia="Book Antiqua" w:hAnsi="Book Antiqua" w:cs="Book Antiqua"/>
          <w:color w:val="000000"/>
        </w:rPr>
        <w:t>C</w:t>
      </w:r>
      <w:r w:rsidR="006B668B">
        <w:rPr>
          <w:rFonts w:ascii="Book Antiqua" w:eastAsia="Book Antiqua" w:hAnsi="Book Antiqua" w:cs="Book Antiqua"/>
          <w:color w:val="000000"/>
        </w:rPr>
        <w:t>:</w:t>
      </w:r>
      <w:r>
        <w:rPr>
          <w:rFonts w:ascii="Book Antiqua" w:eastAsia="Book Antiqua" w:hAnsi="Book Antiqua" w:cs="Book Antiqua"/>
          <w:color w:val="000000"/>
        </w:rPr>
        <w:t xml:space="preserve"> Comparison of the CAP value in patients with AIH and </w:t>
      </w:r>
      <w:r w:rsidR="006B668B" w:rsidRPr="006B668B">
        <w:rPr>
          <w:rFonts w:ascii="Book Antiqua" w:eastAsia="Book Antiqua" w:hAnsi="Book Antiqua" w:cs="Book Antiqua"/>
          <w:color w:val="000000"/>
        </w:rPr>
        <w:t>nonalcoholic fatty liver disease</w:t>
      </w:r>
      <w:r>
        <w:rPr>
          <w:rFonts w:ascii="Book Antiqua" w:eastAsia="Book Antiqua" w:hAnsi="Book Antiqua" w:cs="Book Antiqua"/>
          <w:color w:val="000000"/>
        </w:rPr>
        <w:t xml:space="preserve"> in different hepatic steatosis grades</w:t>
      </w:r>
      <w:r w:rsidR="0009789F">
        <w:rPr>
          <w:rFonts w:ascii="Book Antiqua" w:eastAsia="Book Antiqua" w:hAnsi="Book Antiqua" w:cs="Book Antiqua"/>
          <w:color w:val="000000"/>
        </w:rPr>
        <w:t xml:space="preserve">; D-F: </w:t>
      </w:r>
      <w:r>
        <w:rPr>
          <w:rFonts w:ascii="Book Antiqua" w:eastAsia="Book Antiqua" w:hAnsi="Book Antiqua" w:cs="Book Antiqua"/>
          <w:color w:val="000000"/>
        </w:rPr>
        <w:t xml:space="preserve">The </w:t>
      </w:r>
      <w:r w:rsidR="006B668B" w:rsidRPr="006B668B">
        <w:rPr>
          <w:rFonts w:ascii="Book Antiqua" w:eastAsia="Book Antiqua" w:hAnsi="Book Antiqua" w:cs="Book Antiqua"/>
          <w:color w:val="000000"/>
        </w:rPr>
        <w:t>receiver operator characteristic</w:t>
      </w:r>
      <w:r>
        <w:rPr>
          <w:rFonts w:ascii="Book Antiqua" w:eastAsia="Book Antiqua" w:hAnsi="Book Antiqua" w:cs="Book Antiqua"/>
          <w:color w:val="000000"/>
        </w:rPr>
        <w:t xml:space="preserve"> curve of CAP for diagnosis of (D) steatosis grade ≥ S1, (E) steatosis grade ≥ S2, and (F) steatosis grade ≥ S3 in patients with AILDs. </w:t>
      </w:r>
      <w:proofErr w:type="spellStart"/>
      <w:proofErr w:type="gram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proofErr w:type="gramEnd"/>
      <w:r w:rsidR="006B668B">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6B668B">
        <w:rPr>
          <w:rFonts w:ascii="Book Antiqua" w:eastAsia="Book Antiqua" w:hAnsi="Book Antiqua" w:cs="Book Antiqua"/>
          <w:color w:val="000000"/>
        </w:rPr>
        <w:t xml:space="preserve"> </w:t>
      </w:r>
      <w:r>
        <w:rPr>
          <w:rFonts w:ascii="Book Antiqua" w:eastAsia="Book Antiqua" w:hAnsi="Book Antiqua" w:cs="Book Antiqua"/>
          <w:color w:val="000000"/>
        </w:rPr>
        <w:t>0.05</w:t>
      </w:r>
      <w:r w:rsidR="0009789F">
        <w:rPr>
          <w:rFonts w:ascii="Book Antiqua" w:eastAsia="Book Antiqua" w:hAnsi="Book Antiqua" w:cs="Book Antiqua"/>
          <w:color w:val="000000"/>
        </w:rPr>
        <w:t xml:space="preserve">; </w:t>
      </w:r>
      <w:proofErr w:type="spellStart"/>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proofErr w:type="spellEnd"/>
      <w:r w:rsidR="006B668B">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6B668B">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S0</w:t>
      </w:r>
      <w:r w:rsidR="0009789F">
        <w:rPr>
          <w:rFonts w:ascii="Book Antiqua" w:eastAsia="Book Antiqua" w:hAnsi="Book Antiqua" w:cs="Book Antiqua"/>
          <w:color w:val="000000"/>
        </w:rPr>
        <w:t xml:space="preserve">; </w:t>
      </w:r>
      <w:proofErr w:type="spellStart"/>
      <w:r>
        <w:rPr>
          <w:rFonts w:ascii="Book Antiqua" w:eastAsia="Book Antiqua" w:hAnsi="Book Antiqua" w:cs="Book Antiqua"/>
          <w:color w:val="000000"/>
          <w:szCs w:val="30"/>
          <w:vertAlign w:val="superscript"/>
        </w:rPr>
        <w:t>c</w:t>
      </w:r>
      <w:r>
        <w:rPr>
          <w:rFonts w:ascii="Book Antiqua" w:eastAsia="Book Antiqua" w:hAnsi="Book Antiqua" w:cs="Book Antiqua"/>
          <w:i/>
          <w:iCs/>
          <w:color w:val="000000"/>
        </w:rPr>
        <w:t>P</w:t>
      </w:r>
      <w:proofErr w:type="spellEnd"/>
      <w:r w:rsidR="006B668B">
        <w:rPr>
          <w:rFonts w:ascii="Book Antiqua" w:eastAsia="Book Antiqua" w:hAnsi="Book Antiqua" w:cs="Book Antiqua"/>
          <w:i/>
          <w:iCs/>
          <w:color w:val="000000"/>
        </w:rPr>
        <w:t xml:space="preserve"> </w:t>
      </w:r>
      <w:r w:rsidR="006B668B">
        <w:rPr>
          <w:rFonts w:ascii="Book Antiqua" w:eastAsia="Book Antiqua" w:hAnsi="Book Antiqua" w:cs="Book Antiqua"/>
          <w:color w:val="000000"/>
        </w:rPr>
        <w:t>&lt;</w:t>
      </w:r>
      <w:r w:rsidR="006B668B">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09789F">
        <w:rPr>
          <w:rFonts w:ascii="Book Antiqua" w:eastAsia="Book Antiqua" w:hAnsi="Book Antiqua" w:cs="Book Antiqua"/>
          <w:color w:val="000000"/>
        </w:rPr>
        <w:t xml:space="preserve">; </w:t>
      </w:r>
      <w:proofErr w:type="spellStart"/>
      <w:r>
        <w:rPr>
          <w:rFonts w:ascii="Book Antiqua" w:eastAsia="Book Antiqua" w:hAnsi="Book Antiqua" w:cs="Book Antiqua"/>
          <w:color w:val="000000"/>
          <w:vertAlign w:val="superscript"/>
        </w:rPr>
        <w:t>d</w:t>
      </w:r>
      <w:r>
        <w:rPr>
          <w:rFonts w:ascii="Book Antiqua" w:eastAsia="Book Antiqua" w:hAnsi="Book Antiqua" w:cs="Book Antiqua"/>
          <w:i/>
          <w:iCs/>
          <w:color w:val="000000"/>
        </w:rPr>
        <w:t>P</w:t>
      </w:r>
      <w:proofErr w:type="spellEnd"/>
      <w:r w:rsidR="006B668B">
        <w:rPr>
          <w:rFonts w:ascii="Book Antiqua" w:eastAsia="Book Antiqua" w:hAnsi="Book Antiqua" w:cs="Book Antiqua"/>
          <w:i/>
          <w:iCs/>
          <w:color w:val="000000"/>
        </w:rPr>
        <w:t xml:space="preserve"> </w:t>
      </w:r>
      <w:r w:rsidR="006B668B">
        <w:rPr>
          <w:rFonts w:ascii="Book Antiqua" w:eastAsia="Book Antiqua" w:hAnsi="Book Antiqua" w:cs="Book Antiqua"/>
          <w:color w:val="000000"/>
        </w:rPr>
        <w:t>&lt;</w:t>
      </w:r>
      <w:r w:rsidR="006B668B">
        <w:rPr>
          <w:rFonts w:ascii="Book Antiqua" w:hAnsi="Book Antiqua" w:cs="Book Antiqua" w:hint="eastAsia"/>
          <w:color w:val="000000"/>
          <w:lang w:eastAsia="zh-CN"/>
        </w:rPr>
        <w:t xml:space="preserve"> </w:t>
      </w:r>
      <w:r>
        <w:rPr>
          <w:rFonts w:ascii="Book Antiqua" w:eastAsia="Book Antiqua" w:hAnsi="Book Antiqua" w:cs="Book Antiqua"/>
          <w:color w:val="000000"/>
        </w:rPr>
        <w:t>0.01.</w:t>
      </w:r>
      <w:r w:rsidR="006B668B">
        <w:rPr>
          <w:rFonts w:ascii="Book Antiqua" w:eastAsia="Book Antiqua" w:hAnsi="Book Antiqua" w:cs="Book Antiqua"/>
          <w:color w:val="000000"/>
        </w:rPr>
        <w:t xml:space="preserve"> CAP: C</w:t>
      </w:r>
      <w:r w:rsidR="006B668B" w:rsidRPr="006B668B">
        <w:rPr>
          <w:rFonts w:ascii="Book Antiqua" w:eastAsia="Book Antiqua" w:hAnsi="Book Antiqua" w:cs="Book Antiqua"/>
          <w:color w:val="000000"/>
        </w:rPr>
        <w:t>ontrolled attenuation parameter</w:t>
      </w:r>
      <w:r w:rsidR="006B668B">
        <w:rPr>
          <w:rFonts w:ascii="Book Antiqua" w:eastAsia="Book Antiqua" w:hAnsi="Book Antiqua" w:cs="Book Antiqua"/>
          <w:color w:val="000000"/>
        </w:rPr>
        <w:t>; AIH: A</w:t>
      </w:r>
      <w:r w:rsidR="006B668B" w:rsidRPr="006B668B">
        <w:rPr>
          <w:rFonts w:ascii="Book Antiqua" w:eastAsia="Book Antiqua" w:hAnsi="Book Antiqua" w:cs="Book Antiqua"/>
          <w:color w:val="000000"/>
        </w:rPr>
        <w:t>utoimmune hepatitis</w:t>
      </w:r>
      <w:r w:rsidR="006B668B">
        <w:rPr>
          <w:rFonts w:ascii="Book Antiqua" w:eastAsia="Book Antiqua" w:hAnsi="Book Antiqua" w:cs="Book Antiqua"/>
          <w:color w:val="000000"/>
        </w:rPr>
        <w:t>; NAFLD: N</w:t>
      </w:r>
      <w:r w:rsidR="006B668B" w:rsidRPr="006B668B">
        <w:rPr>
          <w:rFonts w:ascii="Book Antiqua" w:eastAsia="Book Antiqua" w:hAnsi="Book Antiqua" w:cs="Book Antiqua"/>
          <w:color w:val="000000"/>
        </w:rPr>
        <w:t>onalcoholic fatty liver disease</w:t>
      </w:r>
      <w:r w:rsidR="006B668B">
        <w:rPr>
          <w:rFonts w:ascii="Book Antiqua" w:eastAsia="Book Antiqua" w:hAnsi="Book Antiqua" w:cs="Book Antiqua"/>
          <w:color w:val="000000"/>
        </w:rPr>
        <w:t>.</w:t>
      </w:r>
    </w:p>
    <w:p w14:paraId="2D18A83F" w14:textId="1B2627DF" w:rsidR="00A77B3E" w:rsidRDefault="009613A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141C8E" w:rsidRPr="00AF5417">
        <w:rPr>
          <w:rFonts w:ascii="Book Antiqua" w:eastAsia="Book Antiqua" w:hAnsi="Book Antiqua" w:cs="Book Antiqua"/>
          <w:noProof/>
          <w:color w:val="000000"/>
          <w:lang w:eastAsia="zh-CN"/>
        </w:rPr>
        <w:lastRenderedPageBreak/>
        <w:drawing>
          <wp:inline distT="0" distB="0" distL="0" distR="0" wp14:anchorId="33C00422" wp14:editId="686B5C4C">
            <wp:extent cx="3502152" cy="3130296"/>
            <wp:effectExtent l="0" t="0" r="3175" b="0"/>
            <wp:docPr id="19" name="图片 1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C9CA00-D6F7-4ACD-B88E-7E04054BFC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C9CA00-D6F7-4ACD-B88E-7E04054BFCD0}"/>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0" y="0"/>
                      <a:ext cx="3502152" cy="3130296"/>
                    </a:xfrm>
                    <a:prstGeom prst="rect">
                      <a:avLst/>
                    </a:prstGeom>
                  </pic:spPr>
                </pic:pic>
              </a:graphicData>
            </a:graphic>
          </wp:inline>
        </w:drawing>
      </w:r>
    </w:p>
    <w:p w14:paraId="25EB06AD" w14:textId="65CBA0D1" w:rsidR="00141C8E" w:rsidRDefault="00141C8E" w:rsidP="00141C8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Pr>
          <w:rFonts w:ascii="Book Antiqua" w:hAnsi="Book Antiqua" w:cs="Book Antiqua" w:hint="eastAsia"/>
          <w:b/>
          <w:bCs/>
          <w:color w:val="000000"/>
          <w:lang w:eastAsia="zh-CN"/>
        </w:rPr>
        <w:t xml:space="preserve"> </w:t>
      </w:r>
      <w:r w:rsidRPr="00AF5417">
        <w:rPr>
          <w:rFonts w:ascii="Book Antiqua" w:eastAsia="Book Antiqua" w:hAnsi="Book Antiqua" w:cs="Book Antiqua"/>
          <w:b/>
          <w:bCs/>
          <w:color w:val="000000"/>
        </w:rPr>
        <w:t>Controlled a</w:t>
      </w:r>
      <w:r w:rsidRPr="00AF5417">
        <w:rPr>
          <w:rFonts w:ascii="Book Antiqua" w:eastAsia="Book Antiqua" w:hAnsi="Book Antiqua" w:cs="Book Antiqua"/>
          <w:b/>
          <w:bCs/>
          <w:color w:val="000000"/>
        </w:rPr>
        <w:t>ttenuation parameter</w:t>
      </w:r>
      <w:r>
        <w:rPr>
          <w:rFonts w:ascii="Book Antiqua" w:eastAsia="Book Antiqua" w:hAnsi="Book Antiqua" w:cs="Book Antiqua"/>
          <w:b/>
          <w:bCs/>
          <w:color w:val="000000"/>
        </w:rPr>
        <w:t xml:space="preserve"> in patients with different b</w:t>
      </w:r>
      <w:r w:rsidRPr="00AF5417">
        <w:rPr>
          <w:rFonts w:ascii="Book Antiqua" w:eastAsia="Book Antiqua" w:hAnsi="Book Antiqua" w:cs="Book Antiqua"/>
          <w:b/>
          <w:bCs/>
          <w:color w:val="000000"/>
        </w:rPr>
        <w:t>ody mass index</w:t>
      </w:r>
      <w:r>
        <w:rPr>
          <w:rFonts w:ascii="Book Antiqua" w:eastAsia="Book Antiqua" w:hAnsi="Book Antiqua" w:cs="Book Antiqua"/>
          <w:b/>
          <w:bCs/>
          <w:color w:val="000000"/>
        </w:rPr>
        <w:t xml:space="preserve">es. </w:t>
      </w:r>
      <w:proofErr w:type="spellStart"/>
      <w:proofErr w:type="gramStart"/>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proofErr w:type="spellEnd"/>
      <w:proofErr w:type="gram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0.05 </w:t>
      </w:r>
      <w:r>
        <w:rPr>
          <w:rFonts w:ascii="Book Antiqua" w:eastAsia="Book Antiqua" w:hAnsi="Book Antiqua" w:cs="Book Antiqua"/>
          <w:i/>
          <w:iCs/>
          <w:color w:val="000000"/>
        </w:rPr>
        <w:t>vs</w:t>
      </w:r>
      <w:r>
        <w:rPr>
          <w:rFonts w:ascii="Book Antiqua" w:eastAsia="Book Antiqua" w:hAnsi="Book Antiqua" w:cs="Book Antiqua"/>
          <w:color w:val="000000"/>
        </w:rPr>
        <w:t xml:space="preserve"> S0</w:t>
      </w:r>
      <w:r w:rsidR="0009789F">
        <w:rPr>
          <w:rFonts w:ascii="Book Antiqua" w:eastAsia="Book Antiqua" w:hAnsi="Book Antiqua" w:cs="Book Antiqua"/>
          <w:color w:val="000000"/>
        </w:rPr>
        <w:t xml:space="preserve">; </w:t>
      </w:r>
      <w:proofErr w:type="spellStart"/>
      <w:r>
        <w:rPr>
          <w:rFonts w:ascii="Book Antiqua" w:eastAsia="Book Antiqua" w:hAnsi="Book Antiqua" w:cs="Book Antiqua"/>
          <w:color w:val="000000"/>
          <w:szCs w:val="30"/>
          <w:vertAlign w:val="superscript"/>
        </w:rPr>
        <w:t>c</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CAP: </w:t>
      </w:r>
      <w:r w:rsidRPr="00AF5417">
        <w:rPr>
          <w:rFonts w:ascii="Book Antiqua" w:eastAsia="Book Antiqua" w:hAnsi="Book Antiqua" w:cs="Book Antiqua"/>
          <w:color w:val="000000"/>
        </w:rPr>
        <w:t>Controlled attenuation parameter</w:t>
      </w:r>
      <w:r>
        <w:rPr>
          <w:rFonts w:ascii="Book Antiqua" w:eastAsia="Book Antiqua" w:hAnsi="Book Antiqua" w:cs="Book Antiqua"/>
          <w:color w:val="000000"/>
        </w:rPr>
        <w:t>; BMI: B</w:t>
      </w:r>
      <w:r w:rsidRPr="00AF5417">
        <w:rPr>
          <w:rFonts w:ascii="Book Antiqua" w:eastAsia="Book Antiqua" w:hAnsi="Book Antiqua" w:cs="Book Antiqua"/>
          <w:color w:val="000000"/>
        </w:rPr>
        <w:t>ody mass index</w:t>
      </w:r>
      <w:r>
        <w:rPr>
          <w:rFonts w:ascii="Book Antiqua" w:eastAsia="Book Antiqua" w:hAnsi="Book Antiqua" w:cs="Book Antiqua"/>
          <w:color w:val="000000"/>
        </w:rPr>
        <w:t>.</w:t>
      </w:r>
    </w:p>
    <w:p w14:paraId="35E09454" w14:textId="77777777" w:rsidR="00141C8E" w:rsidRDefault="00141C8E" w:rsidP="00141C8E">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AF5417">
        <w:rPr>
          <w:rFonts w:ascii="Book Antiqua" w:eastAsia="Book Antiqua" w:hAnsi="Book Antiqua" w:cs="Book Antiqua"/>
          <w:b/>
          <w:bCs/>
          <w:color w:val="000000"/>
        </w:rPr>
        <w:lastRenderedPageBreak/>
        <w:t>Table 1 Baseline patient characteristics</w:t>
      </w:r>
    </w:p>
    <w:tbl>
      <w:tblPr>
        <w:tblStyle w:val="a5"/>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26"/>
        <w:gridCol w:w="2410"/>
        <w:gridCol w:w="1985"/>
      </w:tblGrid>
      <w:tr w:rsidR="00141C8E" w:rsidRPr="00AF5417" w14:paraId="708D94CF" w14:textId="77777777" w:rsidTr="001D573C">
        <w:trPr>
          <w:trHeight w:val="454"/>
        </w:trPr>
        <w:tc>
          <w:tcPr>
            <w:tcW w:w="3119" w:type="dxa"/>
            <w:tcBorders>
              <w:top w:val="single" w:sz="4" w:space="0" w:color="auto"/>
              <w:bottom w:val="single" w:sz="4" w:space="0" w:color="auto"/>
            </w:tcBorders>
            <w:shd w:val="clear" w:color="auto" w:fill="auto"/>
            <w:noWrap/>
            <w:hideMark/>
          </w:tcPr>
          <w:p w14:paraId="03A723E0" w14:textId="77777777" w:rsidR="00141C8E" w:rsidRPr="00AF5417" w:rsidRDefault="00141C8E" w:rsidP="001D573C">
            <w:pPr>
              <w:spacing w:line="360" w:lineRule="auto"/>
              <w:rPr>
                <w:rFonts w:ascii="Book Antiqua" w:hAnsi="Book Antiqua"/>
                <w:b/>
                <w:bCs/>
              </w:rPr>
            </w:pPr>
            <w:r w:rsidRPr="00AF5417">
              <w:rPr>
                <w:rFonts w:ascii="Book Antiqua" w:hAnsi="Book Antiqua"/>
                <w:b/>
                <w:bCs/>
              </w:rPr>
              <w:t>Variable</w:t>
            </w:r>
          </w:p>
        </w:tc>
        <w:tc>
          <w:tcPr>
            <w:tcW w:w="2126" w:type="dxa"/>
            <w:tcBorders>
              <w:top w:val="single" w:sz="4" w:space="0" w:color="auto"/>
              <w:bottom w:val="single" w:sz="4" w:space="0" w:color="auto"/>
            </w:tcBorders>
            <w:shd w:val="clear" w:color="auto" w:fill="auto"/>
            <w:noWrap/>
            <w:hideMark/>
          </w:tcPr>
          <w:p w14:paraId="3E17F52F" w14:textId="77777777" w:rsidR="00141C8E" w:rsidRPr="00AF5417" w:rsidRDefault="00141C8E" w:rsidP="001D573C">
            <w:pPr>
              <w:spacing w:line="360" w:lineRule="auto"/>
              <w:rPr>
                <w:rFonts w:ascii="Book Antiqua" w:hAnsi="Book Antiqua"/>
                <w:b/>
                <w:bCs/>
              </w:rPr>
            </w:pPr>
            <w:r w:rsidRPr="00AF5417">
              <w:rPr>
                <w:rFonts w:ascii="Book Antiqua" w:hAnsi="Book Antiqua"/>
                <w:b/>
                <w:bCs/>
              </w:rPr>
              <w:t>All (</w:t>
            </w:r>
            <w:r w:rsidRPr="00AF5417">
              <w:rPr>
                <w:rFonts w:ascii="Book Antiqua" w:hAnsi="Book Antiqua"/>
                <w:b/>
                <w:bCs/>
                <w:i/>
                <w:iCs/>
              </w:rPr>
              <w:t>n</w:t>
            </w:r>
            <w:r w:rsidRPr="00AF5417">
              <w:rPr>
                <w:rFonts w:ascii="Book Antiqua" w:hAnsi="Book Antiqua"/>
                <w:b/>
                <w:bCs/>
              </w:rPr>
              <w:t xml:space="preserve"> = 190)</w:t>
            </w:r>
          </w:p>
        </w:tc>
        <w:tc>
          <w:tcPr>
            <w:tcW w:w="2410" w:type="dxa"/>
            <w:tcBorders>
              <w:top w:val="single" w:sz="4" w:space="0" w:color="auto"/>
              <w:bottom w:val="single" w:sz="4" w:space="0" w:color="auto"/>
            </w:tcBorders>
            <w:shd w:val="clear" w:color="auto" w:fill="auto"/>
          </w:tcPr>
          <w:p w14:paraId="3825D761" w14:textId="77777777" w:rsidR="00141C8E" w:rsidRPr="00AF5417" w:rsidRDefault="00141C8E" w:rsidP="001D573C">
            <w:pPr>
              <w:spacing w:line="360" w:lineRule="auto"/>
              <w:rPr>
                <w:rFonts w:ascii="Book Antiqua" w:hAnsi="Book Antiqua"/>
                <w:b/>
                <w:bCs/>
              </w:rPr>
            </w:pPr>
            <w:r w:rsidRPr="00AF5417">
              <w:rPr>
                <w:rFonts w:ascii="Book Antiqua" w:hAnsi="Book Antiqua"/>
                <w:b/>
                <w:bCs/>
              </w:rPr>
              <w:t>AILDs (</w:t>
            </w:r>
            <w:r w:rsidRPr="00AF5417">
              <w:rPr>
                <w:rFonts w:ascii="Book Antiqua" w:hAnsi="Book Antiqua"/>
                <w:b/>
                <w:bCs/>
                <w:i/>
                <w:iCs/>
              </w:rPr>
              <w:t>n</w:t>
            </w:r>
            <w:r w:rsidRPr="00AF5417">
              <w:rPr>
                <w:rFonts w:ascii="Book Antiqua" w:hAnsi="Book Antiqua"/>
                <w:b/>
                <w:bCs/>
              </w:rPr>
              <w:t xml:space="preserve"> = 114)</w:t>
            </w:r>
          </w:p>
        </w:tc>
        <w:tc>
          <w:tcPr>
            <w:tcW w:w="1985" w:type="dxa"/>
            <w:tcBorders>
              <w:top w:val="single" w:sz="4" w:space="0" w:color="auto"/>
              <w:bottom w:val="single" w:sz="4" w:space="0" w:color="auto"/>
            </w:tcBorders>
            <w:shd w:val="clear" w:color="auto" w:fill="auto"/>
          </w:tcPr>
          <w:p w14:paraId="1EC46CC5" w14:textId="77777777" w:rsidR="00141C8E" w:rsidRPr="00AF5417" w:rsidRDefault="00141C8E" w:rsidP="001D573C">
            <w:pPr>
              <w:spacing w:line="360" w:lineRule="auto"/>
              <w:rPr>
                <w:rFonts w:ascii="Book Antiqua" w:hAnsi="Book Antiqua"/>
                <w:b/>
                <w:bCs/>
              </w:rPr>
            </w:pPr>
            <w:r w:rsidRPr="00AF5417">
              <w:rPr>
                <w:rFonts w:ascii="Book Antiqua" w:hAnsi="Book Antiqua"/>
                <w:b/>
                <w:bCs/>
              </w:rPr>
              <w:t>NAFLD (</w:t>
            </w:r>
            <w:r w:rsidRPr="00AF5417">
              <w:rPr>
                <w:rFonts w:ascii="Book Antiqua" w:hAnsi="Book Antiqua"/>
                <w:b/>
                <w:bCs/>
                <w:i/>
                <w:iCs/>
              </w:rPr>
              <w:t>n</w:t>
            </w:r>
            <w:r w:rsidRPr="00AF5417">
              <w:rPr>
                <w:rFonts w:ascii="Book Antiqua" w:hAnsi="Book Antiqua"/>
                <w:b/>
                <w:bCs/>
              </w:rPr>
              <w:t xml:space="preserve"> = 66)</w:t>
            </w:r>
          </w:p>
        </w:tc>
      </w:tr>
      <w:tr w:rsidR="00141C8E" w:rsidRPr="00AF5417" w14:paraId="3E294D39" w14:textId="77777777" w:rsidTr="001D573C">
        <w:trPr>
          <w:trHeight w:val="454"/>
        </w:trPr>
        <w:tc>
          <w:tcPr>
            <w:tcW w:w="3119" w:type="dxa"/>
            <w:tcBorders>
              <w:top w:val="single" w:sz="4" w:space="0" w:color="auto"/>
            </w:tcBorders>
            <w:shd w:val="clear" w:color="auto" w:fill="auto"/>
            <w:noWrap/>
            <w:hideMark/>
          </w:tcPr>
          <w:p w14:paraId="0292C1D6"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Age, </w:t>
            </w:r>
            <w:proofErr w:type="spellStart"/>
            <w:r w:rsidRPr="00AF5417">
              <w:rPr>
                <w:rFonts w:ascii="Book Antiqua" w:hAnsi="Book Antiqua"/>
              </w:rPr>
              <w:t>yr</w:t>
            </w:r>
            <w:proofErr w:type="spellEnd"/>
          </w:p>
        </w:tc>
        <w:tc>
          <w:tcPr>
            <w:tcW w:w="2126" w:type="dxa"/>
            <w:tcBorders>
              <w:top w:val="single" w:sz="4" w:space="0" w:color="auto"/>
            </w:tcBorders>
            <w:shd w:val="clear" w:color="auto" w:fill="auto"/>
            <w:noWrap/>
            <w:hideMark/>
          </w:tcPr>
          <w:p w14:paraId="5322F34D" w14:textId="77777777" w:rsidR="00141C8E" w:rsidRPr="00AF5417" w:rsidRDefault="00141C8E" w:rsidP="001D573C">
            <w:pPr>
              <w:spacing w:line="360" w:lineRule="auto"/>
              <w:rPr>
                <w:rFonts w:ascii="Book Antiqua" w:hAnsi="Book Antiqua"/>
              </w:rPr>
            </w:pPr>
            <w:r w:rsidRPr="00AF5417">
              <w:rPr>
                <w:rFonts w:ascii="Book Antiqua" w:hAnsi="Book Antiqua"/>
              </w:rPr>
              <w:t>46.36 ± 12.82</w:t>
            </w:r>
          </w:p>
        </w:tc>
        <w:tc>
          <w:tcPr>
            <w:tcW w:w="2410" w:type="dxa"/>
            <w:tcBorders>
              <w:top w:val="single" w:sz="4" w:space="0" w:color="auto"/>
            </w:tcBorders>
            <w:shd w:val="clear" w:color="auto" w:fill="auto"/>
          </w:tcPr>
          <w:p w14:paraId="7EDCB287" w14:textId="77777777" w:rsidR="00141C8E" w:rsidRPr="00AF5417" w:rsidRDefault="00141C8E" w:rsidP="001D573C">
            <w:pPr>
              <w:spacing w:line="360" w:lineRule="auto"/>
              <w:rPr>
                <w:rFonts w:ascii="Book Antiqua" w:hAnsi="Book Antiqua"/>
              </w:rPr>
            </w:pPr>
            <w:r w:rsidRPr="00AF5417">
              <w:rPr>
                <w:rFonts w:ascii="Book Antiqua" w:hAnsi="Book Antiqua"/>
              </w:rPr>
              <w:t>48.72 ± 11.57</w:t>
            </w:r>
          </w:p>
        </w:tc>
        <w:tc>
          <w:tcPr>
            <w:tcW w:w="1985" w:type="dxa"/>
            <w:tcBorders>
              <w:top w:val="single" w:sz="4" w:space="0" w:color="auto"/>
            </w:tcBorders>
            <w:shd w:val="clear" w:color="auto" w:fill="auto"/>
          </w:tcPr>
          <w:p w14:paraId="73B9E8EA" w14:textId="77777777" w:rsidR="00141C8E" w:rsidRPr="00AF5417" w:rsidRDefault="00141C8E" w:rsidP="001D573C">
            <w:pPr>
              <w:spacing w:line="360" w:lineRule="auto"/>
              <w:rPr>
                <w:rFonts w:ascii="Book Antiqua" w:hAnsi="Book Antiqua"/>
              </w:rPr>
            </w:pPr>
            <w:r w:rsidRPr="00AF5417">
              <w:rPr>
                <w:rFonts w:ascii="Book Antiqua" w:hAnsi="Book Antiqua"/>
              </w:rPr>
              <w:t>42.15 ± 13.80</w:t>
            </w:r>
          </w:p>
        </w:tc>
      </w:tr>
      <w:tr w:rsidR="00141C8E" w:rsidRPr="00AF5417" w14:paraId="66923A55" w14:textId="77777777" w:rsidTr="001D573C">
        <w:trPr>
          <w:trHeight w:val="454"/>
        </w:trPr>
        <w:tc>
          <w:tcPr>
            <w:tcW w:w="3119" w:type="dxa"/>
            <w:shd w:val="clear" w:color="auto" w:fill="auto"/>
            <w:noWrap/>
            <w:hideMark/>
          </w:tcPr>
          <w:p w14:paraId="5184530E" w14:textId="77777777" w:rsidR="00141C8E" w:rsidRPr="00AF5417" w:rsidRDefault="00141C8E" w:rsidP="001D573C">
            <w:pPr>
              <w:spacing w:line="360" w:lineRule="auto"/>
              <w:rPr>
                <w:rFonts w:ascii="Book Antiqua" w:hAnsi="Book Antiqua"/>
              </w:rPr>
            </w:pPr>
            <w:r w:rsidRPr="00AF5417">
              <w:rPr>
                <w:rFonts w:ascii="Book Antiqua" w:hAnsi="Book Antiqua"/>
              </w:rPr>
              <w:t>Male sex</w:t>
            </w:r>
            <w:r>
              <w:rPr>
                <w:rFonts w:ascii="Book Antiqua" w:hAnsi="Book Antiqua"/>
              </w:rPr>
              <w:t xml:space="preserve">, </w:t>
            </w:r>
            <w:r w:rsidRPr="00AF5417">
              <w:rPr>
                <w:rFonts w:ascii="Book Antiqua" w:hAnsi="Book Antiqua"/>
                <w:i/>
                <w:iCs/>
              </w:rPr>
              <w:t>n</w:t>
            </w:r>
            <w:r>
              <w:rPr>
                <w:rFonts w:ascii="Book Antiqua" w:hAnsi="Book Antiqua"/>
              </w:rPr>
              <w:t xml:space="preserve"> (%)</w:t>
            </w:r>
          </w:p>
        </w:tc>
        <w:tc>
          <w:tcPr>
            <w:tcW w:w="2126" w:type="dxa"/>
            <w:shd w:val="clear" w:color="auto" w:fill="auto"/>
            <w:noWrap/>
            <w:hideMark/>
          </w:tcPr>
          <w:p w14:paraId="5C7327A3" w14:textId="77777777" w:rsidR="00141C8E" w:rsidRPr="00AF5417" w:rsidRDefault="00141C8E" w:rsidP="001D573C">
            <w:pPr>
              <w:spacing w:line="360" w:lineRule="auto"/>
              <w:rPr>
                <w:rFonts w:ascii="Book Antiqua" w:hAnsi="Book Antiqua"/>
              </w:rPr>
            </w:pPr>
            <w:r w:rsidRPr="00AF5417">
              <w:rPr>
                <w:rFonts w:ascii="Book Antiqua" w:hAnsi="Book Antiqua"/>
              </w:rPr>
              <w:t>45 (23.68)</w:t>
            </w:r>
          </w:p>
        </w:tc>
        <w:tc>
          <w:tcPr>
            <w:tcW w:w="2410" w:type="dxa"/>
            <w:shd w:val="clear" w:color="auto" w:fill="auto"/>
          </w:tcPr>
          <w:p w14:paraId="48C4731A" w14:textId="77777777" w:rsidR="00141C8E" w:rsidRPr="00AF5417" w:rsidRDefault="00141C8E" w:rsidP="001D573C">
            <w:pPr>
              <w:spacing w:line="360" w:lineRule="auto"/>
              <w:rPr>
                <w:rFonts w:ascii="Book Antiqua" w:hAnsi="Book Antiqua"/>
              </w:rPr>
            </w:pPr>
            <w:r w:rsidRPr="00AF5417">
              <w:rPr>
                <w:rFonts w:ascii="Book Antiqua" w:hAnsi="Book Antiqua"/>
              </w:rPr>
              <w:t>23 (20.18)</w:t>
            </w:r>
          </w:p>
        </w:tc>
        <w:tc>
          <w:tcPr>
            <w:tcW w:w="1985" w:type="dxa"/>
            <w:shd w:val="clear" w:color="auto" w:fill="auto"/>
          </w:tcPr>
          <w:p w14:paraId="338092F3" w14:textId="77777777" w:rsidR="00141C8E" w:rsidRPr="00AF5417" w:rsidRDefault="00141C8E" w:rsidP="001D573C">
            <w:pPr>
              <w:spacing w:line="360" w:lineRule="auto"/>
              <w:rPr>
                <w:rFonts w:ascii="Book Antiqua" w:hAnsi="Book Antiqua"/>
              </w:rPr>
            </w:pPr>
            <w:r w:rsidRPr="00AF5417">
              <w:rPr>
                <w:rFonts w:ascii="Book Antiqua" w:hAnsi="Book Antiqua"/>
              </w:rPr>
              <w:t>18 (27.27)</w:t>
            </w:r>
          </w:p>
        </w:tc>
      </w:tr>
      <w:tr w:rsidR="00141C8E" w:rsidRPr="00AF5417" w14:paraId="511B4F7A" w14:textId="77777777" w:rsidTr="001D573C">
        <w:trPr>
          <w:trHeight w:val="454"/>
        </w:trPr>
        <w:tc>
          <w:tcPr>
            <w:tcW w:w="3119" w:type="dxa"/>
            <w:shd w:val="clear" w:color="auto" w:fill="auto"/>
            <w:noWrap/>
            <w:hideMark/>
          </w:tcPr>
          <w:p w14:paraId="12D4C8B7" w14:textId="77777777" w:rsidR="00141C8E" w:rsidRPr="00AF5417" w:rsidRDefault="00141C8E" w:rsidP="001D573C">
            <w:pPr>
              <w:spacing w:line="360" w:lineRule="auto"/>
              <w:rPr>
                <w:rFonts w:ascii="Book Antiqua" w:hAnsi="Book Antiqua"/>
              </w:rPr>
            </w:pPr>
            <w:r w:rsidRPr="00AF5417">
              <w:rPr>
                <w:rFonts w:ascii="Book Antiqua" w:hAnsi="Book Antiqua"/>
              </w:rPr>
              <w:t>BMI, kg/m</w:t>
            </w:r>
            <w:r w:rsidRPr="00AF5417">
              <w:rPr>
                <w:rFonts w:ascii="Book Antiqua" w:hAnsi="Book Antiqua"/>
                <w:vertAlign w:val="superscript"/>
              </w:rPr>
              <w:t>2</w:t>
            </w:r>
          </w:p>
        </w:tc>
        <w:tc>
          <w:tcPr>
            <w:tcW w:w="2126" w:type="dxa"/>
            <w:shd w:val="clear" w:color="auto" w:fill="auto"/>
            <w:noWrap/>
            <w:hideMark/>
          </w:tcPr>
          <w:p w14:paraId="0824D54C" w14:textId="77777777" w:rsidR="00141C8E" w:rsidRPr="00AF5417" w:rsidRDefault="00141C8E" w:rsidP="001D573C">
            <w:pPr>
              <w:spacing w:line="360" w:lineRule="auto"/>
              <w:rPr>
                <w:rFonts w:ascii="Book Antiqua" w:hAnsi="Book Antiqua"/>
              </w:rPr>
            </w:pPr>
            <w:r w:rsidRPr="00AF5417">
              <w:rPr>
                <w:rFonts w:ascii="Book Antiqua" w:hAnsi="Book Antiqua"/>
              </w:rPr>
              <w:t>23.97 ± 2.69</w:t>
            </w:r>
          </w:p>
        </w:tc>
        <w:tc>
          <w:tcPr>
            <w:tcW w:w="2410" w:type="dxa"/>
            <w:shd w:val="clear" w:color="auto" w:fill="auto"/>
          </w:tcPr>
          <w:p w14:paraId="08177CA9" w14:textId="77777777" w:rsidR="00141C8E" w:rsidRPr="00AF5417" w:rsidRDefault="00141C8E" w:rsidP="001D573C">
            <w:pPr>
              <w:spacing w:line="360" w:lineRule="auto"/>
              <w:rPr>
                <w:rFonts w:ascii="Book Antiqua" w:hAnsi="Book Antiqua"/>
              </w:rPr>
            </w:pPr>
            <w:r w:rsidRPr="00AF5417">
              <w:rPr>
                <w:rFonts w:ascii="Book Antiqua" w:hAnsi="Book Antiqua"/>
              </w:rPr>
              <w:t>24.33 ± 1.80</w:t>
            </w:r>
          </w:p>
        </w:tc>
        <w:tc>
          <w:tcPr>
            <w:tcW w:w="1985" w:type="dxa"/>
            <w:shd w:val="clear" w:color="auto" w:fill="auto"/>
          </w:tcPr>
          <w:p w14:paraId="08160DC7" w14:textId="77777777" w:rsidR="00141C8E" w:rsidRPr="00AF5417" w:rsidRDefault="00141C8E" w:rsidP="001D573C">
            <w:pPr>
              <w:spacing w:line="360" w:lineRule="auto"/>
              <w:rPr>
                <w:rFonts w:ascii="Book Antiqua" w:hAnsi="Book Antiqua"/>
              </w:rPr>
            </w:pPr>
            <w:r w:rsidRPr="00AF5417">
              <w:rPr>
                <w:rFonts w:ascii="Book Antiqua" w:hAnsi="Book Antiqua"/>
              </w:rPr>
              <w:t>23.63 ± 2.34</w:t>
            </w:r>
          </w:p>
        </w:tc>
      </w:tr>
      <w:tr w:rsidR="00141C8E" w:rsidRPr="00AF5417" w14:paraId="35A80585" w14:textId="77777777" w:rsidTr="001D573C">
        <w:trPr>
          <w:trHeight w:val="454"/>
        </w:trPr>
        <w:tc>
          <w:tcPr>
            <w:tcW w:w="3119" w:type="dxa"/>
            <w:shd w:val="clear" w:color="auto" w:fill="auto"/>
            <w:noWrap/>
            <w:hideMark/>
          </w:tcPr>
          <w:p w14:paraId="1FC4E067" w14:textId="77777777" w:rsidR="00141C8E" w:rsidRPr="00AF5417" w:rsidRDefault="00141C8E" w:rsidP="001D573C">
            <w:pPr>
              <w:spacing w:line="360" w:lineRule="auto"/>
              <w:rPr>
                <w:rFonts w:ascii="Book Antiqua" w:hAnsi="Book Antiqua"/>
              </w:rPr>
            </w:pPr>
            <w:r w:rsidRPr="00AF5417">
              <w:rPr>
                <w:rFonts w:ascii="Book Antiqua" w:hAnsi="Book Antiqua"/>
              </w:rPr>
              <w:t>Prevalence of autoantibodies</w:t>
            </w:r>
            <w:r>
              <w:rPr>
                <w:rFonts w:ascii="Book Antiqua" w:hAnsi="Book Antiqua"/>
              </w:rPr>
              <w:t xml:space="preserve">, </w:t>
            </w:r>
            <w:r w:rsidRPr="00AF5417">
              <w:rPr>
                <w:rFonts w:ascii="Book Antiqua" w:hAnsi="Book Antiqua"/>
                <w:i/>
                <w:iCs/>
              </w:rPr>
              <w:t>n</w:t>
            </w:r>
            <w:r>
              <w:rPr>
                <w:rFonts w:ascii="Book Antiqua" w:hAnsi="Book Antiqua"/>
              </w:rPr>
              <w:t xml:space="preserve"> (%)</w:t>
            </w:r>
          </w:p>
        </w:tc>
        <w:tc>
          <w:tcPr>
            <w:tcW w:w="2126" w:type="dxa"/>
            <w:shd w:val="clear" w:color="auto" w:fill="auto"/>
            <w:noWrap/>
            <w:hideMark/>
          </w:tcPr>
          <w:p w14:paraId="5EE1842A" w14:textId="77777777" w:rsidR="00141C8E" w:rsidRPr="00AF5417" w:rsidRDefault="00141C8E" w:rsidP="001D573C">
            <w:pPr>
              <w:spacing w:line="360" w:lineRule="auto"/>
              <w:rPr>
                <w:rFonts w:ascii="Book Antiqua" w:hAnsi="Book Antiqua"/>
              </w:rPr>
            </w:pPr>
            <w:r w:rsidRPr="00AF5417">
              <w:rPr>
                <w:rFonts w:ascii="Book Antiqua" w:hAnsi="Book Antiqua"/>
              </w:rPr>
              <w:t>134 (70.53)</w:t>
            </w:r>
          </w:p>
        </w:tc>
        <w:tc>
          <w:tcPr>
            <w:tcW w:w="2410" w:type="dxa"/>
            <w:shd w:val="clear" w:color="auto" w:fill="auto"/>
          </w:tcPr>
          <w:p w14:paraId="0C983AAB" w14:textId="77777777" w:rsidR="00141C8E" w:rsidRPr="00AF5417" w:rsidRDefault="00141C8E" w:rsidP="001D573C">
            <w:pPr>
              <w:spacing w:line="360" w:lineRule="auto"/>
              <w:rPr>
                <w:rFonts w:ascii="Book Antiqua" w:hAnsi="Book Antiqua"/>
              </w:rPr>
            </w:pPr>
            <w:r w:rsidRPr="00AF5417">
              <w:rPr>
                <w:rFonts w:ascii="Book Antiqua" w:hAnsi="Book Antiqua"/>
              </w:rPr>
              <w:t>89 (78.07)</w:t>
            </w:r>
          </w:p>
        </w:tc>
        <w:tc>
          <w:tcPr>
            <w:tcW w:w="1985" w:type="dxa"/>
            <w:shd w:val="clear" w:color="auto" w:fill="auto"/>
          </w:tcPr>
          <w:p w14:paraId="470F6BD1" w14:textId="77777777" w:rsidR="00141C8E" w:rsidRPr="00AF5417" w:rsidRDefault="00141C8E" w:rsidP="001D573C">
            <w:pPr>
              <w:spacing w:line="360" w:lineRule="auto"/>
              <w:rPr>
                <w:rFonts w:ascii="Book Antiqua" w:hAnsi="Book Antiqua"/>
              </w:rPr>
            </w:pPr>
            <w:r w:rsidRPr="00AF5417">
              <w:rPr>
                <w:rFonts w:ascii="Book Antiqua" w:hAnsi="Book Antiqua"/>
              </w:rPr>
              <w:t>37 (56.06)</w:t>
            </w:r>
          </w:p>
        </w:tc>
      </w:tr>
      <w:tr w:rsidR="00141C8E" w:rsidRPr="00AF5417" w14:paraId="3B179102" w14:textId="77777777" w:rsidTr="001D573C">
        <w:trPr>
          <w:trHeight w:val="454"/>
        </w:trPr>
        <w:tc>
          <w:tcPr>
            <w:tcW w:w="3119" w:type="dxa"/>
            <w:shd w:val="clear" w:color="auto" w:fill="auto"/>
            <w:noWrap/>
            <w:hideMark/>
          </w:tcPr>
          <w:p w14:paraId="09E89BEE" w14:textId="77777777" w:rsidR="00141C8E" w:rsidRPr="00AF5417" w:rsidRDefault="00141C8E" w:rsidP="001D573C">
            <w:pPr>
              <w:spacing w:line="360" w:lineRule="auto"/>
              <w:rPr>
                <w:rFonts w:ascii="Book Antiqua" w:hAnsi="Book Antiqua"/>
              </w:rPr>
            </w:pPr>
            <w:r w:rsidRPr="00AF5417">
              <w:rPr>
                <w:rFonts w:ascii="Book Antiqua" w:hAnsi="Book Antiqua"/>
              </w:rPr>
              <w:t>Laboratory</w:t>
            </w:r>
          </w:p>
        </w:tc>
        <w:tc>
          <w:tcPr>
            <w:tcW w:w="2126" w:type="dxa"/>
            <w:shd w:val="clear" w:color="auto" w:fill="auto"/>
            <w:noWrap/>
            <w:hideMark/>
          </w:tcPr>
          <w:p w14:paraId="3BB2C06B" w14:textId="77777777" w:rsidR="00141C8E" w:rsidRPr="00AF5417" w:rsidRDefault="00141C8E" w:rsidP="001D573C">
            <w:pPr>
              <w:spacing w:line="360" w:lineRule="auto"/>
              <w:rPr>
                <w:rFonts w:ascii="Book Antiqua" w:hAnsi="Book Antiqua"/>
              </w:rPr>
            </w:pPr>
          </w:p>
        </w:tc>
        <w:tc>
          <w:tcPr>
            <w:tcW w:w="2410" w:type="dxa"/>
            <w:shd w:val="clear" w:color="auto" w:fill="auto"/>
          </w:tcPr>
          <w:p w14:paraId="538CA33C" w14:textId="77777777" w:rsidR="00141C8E" w:rsidRPr="00AF5417" w:rsidRDefault="00141C8E" w:rsidP="001D573C">
            <w:pPr>
              <w:spacing w:line="360" w:lineRule="auto"/>
              <w:rPr>
                <w:rFonts w:ascii="Book Antiqua" w:hAnsi="Book Antiqua"/>
              </w:rPr>
            </w:pPr>
          </w:p>
        </w:tc>
        <w:tc>
          <w:tcPr>
            <w:tcW w:w="1985" w:type="dxa"/>
            <w:shd w:val="clear" w:color="auto" w:fill="auto"/>
          </w:tcPr>
          <w:p w14:paraId="555F10E2" w14:textId="77777777" w:rsidR="00141C8E" w:rsidRPr="00AF5417" w:rsidRDefault="00141C8E" w:rsidP="001D573C">
            <w:pPr>
              <w:spacing w:line="360" w:lineRule="auto"/>
              <w:rPr>
                <w:rFonts w:ascii="Book Antiqua" w:hAnsi="Book Antiqua"/>
              </w:rPr>
            </w:pPr>
          </w:p>
        </w:tc>
      </w:tr>
      <w:tr w:rsidR="00141C8E" w:rsidRPr="00AF5417" w14:paraId="291D6ACD" w14:textId="77777777" w:rsidTr="001D573C">
        <w:trPr>
          <w:trHeight w:val="454"/>
        </w:trPr>
        <w:tc>
          <w:tcPr>
            <w:tcW w:w="3119" w:type="dxa"/>
            <w:shd w:val="clear" w:color="auto" w:fill="auto"/>
            <w:noWrap/>
            <w:hideMark/>
          </w:tcPr>
          <w:p w14:paraId="1222CA94" w14:textId="77777777" w:rsidR="00141C8E" w:rsidRPr="00AF5417" w:rsidRDefault="00141C8E" w:rsidP="001D573C">
            <w:pPr>
              <w:spacing w:line="360" w:lineRule="auto"/>
              <w:rPr>
                <w:rFonts w:ascii="Book Antiqua" w:hAnsi="Book Antiqua"/>
              </w:rPr>
            </w:pPr>
            <w:r w:rsidRPr="00AF5417">
              <w:rPr>
                <w:rFonts w:ascii="Book Antiqua" w:hAnsi="Book Antiqua"/>
              </w:rPr>
              <w:t>AST, U/L</w:t>
            </w:r>
          </w:p>
        </w:tc>
        <w:tc>
          <w:tcPr>
            <w:tcW w:w="2126" w:type="dxa"/>
            <w:shd w:val="clear" w:color="auto" w:fill="auto"/>
            <w:noWrap/>
            <w:hideMark/>
          </w:tcPr>
          <w:p w14:paraId="5BC242DE" w14:textId="77777777" w:rsidR="00141C8E" w:rsidRPr="00AF5417" w:rsidRDefault="00141C8E" w:rsidP="001D573C">
            <w:pPr>
              <w:spacing w:line="360" w:lineRule="auto"/>
              <w:rPr>
                <w:rFonts w:ascii="Book Antiqua" w:hAnsi="Book Antiqua"/>
              </w:rPr>
            </w:pPr>
            <w:r w:rsidRPr="00AF5417">
              <w:rPr>
                <w:rFonts w:ascii="Book Antiqua" w:hAnsi="Book Antiqua"/>
              </w:rPr>
              <w:t>63.96 ± 86.42</w:t>
            </w:r>
          </w:p>
        </w:tc>
        <w:tc>
          <w:tcPr>
            <w:tcW w:w="2410" w:type="dxa"/>
            <w:shd w:val="clear" w:color="auto" w:fill="auto"/>
          </w:tcPr>
          <w:p w14:paraId="468C13D8" w14:textId="77777777" w:rsidR="00141C8E" w:rsidRPr="00AF5417" w:rsidRDefault="00141C8E" w:rsidP="001D573C">
            <w:pPr>
              <w:spacing w:line="360" w:lineRule="auto"/>
              <w:rPr>
                <w:rFonts w:ascii="Book Antiqua" w:hAnsi="Book Antiqua"/>
              </w:rPr>
            </w:pPr>
            <w:r w:rsidRPr="00AF5417">
              <w:rPr>
                <w:rFonts w:ascii="Book Antiqua" w:hAnsi="Book Antiqua"/>
              </w:rPr>
              <w:t>72.54 ± 102.23</w:t>
            </w:r>
          </w:p>
        </w:tc>
        <w:tc>
          <w:tcPr>
            <w:tcW w:w="1985" w:type="dxa"/>
            <w:shd w:val="clear" w:color="auto" w:fill="auto"/>
          </w:tcPr>
          <w:p w14:paraId="06E20D1B" w14:textId="77777777" w:rsidR="00141C8E" w:rsidRPr="00AF5417" w:rsidRDefault="00141C8E" w:rsidP="001D573C">
            <w:pPr>
              <w:spacing w:line="360" w:lineRule="auto"/>
              <w:rPr>
                <w:rFonts w:ascii="Book Antiqua" w:hAnsi="Book Antiqua"/>
              </w:rPr>
            </w:pPr>
            <w:r w:rsidRPr="00AF5417">
              <w:rPr>
                <w:rFonts w:ascii="Book Antiqua" w:hAnsi="Book Antiqua"/>
              </w:rPr>
              <w:t>54.6 ± 59.10</w:t>
            </w:r>
          </w:p>
        </w:tc>
      </w:tr>
      <w:tr w:rsidR="00141C8E" w:rsidRPr="00AF5417" w14:paraId="74B0F86D" w14:textId="77777777" w:rsidTr="001D573C">
        <w:trPr>
          <w:trHeight w:val="454"/>
        </w:trPr>
        <w:tc>
          <w:tcPr>
            <w:tcW w:w="3119" w:type="dxa"/>
            <w:shd w:val="clear" w:color="auto" w:fill="auto"/>
            <w:noWrap/>
            <w:hideMark/>
          </w:tcPr>
          <w:p w14:paraId="6896F178" w14:textId="77777777" w:rsidR="00141C8E" w:rsidRPr="00AF5417" w:rsidRDefault="00141C8E" w:rsidP="001D573C">
            <w:pPr>
              <w:spacing w:line="360" w:lineRule="auto"/>
              <w:rPr>
                <w:rFonts w:ascii="Book Antiqua" w:hAnsi="Book Antiqua"/>
              </w:rPr>
            </w:pPr>
            <w:r w:rsidRPr="00AF5417">
              <w:rPr>
                <w:rFonts w:ascii="Book Antiqua" w:hAnsi="Book Antiqua"/>
              </w:rPr>
              <w:t>ALT, U/L</w:t>
            </w:r>
          </w:p>
        </w:tc>
        <w:tc>
          <w:tcPr>
            <w:tcW w:w="2126" w:type="dxa"/>
            <w:shd w:val="clear" w:color="auto" w:fill="auto"/>
            <w:noWrap/>
            <w:hideMark/>
          </w:tcPr>
          <w:p w14:paraId="01BA6EE0" w14:textId="77777777" w:rsidR="00141C8E" w:rsidRPr="00AF5417" w:rsidRDefault="00141C8E" w:rsidP="001D573C">
            <w:pPr>
              <w:spacing w:line="360" w:lineRule="auto"/>
              <w:rPr>
                <w:rFonts w:ascii="Book Antiqua" w:hAnsi="Book Antiqua"/>
              </w:rPr>
            </w:pPr>
            <w:r w:rsidRPr="00AF5417">
              <w:rPr>
                <w:rFonts w:ascii="Book Antiqua" w:hAnsi="Book Antiqua"/>
              </w:rPr>
              <w:t>83.86 ± 86.42</w:t>
            </w:r>
          </w:p>
        </w:tc>
        <w:tc>
          <w:tcPr>
            <w:tcW w:w="2410" w:type="dxa"/>
            <w:shd w:val="clear" w:color="auto" w:fill="auto"/>
          </w:tcPr>
          <w:p w14:paraId="683C3887" w14:textId="77777777" w:rsidR="00141C8E" w:rsidRPr="00AF5417" w:rsidRDefault="00141C8E" w:rsidP="001D573C">
            <w:pPr>
              <w:spacing w:line="360" w:lineRule="auto"/>
              <w:rPr>
                <w:rFonts w:ascii="Book Antiqua" w:hAnsi="Book Antiqua"/>
              </w:rPr>
            </w:pPr>
            <w:r w:rsidRPr="00AF5417">
              <w:rPr>
                <w:rFonts w:ascii="Book Antiqua" w:hAnsi="Book Antiqua"/>
              </w:rPr>
              <w:t>81.98 ± 92.78</w:t>
            </w:r>
          </w:p>
        </w:tc>
        <w:tc>
          <w:tcPr>
            <w:tcW w:w="1985" w:type="dxa"/>
            <w:shd w:val="clear" w:color="auto" w:fill="auto"/>
          </w:tcPr>
          <w:p w14:paraId="695172E0" w14:textId="77777777" w:rsidR="00141C8E" w:rsidRPr="00AF5417" w:rsidRDefault="00141C8E" w:rsidP="001D573C">
            <w:pPr>
              <w:spacing w:line="360" w:lineRule="auto"/>
              <w:rPr>
                <w:rFonts w:ascii="Book Antiqua" w:hAnsi="Book Antiqua"/>
              </w:rPr>
            </w:pPr>
            <w:r w:rsidRPr="00AF5417">
              <w:rPr>
                <w:rFonts w:ascii="Book Antiqua" w:hAnsi="Book Antiqua"/>
              </w:rPr>
              <w:t>92.81 ± 78.67</w:t>
            </w:r>
          </w:p>
        </w:tc>
      </w:tr>
      <w:tr w:rsidR="00141C8E" w:rsidRPr="00AF5417" w14:paraId="0FC692F4" w14:textId="77777777" w:rsidTr="001D573C">
        <w:trPr>
          <w:trHeight w:val="454"/>
        </w:trPr>
        <w:tc>
          <w:tcPr>
            <w:tcW w:w="3119" w:type="dxa"/>
            <w:shd w:val="clear" w:color="auto" w:fill="auto"/>
            <w:noWrap/>
            <w:hideMark/>
          </w:tcPr>
          <w:p w14:paraId="443773DF" w14:textId="77777777" w:rsidR="00141C8E" w:rsidRPr="00AF5417" w:rsidRDefault="00141C8E" w:rsidP="001D573C">
            <w:pPr>
              <w:spacing w:line="360" w:lineRule="auto"/>
              <w:rPr>
                <w:rFonts w:ascii="Book Antiqua" w:hAnsi="Book Antiqua"/>
              </w:rPr>
            </w:pPr>
            <w:r w:rsidRPr="00AF5417">
              <w:rPr>
                <w:rFonts w:ascii="Book Antiqua" w:hAnsi="Book Antiqua"/>
              </w:rPr>
              <w:t>LDH, U/L</w:t>
            </w:r>
          </w:p>
        </w:tc>
        <w:tc>
          <w:tcPr>
            <w:tcW w:w="2126" w:type="dxa"/>
            <w:shd w:val="clear" w:color="auto" w:fill="auto"/>
            <w:noWrap/>
            <w:hideMark/>
          </w:tcPr>
          <w:p w14:paraId="1E64F8AC" w14:textId="77777777" w:rsidR="00141C8E" w:rsidRPr="00AF5417" w:rsidRDefault="00141C8E" w:rsidP="001D573C">
            <w:pPr>
              <w:spacing w:line="360" w:lineRule="auto"/>
              <w:rPr>
                <w:rFonts w:ascii="Book Antiqua" w:hAnsi="Book Antiqua"/>
              </w:rPr>
            </w:pPr>
            <w:r w:rsidRPr="00AF5417">
              <w:rPr>
                <w:rFonts w:ascii="Book Antiqua" w:hAnsi="Book Antiqua"/>
              </w:rPr>
              <w:t>182.70 ± 35.43</w:t>
            </w:r>
          </w:p>
        </w:tc>
        <w:tc>
          <w:tcPr>
            <w:tcW w:w="2410" w:type="dxa"/>
            <w:shd w:val="clear" w:color="auto" w:fill="auto"/>
          </w:tcPr>
          <w:p w14:paraId="22A49CFA" w14:textId="77777777" w:rsidR="00141C8E" w:rsidRPr="00AF5417" w:rsidRDefault="00141C8E" w:rsidP="001D573C">
            <w:pPr>
              <w:spacing w:line="360" w:lineRule="auto"/>
              <w:rPr>
                <w:rFonts w:ascii="Book Antiqua" w:hAnsi="Book Antiqua"/>
              </w:rPr>
            </w:pPr>
            <w:r w:rsidRPr="00AF5417">
              <w:rPr>
                <w:rFonts w:ascii="Book Antiqua" w:hAnsi="Book Antiqua"/>
              </w:rPr>
              <w:t>183.02 ± 37.39</w:t>
            </w:r>
          </w:p>
        </w:tc>
        <w:tc>
          <w:tcPr>
            <w:tcW w:w="1985" w:type="dxa"/>
            <w:shd w:val="clear" w:color="auto" w:fill="auto"/>
          </w:tcPr>
          <w:p w14:paraId="2026E908" w14:textId="77777777" w:rsidR="00141C8E" w:rsidRPr="00AF5417" w:rsidRDefault="00141C8E" w:rsidP="001D573C">
            <w:pPr>
              <w:spacing w:line="360" w:lineRule="auto"/>
              <w:rPr>
                <w:rFonts w:ascii="Book Antiqua" w:hAnsi="Book Antiqua"/>
              </w:rPr>
            </w:pPr>
            <w:r w:rsidRPr="00AF5417">
              <w:rPr>
                <w:rFonts w:ascii="Book Antiqua" w:hAnsi="Book Antiqua"/>
              </w:rPr>
              <w:t>182.64 ± 32.86</w:t>
            </w:r>
          </w:p>
        </w:tc>
      </w:tr>
      <w:tr w:rsidR="00141C8E" w:rsidRPr="00AF5417" w14:paraId="757B5C47" w14:textId="77777777" w:rsidTr="001D573C">
        <w:trPr>
          <w:trHeight w:val="454"/>
        </w:trPr>
        <w:tc>
          <w:tcPr>
            <w:tcW w:w="3119" w:type="dxa"/>
            <w:shd w:val="clear" w:color="auto" w:fill="auto"/>
            <w:noWrap/>
            <w:hideMark/>
          </w:tcPr>
          <w:p w14:paraId="50005336" w14:textId="77777777" w:rsidR="00141C8E" w:rsidRPr="00AF5417" w:rsidRDefault="00141C8E" w:rsidP="001D573C">
            <w:pPr>
              <w:spacing w:line="360" w:lineRule="auto"/>
              <w:rPr>
                <w:rFonts w:ascii="Book Antiqua" w:hAnsi="Book Antiqua"/>
              </w:rPr>
            </w:pPr>
            <w:r w:rsidRPr="00AF5417">
              <w:rPr>
                <w:rFonts w:ascii="Book Antiqua" w:hAnsi="Book Antiqua"/>
              </w:rPr>
              <w:t>AKP, U/L</w:t>
            </w:r>
          </w:p>
        </w:tc>
        <w:tc>
          <w:tcPr>
            <w:tcW w:w="2126" w:type="dxa"/>
            <w:shd w:val="clear" w:color="auto" w:fill="auto"/>
            <w:noWrap/>
            <w:hideMark/>
          </w:tcPr>
          <w:p w14:paraId="37851DC7"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80.00 </w:t>
            </w:r>
            <w:r>
              <w:rPr>
                <w:rFonts w:ascii="Book Antiqua" w:hAnsi="Book Antiqua"/>
              </w:rPr>
              <w:t>(</w:t>
            </w:r>
            <w:r w:rsidRPr="00AF5417">
              <w:rPr>
                <w:rFonts w:ascii="Book Antiqua" w:hAnsi="Book Antiqua"/>
              </w:rPr>
              <w:t>63.00,</w:t>
            </w:r>
            <w:r>
              <w:rPr>
                <w:rFonts w:ascii="Book Antiqua" w:hAnsi="Book Antiqua"/>
              </w:rPr>
              <w:t xml:space="preserve"> </w:t>
            </w:r>
            <w:r w:rsidRPr="00AF5417">
              <w:rPr>
                <w:rFonts w:ascii="Book Antiqua" w:hAnsi="Book Antiqua"/>
              </w:rPr>
              <w:t>108.50</w:t>
            </w:r>
            <w:r>
              <w:rPr>
                <w:rFonts w:ascii="Book Antiqua" w:hAnsi="Book Antiqua"/>
              </w:rPr>
              <w:t>)</w:t>
            </w:r>
          </w:p>
        </w:tc>
        <w:tc>
          <w:tcPr>
            <w:tcW w:w="2410" w:type="dxa"/>
            <w:shd w:val="clear" w:color="auto" w:fill="auto"/>
          </w:tcPr>
          <w:p w14:paraId="08D428FF" w14:textId="77777777" w:rsidR="00141C8E" w:rsidRPr="00AF5417" w:rsidRDefault="00141C8E" w:rsidP="001D573C">
            <w:pPr>
              <w:spacing w:line="360" w:lineRule="auto"/>
              <w:rPr>
                <w:rFonts w:ascii="Book Antiqua" w:hAnsi="Book Antiqua"/>
              </w:rPr>
            </w:pPr>
            <w:r w:rsidRPr="00AF5417">
              <w:rPr>
                <w:rFonts w:ascii="Book Antiqua" w:hAnsi="Book Antiqua"/>
              </w:rPr>
              <w:t>85.00</w:t>
            </w:r>
            <w:r>
              <w:rPr>
                <w:rFonts w:ascii="Book Antiqua" w:hAnsi="Book Antiqua"/>
              </w:rPr>
              <w:t xml:space="preserve"> (</w:t>
            </w:r>
            <w:r w:rsidRPr="00AF5417">
              <w:rPr>
                <w:rFonts w:ascii="Book Antiqua" w:hAnsi="Book Antiqua"/>
              </w:rPr>
              <w:t>62.25,</w:t>
            </w:r>
            <w:r>
              <w:rPr>
                <w:rFonts w:ascii="Book Antiqua" w:hAnsi="Book Antiqua"/>
              </w:rPr>
              <w:t xml:space="preserve"> </w:t>
            </w:r>
            <w:r w:rsidRPr="00AF5417">
              <w:rPr>
                <w:rFonts w:ascii="Book Antiqua" w:hAnsi="Book Antiqua"/>
              </w:rPr>
              <w:t>129.5</w:t>
            </w:r>
            <w:r>
              <w:rPr>
                <w:rFonts w:ascii="Book Antiqua" w:hAnsi="Book Antiqua"/>
              </w:rPr>
              <w:t>)</w:t>
            </w:r>
          </w:p>
        </w:tc>
        <w:tc>
          <w:tcPr>
            <w:tcW w:w="1985" w:type="dxa"/>
            <w:shd w:val="clear" w:color="auto" w:fill="auto"/>
          </w:tcPr>
          <w:p w14:paraId="4E357FF9"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75.00 </w:t>
            </w:r>
            <w:r>
              <w:rPr>
                <w:rFonts w:ascii="Book Antiqua" w:hAnsi="Book Antiqua"/>
              </w:rPr>
              <w:t>(</w:t>
            </w:r>
            <w:r w:rsidRPr="00AF5417">
              <w:rPr>
                <w:rFonts w:ascii="Book Antiqua" w:hAnsi="Book Antiqua"/>
              </w:rPr>
              <w:t>64.00,</w:t>
            </w:r>
            <w:r>
              <w:rPr>
                <w:rFonts w:ascii="Book Antiqua" w:hAnsi="Book Antiqua"/>
              </w:rPr>
              <w:t xml:space="preserve"> </w:t>
            </w:r>
            <w:r w:rsidRPr="00AF5417">
              <w:rPr>
                <w:rFonts w:ascii="Book Antiqua" w:hAnsi="Book Antiqua"/>
              </w:rPr>
              <w:t>94.00</w:t>
            </w:r>
            <w:r>
              <w:rPr>
                <w:rFonts w:ascii="Book Antiqua" w:hAnsi="Book Antiqua"/>
              </w:rPr>
              <w:t>)</w:t>
            </w:r>
          </w:p>
        </w:tc>
      </w:tr>
      <w:tr w:rsidR="00141C8E" w:rsidRPr="00AF5417" w14:paraId="196B3A0F" w14:textId="77777777" w:rsidTr="001D573C">
        <w:trPr>
          <w:trHeight w:val="454"/>
        </w:trPr>
        <w:tc>
          <w:tcPr>
            <w:tcW w:w="3119" w:type="dxa"/>
            <w:shd w:val="clear" w:color="auto" w:fill="auto"/>
            <w:noWrap/>
            <w:hideMark/>
          </w:tcPr>
          <w:p w14:paraId="1890146B" w14:textId="77777777" w:rsidR="00141C8E" w:rsidRPr="00AF5417" w:rsidRDefault="00141C8E" w:rsidP="001D573C">
            <w:pPr>
              <w:spacing w:line="360" w:lineRule="auto"/>
              <w:rPr>
                <w:rFonts w:ascii="Book Antiqua" w:hAnsi="Book Antiqua"/>
              </w:rPr>
            </w:pPr>
            <w:r w:rsidRPr="00AF5417">
              <w:rPr>
                <w:rFonts w:ascii="Book Antiqua" w:hAnsi="Book Antiqua"/>
              </w:rPr>
              <w:t>GGT, U/L</w:t>
            </w:r>
          </w:p>
        </w:tc>
        <w:tc>
          <w:tcPr>
            <w:tcW w:w="2126" w:type="dxa"/>
            <w:shd w:val="clear" w:color="auto" w:fill="auto"/>
            <w:noWrap/>
            <w:hideMark/>
          </w:tcPr>
          <w:p w14:paraId="6A6C13D3" w14:textId="77777777" w:rsidR="00141C8E" w:rsidRPr="00AF5417" w:rsidRDefault="00141C8E" w:rsidP="001D573C">
            <w:pPr>
              <w:spacing w:line="360" w:lineRule="auto"/>
              <w:rPr>
                <w:rFonts w:ascii="Book Antiqua" w:hAnsi="Book Antiqua"/>
              </w:rPr>
            </w:pPr>
            <w:r w:rsidRPr="00AF5417">
              <w:rPr>
                <w:rFonts w:ascii="Book Antiqua" w:hAnsi="Book Antiqua"/>
              </w:rPr>
              <w:t>103.67 ± 126.83</w:t>
            </w:r>
          </w:p>
        </w:tc>
        <w:tc>
          <w:tcPr>
            <w:tcW w:w="2410" w:type="dxa"/>
            <w:shd w:val="clear" w:color="auto" w:fill="auto"/>
          </w:tcPr>
          <w:p w14:paraId="4F418661" w14:textId="77777777" w:rsidR="00141C8E" w:rsidRPr="00AF5417" w:rsidRDefault="00141C8E" w:rsidP="001D573C">
            <w:pPr>
              <w:spacing w:line="360" w:lineRule="auto"/>
              <w:rPr>
                <w:rFonts w:ascii="Book Antiqua" w:hAnsi="Book Antiqua"/>
              </w:rPr>
            </w:pPr>
            <w:r w:rsidRPr="00AF5417">
              <w:rPr>
                <w:rFonts w:ascii="Book Antiqua" w:hAnsi="Book Antiqua"/>
              </w:rPr>
              <w:t>126.00 ± 151.92</w:t>
            </w:r>
          </w:p>
        </w:tc>
        <w:tc>
          <w:tcPr>
            <w:tcW w:w="1985" w:type="dxa"/>
            <w:shd w:val="clear" w:color="auto" w:fill="auto"/>
          </w:tcPr>
          <w:p w14:paraId="1FCD1354" w14:textId="77777777" w:rsidR="00141C8E" w:rsidRPr="00AF5417" w:rsidRDefault="00141C8E" w:rsidP="001D573C">
            <w:pPr>
              <w:spacing w:line="360" w:lineRule="auto"/>
              <w:rPr>
                <w:rFonts w:ascii="Book Antiqua" w:hAnsi="Book Antiqua"/>
              </w:rPr>
            </w:pPr>
            <w:r w:rsidRPr="00AF5417">
              <w:rPr>
                <w:rFonts w:ascii="Book Antiqua" w:hAnsi="Book Antiqua"/>
              </w:rPr>
              <w:t>76.82 ± 73.15</w:t>
            </w:r>
          </w:p>
        </w:tc>
      </w:tr>
      <w:tr w:rsidR="00141C8E" w:rsidRPr="00AF5417" w14:paraId="208C77D6" w14:textId="77777777" w:rsidTr="001D573C">
        <w:trPr>
          <w:trHeight w:val="454"/>
        </w:trPr>
        <w:tc>
          <w:tcPr>
            <w:tcW w:w="3119" w:type="dxa"/>
            <w:shd w:val="clear" w:color="auto" w:fill="auto"/>
            <w:noWrap/>
            <w:hideMark/>
          </w:tcPr>
          <w:p w14:paraId="419F224C" w14:textId="77777777" w:rsidR="00141C8E" w:rsidRPr="00AF5417" w:rsidRDefault="00141C8E" w:rsidP="001D573C">
            <w:pPr>
              <w:spacing w:line="360" w:lineRule="auto"/>
              <w:rPr>
                <w:rFonts w:ascii="Book Antiqua" w:hAnsi="Book Antiqua"/>
              </w:rPr>
            </w:pPr>
            <w:r w:rsidRPr="00AF5417">
              <w:rPr>
                <w:rFonts w:ascii="Book Antiqua" w:hAnsi="Book Antiqua"/>
              </w:rPr>
              <w:t>Total bilirubin, mg/</w:t>
            </w:r>
            <w:proofErr w:type="spellStart"/>
            <w:r w:rsidRPr="00AF5417">
              <w:rPr>
                <w:rFonts w:ascii="Book Antiqua" w:hAnsi="Book Antiqua"/>
              </w:rPr>
              <w:t>dL</w:t>
            </w:r>
            <w:proofErr w:type="spellEnd"/>
          </w:p>
        </w:tc>
        <w:tc>
          <w:tcPr>
            <w:tcW w:w="2126" w:type="dxa"/>
            <w:shd w:val="clear" w:color="auto" w:fill="auto"/>
            <w:noWrap/>
            <w:hideMark/>
          </w:tcPr>
          <w:p w14:paraId="10F39714"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10.90 </w:t>
            </w:r>
            <w:r>
              <w:rPr>
                <w:rFonts w:ascii="Book Antiqua" w:hAnsi="Book Antiqua"/>
              </w:rPr>
              <w:t>(</w:t>
            </w:r>
            <w:r w:rsidRPr="00AF5417">
              <w:rPr>
                <w:rFonts w:ascii="Book Antiqua" w:hAnsi="Book Antiqua"/>
              </w:rPr>
              <w:t>8.10,</w:t>
            </w:r>
            <w:r>
              <w:rPr>
                <w:rFonts w:ascii="Book Antiqua" w:hAnsi="Book Antiqua"/>
              </w:rPr>
              <w:t xml:space="preserve"> </w:t>
            </w:r>
            <w:r w:rsidRPr="00AF5417">
              <w:rPr>
                <w:rFonts w:ascii="Book Antiqua" w:hAnsi="Book Antiqua"/>
              </w:rPr>
              <w:t>15.30</w:t>
            </w:r>
            <w:r>
              <w:rPr>
                <w:rFonts w:ascii="Book Antiqua" w:hAnsi="Book Antiqua"/>
              </w:rPr>
              <w:t>)</w:t>
            </w:r>
          </w:p>
        </w:tc>
        <w:tc>
          <w:tcPr>
            <w:tcW w:w="2410" w:type="dxa"/>
            <w:shd w:val="clear" w:color="auto" w:fill="auto"/>
          </w:tcPr>
          <w:p w14:paraId="6BF78918" w14:textId="77777777" w:rsidR="00141C8E" w:rsidRPr="00AF5417" w:rsidRDefault="00141C8E" w:rsidP="001D573C">
            <w:pPr>
              <w:spacing w:line="360" w:lineRule="auto"/>
              <w:rPr>
                <w:rFonts w:ascii="Book Antiqua" w:hAnsi="Book Antiqua"/>
              </w:rPr>
            </w:pPr>
            <w:r w:rsidRPr="00AF5417">
              <w:rPr>
                <w:rFonts w:ascii="Book Antiqua" w:hAnsi="Book Antiqua"/>
              </w:rPr>
              <w:t>11.20</w:t>
            </w:r>
            <w:r>
              <w:rPr>
                <w:rFonts w:ascii="Book Antiqua" w:hAnsi="Book Antiqua"/>
              </w:rPr>
              <w:t xml:space="preserve"> (</w:t>
            </w:r>
            <w:r w:rsidRPr="00AF5417">
              <w:rPr>
                <w:rFonts w:ascii="Book Antiqua" w:hAnsi="Book Antiqua"/>
              </w:rPr>
              <w:t>8.30,</w:t>
            </w:r>
            <w:r>
              <w:rPr>
                <w:rFonts w:ascii="Book Antiqua" w:hAnsi="Book Antiqua"/>
              </w:rPr>
              <w:t xml:space="preserve"> </w:t>
            </w:r>
            <w:r w:rsidRPr="00AF5417">
              <w:rPr>
                <w:rFonts w:ascii="Book Antiqua" w:hAnsi="Book Antiqua"/>
              </w:rPr>
              <w:t>16.70</w:t>
            </w:r>
            <w:r>
              <w:rPr>
                <w:rFonts w:ascii="Book Antiqua" w:hAnsi="Book Antiqua"/>
              </w:rPr>
              <w:t>)</w:t>
            </w:r>
          </w:p>
        </w:tc>
        <w:tc>
          <w:tcPr>
            <w:tcW w:w="1985" w:type="dxa"/>
            <w:shd w:val="clear" w:color="auto" w:fill="auto"/>
          </w:tcPr>
          <w:p w14:paraId="12534BB7"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9.80 </w:t>
            </w:r>
            <w:r>
              <w:rPr>
                <w:rFonts w:ascii="Book Antiqua" w:hAnsi="Book Antiqua"/>
              </w:rPr>
              <w:t>(</w:t>
            </w:r>
            <w:r w:rsidRPr="00AF5417">
              <w:rPr>
                <w:rFonts w:ascii="Book Antiqua" w:hAnsi="Book Antiqua"/>
              </w:rPr>
              <w:t>6.95,</w:t>
            </w:r>
            <w:r>
              <w:rPr>
                <w:rFonts w:ascii="Book Antiqua" w:hAnsi="Book Antiqua"/>
              </w:rPr>
              <w:t xml:space="preserve"> </w:t>
            </w:r>
            <w:r w:rsidRPr="00AF5417">
              <w:rPr>
                <w:rFonts w:ascii="Book Antiqua" w:hAnsi="Book Antiqua"/>
              </w:rPr>
              <w:t>14.15</w:t>
            </w:r>
            <w:r>
              <w:rPr>
                <w:rFonts w:ascii="Book Antiqua" w:hAnsi="Book Antiqua"/>
              </w:rPr>
              <w:t>)</w:t>
            </w:r>
          </w:p>
        </w:tc>
      </w:tr>
      <w:tr w:rsidR="00141C8E" w:rsidRPr="00AF5417" w14:paraId="39308EC3" w14:textId="77777777" w:rsidTr="001D573C">
        <w:trPr>
          <w:trHeight w:val="454"/>
        </w:trPr>
        <w:tc>
          <w:tcPr>
            <w:tcW w:w="3119" w:type="dxa"/>
            <w:shd w:val="clear" w:color="auto" w:fill="auto"/>
            <w:noWrap/>
            <w:hideMark/>
          </w:tcPr>
          <w:p w14:paraId="47DE03BD" w14:textId="77777777" w:rsidR="00141C8E" w:rsidRPr="00AF5417" w:rsidRDefault="00141C8E" w:rsidP="001D573C">
            <w:pPr>
              <w:spacing w:line="360" w:lineRule="auto"/>
              <w:rPr>
                <w:rFonts w:ascii="Book Antiqua" w:hAnsi="Book Antiqua"/>
              </w:rPr>
            </w:pPr>
            <w:r w:rsidRPr="00AF5417">
              <w:rPr>
                <w:rFonts w:ascii="Book Antiqua" w:hAnsi="Book Antiqua"/>
              </w:rPr>
              <w:t>Direct bilirubin, mg/</w:t>
            </w:r>
            <w:proofErr w:type="spellStart"/>
            <w:r w:rsidRPr="00AF5417">
              <w:rPr>
                <w:rFonts w:ascii="Book Antiqua" w:hAnsi="Book Antiqua"/>
              </w:rPr>
              <w:t>dL</w:t>
            </w:r>
            <w:proofErr w:type="spellEnd"/>
          </w:p>
        </w:tc>
        <w:tc>
          <w:tcPr>
            <w:tcW w:w="2126" w:type="dxa"/>
            <w:shd w:val="clear" w:color="auto" w:fill="auto"/>
            <w:noWrap/>
            <w:hideMark/>
          </w:tcPr>
          <w:p w14:paraId="2B424FF0"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3.60 </w:t>
            </w:r>
            <w:r>
              <w:rPr>
                <w:rFonts w:ascii="Book Antiqua" w:hAnsi="Book Antiqua"/>
              </w:rPr>
              <w:t>(</w:t>
            </w:r>
            <w:r w:rsidRPr="00AF5417">
              <w:rPr>
                <w:rFonts w:ascii="Book Antiqua" w:hAnsi="Book Antiqua"/>
              </w:rPr>
              <w:t>2.80,</w:t>
            </w:r>
            <w:r>
              <w:rPr>
                <w:rFonts w:ascii="Book Antiqua" w:hAnsi="Book Antiqua"/>
              </w:rPr>
              <w:t xml:space="preserve"> </w:t>
            </w:r>
            <w:r w:rsidRPr="00AF5417">
              <w:rPr>
                <w:rFonts w:ascii="Book Antiqua" w:hAnsi="Book Antiqua"/>
              </w:rPr>
              <w:t>4.90</w:t>
            </w:r>
            <w:r>
              <w:rPr>
                <w:rFonts w:ascii="Book Antiqua" w:hAnsi="Book Antiqua"/>
              </w:rPr>
              <w:t>)</w:t>
            </w:r>
          </w:p>
        </w:tc>
        <w:tc>
          <w:tcPr>
            <w:tcW w:w="2410" w:type="dxa"/>
            <w:shd w:val="clear" w:color="auto" w:fill="auto"/>
          </w:tcPr>
          <w:p w14:paraId="2A0181B5"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3.70 </w:t>
            </w:r>
            <w:r>
              <w:rPr>
                <w:rFonts w:ascii="Book Antiqua" w:hAnsi="Book Antiqua"/>
              </w:rPr>
              <w:t>(</w:t>
            </w:r>
            <w:r w:rsidRPr="00AF5417">
              <w:rPr>
                <w:rFonts w:ascii="Book Antiqua" w:hAnsi="Book Antiqua"/>
              </w:rPr>
              <w:t>2.90,</w:t>
            </w:r>
            <w:r>
              <w:rPr>
                <w:rFonts w:ascii="Book Antiqua" w:hAnsi="Book Antiqua"/>
              </w:rPr>
              <w:t xml:space="preserve"> </w:t>
            </w:r>
            <w:r w:rsidRPr="00AF5417">
              <w:rPr>
                <w:rFonts w:ascii="Book Antiqua" w:hAnsi="Book Antiqua"/>
              </w:rPr>
              <w:t>5.70</w:t>
            </w:r>
            <w:r>
              <w:rPr>
                <w:rFonts w:ascii="Book Antiqua" w:hAnsi="Book Antiqua"/>
              </w:rPr>
              <w:t>)</w:t>
            </w:r>
          </w:p>
        </w:tc>
        <w:tc>
          <w:tcPr>
            <w:tcW w:w="1985" w:type="dxa"/>
            <w:shd w:val="clear" w:color="auto" w:fill="auto"/>
          </w:tcPr>
          <w:p w14:paraId="16D9B63A"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3.45 </w:t>
            </w:r>
            <w:r>
              <w:rPr>
                <w:rFonts w:ascii="Book Antiqua" w:hAnsi="Book Antiqua"/>
              </w:rPr>
              <w:t>(</w:t>
            </w:r>
            <w:r w:rsidRPr="00AF5417">
              <w:rPr>
                <w:rFonts w:ascii="Book Antiqua" w:hAnsi="Book Antiqua"/>
              </w:rPr>
              <w:t>2.52,</w:t>
            </w:r>
            <w:r>
              <w:rPr>
                <w:rFonts w:ascii="Book Antiqua" w:hAnsi="Book Antiqua"/>
              </w:rPr>
              <w:t xml:space="preserve"> </w:t>
            </w:r>
            <w:r w:rsidRPr="00AF5417">
              <w:rPr>
                <w:rFonts w:ascii="Book Antiqua" w:hAnsi="Book Antiqua"/>
              </w:rPr>
              <w:t>4.50</w:t>
            </w:r>
            <w:r>
              <w:rPr>
                <w:rFonts w:ascii="Book Antiqua" w:hAnsi="Book Antiqua"/>
              </w:rPr>
              <w:t>)</w:t>
            </w:r>
          </w:p>
        </w:tc>
      </w:tr>
      <w:tr w:rsidR="00141C8E" w:rsidRPr="00AF5417" w14:paraId="4F683A5D" w14:textId="77777777" w:rsidTr="001D573C">
        <w:trPr>
          <w:trHeight w:val="454"/>
        </w:trPr>
        <w:tc>
          <w:tcPr>
            <w:tcW w:w="3119" w:type="dxa"/>
            <w:shd w:val="clear" w:color="auto" w:fill="auto"/>
            <w:noWrap/>
            <w:hideMark/>
          </w:tcPr>
          <w:p w14:paraId="16E19174" w14:textId="77777777" w:rsidR="00141C8E" w:rsidRPr="00AF5417" w:rsidRDefault="00141C8E" w:rsidP="001D573C">
            <w:pPr>
              <w:spacing w:line="360" w:lineRule="auto"/>
              <w:rPr>
                <w:rFonts w:ascii="Book Antiqua" w:hAnsi="Book Antiqua"/>
              </w:rPr>
            </w:pPr>
            <w:r w:rsidRPr="00AF5417">
              <w:rPr>
                <w:rFonts w:ascii="Book Antiqua" w:hAnsi="Book Antiqua"/>
              </w:rPr>
              <w:t>Histological steatosis stage</w:t>
            </w:r>
            <w:r>
              <w:rPr>
                <w:rFonts w:ascii="Book Antiqua" w:hAnsi="Book Antiqua"/>
              </w:rPr>
              <w:t xml:space="preserve">, </w:t>
            </w:r>
            <w:r w:rsidRPr="00AF5417">
              <w:rPr>
                <w:rFonts w:ascii="Book Antiqua" w:hAnsi="Book Antiqua"/>
                <w:i/>
                <w:iCs/>
              </w:rPr>
              <w:t>n</w:t>
            </w:r>
            <w:r>
              <w:rPr>
                <w:rFonts w:ascii="Book Antiqua" w:hAnsi="Book Antiqua"/>
              </w:rPr>
              <w:t xml:space="preserve"> (%)</w:t>
            </w:r>
          </w:p>
        </w:tc>
        <w:tc>
          <w:tcPr>
            <w:tcW w:w="2126" w:type="dxa"/>
            <w:shd w:val="clear" w:color="auto" w:fill="auto"/>
            <w:noWrap/>
            <w:hideMark/>
          </w:tcPr>
          <w:p w14:paraId="6695D4F9" w14:textId="77777777" w:rsidR="00141C8E" w:rsidRPr="00AF5417" w:rsidRDefault="00141C8E" w:rsidP="001D573C">
            <w:pPr>
              <w:spacing w:line="360" w:lineRule="auto"/>
              <w:rPr>
                <w:rFonts w:ascii="Book Antiqua" w:hAnsi="Book Antiqua"/>
              </w:rPr>
            </w:pPr>
          </w:p>
        </w:tc>
        <w:tc>
          <w:tcPr>
            <w:tcW w:w="2410" w:type="dxa"/>
            <w:shd w:val="clear" w:color="auto" w:fill="auto"/>
          </w:tcPr>
          <w:p w14:paraId="1D183963" w14:textId="77777777" w:rsidR="00141C8E" w:rsidRPr="00AF5417" w:rsidRDefault="00141C8E" w:rsidP="001D573C">
            <w:pPr>
              <w:spacing w:line="360" w:lineRule="auto"/>
              <w:rPr>
                <w:rFonts w:ascii="Book Antiqua" w:hAnsi="Book Antiqua"/>
              </w:rPr>
            </w:pPr>
          </w:p>
        </w:tc>
        <w:tc>
          <w:tcPr>
            <w:tcW w:w="1985" w:type="dxa"/>
            <w:shd w:val="clear" w:color="auto" w:fill="auto"/>
          </w:tcPr>
          <w:p w14:paraId="455E5824" w14:textId="77777777" w:rsidR="00141C8E" w:rsidRPr="00AF5417" w:rsidRDefault="00141C8E" w:rsidP="001D573C">
            <w:pPr>
              <w:spacing w:line="360" w:lineRule="auto"/>
              <w:rPr>
                <w:rFonts w:ascii="Book Antiqua" w:hAnsi="Book Antiqua"/>
              </w:rPr>
            </w:pPr>
          </w:p>
        </w:tc>
      </w:tr>
      <w:tr w:rsidR="00141C8E" w:rsidRPr="00AF5417" w14:paraId="588BDE89" w14:textId="77777777" w:rsidTr="001D573C">
        <w:trPr>
          <w:trHeight w:val="454"/>
        </w:trPr>
        <w:tc>
          <w:tcPr>
            <w:tcW w:w="3119" w:type="dxa"/>
            <w:shd w:val="clear" w:color="auto" w:fill="auto"/>
            <w:noWrap/>
            <w:hideMark/>
          </w:tcPr>
          <w:p w14:paraId="6C93E117" w14:textId="77777777" w:rsidR="00141C8E" w:rsidRPr="00AF5417" w:rsidRDefault="00141C8E" w:rsidP="001D573C">
            <w:pPr>
              <w:spacing w:line="360" w:lineRule="auto"/>
              <w:rPr>
                <w:rFonts w:ascii="Book Antiqua" w:hAnsi="Book Antiqua"/>
              </w:rPr>
            </w:pPr>
            <w:r w:rsidRPr="00AF5417">
              <w:rPr>
                <w:rFonts w:ascii="Book Antiqua" w:hAnsi="Book Antiqua"/>
              </w:rPr>
              <w:t>S0 (&lt;</w:t>
            </w:r>
            <w:r>
              <w:rPr>
                <w:rFonts w:ascii="Book Antiqua" w:hAnsi="Book Antiqua"/>
              </w:rPr>
              <w:t xml:space="preserve"> </w:t>
            </w:r>
            <w:r w:rsidRPr="00AF5417">
              <w:rPr>
                <w:rFonts w:ascii="Book Antiqua" w:hAnsi="Book Antiqua"/>
              </w:rPr>
              <w:t>5%)</w:t>
            </w:r>
          </w:p>
        </w:tc>
        <w:tc>
          <w:tcPr>
            <w:tcW w:w="2126" w:type="dxa"/>
            <w:shd w:val="clear" w:color="auto" w:fill="auto"/>
            <w:noWrap/>
            <w:hideMark/>
          </w:tcPr>
          <w:p w14:paraId="002F315C" w14:textId="77777777" w:rsidR="00141C8E" w:rsidRPr="00AF5417" w:rsidRDefault="00141C8E" w:rsidP="001D573C">
            <w:pPr>
              <w:spacing w:line="360" w:lineRule="auto"/>
              <w:rPr>
                <w:rFonts w:ascii="Book Antiqua" w:hAnsi="Book Antiqua"/>
              </w:rPr>
            </w:pPr>
            <w:r w:rsidRPr="00AF5417">
              <w:rPr>
                <w:rFonts w:ascii="Book Antiqua" w:hAnsi="Book Antiqua"/>
              </w:rPr>
              <w:t>22 (11.6)</w:t>
            </w:r>
          </w:p>
        </w:tc>
        <w:tc>
          <w:tcPr>
            <w:tcW w:w="2410" w:type="dxa"/>
            <w:shd w:val="clear" w:color="auto" w:fill="auto"/>
          </w:tcPr>
          <w:p w14:paraId="2D854F98" w14:textId="77777777" w:rsidR="00141C8E" w:rsidRPr="00AF5417" w:rsidRDefault="00141C8E" w:rsidP="001D573C">
            <w:pPr>
              <w:spacing w:line="360" w:lineRule="auto"/>
              <w:rPr>
                <w:rFonts w:ascii="Book Antiqua" w:hAnsi="Book Antiqua"/>
              </w:rPr>
            </w:pPr>
            <w:r w:rsidRPr="00AF5417">
              <w:rPr>
                <w:rFonts w:ascii="Book Antiqua" w:hAnsi="Book Antiqua"/>
              </w:rPr>
              <w:t>20 (11.1)</w:t>
            </w:r>
          </w:p>
        </w:tc>
        <w:tc>
          <w:tcPr>
            <w:tcW w:w="1985" w:type="dxa"/>
            <w:shd w:val="clear" w:color="auto" w:fill="auto"/>
          </w:tcPr>
          <w:p w14:paraId="6E4B4466" w14:textId="77777777" w:rsidR="00141C8E" w:rsidRPr="00AF5417" w:rsidRDefault="00141C8E" w:rsidP="001D573C">
            <w:pPr>
              <w:spacing w:line="360" w:lineRule="auto"/>
              <w:rPr>
                <w:rFonts w:ascii="Book Antiqua" w:hAnsi="Book Antiqua"/>
              </w:rPr>
            </w:pPr>
            <w:r w:rsidRPr="00AF5417">
              <w:rPr>
                <w:rFonts w:ascii="Book Antiqua" w:hAnsi="Book Antiqua"/>
              </w:rPr>
              <w:t>0 (0.0)</w:t>
            </w:r>
          </w:p>
        </w:tc>
      </w:tr>
      <w:tr w:rsidR="00141C8E" w:rsidRPr="00AF5417" w14:paraId="1CA792D6" w14:textId="77777777" w:rsidTr="001D573C">
        <w:trPr>
          <w:trHeight w:val="454"/>
        </w:trPr>
        <w:tc>
          <w:tcPr>
            <w:tcW w:w="3119" w:type="dxa"/>
            <w:shd w:val="clear" w:color="auto" w:fill="auto"/>
            <w:noWrap/>
            <w:hideMark/>
          </w:tcPr>
          <w:p w14:paraId="08E513C0" w14:textId="77777777" w:rsidR="00141C8E" w:rsidRPr="00AF5417" w:rsidRDefault="00141C8E" w:rsidP="001D573C">
            <w:pPr>
              <w:spacing w:line="360" w:lineRule="auto"/>
              <w:rPr>
                <w:rFonts w:ascii="Book Antiqua" w:hAnsi="Book Antiqua"/>
              </w:rPr>
            </w:pPr>
            <w:r w:rsidRPr="00AF5417">
              <w:rPr>
                <w:rFonts w:ascii="Book Antiqua" w:hAnsi="Book Antiqua"/>
              </w:rPr>
              <w:t>S1 (5%</w:t>
            </w:r>
            <w:r>
              <w:rPr>
                <w:rFonts w:ascii="Book Antiqua" w:hAnsi="Book Antiqua"/>
              </w:rPr>
              <w:t>-</w:t>
            </w:r>
            <w:r w:rsidRPr="00AF5417">
              <w:rPr>
                <w:rFonts w:ascii="Book Antiqua" w:hAnsi="Book Antiqua"/>
              </w:rPr>
              <w:t>33%)</w:t>
            </w:r>
          </w:p>
        </w:tc>
        <w:tc>
          <w:tcPr>
            <w:tcW w:w="2126" w:type="dxa"/>
            <w:shd w:val="clear" w:color="auto" w:fill="auto"/>
            <w:noWrap/>
            <w:hideMark/>
          </w:tcPr>
          <w:p w14:paraId="57336864" w14:textId="77777777" w:rsidR="00141C8E" w:rsidRPr="00AF5417" w:rsidRDefault="00141C8E" w:rsidP="001D573C">
            <w:pPr>
              <w:spacing w:line="360" w:lineRule="auto"/>
              <w:rPr>
                <w:rFonts w:ascii="Book Antiqua" w:hAnsi="Book Antiqua"/>
              </w:rPr>
            </w:pPr>
            <w:r w:rsidRPr="00AF5417">
              <w:rPr>
                <w:rFonts w:ascii="Book Antiqua" w:hAnsi="Book Antiqua"/>
              </w:rPr>
              <w:t>85 (44.7)</w:t>
            </w:r>
          </w:p>
        </w:tc>
        <w:tc>
          <w:tcPr>
            <w:tcW w:w="2410" w:type="dxa"/>
            <w:shd w:val="clear" w:color="auto" w:fill="auto"/>
          </w:tcPr>
          <w:p w14:paraId="6A38B4A5" w14:textId="77777777" w:rsidR="00141C8E" w:rsidRPr="00AF5417" w:rsidRDefault="00141C8E" w:rsidP="001D573C">
            <w:pPr>
              <w:spacing w:line="360" w:lineRule="auto"/>
              <w:rPr>
                <w:rFonts w:ascii="Book Antiqua" w:hAnsi="Book Antiqua"/>
              </w:rPr>
            </w:pPr>
            <w:r w:rsidRPr="00AF5417">
              <w:rPr>
                <w:rFonts w:ascii="Book Antiqua" w:hAnsi="Book Antiqua"/>
              </w:rPr>
              <w:t>61 (33.9)</w:t>
            </w:r>
          </w:p>
        </w:tc>
        <w:tc>
          <w:tcPr>
            <w:tcW w:w="1985" w:type="dxa"/>
            <w:shd w:val="clear" w:color="auto" w:fill="auto"/>
          </w:tcPr>
          <w:p w14:paraId="1C77027F" w14:textId="77777777" w:rsidR="00141C8E" w:rsidRPr="00AF5417" w:rsidRDefault="00141C8E" w:rsidP="001D573C">
            <w:pPr>
              <w:spacing w:line="360" w:lineRule="auto"/>
              <w:rPr>
                <w:rFonts w:ascii="Book Antiqua" w:hAnsi="Book Antiqua"/>
              </w:rPr>
            </w:pPr>
            <w:r w:rsidRPr="00AF5417">
              <w:rPr>
                <w:rFonts w:ascii="Book Antiqua" w:hAnsi="Book Antiqua"/>
              </w:rPr>
              <w:t>16 (24.2)</w:t>
            </w:r>
          </w:p>
        </w:tc>
      </w:tr>
      <w:tr w:rsidR="00141C8E" w:rsidRPr="00AF5417" w14:paraId="784310DC" w14:textId="77777777" w:rsidTr="001D573C">
        <w:trPr>
          <w:trHeight w:val="454"/>
        </w:trPr>
        <w:tc>
          <w:tcPr>
            <w:tcW w:w="3119" w:type="dxa"/>
            <w:shd w:val="clear" w:color="auto" w:fill="auto"/>
            <w:noWrap/>
            <w:hideMark/>
          </w:tcPr>
          <w:p w14:paraId="63B8E745" w14:textId="77777777" w:rsidR="00141C8E" w:rsidRPr="00AF5417" w:rsidRDefault="00141C8E" w:rsidP="001D573C">
            <w:pPr>
              <w:spacing w:line="360" w:lineRule="auto"/>
              <w:rPr>
                <w:rFonts w:ascii="Book Antiqua" w:hAnsi="Book Antiqua"/>
              </w:rPr>
            </w:pPr>
            <w:r w:rsidRPr="00AF5417">
              <w:rPr>
                <w:rFonts w:ascii="Book Antiqua" w:hAnsi="Book Antiqua"/>
              </w:rPr>
              <w:t>S2 (&gt;</w:t>
            </w:r>
            <w:r>
              <w:rPr>
                <w:rFonts w:ascii="Book Antiqua" w:hAnsi="Book Antiqua"/>
              </w:rPr>
              <w:t xml:space="preserve"> </w:t>
            </w:r>
            <w:r w:rsidRPr="00AF5417">
              <w:rPr>
                <w:rFonts w:ascii="Book Antiqua" w:hAnsi="Book Antiqua"/>
              </w:rPr>
              <w:t>33%</w:t>
            </w:r>
            <w:r>
              <w:rPr>
                <w:rFonts w:ascii="Book Antiqua" w:hAnsi="Book Antiqua"/>
              </w:rPr>
              <w:t>-</w:t>
            </w:r>
            <w:r w:rsidRPr="00AF5417">
              <w:rPr>
                <w:rFonts w:ascii="Book Antiqua" w:hAnsi="Book Antiqua"/>
              </w:rPr>
              <w:t>66%)</w:t>
            </w:r>
          </w:p>
        </w:tc>
        <w:tc>
          <w:tcPr>
            <w:tcW w:w="2126" w:type="dxa"/>
            <w:shd w:val="clear" w:color="auto" w:fill="auto"/>
            <w:noWrap/>
            <w:hideMark/>
          </w:tcPr>
          <w:p w14:paraId="478D1F80" w14:textId="77777777" w:rsidR="00141C8E" w:rsidRPr="00AF5417" w:rsidRDefault="00141C8E" w:rsidP="001D573C">
            <w:pPr>
              <w:spacing w:line="360" w:lineRule="auto"/>
              <w:rPr>
                <w:rFonts w:ascii="Book Antiqua" w:hAnsi="Book Antiqua"/>
              </w:rPr>
            </w:pPr>
            <w:r w:rsidRPr="00AF5417">
              <w:rPr>
                <w:rFonts w:ascii="Book Antiqua" w:hAnsi="Book Antiqua"/>
              </w:rPr>
              <w:t>55 (28.9)</w:t>
            </w:r>
          </w:p>
        </w:tc>
        <w:tc>
          <w:tcPr>
            <w:tcW w:w="2410" w:type="dxa"/>
            <w:shd w:val="clear" w:color="auto" w:fill="auto"/>
          </w:tcPr>
          <w:p w14:paraId="0BFE5EC0" w14:textId="77777777" w:rsidR="00141C8E" w:rsidRPr="00AF5417" w:rsidRDefault="00141C8E" w:rsidP="001D573C">
            <w:pPr>
              <w:spacing w:line="360" w:lineRule="auto"/>
              <w:rPr>
                <w:rFonts w:ascii="Book Antiqua" w:hAnsi="Book Antiqua"/>
              </w:rPr>
            </w:pPr>
            <w:r w:rsidRPr="00AF5417">
              <w:rPr>
                <w:rFonts w:ascii="Book Antiqua" w:hAnsi="Book Antiqua"/>
              </w:rPr>
              <w:t>28 (15.6)</w:t>
            </w:r>
          </w:p>
        </w:tc>
        <w:tc>
          <w:tcPr>
            <w:tcW w:w="1985" w:type="dxa"/>
            <w:shd w:val="clear" w:color="auto" w:fill="auto"/>
          </w:tcPr>
          <w:p w14:paraId="388598C8" w14:textId="77777777" w:rsidR="00141C8E" w:rsidRPr="00AF5417" w:rsidRDefault="00141C8E" w:rsidP="001D573C">
            <w:pPr>
              <w:spacing w:line="360" w:lineRule="auto"/>
              <w:rPr>
                <w:rFonts w:ascii="Book Antiqua" w:hAnsi="Book Antiqua"/>
              </w:rPr>
            </w:pPr>
            <w:r w:rsidRPr="00AF5417">
              <w:rPr>
                <w:rFonts w:ascii="Book Antiqua" w:hAnsi="Book Antiqua"/>
              </w:rPr>
              <w:t>27 (40.9)</w:t>
            </w:r>
          </w:p>
        </w:tc>
      </w:tr>
      <w:tr w:rsidR="00141C8E" w:rsidRPr="00AF5417" w14:paraId="5DB477D4" w14:textId="77777777" w:rsidTr="001D573C">
        <w:trPr>
          <w:trHeight w:val="454"/>
        </w:trPr>
        <w:tc>
          <w:tcPr>
            <w:tcW w:w="3119" w:type="dxa"/>
            <w:shd w:val="clear" w:color="auto" w:fill="auto"/>
            <w:noWrap/>
            <w:hideMark/>
          </w:tcPr>
          <w:p w14:paraId="3FEAD0D1" w14:textId="77777777" w:rsidR="00141C8E" w:rsidRPr="00AF5417" w:rsidRDefault="00141C8E" w:rsidP="001D573C">
            <w:pPr>
              <w:spacing w:line="360" w:lineRule="auto"/>
              <w:rPr>
                <w:rFonts w:ascii="Book Antiqua" w:hAnsi="Book Antiqua"/>
              </w:rPr>
            </w:pPr>
            <w:r w:rsidRPr="00AF5417">
              <w:rPr>
                <w:rFonts w:ascii="Book Antiqua" w:hAnsi="Book Antiqua"/>
              </w:rPr>
              <w:t>S3 (&gt;</w:t>
            </w:r>
            <w:r>
              <w:rPr>
                <w:rFonts w:ascii="Book Antiqua" w:hAnsi="Book Antiqua"/>
              </w:rPr>
              <w:t xml:space="preserve"> </w:t>
            </w:r>
            <w:r w:rsidRPr="00AF5417">
              <w:rPr>
                <w:rFonts w:ascii="Book Antiqua" w:hAnsi="Book Antiqua"/>
              </w:rPr>
              <w:t>66%)</w:t>
            </w:r>
          </w:p>
        </w:tc>
        <w:tc>
          <w:tcPr>
            <w:tcW w:w="2126" w:type="dxa"/>
            <w:shd w:val="clear" w:color="auto" w:fill="auto"/>
            <w:noWrap/>
            <w:hideMark/>
          </w:tcPr>
          <w:p w14:paraId="2E59B65F" w14:textId="77777777" w:rsidR="00141C8E" w:rsidRPr="00AF5417" w:rsidRDefault="00141C8E" w:rsidP="001D573C">
            <w:pPr>
              <w:spacing w:line="360" w:lineRule="auto"/>
              <w:rPr>
                <w:rFonts w:ascii="Book Antiqua" w:hAnsi="Book Antiqua"/>
              </w:rPr>
            </w:pPr>
            <w:r w:rsidRPr="00AF5417">
              <w:rPr>
                <w:rFonts w:ascii="Book Antiqua" w:hAnsi="Book Antiqua"/>
              </w:rPr>
              <w:t>28 (14.7)</w:t>
            </w:r>
          </w:p>
        </w:tc>
        <w:tc>
          <w:tcPr>
            <w:tcW w:w="2410" w:type="dxa"/>
            <w:shd w:val="clear" w:color="auto" w:fill="auto"/>
          </w:tcPr>
          <w:p w14:paraId="42B62930" w14:textId="77777777" w:rsidR="00141C8E" w:rsidRPr="00AF5417" w:rsidRDefault="00141C8E" w:rsidP="001D573C">
            <w:pPr>
              <w:spacing w:line="360" w:lineRule="auto"/>
              <w:rPr>
                <w:rFonts w:ascii="Book Antiqua" w:hAnsi="Book Antiqua"/>
              </w:rPr>
            </w:pPr>
            <w:r w:rsidRPr="00AF5417">
              <w:rPr>
                <w:rFonts w:ascii="Book Antiqua" w:hAnsi="Book Antiqua"/>
              </w:rPr>
              <w:t>5 (2.8)</w:t>
            </w:r>
          </w:p>
        </w:tc>
        <w:tc>
          <w:tcPr>
            <w:tcW w:w="1985" w:type="dxa"/>
            <w:shd w:val="clear" w:color="auto" w:fill="auto"/>
          </w:tcPr>
          <w:p w14:paraId="6156E5A3" w14:textId="77777777" w:rsidR="00141C8E" w:rsidRPr="00AF5417" w:rsidRDefault="00141C8E" w:rsidP="001D573C">
            <w:pPr>
              <w:spacing w:line="360" w:lineRule="auto"/>
              <w:rPr>
                <w:rFonts w:ascii="Book Antiqua" w:hAnsi="Book Antiqua"/>
              </w:rPr>
            </w:pPr>
            <w:r w:rsidRPr="00AF5417">
              <w:rPr>
                <w:rFonts w:ascii="Book Antiqua" w:hAnsi="Book Antiqua"/>
              </w:rPr>
              <w:t>23 (34.8)</w:t>
            </w:r>
          </w:p>
        </w:tc>
      </w:tr>
      <w:tr w:rsidR="00141C8E" w:rsidRPr="00AF5417" w14:paraId="50776D07" w14:textId="77777777" w:rsidTr="001D573C">
        <w:trPr>
          <w:trHeight w:val="454"/>
        </w:trPr>
        <w:tc>
          <w:tcPr>
            <w:tcW w:w="3119" w:type="dxa"/>
            <w:shd w:val="clear" w:color="auto" w:fill="auto"/>
            <w:noWrap/>
            <w:hideMark/>
          </w:tcPr>
          <w:p w14:paraId="6F65E325" w14:textId="77777777" w:rsidR="00141C8E" w:rsidRPr="00AF5417" w:rsidRDefault="00141C8E" w:rsidP="001D573C">
            <w:pPr>
              <w:spacing w:line="360" w:lineRule="auto"/>
              <w:rPr>
                <w:rFonts w:ascii="Book Antiqua" w:hAnsi="Book Antiqua"/>
              </w:rPr>
            </w:pPr>
            <w:r w:rsidRPr="00AF5417">
              <w:rPr>
                <w:rFonts w:ascii="Book Antiqua" w:hAnsi="Book Antiqua"/>
              </w:rPr>
              <w:t>Histological fibrosis stage</w:t>
            </w:r>
            <w:r>
              <w:rPr>
                <w:rFonts w:ascii="Book Antiqua" w:hAnsi="Book Antiqua"/>
              </w:rPr>
              <w:t xml:space="preserve">, </w:t>
            </w:r>
            <w:r w:rsidRPr="00AF5417">
              <w:rPr>
                <w:rFonts w:ascii="Book Antiqua" w:hAnsi="Book Antiqua"/>
                <w:i/>
                <w:iCs/>
              </w:rPr>
              <w:t>n</w:t>
            </w:r>
            <w:r>
              <w:rPr>
                <w:rFonts w:ascii="Book Antiqua" w:hAnsi="Book Antiqua"/>
              </w:rPr>
              <w:t xml:space="preserve"> (%)</w:t>
            </w:r>
          </w:p>
        </w:tc>
        <w:tc>
          <w:tcPr>
            <w:tcW w:w="2126" w:type="dxa"/>
            <w:shd w:val="clear" w:color="auto" w:fill="auto"/>
            <w:noWrap/>
            <w:hideMark/>
          </w:tcPr>
          <w:p w14:paraId="32C7E832" w14:textId="77777777" w:rsidR="00141C8E" w:rsidRPr="00AF5417" w:rsidRDefault="00141C8E" w:rsidP="001D573C">
            <w:pPr>
              <w:spacing w:line="360" w:lineRule="auto"/>
              <w:rPr>
                <w:rFonts w:ascii="Book Antiqua" w:hAnsi="Book Antiqua"/>
              </w:rPr>
            </w:pPr>
          </w:p>
        </w:tc>
        <w:tc>
          <w:tcPr>
            <w:tcW w:w="2410" w:type="dxa"/>
            <w:shd w:val="clear" w:color="auto" w:fill="auto"/>
          </w:tcPr>
          <w:p w14:paraId="3A23936A" w14:textId="77777777" w:rsidR="00141C8E" w:rsidRPr="00AF5417" w:rsidRDefault="00141C8E" w:rsidP="001D573C">
            <w:pPr>
              <w:spacing w:line="360" w:lineRule="auto"/>
              <w:rPr>
                <w:rFonts w:ascii="Book Antiqua" w:hAnsi="Book Antiqua"/>
              </w:rPr>
            </w:pPr>
          </w:p>
        </w:tc>
        <w:tc>
          <w:tcPr>
            <w:tcW w:w="1985" w:type="dxa"/>
            <w:shd w:val="clear" w:color="auto" w:fill="auto"/>
          </w:tcPr>
          <w:p w14:paraId="01DB2DC4" w14:textId="77777777" w:rsidR="00141C8E" w:rsidRPr="00AF5417" w:rsidRDefault="00141C8E" w:rsidP="001D573C">
            <w:pPr>
              <w:spacing w:line="360" w:lineRule="auto"/>
              <w:rPr>
                <w:rFonts w:ascii="Book Antiqua" w:hAnsi="Book Antiqua"/>
              </w:rPr>
            </w:pPr>
          </w:p>
        </w:tc>
      </w:tr>
      <w:tr w:rsidR="00141C8E" w:rsidRPr="00AF5417" w14:paraId="78F74FA7" w14:textId="77777777" w:rsidTr="001D573C">
        <w:trPr>
          <w:trHeight w:val="454"/>
        </w:trPr>
        <w:tc>
          <w:tcPr>
            <w:tcW w:w="3119" w:type="dxa"/>
            <w:shd w:val="clear" w:color="auto" w:fill="auto"/>
            <w:noWrap/>
            <w:hideMark/>
          </w:tcPr>
          <w:p w14:paraId="109E818F" w14:textId="77777777" w:rsidR="00141C8E" w:rsidRPr="00AF5417" w:rsidRDefault="00141C8E" w:rsidP="001D573C">
            <w:pPr>
              <w:spacing w:line="360" w:lineRule="auto"/>
              <w:rPr>
                <w:rFonts w:ascii="Book Antiqua" w:hAnsi="Book Antiqua"/>
              </w:rPr>
            </w:pPr>
            <w:r w:rsidRPr="00AF5417">
              <w:rPr>
                <w:rFonts w:ascii="Book Antiqua" w:hAnsi="Book Antiqua"/>
              </w:rPr>
              <w:t>F0 (no fibrosis)</w:t>
            </w:r>
          </w:p>
        </w:tc>
        <w:tc>
          <w:tcPr>
            <w:tcW w:w="2126" w:type="dxa"/>
            <w:shd w:val="clear" w:color="auto" w:fill="auto"/>
            <w:noWrap/>
            <w:vAlign w:val="center"/>
            <w:hideMark/>
          </w:tcPr>
          <w:p w14:paraId="2BDD1787" w14:textId="77777777" w:rsidR="00141C8E" w:rsidRPr="00AF5417" w:rsidRDefault="00141C8E" w:rsidP="001D573C">
            <w:pPr>
              <w:spacing w:line="360" w:lineRule="auto"/>
              <w:rPr>
                <w:rFonts w:ascii="Book Antiqua" w:hAnsi="Book Antiqua"/>
              </w:rPr>
            </w:pPr>
            <w:r w:rsidRPr="00AF5417">
              <w:rPr>
                <w:rFonts w:ascii="Book Antiqua" w:hAnsi="Book Antiqua"/>
              </w:rPr>
              <w:t>12 (6.3)</w:t>
            </w:r>
          </w:p>
        </w:tc>
        <w:tc>
          <w:tcPr>
            <w:tcW w:w="2410" w:type="dxa"/>
            <w:shd w:val="clear" w:color="auto" w:fill="auto"/>
            <w:vAlign w:val="center"/>
          </w:tcPr>
          <w:p w14:paraId="5BDC61F2" w14:textId="77777777" w:rsidR="00141C8E" w:rsidRPr="00AF5417" w:rsidRDefault="00141C8E" w:rsidP="001D573C">
            <w:pPr>
              <w:spacing w:line="360" w:lineRule="auto"/>
              <w:rPr>
                <w:rFonts w:ascii="Book Antiqua" w:hAnsi="Book Antiqua"/>
              </w:rPr>
            </w:pPr>
            <w:r w:rsidRPr="00AF5417">
              <w:rPr>
                <w:rFonts w:ascii="Book Antiqua" w:hAnsi="Book Antiqua"/>
              </w:rPr>
              <w:t>1 (0.9)</w:t>
            </w:r>
          </w:p>
        </w:tc>
        <w:tc>
          <w:tcPr>
            <w:tcW w:w="1985" w:type="dxa"/>
            <w:shd w:val="clear" w:color="auto" w:fill="auto"/>
            <w:vAlign w:val="center"/>
          </w:tcPr>
          <w:p w14:paraId="30A65AD4" w14:textId="77777777" w:rsidR="00141C8E" w:rsidRPr="00AF5417" w:rsidRDefault="00141C8E" w:rsidP="001D573C">
            <w:pPr>
              <w:spacing w:line="360" w:lineRule="auto"/>
              <w:rPr>
                <w:rFonts w:ascii="Book Antiqua" w:hAnsi="Book Antiqua"/>
              </w:rPr>
            </w:pPr>
            <w:r w:rsidRPr="00AF5417">
              <w:rPr>
                <w:rFonts w:ascii="Book Antiqua" w:hAnsi="Book Antiqua"/>
              </w:rPr>
              <w:t>10 (15.2)</w:t>
            </w:r>
          </w:p>
        </w:tc>
      </w:tr>
      <w:tr w:rsidR="00141C8E" w:rsidRPr="00AF5417" w14:paraId="09C115A8" w14:textId="77777777" w:rsidTr="001D573C">
        <w:trPr>
          <w:trHeight w:val="454"/>
        </w:trPr>
        <w:tc>
          <w:tcPr>
            <w:tcW w:w="3119" w:type="dxa"/>
            <w:shd w:val="clear" w:color="auto" w:fill="auto"/>
            <w:noWrap/>
            <w:hideMark/>
          </w:tcPr>
          <w:p w14:paraId="42B7B54D" w14:textId="77777777" w:rsidR="00141C8E" w:rsidRPr="00AF5417" w:rsidRDefault="00141C8E" w:rsidP="001D573C">
            <w:pPr>
              <w:spacing w:line="360" w:lineRule="auto"/>
              <w:rPr>
                <w:rFonts w:ascii="Book Antiqua" w:hAnsi="Book Antiqua"/>
              </w:rPr>
            </w:pPr>
            <w:r w:rsidRPr="00AF5417">
              <w:rPr>
                <w:rFonts w:ascii="Book Antiqua" w:hAnsi="Book Antiqua"/>
              </w:rPr>
              <w:t>F1 (portal fibrosis without septa)</w:t>
            </w:r>
          </w:p>
        </w:tc>
        <w:tc>
          <w:tcPr>
            <w:tcW w:w="2126" w:type="dxa"/>
            <w:shd w:val="clear" w:color="auto" w:fill="auto"/>
            <w:noWrap/>
            <w:vAlign w:val="center"/>
            <w:hideMark/>
          </w:tcPr>
          <w:p w14:paraId="1CB319BA" w14:textId="77777777" w:rsidR="00141C8E" w:rsidRPr="00AF5417" w:rsidRDefault="00141C8E" w:rsidP="001D573C">
            <w:pPr>
              <w:spacing w:line="360" w:lineRule="auto"/>
              <w:rPr>
                <w:rFonts w:ascii="Book Antiqua" w:hAnsi="Book Antiqua"/>
              </w:rPr>
            </w:pPr>
            <w:r w:rsidRPr="00AF5417">
              <w:rPr>
                <w:rFonts w:ascii="Book Antiqua" w:hAnsi="Book Antiqua"/>
              </w:rPr>
              <w:t>70 (36.8)</w:t>
            </w:r>
          </w:p>
        </w:tc>
        <w:tc>
          <w:tcPr>
            <w:tcW w:w="2410" w:type="dxa"/>
            <w:shd w:val="clear" w:color="auto" w:fill="auto"/>
            <w:vAlign w:val="center"/>
          </w:tcPr>
          <w:p w14:paraId="1DEEA461" w14:textId="77777777" w:rsidR="00141C8E" w:rsidRPr="00AF5417" w:rsidRDefault="00141C8E" w:rsidP="001D573C">
            <w:pPr>
              <w:spacing w:line="360" w:lineRule="auto"/>
              <w:rPr>
                <w:rFonts w:ascii="Book Antiqua" w:hAnsi="Book Antiqua"/>
              </w:rPr>
            </w:pPr>
            <w:r w:rsidRPr="00AF5417">
              <w:rPr>
                <w:rFonts w:ascii="Book Antiqua" w:hAnsi="Book Antiqua"/>
              </w:rPr>
              <w:t>38 (33.3)</w:t>
            </w:r>
          </w:p>
        </w:tc>
        <w:tc>
          <w:tcPr>
            <w:tcW w:w="1985" w:type="dxa"/>
            <w:shd w:val="clear" w:color="auto" w:fill="auto"/>
            <w:vAlign w:val="center"/>
          </w:tcPr>
          <w:p w14:paraId="6724CC5E" w14:textId="77777777" w:rsidR="00141C8E" w:rsidRPr="00AF5417" w:rsidRDefault="00141C8E" w:rsidP="001D573C">
            <w:pPr>
              <w:spacing w:line="360" w:lineRule="auto"/>
              <w:rPr>
                <w:rFonts w:ascii="Book Antiqua" w:hAnsi="Book Antiqua"/>
              </w:rPr>
            </w:pPr>
            <w:r w:rsidRPr="00AF5417">
              <w:rPr>
                <w:rFonts w:ascii="Book Antiqua" w:hAnsi="Book Antiqua"/>
              </w:rPr>
              <w:t>30 (45.5)</w:t>
            </w:r>
          </w:p>
        </w:tc>
      </w:tr>
      <w:tr w:rsidR="00141C8E" w:rsidRPr="00AF5417" w14:paraId="08627108" w14:textId="77777777" w:rsidTr="001D573C">
        <w:trPr>
          <w:trHeight w:val="454"/>
        </w:trPr>
        <w:tc>
          <w:tcPr>
            <w:tcW w:w="3119" w:type="dxa"/>
            <w:shd w:val="clear" w:color="auto" w:fill="auto"/>
            <w:noWrap/>
            <w:hideMark/>
          </w:tcPr>
          <w:p w14:paraId="4F6889E6" w14:textId="77777777" w:rsidR="00141C8E" w:rsidRPr="00AF5417" w:rsidRDefault="00141C8E" w:rsidP="001D573C">
            <w:pPr>
              <w:spacing w:line="360" w:lineRule="auto"/>
              <w:rPr>
                <w:rFonts w:ascii="Book Antiqua" w:hAnsi="Book Antiqua"/>
              </w:rPr>
            </w:pPr>
            <w:r w:rsidRPr="00AF5417">
              <w:rPr>
                <w:rFonts w:ascii="Book Antiqua" w:hAnsi="Book Antiqua"/>
              </w:rPr>
              <w:lastRenderedPageBreak/>
              <w:t xml:space="preserve">F2 (portal and </w:t>
            </w:r>
            <w:proofErr w:type="spellStart"/>
            <w:r w:rsidRPr="00AF5417">
              <w:rPr>
                <w:rFonts w:ascii="Book Antiqua" w:hAnsi="Book Antiqua"/>
              </w:rPr>
              <w:t>periportal</w:t>
            </w:r>
            <w:proofErr w:type="spellEnd"/>
            <w:r w:rsidRPr="00AF5417">
              <w:rPr>
                <w:rFonts w:ascii="Book Antiqua" w:hAnsi="Book Antiqua"/>
              </w:rPr>
              <w:t xml:space="preserve"> fibrosis with few septa)</w:t>
            </w:r>
          </w:p>
        </w:tc>
        <w:tc>
          <w:tcPr>
            <w:tcW w:w="2126" w:type="dxa"/>
            <w:shd w:val="clear" w:color="auto" w:fill="auto"/>
            <w:noWrap/>
            <w:vAlign w:val="center"/>
            <w:hideMark/>
          </w:tcPr>
          <w:p w14:paraId="787F1B69" w14:textId="77777777" w:rsidR="00141C8E" w:rsidRPr="00AF5417" w:rsidRDefault="00141C8E" w:rsidP="001D573C">
            <w:pPr>
              <w:spacing w:line="360" w:lineRule="auto"/>
              <w:rPr>
                <w:rFonts w:ascii="Book Antiqua" w:hAnsi="Book Antiqua"/>
              </w:rPr>
            </w:pPr>
            <w:r w:rsidRPr="00AF5417">
              <w:rPr>
                <w:rFonts w:ascii="Book Antiqua" w:hAnsi="Book Antiqua"/>
              </w:rPr>
              <w:t>64 (33.7)</w:t>
            </w:r>
          </w:p>
        </w:tc>
        <w:tc>
          <w:tcPr>
            <w:tcW w:w="2410" w:type="dxa"/>
            <w:shd w:val="clear" w:color="auto" w:fill="auto"/>
            <w:vAlign w:val="center"/>
          </w:tcPr>
          <w:p w14:paraId="3F4B89B3" w14:textId="77777777" w:rsidR="00141C8E" w:rsidRPr="00AF5417" w:rsidRDefault="00141C8E" w:rsidP="001D573C">
            <w:pPr>
              <w:spacing w:line="360" w:lineRule="auto"/>
              <w:rPr>
                <w:rFonts w:ascii="Book Antiqua" w:hAnsi="Book Antiqua"/>
              </w:rPr>
            </w:pPr>
            <w:r w:rsidRPr="00AF5417">
              <w:rPr>
                <w:rFonts w:ascii="Book Antiqua" w:hAnsi="Book Antiqua"/>
              </w:rPr>
              <w:t>40 (35.1)</w:t>
            </w:r>
          </w:p>
        </w:tc>
        <w:tc>
          <w:tcPr>
            <w:tcW w:w="1985" w:type="dxa"/>
            <w:shd w:val="clear" w:color="auto" w:fill="auto"/>
            <w:vAlign w:val="center"/>
          </w:tcPr>
          <w:p w14:paraId="4FEE69EC" w14:textId="77777777" w:rsidR="00141C8E" w:rsidRPr="00AF5417" w:rsidRDefault="00141C8E" w:rsidP="001D573C">
            <w:pPr>
              <w:spacing w:line="360" w:lineRule="auto"/>
              <w:rPr>
                <w:rFonts w:ascii="Book Antiqua" w:hAnsi="Book Antiqua"/>
              </w:rPr>
            </w:pPr>
            <w:r w:rsidRPr="00AF5417">
              <w:rPr>
                <w:rFonts w:ascii="Book Antiqua" w:hAnsi="Book Antiqua"/>
              </w:rPr>
              <w:t>18 (27.3)</w:t>
            </w:r>
          </w:p>
        </w:tc>
      </w:tr>
      <w:tr w:rsidR="00141C8E" w:rsidRPr="00AF5417" w14:paraId="505EF68D" w14:textId="77777777" w:rsidTr="001D573C">
        <w:trPr>
          <w:trHeight w:val="454"/>
        </w:trPr>
        <w:tc>
          <w:tcPr>
            <w:tcW w:w="3119" w:type="dxa"/>
            <w:shd w:val="clear" w:color="auto" w:fill="auto"/>
            <w:noWrap/>
            <w:hideMark/>
          </w:tcPr>
          <w:p w14:paraId="439701C5"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F3 (portal and </w:t>
            </w:r>
            <w:proofErr w:type="spellStart"/>
            <w:r w:rsidRPr="00AF5417">
              <w:rPr>
                <w:rFonts w:ascii="Book Antiqua" w:hAnsi="Book Antiqua"/>
              </w:rPr>
              <w:t>periportal</w:t>
            </w:r>
            <w:proofErr w:type="spellEnd"/>
            <w:r w:rsidRPr="00AF5417">
              <w:rPr>
                <w:rFonts w:ascii="Book Antiqua" w:hAnsi="Book Antiqua"/>
              </w:rPr>
              <w:t xml:space="preserve"> fibrosis with numerous septa without cirrhosis)</w:t>
            </w:r>
          </w:p>
        </w:tc>
        <w:tc>
          <w:tcPr>
            <w:tcW w:w="2126" w:type="dxa"/>
            <w:shd w:val="clear" w:color="auto" w:fill="auto"/>
            <w:noWrap/>
            <w:vAlign w:val="center"/>
            <w:hideMark/>
          </w:tcPr>
          <w:p w14:paraId="132BAF72" w14:textId="77777777" w:rsidR="00141C8E" w:rsidRPr="00AF5417" w:rsidRDefault="00141C8E" w:rsidP="001D573C">
            <w:pPr>
              <w:spacing w:line="360" w:lineRule="auto"/>
              <w:rPr>
                <w:rFonts w:ascii="Book Antiqua" w:hAnsi="Book Antiqua"/>
              </w:rPr>
            </w:pPr>
            <w:r w:rsidRPr="00AF5417">
              <w:rPr>
                <w:rFonts w:ascii="Book Antiqua" w:hAnsi="Book Antiqua"/>
              </w:rPr>
              <w:t>35 (18.4)</w:t>
            </w:r>
          </w:p>
        </w:tc>
        <w:tc>
          <w:tcPr>
            <w:tcW w:w="2410" w:type="dxa"/>
            <w:shd w:val="clear" w:color="auto" w:fill="auto"/>
            <w:vAlign w:val="center"/>
          </w:tcPr>
          <w:p w14:paraId="0DF669D4" w14:textId="77777777" w:rsidR="00141C8E" w:rsidRPr="00AF5417" w:rsidRDefault="00141C8E" w:rsidP="001D573C">
            <w:pPr>
              <w:spacing w:line="360" w:lineRule="auto"/>
              <w:rPr>
                <w:rFonts w:ascii="Book Antiqua" w:hAnsi="Book Antiqua"/>
              </w:rPr>
            </w:pPr>
            <w:r w:rsidRPr="00AF5417">
              <w:rPr>
                <w:rFonts w:ascii="Book Antiqua" w:hAnsi="Book Antiqua"/>
              </w:rPr>
              <w:t>26 (22.8)</w:t>
            </w:r>
          </w:p>
        </w:tc>
        <w:tc>
          <w:tcPr>
            <w:tcW w:w="1985" w:type="dxa"/>
            <w:shd w:val="clear" w:color="auto" w:fill="auto"/>
            <w:vAlign w:val="center"/>
          </w:tcPr>
          <w:p w14:paraId="4146B372" w14:textId="77777777" w:rsidR="00141C8E" w:rsidRPr="00AF5417" w:rsidRDefault="00141C8E" w:rsidP="001D573C">
            <w:pPr>
              <w:spacing w:line="360" w:lineRule="auto"/>
              <w:rPr>
                <w:rFonts w:ascii="Book Antiqua" w:hAnsi="Book Antiqua"/>
              </w:rPr>
            </w:pPr>
            <w:r w:rsidRPr="00AF5417">
              <w:rPr>
                <w:rFonts w:ascii="Book Antiqua" w:hAnsi="Book Antiqua"/>
              </w:rPr>
              <w:t>8 (12.1)</w:t>
            </w:r>
          </w:p>
        </w:tc>
      </w:tr>
      <w:tr w:rsidR="00141C8E" w:rsidRPr="00AF5417" w14:paraId="04E4B6CF" w14:textId="77777777" w:rsidTr="001D573C">
        <w:trPr>
          <w:trHeight w:val="454"/>
        </w:trPr>
        <w:tc>
          <w:tcPr>
            <w:tcW w:w="3119" w:type="dxa"/>
            <w:shd w:val="clear" w:color="auto" w:fill="auto"/>
            <w:noWrap/>
            <w:hideMark/>
          </w:tcPr>
          <w:p w14:paraId="66256CC4" w14:textId="77777777" w:rsidR="00141C8E" w:rsidRPr="00AF5417" w:rsidRDefault="00141C8E" w:rsidP="001D573C">
            <w:pPr>
              <w:spacing w:line="360" w:lineRule="auto"/>
              <w:rPr>
                <w:rFonts w:ascii="Book Antiqua" w:hAnsi="Book Antiqua"/>
              </w:rPr>
            </w:pPr>
            <w:r w:rsidRPr="00AF5417">
              <w:rPr>
                <w:rFonts w:ascii="Book Antiqua" w:hAnsi="Book Antiqua"/>
              </w:rPr>
              <w:t>F4 (cirrhosis)</w:t>
            </w:r>
          </w:p>
        </w:tc>
        <w:tc>
          <w:tcPr>
            <w:tcW w:w="2126" w:type="dxa"/>
            <w:shd w:val="clear" w:color="auto" w:fill="auto"/>
            <w:noWrap/>
            <w:vAlign w:val="center"/>
            <w:hideMark/>
          </w:tcPr>
          <w:p w14:paraId="44CA8A79" w14:textId="77777777" w:rsidR="00141C8E" w:rsidRPr="00AF5417" w:rsidRDefault="00141C8E" w:rsidP="001D573C">
            <w:pPr>
              <w:spacing w:line="360" w:lineRule="auto"/>
              <w:rPr>
                <w:rFonts w:ascii="Book Antiqua" w:hAnsi="Book Antiqua"/>
              </w:rPr>
            </w:pPr>
            <w:r w:rsidRPr="00AF5417">
              <w:rPr>
                <w:rFonts w:ascii="Book Antiqua" w:hAnsi="Book Antiqua"/>
              </w:rPr>
              <w:t>9 (4.7)</w:t>
            </w:r>
          </w:p>
        </w:tc>
        <w:tc>
          <w:tcPr>
            <w:tcW w:w="2410" w:type="dxa"/>
            <w:shd w:val="clear" w:color="auto" w:fill="auto"/>
            <w:vAlign w:val="center"/>
          </w:tcPr>
          <w:p w14:paraId="292F13AF" w14:textId="77777777" w:rsidR="00141C8E" w:rsidRPr="00AF5417" w:rsidRDefault="00141C8E" w:rsidP="001D573C">
            <w:pPr>
              <w:spacing w:line="360" w:lineRule="auto"/>
              <w:rPr>
                <w:rFonts w:ascii="Book Antiqua" w:hAnsi="Book Antiqua"/>
              </w:rPr>
            </w:pPr>
            <w:r w:rsidRPr="00AF5417">
              <w:rPr>
                <w:rFonts w:ascii="Book Antiqua" w:hAnsi="Book Antiqua"/>
              </w:rPr>
              <w:t>9 (7.9)</w:t>
            </w:r>
          </w:p>
        </w:tc>
        <w:tc>
          <w:tcPr>
            <w:tcW w:w="1985" w:type="dxa"/>
            <w:shd w:val="clear" w:color="auto" w:fill="auto"/>
            <w:vAlign w:val="center"/>
          </w:tcPr>
          <w:p w14:paraId="0E12DE3E" w14:textId="77777777" w:rsidR="00141C8E" w:rsidRPr="00AF5417" w:rsidRDefault="00141C8E" w:rsidP="001D573C">
            <w:pPr>
              <w:spacing w:line="360" w:lineRule="auto"/>
              <w:rPr>
                <w:rFonts w:ascii="Book Antiqua" w:hAnsi="Book Antiqua"/>
              </w:rPr>
            </w:pPr>
            <w:r w:rsidRPr="00AF5417">
              <w:rPr>
                <w:rFonts w:ascii="Book Antiqua" w:hAnsi="Book Antiqua"/>
              </w:rPr>
              <w:t>0 (0.0)</w:t>
            </w:r>
          </w:p>
        </w:tc>
      </w:tr>
      <w:tr w:rsidR="00141C8E" w:rsidRPr="00AF5417" w14:paraId="41BE4278" w14:textId="77777777" w:rsidTr="001D573C">
        <w:trPr>
          <w:trHeight w:val="454"/>
        </w:trPr>
        <w:tc>
          <w:tcPr>
            <w:tcW w:w="3119" w:type="dxa"/>
            <w:shd w:val="clear" w:color="auto" w:fill="auto"/>
            <w:noWrap/>
          </w:tcPr>
          <w:p w14:paraId="5545E536" w14:textId="77777777" w:rsidR="00141C8E" w:rsidRPr="00AF5417" w:rsidRDefault="00141C8E" w:rsidP="001D573C">
            <w:pPr>
              <w:spacing w:line="360" w:lineRule="auto"/>
              <w:rPr>
                <w:rFonts w:ascii="Book Antiqua" w:hAnsi="Book Antiqua"/>
              </w:rPr>
            </w:pPr>
            <w:r w:rsidRPr="00AF5417">
              <w:rPr>
                <w:rFonts w:ascii="Book Antiqua" w:hAnsi="Book Antiqua"/>
              </w:rPr>
              <w:t>CAP, dB/m</w:t>
            </w:r>
          </w:p>
        </w:tc>
        <w:tc>
          <w:tcPr>
            <w:tcW w:w="2126" w:type="dxa"/>
            <w:shd w:val="clear" w:color="auto" w:fill="auto"/>
            <w:noWrap/>
          </w:tcPr>
          <w:p w14:paraId="7577236D" w14:textId="77777777" w:rsidR="00141C8E" w:rsidRPr="00AF5417" w:rsidRDefault="00141C8E" w:rsidP="001D573C">
            <w:pPr>
              <w:spacing w:line="360" w:lineRule="auto"/>
              <w:rPr>
                <w:rFonts w:ascii="Book Antiqua" w:hAnsi="Book Antiqua"/>
              </w:rPr>
            </w:pPr>
            <w:r w:rsidRPr="00AF5417">
              <w:rPr>
                <w:rFonts w:ascii="Book Antiqua" w:hAnsi="Book Antiqua"/>
              </w:rPr>
              <w:t>270.17 ± 54.52</w:t>
            </w:r>
          </w:p>
        </w:tc>
        <w:tc>
          <w:tcPr>
            <w:tcW w:w="2410" w:type="dxa"/>
            <w:shd w:val="clear" w:color="auto" w:fill="auto"/>
          </w:tcPr>
          <w:p w14:paraId="7697127E" w14:textId="77777777" w:rsidR="00141C8E" w:rsidRPr="00AF5417" w:rsidRDefault="00141C8E" w:rsidP="001D573C">
            <w:pPr>
              <w:spacing w:line="360" w:lineRule="auto"/>
              <w:rPr>
                <w:rFonts w:ascii="Book Antiqua" w:hAnsi="Book Antiqua"/>
              </w:rPr>
            </w:pPr>
            <w:r w:rsidRPr="00AF5417">
              <w:rPr>
                <w:rFonts w:ascii="Book Antiqua" w:hAnsi="Book Antiqua"/>
              </w:rPr>
              <w:t>261.73 ± 53.80</w:t>
            </w:r>
          </w:p>
        </w:tc>
        <w:tc>
          <w:tcPr>
            <w:tcW w:w="1985" w:type="dxa"/>
            <w:shd w:val="clear" w:color="auto" w:fill="auto"/>
          </w:tcPr>
          <w:p w14:paraId="1CAD5C65" w14:textId="77777777" w:rsidR="00141C8E" w:rsidRPr="00AF5417" w:rsidRDefault="00141C8E" w:rsidP="001D573C">
            <w:pPr>
              <w:spacing w:line="360" w:lineRule="auto"/>
              <w:rPr>
                <w:rFonts w:ascii="Book Antiqua" w:hAnsi="Book Antiqua"/>
              </w:rPr>
            </w:pPr>
            <w:r w:rsidRPr="00AF5417">
              <w:rPr>
                <w:rFonts w:ascii="Book Antiqua" w:hAnsi="Book Antiqua"/>
              </w:rPr>
              <w:t>290.97 ± 50.68</w:t>
            </w:r>
          </w:p>
        </w:tc>
      </w:tr>
      <w:tr w:rsidR="00141C8E" w:rsidRPr="00AF5417" w14:paraId="78E9D670" w14:textId="77777777" w:rsidTr="001D573C">
        <w:trPr>
          <w:trHeight w:val="454"/>
        </w:trPr>
        <w:tc>
          <w:tcPr>
            <w:tcW w:w="3119" w:type="dxa"/>
            <w:tcBorders>
              <w:bottom w:val="single" w:sz="4" w:space="0" w:color="auto"/>
            </w:tcBorders>
            <w:shd w:val="clear" w:color="auto" w:fill="auto"/>
            <w:noWrap/>
          </w:tcPr>
          <w:p w14:paraId="3B08BCC7"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LSM, </w:t>
            </w:r>
            <w:proofErr w:type="spellStart"/>
            <w:r w:rsidRPr="00AF5417">
              <w:rPr>
                <w:rFonts w:ascii="Book Antiqua" w:hAnsi="Book Antiqua"/>
              </w:rPr>
              <w:t>kPa</w:t>
            </w:r>
            <w:proofErr w:type="spellEnd"/>
          </w:p>
        </w:tc>
        <w:tc>
          <w:tcPr>
            <w:tcW w:w="2126" w:type="dxa"/>
            <w:tcBorders>
              <w:bottom w:val="single" w:sz="4" w:space="0" w:color="auto"/>
            </w:tcBorders>
            <w:shd w:val="clear" w:color="auto" w:fill="auto"/>
            <w:noWrap/>
          </w:tcPr>
          <w:p w14:paraId="593EE732" w14:textId="77777777" w:rsidR="00141C8E" w:rsidRPr="00AF5417" w:rsidRDefault="00141C8E" w:rsidP="001D573C">
            <w:pPr>
              <w:spacing w:line="360" w:lineRule="auto"/>
              <w:rPr>
                <w:rFonts w:ascii="Book Antiqua" w:hAnsi="Book Antiqua"/>
              </w:rPr>
            </w:pPr>
            <w:r w:rsidRPr="00AF5417">
              <w:rPr>
                <w:rFonts w:ascii="Book Antiqua" w:hAnsi="Book Antiqua"/>
              </w:rPr>
              <w:t>7.66 ± 5.57</w:t>
            </w:r>
          </w:p>
        </w:tc>
        <w:tc>
          <w:tcPr>
            <w:tcW w:w="2410" w:type="dxa"/>
            <w:tcBorders>
              <w:bottom w:val="single" w:sz="4" w:space="0" w:color="auto"/>
            </w:tcBorders>
            <w:shd w:val="clear" w:color="auto" w:fill="auto"/>
          </w:tcPr>
          <w:p w14:paraId="5D385F40" w14:textId="77777777" w:rsidR="00141C8E" w:rsidRPr="00AF5417" w:rsidRDefault="00141C8E" w:rsidP="001D573C">
            <w:pPr>
              <w:spacing w:line="360" w:lineRule="auto"/>
              <w:rPr>
                <w:rFonts w:ascii="Book Antiqua" w:hAnsi="Book Antiqua"/>
              </w:rPr>
            </w:pPr>
            <w:r w:rsidRPr="00AF5417">
              <w:rPr>
                <w:rFonts w:ascii="Book Antiqua" w:hAnsi="Book Antiqua"/>
              </w:rPr>
              <w:t>8.48 ± 6.50</w:t>
            </w:r>
          </w:p>
        </w:tc>
        <w:tc>
          <w:tcPr>
            <w:tcW w:w="1985" w:type="dxa"/>
            <w:tcBorders>
              <w:bottom w:val="single" w:sz="4" w:space="0" w:color="auto"/>
            </w:tcBorders>
            <w:shd w:val="clear" w:color="auto" w:fill="auto"/>
          </w:tcPr>
          <w:p w14:paraId="56AAFE47" w14:textId="77777777" w:rsidR="00141C8E" w:rsidRPr="00AF5417" w:rsidRDefault="00141C8E" w:rsidP="001D573C">
            <w:pPr>
              <w:spacing w:line="360" w:lineRule="auto"/>
              <w:rPr>
                <w:rFonts w:ascii="Book Antiqua" w:hAnsi="Book Antiqua"/>
              </w:rPr>
            </w:pPr>
            <w:r w:rsidRPr="00AF5417">
              <w:rPr>
                <w:rFonts w:ascii="Book Antiqua" w:hAnsi="Book Antiqua"/>
              </w:rPr>
              <w:t>6.61 ± 3.66</w:t>
            </w:r>
          </w:p>
        </w:tc>
      </w:tr>
    </w:tbl>
    <w:p w14:paraId="19B593B4" w14:textId="4FE564B7" w:rsidR="00141C8E" w:rsidRDefault="00141C8E" w:rsidP="00141C8E">
      <w:pPr>
        <w:spacing w:line="360" w:lineRule="auto"/>
        <w:jc w:val="both"/>
        <w:rPr>
          <w:rFonts w:ascii="Book Antiqua" w:eastAsia="Book Antiqua" w:hAnsi="Book Antiqua" w:cs="Book Antiqua"/>
          <w:color w:val="000000"/>
        </w:rPr>
      </w:pPr>
      <w:r w:rsidRPr="00E8345A">
        <w:rPr>
          <w:rFonts w:ascii="Book Antiqua" w:eastAsia="Book Antiqua" w:hAnsi="Book Antiqua" w:cs="Book Antiqua"/>
          <w:color w:val="000000"/>
        </w:rPr>
        <w:t>Distributions are expressed as the mean ± S</w:t>
      </w:r>
      <w:r w:rsidRPr="00E8345A">
        <w:rPr>
          <w:rFonts w:ascii="Book Antiqua" w:eastAsia="Book Antiqua" w:hAnsi="Book Antiqua" w:cs="Book Antiqua"/>
          <w:color w:val="000000"/>
        </w:rPr>
        <w:t xml:space="preserve">D or median </w:t>
      </w:r>
      <w:r>
        <w:rPr>
          <w:rFonts w:ascii="Book Antiqua" w:eastAsia="Book Antiqua" w:hAnsi="Book Antiqua" w:cs="Book Antiqua"/>
          <w:color w:val="000000"/>
        </w:rPr>
        <w:t>(</w:t>
      </w:r>
      <w:r w:rsidRPr="00E8345A">
        <w:rPr>
          <w:rFonts w:ascii="Book Antiqua" w:eastAsia="Book Antiqua" w:hAnsi="Book Antiqua" w:cs="Book Antiqua"/>
          <w:color w:val="000000"/>
        </w:rPr>
        <w:t>interquartile range</w:t>
      </w:r>
      <w:r>
        <w:rPr>
          <w:rFonts w:ascii="Book Antiqua" w:eastAsia="Book Antiqua" w:hAnsi="Book Antiqua" w:cs="Book Antiqua"/>
          <w:color w:val="000000"/>
        </w:rPr>
        <w:t>)</w:t>
      </w:r>
      <w:r w:rsidRPr="00E8345A">
        <w:rPr>
          <w:rFonts w:ascii="Book Antiqua" w:eastAsia="Book Antiqua" w:hAnsi="Book Antiqua" w:cs="Book Antiqua"/>
          <w:color w:val="000000"/>
        </w:rPr>
        <w:t xml:space="preserve"> or </w:t>
      </w:r>
      <w:r w:rsidR="0009789F">
        <w:rPr>
          <w:rFonts w:ascii="Book Antiqua" w:eastAsia="Book Antiqua" w:hAnsi="Book Antiqua" w:cs="Book Antiqua"/>
          <w:color w:val="000000"/>
        </w:rPr>
        <w:t>number</w:t>
      </w:r>
      <w:r w:rsidR="0009789F" w:rsidRPr="00E8345A">
        <w:rPr>
          <w:rFonts w:ascii="Book Antiqua" w:eastAsia="Book Antiqua" w:hAnsi="Book Antiqua" w:cs="Book Antiqua"/>
          <w:color w:val="000000"/>
        </w:rPr>
        <w:t xml:space="preserve"> </w:t>
      </w:r>
      <w:r w:rsidRPr="00E8345A">
        <w:rPr>
          <w:rFonts w:ascii="Book Antiqua" w:eastAsia="Book Antiqua" w:hAnsi="Book Antiqua" w:cs="Book Antiqua"/>
          <w:color w:val="000000"/>
        </w:rPr>
        <w:t>(percentage).</w:t>
      </w:r>
      <w:r>
        <w:rPr>
          <w:rFonts w:ascii="Book Antiqua" w:eastAsia="Book Antiqua" w:hAnsi="Book Antiqua" w:cs="Book Antiqua"/>
          <w:color w:val="000000"/>
        </w:rPr>
        <w:t xml:space="preserve"> AIH: A</w:t>
      </w:r>
      <w:r w:rsidRPr="006B668B">
        <w:rPr>
          <w:rFonts w:ascii="Book Antiqua" w:eastAsia="Book Antiqua" w:hAnsi="Book Antiqua" w:cs="Book Antiqua"/>
          <w:color w:val="000000"/>
        </w:rPr>
        <w:t>utoimmune hepatitis</w:t>
      </w:r>
      <w:r>
        <w:rPr>
          <w:rFonts w:ascii="Book Antiqua" w:eastAsia="Book Antiqua" w:hAnsi="Book Antiqua" w:cs="Book Antiqua"/>
          <w:color w:val="000000"/>
        </w:rPr>
        <w:t>; NAFLD: N</w:t>
      </w:r>
      <w:r w:rsidRPr="006B668B">
        <w:rPr>
          <w:rFonts w:ascii="Book Antiqua" w:eastAsia="Book Antiqua" w:hAnsi="Book Antiqua" w:cs="Book Antiqua"/>
          <w:color w:val="000000"/>
        </w:rPr>
        <w:t>onalcoholic fatty liver disease</w:t>
      </w:r>
      <w:r>
        <w:rPr>
          <w:rFonts w:ascii="Book Antiqua" w:eastAsia="Book Antiqua" w:hAnsi="Book Antiqua" w:cs="Book Antiqua"/>
          <w:color w:val="000000"/>
        </w:rPr>
        <w:t>; BMI: B</w:t>
      </w:r>
      <w:r w:rsidRPr="00AF5417">
        <w:rPr>
          <w:rFonts w:ascii="Book Antiqua" w:eastAsia="Book Antiqua" w:hAnsi="Book Antiqua" w:cs="Book Antiqua"/>
          <w:color w:val="000000"/>
        </w:rPr>
        <w:t>ody mass index</w:t>
      </w:r>
      <w:r>
        <w:rPr>
          <w:rFonts w:ascii="Book Antiqua" w:eastAsia="Book Antiqua" w:hAnsi="Book Antiqua" w:cs="Book Antiqua"/>
          <w:color w:val="000000"/>
        </w:rPr>
        <w:t xml:space="preserve">; </w:t>
      </w:r>
      <w:r w:rsidRPr="00E8345A">
        <w:rPr>
          <w:rFonts w:ascii="Book Antiqua" w:eastAsia="Book Antiqua" w:hAnsi="Book Antiqua" w:cs="Book Antiqua"/>
          <w:color w:val="000000"/>
        </w:rPr>
        <w:t>AKP</w:t>
      </w:r>
      <w:r>
        <w:rPr>
          <w:rFonts w:ascii="Book Antiqua" w:eastAsia="Book Antiqua" w:hAnsi="Book Antiqua" w:cs="Book Antiqua"/>
          <w:color w:val="000000"/>
        </w:rPr>
        <w:t>: A</w:t>
      </w:r>
      <w:r w:rsidRPr="00E8345A">
        <w:rPr>
          <w:rFonts w:ascii="Book Antiqua" w:eastAsia="Book Antiqua" w:hAnsi="Book Antiqua" w:cs="Book Antiqua"/>
          <w:color w:val="000000"/>
        </w:rPr>
        <w:t>lkaline phosphatase; ALT</w:t>
      </w:r>
      <w:r>
        <w:rPr>
          <w:rFonts w:ascii="Book Antiqua" w:eastAsia="Book Antiqua" w:hAnsi="Book Antiqua" w:cs="Book Antiqua"/>
          <w:color w:val="000000"/>
        </w:rPr>
        <w:t>: A</w:t>
      </w:r>
      <w:r w:rsidRPr="00E8345A">
        <w:rPr>
          <w:rFonts w:ascii="Book Antiqua" w:eastAsia="Book Antiqua" w:hAnsi="Book Antiqua" w:cs="Book Antiqua"/>
          <w:color w:val="000000"/>
        </w:rPr>
        <w:t>lanine aminotransferase; AST</w:t>
      </w:r>
      <w:r>
        <w:rPr>
          <w:rFonts w:ascii="Book Antiqua" w:eastAsia="Book Antiqua" w:hAnsi="Book Antiqua" w:cs="Book Antiqua"/>
          <w:color w:val="000000"/>
        </w:rPr>
        <w:t>: A</w:t>
      </w:r>
      <w:r w:rsidRPr="00E8345A">
        <w:rPr>
          <w:rFonts w:ascii="Book Antiqua" w:eastAsia="Book Antiqua" w:hAnsi="Book Antiqua" w:cs="Book Antiqua"/>
          <w:color w:val="000000"/>
        </w:rPr>
        <w:t>spartate aminotransferase; CAP</w:t>
      </w:r>
      <w:r>
        <w:rPr>
          <w:rFonts w:ascii="Book Antiqua" w:eastAsia="Book Antiqua" w:hAnsi="Book Antiqua" w:cs="Book Antiqua"/>
          <w:color w:val="000000"/>
        </w:rPr>
        <w:t>: C</w:t>
      </w:r>
      <w:r w:rsidRPr="00E8345A">
        <w:rPr>
          <w:rFonts w:ascii="Book Antiqua" w:eastAsia="Book Antiqua" w:hAnsi="Book Antiqua" w:cs="Book Antiqua"/>
          <w:color w:val="000000"/>
        </w:rPr>
        <w:t>ontrolled attenuation parameter; GGT</w:t>
      </w:r>
      <w:r>
        <w:rPr>
          <w:rFonts w:ascii="Book Antiqua" w:eastAsia="Book Antiqua" w:hAnsi="Book Antiqua" w:cs="Book Antiqua"/>
          <w:color w:val="000000"/>
        </w:rPr>
        <w:t>: G</w:t>
      </w:r>
      <w:r w:rsidRPr="00E8345A">
        <w:rPr>
          <w:rFonts w:ascii="Book Antiqua" w:eastAsia="Book Antiqua" w:hAnsi="Book Antiqua" w:cs="Book Antiqua"/>
          <w:color w:val="000000"/>
        </w:rPr>
        <w:t>amma-</w:t>
      </w:r>
      <w:proofErr w:type="spellStart"/>
      <w:r w:rsidRPr="00E8345A">
        <w:rPr>
          <w:rFonts w:ascii="Book Antiqua" w:eastAsia="Book Antiqua" w:hAnsi="Book Antiqua" w:cs="Book Antiqua"/>
          <w:color w:val="000000"/>
        </w:rPr>
        <w:t>glutamyl</w:t>
      </w:r>
      <w:proofErr w:type="spellEnd"/>
      <w:r w:rsidRPr="00E8345A">
        <w:rPr>
          <w:rFonts w:ascii="Book Antiqua" w:eastAsia="Book Antiqua" w:hAnsi="Book Antiqua" w:cs="Book Antiqua"/>
          <w:color w:val="000000"/>
        </w:rPr>
        <w:t xml:space="preserve"> transferase; LDH</w:t>
      </w:r>
      <w:r>
        <w:rPr>
          <w:rFonts w:ascii="Book Antiqua" w:eastAsia="Book Antiqua" w:hAnsi="Book Antiqua" w:cs="Book Antiqua"/>
          <w:color w:val="000000"/>
        </w:rPr>
        <w:t>: L</w:t>
      </w:r>
      <w:r w:rsidRPr="00E8345A">
        <w:rPr>
          <w:rFonts w:ascii="Book Antiqua" w:eastAsia="Book Antiqua" w:hAnsi="Book Antiqua" w:cs="Book Antiqua"/>
          <w:color w:val="000000"/>
        </w:rPr>
        <w:t>actate dehydrogenase; LSM</w:t>
      </w:r>
      <w:r>
        <w:rPr>
          <w:rFonts w:ascii="Book Antiqua" w:eastAsia="Book Antiqua" w:hAnsi="Book Antiqua" w:cs="Book Antiqua"/>
          <w:color w:val="000000"/>
        </w:rPr>
        <w:t>: L</w:t>
      </w:r>
      <w:r w:rsidRPr="00E8345A">
        <w:rPr>
          <w:rFonts w:ascii="Book Antiqua" w:eastAsia="Book Antiqua" w:hAnsi="Book Antiqua" w:cs="Book Antiqua"/>
          <w:color w:val="000000"/>
        </w:rPr>
        <w:t>iver stiffness measurement.</w:t>
      </w:r>
    </w:p>
    <w:p w14:paraId="65F02087" w14:textId="2E55A4D0" w:rsidR="00141C8E" w:rsidRDefault="00141C8E" w:rsidP="00141C8E">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8345A">
        <w:rPr>
          <w:rFonts w:ascii="Book Antiqua" w:eastAsia="Book Antiqua" w:hAnsi="Book Antiqua" w:cs="Book Antiqua"/>
          <w:b/>
          <w:bCs/>
          <w:color w:val="000000"/>
        </w:rPr>
        <w:lastRenderedPageBreak/>
        <w:t>Table 2 Diagnostic performance of controlled attenuat</w:t>
      </w:r>
      <w:r w:rsidRPr="00E8345A">
        <w:rPr>
          <w:rFonts w:ascii="Book Antiqua" w:eastAsia="Book Antiqua" w:hAnsi="Book Antiqua" w:cs="Book Antiqua"/>
          <w:b/>
          <w:bCs/>
          <w:color w:val="000000"/>
        </w:rPr>
        <w:t>ion parameter for assessment of hepatic steatosis in patients with mixed etiology liver disease and in patients with autoimmune liver diseases</w:t>
      </w:r>
    </w:p>
    <w:tbl>
      <w:tblPr>
        <w:tblW w:w="9611" w:type="dxa"/>
        <w:tblInd w:w="28" w:type="dxa"/>
        <w:tblLayout w:type="fixed"/>
        <w:tblCellMar>
          <w:left w:w="0" w:type="dxa"/>
          <w:right w:w="0" w:type="dxa"/>
        </w:tblCellMar>
        <w:tblLook w:val="0000" w:firstRow="0" w:lastRow="0" w:firstColumn="0" w:lastColumn="0" w:noHBand="0" w:noVBand="0"/>
      </w:tblPr>
      <w:tblGrid>
        <w:gridCol w:w="1106"/>
        <w:gridCol w:w="993"/>
        <w:gridCol w:w="2268"/>
        <w:gridCol w:w="1417"/>
        <w:gridCol w:w="851"/>
        <w:gridCol w:w="1275"/>
        <w:gridCol w:w="851"/>
        <w:gridCol w:w="850"/>
      </w:tblGrid>
      <w:tr w:rsidR="00141C8E" w:rsidRPr="00E8345A" w14:paraId="5B47D46B" w14:textId="77777777" w:rsidTr="001D573C">
        <w:trPr>
          <w:trHeight w:hRule="exact" w:val="871"/>
        </w:trPr>
        <w:tc>
          <w:tcPr>
            <w:tcW w:w="1106" w:type="dxa"/>
            <w:tcBorders>
              <w:top w:val="single" w:sz="12" w:space="0" w:color="auto"/>
              <w:bottom w:val="single" w:sz="12" w:space="0" w:color="auto"/>
            </w:tcBorders>
          </w:tcPr>
          <w:p w14:paraId="481CC777" w14:textId="77777777" w:rsidR="00141C8E" w:rsidRPr="00E8345A" w:rsidRDefault="00141C8E" w:rsidP="001D573C">
            <w:pPr>
              <w:spacing w:line="360" w:lineRule="auto"/>
              <w:rPr>
                <w:rFonts w:ascii="Book Antiqua" w:hAnsi="Book Antiqua"/>
                <w:b/>
                <w:bCs/>
              </w:rPr>
            </w:pPr>
            <w:r w:rsidRPr="00E8345A">
              <w:rPr>
                <w:rFonts w:ascii="Book Antiqua" w:hAnsi="Book Antiqua"/>
                <w:b/>
                <w:bCs/>
              </w:rPr>
              <w:t>Etiology</w:t>
            </w:r>
          </w:p>
        </w:tc>
        <w:tc>
          <w:tcPr>
            <w:tcW w:w="993" w:type="dxa"/>
            <w:tcBorders>
              <w:top w:val="single" w:sz="12" w:space="0" w:color="auto"/>
              <w:bottom w:val="single" w:sz="12" w:space="0" w:color="auto"/>
            </w:tcBorders>
            <w:tcMar>
              <w:top w:w="28" w:type="dxa"/>
              <w:left w:w="28" w:type="dxa"/>
              <w:bottom w:w="28" w:type="dxa"/>
              <w:right w:w="28" w:type="dxa"/>
            </w:tcMar>
          </w:tcPr>
          <w:p w14:paraId="131CF3B4" w14:textId="77777777" w:rsidR="00141C8E" w:rsidRPr="00E8345A" w:rsidRDefault="00141C8E" w:rsidP="001D573C">
            <w:pPr>
              <w:spacing w:line="360" w:lineRule="auto"/>
              <w:rPr>
                <w:rFonts w:ascii="Book Antiqua" w:hAnsi="Book Antiqua"/>
                <w:b/>
                <w:bCs/>
              </w:rPr>
            </w:pPr>
            <w:r w:rsidRPr="00E8345A">
              <w:rPr>
                <w:rFonts w:ascii="Book Antiqua" w:hAnsi="Book Antiqua"/>
                <w:b/>
                <w:bCs/>
              </w:rPr>
              <w:t>Grade</w:t>
            </w:r>
          </w:p>
        </w:tc>
        <w:tc>
          <w:tcPr>
            <w:tcW w:w="2268" w:type="dxa"/>
            <w:tcBorders>
              <w:top w:val="single" w:sz="12" w:space="0" w:color="auto"/>
              <w:bottom w:val="single" w:sz="12" w:space="0" w:color="auto"/>
            </w:tcBorders>
            <w:tcMar>
              <w:top w:w="28" w:type="dxa"/>
              <w:left w:w="28" w:type="dxa"/>
              <w:bottom w:w="28" w:type="dxa"/>
              <w:right w:w="28" w:type="dxa"/>
            </w:tcMar>
          </w:tcPr>
          <w:p w14:paraId="58BE0134" w14:textId="77777777" w:rsidR="00141C8E" w:rsidRPr="00E8345A" w:rsidRDefault="00141C8E" w:rsidP="001D573C">
            <w:pPr>
              <w:spacing w:line="360" w:lineRule="auto"/>
              <w:rPr>
                <w:rFonts w:ascii="Book Antiqua" w:hAnsi="Book Antiqua"/>
                <w:b/>
                <w:bCs/>
              </w:rPr>
            </w:pPr>
            <w:r w:rsidRPr="00E8345A">
              <w:rPr>
                <w:rFonts w:ascii="Book Antiqua" w:hAnsi="Book Antiqua"/>
                <w:b/>
                <w:bCs/>
              </w:rPr>
              <w:t>AUROC (95%CI)</w:t>
            </w:r>
          </w:p>
        </w:tc>
        <w:tc>
          <w:tcPr>
            <w:tcW w:w="1417" w:type="dxa"/>
            <w:tcBorders>
              <w:top w:val="single" w:sz="12" w:space="0" w:color="auto"/>
              <w:bottom w:val="single" w:sz="12" w:space="0" w:color="auto"/>
            </w:tcBorders>
            <w:tcMar>
              <w:top w:w="28" w:type="dxa"/>
              <w:left w:w="28" w:type="dxa"/>
              <w:bottom w:w="28" w:type="dxa"/>
              <w:right w:w="28" w:type="dxa"/>
            </w:tcMar>
          </w:tcPr>
          <w:p w14:paraId="0C41064E" w14:textId="77777777" w:rsidR="00141C8E" w:rsidRPr="00E8345A" w:rsidRDefault="00141C8E" w:rsidP="001D573C">
            <w:pPr>
              <w:spacing w:line="360" w:lineRule="auto"/>
              <w:rPr>
                <w:rFonts w:ascii="Book Antiqua" w:hAnsi="Book Antiqua"/>
                <w:b/>
                <w:bCs/>
              </w:rPr>
            </w:pPr>
            <w:r w:rsidRPr="00E8345A">
              <w:rPr>
                <w:rFonts w:ascii="Book Antiqua" w:hAnsi="Book Antiqua"/>
                <w:b/>
                <w:bCs/>
              </w:rPr>
              <w:t>Cut-off, dB/m (</w:t>
            </w:r>
            <w:proofErr w:type="spellStart"/>
            <w:r w:rsidRPr="00E8345A">
              <w:rPr>
                <w:rFonts w:ascii="Book Antiqua" w:hAnsi="Book Antiqua"/>
                <w:b/>
                <w:bCs/>
              </w:rPr>
              <w:t>kPa</w:t>
            </w:r>
            <w:proofErr w:type="spellEnd"/>
            <w:r w:rsidRPr="00E8345A">
              <w:rPr>
                <w:rFonts w:ascii="Book Antiqua" w:hAnsi="Book Antiqua"/>
                <w:b/>
                <w:bCs/>
              </w:rPr>
              <w:t>)</w:t>
            </w:r>
          </w:p>
        </w:tc>
        <w:tc>
          <w:tcPr>
            <w:tcW w:w="851" w:type="dxa"/>
            <w:tcBorders>
              <w:top w:val="single" w:sz="12" w:space="0" w:color="auto"/>
              <w:bottom w:val="single" w:sz="12" w:space="0" w:color="auto"/>
            </w:tcBorders>
            <w:tcMar>
              <w:top w:w="28" w:type="dxa"/>
              <w:left w:w="28" w:type="dxa"/>
              <w:bottom w:w="28" w:type="dxa"/>
              <w:right w:w="28" w:type="dxa"/>
            </w:tcMar>
          </w:tcPr>
          <w:p w14:paraId="359B8CB8" w14:textId="77777777" w:rsidR="00141C8E" w:rsidRPr="00E8345A" w:rsidRDefault="00141C8E" w:rsidP="001D573C">
            <w:pPr>
              <w:spacing w:line="360" w:lineRule="auto"/>
              <w:rPr>
                <w:rFonts w:ascii="Book Antiqua" w:hAnsi="Book Antiqua"/>
                <w:b/>
                <w:bCs/>
              </w:rPr>
            </w:pPr>
            <w:r w:rsidRPr="00E8345A">
              <w:rPr>
                <w:rFonts w:ascii="Book Antiqua" w:hAnsi="Book Antiqua"/>
                <w:b/>
                <w:bCs/>
              </w:rPr>
              <w:t>Sensitivity</w:t>
            </w:r>
          </w:p>
        </w:tc>
        <w:tc>
          <w:tcPr>
            <w:tcW w:w="1275" w:type="dxa"/>
            <w:tcBorders>
              <w:top w:val="single" w:sz="12" w:space="0" w:color="auto"/>
              <w:bottom w:val="single" w:sz="12" w:space="0" w:color="auto"/>
            </w:tcBorders>
            <w:tcMar>
              <w:top w:w="28" w:type="dxa"/>
              <w:left w:w="28" w:type="dxa"/>
              <w:bottom w:w="28" w:type="dxa"/>
              <w:right w:w="28" w:type="dxa"/>
            </w:tcMar>
          </w:tcPr>
          <w:p w14:paraId="2B723308" w14:textId="77777777" w:rsidR="00141C8E" w:rsidRPr="00E8345A" w:rsidRDefault="00141C8E" w:rsidP="001D573C">
            <w:pPr>
              <w:spacing w:line="360" w:lineRule="auto"/>
              <w:rPr>
                <w:rFonts w:ascii="Book Antiqua" w:hAnsi="Book Antiqua"/>
                <w:b/>
                <w:bCs/>
              </w:rPr>
            </w:pPr>
            <w:r w:rsidRPr="00E8345A">
              <w:rPr>
                <w:rFonts w:ascii="Book Antiqua" w:hAnsi="Book Antiqua"/>
                <w:b/>
                <w:bCs/>
              </w:rPr>
              <w:t>Specificity</w:t>
            </w:r>
          </w:p>
        </w:tc>
        <w:tc>
          <w:tcPr>
            <w:tcW w:w="851" w:type="dxa"/>
            <w:tcBorders>
              <w:top w:val="single" w:sz="12" w:space="0" w:color="auto"/>
              <w:bottom w:val="single" w:sz="12" w:space="0" w:color="auto"/>
            </w:tcBorders>
            <w:tcMar>
              <w:top w:w="28" w:type="dxa"/>
              <w:left w:w="28" w:type="dxa"/>
              <w:bottom w:w="28" w:type="dxa"/>
              <w:right w:w="28" w:type="dxa"/>
            </w:tcMar>
          </w:tcPr>
          <w:p w14:paraId="571C789F" w14:textId="77777777" w:rsidR="00141C8E" w:rsidRPr="00E8345A" w:rsidRDefault="00141C8E" w:rsidP="001D573C">
            <w:pPr>
              <w:spacing w:line="360" w:lineRule="auto"/>
              <w:rPr>
                <w:rFonts w:ascii="Book Antiqua" w:hAnsi="Book Antiqua"/>
                <w:b/>
                <w:bCs/>
              </w:rPr>
            </w:pPr>
            <w:r w:rsidRPr="00E8345A">
              <w:rPr>
                <w:rFonts w:ascii="Book Antiqua" w:hAnsi="Book Antiqua"/>
                <w:b/>
                <w:bCs/>
              </w:rPr>
              <w:t>PPV</w:t>
            </w:r>
          </w:p>
        </w:tc>
        <w:tc>
          <w:tcPr>
            <w:tcW w:w="850" w:type="dxa"/>
            <w:tcBorders>
              <w:top w:val="single" w:sz="12" w:space="0" w:color="auto"/>
              <w:bottom w:val="single" w:sz="12" w:space="0" w:color="auto"/>
            </w:tcBorders>
            <w:tcMar>
              <w:top w:w="28" w:type="dxa"/>
              <w:left w:w="28" w:type="dxa"/>
              <w:bottom w:w="28" w:type="dxa"/>
              <w:right w:w="28" w:type="dxa"/>
            </w:tcMar>
          </w:tcPr>
          <w:p w14:paraId="7A4C46DF" w14:textId="77777777" w:rsidR="00141C8E" w:rsidRPr="00E8345A" w:rsidRDefault="00141C8E" w:rsidP="001D573C">
            <w:pPr>
              <w:spacing w:line="360" w:lineRule="auto"/>
              <w:rPr>
                <w:rFonts w:ascii="Book Antiqua" w:hAnsi="Book Antiqua"/>
                <w:b/>
                <w:bCs/>
              </w:rPr>
            </w:pPr>
            <w:r w:rsidRPr="00E8345A">
              <w:rPr>
                <w:rFonts w:ascii="Book Antiqua" w:hAnsi="Book Antiqua"/>
                <w:b/>
                <w:bCs/>
              </w:rPr>
              <w:t>NPV</w:t>
            </w:r>
          </w:p>
        </w:tc>
      </w:tr>
      <w:tr w:rsidR="00141C8E" w:rsidRPr="00E8345A" w14:paraId="0B9E02F4" w14:textId="77777777" w:rsidTr="001D573C">
        <w:trPr>
          <w:trHeight w:hRule="exact" w:val="454"/>
        </w:trPr>
        <w:tc>
          <w:tcPr>
            <w:tcW w:w="1106" w:type="dxa"/>
            <w:vMerge w:val="restart"/>
            <w:tcBorders>
              <w:top w:val="single" w:sz="12" w:space="0" w:color="auto"/>
            </w:tcBorders>
            <w:shd w:val="clear" w:color="auto" w:fill="auto"/>
            <w:vAlign w:val="center"/>
          </w:tcPr>
          <w:p w14:paraId="6DACED00" w14:textId="77777777" w:rsidR="00141C8E" w:rsidRPr="00E8345A" w:rsidRDefault="00141C8E" w:rsidP="001D573C">
            <w:pPr>
              <w:spacing w:line="360" w:lineRule="auto"/>
              <w:rPr>
                <w:rFonts w:ascii="Book Antiqua" w:hAnsi="Book Antiqua"/>
              </w:rPr>
            </w:pPr>
            <w:r w:rsidRPr="00E8345A">
              <w:rPr>
                <w:rFonts w:ascii="Book Antiqua" w:hAnsi="Book Antiqua"/>
              </w:rPr>
              <w:t>Mixed etiology</w:t>
            </w:r>
          </w:p>
        </w:tc>
        <w:tc>
          <w:tcPr>
            <w:tcW w:w="993" w:type="dxa"/>
            <w:tcBorders>
              <w:top w:val="single" w:sz="12" w:space="0" w:color="auto"/>
            </w:tcBorders>
            <w:shd w:val="clear" w:color="auto" w:fill="auto"/>
            <w:tcMar>
              <w:top w:w="28" w:type="dxa"/>
              <w:left w:w="28" w:type="dxa"/>
              <w:bottom w:w="28" w:type="dxa"/>
              <w:right w:w="28" w:type="dxa"/>
            </w:tcMar>
          </w:tcPr>
          <w:p w14:paraId="1E0D1AEE" w14:textId="77777777" w:rsidR="00141C8E" w:rsidRPr="00E8345A" w:rsidRDefault="00141C8E" w:rsidP="001D573C">
            <w:pPr>
              <w:spacing w:line="360" w:lineRule="auto"/>
              <w:rPr>
                <w:rFonts w:ascii="Book Antiqua" w:hAnsi="Book Antiqua"/>
              </w:rPr>
            </w:pPr>
            <w:r w:rsidRPr="00E8345A">
              <w:rPr>
                <w:rFonts w:ascii="Book Antiqua" w:hAnsi="Book Antiqua"/>
              </w:rPr>
              <w:t>S ≥ 1</w:t>
            </w:r>
          </w:p>
        </w:tc>
        <w:tc>
          <w:tcPr>
            <w:tcW w:w="2268" w:type="dxa"/>
            <w:tcBorders>
              <w:top w:val="single" w:sz="12" w:space="0" w:color="auto"/>
            </w:tcBorders>
            <w:shd w:val="clear" w:color="auto" w:fill="auto"/>
            <w:tcMar>
              <w:top w:w="28" w:type="dxa"/>
              <w:left w:w="28" w:type="dxa"/>
              <w:bottom w:w="28" w:type="dxa"/>
              <w:right w:w="28" w:type="dxa"/>
            </w:tcMar>
          </w:tcPr>
          <w:p w14:paraId="77CECEBC" w14:textId="77777777" w:rsidR="00141C8E" w:rsidRPr="00E8345A" w:rsidRDefault="00141C8E" w:rsidP="001D573C">
            <w:pPr>
              <w:spacing w:line="360" w:lineRule="auto"/>
              <w:rPr>
                <w:rFonts w:ascii="Book Antiqua" w:hAnsi="Book Antiqua"/>
              </w:rPr>
            </w:pPr>
            <w:r w:rsidRPr="00E8345A">
              <w:rPr>
                <w:rFonts w:ascii="Book Antiqua" w:hAnsi="Book Antiqua"/>
              </w:rPr>
              <w:t>0.883 (0.807-0.958)</w:t>
            </w:r>
          </w:p>
        </w:tc>
        <w:tc>
          <w:tcPr>
            <w:tcW w:w="1417" w:type="dxa"/>
            <w:tcBorders>
              <w:top w:val="single" w:sz="12" w:space="0" w:color="auto"/>
            </w:tcBorders>
            <w:shd w:val="clear" w:color="auto" w:fill="auto"/>
            <w:tcMar>
              <w:top w:w="28" w:type="dxa"/>
              <w:left w:w="28" w:type="dxa"/>
              <w:bottom w:w="28" w:type="dxa"/>
              <w:right w:w="28" w:type="dxa"/>
            </w:tcMar>
          </w:tcPr>
          <w:p w14:paraId="53DDFDED" w14:textId="77777777" w:rsidR="00141C8E" w:rsidRPr="00E8345A" w:rsidRDefault="00141C8E" w:rsidP="001D573C">
            <w:pPr>
              <w:spacing w:line="360" w:lineRule="auto"/>
              <w:rPr>
                <w:rFonts w:ascii="Book Antiqua" w:hAnsi="Book Antiqua"/>
              </w:rPr>
            </w:pPr>
            <w:r w:rsidRPr="00E8345A">
              <w:rPr>
                <w:rFonts w:ascii="Book Antiqua" w:hAnsi="Book Antiqua"/>
              </w:rPr>
              <w:t>229</w:t>
            </w:r>
          </w:p>
        </w:tc>
        <w:tc>
          <w:tcPr>
            <w:tcW w:w="851" w:type="dxa"/>
            <w:tcBorders>
              <w:top w:val="single" w:sz="12" w:space="0" w:color="auto"/>
            </w:tcBorders>
            <w:shd w:val="clear" w:color="auto" w:fill="auto"/>
            <w:tcMar>
              <w:top w:w="28" w:type="dxa"/>
              <w:left w:w="28" w:type="dxa"/>
              <w:bottom w:w="28" w:type="dxa"/>
              <w:right w:w="28" w:type="dxa"/>
            </w:tcMar>
          </w:tcPr>
          <w:p w14:paraId="06636237" w14:textId="77777777" w:rsidR="00141C8E" w:rsidRPr="00E8345A" w:rsidRDefault="00141C8E" w:rsidP="001D573C">
            <w:pPr>
              <w:spacing w:line="360" w:lineRule="auto"/>
              <w:rPr>
                <w:rFonts w:ascii="Book Antiqua" w:hAnsi="Book Antiqua"/>
              </w:rPr>
            </w:pPr>
            <w:r w:rsidRPr="00E8345A">
              <w:rPr>
                <w:rFonts w:ascii="Book Antiqua" w:hAnsi="Book Antiqua"/>
              </w:rPr>
              <w:t>0.852</w:t>
            </w:r>
          </w:p>
        </w:tc>
        <w:tc>
          <w:tcPr>
            <w:tcW w:w="1275" w:type="dxa"/>
            <w:tcBorders>
              <w:top w:val="single" w:sz="12" w:space="0" w:color="auto"/>
            </w:tcBorders>
            <w:shd w:val="clear" w:color="auto" w:fill="auto"/>
            <w:tcMar>
              <w:top w:w="28" w:type="dxa"/>
              <w:left w:w="28" w:type="dxa"/>
              <w:bottom w:w="28" w:type="dxa"/>
              <w:right w:w="28" w:type="dxa"/>
            </w:tcMar>
          </w:tcPr>
          <w:p w14:paraId="2DBB87C9" w14:textId="77777777" w:rsidR="00141C8E" w:rsidRPr="00E8345A" w:rsidRDefault="00141C8E" w:rsidP="001D573C">
            <w:pPr>
              <w:spacing w:line="360" w:lineRule="auto"/>
              <w:rPr>
                <w:rFonts w:ascii="Book Antiqua" w:hAnsi="Book Antiqua"/>
              </w:rPr>
            </w:pPr>
            <w:r w:rsidRPr="00E8345A">
              <w:rPr>
                <w:rFonts w:ascii="Book Antiqua" w:hAnsi="Book Antiqua"/>
              </w:rPr>
              <w:t>0.714</w:t>
            </w:r>
          </w:p>
        </w:tc>
        <w:tc>
          <w:tcPr>
            <w:tcW w:w="851" w:type="dxa"/>
            <w:tcBorders>
              <w:top w:val="single" w:sz="12" w:space="0" w:color="auto"/>
            </w:tcBorders>
            <w:shd w:val="clear" w:color="auto" w:fill="auto"/>
            <w:tcMar>
              <w:top w:w="28" w:type="dxa"/>
              <w:left w:w="28" w:type="dxa"/>
              <w:bottom w:w="28" w:type="dxa"/>
              <w:right w:w="28" w:type="dxa"/>
            </w:tcMar>
          </w:tcPr>
          <w:p w14:paraId="0E54FF84" w14:textId="77777777" w:rsidR="00141C8E" w:rsidRPr="00E8345A" w:rsidRDefault="00141C8E" w:rsidP="001D573C">
            <w:pPr>
              <w:spacing w:line="360" w:lineRule="auto"/>
              <w:rPr>
                <w:rFonts w:ascii="Book Antiqua" w:hAnsi="Book Antiqua"/>
              </w:rPr>
            </w:pPr>
            <w:r w:rsidRPr="00E8345A">
              <w:rPr>
                <w:rFonts w:ascii="Book Antiqua" w:hAnsi="Book Antiqua"/>
              </w:rPr>
              <w:t>0.960</w:t>
            </w:r>
          </w:p>
        </w:tc>
        <w:tc>
          <w:tcPr>
            <w:tcW w:w="850" w:type="dxa"/>
            <w:tcBorders>
              <w:top w:val="single" w:sz="12" w:space="0" w:color="auto"/>
            </w:tcBorders>
            <w:shd w:val="clear" w:color="auto" w:fill="auto"/>
            <w:tcMar>
              <w:top w:w="28" w:type="dxa"/>
              <w:left w:w="28" w:type="dxa"/>
              <w:bottom w:w="28" w:type="dxa"/>
              <w:right w:w="28" w:type="dxa"/>
            </w:tcMar>
          </w:tcPr>
          <w:p w14:paraId="6DDB2818" w14:textId="77777777" w:rsidR="00141C8E" w:rsidRPr="00E8345A" w:rsidRDefault="00141C8E" w:rsidP="001D573C">
            <w:pPr>
              <w:spacing w:line="360" w:lineRule="auto"/>
              <w:rPr>
                <w:rFonts w:ascii="Book Antiqua" w:hAnsi="Book Antiqua"/>
              </w:rPr>
            </w:pPr>
            <w:r w:rsidRPr="00E8345A">
              <w:rPr>
                <w:rFonts w:ascii="Book Antiqua" w:hAnsi="Book Antiqua"/>
              </w:rPr>
              <w:t>0.375</w:t>
            </w:r>
          </w:p>
        </w:tc>
      </w:tr>
      <w:tr w:rsidR="00141C8E" w:rsidRPr="00E8345A" w14:paraId="5281A332" w14:textId="77777777" w:rsidTr="001D573C">
        <w:trPr>
          <w:trHeight w:hRule="exact" w:val="454"/>
        </w:trPr>
        <w:tc>
          <w:tcPr>
            <w:tcW w:w="1106" w:type="dxa"/>
            <w:vMerge/>
            <w:shd w:val="clear" w:color="auto" w:fill="auto"/>
          </w:tcPr>
          <w:p w14:paraId="47E40336" w14:textId="77777777" w:rsidR="00141C8E" w:rsidRPr="00E8345A" w:rsidRDefault="00141C8E" w:rsidP="001D573C">
            <w:pPr>
              <w:spacing w:line="360" w:lineRule="auto"/>
              <w:rPr>
                <w:rFonts w:ascii="Book Antiqua" w:hAnsi="Book Antiqua"/>
              </w:rPr>
            </w:pPr>
          </w:p>
        </w:tc>
        <w:tc>
          <w:tcPr>
            <w:tcW w:w="993" w:type="dxa"/>
            <w:shd w:val="clear" w:color="auto" w:fill="auto"/>
            <w:tcMar>
              <w:top w:w="28" w:type="dxa"/>
              <w:left w:w="28" w:type="dxa"/>
              <w:bottom w:w="28" w:type="dxa"/>
              <w:right w:w="28" w:type="dxa"/>
            </w:tcMar>
          </w:tcPr>
          <w:p w14:paraId="115C0DC7" w14:textId="77777777" w:rsidR="00141C8E" w:rsidRPr="00E8345A" w:rsidRDefault="00141C8E" w:rsidP="001D573C">
            <w:pPr>
              <w:spacing w:line="360" w:lineRule="auto"/>
              <w:rPr>
                <w:rFonts w:ascii="Book Antiqua" w:hAnsi="Book Antiqua"/>
              </w:rPr>
            </w:pPr>
            <w:r w:rsidRPr="00E8345A">
              <w:rPr>
                <w:rFonts w:ascii="Book Antiqua" w:hAnsi="Book Antiqua"/>
              </w:rPr>
              <w:t>S ≥ 2</w:t>
            </w:r>
          </w:p>
        </w:tc>
        <w:tc>
          <w:tcPr>
            <w:tcW w:w="2268" w:type="dxa"/>
            <w:shd w:val="clear" w:color="auto" w:fill="auto"/>
            <w:tcMar>
              <w:top w:w="28" w:type="dxa"/>
              <w:left w:w="28" w:type="dxa"/>
              <w:bottom w:w="28" w:type="dxa"/>
              <w:right w:w="28" w:type="dxa"/>
            </w:tcMar>
          </w:tcPr>
          <w:p w14:paraId="138958FF" w14:textId="77777777" w:rsidR="00141C8E" w:rsidRPr="00E8345A" w:rsidRDefault="00141C8E" w:rsidP="001D573C">
            <w:pPr>
              <w:spacing w:line="360" w:lineRule="auto"/>
              <w:rPr>
                <w:rFonts w:ascii="Book Antiqua" w:hAnsi="Book Antiqua"/>
              </w:rPr>
            </w:pPr>
            <w:r w:rsidRPr="00E8345A">
              <w:rPr>
                <w:rFonts w:ascii="Book Antiqua" w:hAnsi="Book Antiqua"/>
              </w:rPr>
              <w:t>0.772 (0.705-0.838)</w:t>
            </w:r>
          </w:p>
        </w:tc>
        <w:tc>
          <w:tcPr>
            <w:tcW w:w="1417" w:type="dxa"/>
            <w:shd w:val="clear" w:color="auto" w:fill="auto"/>
            <w:tcMar>
              <w:top w:w="28" w:type="dxa"/>
              <w:left w:w="28" w:type="dxa"/>
              <w:bottom w:w="28" w:type="dxa"/>
              <w:right w:w="28" w:type="dxa"/>
            </w:tcMar>
          </w:tcPr>
          <w:p w14:paraId="1727EFFA" w14:textId="77777777" w:rsidR="00141C8E" w:rsidRPr="00E8345A" w:rsidRDefault="00141C8E" w:rsidP="001D573C">
            <w:pPr>
              <w:spacing w:line="360" w:lineRule="auto"/>
              <w:rPr>
                <w:rFonts w:ascii="Book Antiqua" w:hAnsi="Book Antiqua"/>
              </w:rPr>
            </w:pPr>
            <w:r w:rsidRPr="00E8345A">
              <w:rPr>
                <w:rFonts w:ascii="Book Antiqua" w:hAnsi="Book Antiqua"/>
              </w:rPr>
              <w:t>259</w:t>
            </w:r>
          </w:p>
        </w:tc>
        <w:tc>
          <w:tcPr>
            <w:tcW w:w="851" w:type="dxa"/>
            <w:shd w:val="clear" w:color="auto" w:fill="auto"/>
            <w:tcMar>
              <w:top w:w="28" w:type="dxa"/>
              <w:left w:w="28" w:type="dxa"/>
              <w:bottom w:w="28" w:type="dxa"/>
              <w:right w:w="28" w:type="dxa"/>
            </w:tcMar>
          </w:tcPr>
          <w:p w14:paraId="722E0C47" w14:textId="77777777" w:rsidR="00141C8E" w:rsidRPr="00E8345A" w:rsidRDefault="00141C8E" w:rsidP="001D573C">
            <w:pPr>
              <w:spacing w:line="360" w:lineRule="auto"/>
              <w:rPr>
                <w:rFonts w:ascii="Book Antiqua" w:hAnsi="Book Antiqua"/>
              </w:rPr>
            </w:pPr>
            <w:r w:rsidRPr="00E8345A">
              <w:rPr>
                <w:rFonts w:ascii="Book Antiqua" w:hAnsi="Book Antiqua"/>
              </w:rPr>
              <w:t>0.875</w:t>
            </w:r>
          </w:p>
        </w:tc>
        <w:tc>
          <w:tcPr>
            <w:tcW w:w="1275" w:type="dxa"/>
            <w:shd w:val="clear" w:color="auto" w:fill="auto"/>
            <w:tcMar>
              <w:top w:w="28" w:type="dxa"/>
              <w:left w:w="28" w:type="dxa"/>
              <w:bottom w:w="28" w:type="dxa"/>
              <w:right w:w="28" w:type="dxa"/>
            </w:tcMar>
          </w:tcPr>
          <w:p w14:paraId="6B9A046A" w14:textId="77777777" w:rsidR="00141C8E" w:rsidRPr="00E8345A" w:rsidRDefault="00141C8E" w:rsidP="001D573C">
            <w:pPr>
              <w:spacing w:line="360" w:lineRule="auto"/>
              <w:rPr>
                <w:rFonts w:ascii="Book Antiqua" w:hAnsi="Book Antiqua"/>
              </w:rPr>
            </w:pPr>
            <w:r w:rsidRPr="00E8345A">
              <w:rPr>
                <w:rFonts w:ascii="Book Antiqua" w:hAnsi="Book Antiqua"/>
              </w:rPr>
              <w:t>0.636</w:t>
            </w:r>
          </w:p>
        </w:tc>
        <w:tc>
          <w:tcPr>
            <w:tcW w:w="851" w:type="dxa"/>
            <w:shd w:val="clear" w:color="auto" w:fill="auto"/>
            <w:tcMar>
              <w:top w:w="28" w:type="dxa"/>
              <w:left w:w="28" w:type="dxa"/>
              <w:bottom w:w="28" w:type="dxa"/>
              <w:right w:w="28" w:type="dxa"/>
            </w:tcMar>
          </w:tcPr>
          <w:p w14:paraId="0EA843D5" w14:textId="77777777" w:rsidR="00141C8E" w:rsidRPr="00E8345A" w:rsidRDefault="00141C8E" w:rsidP="001D573C">
            <w:pPr>
              <w:spacing w:line="360" w:lineRule="auto"/>
              <w:rPr>
                <w:rFonts w:ascii="Book Antiqua" w:hAnsi="Book Antiqua"/>
              </w:rPr>
            </w:pPr>
            <w:r w:rsidRPr="00E8345A">
              <w:rPr>
                <w:rFonts w:ascii="Book Antiqua" w:hAnsi="Book Antiqua"/>
              </w:rPr>
              <w:t>0.636</w:t>
            </w:r>
          </w:p>
        </w:tc>
        <w:tc>
          <w:tcPr>
            <w:tcW w:w="850" w:type="dxa"/>
            <w:shd w:val="clear" w:color="auto" w:fill="auto"/>
            <w:tcMar>
              <w:top w:w="28" w:type="dxa"/>
              <w:left w:w="28" w:type="dxa"/>
              <w:bottom w:w="28" w:type="dxa"/>
              <w:right w:w="28" w:type="dxa"/>
            </w:tcMar>
          </w:tcPr>
          <w:p w14:paraId="683EF674" w14:textId="77777777" w:rsidR="00141C8E" w:rsidRPr="00E8345A" w:rsidRDefault="00141C8E" w:rsidP="001D573C">
            <w:pPr>
              <w:spacing w:line="360" w:lineRule="auto"/>
              <w:rPr>
                <w:rFonts w:ascii="Book Antiqua" w:hAnsi="Book Antiqua"/>
              </w:rPr>
            </w:pPr>
            <w:r w:rsidRPr="00E8345A">
              <w:rPr>
                <w:rFonts w:ascii="Book Antiqua" w:hAnsi="Book Antiqua"/>
              </w:rPr>
              <w:t>0.875</w:t>
            </w:r>
          </w:p>
        </w:tc>
      </w:tr>
      <w:tr w:rsidR="00141C8E" w:rsidRPr="00E8345A" w14:paraId="2FB97973" w14:textId="77777777" w:rsidTr="001D573C">
        <w:trPr>
          <w:trHeight w:hRule="exact" w:val="454"/>
        </w:trPr>
        <w:tc>
          <w:tcPr>
            <w:tcW w:w="1106" w:type="dxa"/>
            <w:vMerge/>
            <w:shd w:val="clear" w:color="auto" w:fill="auto"/>
          </w:tcPr>
          <w:p w14:paraId="525E93F3" w14:textId="77777777" w:rsidR="00141C8E" w:rsidRPr="00E8345A" w:rsidRDefault="00141C8E" w:rsidP="001D573C">
            <w:pPr>
              <w:spacing w:line="360" w:lineRule="auto"/>
              <w:rPr>
                <w:rFonts w:ascii="Book Antiqua" w:hAnsi="Book Antiqua"/>
              </w:rPr>
            </w:pPr>
          </w:p>
        </w:tc>
        <w:tc>
          <w:tcPr>
            <w:tcW w:w="993" w:type="dxa"/>
            <w:shd w:val="clear" w:color="auto" w:fill="auto"/>
            <w:tcMar>
              <w:top w:w="28" w:type="dxa"/>
              <w:left w:w="28" w:type="dxa"/>
              <w:bottom w:w="28" w:type="dxa"/>
              <w:right w:w="28" w:type="dxa"/>
            </w:tcMar>
          </w:tcPr>
          <w:p w14:paraId="115EA281" w14:textId="77777777" w:rsidR="00141C8E" w:rsidRPr="00E8345A" w:rsidRDefault="00141C8E" w:rsidP="001D573C">
            <w:pPr>
              <w:spacing w:line="360" w:lineRule="auto"/>
              <w:rPr>
                <w:rFonts w:ascii="Book Antiqua" w:hAnsi="Book Antiqua"/>
              </w:rPr>
            </w:pPr>
            <w:r w:rsidRPr="00E8345A">
              <w:rPr>
                <w:rFonts w:ascii="Book Antiqua" w:hAnsi="Book Antiqua"/>
              </w:rPr>
              <w:t>S = 3</w:t>
            </w:r>
          </w:p>
        </w:tc>
        <w:tc>
          <w:tcPr>
            <w:tcW w:w="2268" w:type="dxa"/>
            <w:shd w:val="clear" w:color="auto" w:fill="auto"/>
            <w:tcMar>
              <w:top w:w="28" w:type="dxa"/>
              <w:left w:w="28" w:type="dxa"/>
              <w:bottom w:w="28" w:type="dxa"/>
              <w:right w:w="28" w:type="dxa"/>
            </w:tcMar>
          </w:tcPr>
          <w:p w14:paraId="768CDE71" w14:textId="77777777" w:rsidR="00141C8E" w:rsidRPr="00E8345A" w:rsidRDefault="00141C8E" w:rsidP="001D573C">
            <w:pPr>
              <w:spacing w:line="360" w:lineRule="auto"/>
              <w:rPr>
                <w:rFonts w:ascii="Book Antiqua" w:hAnsi="Book Antiqua"/>
              </w:rPr>
            </w:pPr>
            <w:r w:rsidRPr="00E8345A">
              <w:rPr>
                <w:rFonts w:ascii="Book Antiqua" w:hAnsi="Book Antiqua"/>
              </w:rPr>
              <w:t>0.732 (0.640-0.824)</w:t>
            </w:r>
          </w:p>
        </w:tc>
        <w:tc>
          <w:tcPr>
            <w:tcW w:w="1417" w:type="dxa"/>
            <w:shd w:val="clear" w:color="auto" w:fill="auto"/>
            <w:tcMar>
              <w:top w:w="28" w:type="dxa"/>
              <w:left w:w="28" w:type="dxa"/>
              <w:bottom w:w="28" w:type="dxa"/>
              <w:right w:w="28" w:type="dxa"/>
            </w:tcMar>
          </w:tcPr>
          <w:p w14:paraId="153E7C01" w14:textId="77777777" w:rsidR="00141C8E" w:rsidRPr="00E8345A" w:rsidRDefault="00141C8E" w:rsidP="001D573C">
            <w:pPr>
              <w:spacing w:line="360" w:lineRule="auto"/>
              <w:rPr>
                <w:rFonts w:ascii="Book Antiqua" w:hAnsi="Book Antiqua"/>
              </w:rPr>
            </w:pPr>
            <w:r w:rsidRPr="00E8345A">
              <w:rPr>
                <w:rFonts w:ascii="Book Antiqua" w:hAnsi="Book Antiqua"/>
              </w:rPr>
              <w:t>283.5</w:t>
            </w:r>
          </w:p>
        </w:tc>
        <w:tc>
          <w:tcPr>
            <w:tcW w:w="851" w:type="dxa"/>
            <w:shd w:val="clear" w:color="auto" w:fill="auto"/>
            <w:tcMar>
              <w:top w:w="28" w:type="dxa"/>
              <w:left w:w="28" w:type="dxa"/>
              <w:bottom w:w="28" w:type="dxa"/>
              <w:right w:w="28" w:type="dxa"/>
            </w:tcMar>
          </w:tcPr>
          <w:p w14:paraId="1927FC05" w14:textId="77777777" w:rsidR="00141C8E" w:rsidRPr="00E8345A" w:rsidRDefault="00141C8E" w:rsidP="001D573C">
            <w:pPr>
              <w:spacing w:line="360" w:lineRule="auto"/>
              <w:rPr>
                <w:rFonts w:ascii="Book Antiqua" w:hAnsi="Book Antiqua"/>
              </w:rPr>
            </w:pPr>
            <w:r w:rsidRPr="00E8345A">
              <w:rPr>
                <w:rFonts w:ascii="Book Antiqua" w:hAnsi="Book Antiqua"/>
              </w:rPr>
              <w:t>0.750</w:t>
            </w:r>
          </w:p>
        </w:tc>
        <w:tc>
          <w:tcPr>
            <w:tcW w:w="1275" w:type="dxa"/>
            <w:shd w:val="clear" w:color="auto" w:fill="auto"/>
            <w:tcMar>
              <w:top w:w="28" w:type="dxa"/>
              <w:left w:w="28" w:type="dxa"/>
              <w:bottom w:w="28" w:type="dxa"/>
              <w:right w:w="28" w:type="dxa"/>
            </w:tcMar>
          </w:tcPr>
          <w:p w14:paraId="2DFC1480" w14:textId="77777777" w:rsidR="00141C8E" w:rsidRPr="00E8345A" w:rsidRDefault="00141C8E" w:rsidP="001D573C">
            <w:pPr>
              <w:spacing w:line="360" w:lineRule="auto"/>
              <w:rPr>
                <w:rFonts w:ascii="Book Antiqua" w:hAnsi="Book Antiqua"/>
              </w:rPr>
            </w:pPr>
            <w:r w:rsidRPr="00E8345A">
              <w:rPr>
                <w:rFonts w:ascii="Book Antiqua" w:hAnsi="Book Antiqua"/>
              </w:rPr>
              <w:t>0.654</w:t>
            </w:r>
          </w:p>
        </w:tc>
        <w:tc>
          <w:tcPr>
            <w:tcW w:w="851" w:type="dxa"/>
            <w:shd w:val="clear" w:color="auto" w:fill="auto"/>
            <w:tcMar>
              <w:top w:w="28" w:type="dxa"/>
              <w:left w:w="28" w:type="dxa"/>
              <w:bottom w:w="28" w:type="dxa"/>
              <w:right w:w="28" w:type="dxa"/>
            </w:tcMar>
          </w:tcPr>
          <w:p w14:paraId="3AAB2D52" w14:textId="77777777" w:rsidR="00141C8E" w:rsidRPr="00E8345A" w:rsidRDefault="00141C8E" w:rsidP="001D573C">
            <w:pPr>
              <w:spacing w:line="360" w:lineRule="auto"/>
              <w:rPr>
                <w:rFonts w:ascii="Book Antiqua" w:hAnsi="Book Antiqua"/>
              </w:rPr>
            </w:pPr>
            <w:r w:rsidRPr="00E8345A">
              <w:rPr>
                <w:rFonts w:ascii="Book Antiqua" w:hAnsi="Book Antiqua"/>
              </w:rPr>
              <w:t>0.273</w:t>
            </w:r>
          </w:p>
        </w:tc>
        <w:tc>
          <w:tcPr>
            <w:tcW w:w="850" w:type="dxa"/>
            <w:shd w:val="clear" w:color="auto" w:fill="auto"/>
            <w:tcMar>
              <w:top w:w="28" w:type="dxa"/>
              <w:left w:w="28" w:type="dxa"/>
              <w:bottom w:w="28" w:type="dxa"/>
              <w:right w:w="28" w:type="dxa"/>
            </w:tcMar>
          </w:tcPr>
          <w:p w14:paraId="53F66CD1" w14:textId="77777777" w:rsidR="00141C8E" w:rsidRPr="00E8345A" w:rsidRDefault="00141C8E" w:rsidP="001D573C">
            <w:pPr>
              <w:spacing w:line="360" w:lineRule="auto"/>
              <w:rPr>
                <w:rFonts w:ascii="Book Antiqua" w:hAnsi="Book Antiqua"/>
              </w:rPr>
            </w:pPr>
            <w:r w:rsidRPr="00E8345A">
              <w:rPr>
                <w:rFonts w:ascii="Book Antiqua" w:hAnsi="Book Antiqua"/>
              </w:rPr>
              <w:t>0.938</w:t>
            </w:r>
          </w:p>
        </w:tc>
      </w:tr>
      <w:tr w:rsidR="00141C8E" w:rsidRPr="00E8345A" w14:paraId="07639FBC" w14:textId="77777777" w:rsidTr="001D573C">
        <w:trPr>
          <w:trHeight w:hRule="exact" w:val="454"/>
        </w:trPr>
        <w:tc>
          <w:tcPr>
            <w:tcW w:w="1106" w:type="dxa"/>
            <w:vMerge w:val="restart"/>
            <w:shd w:val="clear" w:color="auto" w:fill="auto"/>
            <w:vAlign w:val="center"/>
          </w:tcPr>
          <w:p w14:paraId="7974FD5A" w14:textId="77777777" w:rsidR="00141C8E" w:rsidRPr="00E8345A" w:rsidRDefault="00141C8E" w:rsidP="001D573C">
            <w:pPr>
              <w:spacing w:line="360" w:lineRule="auto"/>
              <w:rPr>
                <w:rFonts w:ascii="Book Antiqua" w:hAnsi="Book Antiqua"/>
              </w:rPr>
            </w:pPr>
            <w:r w:rsidRPr="00E8345A">
              <w:rPr>
                <w:rFonts w:ascii="Book Antiqua" w:hAnsi="Book Antiqua"/>
              </w:rPr>
              <w:t>AILDs</w:t>
            </w:r>
          </w:p>
        </w:tc>
        <w:tc>
          <w:tcPr>
            <w:tcW w:w="993" w:type="dxa"/>
            <w:shd w:val="clear" w:color="auto" w:fill="auto"/>
            <w:tcMar>
              <w:top w:w="28" w:type="dxa"/>
              <w:left w:w="28" w:type="dxa"/>
              <w:bottom w:w="28" w:type="dxa"/>
              <w:right w:w="28" w:type="dxa"/>
            </w:tcMar>
          </w:tcPr>
          <w:p w14:paraId="182857F7" w14:textId="77777777" w:rsidR="00141C8E" w:rsidRPr="00E8345A" w:rsidRDefault="00141C8E" w:rsidP="001D573C">
            <w:pPr>
              <w:spacing w:line="360" w:lineRule="auto"/>
              <w:rPr>
                <w:rFonts w:ascii="Book Antiqua" w:hAnsi="Book Antiqua"/>
              </w:rPr>
            </w:pPr>
            <w:r w:rsidRPr="00E8345A">
              <w:rPr>
                <w:rFonts w:ascii="Book Antiqua" w:hAnsi="Book Antiqua"/>
              </w:rPr>
              <w:t>S ≥ 1</w:t>
            </w:r>
          </w:p>
        </w:tc>
        <w:tc>
          <w:tcPr>
            <w:tcW w:w="2268" w:type="dxa"/>
            <w:shd w:val="clear" w:color="auto" w:fill="auto"/>
            <w:tcMar>
              <w:top w:w="28" w:type="dxa"/>
              <w:left w:w="28" w:type="dxa"/>
              <w:bottom w:w="28" w:type="dxa"/>
              <w:right w:w="28" w:type="dxa"/>
            </w:tcMar>
          </w:tcPr>
          <w:p w14:paraId="5EC3525B" w14:textId="77777777" w:rsidR="00141C8E" w:rsidRPr="00E8345A" w:rsidRDefault="00141C8E" w:rsidP="001D573C">
            <w:pPr>
              <w:spacing w:line="360" w:lineRule="auto"/>
              <w:rPr>
                <w:rFonts w:ascii="Book Antiqua" w:hAnsi="Book Antiqua"/>
              </w:rPr>
            </w:pPr>
            <w:r w:rsidRPr="00E8345A">
              <w:rPr>
                <w:rFonts w:ascii="Book Antiqua" w:hAnsi="Book Antiqua"/>
              </w:rPr>
              <w:t>0.878 (0.791-0.965)</w:t>
            </w:r>
          </w:p>
        </w:tc>
        <w:tc>
          <w:tcPr>
            <w:tcW w:w="1417" w:type="dxa"/>
            <w:shd w:val="clear" w:color="auto" w:fill="auto"/>
            <w:tcMar>
              <w:top w:w="28" w:type="dxa"/>
              <w:left w:w="28" w:type="dxa"/>
              <w:bottom w:w="28" w:type="dxa"/>
              <w:right w:w="28" w:type="dxa"/>
            </w:tcMar>
          </w:tcPr>
          <w:p w14:paraId="063B4CAC" w14:textId="77777777" w:rsidR="00141C8E" w:rsidRPr="00E8345A" w:rsidRDefault="00141C8E" w:rsidP="001D573C">
            <w:pPr>
              <w:spacing w:line="360" w:lineRule="auto"/>
              <w:rPr>
                <w:rFonts w:ascii="Book Antiqua" w:hAnsi="Book Antiqua"/>
              </w:rPr>
            </w:pPr>
            <w:r w:rsidRPr="00E8345A">
              <w:rPr>
                <w:rFonts w:ascii="Book Antiqua" w:hAnsi="Book Antiqua"/>
              </w:rPr>
              <w:t>220.5</w:t>
            </w:r>
          </w:p>
        </w:tc>
        <w:tc>
          <w:tcPr>
            <w:tcW w:w="851" w:type="dxa"/>
            <w:shd w:val="clear" w:color="auto" w:fill="auto"/>
            <w:tcMar>
              <w:top w:w="28" w:type="dxa"/>
              <w:left w:w="28" w:type="dxa"/>
              <w:bottom w:w="28" w:type="dxa"/>
              <w:right w:w="28" w:type="dxa"/>
            </w:tcMar>
          </w:tcPr>
          <w:p w14:paraId="2BF90D45" w14:textId="77777777" w:rsidR="00141C8E" w:rsidRPr="00E8345A" w:rsidRDefault="00141C8E" w:rsidP="001D573C">
            <w:pPr>
              <w:spacing w:line="360" w:lineRule="auto"/>
              <w:rPr>
                <w:rFonts w:ascii="Book Antiqua" w:hAnsi="Book Antiqua"/>
              </w:rPr>
            </w:pPr>
            <w:r w:rsidRPr="00E8345A">
              <w:rPr>
                <w:rFonts w:ascii="Book Antiqua" w:hAnsi="Book Antiqua"/>
              </w:rPr>
              <w:t>0.874</w:t>
            </w:r>
          </w:p>
        </w:tc>
        <w:tc>
          <w:tcPr>
            <w:tcW w:w="1275" w:type="dxa"/>
            <w:shd w:val="clear" w:color="auto" w:fill="auto"/>
            <w:tcMar>
              <w:top w:w="28" w:type="dxa"/>
              <w:left w:w="28" w:type="dxa"/>
              <w:bottom w:w="28" w:type="dxa"/>
              <w:right w:w="28" w:type="dxa"/>
            </w:tcMar>
          </w:tcPr>
          <w:p w14:paraId="0C7EDF0B" w14:textId="77777777" w:rsidR="00141C8E" w:rsidRPr="00E8345A" w:rsidRDefault="00141C8E" w:rsidP="001D573C">
            <w:pPr>
              <w:spacing w:line="360" w:lineRule="auto"/>
              <w:rPr>
                <w:rFonts w:ascii="Book Antiqua" w:hAnsi="Book Antiqua"/>
              </w:rPr>
            </w:pPr>
            <w:r w:rsidRPr="00E8345A">
              <w:rPr>
                <w:rFonts w:ascii="Book Antiqua" w:hAnsi="Book Antiqua"/>
              </w:rPr>
              <w:t>0.737</w:t>
            </w:r>
          </w:p>
        </w:tc>
        <w:tc>
          <w:tcPr>
            <w:tcW w:w="851" w:type="dxa"/>
            <w:shd w:val="clear" w:color="auto" w:fill="auto"/>
            <w:tcMar>
              <w:top w:w="28" w:type="dxa"/>
              <w:left w:w="28" w:type="dxa"/>
              <w:bottom w:w="28" w:type="dxa"/>
              <w:right w:w="28" w:type="dxa"/>
            </w:tcMar>
          </w:tcPr>
          <w:p w14:paraId="7A3F6DB4" w14:textId="77777777" w:rsidR="00141C8E" w:rsidRPr="00E8345A" w:rsidRDefault="00141C8E" w:rsidP="001D573C">
            <w:pPr>
              <w:spacing w:line="360" w:lineRule="auto"/>
              <w:rPr>
                <w:rFonts w:ascii="Book Antiqua" w:hAnsi="Book Antiqua"/>
              </w:rPr>
            </w:pPr>
            <w:r w:rsidRPr="00E8345A">
              <w:rPr>
                <w:rFonts w:ascii="Book Antiqua" w:hAnsi="Book Antiqua"/>
              </w:rPr>
              <w:t>0.937</w:t>
            </w:r>
          </w:p>
        </w:tc>
        <w:tc>
          <w:tcPr>
            <w:tcW w:w="850" w:type="dxa"/>
            <w:shd w:val="clear" w:color="auto" w:fill="auto"/>
            <w:tcMar>
              <w:top w:w="28" w:type="dxa"/>
              <w:left w:w="28" w:type="dxa"/>
              <w:bottom w:w="28" w:type="dxa"/>
              <w:right w:w="28" w:type="dxa"/>
            </w:tcMar>
          </w:tcPr>
          <w:p w14:paraId="6E6081E2" w14:textId="77777777" w:rsidR="00141C8E" w:rsidRPr="00E8345A" w:rsidRDefault="00141C8E" w:rsidP="001D573C">
            <w:pPr>
              <w:spacing w:line="360" w:lineRule="auto"/>
              <w:rPr>
                <w:rFonts w:ascii="Book Antiqua" w:hAnsi="Book Antiqua"/>
              </w:rPr>
            </w:pPr>
            <w:r w:rsidRPr="00E8345A">
              <w:rPr>
                <w:rFonts w:ascii="Book Antiqua" w:hAnsi="Book Antiqua"/>
              </w:rPr>
              <w:t>0.538</w:t>
            </w:r>
          </w:p>
        </w:tc>
      </w:tr>
      <w:tr w:rsidR="00141C8E" w:rsidRPr="00E8345A" w14:paraId="75BA88FA" w14:textId="77777777" w:rsidTr="001D573C">
        <w:trPr>
          <w:trHeight w:hRule="exact" w:val="454"/>
        </w:trPr>
        <w:tc>
          <w:tcPr>
            <w:tcW w:w="1106" w:type="dxa"/>
            <w:vMerge/>
            <w:shd w:val="clear" w:color="auto" w:fill="auto"/>
          </w:tcPr>
          <w:p w14:paraId="13F3A0AD" w14:textId="77777777" w:rsidR="00141C8E" w:rsidRPr="00E8345A" w:rsidRDefault="00141C8E" w:rsidP="001D573C">
            <w:pPr>
              <w:spacing w:line="360" w:lineRule="auto"/>
              <w:rPr>
                <w:rFonts w:ascii="Book Antiqua" w:hAnsi="Book Antiqua"/>
              </w:rPr>
            </w:pPr>
          </w:p>
        </w:tc>
        <w:tc>
          <w:tcPr>
            <w:tcW w:w="993" w:type="dxa"/>
            <w:tcBorders>
              <w:bottom w:val="single" w:sz="12" w:space="0" w:color="FFFFFF" w:themeColor="background1"/>
            </w:tcBorders>
            <w:shd w:val="clear" w:color="auto" w:fill="auto"/>
            <w:tcMar>
              <w:top w:w="28" w:type="dxa"/>
              <w:left w:w="28" w:type="dxa"/>
              <w:bottom w:w="28" w:type="dxa"/>
              <w:right w:w="28" w:type="dxa"/>
            </w:tcMar>
          </w:tcPr>
          <w:p w14:paraId="0467DB3A" w14:textId="77777777" w:rsidR="00141C8E" w:rsidRPr="00E8345A" w:rsidRDefault="00141C8E" w:rsidP="001D573C">
            <w:pPr>
              <w:spacing w:line="360" w:lineRule="auto"/>
              <w:rPr>
                <w:rFonts w:ascii="Book Antiqua" w:hAnsi="Book Antiqua"/>
              </w:rPr>
            </w:pPr>
            <w:r w:rsidRPr="00E8345A">
              <w:rPr>
                <w:rFonts w:ascii="Book Antiqua" w:hAnsi="Book Antiqua"/>
              </w:rPr>
              <w:t>S ≥ 2</w:t>
            </w:r>
          </w:p>
        </w:tc>
        <w:tc>
          <w:tcPr>
            <w:tcW w:w="2268" w:type="dxa"/>
            <w:tcBorders>
              <w:bottom w:val="single" w:sz="12" w:space="0" w:color="FFFFFF" w:themeColor="background1"/>
            </w:tcBorders>
            <w:shd w:val="clear" w:color="auto" w:fill="auto"/>
            <w:tcMar>
              <w:top w:w="28" w:type="dxa"/>
              <w:left w:w="28" w:type="dxa"/>
              <w:bottom w:w="28" w:type="dxa"/>
              <w:right w:w="28" w:type="dxa"/>
            </w:tcMar>
          </w:tcPr>
          <w:p w14:paraId="1F51F366" w14:textId="77777777" w:rsidR="00141C8E" w:rsidRPr="00E8345A" w:rsidRDefault="00141C8E" w:rsidP="001D573C">
            <w:pPr>
              <w:spacing w:line="360" w:lineRule="auto"/>
              <w:rPr>
                <w:rFonts w:ascii="Book Antiqua" w:hAnsi="Book Antiqua"/>
              </w:rPr>
            </w:pPr>
            <w:r w:rsidRPr="00E8345A">
              <w:rPr>
                <w:rFonts w:ascii="Book Antiqua" w:hAnsi="Book Antiqua"/>
              </w:rPr>
              <w:t>0.764 (0.676-0.853)</w:t>
            </w:r>
          </w:p>
        </w:tc>
        <w:tc>
          <w:tcPr>
            <w:tcW w:w="1417" w:type="dxa"/>
            <w:tcBorders>
              <w:bottom w:val="single" w:sz="12" w:space="0" w:color="FFFFFF" w:themeColor="background1"/>
            </w:tcBorders>
            <w:shd w:val="clear" w:color="auto" w:fill="auto"/>
            <w:tcMar>
              <w:top w:w="28" w:type="dxa"/>
              <w:left w:w="28" w:type="dxa"/>
              <w:bottom w:w="28" w:type="dxa"/>
              <w:right w:w="28" w:type="dxa"/>
            </w:tcMar>
          </w:tcPr>
          <w:p w14:paraId="25F353CB" w14:textId="77777777" w:rsidR="00141C8E" w:rsidRPr="00E8345A" w:rsidRDefault="00141C8E" w:rsidP="001D573C">
            <w:pPr>
              <w:spacing w:line="360" w:lineRule="auto"/>
              <w:rPr>
                <w:rFonts w:ascii="Book Antiqua" w:hAnsi="Book Antiqua"/>
              </w:rPr>
            </w:pPr>
            <w:r w:rsidRPr="00E8345A">
              <w:rPr>
                <w:rFonts w:ascii="Book Antiqua" w:hAnsi="Book Antiqua"/>
              </w:rPr>
              <w:t>271.5</w:t>
            </w:r>
          </w:p>
        </w:tc>
        <w:tc>
          <w:tcPr>
            <w:tcW w:w="851" w:type="dxa"/>
            <w:tcBorders>
              <w:bottom w:val="single" w:sz="12" w:space="0" w:color="FFFFFF" w:themeColor="background1"/>
            </w:tcBorders>
            <w:shd w:val="clear" w:color="auto" w:fill="auto"/>
            <w:tcMar>
              <w:top w:w="28" w:type="dxa"/>
              <w:left w:w="28" w:type="dxa"/>
              <w:bottom w:w="28" w:type="dxa"/>
              <w:right w:w="28" w:type="dxa"/>
            </w:tcMar>
          </w:tcPr>
          <w:p w14:paraId="02E24E05" w14:textId="77777777" w:rsidR="00141C8E" w:rsidRPr="00E8345A" w:rsidRDefault="00141C8E" w:rsidP="001D573C">
            <w:pPr>
              <w:spacing w:line="360" w:lineRule="auto"/>
              <w:rPr>
                <w:rFonts w:ascii="Book Antiqua" w:hAnsi="Book Antiqua"/>
              </w:rPr>
            </w:pPr>
            <w:r w:rsidRPr="00E8345A">
              <w:rPr>
                <w:rFonts w:ascii="Book Antiqua" w:hAnsi="Book Antiqua"/>
              </w:rPr>
              <w:t>0.818</w:t>
            </w:r>
          </w:p>
        </w:tc>
        <w:tc>
          <w:tcPr>
            <w:tcW w:w="1275" w:type="dxa"/>
            <w:tcBorders>
              <w:bottom w:val="single" w:sz="12" w:space="0" w:color="FFFFFF" w:themeColor="background1"/>
            </w:tcBorders>
            <w:shd w:val="clear" w:color="auto" w:fill="auto"/>
            <w:tcMar>
              <w:top w:w="28" w:type="dxa"/>
              <w:left w:w="28" w:type="dxa"/>
              <w:bottom w:w="28" w:type="dxa"/>
              <w:right w:w="28" w:type="dxa"/>
            </w:tcMar>
          </w:tcPr>
          <w:p w14:paraId="3ED7BCEE" w14:textId="77777777" w:rsidR="00141C8E" w:rsidRPr="00E8345A" w:rsidRDefault="00141C8E" w:rsidP="001D573C">
            <w:pPr>
              <w:spacing w:line="360" w:lineRule="auto"/>
              <w:rPr>
                <w:rFonts w:ascii="Book Antiqua" w:hAnsi="Book Antiqua"/>
              </w:rPr>
            </w:pPr>
            <w:r w:rsidRPr="00E8345A">
              <w:rPr>
                <w:rFonts w:ascii="Book Antiqua" w:hAnsi="Book Antiqua"/>
              </w:rPr>
              <w:t>0.704</w:t>
            </w:r>
          </w:p>
        </w:tc>
        <w:tc>
          <w:tcPr>
            <w:tcW w:w="851" w:type="dxa"/>
            <w:tcBorders>
              <w:bottom w:val="single" w:sz="12" w:space="0" w:color="FFFFFF" w:themeColor="background1"/>
            </w:tcBorders>
            <w:shd w:val="clear" w:color="auto" w:fill="auto"/>
            <w:tcMar>
              <w:top w:w="28" w:type="dxa"/>
              <w:left w:w="28" w:type="dxa"/>
              <w:bottom w:w="28" w:type="dxa"/>
              <w:right w:w="28" w:type="dxa"/>
            </w:tcMar>
          </w:tcPr>
          <w:p w14:paraId="7577C942" w14:textId="77777777" w:rsidR="00141C8E" w:rsidRPr="00E8345A" w:rsidRDefault="00141C8E" w:rsidP="001D573C">
            <w:pPr>
              <w:spacing w:line="360" w:lineRule="auto"/>
              <w:rPr>
                <w:rFonts w:ascii="Book Antiqua" w:hAnsi="Book Antiqua"/>
              </w:rPr>
            </w:pPr>
            <w:r w:rsidRPr="00E8345A">
              <w:rPr>
                <w:rFonts w:ascii="Book Antiqua" w:hAnsi="Book Antiqua"/>
              </w:rPr>
              <w:t>0.510</w:t>
            </w:r>
          </w:p>
        </w:tc>
        <w:tc>
          <w:tcPr>
            <w:tcW w:w="850" w:type="dxa"/>
            <w:tcBorders>
              <w:bottom w:val="single" w:sz="12" w:space="0" w:color="FFFFFF" w:themeColor="background1"/>
            </w:tcBorders>
            <w:shd w:val="clear" w:color="auto" w:fill="auto"/>
            <w:tcMar>
              <w:top w:w="28" w:type="dxa"/>
              <w:left w:w="28" w:type="dxa"/>
              <w:bottom w:w="28" w:type="dxa"/>
              <w:right w:w="28" w:type="dxa"/>
            </w:tcMar>
          </w:tcPr>
          <w:p w14:paraId="0F70CECF" w14:textId="77777777" w:rsidR="00141C8E" w:rsidRPr="00E8345A" w:rsidRDefault="00141C8E" w:rsidP="001D573C">
            <w:pPr>
              <w:spacing w:line="360" w:lineRule="auto"/>
              <w:rPr>
                <w:rFonts w:ascii="Book Antiqua" w:hAnsi="Book Antiqua"/>
              </w:rPr>
            </w:pPr>
            <w:r w:rsidRPr="00E8345A">
              <w:rPr>
                <w:rFonts w:ascii="Book Antiqua" w:hAnsi="Book Antiqua"/>
              </w:rPr>
              <w:t>0.937</w:t>
            </w:r>
          </w:p>
        </w:tc>
      </w:tr>
      <w:tr w:rsidR="00141C8E" w:rsidRPr="00E8345A" w14:paraId="07FA5CDE" w14:textId="77777777" w:rsidTr="001D573C">
        <w:trPr>
          <w:trHeight w:hRule="exact" w:val="454"/>
        </w:trPr>
        <w:tc>
          <w:tcPr>
            <w:tcW w:w="1106" w:type="dxa"/>
            <w:vMerge/>
            <w:tcBorders>
              <w:bottom w:val="single" w:sz="12" w:space="0" w:color="auto"/>
            </w:tcBorders>
            <w:shd w:val="clear" w:color="auto" w:fill="auto"/>
          </w:tcPr>
          <w:p w14:paraId="1025DE5A" w14:textId="77777777" w:rsidR="00141C8E" w:rsidRPr="00E8345A" w:rsidRDefault="00141C8E" w:rsidP="001D573C">
            <w:pPr>
              <w:spacing w:line="360" w:lineRule="auto"/>
              <w:rPr>
                <w:rFonts w:ascii="Book Antiqua" w:hAnsi="Book Antiqua"/>
              </w:rPr>
            </w:pPr>
          </w:p>
        </w:tc>
        <w:tc>
          <w:tcPr>
            <w:tcW w:w="993" w:type="dxa"/>
            <w:tcBorders>
              <w:top w:val="single" w:sz="12" w:space="0" w:color="FFFFFF" w:themeColor="background1"/>
              <w:bottom w:val="single" w:sz="12" w:space="0" w:color="auto"/>
            </w:tcBorders>
            <w:shd w:val="clear" w:color="auto" w:fill="auto"/>
            <w:tcMar>
              <w:top w:w="28" w:type="dxa"/>
              <w:left w:w="28" w:type="dxa"/>
              <w:bottom w:w="28" w:type="dxa"/>
              <w:right w:w="28" w:type="dxa"/>
            </w:tcMar>
          </w:tcPr>
          <w:p w14:paraId="17CFDC2B" w14:textId="77777777" w:rsidR="00141C8E" w:rsidRPr="00E8345A" w:rsidRDefault="00141C8E" w:rsidP="001D573C">
            <w:pPr>
              <w:spacing w:line="360" w:lineRule="auto"/>
              <w:rPr>
                <w:rFonts w:ascii="Book Antiqua" w:hAnsi="Book Antiqua"/>
              </w:rPr>
            </w:pPr>
            <w:r w:rsidRPr="00E8345A">
              <w:rPr>
                <w:rFonts w:ascii="Book Antiqua" w:hAnsi="Book Antiqua"/>
              </w:rPr>
              <w:t>S = 3</w:t>
            </w:r>
          </w:p>
        </w:tc>
        <w:tc>
          <w:tcPr>
            <w:tcW w:w="2268" w:type="dxa"/>
            <w:tcBorders>
              <w:top w:val="single" w:sz="12" w:space="0" w:color="FFFFFF" w:themeColor="background1"/>
              <w:bottom w:val="single" w:sz="12" w:space="0" w:color="auto"/>
            </w:tcBorders>
            <w:shd w:val="clear" w:color="auto" w:fill="auto"/>
            <w:tcMar>
              <w:top w:w="28" w:type="dxa"/>
              <w:left w:w="28" w:type="dxa"/>
              <w:bottom w:w="28" w:type="dxa"/>
              <w:right w:w="28" w:type="dxa"/>
            </w:tcMar>
          </w:tcPr>
          <w:p w14:paraId="1C3E1D50" w14:textId="77777777" w:rsidR="00141C8E" w:rsidRPr="00E8345A" w:rsidRDefault="00141C8E" w:rsidP="001D573C">
            <w:pPr>
              <w:spacing w:line="360" w:lineRule="auto"/>
              <w:rPr>
                <w:rFonts w:ascii="Book Antiqua" w:hAnsi="Book Antiqua"/>
              </w:rPr>
            </w:pPr>
            <w:r w:rsidRPr="00E8345A">
              <w:rPr>
                <w:rFonts w:ascii="Book Antiqua" w:hAnsi="Book Antiqua"/>
              </w:rPr>
              <w:t>0.821 (0.716-0.926)</w:t>
            </w:r>
          </w:p>
        </w:tc>
        <w:tc>
          <w:tcPr>
            <w:tcW w:w="1417" w:type="dxa"/>
            <w:tcBorders>
              <w:top w:val="single" w:sz="12" w:space="0" w:color="FFFFFF" w:themeColor="background1"/>
              <w:bottom w:val="single" w:sz="12" w:space="0" w:color="auto"/>
            </w:tcBorders>
            <w:shd w:val="clear" w:color="auto" w:fill="auto"/>
            <w:tcMar>
              <w:top w:w="28" w:type="dxa"/>
              <w:left w:w="28" w:type="dxa"/>
              <w:bottom w:w="28" w:type="dxa"/>
              <w:right w:w="28" w:type="dxa"/>
            </w:tcMar>
          </w:tcPr>
          <w:p w14:paraId="15F748AD" w14:textId="77777777" w:rsidR="00141C8E" w:rsidRPr="00E8345A" w:rsidRDefault="00141C8E" w:rsidP="001D573C">
            <w:pPr>
              <w:spacing w:line="360" w:lineRule="auto"/>
              <w:rPr>
                <w:rFonts w:ascii="Book Antiqua" w:hAnsi="Book Antiqua"/>
              </w:rPr>
            </w:pPr>
            <w:r w:rsidRPr="00E8345A">
              <w:rPr>
                <w:rFonts w:ascii="Book Antiqua" w:hAnsi="Book Antiqua"/>
              </w:rPr>
              <w:t>283.5</w:t>
            </w:r>
          </w:p>
        </w:tc>
        <w:tc>
          <w:tcPr>
            <w:tcW w:w="851" w:type="dxa"/>
            <w:tcBorders>
              <w:top w:val="single" w:sz="12" w:space="0" w:color="FFFFFF" w:themeColor="background1"/>
              <w:bottom w:val="single" w:sz="12" w:space="0" w:color="auto"/>
            </w:tcBorders>
            <w:shd w:val="clear" w:color="auto" w:fill="auto"/>
            <w:tcMar>
              <w:top w:w="28" w:type="dxa"/>
              <w:left w:w="28" w:type="dxa"/>
              <w:bottom w:w="28" w:type="dxa"/>
              <w:right w:w="28" w:type="dxa"/>
            </w:tcMar>
          </w:tcPr>
          <w:p w14:paraId="4AABDAAE" w14:textId="77777777" w:rsidR="00141C8E" w:rsidRPr="00E8345A" w:rsidRDefault="00141C8E" w:rsidP="001D573C">
            <w:pPr>
              <w:spacing w:line="360" w:lineRule="auto"/>
              <w:rPr>
                <w:rFonts w:ascii="Book Antiqua" w:hAnsi="Book Antiqua"/>
              </w:rPr>
            </w:pPr>
            <w:r w:rsidRPr="00E8345A">
              <w:rPr>
                <w:rFonts w:ascii="Book Antiqua" w:hAnsi="Book Antiqua"/>
              </w:rPr>
              <w:t>1.000</w:t>
            </w:r>
          </w:p>
        </w:tc>
        <w:tc>
          <w:tcPr>
            <w:tcW w:w="1275" w:type="dxa"/>
            <w:tcBorders>
              <w:top w:val="single" w:sz="12" w:space="0" w:color="FFFFFF" w:themeColor="background1"/>
              <w:bottom w:val="single" w:sz="12" w:space="0" w:color="auto"/>
            </w:tcBorders>
            <w:shd w:val="clear" w:color="auto" w:fill="auto"/>
            <w:tcMar>
              <w:top w:w="28" w:type="dxa"/>
              <w:left w:w="28" w:type="dxa"/>
              <w:bottom w:w="28" w:type="dxa"/>
              <w:right w:w="28" w:type="dxa"/>
            </w:tcMar>
          </w:tcPr>
          <w:p w14:paraId="3DF12A24" w14:textId="77777777" w:rsidR="00141C8E" w:rsidRPr="00E8345A" w:rsidRDefault="00141C8E" w:rsidP="001D573C">
            <w:pPr>
              <w:spacing w:line="360" w:lineRule="auto"/>
              <w:rPr>
                <w:rFonts w:ascii="Book Antiqua" w:hAnsi="Book Antiqua"/>
              </w:rPr>
            </w:pPr>
            <w:r w:rsidRPr="00E8345A">
              <w:rPr>
                <w:rFonts w:ascii="Book Antiqua" w:hAnsi="Book Antiqua"/>
              </w:rPr>
              <w:t>0.688</w:t>
            </w:r>
          </w:p>
        </w:tc>
        <w:tc>
          <w:tcPr>
            <w:tcW w:w="851" w:type="dxa"/>
            <w:tcBorders>
              <w:top w:val="single" w:sz="12" w:space="0" w:color="FFFFFF" w:themeColor="background1"/>
              <w:bottom w:val="single" w:sz="12" w:space="0" w:color="auto"/>
            </w:tcBorders>
            <w:shd w:val="clear" w:color="auto" w:fill="auto"/>
            <w:tcMar>
              <w:top w:w="28" w:type="dxa"/>
              <w:left w:w="28" w:type="dxa"/>
              <w:bottom w:w="28" w:type="dxa"/>
              <w:right w:w="28" w:type="dxa"/>
            </w:tcMar>
          </w:tcPr>
          <w:p w14:paraId="67EA7441" w14:textId="77777777" w:rsidR="00141C8E" w:rsidRPr="00E8345A" w:rsidRDefault="00141C8E" w:rsidP="001D573C">
            <w:pPr>
              <w:spacing w:line="360" w:lineRule="auto"/>
              <w:rPr>
                <w:rFonts w:ascii="Book Antiqua" w:hAnsi="Book Antiqua"/>
              </w:rPr>
            </w:pPr>
            <w:r w:rsidRPr="00E8345A">
              <w:rPr>
                <w:rFonts w:ascii="Book Antiqua" w:hAnsi="Book Antiqua"/>
              </w:rPr>
              <w:t>0.128</w:t>
            </w:r>
          </w:p>
        </w:tc>
        <w:tc>
          <w:tcPr>
            <w:tcW w:w="850" w:type="dxa"/>
            <w:tcBorders>
              <w:top w:val="single" w:sz="12" w:space="0" w:color="FFFFFF" w:themeColor="background1"/>
              <w:bottom w:val="single" w:sz="12" w:space="0" w:color="auto"/>
            </w:tcBorders>
            <w:shd w:val="clear" w:color="auto" w:fill="auto"/>
            <w:tcMar>
              <w:top w:w="28" w:type="dxa"/>
              <w:left w:w="28" w:type="dxa"/>
              <w:bottom w:w="28" w:type="dxa"/>
              <w:right w:w="28" w:type="dxa"/>
            </w:tcMar>
          </w:tcPr>
          <w:p w14:paraId="287ABEE7" w14:textId="77777777" w:rsidR="00141C8E" w:rsidRPr="00E8345A" w:rsidRDefault="00141C8E" w:rsidP="001D573C">
            <w:pPr>
              <w:spacing w:line="360" w:lineRule="auto"/>
              <w:rPr>
                <w:rFonts w:ascii="Book Antiqua" w:hAnsi="Book Antiqua"/>
              </w:rPr>
            </w:pPr>
            <w:r w:rsidRPr="00E8345A">
              <w:rPr>
                <w:rFonts w:ascii="Book Antiqua" w:hAnsi="Book Antiqua"/>
              </w:rPr>
              <w:t>1.000</w:t>
            </w:r>
          </w:p>
        </w:tc>
      </w:tr>
    </w:tbl>
    <w:p w14:paraId="0B57EE32" w14:textId="77777777" w:rsidR="00141C8E" w:rsidRDefault="00141C8E" w:rsidP="00141C8E">
      <w:pPr>
        <w:spacing w:line="360" w:lineRule="auto"/>
        <w:jc w:val="both"/>
        <w:rPr>
          <w:rFonts w:ascii="Book Antiqua" w:eastAsia="Book Antiqua" w:hAnsi="Book Antiqua" w:cs="Book Antiqua"/>
          <w:color w:val="000000"/>
        </w:rPr>
      </w:pPr>
      <w:r w:rsidRPr="0068543E">
        <w:rPr>
          <w:rFonts w:ascii="Book Antiqua" w:eastAsia="Book Antiqua" w:hAnsi="Book Antiqua" w:cs="Book Antiqua"/>
          <w:color w:val="000000"/>
        </w:rPr>
        <w:t>AUROC</w:t>
      </w:r>
      <w:r>
        <w:rPr>
          <w:rFonts w:ascii="Book Antiqua" w:eastAsia="Book Antiqua" w:hAnsi="Book Antiqua" w:cs="Book Antiqua"/>
          <w:color w:val="000000"/>
        </w:rPr>
        <w:t>: A</w:t>
      </w:r>
      <w:r w:rsidRPr="0068543E">
        <w:rPr>
          <w:rFonts w:ascii="Book Antiqua" w:eastAsia="Book Antiqua" w:hAnsi="Book Antiqua" w:cs="Book Antiqua"/>
          <w:color w:val="000000"/>
        </w:rPr>
        <w:t>rea under receiver operating characteristic; CAP</w:t>
      </w:r>
      <w:r>
        <w:rPr>
          <w:rFonts w:ascii="Book Antiqua" w:eastAsia="Book Antiqua" w:hAnsi="Book Antiqua" w:cs="Book Antiqua"/>
          <w:color w:val="000000"/>
        </w:rPr>
        <w:t>: C</w:t>
      </w:r>
      <w:r w:rsidRPr="0068543E">
        <w:rPr>
          <w:rFonts w:ascii="Book Antiqua" w:eastAsia="Book Antiqua" w:hAnsi="Book Antiqua" w:cs="Book Antiqua"/>
          <w:color w:val="000000"/>
        </w:rPr>
        <w:t>ontrolled attenuation parameter; NPV</w:t>
      </w:r>
      <w:r>
        <w:rPr>
          <w:rFonts w:ascii="Book Antiqua" w:eastAsia="Book Antiqua" w:hAnsi="Book Antiqua" w:cs="Book Antiqua"/>
          <w:color w:val="000000"/>
        </w:rPr>
        <w:t>: N</w:t>
      </w:r>
      <w:r w:rsidRPr="0068543E">
        <w:rPr>
          <w:rFonts w:ascii="Book Antiqua" w:eastAsia="Book Antiqua" w:hAnsi="Book Antiqua" w:cs="Book Antiqua"/>
          <w:color w:val="000000"/>
        </w:rPr>
        <w:t>egative predictive value; PPV</w:t>
      </w:r>
      <w:r>
        <w:rPr>
          <w:rFonts w:ascii="Book Antiqua" w:eastAsia="Book Antiqua" w:hAnsi="Book Antiqua" w:cs="Book Antiqua"/>
          <w:color w:val="000000"/>
        </w:rPr>
        <w:t>: P</w:t>
      </w:r>
      <w:r w:rsidRPr="0068543E">
        <w:rPr>
          <w:rFonts w:ascii="Book Antiqua" w:eastAsia="Book Antiqua" w:hAnsi="Book Antiqua" w:cs="Book Antiqua"/>
          <w:color w:val="000000"/>
        </w:rPr>
        <w:t>ositive predictive value.</w:t>
      </w:r>
    </w:p>
    <w:p w14:paraId="4759B760" w14:textId="77777777" w:rsidR="00141C8E" w:rsidRPr="00FD0EF3" w:rsidRDefault="00141C8E" w:rsidP="00141C8E">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FD0EF3">
        <w:rPr>
          <w:rFonts w:ascii="Book Antiqua" w:eastAsia="Book Antiqua" w:hAnsi="Book Antiqua" w:cs="Book Antiqua"/>
          <w:b/>
          <w:bCs/>
          <w:color w:val="000000"/>
        </w:rPr>
        <w:lastRenderedPageBreak/>
        <w:t>Table 3 Comparative analysis of patients with autoimmune hepatitis concomitant with nonalcoholic fatty liver disease and</w:t>
      </w:r>
      <w:r w:rsidRPr="00FD0EF3">
        <w:rPr>
          <w:rFonts w:ascii="Book Antiqua" w:hAnsi="Book Antiqua" w:cs="Book Antiqua" w:hint="eastAsia"/>
          <w:b/>
          <w:bCs/>
          <w:color w:val="000000"/>
          <w:lang w:eastAsia="zh-CN"/>
        </w:rPr>
        <w:t xml:space="preserve"> </w:t>
      </w:r>
      <w:r w:rsidRPr="00FD0EF3">
        <w:rPr>
          <w:rFonts w:ascii="Book Antiqua" w:eastAsia="Book Antiqua" w:hAnsi="Book Antiqua" w:cs="Book Antiqua"/>
          <w:b/>
          <w:bCs/>
          <w:color w:val="000000"/>
        </w:rPr>
        <w:t>patients with nonalcoholic fatty liver disease with autoimmune phenomena</w:t>
      </w:r>
    </w:p>
    <w:tbl>
      <w:tblPr>
        <w:tblStyle w:val="a5"/>
        <w:tblpPr w:leftFromText="180" w:rightFromText="180" w:vertAnchor="page" w:horzAnchor="margin" w:tblpY="316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0"/>
        <w:gridCol w:w="2508"/>
        <w:gridCol w:w="3202"/>
        <w:gridCol w:w="1276"/>
      </w:tblGrid>
      <w:tr w:rsidR="00141C8E" w:rsidRPr="00FD0EF3" w14:paraId="3BD37A30" w14:textId="77777777" w:rsidTr="001D573C">
        <w:trPr>
          <w:trHeight w:val="285"/>
        </w:trPr>
        <w:tc>
          <w:tcPr>
            <w:tcW w:w="2620" w:type="dxa"/>
            <w:tcBorders>
              <w:top w:val="single" w:sz="12" w:space="0" w:color="auto"/>
              <w:bottom w:val="single" w:sz="12" w:space="0" w:color="auto"/>
            </w:tcBorders>
            <w:shd w:val="clear" w:color="auto" w:fill="auto"/>
            <w:noWrap/>
            <w:vAlign w:val="center"/>
            <w:hideMark/>
          </w:tcPr>
          <w:p w14:paraId="57DCB517" w14:textId="77777777" w:rsidR="00141C8E" w:rsidRPr="00FD0EF3" w:rsidRDefault="00141C8E" w:rsidP="001D573C">
            <w:pPr>
              <w:spacing w:line="360" w:lineRule="auto"/>
              <w:rPr>
                <w:rFonts w:ascii="Book Antiqua" w:hAnsi="Book Antiqua"/>
                <w:b/>
                <w:bCs/>
              </w:rPr>
            </w:pPr>
            <w:bookmarkStart w:id="0" w:name="_Hlk57842390"/>
            <w:r w:rsidRPr="00FD0EF3">
              <w:rPr>
                <w:rFonts w:ascii="Book Antiqua" w:hAnsi="Book Antiqua"/>
                <w:b/>
                <w:bCs/>
              </w:rPr>
              <w:t>Variable</w:t>
            </w:r>
          </w:p>
        </w:tc>
        <w:tc>
          <w:tcPr>
            <w:tcW w:w="2508" w:type="dxa"/>
            <w:tcBorders>
              <w:top w:val="single" w:sz="12" w:space="0" w:color="auto"/>
              <w:bottom w:val="single" w:sz="12" w:space="0" w:color="auto"/>
            </w:tcBorders>
            <w:shd w:val="clear" w:color="auto" w:fill="auto"/>
            <w:noWrap/>
            <w:vAlign w:val="center"/>
            <w:hideMark/>
          </w:tcPr>
          <w:p w14:paraId="491C1DAE" w14:textId="77777777" w:rsidR="00141C8E" w:rsidRPr="00FD0EF3" w:rsidRDefault="00141C8E" w:rsidP="001D573C">
            <w:pPr>
              <w:spacing w:line="360" w:lineRule="auto"/>
              <w:rPr>
                <w:rFonts w:ascii="Book Antiqua" w:hAnsi="Book Antiqua"/>
                <w:b/>
                <w:bCs/>
              </w:rPr>
            </w:pPr>
            <w:r w:rsidRPr="00FD0EF3">
              <w:rPr>
                <w:rFonts w:ascii="Book Antiqua" w:hAnsi="Book Antiqua"/>
                <w:b/>
                <w:bCs/>
              </w:rPr>
              <w:t>Patients with AIH concomitant with NAFLD (</w:t>
            </w:r>
            <w:r w:rsidRPr="00FD0EF3">
              <w:rPr>
                <w:rFonts w:ascii="Book Antiqua" w:hAnsi="Book Antiqua"/>
                <w:b/>
                <w:bCs/>
                <w:i/>
                <w:iCs/>
              </w:rPr>
              <w:t>n</w:t>
            </w:r>
            <w:r w:rsidRPr="00FD0EF3">
              <w:rPr>
                <w:rFonts w:ascii="Book Antiqua" w:hAnsi="Book Antiqua"/>
                <w:b/>
                <w:bCs/>
              </w:rPr>
              <w:t xml:space="preserve"> = 61)</w:t>
            </w:r>
          </w:p>
        </w:tc>
        <w:tc>
          <w:tcPr>
            <w:tcW w:w="3202" w:type="dxa"/>
            <w:tcBorders>
              <w:top w:val="single" w:sz="12" w:space="0" w:color="auto"/>
              <w:bottom w:val="single" w:sz="12" w:space="0" w:color="auto"/>
            </w:tcBorders>
            <w:shd w:val="clear" w:color="auto" w:fill="auto"/>
            <w:vAlign w:val="center"/>
          </w:tcPr>
          <w:p w14:paraId="56AB6C62" w14:textId="77777777" w:rsidR="00141C8E" w:rsidRPr="00FD0EF3" w:rsidRDefault="00141C8E" w:rsidP="001D573C">
            <w:pPr>
              <w:spacing w:line="360" w:lineRule="auto"/>
              <w:rPr>
                <w:rFonts w:ascii="Book Antiqua" w:hAnsi="Book Antiqua"/>
                <w:b/>
                <w:bCs/>
              </w:rPr>
            </w:pPr>
            <w:r w:rsidRPr="00FD0EF3">
              <w:rPr>
                <w:rFonts w:ascii="Book Antiqua" w:hAnsi="Book Antiqua"/>
                <w:b/>
                <w:bCs/>
              </w:rPr>
              <w:t>Patients with NAFLD with autoimmune phenomena (</w:t>
            </w:r>
            <w:r w:rsidRPr="00FD0EF3">
              <w:rPr>
                <w:rFonts w:ascii="Book Antiqua" w:hAnsi="Book Antiqua"/>
                <w:b/>
                <w:bCs/>
                <w:i/>
                <w:iCs/>
              </w:rPr>
              <w:t>n</w:t>
            </w:r>
            <w:r w:rsidRPr="00FD0EF3">
              <w:rPr>
                <w:rFonts w:ascii="Book Antiqua" w:hAnsi="Book Antiqua"/>
                <w:b/>
                <w:bCs/>
              </w:rPr>
              <w:t xml:space="preserve"> = 34)</w:t>
            </w:r>
          </w:p>
        </w:tc>
        <w:tc>
          <w:tcPr>
            <w:tcW w:w="1276" w:type="dxa"/>
            <w:tcBorders>
              <w:top w:val="single" w:sz="12" w:space="0" w:color="auto"/>
              <w:bottom w:val="single" w:sz="12" w:space="0" w:color="auto"/>
            </w:tcBorders>
            <w:shd w:val="clear" w:color="auto" w:fill="auto"/>
            <w:vAlign w:val="center"/>
          </w:tcPr>
          <w:p w14:paraId="0969D315" w14:textId="77777777" w:rsidR="00141C8E" w:rsidRPr="00FD0EF3" w:rsidRDefault="00141C8E" w:rsidP="001D573C">
            <w:pPr>
              <w:spacing w:line="360" w:lineRule="auto"/>
              <w:rPr>
                <w:rFonts w:ascii="Book Antiqua" w:hAnsi="Book Antiqua"/>
                <w:b/>
                <w:bCs/>
              </w:rPr>
            </w:pPr>
            <w:r w:rsidRPr="00FD0EF3">
              <w:rPr>
                <w:rFonts w:ascii="Book Antiqua" w:hAnsi="Book Antiqua"/>
                <w:b/>
                <w:bCs/>
                <w:i/>
                <w:iCs/>
              </w:rPr>
              <w:t>P</w:t>
            </w:r>
            <w:r w:rsidRPr="00FD0EF3">
              <w:rPr>
                <w:rFonts w:ascii="Book Antiqua" w:hAnsi="Book Antiqua"/>
                <w:b/>
                <w:bCs/>
              </w:rPr>
              <w:t xml:space="preserve"> value</w:t>
            </w:r>
          </w:p>
        </w:tc>
      </w:tr>
      <w:tr w:rsidR="00141C8E" w:rsidRPr="00FD0EF3" w14:paraId="2808BC65" w14:textId="77777777" w:rsidTr="001D573C">
        <w:trPr>
          <w:trHeight w:val="285"/>
        </w:trPr>
        <w:tc>
          <w:tcPr>
            <w:tcW w:w="2620" w:type="dxa"/>
            <w:tcBorders>
              <w:top w:val="single" w:sz="12" w:space="0" w:color="auto"/>
            </w:tcBorders>
            <w:shd w:val="clear" w:color="auto" w:fill="auto"/>
            <w:noWrap/>
            <w:hideMark/>
          </w:tcPr>
          <w:p w14:paraId="3B0347B3" w14:textId="77777777" w:rsidR="00141C8E" w:rsidRPr="00FD0EF3" w:rsidRDefault="00141C8E" w:rsidP="001D573C">
            <w:pPr>
              <w:spacing w:line="360" w:lineRule="auto"/>
              <w:rPr>
                <w:rFonts w:ascii="Book Antiqua" w:hAnsi="Book Antiqua"/>
              </w:rPr>
            </w:pPr>
            <w:r w:rsidRPr="00FD0EF3">
              <w:rPr>
                <w:rFonts w:ascii="Book Antiqua" w:hAnsi="Book Antiqua"/>
              </w:rPr>
              <w:t xml:space="preserve">Age, </w:t>
            </w:r>
            <w:proofErr w:type="spellStart"/>
            <w:r w:rsidRPr="00FD0EF3">
              <w:rPr>
                <w:rFonts w:ascii="Book Antiqua" w:hAnsi="Book Antiqua"/>
              </w:rPr>
              <w:t>yr</w:t>
            </w:r>
            <w:proofErr w:type="spellEnd"/>
          </w:p>
        </w:tc>
        <w:tc>
          <w:tcPr>
            <w:tcW w:w="2508" w:type="dxa"/>
            <w:tcBorders>
              <w:top w:val="single" w:sz="12" w:space="0" w:color="auto"/>
            </w:tcBorders>
            <w:shd w:val="clear" w:color="auto" w:fill="auto"/>
            <w:noWrap/>
            <w:hideMark/>
          </w:tcPr>
          <w:p w14:paraId="07E263B7" w14:textId="77777777" w:rsidR="00141C8E" w:rsidRPr="00FD0EF3" w:rsidRDefault="00141C8E" w:rsidP="001D573C">
            <w:pPr>
              <w:spacing w:line="360" w:lineRule="auto"/>
              <w:rPr>
                <w:rFonts w:ascii="Book Antiqua" w:hAnsi="Book Antiqua"/>
              </w:rPr>
            </w:pPr>
            <w:r w:rsidRPr="00FD0EF3">
              <w:rPr>
                <w:rFonts w:ascii="Book Antiqua" w:hAnsi="Book Antiqua"/>
              </w:rPr>
              <w:t>52.05 ± 11.11</w:t>
            </w:r>
          </w:p>
        </w:tc>
        <w:tc>
          <w:tcPr>
            <w:tcW w:w="3202" w:type="dxa"/>
            <w:tcBorders>
              <w:top w:val="single" w:sz="12" w:space="0" w:color="auto"/>
            </w:tcBorders>
            <w:shd w:val="clear" w:color="auto" w:fill="auto"/>
          </w:tcPr>
          <w:p w14:paraId="1318141D" w14:textId="77777777" w:rsidR="00141C8E" w:rsidRPr="00FD0EF3" w:rsidRDefault="00141C8E" w:rsidP="001D573C">
            <w:pPr>
              <w:spacing w:line="360" w:lineRule="auto"/>
              <w:rPr>
                <w:rFonts w:ascii="Book Antiqua" w:hAnsi="Book Antiqua"/>
              </w:rPr>
            </w:pPr>
            <w:r w:rsidRPr="00FD0EF3">
              <w:rPr>
                <w:rFonts w:ascii="Book Antiqua" w:hAnsi="Book Antiqua"/>
              </w:rPr>
              <w:t>43.68 ± 13.71</w:t>
            </w:r>
          </w:p>
        </w:tc>
        <w:tc>
          <w:tcPr>
            <w:tcW w:w="1276" w:type="dxa"/>
            <w:tcBorders>
              <w:top w:val="single" w:sz="12" w:space="0" w:color="auto"/>
            </w:tcBorders>
            <w:shd w:val="clear" w:color="auto" w:fill="auto"/>
          </w:tcPr>
          <w:p w14:paraId="1DC84B98" w14:textId="77777777" w:rsidR="00141C8E" w:rsidRPr="00FD0EF3" w:rsidRDefault="00141C8E" w:rsidP="001D573C">
            <w:pPr>
              <w:spacing w:line="360" w:lineRule="auto"/>
              <w:rPr>
                <w:rFonts w:ascii="Book Antiqua" w:hAnsi="Book Antiqua"/>
              </w:rPr>
            </w:pPr>
            <w:r w:rsidRPr="00FD0EF3">
              <w:rPr>
                <w:rFonts w:ascii="Book Antiqua" w:hAnsi="Book Antiqua"/>
              </w:rPr>
              <w:t>&lt;</w:t>
            </w:r>
            <w:r>
              <w:rPr>
                <w:rFonts w:ascii="Book Antiqua" w:hAnsi="Book Antiqua"/>
              </w:rPr>
              <w:t xml:space="preserve"> </w:t>
            </w:r>
            <w:r w:rsidRPr="00FD0EF3">
              <w:rPr>
                <w:rFonts w:ascii="Book Antiqua" w:hAnsi="Book Antiqua"/>
              </w:rPr>
              <w:t>0.001</w:t>
            </w:r>
          </w:p>
        </w:tc>
      </w:tr>
      <w:tr w:rsidR="00141C8E" w:rsidRPr="00FD0EF3" w14:paraId="5B726951" w14:textId="77777777" w:rsidTr="001D573C">
        <w:trPr>
          <w:trHeight w:val="285"/>
        </w:trPr>
        <w:tc>
          <w:tcPr>
            <w:tcW w:w="2620" w:type="dxa"/>
            <w:shd w:val="clear" w:color="auto" w:fill="auto"/>
            <w:noWrap/>
            <w:hideMark/>
          </w:tcPr>
          <w:p w14:paraId="72302EAD" w14:textId="77777777" w:rsidR="00141C8E" w:rsidRPr="00FD0EF3" w:rsidRDefault="00141C8E" w:rsidP="001D573C">
            <w:pPr>
              <w:spacing w:line="360" w:lineRule="auto"/>
              <w:rPr>
                <w:rFonts w:ascii="Book Antiqua" w:hAnsi="Book Antiqua"/>
              </w:rPr>
            </w:pPr>
            <w:r w:rsidRPr="00FD0EF3">
              <w:rPr>
                <w:rFonts w:ascii="Book Antiqua" w:hAnsi="Book Antiqua"/>
              </w:rPr>
              <w:t>Male sex</w:t>
            </w:r>
            <w:r>
              <w:rPr>
                <w:rFonts w:ascii="Book Antiqua" w:hAnsi="Book Antiqua"/>
              </w:rPr>
              <w:t xml:space="preserve">, </w:t>
            </w:r>
            <w:r w:rsidRPr="00FD0EF3">
              <w:rPr>
                <w:rFonts w:ascii="Book Antiqua" w:hAnsi="Book Antiqua"/>
                <w:i/>
                <w:iCs/>
              </w:rPr>
              <w:t>n</w:t>
            </w:r>
            <w:r>
              <w:rPr>
                <w:rFonts w:ascii="Book Antiqua" w:hAnsi="Book Antiqua"/>
              </w:rPr>
              <w:t xml:space="preserve"> (%)</w:t>
            </w:r>
          </w:p>
        </w:tc>
        <w:tc>
          <w:tcPr>
            <w:tcW w:w="2508" w:type="dxa"/>
            <w:shd w:val="clear" w:color="auto" w:fill="auto"/>
            <w:noWrap/>
            <w:hideMark/>
          </w:tcPr>
          <w:p w14:paraId="3D7BA7B2" w14:textId="77777777" w:rsidR="00141C8E" w:rsidRPr="00FD0EF3" w:rsidRDefault="00141C8E" w:rsidP="001D573C">
            <w:pPr>
              <w:spacing w:line="360" w:lineRule="auto"/>
              <w:rPr>
                <w:rFonts w:ascii="Book Antiqua" w:hAnsi="Book Antiqua"/>
              </w:rPr>
            </w:pPr>
            <w:r w:rsidRPr="00FD0EF3">
              <w:rPr>
                <w:rFonts w:ascii="Book Antiqua" w:hAnsi="Book Antiqua"/>
              </w:rPr>
              <w:t>13 (21.3)</w:t>
            </w:r>
          </w:p>
        </w:tc>
        <w:tc>
          <w:tcPr>
            <w:tcW w:w="3202" w:type="dxa"/>
            <w:shd w:val="clear" w:color="auto" w:fill="auto"/>
          </w:tcPr>
          <w:p w14:paraId="4BDD3373" w14:textId="77777777" w:rsidR="00141C8E" w:rsidRPr="00FD0EF3" w:rsidRDefault="00141C8E" w:rsidP="001D573C">
            <w:pPr>
              <w:spacing w:line="360" w:lineRule="auto"/>
              <w:rPr>
                <w:rFonts w:ascii="Book Antiqua" w:hAnsi="Book Antiqua"/>
              </w:rPr>
            </w:pPr>
            <w:r w:rsidRPr="00FD0EF3">
              <w:rPr>
                <w:rFonts w:ascii="Book Antiqua" w:hAnsi="Book Antiqua"/>
              </w:rPr>
              <w:t>6 (17.6)</w:t>
            </w:r>
          </w:p>
        </w:tc>
        <w:tc>
          <w:tcPr>
            <w:tcW w:w="1276" w:type="dxa"/>
            <w:shd w:val="clear" w:color="auto" w:fill="auto"/>
          </w:tcPr>
          <w:p w14:paraId="000BB02D" w14:textId="77777777" w:rsidR="00141C8E" w:rsidRPr="00FD0EF3" w:rsidRDefault="00141C8E" w:rsidP="001D573C">
            <w:pPr>
              <w:spacing w:line="360" w:lineRule="auto"/>
              <w:rPr>
                <w:rFonts w:ascii="Book Antiqua" w:hAnsi="Book Antiqua"/>
              </w:rPr>
            </w:pPr>
          </w:p>
        </w:tc>
      </w:tr>
      <w:tr w:rsidR="00141C8E" w:rsidRPr="00FD0EF3" w14:paraId="36B4A0E5" w14:textId="77777777" w:rsidTr="001D573C">
        <w:trPr>
          <w:trHeight w:val="347"/>
        </w:trPr>
        <w:tc>
          <w:tcPr>
            <w:tcW w:w="2620" w:type="dxa"/>
            <w:shd w:val="clear" w:color="auto" w:fill="auto"/>
            <w:noWrap/>
            <w:hideMark/>
          </w:tcPr>
          <w:p w14:paraId="4F3F2064" w14:textId="77777777" w:rsidR="00141C8E" w:rsidRPr="00FD0EF3" w:rsidRDefault="00141C8E" w:rsidP="001D573C">
            <w:pPr>
              <w:spacing w:line="360" w:lineRule="auto"/>
              <w:rPr>
                <w:rFonts w:ascii="Book Antiqua" w:hAnsi="Book Antiqua"/>
              </w:rPr>
            </w:pPr>
            <w:r w:rsidRPr="00FD0EF3">
              <w:rPr>
                <w:rFonts w:ascii="Book Antiqua" w:hAnsi="Book Antiqua"/>
              </w:rPr>
              <w:t>BMI, kg/m</w:t>
            </w:r>
            <w:r w:rsidRPr="00FD0EF3">
              <w:rPr>
                <w:rFonts w:ascii="Book Antiqua" w:hAnsi="Book Antiqua"/>
                <w:vertAlign w:val="superscript"/>
              </w:rPr>
              <w:t>2</w:t>
            </w:r>
          </w:p>
        </w:tc>
        <w:tc>
          <w:tcPr>
            <w:tcW w:w="2508" w:type="dxa"/>
            <w:shd w:val="clear" w:color="auto" w:fill="auto"/>
            <w:noWrap/>
            <w:hideMark/>
          </w:tcPr>
          <w:p w14:paraId="43CA8D3F" w14:textId="77777777" w:rsidR="00141C8E" w:rsidRPr="00FD0EF3" w:rsidRDefault="00141C8E" w:rsidP="001D573C">
            <w:pPr>
              <w:spacing w:line="360" w:lineRule="auto"/>
              <w:rPr>
                <w:rFonts w:ascii="Book Antiqua" w:hAnsi="Book Antiqua"/>
              </w:rPr>
            </w:pPr>
            <w:r w:rsidRPr="00FD0EF3">
              <w:rPr>
                <w:rFonts w:ascii="Book Antiqua" w:hAnsi="Book Antiqua"/>
              </w:rPr>
              <w:t>24.21</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3.10</w:t>
            </w:r>
          </w:p>
        </w:tc>
        <w:tc>
          <w:tcPr>
            <w:tcW w:w="3202" w:type="dxa"/>
            <w:shd w:val="clear" w:color="auto" w:fill="auto"/>
          </w:tcPr>
          <w:p w14:paraId="4C997976" w14:textId="77777777" w:rsidR="00141C8E" w:rsidRPr="00FD0EF3" w:rsidRDefault="00141C8E" w:rsidP="001D573C">
            <w:pPr>
              <w:spacing w:line="360" w:lineRule="auto"/>
              <w:rPr>
                <w:rFonts w:ascii="Book Antiqua" w:hAnsi="Book Antiqua"/>
              </w:rPr>
            </w:pPr>
            <w:r w:rsidRPr="00FD0EF3">
              <w:rPr>
                <w:rFonts w:ascii="Book Antiqua" w:hAnsi="Book Antiqua"/>
              </w:rPr>
              <w:t>24.65</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2.02</w:t>
            </w:r>
          </w:p>
        </w:tc>
        <w:tc>
          <w:tcPr>
            <w:tcW w:w="1276" w:type="dxa"/>
            <w:shd w:val="clear" w:color="auto" w:fill="auto"/>
          </w:tcPr>
          <w:p w14:paraId="36D579F6" w14:textId="77777777" w:rsidR="00141C8E" w:rsidRPr="00FD0EF3" w:rsidRDefault="00141C8E" w:rsidP="001D573C">
            <w:pPr>
              <w:spacing w:line="360" w:lineRule="auto"/>
              <w:rPr>
                <w:rFonts w:ascii="Book Antiqua" w:hAnsi="Book Antiqua"/>
              </w:rPr>
            </w:pPr>
          </w:p>
        </w:tc>
      </w:tr>
      <w:tr w:rsidR="00141C8E" w:rsidRPr="00FD0EF3" w14:paraId="7DCAD732" w14:textId="77777777" w:rsidTr="001D573C">
        <w:trPr>
          <w:trHeight w:val="285"/>
        </w:trPr>
        <w:tc>
          <w:tcPr>
            <w:tcW w:w="2620" w:type="dxa"/>
            <w:shd w:val="clear" w:color="auto" w:fill="auto"/>
            <w:noWrap/>
            <w:hideMark/>
          </w:tcPr>
          <w:p w14:paraId="4A8D3274" w14:textId="77777777" w:rsidR="00141C8E" w:rsidRPr="00FD0EF3" w:rsidRDefault="00141C8E" w:rsidP="001D573C">
            <w:pPr>
              <w:spacing w:line="360" w:lineRule="auto"/>
              <w:rPr>
                <w:rFonts w:ascii="Book Antiqua" w:hAnsi="Book Antiqua"/>
              </w:rPr>
            </w:pPr>
            <w:r w:rsidRPr="00FD0EF3">
              <w:rPr>
                <w:rFonts w:ascii="Book Antiqua" w:hAnsi="Book Antiqua"/>
              </w:rPr>
              <w:t>Laboratory</w:t>
            </w:r>
          </w:p>
        </w:tc>
        <w:tc>
          <w:tcPr>
            <w:tcW w:w="2508" w:type="dxa"/>
            <w:shd w:val="clear" w:color="auto" w:fill="auto"/>
            <w:noWrap/>
            <w:hideMark/>
          </w:tcPr>
          <w:p w14:paraId="25D56E00" w14:textId="77777777" w:rsidR="00141C8E" w:rsidRPr="00FD0EF3" w:rsidRDefault="00141C8E" w:rsidP="001D573C">
            <w:pPr>
              <w:spacing w:line="360" w:lineRule="auto"/>
              <w:rPr>
                <w:rFonts w:ascii="Book Antiqua" w:hAnsi="Book Antiqua"/>
              </w:rPr>
            </w:pPr>
          </w:p>
        </w:tc>
        <w:tc>
          <w:tcPr>
            <w:tcW w:w="3202" w:type="dxa"/>
            <w:shd w:val="clear" w:color="auto" w:fill="auto"/>
          </w:tcPr>
          <w:p w14:paraId="07E9B205" w14:textId="77777777" w:rsidR="00141C8E" w:rsidRPr="00FD0EF3" w:rsidRDefault="00141C8E" w:rsidP="001D573C">
            <w:pPr>
              <w:spacing w:line="360" w:lineRule="auto"/>
              <w:rPr>
                <w:rFonts w:ascii="Book Antiqua" w:hAnsi="Book Antiqua"/>
              </w:rPr>
            </w:pPr>
          </w:p>
        </w:tc>
        <w:tc>
          <w:tcPr>
            <w:tcW w:w="1276" w:type="dxa"/>
            <w:shd w:val="clear" w:color="auto" w:fill="auto"/>
          </w:tcPr>
          <w:p w14:paraId="2B5F3040" w14:textId="77777777" w:rsidR="00141C8E" w:rsidRPr="00FD0EF3" w:rsidRDefault="00141C8E" w:rsidP="001D573C">
            <w:pPr>
              <w:spacing w:line="360" w:lineRule="auto"/>
              <w:rPr>
                <w:rFonts w:ascii="Book Antiqua" w:hAnsi="Book Antiqua"/>
              </w:rPr>
            </w:pPr>
          </w:p>
        </w:tc>
      </w:tr>
      <w:tr w:rsidR="00141C8E" w:rsidRPr="00FD0EF3" w14:paraId="55FB5C0D" w14:textId="77777777" w:rsidTr="001D573C">
        <w:trPr>
          <w:trHeight w:val="285"/>
        </w:trPr>
        <w:tc>
          <w:tcPr>
            <w:tcW w:w="2620" w:type="dxa"/>
            <w:shd w:val="clear" w:color="auto" w:fill="auto"/>
            <w:noWrap/>
            <w:hideMark/>
          </w:tcPr>
          <w:p w14:paraId="69AE9219" w14:textId="77777777" w:rsidR="00141C8E" w:rsidRPr="00FD0EF3" w:rsidRDefault="00141C8E" w:rsidP="001D573C">
            <w:pPr>
              <w:spacing w:line="360" w:lineRule="auto"/>
              <w:rPr>
                <w:rFonts w:ascii="Book Antiqua" w:hAnsi="Book Antiqua"/>
              </w:rPr>
            </w:pPr>
            <w:r w:rsidRPr="00FD0EF3">
              <w:rPr>
                <w:rFonts w:ascii="Book Antiqua" w:hAnsi="Book Antiqua"/>
              </w:rPr>
              <w:t>AST, U/L</w:t>
            </w:r>
          </w:p>
        </w:tc>
        <w:tc>
          <w:tcPr>
            <w:tcW w:w="2508" w:type="dxa"/>
            <w:shd w:val="clear" w:color="auto" w:fill="auto"/>
            <w:noWrap/>
            <w:hideMark/>
          </w:tcPr>
          <w:p w14:paraId="6927A983" w14:textId="77777777" w:rsidR="00141C8E" w:rsidRPr="00FD0EF3" w:rsidRDefault="00141C8E" w:rsidP="001D573C">
            <w:pPr>
              <w:spacing w:line="360" w:lineRule="auto"/>
              <w:rPr>
                <w:rFonts w:ascii="Book Antiqua" w:hAnsi="Book Antiqua"/>
              </w:rPr>
            </w:pPr>
            <w:r w:rsidRPr="00FD0EF3">
              <w:rPr>
                <w:rFonts w:ascii="Book Antiqua" w:hAnsi="Book Antiqua"/>
              </w:rPr>
              <w:t>55.03</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47.31</w:t>
            </w:r>
          </w:p>
        </w:tc>
        <w:tc>
          <w:tcPr>
            <w:tcW w:w="3202" w:type="dxa"/>
            <w:shd w:val="clear" w:color="auto" w:fill="auto"/>
          </w:tcPr>
          <w:p w14:paraId="319EFE07" w14:textId="77777777" w:rsidR="00141C8E" w:rsidRPr="00FD0EF3" w:rsidRDefault="00141C8E" w:rsidP="001D573C">
            <w:pPr>
              <w:spacing w:line="360" w:lineRule="auto"/>
              <w:rPr>
                <w:rFonts w:ascii="Book Antiqua" w:hAnsi="Book Antiqua"/>
              </w:rPr>
            </w:pPr>
            <w:r w:rsidRPr="00FD0EF3">
              <w:rPr>
                <w:rFonts w:ascii="Book Antiqua" w:hAnsi="Book Antiqua"/>
              </w:rPr>
              <w:t>50.03</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29.26</w:t>
            </w:r>
          </w:p>
        </w:tc>
        <w:tc>
          <w:tcPr>
            <w:tcW w:w="1276" w:type="dxa"/>
            <w:shd w:val="clear" w:color="auto" w:fill="auto"/>
          </w:tcPr>
          <w:p w14:paraId="3B841A8D" w14:textId="77777777" w:rsidR="00141C8E" w:rsidRPr="00FD0EF3" w:rsidRDefault="00141C8E" w:rsidP="001D573C">
            <w:pPr>
              <w:spacing w:line="360" w:lineRule="auto"/>
              <w:rPr>
                <w:rFonts w:ascii="Book Antiqua" w:hAnsi="Book Antiqua"/>
              </w:rPr>
            </w:pPr>
          </w:p>
        </w:tc>
      </w:tr>
      <w:tr w:rsidR="00141C8E" w:rsidRPr="00FD0EF3" w14:paraId="196A590F" w14:textId="77777777" w:rsidTr="001D573C">
        <w:trPr>
          <w:trHeight w:val="285"/>
        </w:trPr>
        <w:tc>
          <w:tcPr>
            <w:tcW w:w="2620" w:type="dxa"/>
            <w:shd w:val="clear" w:color="auto" w:fill="auto"/>
            <w:noWrap/>
            <w:hideMark/>
          </w:tcPr>
          <w:p w14:paraId="27074DD8" w14:textId="77777777" w:rsidR="00141C8E" w:rsidRPr="00FD0EF3" w:rsidRDefault="00141C8E" w:rsidP="001D573C">
            <w:pPr>
              <w:spacing w:line="360" w:lineRule="auto"/>
              <w:rPr>
                <w:rFonts w:ascii="Book Antiqua" w:hAnsi="Book Antiqua"/>
              </w:rPr>
            </w:pPr>
            <w:r w:rsidRPr="00FD0EF3">
              <w:rPr>
                <w:rFonts w:ascii="Book Antiqua" w:hAnsi="Book Antiqua"/>
              </w:rPr>
              <w:t>ALT, U/L</w:t>
            </w:r>
          </w:p>
        </w:tc>
        <w:tc>
          <w:tcPr>
            <w:tcW w:w="2508" w:type="dxa"/>
            <w:shd w:val="clear" w:color="auto" w:fill="auto"/>
            <w:noWrap/>
            <w:hideMark/>
          </w:tcPr>
          <w:p w14:paraId="5E421941" w14:textId="77777777" w:rsidR="00141C8E" w:rsidRPr="00FD0EF3" w:rsidRDefault="00141C8E" w:rsidP="001D573C">
            <w:pPr>
              <w:spacing w:line="360" w:lineRule="auto"/>
              <w:rPr>
                <w:rFonts w:ascii="Book Antiqua" w:hAnsi="Book Antiqua"/>
              </w:rPr>
            </w:pPr>
            <w:r w:rsidRPr="00FD0EF3">
              <w:rPr>
                <w:rFonts w:ascii="Book Antiqua" w:hAnsi="Book Antiqua"/>
              </w:rPr>
              <w:t>66.62</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74.94</w:t>
            </w:r>
          </w:p>
        </w:tc>
        <w:tc>
          <w:tcPr>
            <w:tcW w:w="3202" w:type="dxa"/>
            <w:shd w:val="clear" w:color="auto" w:fill="auto"/>
          </w:tcPr>
          <w:p w14:paraId="28CFBEE3" w14:textId="77777777" w:rsidR="00141C8E" w:rsidRPr="00FD0EF3" w:rsidRDefault="00141C8E" w:rsidP="001D573C">
            <w:pPr>
              <w:spacing w:line="360" w:lineRule="auto"/>
              <w:rPr>
                <w:rFonts w:ascii="Book Antiqua" w:hAnsi="Book Antiqua"/>
              </w:rPr>
            </w:pPr>
            <w:r w:rsidRPr="00FD0EF3">
              <w:rPr>
                <w:rFonts w:ascii="Book Antiqua" w:hAnsi="Book Antiqua"/>
              </w:rPr>
              <w:t>86.01</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62.59</w:t>
            </w:r>
          </w:p>
        </w:tc>
        <w:tc>
          <w:tcPr>
            <w:tcW w:w="1276" w:type="dxa"/>
            <w:shd w:val="clear" w:color="auto" w:fill="auto"/>
          </w:tcPr>
          <w:p w14:paraId="44DAD000" w14:textId="77777777" w:rsidR="00141C8E" w:rsidRPr="00FD0EF3" w:rsidRDefault="00141C8E" w:rsidP="001D573C">
            <w:pPr>
              <w:spacing w:line="360" w:lineRule="auto"/>
              <w:rPr>
                <w:rFonts w:ascii="Book Antiqua" w:hAnsi="Book Antiqua"/>
              </w:rPr>
            </w:pPr>
          </w:p>
        </w:tc>
      </w:tr>
      <w:tr w:rsidR="00141C8E" w:rsidRPr="00FD0EF3" w14:paraId="38414A01" w14:textId="77777777" w:rsidTr="001D573C">
        <w:trPr>
          <w:trHeight w:val="285"/>
        </w:trPr>
        <w:tc>
          <w:tcPr>
            <w:tcW w:w="2620" w:type="dxa"/>
            <w:shd w:val="clear" w:color="auto" w:fill="auto"/>
            <w:noWrap/>
            <w:hideMark/>
          </w:tcPr>
          <w:p w14:paraId="1FE74BC0" w14:textId="77777777" w:rsidR="00141C8E" w:rsidRPr="00FD0EF3" w:rsidRDefault="00141C8E" w:rsidP="001D573C">
            <w:pPr>
              <w:spacing w:line="360" w:lineRule="auto"/>
              <w:rPr>
                <w:rFonts w:ascii="Book Antiqua" w:hAnsi="Book Antiqua"/>
              </w:rPr>
            </w:pPr>
            <w:r w:rsidRPr="00FD0EF3">
              <w:rPr>
                <w:rFonts w:ascii="Book Antiqua" w:hAnsi="Book Antiqua"/>
              </w:rPr>
              <w:t>AKP, U/L</w:t>
            </w:r>
          </w:p>
        </w:tc>
        <w:tc>
          <w:tcPr>
            <w:tcW w:w="2508" w:type="dxa"/>
            <w:shd w:val="clear" w:color="auto" w:fill="auto"/>
            <w:noWrap/>
            <w:hideMark/>
          </w:tcPr>
          <w:p w14:paraId="0751BA2D" w14:textId="77777777" w:rsidR="00141C8E" w:rsidRPr="00FD0EF3" w:rsidRDefault="00141C8E" w:rsidP="001D573C">
            <w:pPr>
              <w:spacing w:line="360" w:lineRule="auto"/>
              <w:rPr>
                <w:rFonts w:ascii="Book Antiqua" w:hAnsi="Book Antiqua"/>
              </w:rPr>
            </w:pPr>
            <w:r w:rsidRPr="00FD0EF3">
              <w:rPr>
                <w:rFonts w:ascii="Book Antiqua" w:hAnsi="Book Antiqua"/>
              </w:rPr>
              <w:t xml:space="preserve">63.00 </w:t>
            </w:r>
            <w:r>
              <w:rPr>
                <w:rFonts w:ascii="Book Antiqua" w:hAnsi="Book Antiqua"/>
              </w:rPr>
              <w:t>(</w:t>
            </w:r>
            <w:r w:rsidRPr="00FD0EF3">
              <w:rPr>
                <w:rFonts w:ascii="Book Antiqua" w:hAnsi="Book Antiqua"/>
              </w:rPr>
              <w:t>45.00,</w:t>
            </w:r>
            <w:r>
              <w:rPr>
                <w:rFonts w:ascii="Book Antiqua" w:hAnsi="Book Antiqua"/>
              </w:rPr>
              <w:t xml:space="preserve"> </w:t>
            </w:r>
            <w:r w:rsidRPr="00FD0EF3">
              <w:rPr>
                <w:rFonts w:ascii="Book Antiqua" w:hAnsi="Book Antiqua"/>
              </w:rPr>
              <w:t>84.00</w:t>
            </w:r>
            <w:r>
              <w:rPr>
                <w:rFonts w:ascii="Book Antiqua" w:hAnsi="Book Antiqua"/>
              </w:rPr>
              <w:t>)</w:t>
            </w:r>
          </w:p>
        </w:tc>
        <w:tc>
          <w:tcPr>
            <w:tcW w:w="3202" w:type="dxa"/>
            <w:shd w:val="clear" w:color="auto" w:fill="auto"/>
          </w:tcPr>
          <w:p w14:paraId="65601761" w14:textId="77777777" w:rsidR="00141C8E" w:rsidRPr="00FD0EF3" w:rsidRDefault="00141C8E" w:rsidP="001D573C">
            <w:pPr>
              <w:spacing w:line="360" w:lineRule="auto"/>
              <w:rPr>
                <w:rFonts w:ascii="Book Antiqua" w:hAnsi="Book Antiqua"/>
              </w:rPr>
            </w:pPr>
            <w:r w:rsidRPr="00FD0EF3">
              <w:rPr>
                <w:rFonts w:ascii="Book Antiqua" w:hAnsi="Book Antiqua"/>
              </w:rPr>
              <w:t xml:space="preserve">75.00 </w:t>
            </w:r>
            <w:r>
              <w:rPr>
                <w:rFonts w:ascii="Book Antiqua" w:hAnsi="Book Antiqua"/>
              </w:rPr>
              <w:t>(</w:t>
            </w:r>
            <w:r w:rsidRPr="00FD0EF3">
              <w:rPr>
                <w:rFonts w:ascii="Book Antiqua" w:hAnsi="Book Antiqua"/>
              </w:rPr>
              <w:t>54.00,</w:t>
            </w:r>
            <w:r>
              <w:rPr>
                <w:rFonts w:ascii="Book Antiqua" w:hAnsi="Book Antiqua"/>
              </w:rPr>
              <w:t xml:space="preserve"> </w:t>
            </w:r>
            <w:r w:rsidRPr="00FD0EF3">
              <w:rPr>
                <w:rFonts w:ascii="Book Antiqua" w:hAnsi="Book Antiqua"/>
              </w:rPr>
              <w:t>87.00</w:t>
            </w:r>
            <w:r>
              <w:rPr>
                <w:rFonts w:ascii="Book Antiqua" w:hAnsi="Book Antiqua"/>
              </w:rPr>
              <w:t>)</w:t>
            </w:r>
          </w:p>
        </w:tc>
        <w:tc>
          <w:tcPr>
            <w:tcW w:w="1276" w:type="dxa"/>
            <w:shd w:val="clear" w:color="auto" w:fill="auto"/>
          </w:tcPr>
          <w:p w14:paraId="326DC592" w14:textId="77777777" w:rsidR="00141C8E" w:rsidRPr="00FD0EF3" w:rsidRDefault="00141C8E" w:rsidP="001D573C">
            <w:pPr>
              <w:spacing w:line="360" w:lineRule="auto"/>
              <w:rPr>
                <w:rFonts w:ascii="Book Antiqua" w:hAnsi="Book Antiqua"/>
              </w:rPr>
            </w:pPr>
          </w:p>
        </w:tc>
      </w:tr>
      <w:tr w:rsidR="00141C8E" w:rsidRPr="00FD0EF3" w14:paraId="077CC785" w14:textId="77777777" w:rsidTr="001D573C">
        <w:trPr>
          <w:trHeight w:val="285"/>
        </w:trPr>
        <w:tc>
          <w:tcPr>
            <w:tcW w:w="2620" w:type="dxa"/>
            <w:shd w:val="clear" w:color="auto" w:fill="auto"/>
            <w:noWrap/>
            <w:hideMark/>
          </w:tcPr>
          <w:p w14:paraId="3BC0EBA5" w14:textId="77777777" w:rsidR="00141C8E" w:rsidRPr="00FD0EF3" w:rsidRDefault="00141C8E" w:rsidP="001D573C">
            <w:pPr>
              <w:spacing w:line="360" w:lineRule="auto"/>
              <w:rPr>
                <w:rFonts w:ascii="Book Antiqua" w:hAnsi="Book Antiqua"/>
              </w:rPr>
            </w:pPr>
            <w:r w:rsidRPr="00FD0EF3">
              <w:rPr>
                <w:rFonts w:ascii="Book Antiqua" w:hAnsi="Book Antiqua"/>
              </w:rPr>
              <w:t>GGT, U/L</w:t>
            </w:r>
          </w:p>
        </w:tc>
        <w:tc>
          <w:tcPr>
            <w:tcW w:w="2508" w:type="dxa"/>
            <w:shd w:val="clear" w:color="auto" w:fill="auto"/>
            <w:noWrap/>
            <w:hideMark/>
          </w:tcPr>
          <w:p w14:paraId="731CE644" w14:textId="77777777" w:rsidR="00141C8E" w:rsidRPr="00FD0EF3" w:rsidRDefault="00141C8E" w:rsidP="001D573C">
            <w:pPr>
              <w:spacing w:line="360" w:lineRule="auto"/>
              <w:rPr>
                <w:rFonts w:ascii="Book Antiqua" w:hAnsi="Book Antiqua"/>
              </w:rPr>
            </w:pPr>
            <w:r w:rsidRPr="00FD0EF3">
              <w:rPr>
                <w:rFonts w:ascii="Book Antiqua" w:hAnsi="Book Antiqua"/>
              </w:rPr>
              <w:t>49.27</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32.24</w:t>
            </w:r>
          </w:p>
        </w:tc>
        <w:tc>
          <w:tcPr>
            <w:tcW w:w="3202" w:type="dxa"/>
            <w:shd w:val="clear" w:color="auto" w:fill="auto"/>
          </w:tcPr>
          <w:p w14:paraId="36BAA9ED" w14:textId="77777777" w:rsidR="00141C8E" w:rsidRPr="00FD0EF3" w:rsidRDefault="00141C8E" w:rsidP="001D573C">
            <w:pPr>
              <w:spacing w:line="360" w:lineRule="auto"/>
              <w:rPr>
                <w:rFonts w:ascii="Book Antiqua" w:hAnsi="Book Antiqua"/>
              </w:rPr>
            </w:pPr>
            <w:r w:rsidRPr="00FD0EF3">
              <w:rPr>
                <w:rFonts w:ascii="Book Antiqua" w:hAnsi="Book Antiqua"/>
              </w:rPr>
              <w:t>69.26</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44.07</w:t>
            </w:r>
          </w:p>
        </w:tc>
        <w:tc>
          <w:tcPr>
            <w:tcW w:w="1276" w:type="dxa"/>
            <w:shd w:val="clear" w:color="auto" w:fill="auto"/>
          </w:tcPr>
          <w:p w14:paraId="3215C03E" w14:textId="77777777" w:rsidR="00141C8E" w:rsidRPr="00FD0EF3" w:rsidRDefault="00141C8E" w:rsidP="001D573C">
            <w:pPr>
              <w:spacing w:line="360" w:lineRule="auto"/>
              <w:rPr>
                <w:rFonts w:ascii="Book Antiqua" w:hAnsi="Book Antiqua"/>
              </w:rPr>
            </w:pPr>
            <w:r w:rsidRPr="00FD0EF3">
              <w:rPr>
                <w:rFonts w:ascii="Book Antiqua" w:hAnsi="Book Antiqua"/>
              </w:rPr>
              <w:t>&lt;</w:t>
            </w:r>
            <w:r>
              <w:rPr>
                <w:rFonts w:ascii="Book Antiqua" w:hAnsi="Book Antiqua"/>
              </w:rPr>
              <w:t xml:space="preserve"> </w:t>
            </w:r>
            <w:r w:rsidRPr="00FD0EF3">
              <w:rPr>
                <w:rFonts w:ascii="Book Antiqua" w:hAnsi="Book Antiqua"/>
              </w:rPr>
              <w:t>0.05</w:t>
            </w:r>
          </w:p>
        </w:tc>
      </w:tr>
      <w:tr w:rsidR="00141C8E" w:rsidRPr="00FD0EF3" w14:paraId="761B0C1F" w14:textId="77777777" w:rsidTr="001D573C">
        <w:trPr>
          <w:trHeight w:val="285"/>
        </w:trPr>
        <w:tc>
          <w:tcPr>
            <w:tcW w:w="2620" w:type="dxa"/>
            <w:shd w:val="clear" w:color="auto" w:fill="auto"/>
            <w:noWrap/>
            <w:hideMark/>
          </w:tcPr>
          <w:p w14:paraId="58FEE73F" w14:textId="77777777" w:rsidR="00141C8E" w:rsidRPr="00FD0EF3" w:rsidRDefault="00141C8E" w:rsidP="001D573C">
            <w:pPr>
              <w:spacing w:line="360" w:lineRule="auto"/>
              <w:rPr>
                <w:rFonts w:ascii="Book Antiqua" w:hAnsi="Book Antiqua"/>
              </w:rPr>
            </w:pPr>
            <w:r w:rsidRPr="00FD0EF3">
              <w:rPr>
                <w:rFonts w:ascii="Book Antiqua" w:hAnsi="Book Antiqua"/>
              </w:rPr>
              <w:t>Total bilirubin, mg/</w:t>
            </w:r>
            <w:proofErr w:type="spellStart"/>
            <w:r w:rsidRPr="00FD0EF3">
              <w:rPr>
                <w:rFonts w:ascii="Book Antiqua" w:hAnsi="Book Antiqua"/>
              </w:rPr>
              <w:t>dL</w:t>
            </w:r>
            <w:proofErr w:type="spellEnd"/>
          </w:p>
        </w:tc>
        <w:tc>
          <w:tcPr>
            <w:tcW w:w="2508" w:type="dxa"/>
            <w:shd w:val="clear" w:color="auto" w:fill="auto"/>
            <w:noWrap/>
            <w:hideMark/>
          </w:tcPr>
          <w:p w14:paraId="45FA42FD" w14:textId="77777777" w:rsidR="00141C8E" w:rsidRPr="00FD0EF3" w:rsidRDefault="00141C8E" w:rsidP="001D573C">
            <w:pPr>
              <w:spacing w:line="360" w:lineRule="auto"/>
              <w:rPr>
                <w:rFonts w:ascii="Book Antiqua" w:hAnsi="Book Antiqua"/>
              </w:rPr>
            </w:pPr>
            <w:r w:rsidRPr="00FD0EF3">
              <w:rPr>
                <w:rFonts w:ascii="Book Antiqua" w:hAnsi="Book Antiqua"/>
              </w:rPr>
              <w:t xml:space="preserve">10.20 </w:t>
            </w:r>
            <w:r>
              <w:rPr>
                <w:rFonts w:ascii="Book Antiqua" w:hAnsi="Book Antiqua"/>
              </w:rPr>
              <w:t>(</w:t>
            </w:r>
            <w:r w:rsidRPr="00FD0EF3">
              <w:rPr>
                <w:rFonts w:ascii="Book Antiqua" w:hAnsi="Book Antiqua"/>
              </w:rPr>
              <w:t>8.60, 14.10</w:t>
            </w:r>
            <w:r>
              <w:rPr>
                <w:rFonts w:ascii="Book Antiqua" w:hAnsi="Book Antiqua"/>
              </w:rPr>
              <w:t>)</w:t>
            </w:r>
          </w:p>
        </w:tc>
        <w:tc>
          <w:tcPr>
            <w:tcW w:w="3202" w:type="dxa"/>
            <w:shd w:val="clear" w:color="auto" w:fill="auto"/>
          </w:tcPr>
          <w:p w14:paraId="2CE8BB5A" w14:textId="77777777" w:rsidR="00141C8E" w:rsidRPr="00FD0EF3" w:rsidRDefault="00141C8E" w:rsidP="001D573C">
            <w:pPr>
              <w:spacing w:line="360" w:lineRule="auto"/>
              <w:rPr>
                <w:rFonts w:ascii="Book Antiqua" w:hAnsi="Book Antiqua"/>
              </w:rPr>
            </w:pPr>
            <w:r w:rsidRPr="00FD0EF3">
              <w:rPr>
                <w:rFonts w:ascii="Book Antiqua" w:hAnsi="Book Antiqua"/>
              </w:rPr>
              <w:t>10.25</w:t>
            </w:r>
            <w:r>
              <w:rPr>
                <w:rFonts w:ascii="Book Antiqua" w:hAnsi="Book Antiqua"/>
              </w:rPr>
              <w:t xml:space="preserve"> (</w:t>
            </w:r>
            <w:r w:rsidRPr="00FD0EF3">
              <w:rPr>
                <w:rFonts w:ascii="Book Antiqua" w:hAnsi="Book Antiqua"/>
              </w:rPr>
              <w:t>7.40, 13.67</w:t>
            </w:r>
            <w:r>
              <w:rPr>
                <w:rFonts w:ascii="Book Antiqua" w:hAnsi="Book Antiqua"/>
              </w:rPr>
              <w:t>)</w:t>
            </w:r>
          </w:p>
        </w:tc>
        <w:tc>
          <w:tcPr>
            <w:tcW w:w="1276" w:type="dxa"/>
            <w:shd w:val="clear" w:color="auto" w:fill="auto"/>
          </w:tcPr>
          <w:p w14:paraId="7768448F" w14:textId="77777777" w:rsidR="00141C8E" w:rsidRPr="00FD0EF3" w:rsidRDefault="00141C8E" w:rsidP="001D573C">
            <w:pPr>
              <w:spacing w:line="360" w:lineRule="auto"/>
              <w:rPr>
                <w:rFonts w:ascii="Book Antiqua" w:hAnsi="Book Antiqua"/>
              </w:rPr>
            </w:pPr>
          </w:p>
        </w:tc>
      </w:tr>
      <w:tr w:rsidR="00141C8E" w:rsidRPr="00FD0EF3" w14:paraId="238D8844" w14:textId="77777777" w:rsidTr="001D573C">
        <w:trPr>
          <w:trHeight w:val="285"/>
        </w:trPr>
        <w:tc>
          <w:tcPr>
            <w:tcW w:w="2620" w:type="dxa"/>
            <w:shd w:val="clear" w:color="auto" w:fill="auto"/>
            <w:noWrap/>
            <w:hideMark/>
          </w:tcPr>
          <w:p w14:paraId="06ACE9F1" w14:textId="77777777" w:rsidR="00141C8E" w:rsidRPr="00FD0EF3" w:rsidRDefault="00141C8E" w:rsidP="001D573C">
            <w:pPr>
              <w:spacing w:line="360" w:lineRule="auto"/>
              <w:rPr>
                <w:rFonts w:ascii="Book Antiqua" w:hAnsi="Book Antiqua"/>
              </w:rPr>
            </w:pPr>
            <w:r w:rsidRPr="00FD0EF3">
              <w:rPr>
                <w:rFonts w:ascii="Book Antiqua" w:hAnsi="Book Antiqua"/>
              </w:rPr>
              <w:t>Direct bilirubin, mg/</w:t>
            </w:r>
            <w:proofErr w:type="spellStart"/>
            <w:r w:rsidRPr="00FD0EF3">
              <w:rPr>
                <w:rFonts w:ascii="Book Antiqua" w:hAnsi="Book Antiqua"/>
              </w:rPr>
              <w:t>dL</w:t>
            </w:r>
            <w:proofErr w:type="spellEnd"/>
          </w:p>
        </w:tc>
        <w:tc>
          <w:tcPr>
            <w:tcW w:w="2508" w:type="dxa"/>
            <w:shd w:val="clear" w:color="auto" w:fill="auto"/>
            <w:noWrap/>
            <w:hideMark/>
          </w:tcPr>
          <w:p w14:paraId="32976C96" w14:textId="77777777" w:rsidR="00141C8E" w:rsidRPr="00FD0EF3" w:rsidRDefault="00141C8E" w:rsidP="001D573C">
            <w:pPr>
              <w:spacing w:line="360" w:lineRule="auto"/>
              <w:rPr>
                <w:rFonts w:ascii="Book Antiqua" w:hAnsi="Book Antiqua"/>
              </w:rPr>
            </w:pPr>
            <w:r w:rsidRPr="00FD0EF3">
              <w:rPr>
                <w:rFonts w:ascii="Book Antiqua" w:hAnsi="Book Antiqua"/>
              </w:rPr>
              <w:t xml:space="preserve">4.20 </w:t>
            </w:r>
            <w:r>
              <w:rPr>
                <w:rFonts w:ascii="Book Antiqua" w:hAnsi="Book Antiqua"/>
              </w:rPr>
              <w:t>(</w:t>
            </w:r>
            <w:r w:rsidRPr="00FD0EF3">
              <w:rPr>
                <w:rFonts w:ascii="Book Antiqua" w:hAnsi="Book Antiqua"/>
              </w:rPr>
              <w:t>3.20, 5.00</w:t>
            </w:r>
            <w:r>
              <w:rPr>
                <w:rFonts w:ascii="Book Antiqua" w:hAnsi="Book Antiqua"/>
              </w:rPr>
              <w:t>)</w:t>
            </w:r>
          </w:p>
        </w:tc>
        <w:tc>
          <w:tcPr>
            <w:tcW w:w="3202" w:type="dxa"/>
            <w:shd w:val="clear" w:color="auto" w:fill="auto"/>
          </w:tcPr>
          <w:p w14:paraId="762D8C82" w14:textId="77777777" w:rsidR="00141C8E" w:rsidRPr="00FD0EF3" w:rsidRDefault="00141C8E" w:rsidP="001D573C">
            <w:pPr>
              <w:spacing w:line="360" w:lineRule="auto"/>
              <w:rPr>
                <w:rFonts w:ascii="Book Antiqua" w:hAnsi="Book Antiqua"/>
              </w:rPr>
            </w:pPr>
            <w:r w:rsidRPr="00FD0EF3">
              <w:rPr>
                <w:rFonts w:ascii="Book Antiqua" w:hAnsi="Book Antiqua"/>
              </w:rPr>
              <w:t>3.70</w:t>
            </w:r>
            <w:r>
              <w:rPr>
                <w:rFonts w:ascii="Book Antiqua" w:hAnsi="Book Antiqua"/>
              </w:rPr>
              <w:t xml:space="preserve"> (</w:t>
            </w:r>
            <w:r w:rsidRPr="00FD0EF3">
              <w:rPr>
                <w:rFonts w:ascii="Book Antiqua" w:hAnsi="Book Antiqua"/>
              </w:rPr>
              <w:t>2.92, 4.65</w:t>
            </w:r>
            <w:r>
              <w:rPr>
                <w:rFonts w:ascii="Book Antiqua" w:hAnsi="Book Antiqua"/>
              </w:rPr>
              <w:t>)</w:t>
            </w:r>
          </w:p>
        </w:tc>
        <w:tc>
          <w:tcPr>
            <w:tcW w:w="1276" w:type="dxa"/>
            <w:shd w:val="clear" w:color="auto" w:fill="auto"/>
          </w:tcPr>
          <w:p w14:paraId="4C744525" w14:textId="77777777" w:rsidR="00141C8E" w:rsidRPr="00FD0EF3" w:rsidRDefault="00141C8E" w:rsidP="001D573C">
            <w:pPr>
              <w:spacing w:line="360" w:lineRule="auto"/>
              <w:rPr>
                <w:rFonts w:ascii="Book Antiqua" w:hAnsi="Book Antiqua"/>
              </w:rPr>
            </w:pPr>
          </w:p>
        </w:tc>
      </w:tr>
      <w:tr w:rsidR="00141C8E" w:rsidRPr="00FD0EF3" w14:paraId="36FE0F35" w14:textId="77777777" w:rsidTr="001D573C">
        <w:trPr>
          <w:trHeight w:val="285"/>
        </w:trPr>
        <w:tc>
          <w:tcPr>
            <w:tcW w:w="2620" w:type="dxa"/>
            <w:shd w:val="clear" w:color="auto" w:fill="auto"/>
            <w:noWrap/>
          </w:tcPr>
          <w:p w14:paraId="07B15ACB" w14:textId="77777777" w:rsidR="00141C8E" w:rsidRPr="00FD0EF3" w:rsidRDefault="00141C8E" w:rsidP="001D573C">
            <w:pPr>
              <w:spacing w:line="360" w:lineRule="auto"/>
              <w:rPr>
                <w:rFonts w:ascii="Book Antiqua" w:hAnsi="Book Antiqua"/>
              </w:rPr>
            </w:pPr>
            <w:r w:rsidRPr="00FD0EF3">
              <w:rPr>
                <w:rFonts w:ascii="Book Antiqua" w:hAnsi="Book Antiqua"/>
              </w:rPr>
              <w:t>IgG</w:t>
            </w:r>
          </w:p>
        </w:tc>
        <w:tc>
          <w:tcPr>
            <w:tcW w:w="2508" w:type="dxa"/>
            <w:shd w:val="clear" w:color="auto" w:fill="auto"/>
            <w:noWrap/>
          </w:tcPr>
          <w:p w14:paraId="39F4D92A" w14:textId="77777777" w:rsidR="00141C8E" w:rsidRPr="00FD0EF3" w:rsidRDefault="00141C8E" w:rsidP="001D573C">
            <w:pPr>
              <w:spacing w:line="360" w:lineRule="auto"/>
              <w:rPr>
                <w:rFonts w:ascii="Book Antiqua" w:hAnsi="Book Antiqua"/>
              </w:rPr>
            </w:pPr>
            <w:r w:rsidRPr="00FD0EF3">
              <w:rPr>
                <w:rFonts w:ascii="Book Antiqua" w:hAnsi="Book Antiqua"/>
              </w:rPr>
              <w:t>15.60</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4.57</w:t>
            </w:r>
          </w:p>
        </w:tc>
        <w:tc>
          <w:tcPr>
            <w:tcW w:w="3202" w:type="dxa"/>
            <w:shd w:val="clear" w:color="auto" w:fill="auto"/>
          </w:tcPr>
          <w:p w14:paraId="013BFBAD" w14:textId="77777777" w:rsidR="00141C8E" w:rsidRPr="00FD0EF3" w:rsidRDefault="00141C8E" w:rsidP="001D573C">
            <w:pPr>
              <w:spacing w:line="360" w:lineRule="auto"/>
              <w:rPr>
                <w:rFonts w:ascii="Book Antiqua" w:hAnsi="Book Antiqua"/>
              </w:rPr>
            </w:pPr>
            <w:r w:rsidRPr="00FD0EF3">
              <w:rPr>
                <w:rFonts w:ascii="Book Antiqua" w:hAnsi="Book Antiqua"/>
              </w:rPr>
              <w:t>13.81</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2.67</w:t>
            </w:r>
          </w:p>
        </w:tc>
        <w:tc>
          <w:tcPr>
            <w:tcW w:w="1276" w:type="dxa"/>
            <w:shd w:val="clear" w:color="auto" w:fill="auto"/>
          </w:tcPr>
          <w:p w14:paraId="7532C009" w14:textId="77777777" w:rsidR="00141C8E" w:rsidRPr="00FD0EF3" w:rsidRDefault="00141C8E" w:rsidP="001D573C">
            <w:pPr>
              <w:spacing w:line="360" w:lineRule="auto"/>
              <w:rPr>
                <w:rFonts w:ascii="Book Antiqua" w:hAnsi="Book Antiqua"/>
              </w:rPr>
            </w:pPr>
            <w:r w:rsidRPr="00FD0EF3">
              <w:rPr>
                <w:rFonts w:ascii="Book Antiqua" w:hAnsi="Book Antiqua"/>
              </w:rPr>
              <w:t>&lt;</w:t>
            </w:r>
            <w:r>
              <w:rPr>
                <w:rFonts w:ascii="Book Antiqua" w:hAnsi="Book Antiqua"/>
              </w:rPr>
              <w:t xml:space="preserve"> </w:t>
            </w:r>
            <w:r w:rsidRPr="00FD0EF3">
              <w:rPr>
                <w:rFonts w:ascii="Book Antiqua" w:hAnsi="Book Antiqua"/>
              </w:rPr>
              <w:t>0.05</w:t>
            </w:r>
          </w:p>
        </w:tc>
      </w:tr>
      <w:tr w:rsidR="00141C8E" w:rsidRPr="00FD0EF3" w14:paraId="2897068A" w14:textId="77777777" w:rsidTr="001D573C">
        <w:trPr>
          <w:trHeight w:val="285"/>
        </w:trPr>
        <w:tc>
          <w:tcPr>
            <w:tcW w:w="2620" w:type="dxa"/>
            <w:shd w:val="clear" w:color="auto" w:fill="auto"/>
            <w:noWrap/>
          </w:tcPr>
          <w:p w14:paraId="4B9A45E3" w14:textId="77777777" w:rsidR="00141C8E" w:rsidRPr="00FD0EF3" w:rsidRDefault="00141C8E" w:rsidP="001D573C">
            <w:pPr>
              <w:spacing w:line="360" w:lineRule="auto"/>
              <w:rPr>
                <w:rFonts w:ascii="Book Antiqua" w:hAnsi="Book Antiqua"/>
              </w:rPr>
            </w:pPr>
            <w:r w:rsidRPr="00FD0EF3">
              <w:rPr>
                <w:rFonts w:ascii="Book Antiqua" w:hAnsi="Book Antiqua"/>
              </w:rPr>
              <w:t>IgM</w:t>
            </w:r>
          </w:p>
        </w:tc>
        <w:tc>
          <w:tcPr>
            <w:tcW w:w="2508" w:type="dxa"/>
            <w:shd w:val="clear" w:color="auto" w:fill="auto"/>
            <w:noWrap/>
          </w:tcPr>
          <w:p w14:paraId="7877E2F0" w14:textId="77777777" w:rsidR="00141C8E" w:rsidRPr="00FD0EF3" w:rsidRDefault="00141C8E" w:rsidP="001D573C">
            <w:pPr>
              <w:spacing w:line="360" w:lineRule="auto"/>
              <w:rPr>
                <w:rFonts w:ascii="Book Antiqua" w:hAnsi="Book Antiqua"/>
              </w:rPr>
            </w:pPr>
            <w:r w:rsidRPr="00FD0EF3">
              <w:rPr>
                <w:rFonts w:ascii="Book Antiqua" w:hAnsi="Book Antiqua"/>
              </w:rPr>
              <w:t>1.18</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0.45</w:t>
            </w:r>
          </w:p>
        </w:tc>
        <w:tc>
          <w:tcPr>
            <w:tcW w:w="3202" w:type="dxa"/>
            <w:shd w:val="clear" w:color="auto" w:fill="auto"/>
          </w:tcPr>
          <w:p w14:paraId="2A4A0A59" w14:textId="77777777" w:rsidR="00141C8E" w:rsidRPr="00FD0EF3" w:rsidRDefault="00141C8E" w:rsidP="001D573C">
            <w:pPr>
              <w:spacing w:line="360" w:lineRule="auto"/>
              <w:rPr>
                <w:rFonts w:ascii="Book Antiqua" w:hAnsi="Book Antiqua"/>
              </w:rPr>
            </w:pPr>
            <w:r w:rsidRPr="00FD0EF3">
              <w:rPr>
                <w:rFonts w:ascii="Book Antiqua" w:hAnsi="Book Antiqua"/>
              </w:rPr>
              <w:t>1.28</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0.57</w:t>
            </w:r>
          </w:p>
        </w:tc>
        <w:tc>
          <w:tcPr>
            <w:tcW w:w="1276" w:type="dxa"/>
            <w:shd w:val="clear" w:color="auto" w:fill="auto"/>
          </w:tcPr>
          <w:p w14:paraId="757BC73B" w14:textId="77777777" w:rsidR="00141C8E" w:rsidRPr="00FD0EF3" w:rsidRDefault="00141C8E" w:rsidP="001D573C">
            <w:pPr>
              <w:spacing w:line="360" w:lineRule="auto"/>
              <w:rPr>
                <w:rFonts w:ascii="Book Antiqua" w:hAnsi="Book Antiqua"/>
              </w:rPr>
            </w:pPr>
          </w:p>
        </w:tc>
      </w:tr>
      <w:tr w:rsidR="00141C8E" w:rsidRPr="00FD0EF3" w14:paraId="4EB4B7FE" w14:textId="77777777" w:rsidTr="001D573C">
        <w:trPr>
          <w:trHeight w:val="285"/>
        </w:trPr>
        <w:tc>
          <w:tcPr>
            <w:tcW w:w="2620" w:type="dxa"/>
            <w:shd w:val="clear" w:color="auto" w:fill="auto"/>
            <w:noWrap/>
            <w:hideMark/>
          </w:tcPr>
          <w:p w14:paraId="44E2A962" w14:textId="77777777" w:rsidR="00141C8E" w:rsidRPr="00FD0EF3" w:rsidRDefault="00141C8E" w:rsidP="001D573C">
            <w:pPr>
              <w:spacing w:line="360" w:lineRule="auto"/>
              <w:rPr>
                <w:rFonts w:ascii="Book Antiqua" w:hAnsi="Book Antiqua"/>
              </w:rPr>
            </w:pPr>
            <w:r w:rsidRPr="00FD0EF3">
              <w:rPr>
                <w:rFonts w:ascii="Book Antiqua" w:hAnsi="Book Antiqua"/>
              </w:rPr>
              <w:t>Histological steatosis stage</w:t>
            </w:r>
            <w:r>
              <w:rPr>
                <w:rFonts w:ascii="Book Antiqua" w:hAnsi="Book Antiqua"/>
              </w:rPr>
              <w:t xml:space="preserve">, </w:t>
            </w:r>
            <w:r w:rsidRPr="00FD0EF3">
              <w:rPr>
                <w:rFonts w:ascii="Book Antiqua" w:hAnsi="Book Antiqua"/>
                <w:i/>
                <w:iCs/>
              </w:rPr>
              <w:t>n</w:t>
            </w:r>
            <w:r>
              <w:rPr>
                <w:rFonts w:ascii="Book Antiqua" w:hAnsi="Book Antiqua"/>
              </w:rPr>
              <w:t xml:space="preserve"> (%)</w:t>
            </w:r>
          </w:p>
        </w:tc>
        <w:tc>
          <w:tcPr>
            <w:tcW w:w="2508" w:type="dxa"/>
            <w:shd w:val="clear" w:color="auto" w:fill="auto"/>
            <w:noWrap/>
            <w:hideMark/>
          </w:tcPr>
          <w:p w14:paraId="4688F8DB" w14:textId="77777777" w:rsidR="00141C8E" w:rsidRPr="00FD0EF3" w:rsidRDefault="00141C8E" w:rsidP="001D573C">
            <w:pPr>
              <w:spacing w:line="360" w:lineRule="auto"/>
              <w:rPr>
                <w:rFonts w:ascii="Book Antiqua" w:hAnsi="Book Antiqua"/>
              </w:rPr>
            </w:pPr>
          </w:p>
        </w:tc>
        <w:tc>
          <w:tcPr>
            <w:tcW w:w="3202" w:type="dxa"/>
            <w:shd w:val="clear" w:color="auto" w:fill="auto"/>
          </w:tcPr>
          <w:p w14:paraId="0FBFC4C0" w14:textId="77777777" w:rsidR="00141C8E" w:rsidRPr="00FD0EF3" w:rsidRDefault="00141C8E" w:rsidP="001D573C">
            <w:pPr>
              <w:spacing w:line="360" w:lineRule="auto"/>
              <w:rPr>
                <w:rFonts w:ascii="Book Antiqua" w:hAnsi="Book Antiqua"/>
              </w:rPr>
            </w:pPr>
          </w:p>
        </w:tc>
        <w:tc>
          <w:tcPr>
            <w:tcW w:w="1276" w:type="dxa"/>
            <w:shd w:val="clear" w:color="auto" w:fill="auto"/>
          </w:tcPr>
          <w:p w14:paraId="4AEBAF66" w14:textId="77777777" w:rsidR="00141C8E" w:rsidRPr="00FD0EF3" w:rsidRDefault="00141C8E" w:rsidP="001D573C">
            <w:pPr>
              <w:spacing w:line="360" w:lineRule="auto"/>
              <w:rPr>
                <w:rFonts w:ascii="Book Antiqua" w:hAnsi="Book Antiqua"/>
              </w:rPr>
            </w:pPr>
          </w:p>
        </w:tc>
      </w:tr>
      <w:tr w:rsidR="00141C8E" w:rsidRPr="00FD0EF3" w14:paraId="2211D764" w14:textId="77777777" w:rsidTr="001D573C">
        <w:trPr>
          <w:trHeight w:val="285"/>
        </w:trPr>
        <w:tc>
          <w:tcPr>
            <w:tcW w:w="2620" w:type="dxa"/>
            <w:shd w:val="clear" w:color="auto" w:fill="auto"/>
            <w:noWrap/>
            <w:hideMark/>
          </w:tcPr>
          <w:p w14:paraId="0603603F" w14:textId="77777777" w:rsidR="00141C8E" w:rsidRPr="00FD0EF3" w:rsidRDefault="00141C8E" w:rsidP="001D573C">
            <w:pPr>
              <w:spacing w:line="360" w:lineRule="auto"/>
              <w:rPr>
                <w:rFonts w:ascii="Book Antiqua" w:hAnsi="Book Antiqua"/>
              </w:rPr>
            </w:pPr>
            <w:r w:rsidRPr="00FD0EF3">
              <w:rPr>
                <w:rFonts w:ascii="Book Antiqua" w:hAnsi="Book Antiqua"/>
              </w:rPr>
              <w:t>S1</w:t>
            </w:r>
          </w:p>
        </w:tc>
        <w:tc>
          <w:tcPr>
            <w:tcW w:w="2508" w:type="dxa"/>
            <w:shd w:val="clear" w:color="auto" w:fill="auto"/>
            <w:noWrap/>
            <w:hideMark/>
          </w:tcPr>
          <w:p w14:paraId="4A90039D" w14:textId="77777777" w:rsidR="00141C8E" w:rsidRPr="00FD0EF3" w:rsidRDefault="00141C8E" w:rsidP="001D573C">
            <w:pPr>
              <w:spacing w:line="360" w:lineRule="auto"/>
              <w:rPr>
                <w:rFonts w:ascii="Book Antiqua" w:hAnsi="Book Antiqua"/>
              </w:rPr>
            </w:pPr>
            <w:r w:rsidRPr="00FD0EF3">
              <w:rPr>
                <w:rFonts w:ascii="Book Antiqua" w:hAnsi="Book Antiqua"/>
              </w:rPr>
              <w:t>39 (63.9)</w:t>
            </w:r>
          </w:p>
        </w:tc>
        <w:tc>
          <w:tcPr>
            <w:tcW w:w="3202" w:type="dxa"/>
            <w:shd w:val="clear" w:color="auto" w:fill="auto"/>
          </w:tcPr>
          <w:p w14:paraId="11E776C1" w14:textId="77777777" w:rsidR="00141C8E" w:rsidRPr="00FD0EF3" w:rsidRDefault="00141C8E" w:rsidP="001D573C">
            <w:pPr>
              <w:spacing w:line="360" w:lineRule="auto"/>
              <w:rPr>
                <w:rFonts w:ascii="Book Antiqua" w:hAnsi="Book Antiqua"/>
              </w:rPr>
            </w:pPr>
            <w:r w:rsidRPr="00FD0EF3">
              <w:rPr>
                <w:rFonts w:ascii="Book Antiqua" w:hAnsi="Book Antiqua"/>
              </w:rPr>
              <w:t>8 (23.5)</w:t>
            </w:r>
          </w:p>
        </w:tc>
        <w:tc>
          <w:tcPr>
            <w:tcW w:w="1276" w:type="dxa"/>
            <w:shd w:val="clear" w:color="auto" w:fill="auto"/>
          </w:tcPr>
          <w:p w14:paraId="77C37FFC" w14:textId="77777777" w:rsidR="00141C8E" w:rsidRPr="00FD0EF3" w:rsidRDefault="00141C8E" w:rsidP="001D573C">
            <w:pPr>
              <w:spacing w:line="360" w:lineRule="auto"/>
              <w:rPr>
                <w:rFonts w:ascii="Book Antiqua" w:hAnsi="Book Antiqua"/>
              </w:rPr>
            </w:pPr>
          </w:p>
        </w:tc>
      </w:tr>
      <w:tr w:rsidR="00141C8E" w:rsidRPr="00FD0EF3" w14:paraId="3741AFAC" w14:textId="77777777" w:rsidTr="001D573C">
        <w:trPr>
          <w:trHeight w:val="285"/>
        </w:trPr>
        <w:tc>
          <w:tcPr>
            <w:tcW w:w="2620" w:type="dxa"/>
            <w:shd w:val="clear" w:color="auto" w:fill="auto"/>
            <w:noWrap/>
            <w:hideMark/>
          </w:tcPr>
          <w:p w14:paraId="2180E016" w14:textId="77777777" w:rsidR="00141C8E" w:rsidRPr="00FD0EF3" w:rsidRDefault="00141C8E" w:rsidP="001D573C">
            <w:pPr>
              <w:spacing w:line="360" w:lineRule="auto"/>
              <w:rPr>
                <w:rFonts w:ascii="Book Antiqua" w:hAnsi="Book Antiqua"/>
              </w:rPr>
            </w:pPr>
            <w:r w:rsidRPr="00FD0EF3">
              <w:rPr>
                <w:rFonts w:ascii="Book Antiqua" w:hAnsi="Book Antiqua"/>
              </w:rPr>
              <w:t>S2</w:t>
            </w:r>
          </w:p>
        </w:tc>
        <w:tc>
          <w:tcPr>
            <w:tcW w:w="2508" w:type="dxa"/>
            <w:shd w:val="clear" w:color="auto" w:fill="auto"/>
            <w:noWrap/>
            <w:hideMark/>
          </w:tcPr>
          <w:p w14:paraId="68216DC7" w14:textId="77777777" w:rsidR="00141C8E" w:rsidRPr="00FD0EF3" w:rsidRDefault="00141C8E" w:rsidP="001D573C">
            <w:pPr>
              <w:spacing w:line="360" w:lineRule="auto"/>
              <w:rPr>
                <w:rFonts w:ascii="Book Antiqua" w:hAnsi="Book Antiqua"/>
              </w:rPr>
            </w:pPr>
            <w:r w:rsidRPr="00FD0EF3">
              <w:rPr>
                <w:rFonts w:ascii="Book Antiqua" w:hAnsi="Book Antiqua"/>
              </w:rPr>
              <w:t>17 (27.9)</w:t>
            </w:r>
          </w:p>
        </w:tc>
        <w:tc>
          <w:tcPr>
            <w:tcW w:w="3202" w:type="dxa"/>
            <w:shd w:val="clear" w:color="auto" w:fill="auto"/>
          </w:tcPr>
          <w:p w14:paraId="657D5790" w14:textId="77777777" w:rsidR="00141C8E" w:rsidRPr="00FD0EF3" w:rsidRDefault="00141C8E" w:rsidP="001D573C">
            <w:pPr>
              <w:spacing w:line="360" w:lineRule="auto"/>
              <w:rPr>
                <w:rFonts w:ascii="Book Antiqua" w:hAnsi="Book Antiqua"/>
              </w:rPr>
            </w:pPr>
            <w:r w:rsidRPr="00FD0EF3">
              <w:rPr>
                <w:rFonts w:ascii="Book Antiqua" w:hAnsi="Book Antiqua"/>
              </w:rPr>
              <w:t>10 (29.4)</w:t>
            </w:r>
          </w:p>
        </w:tc>
        <w:tc>
          <w:tcPr>
            <w:tcW w:w="1276" w:type="dxa"/>
            <w:shd w:val="clear" w:color="auto" w:fill="auto"/>
          </w:tcPr>
          <w:p w14:paraId="14951B36" w14:textId="77777777" w:rsidR="00141C8E" w:rsidRPr="00FD0EF3" w:rsidRDefault="00141C8E" w:rsidP="001D573C">
            <w:pPr>
              <w:spacing w:line="360" w:lineRule="auto"/>
              <w:rPr>
                <w:rFonts w:ascii="Book Antiqua" w:hAnsi="Book Antiqua"/>
              </w:rPr>
            </w:pPr>
          </w:p>
        </w:tc>
      </w:tr>
      <w:tr w:rsidR="00141C8E" w:rsidRPr="00FD0EF3" w14:paraId="67E2EC2B" w14:textId="77777777" w:rsidTr="001D573C">
        <w:trPr>
          <w:trHeight w:val="285"/>
        </w:trPr>
        <w:tc>
          <w:tcPr>
            <w:tcW w:w="2620" w:type="dxa"/>
            <w:shd w:val="clear" w:color="auto" w:fill="auto"/>
            <w:noWrap/>
            <w:hideMark/>
          </w:tcPr>
          <w:p w14:paraId="6DFD3724" w14:textId="77777777" w:rsidR="00141C8E" w:rsidRPr="00FD0EF3" w:rsidRDefault="00141C8E" w:rsidP="001D573C">
            <w:pPr>
              <w:spacing w:line="360" w:lineRule="auto"/>
              <w:rPr>
                <w:rFonts w:ascii="Book Antiqua" w:hAnsi="Book Antiqua"/>
              </w:rPr>
            </w:pPr>
            <w:r w:rsidRPr="00FD0EF3">
              <w:rPr>
                <w:rFonts w:ascii="Book Antiqua" w:hAnsi="Book Antiqua"/>
              </w:rPr>
              <w:t>S3</w:t>
            </w:r>
          </w:p>
        </w:tc>
        <w:tc>
          <w:tcPr>
            <w:tcW w:w="2508" w:type="dxa"/>
            <w:shd w:val="clear" w:color="auto" w:fill="auto"/>
            <w:noWrap/>
            <w:hideMark/>
          </w:tcPr>
          <w:p w14:paraId="2639623B" w14:textId="77777777" w:rsidR="00141C8E" w:rsidRPr="00FD0EF3" w:rsidRDefault="00141C8E" w:rsidP="001D573C">
            <w:pPr>
              <w:spacing w:line="360" w:lineRule="auto"/>
              <w:rPr>
                <w:rFonts w:ascii="Book Antiqua" w:hAnsi="Book Antiqua"/>
              </w:rPr>
            </w:pPr>
            <w:r w:rsidRPr="00FD0EF3">
              <w:rPr>
                <w:rFonts w:ascii="Book Antiqua" w:hAnsi="Book Antiqua"/>
              </w:rPr>
              <w:t>5 (8.2)</w:t>
            </w:r>
          </w:p>
        </w:tc>
        <w:tc>
          <w:tcPr>
            <w:tcW w:w="3202" w:type="dxa"/>
            <w:shd w:val="clear" w:color="auto" w:fill="auto"/>
          </w:tcPr>
          <w:p w14:paraId="027A388B" w14:textId="77777777" w:rsidR="00141C8E" w:rsidRPr="00FD0EF3" w:rsidRDefault="00141C8E" w:rsidP="001D573C">
            <w:pPr>
              <w:spacing w:line="360" w:lineRule="auto"/>
              <w:rPr>
                <w:rFonts w:ascii="Book Antiqua" w:hAnsi="Book Antiqua"/>
              </w:rPr>
            </w:pPr>
            <w:r w:rsidRPr="00FD0EF3">
              <w:rPr>
                <w:rFonts w:ascii="Book Antiqua" w:hAnsi="Book Antiqua"/>
              </w:rPr>
              <w:t>16 (47.1)</w:t>
            </w:r>
          </w:p>
        </w:tc>
        <w:tc>
          <w:tcPr>
            <w:tcW w:w="1276" w:type="dxa"/>
            <w:shd w:val="clear" w:color="auto" w:fill="auto"/>
          </w:tcPr>
          <w:p w14:paraId="25D7EE6F" w14:textId="77777777" w:rsidR="00141C8E" w:rsidRPr="00FD0EF3" w:rsidRDefault="00141C8E" w:rsidP="001D573C">
            <w:pPr>
              <w:spacing w:line="360" w:lineRule="auto"/>
              <w:rPr>
                <w:rFonts w:ascii="Book Antiqua" w:hAnsi="Book Antiqua"/>
              </w:rPr>
            </w:pPr>
          </w:p>
        </w:tc>
      </w:tr>
      <w:tr w:rsidR="00141C8E" w:rsidRPr="00FD0EF3" w14:paraId="49C66731" w14:textId="77777777" w:rsidTr="001D573C">
        <w:trPr>
          <w:trHeight w:val="285"/>
        </w:trPr>
        <w:tc>
          <w:tcPr>
            <w:tcW w:w="2620" w:type="dxa"/>
            <w:shd w:val="clear" w:color="auto" w:fill="auto"/>
            <w:noWrap/>
            <w:hideMark/>
          </w:tcPr>
          <w:p w14:paraId="078B2848" w14:textId="77777777" w:rsidR="00141C8E" w:rsidRPr="00FD0EF3" w:rsidRDefault="00141C8E" w:rsidP="001D573C">
            <w:pPr>
              <w:spacing w:line="360" w:lineRule="auto"/>
              <w:rPr>
                <w:rFonts w:ascii="Book Antiqua" w:hAnsi="Book Antiqua"/>
              </w:rPr>
            </w:pPr>
            <w:r w:rsidRPr="00FD0EF3">
              <w:rPr>
                <w:rFonts w:ascii="Book Antiqua" w:hAnsi="Book Antiqua"/>
              </w:rPr>
              <w:t>Histological fibrosis stage</w:t>
            </w:r>
            <w:r>
              <w:rPr>
                <w:rFonts w:ascii="Book Antiqua" w:hAnsi="Book Antiqua"/>
              </w:rPr>
              <w:t xml:space="preserve">, </w:t>
            </w:r>
            <w:r w:rsidRPr="00FD0EF3">
              <w:rPr>
                <w:rFonts w:ascii="Book Antiqua" w:hAnsi="Book Antiqua"/>
                <w:i/>
                <w:iCs/>
              </w:rPr>
              <w:t>n</w:t>
            </w:r>
            <w:r>
              <w:rPr>
                <w:rFonts w:ascii="Book Antiqua" w:hAnsi="Book Antiqua"/>
              </w:rPr>
              <w:t xml:space="preserve"> (%)</w:t>
            </w:r>
          </w:p>
        </w:tc>
        <w:tc>
          <w:tcPr>
            <w:tcW w:w="2508" w:type="dxa"/>
            <w:shd w:val="clear" w:color="auto" w:fill="auto"/>
            <w:noWrap/>
            <w:hideMark/>
          </w:tcPr>
          <w:p w14:paraId="009512E6" w14:textId="77777777" w:rsidR="00141C8E" w:rsidRPr="00FD0EF3" w:rsidRDefault="00141C8E" w:rsidP="001D573C">
            <w:pPr>
              <w:spacing w:line="360" w:lineRule="auto"/>
              <w:rPr>
                <w:rFonts w:ascii="Book Antiqua" w:hAnsi="Book Antiqua"/>
              </w:rPr>
            </w:pPr>
          </w:p>
        </w:tc>
        <w:tc>
          <w:tcPr>
            <w:tcW w:w="3202" w:type="dxa"/>
            <w:shd w:val="clear" w:color="auto" w:fill="auto"/>
          </w:tcPr>
          <w:p w14:paraId="7202B2A1" w14:textId="77777777" w:rsidR="00141C8E" w:rsidRPr="00FD0EF3" w:rsidRDefault="00141C8E" w:rsidP="001D573C">
            <w:pPr>
              <w:spacing w:line="360" w:lineRule="auto"/>
              <w:rPr>
                <w:rFonts w:ascii="Book Antiqua" w:hAnsi="Book Antiqua"/>
              </w:rPr>
            </w:pPr>
          </w:p>
        </w:tc>
        <w:tc>
          <w:tcPr>
            <w:tcW w:w="1276" w:type="dxa"/>
            <w:shd w:val="clear" w:color="auto" w:fill="auto"/>
          </w:tcPr>
          <w:p w14:paraId="6C8BC9B7" w14:textId="77777777" w:rsidR="00141C8E" w:rsidRPr="00FD0EF3" w:rsidRDefault="00141C8E" w:rsidP="001D573C">
            <w:pPr>
              <w:spacing w:line="360" w:lineRule="auto"/>
              <w:rPr>
                <w:rFonts w:ascii="Book Antiqua" w:hAnsi="Book Antiqua"/>
              </w:rPr>
            </w:pPr>
          </w:p>
        </w:tc>
      </w:tr>
      <w:tr w:rsidR="00141C8E" w:rsidRPr="00FD0EF3" w14:paraId="0835F87D" w14:textId="77777777" w:rsidTr="001D573C">
        <w:trPr>
          <w:trHeight w:val="285"/>
        </w:trPr>
        <w:tc>
          <w:tcPr>
            <w:tcW w:w="2620" w:type="dxa"/>
            <w:shd w:val="clear" w:color="auto" w:fill="auto"/>
            <w:noWrap/>
            <w:hideMark/>
          </w:tcPr>
          <w:p w14:paraId="5B71AA6D" w14:textId="77777777" w:rsidR="00141C8E" w:rsidRPr="00FD0EF3" w:rsidRDefault="00141C8E" w:rsidP="001D573C">
            <w:pPr>
              <w:spacing w:line="360" w:lineRule="auto"/>
              <w:rPr>
                <w:rFonts w:ascii="Book Antiqua" w:hAnsi="Book Antiqua"/>
              </w:rPr>
            </w:pPr>
            <w:r w:rsidRPr="00FD0EF3">
              <w:rPr>
                <w:rFonts w:ascii="Book Antiqua" w:hAnsi="Book Antiqua"/>
              </w:rPr>
              <w:t>F1</w:t>
            </w:r>
          </w:p>
        </w:tc>
        <w:tc>
          <w:tcPr>
            <w:tcW w:w="2508" w:type="dxa"/>
            <w:shd w:val="clear" w:color="auto" w:fill="auto"/>
            <w:noWrap/>
            <w:vAlign w:val="center"/>
            <w:hideMark/>
          </w:tcPr>
          <w:p w14:paraId="32A3F975" w14:textId="77777777" w:rsidR="00141C8E" w:rsidRPr="00FD0EF3" w:rsidRDefault="00141C8E" w:rsidP="001D573C">
            <w:pPr>
              <w:spacing w:line="360" w:lineRule="auto"/>
              <w:rPr>
                <w:rFonts w:ascii="Book Antiqua" w:hAnsi="Book Antiqua"/>
              </w:rPr>
            </w:pPr>
            <w:r w:rsidRPr="00FD0EF3">
              <w:rPr>
                <w:rFonts w:ascii="Book Antiqua" w:hAnsi="Book Antiqua"/>
              </w:rPr>
              <w:t>17 (27.9)</w:t>
            </w:r>
          </w:p>
        </w:tc>
        <w:tc>
          <w:tcPr>
            <w:tcW w:w="3202" w:type="dxa"/>
            <w:shd w:val="clear" w:color="auto" w:fill="auto"/>
            <w:vAlign w:val="center"/>
          </w:tcPr>
          <w:p w14:paraId="57A5B985" w14:textId="77777777" w:rsidR="00141C8E" w:rsidRPr="00FD0EF3" w:rsidRDefault="00141C8E" w:rsidP="001D573C">
            <w:pPr>
              <w:spacing w:line="360" w:lineRule="auto"/>
              <w:rPr>
                <w:rFonts w:ascii="Book Antiqua" w:hAnsi="Book Antiqua"/>
              </w:rPr>
            </w:pPr>
            <w:r w:rsidRPr="00FD0EF3">
              <w:rPr>
                <w:rFonts w:ascii="Book Antiqua" w:hAnsi="Book Antiqua"/>
              </w:rPr>
              <w:t>6 (17.6)</w:t>
            </w:r>
          </w:p>
        </w:tc>
        <w:tc>
          <w:tcPr>
            <w:tcW w:w="1276" w:type="dxa"/>
            <w:shd w:val="clear" w:color="auto" w:fill="auto"/>
            <w:vAlign w:val="center"/>
          </w:tcPr>
          <w:p w14:paraId="0BCB101E" w14:textId="77777777" w:rsidR="00141C8E" w:rsidRPr="00FD0EF3" w:rsidRDefault="00141C8E" w:rsidP="001D573C">
            <w:pPr>
              <w:spacing w:line="360" w:lineRule="auto"/>
              <w:rPr>
                <w:rFonts w:ascii="Book Antiqua" w:hAnsi="Book Antiqua"/>
              </w:rPr>
            </w:pPr>
          </w:p>
        </w:tc>
      </w:tr>
      <w:tr w:rsidR="00141C8E" w:rsidRPr="00FD0EF3" w14:paraId="49A0284E" w14:textId="77777777" w:rsidTr="001D573C">
        <w:trPr>
          <w:trHeight w:val="285"/>
        </w:trPr>
        <w:tc>
          <w:tcPr>
            <w:tcW w:w="2620" w:type="dxa"/>
            <w:shd w:val="clear" w:color="auto" w:fill="auto"/>
            <w:noWrap/>
            <w:hideMark/>
          </w:tcPr>
          <w:p w14:paraId="198A7F9F" w14:textId="77777777" w:rsidR="00141C8E" w:rsidRPr="00FD0EF3" w:rsidRDefault="00141C8E" w:rsidP="001D573C">
            <w:pPr>
              <w:spacing w:line="360" w:lineRule="auto"/>
              <w:rPr>
                <w:rFonts w:ascii="Book Antiqua" w:hAnsi="Book Antiqua"/>
              </w:rPr>
            </w:pPr>
            <w:r w:rsidRPr="00FD0EF3">
              <w:rPr>
                <w:rFonts w:ascii="Book Antiqua" w:hAnsi="Book Antiqua"/>
              </w:rPr>
              <w:lastRenderedPageBreak/>
              <w:t>F2</w:t>
            </w:r>
          </w:p>
        </w:tc>
        <w:tc>
          <w:tcPr>
            <w:tcW w:w="2508" w:type="dxa"/>
            <w:shd w:val="clear" w:color="auto" w:fill="auto"/>
            <w:noWrap/>
            <w:vAlign w:val="center"/>
            <w:hideMark/>
          </w:tcPr>
          <w:p w14:paraId="714EB0AE" w14:textId="77777777" w:rsidR="00141C8E" w:rsidRPr="00FD0EF3" w:rsidRDefault="00141C8E" w:rsidP="001D573C">
            <w:pPr>
              <w:spacing w:line="360" w:lineRule="auto"/>
              <w:rPr>
                <w:rFonts w:ascii="Book Antiqua" w:hAnsi="Book Antiqua"/>
              </w:rPr>
            </w:pPr>
            <w:r w:rsidRPr="00FD0EF3">
              <w:rPr>
                <w:rFonts w:ascii="Book Antiqua" w:hAnsi="Book Antiqua"/>
              </w:rPr>
              <w:t>22 (36.1)</w:t>
            </w:r>
          </w:p>
        </w:tc>
        <w:tc>
          <w:tcPr>
            <w:tcW w:w="3202" w:type="dxa"/>
            <w:shd w:val="clear" w:color="auto" w:fill="auto"/>
            <w:vAlign w:val="center"/>
          </w:tcPr>
          <w:p w14:paraId="72DCECB5" w14:textId="77777777" w:rsidR="00141C8E" w:rsidRPr="00FD0EF3" w:rsidRDefault="00141C8E" w:rsidP="001D573C">
            <w:pPr>
              <w:spacing w:line="360" w:lineRule="auto"/>
              <w:rPr>
                <w:rFonts w:ascii="Book Antiqua" w:hAnsi="Book Antiqua"/>
              </w:rPr>
            </w:pPr>
            <w:r w:rsidRPr="00FD0EF3">
              <w:rPr>
                <w:rFonts w:ascii="Book Antiqua" w:hAnsi="Book Antiqua"/>
              </w:rPr>
              <w:t>14 (41.2)</w:t>
            </w:r>
          </w:p>
        </w:tc>
        <w:tc>
          <w:tcPr>
            <w:tcW w:w="1276" w:type="dxa"/>
            <w:shd w:val="clear" w:color="auto" w:fill="auto"/>
            <w:vAlign w:val="center"/>
          </w:tcPr>
          <w:p w14:paraId="2071D25E" w14:textId="77777777" w:rsidR="00141C8E" w:rsidRPr="00FD0EF3" w:rsidRDefault="00141C8E" w:rsidP="001D573C">
            <w:pPr>
              <w:spacing w:line="360" w:lineRule="auto"/>
              <w:rPr>
                <w:rFonts w:ascii="Book Antiqua" w:hAnsi="Book Antiqua"/>
              </w:rPr>
            </w:pPr>
          </w:p>
        </w:tc>
      </w:tr>
      <w:tr w:rsidR="00141C8E" w:rsidRPr="00FD0EF3" w14:paraId="19F7C24F" w14:textId="77777777" w:rsidTr="001D573C">
        <w:trPr>
          <w:trHeight w:val="285"/>
        </w:trPr>
        <w:tc>
          <w:tcPr>
            <w:tcW w:w="2620" w:type="dxa"/>
            <w:shd w:val="clear" w:color="auto" w:fill="auto"/>
            <w:noWrap/>
            <w:hideMark/>
          </w:tcPr>
          <w:p w14:paraId="20370F1B" w14:textId="77777777" w:rsidR="00141C8E" w:rsidRPr="00FD0EF3" w:rsidRDefault="00141C8E" w:rsidP="001D573C">
            <w:pPr>
              <w:spacing w:line="360" w:lineRule="auto"/>
              <w:rPr>
                <w:rFonts w:ascii="Book Antiqua" w:hAnsi="Book Antiqua"/>
              </w:rPr>
            </w:pPr>
            <w:r w:rsidRPr="00FD0EF3">
              <w:rPr>
                <w:rFonts w:ascii="Book Antiqua" w:hAnsi="Book Antiqua"/>
              </w:rPr>
              <w:t>F3</w:t>
            </w:r>
          </w:p>
        </w:tc>
        <w:tc>
          <w:tcPr>
            <w:tcW w:w="2508" w:type="dxa"/>
            <w:shd w:val="clear" w:color="auto" w:fill="auto"/>
            <w:noWrap/>
            <w:vAlign w:val="center"/>
            <w:hideMark/>
          </w:tcPr>
          <w:p w14:paraId="7B4B3F52" w14:textId="77777777" w:rsidR="00141C8E" w:rsidRPr="00FD0EF3" w:rsidRDefault="00141C8E" w:rsidP="001D573C">
            <w:pPr>
              <w:spacing w:line="360" w:lineRule="auto"/>
              <w:rPr>
                <w:rFonts w:ascii="Book Antiqua" w:hAnsi="Book Antiqua"/>
              </w:rPr>
            </w:pPr>
            <w:r w:rsidRPr="00FD0EF3">
              <w:rPr>
                <w:rFonts w:ascii="Book Antiqua" w:hAnsi="Book Antiqua"/>
              </w:rPr>
              <w:t>16 (26.2)</w:t>
            </w:r>
          </w:p>
        </w:tc>
        <w:tc>
          <w:tcPr>
            <w:tcW w:w="3202" w:type="dxa"/>
            <w:shd w:val="clear" w:color="auto" w:fill="auto"/>
            <w:vAlign w:val="center"/>
          </w:tcPr>
          <w:p w14:paraId="10C915B1" w14:textId="77777777" w:rsidR="00141C8E" w:rsidRPr="00FD0EF3" w:rsidRDefault="00141C8E" w:rsidP="001D573C">
            <w:pPr>
              <w:spacing w:line="360" w:lineRule="auto"/>
              <w:rPr>
                <w:rFonts w:ascii="Book Antiqua" w:hAnsi="Book Antiqua"/>
              </w:rPr>
            </w:pPr>
            <w:r w:rsidRPr="00FD0EF3">
              <w:rPr>
                <w:rFonts w:ascii="Book Antiqua" w:hAnsi="Book Antiqua"/>
              </w:rPr>
              <w:t>11 (32.4)</w:t>
            </w:r>
          </w:p>
        </w:tc>
        <w:tc>
          <w:tcPr>
            <w:tcW w:w="1276" w:type="dxa"/>
            <w:shd w:val="clear" w:color="auto" w:fill="auto"/>
            <w:vAlign w:val="center"/>
          </w:tcPr>
          <w:p w14:paraId="0D51E62B" w14:textId="77777777" w:rsidR="00141C8E" w:rsidRPr="00FD0EF3" w:rsidRDefault="00141C8E" w:rsidP="001D573C">
            <w:pPr>
              <w:spacing w:line="360" w:lineRule="auto"/>
              <w:rPr>
                <w:rFonts w:ascii="Book Antiqua" w:hAnsi="Book Antiqua"/>
              </w:rPr>
            </w:pPr>
          </w:p>
        </w:tc>
      </w:tr>
      <w:tr w:rsidR="00141C8E" w:rsidRPr="00FD0EF3" w14:paraId="4C482D28" w14:textId="77777777" w:rsidTr="001D573C">
        <w:trPr>
          <w:trHeight w:val="285"/>
        </w:trPr>
        <w:tc>
          <w:tcPr>
            <w:tcW w:w="2620" w:type="dxa"/>
            <w:shd w:val="clear" w:color="auto" w:fill="auto"/>
            <w:noWrap/>
            <w:hideMark/>
          </w:tcPr>
          <w:p w14:paraId="50E61D80" w14:textId="77777777" w:rsidR="00141C8E" w:rsidRPr="00FD0EF3" w:rsidRDefault="00141C8E" w:rsidP="001D573C">
            <w:pPr>
              <w:spacing w:line="360" w:lineRule="auto"/>
              <w:rPr>
                <w:rFonts w:ascii="Book Antiqua" w:hAnsi="Book Antiqua"/>
              </w:rPr>
            </w:pPr>
            <w:r w:rsidRPr="00FD0EF3">
              <w:rPr>
                <w:rFonts w:ascii="Book Antiqua" w:hAnsi="Book Antiqua"/>
              </w:rPr>
              <w:t>F4</w:t>
            </w:r>
          </w:p>
        </w:tc>
        <w:tc>
          <w:tcPr>
            <w:tcW w:w="2508" w:type="dxa"/>
            <w:shd w:val="clear" w:color="auto" w:fill="auto"/>
            <w:noWrap/>
            <w:vAlign w:val="center"/>
            <w:hideMark/>
          </w:tcPr>
          <w:p w14:paraId="2706984F" w14:textId="77777777" w:rsidR="00141C8E" w:rsidRPr="00FD0EF3" w:rsidRDefault="00141C8E" w:rsidP="001D573C">
            <w:pPr>
              <w:spacing w:line="360" w:lineRule="auto"/>
              <w:rPr>
                <w:rFonts w:ascii="Book Antiqua" w:hAnsi="Book Antiqua"/>
              </w:rPr>
            </w:pPr>
            <w:r w:rsidRPr="00FD0EF3">
              <w:rPr>
                <w:rFonts w:ascii="Book Antiqua" w:hAnsi="Book Antiqua"/>
              </w:rPr>
              <w:t>6 (9.8)</w:t>
            </w:r>
          </w:p>
        </w:tc>
        <w:tc>
          <w:tcPr>
            <w:tcW w:w="3202" w:type="dxa"/>
            <w:shd w:val="clear" w:color="auto" w:fill="auto"/>
            <w:vAlign w:val="center"/>
          </w:tcPr>
          <w:p w14:paraId="430DDC40" w14:textId="77777777" w:rsidR="00141C8E" w:rsidRPr="00FD0EF3" w:rsidRDefault="00141C8E" w:rsidP="001D573C">
            <w:pPr>
              <w:spacing w:line="360" w:lineRule="auto"/>
              <w:rPr>
                <w:rFonts w:ascii="Book Antiqua" w:hAnsi="Book Antiqua"/>
              </w:rPr>
            </w:pPr>
            <w:r w:rsidRPr="00FD0EF3">
              <w:rPr>
                <w:rFonts w:ascii="Book Antiqua" w:hAnsi="Book Antiqua"/>
              </w:rPr>
              <w:t>3 (8.8)</w:t>
            </w:r>
          </w:p>
        </w:tc>
        <w:tc>
          <w:tcPr>
            <w:tcW w:w="1276" w:type="dxa"/>
            <w:shd w:val="clear" w:color="auto" w:fill="auto"/>
            <w:vAlign w:val="center"/>
          </w:tcPr>
          <w:p w14:paraId="05C75D05" w14:textId="77777777" w:rsidR="00141C8E" w:rsidRPr="00FD0EF3" w:rsidRDefault="00141C8E" w:rsidP="001D573C">
            <w:pPr>
              <w:spacing w:line="360" w:lineRule="auto"/>
              <w:rPr>
                <w:rFonts w:ascii="Book Antiqua" w:hAnsi="Book Antiqua"/>
              </w:rPr>
            </w:pPr>
          </w:p>
        </w:tc>
      </w:tr>
      <w:tr w:rsidR="00141C8E" w:rsidRPr="00FD0EF3" w14:paraId="6DD1CF13" w14:textId="77777777" w:rsidTr="001D573C">
        <w:trPr>
          <w:trHeight w:val="285"/>
        </w:trPr>
        <w:tc>
          <w:tcPr>
            <w:tcW w:w="2620" w:type="dxa"/>
            <w:shd w:val="clear" w:color="auto" w:fill="auto"/>
            <w:noWrap/>
          </w:tcPr>
          <w:p w14:paraId="07F9350C" w14:textId="77777777" w:rsidR="00141C8E" w:rsidRPr="00FD0EF3" w:rsidRDefault="00141C8E" w:rsidP="001D573C">
            <w:pPr>
              <w:spacing w:line="360" w:lineRule="auto"/>
              <w:rPr>
                <w:rFonts w:ascii="Book Antiqua" w:hAnsi="Book Antiqua"/>
              </w:rPr>
            </w:pPr>
            <w:r w:rsidRPr="00FD0EF3">
              <w:rPr>
                <w:rFonts w:ascii="Book Antiqua" w:hAnsi="Book Antiqua"/>
              </w:rPr>
              <w:t>CAP, dB/m</w:t>
            </w:r>
          </w:p>
        </w:tc>
        <w:tc>
          <w:tcPr>
            <w:tcW w:w="2508" w:type="dxa"/>
            <w:shd w:val="clear" w:color="auto" w:fill="auto"/>
            <w:noWrap/>
          </w:tcPr>
          <w:p w14:paraId="7E74B4D8" w14:textId="77777777" w:rsidR="00141C8E" w:rsidRPr="00FD0EF3" w:rsidRDefault="00141C8E" w:rsidP="001D573C">
            <w:pPr>
              <w:spacing w:line="360" w:lineRule="auto"/>
              <w:rPr>
                <w:rFonts w:ascii="Book Antiqua" w:hAnsi="Book Antiqua"/>
              </w:rPr>
            </w:pPr>
            <w:r w:rsidRPr="00FD0EF3">
              <w:rPr>
                <w:rFonts w:ascii="Book Antiqua" w:hAnsi="Book Antiqua"/>
              </w:rPr>
              <w:t>272.57</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44.39</w:t>
            </w:r>
          </w:p>
        </w:tc>
        <w:tc>
          <w:tcPr>
            <w:tcW w:w="3202" w:type="dxa"/>
            <w:shd w:val="clear" w:color="auto" w:fill="auto"/>
          </w:tcPr>
          <w:p w14:paraId="5E4AB81B" w14:textId="77777777" w:rsidR="00141C8E" w:rsidRPr="00FD0EF3" w:rsidRDefault="00141C8E" w:rsidP="001D573C">
            <w:pPr>
              <w:spacing w:line="360" w:lineRule="auto"/>
              <w:rPr>
                <w:rFonts w:ascii="Book Antiqua" w:hAnsi="Book Antiqua"/>
              </w:rPr>
            </w:pPr>
            <w:r w:rsidRPr="00FD0EF3">
              <w:rPr>
                <w:rFonts w:ascii="Book Antiqua" w:hAnsi="Book Antiqua"/>
              </w:rPr>
              <w:t>293.41</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51.04</w:t>
            </w:r>
          </w:p>
        </w:tc>
        <w:tc>
          <w:tcPr>
            <w:tcW w:w="1276" w:type="dxa"/>
            <w:shd w:val="clear" w:color="auto" w:fill="auto"/>
          </w:tcPr>
          <w:p w14:paraId="7385C48A" w14:textId="77777777" w:rsidR="00141C8E" w:rsidRPr="00FD0EF3" w:rsidRDefault="00141C8E" w:rsidP="001D573C">
            <w:pPr>
              <w:spacing w:line="360" w:lineRule="auto"/>
              <w:rPr>
                <w:rFonts w:ascii="Book Antiqua" w:hAnsi="Book Antiqua"/>
              </w:rPr>
            </w:pPr>
            <w:r w:rsidRPr="00FD0EF3">
              <w:rPr>
                <w:rFonts w:ascii="Book Antiqua" w:hAnsi="Book Antiqua"/>
              </w:rPr>
              <w:t>&lt;</w:t>
            </w:r>
            <w:r>
              <w:rPr>
                <w:rFonts w:ascii="Book Antiqua" w:hAnsi="Book Antiqua"/>
              </w:rPr>
              <w:t xml:space="preserve"> </w:t>
            </w:r>
            <w:r w:rsidRPr="00FD0EF3">
              <w:rPr>
                <w:rFonts w:ascii="Book Antiqua" w:hAnsi="Book Antiqua"/>
              </w:rPr>
              <w:t>0.05</w:t>
            </w:r>
          </w:p>
        </w:tc>
      </w:tr>
      <w:tr w:rsidR="00141C8E" w:rsidRPr="00FD0EF3" w14:paraId="393A7A9C" w14:textId="77777777" w:rsidTr="001D573C">
        <w:trPr>
          <w:trHeight w:val="285"/>
        </w:trPr>
        <w:tc>
          <w:tcPr>
            <w:tcW w:w="2620" w:type="dxa"/>
            <w:shd w:val="clear" w:color="auto" w:fill="auto"/>
            <w:noWrap/>
          </w:tcPr>
          <w:p w14:paraId="2502104D" w14:textId="77777777" w:rsidR="00141C8E" w:rsidRPr="00FD0EF3" w:rsidRDefault="00141C8E" w:rsidP="001D573C">
            <w:pPr>
              <w:spacing w:line="360" w:lineRule="auto"/>
              <w:rPr>
                <w:rFonts w:ascii="Book Antiqua" w:hAnsi="Book Antiqua"/>
              </w:rPr>
            </w:pPr>
            <w:r w:rsidRPr="00FD0EF3">
              <w:rPr>
                <w:rFonts w:ascii="Book Antiqua" w:hAnsi="Book Antiqua"/>
              </w:rPr>
              <w:t xml:space="preserve">LSM in total, </w:t>
            </w:r>
            <w:proofErr w:type="spellStart"/>
            <w:r w:rsidRPr="00FD0EF3">
              <w:rPr>
                <w:rFonts w:ascii="Book Antiqua" w:hAnsi="Book Antiqua"/>
              </w:rPr>
              <w:t>kPa</w:t>
            </w:r>
            <w:proofErr w:type="spellEnd"/>
          </w:p>
        </w:tc>
        <w:tc>
          <w:tcPr>
            <w:tcW w:w="2508" w:type="dxa"/>
            <w:shd w:val="clear" w:color="auto" w:fill="auto"/>
            <w:noWrap/>
          </w:tcPr>
          <w:p w14:paraId="5B383250" w14:textId="77777777" w:rsidR="00141C8E" w:rsidRPr="00FD0EF3" w:rsidRDefault="00141C8E" w:rsidP="001D573C">
            <w:pPr>
              <w:spacing w:line="360" w:lineRule="auto"/>
              <w:rPr>
                <w:rFonts w:ascii="Book Antiqua" w:hAnsi="Book Antiqua"/>
              </w:rPr>
            </w:pPr>
            <w:r w:rsidRPr="00FD0EF3">
              <w:rPr>
                <w:rFonts w:ascii="Book Antiqua" w:hAnsi="Book Antiqua"/>
              </w:rPr>
              <w:t>9.34</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7.14</w:t>
            </w:r>
          </w:p>
        </w:tc>
        <w:tc>
          <w:tcPr>
            <w:tcW w:w="3202" w:type="dxa"/>
            <w:shd w:val="clear" w:color="auto" w:fill="auto"/>
          </w:tcPr>
          <w:p w14:paraId="15EF06D3" w14:textId="77777777" w:rsidR="00141C8E" w:rsidRPr="00FD0EF3" w:rsidRDefault="00141C8E" w:rsidP="001D573C">
            <w:pPr>
              <w:spacing w:line="360" w:lineRule="auto"/>
              <w:rPr>
                <w:rFonts w:ascii="Book Antiqua" w:hAnsi="Book Antiqua"/>
              </w:rPr>
            </w:pPr>
            <w:r w:rsidRPr="00FD0EF3">
              <w:rPr>
                <w:rFonts w:ascii="Book Antiqua" w:hAnsi="Book Antiqua"/>
              </w:rPr>
              <w:t>6.49</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2.44</w:t>
            </w:r>
          </w:p>
        </w:tc>
        <w:tc>
          <w:tcPr>
            <w:tcW w:w="1276" w:type="dxa"/>
            <w:shd w:val="clear" w:color="auto" w:fill="auto"/>
          </w:tcPr>
          <w:p w14:paraId="0DE58560" w14:textId="77777777" w:rsidR="00141C8E" w:rsidRPr="00FD0EF3" w:rsidRDefault="00141C8E" w:rsidP="001D573C">
            <w:pPr>
              <w:spacing w:line="360" w:lineRule="auto"/>
              <w:rPr>
                <w:rFonts w:ascii="Book Antiqua" w:hAnsi="Book Antiqua"/>
              </w:rPr>
            </w:pPr>
            <w:r w:rsidRPr="00FD0EF3">
              <w:rPr>
                <w:rFonts w:ascii="Book Antiqua" w:hAnsi="Book Antiqua"/>
              </w:rPr>
              <w:t>&lt;</w:t>
            </w:r>
            <w:r>
              <w:rPr>
                <w:rFonts w:ascii="Book Antiqua" w:hAnsi="Book Antiqua"/>
              </w:rPr>
              <w:t xml:space="preserve"> </w:t>
            </w:r>
            <w:r w:rsidRPr="00FD0EF3">
              <w:rPr>
                <w:rFonts w:ascii="Book Antiqua" w:hAnsi="Book Antiqua"/>
              </w:rPr>
              <w:t>0.05</w:t>
            </w:r>
          </w:p>
        </w:tc>
      </w:tr>
      <w:tr w:rsidR="00141C8E" w:rsidRPr="00FD0EF3" w14:paraId="042BC628" w14:textId="77777777" w:rsidTr="001D573C">
        <w:trPr>
          <w:trHeight w:val="285"/>
        </w:trPr>
        <w:tc>
          <w:tcPr>
            <w:tcW w:w="2620" w:type="dxa"/>
            <w:shd w:val="clear" w:color="auto" w:fill="auto"/>
            <w:noWrap/>
          </w:tcPr>
          <w:p w14:paraId="137E7822" w14:textId="77777777" w:rsidR="00141C8E" w:rsidRPr="00FD0EF3" w:rsidRDefault="00141C8E" w:rsidP="001D573C">
            <w:pPr>
              <w:spacing w:line="360" w:lineRule="auto"/>
              <w:rPr>
                <w:rFonts w:ascii="Book Antiqua" w:hAnsi="Book Antiqua"/>
              </w:rPr>
            </w:pPr>
            <w:r>
              <w:rPr>
                <w:rFonts w:ascii="Book Antiqua" w:hAnsi="Book Antiqua"/>
              </w:rPr>
              <w:t>I</w:t>
            </w:r>
            <w:r w:rsidRPr="00FD0EF3">
              <w:rPr>
                <w:rFonts w:ascii="Book Antiqua" w:hAnsi="Book Antiqua"/>
              </w:rPr>
              <w:t>n steatosis S1</w:t>
            </w:r>
          </w:p>
        </w:tc>
        <w:tc>
          <w:tcPr>
            <w:tcW w:w="2508" w:type="dxa"/>
            <w:shd w:val="clear" w:color="auto" w:fill="auto"/>
            <w:noWrap/>
          </w:tcPr>
          <w:p w14:paraId="75D3726F" w14:textId="77777777" w:rsidR="00141C8E" w:rsidRPr="00FD0EF3" w:rsidRDefault="00141C8E" w:rsidP="001D573C">
            <w:pPr>
              <w:spacing w:line="360" w:lineRule="auto"/>
              <w:rPr>
                <w:rFonts w:ascii="Book Antiqua" w:hAnsi="Book Antiqua"/>
              </w:rPr>
            </w:pPr>
            <w:r w:rsidRPr="00FD0EF3">
              <w:rPr>
                <w:rFonts w:ascii="Book Antiqua" w:hAnsi="Book Antiqua"/>
              </w:rPr>
              <w:t>9.19</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8.11</w:t>
            </w:r>
          </w:p>
        </w:tc>
        <w:tc>
          <w:tcPr>
            <w:tcW w:w="3202" w:type="dxa"/>
            <w:shd w:val="clear" w:color="auto" w:fill="auto"/>
          </w:tcPr>
          <w:p w14:paraId="4BDA1478" w14:textId="77777777" w:rsidR="00141C8E" w:rsidRPr="00FD0EF3" w:rsidRDefault="00141C8E" w:rsidP="001D573C">
            <w:pPr>
              <w:spacing w:line="360" w:lineRule="auto"/>
              <w:rPr>
                <w:rFonts w:ascii="Book Antiqua" w:hAnsi="Book Antiqua"/>
              </w:rPr>
            </w:pPr>
            <w:r w:rsidRPr="00FD0EF3">
              <w:rPr>
                <w:rFonts w:ascii="Book Antiqua" w:hAnsi="Book Antiqua"/>
              </w:rPr>
              <w:t>5.28</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1.88</w:t>
            </w:r>
          </w:p>
        </w:tc>
        <w:tc>
          <w:tcPr>
            <w:tcW w:w="1276" w:type="dxa"/>
            <w:shd w:val="clear" w:color="auto" w:fill="auto"/>
          </w:tcPr>
          <w:p w14:paraId="08501B16" w14:textId="77777777" w:rsidR="00141C8E" w:rsidRPr="00FD0EF3" w:rsidRDefault="00141C8E" w:rsidP="001D573C">
            <w:pPr>
              <w:spacing w:line="360" w:lineRule="auto"/>
              <w:rPr>
                <w:rFonts w:ascii="Book Antiqua" w:hAnsi="Book Antiqua"/>
              </w:rPr>
            </w:pPr>
            <w:r w:rsidRPr="00FD0EF3">
              <w:rPr>
                <w:rFonts w:ascii="Book Antiqua" w:hAnsi="Book Antiqua"/>
              </w:rPr>
              <w:t>&lt;</w:t>
            </w:r>
            <w:r>
              <w:rPr>
                <w:rFonts w:ascii="Book Antiqua" w:hAnsi="Book Antiqua"/>
              </w:rPr>
              <w:t xml:space="preserve"> </w:t>
            </w:r>
            <w:r w:rsidRPr="00FD0EF3">
              <w:rPr>
                <w:rFonts w:ascii="Book Antiqua" w:hAnsi="Book Antiqua"/>
              </w:rPr>
              <w:t>0.05</w:t>
            </w:r>
          </w:p>
        </w:tc>
      </w:tr>
      <w:tr w:rsidR="00141C8E" w:rsidRPr="00FD0EF3" w14:paraId="4EC3377C" w14:textId="77777777" w:rsidTr="001D573C">
        <w:trPr>
          <w:trHeight w:val="285"/>
        </w:trPr>
        <w:tc>
          <w:tcPr>
            <w:tcW w:w="2620" w:type="dxa"/>
            <w:shd w:val="clear" w:color="auto" w:fill="auto"/>
            <w:noWrap/>
          </w:tcPr>
          <w:p w14:paraId="1E5D91A0" w14:textId="77777777" w:rsidR="00141C8E" w:rsidRPr="00FD0EF3" w:rsidRDefault="00141C8E" w:rsidP="001D573C">
            <w:pPr>
              <w:spacing w:line="360" w:lineRule="auto"/>
              <w:rPr>
                <w:rFonts w:ascii="Book Antiqua" w:hAnsi="Book Antiqua"/>
              </w:rPr>
            </w:pPr>
            <w:r>
              <w:rPr>
                <w:rFonts w:ascii="Book Antiqua" w:hAnsi="Book Antiqua"/>
              </w:rPr>
              <w:t>I</w:t>
            </w:r>
            <w:r w:rsidRPr="00FD0EF3">
              <w:rPr>
                <w:rFonts w:ascii="Book Antiqua" w:hAnsi="Book Antiqua"/>
              </w:rPr>
              <w:t>n steatosis S2</w:t>
            </w:r>
          </w:p>
        </w:tc>
        <w:tc>
          <w:tcPr>
            <w:tcW w:w="2508" w:type="dxa"/>
            <w:shd w:val="clear" w:color="auto" w:fill="auto"/>
            <w:noWrap/>
          </w:tcPr>
          <w:p w14:paraId="06A8573C" w14:textId="77777777" w:rsidR="00141C8E" w:rsidRPr="00FD0EF3" w:rsidRDefault="00141C8E" w:rsidP="001D573C">
            <w:pPr>
              <w:spacing w:line="360" w:lineRule="auto"/>
              <w:rPr>
                <w:rFonts w:ascii="Book Antiqua" w:hAnsi="Book Antiqua"/>
              </w:rPr>
            </w:pPr>
            <w:r w:rsidRPr="00FD0EF3">
              <w:rPr>
                <w:rFonts w:ascii="Book Antiqua" w:hAnsi="Book Antiqua"/>
              </w:rPr>
              <w:t>7.80</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3.47</w:t>
            </w:r>
          </w:p>
        </w:tc>
        <w:tc>
          <w:tcPr>
            <w:tcW w:w="3202" w:type="dxa"/>
            <w:shd w:val="clear" w:color="auto" w:fill="auto"/>
          </w:tcPr>
          <w:p w14:paraId="03273D71" w14:textId="77777777" w:rsidR="00141C8E" w:rsidRPr="00FD0EF3" w:rsidRDefault="00141C8E" w:rsidP="001D573C">
            <w:pPr>
              <w:spacing w:line="360" w:lineRule="auto"/>
              <w:rPr>
                <w:rFonts w:ascii="Book Antiqua" w:hAnsi="Book Antiqua"/>
              </w:rPr>
            </w:pPr>
            <w:r w:rsidRPr="00FD0EF3">
              <w:rPr>
                <w:rFonts w:ascii="Book Antiqua" w:hAnsi="Book Antiqua"/>
              </w:rPr>
              <w:t>6.31</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2.18</w:t>
            </w:r>
          </w:p>
        </w:tc>
        <w:tc>
          <w:tcPr>
            <w:tcW w:w="1276" w:type="dxa"/>
            <w:shd w:val="clear" w:color="auto" w:fill="auto"/>
          </w:tcPr>
          <w:p w14:paraId="136CC4B6" w14:textId="77777777" w:rsidR="00141C8E" w:rsidRPr="00FD0EF3" w:rsidRDefault="00141C8E" w:rsidP="001D573C">
            <w:pPr>
              <w:spacing w:line="360" w:lineRule="auto"/>
              <w:rPr>
                <w:rFonts w:ascii="Book Antiqua" w:hAnsi="Book Antiqua"/>
              </w:rPr>
            </w:pPr>
          </w:p>
        </w:tc>
      </w:tr>
      <w:tr w:rsidR="00141C8E" w:rsidRPr="00FD0EF3" w14:paraId="7A7590A8" w14:textId="77777777" w:rsidTr="001D573C">
        <w:trPr>
          <w:trHeight w:val="285"/>
        </w:trPr>
        <w:tc>
          <w:tcPr>
            <w:tcW w:w="2620" w:type="dxa"/>
            <w:tcBorders>
              <w:bottom w:val="single" w:sz="12" w:space="0" w:color="auto"/>
            </w:tcBorders>
            <w:shd w:val="clear" w:color="auto" w:fill="auto"/>
            <w:noWrap/>
          </w:tcPr>
          <w:p w14:paraId="323477D3" w14:textId="77777777" w:rsidR="00141C8E" w:rsidRPr="00FD0EF3" w:rsidRDefault="00141C8E" w:rsidP="001D573C">
            <w:pPr>
              <w:spacing w:line="360" w:lineRule="auto"/>
              <w:rPr>
                <w:rFonts w:ascii="Book Antiqua" w:hAnsi="Book Antiqua"/>
              </w:rPr>
            </w:pPr>
            <w:r>
              <w:rPr>
                <w:rFonts w:ascii="Book Antiqua" w:hAnsi="Book Antiqua"/>
              </w:rPr>
              <w:t>I</w:t>
            </w:r>
            <w:r w:rsidRPr="00FD0EF3">
              <w:rPr>
                <w:rFonts w:ascii="Book Antiqua" w:hAnsi="Book Antiqua"/>
              </w:rPr>
              <w:t>n steatosis S3</w:t>
            </w:r>
          </w:p>
        </w:tc>
        <w:tc>
          <w:tcPr>
            <w:tcW w:w="2508" w:type="dxa"/>
            <w:tcBorders>
              <w:bottom w:val="single" w:sz="12" w:space="0" w:color="auto"/>
            </w:tcBorders>
            <w:shd w:val="clear" w:color="auto" w:fill="auto"/>
            <w:noWrap/>
          </w:tcPr>
          <w:p w14:paraId="21E5A316" w14:textId="77777777" w:rsidR="00141C8E" w:rsidRPr="00FD0EF3" w:rsidRDefault="00141C8E" w:rsidP="001D573C">
            <w:pPr>
              <w:spacing w:line="360" w:lineRule="auto"/>
              <w:rPr>
                <w:rFonts w:ascii="Book Antiqua" w:hAnsi="Book Antiqua"/>
              </w:rPr>
            </w:pPr>
            <w:r w:rsidRPr="00FD0EF3">
              <w:rPr>
                <w:rFonts w:ascii="Book Antiqua" w:hAnsi="Book Antiqua"/>
              </w:rPr>
              <w:t>15.76</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6.25</w:t>
            </w:r>
          </w:p>
        </w:tc>
        <w:tc>
          <w:tcPr>
            <w:tcW w:w="3202" w:type="dxa"/>
            <w:tcBorders>
              <w:bottom w:val="single" w:sz="12" w:space="0" w:color="auto"/>
            </w:tcBorders>
            <w:shd w:val="clear" w:color="auto" w:fill="auto"/>
          </w:tcPr>
          <w:p w14:paraId="01AE36C6" w14:textId="77777777" w:rsidR="00141C8E" w:rsidRPr="00FD0EF3" w:rsidRDefault="00141C8E" w:rsidP="001D573C">
            <w:pPr>
              <w:spacing w:line="360" w:lineRule="auto"/>
              <w:rPr>
                <w:rFonts w:ascii="Book Antiqua" w:hAnsi="Book Antiqua"/>
              </w:rPr>
            </w:pPr>
            <w:r w:rsidRPr="00FD0EF3">
              <w:rPr>
                <w:rFonts w:ascii="Book Antiqua" w:hAnsi="Book Antiqua"/>
              </w:rPr>
              <w:t>7.20</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2.69</w:t>
            </w:r>
          </w:p>
        </w:tc>
        <w:tc>
          <w:tcPr>
            <w:tcW w:w="1276" w:type="dxa"/>
            <w:tcBorders>
              <w:bottom w:val="single" w:sz="12" w:space="0" w:color="auto"/>
            </w:tcBorders>
            <w:shd w:val="clear" w:color="auto" w:fill="auto"/>
          </w:tcPr>
          <w:p w14:paraId="1377EAC0" w14:textId="77777777" w:rsidR="00141C8E" w:rsidRPr="00FD0EF3" w:rsidRDefault="00141C8E" w:rsidP="001D573C">
            <w:pPr>
              <w:spacing w:line="360" w:lineRule="auto"/>
              <w:rPr>
                <w:rFonts w:ascii="Book Antiqua" w:hAnsi="Book Antiqua"/>
              </w:rPr>
            </w:pPr>
            <w:r w:rsidRPr="00FD0EF3">
              <w:rPr>
                <w:rFonts w:ascii="Book Antiqua" w:hAnsi="Book Antiqua"/>
              </w:rPr>
              <w:t>&lt;</w:t>
            </w:r>
            <w:r>
              <w:rPr>
                <w:rFonts w:ascii="Book Antiqua" w:hAnsi="Book Antiqua"/>
              </w:rPr>
              <w:t xml:space="preserve"> </w:t>
            </w:r>
            <w:r w:rsidRPr="00FD0EF3">
              <w:rPr>
                <w:rFonts w:ascii="Book Antiqua" w:hAnsi="Book Antiqua"/>
              </w:rPr>
              <w:t>0.01</w:t>
            </w:r>
          </w:p>
        </w:tc>
      </w:tr>
    </w:tbl>
    <w:bookmarkEnd w:id="0"/>
    <w:p w14:paraId="10756309" w14:textId="26A07B5B" w:rsidR="00A77B3E" w:rsidRPr="00141C8E" w:rsidRDefault="00141C8E" w:rsidP="00141C8E">
      <w:pPr>
        <w:spacing w:line="360" w:lineRule="auto"/>
        <w:jc w:val="both"/>
        <w:rPr>
          <w:rFonts w:ascii="Book Antiqua" w:eastAsia="Book Antiqua" w:hAnsi="Book Antiqua" w:cs="Book Antiqua"/>
          <w:color w:val="000000"/>
        </w:rPr>
      </w:pPr>
      <w:r w:rsidRPr="00FD0EF3">
        <w:rPr>
          <w:rFonts w:ascii="Book Antiqua" w:eastAsia="Book Antiqua" w:hAnsi="Book Antiqua" w:cs="Book Antiqua"/>
          <w:color w:val="000000"/>
        </w:rPr>
        <w:t>Distributions are expressed as the mean ± SD or m</w:t>
      </w:r>
      <w:bookmarkStart w:id="1" w:name="_GoBack"/>
      <w:r w:rsidRPr="00FD0EF3">
        <w:rPr>
          <w:rFonts w:ascii="Book Antiqua" w:eastAsia="Book Antiqua" w:hAnsi="Book Antiqua" w:cs="Book Antiqua"/>
          <w:color w:val="000000"/>
        </w:rPr>
        <w:t xml:space="preserve">edian [interquartile range] or </w:t>
      </w:r>
      <w:r w:rsidR="0009789F">
        <w:rPr>
          <w:rFonts w:ascii="Book Antiqua" w:eastAsia="Book Antiqua" w:hAnsi="Book Antiqua" w:cs="Book Antiqua"/>
          <w:color w:val="000000"/>
        </w:rPr>
        <w:t>number</w:t>
      </w:r>
      <w:r w:rsidR="0009789F" w:rsidRPr="00FD0EF3">
        <w:rPr>
          <w:rFonts w:ascii="Book Antiqua" w:eastAsia="Book Antiqua" w:hAnsi="Book Antiqua" w:cs="Book Antiqua"/>
          <w:color w:val="000000"/>
        </w:rPr>
        <w:t xml:space="preserve"> </w:t>
      </w:r>
      <w:r w:rsidRPr="00FD0EF3">
        <w:rPr>
          <w:rFonts w:ascii="Book Antiqua" w:eastAsia="Book Antiqua" w:hAnsi="Book Antiqua" w:cs="Book Antiqua"/>
          <w:color w:val="000000"/>
        </w:rPr>
        <w:t>(percentage).</w:t>
      </w:r>
      <w:r>
        <w:rPr>
          <w:rFonts w:ascii="Book Antiqua" w:hAnsi="Book Antiqua" w:cs="Book Antiqua" w:hint="eastAsia"/>
          <w:color w:val="000000"/>
          <w:lang w:eastAsia="zh-CN"/>
        </w:rPr>
        <w:t xml:space="preserve"> </w:t>
      </w:r>
      <w:r w:rsidRPr="00FD0EF3">
        <w:rPr>
          <w:rFonts w:ascii="Book Antiqua" w:eastAsia="Book Antiqua" w:hAnsi="Book Antiqua" w:cs="Book Antiqua"/>
          <w:color w:val="000000"/>
        </w:rPr>
        <w:t>AKP</w:t>
      </w:r>
      <w:r>
        <w:rPr>
          <w:rFonts w:ascii="Book Antiqua" w:eastAsia="Book Antiqua" w:hAnsi="Book Antiqua" w:cs="Book Antiqua"/>
          <w:color w:val="000000"/>
        </w:rPr>
        <w:t>: A</w:t>
      </w:r>
      <w:r w:rsidRPr="00FD0EF3">
        <w:rPr>
          <w:rFonts w:ascii="Book Antiqua" w:eastAsia="Book Antiqua" w:hAnsi="Book Antiqua" w:cs="Book Antiqua"/>
          <w:color w:val="000000"/>
        </w:rPr>
        <w:t>lkaline phosphatase; ALT</w:t>
      </w:r>
      <w:r>
        <w:rPr>
          <w:rFonts w:ascii="Book Antiqua" w:eastAsia="Book Antiqua" w:hAnsi="Book Antiqua" w:cs="Book Antiqua"/>
          <w:color w:val="000000"/>
        </w:rPr>
        <w:t>: A</w:t>
      </w:r>
      <w:bookmarkEnd w:id="1"/>
      <w:r w:rsidRPr="00FD0EF3">
        <w:rPr>
          <w:rFonts w:ascii="Book Antiqua" w:eastAsia="Book Antiqua" w:hAnsi="Book Antiqua" w:cs="Book Antiqua"/>
          <w:color w:val="000000"/>
        </w:rPr>
        <w:t>lanine aminotransferase; AST</w:t>
      </w:r>
      <w:r>
        <w:rPr>
          <w:rFonts w:ascii="Book Antiqua" w:eastAsia="Book Antiqua" w:hAnsi="Book Antiqua" w:cs="Book Antiqua"/>
          <w:color w:val="000000"/>
        </w:rPr>
        <w:t>: A</w:t>
      </w:r>
      <w:r w:rsidRPr="00FD0EF3">
        <w:rPr>
          <w:rFonts w:ascii="Book Antiqua" w:eastAsia="Book Antiqua" w:hAnsi="Book Antiqua" w:cs="Book Antiqua"/>
          <w:color w:val="000000"/>
        </w:rPr>
        <w:t>spartate aminotransferase; BMI</w:t>
      </w:r>
      <w:r>
        <w:rPr>
          <w:rFonts w:ascii="Book Antiqua" w:eastAsia="Book Antiqua" w:hAnsi="Book Antiqua" w:cs="Book Antiqua"/>
          <w:color w:val="000000"/>
        </w:rPr>
        <w:t>: B</w:t>
      </w:r>
      <w:r w:rsidRPr="00FD0EF3">
        <w:rPr>
          <w:rFonts w:ascii="Book Antiqua" w:eastAsia="Book Antiqua" w:hAnsi="Book Antiqua" w:cs="Book Antiqua"/>
          <w:color w:val="000000"/>
        </w:rPr>
        <w:t>ody mass index; CAP</w:t>
      </w:r>
      <w:r>
        <w:rPr>
          <w:rFonts w:ascii="Book Antiqua" w:eastAsia="Book Antiqua" w:hAnsi="Book Antiqua" w:cs="Book Antiqua"/>
          <w:color w:val="000000"/>
        </w:rPr>
        <w:t>: C</w:t>
      </w:r>
      <w:r w:rsidRPr="00FD0EF3">
        <w:rPr>
          <w:rFonts w:ascii="Book Antiqua" w:eastAsia="Book Antiqua" w:hAnsi="Book Antiqua" w:cs="Book Antiqua"/>
          <w:color w:val="000000"/>
        </w:rPr>
        <w:t>ontrolled attenuation parameter; GGT</w:t>
      </w:r>
      <w:r>
        <w:rPr>
          <w:rFonts w:ascii="Book Antiqua" w:eastAsia="Book Antiqua" w:hAnsi="Book Antiqua" w:cs="Book Antiqua"/>
          <w:color w:val="000000"/>
        </w:rPr>
        <w:t>: G</w:t>
      </w:r>
      <w:r w:rsidRPr="00FD0EF3">
        <w:rPr>
          <w:rFonts w:ascii="Book Antiqua" w:eastAsia="Book Antiqua" w:hAnsi="Book Antiqua" w:cs="Book Antiqua"/>
          <w:color w:val="000000"/>
        </w:rPr>
        <w:t>amma-</w:t>
      </w:r>
      <w:proofErr w:type="spellStart"/>
      <w:r w:rsidRPr="00FD0EF3">
        <w:rPr>
          <w:rFonts w:ascii="Book Antiqua" w:eastAsia="Book Antiqua" w:hAnsi="Book Antiqua" w:cs="Book Antiqua"/>
          <w:color w:val="000000"/>
        </w:rPr>
        <w:t>glutamyl</w:t>
      </w:r>
      <w:proofErr w:type="spellEnd"/>
      <w:r w:rsidRPr="00FD0EF3">
        <w:rPr>
          <w:rFonts w:ascii="Book Antiqua" w:eastAsia="Book Antiqua" w:hAnsi="Book Antiqua" w:cs="Book Antiqua"/>
          <w:color w:val="000000"/>
        </w:rPr>
        <w:t xml:space="preserve"> transferase; LSM</w:t>
      </w:r>
      <w:r>
        <w:rPr>
          <w:rFonts w:ascii="Book Antiqua" w:eastAsia="Book Antiqua" w:hAnsi="Book Antiqua" w:cs="Book Antiqua"/>
          <w:color w:val="000000"/>
        </w:rPr>
        <w:t>: L</w:t>
      </w:r>
      <w:r w:rsidRPr="00FD0EF3">
        <w:rPr>
          <w:rFonts w:ascii="Book Antiqua" w:eastAsia="Book Antiqua" w:hAnsi="Book Antiqua" w:cs="Book Antiqua"/>
          <w:color w:val="000000"/>
        </w:rPr>
        <w:t>iver stiffness measurement</w:t>
      </w:r>
      <w:r>
        <w:rPr>
          <w:rFonts w:ascii="Book Antiqua" w:eastAsia="Book Antiqua" w:hAnsi="Book Antiqua" w:cs="Book Antiqua"/>
          <w:color w:val="000000"/>
        </w:rPr>
        <w:t>; AIH: A</w:t>
      </w:r>
      <w:r w:rsidRPr="00B54CDF">
        <w:rPr>
          <w:rFonts w:ascii="Book Antiqua" w:eastAsia="Book Antiqua" w:hAnsi="Book Antiqua" w:cs="Book Antiqua"/>
          <w:color w:val="000000"/>
        </w:rPr>
        <w:t>utoimmune hepatitis</w:t>
      </w:r>
      <w:r>
        <w:rPr>
          <w:rFonts w:ascii="Book Antiqua" w:eastAsia="Book Antiqua" w:hAnsi="Book Antiqua" w:cs="Book Antiqua"/>
          <w:color w:val="000000"/>
        </w:rPr>
        <w:t>; NAFLD: N</w:t>
      </w:r>
      <w:r w:rsidRPr="00B54CDF">
        <w:rPr>
          <w:rFonts w:ascii="Book Antiqua" w:eastAsia="Book Antiqua" w:hAnsi="Book Antiqua" w:cs="Book Antiqua"/>
          <w:color w:val="000000"/>
        </w:rPr>
        <w:t>onalcoholic fatty liver</w:t>
      </w:r>
      <w:r w:rsidR="004F605E">
        <w:rPr>
          <w:rFonts w:ascii="Book Antiqua" w:eastAsia="Book Antiqua" w:hAnsi="Book Antiqua" w:cs="Book Antiqua"/>
          <w:color w:val="000000"/>
        </w:rPr>
        <w:t>.</w:t>
      </w:r>
    </w:p>
    <w:sectPr w:rsidR="00A77B3E" w:rsidRPr="00141C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6C6C1" w14:textId="77777777" w:rsidR="0087576D" w:rsidRDefault="0087576D" w:rsidP="005307B1">
      <w:r>
        <w:separator/>
      </w:r>
    </w:p>
  </w:endnote>
  <w:endnote w:type="continuationSeparator" w:id="0">
    <w:p w14:paraId="726FC037" w14:textId="77777777" w:rsidR="0087576D" w:rsidRDefault="0087576D" w:rsidP="0053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359448"/>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017F9046" w14:textId="2FF481C8" w:rsidR="00B671FF" w:rsidRDefault="00B671FF" w:rsidP="005307B1">
            <w:pPr>
              <w:pStyle w:val="a4"/>
              <w:jc w:val="right"/>
            </w:pPr>
            <w:r>
              <w:rPr>
                <w:lang w:val="zh-CN" w:eastAsia="zh-CN"/>
              </w:rPr>
              <w:t xml:space="preserve"> </w:t>
            </w:r>
            <w:r w:rsidRPr="005307B1">
              <w:rPr>
                <w:rFonts w:ascii="Book Antiqua" w:hAnsi="Book Antiqua"/>
                <w:sz w:val="21"/>
                <w:szCs w:val="21"/>
              </w:rPr>
              <w:fldChar w:fldCharType="begin"/>
            </w:r>
            <w:r w:rsidRPr="005307B1">
              <w:rPr>
                <w:rFonts w:ascii="Book Antiqua" w:hAnsi="Book Antiqua"/>
                <w:sz w:val="21"/>
                <w:szCs w:val="21"/>
              </w:rPr>
              <w:instrText>PAGE</w:instrText>
            </w:r>
            <w:r w:rsidRPr="005307B1">
              <w:rPr>
                <w:rFonts w:ascii="Book Antiqua" w:hAnsi="Book Antiqua"/>
                <w:sz w:val="21"/>
                <w:szCs w:val="21"/>
              </w:rPr>
              <w:fldChar w:fldCharType="separate"/>
            </w:r>
            <w:r w:rsidR="00620B8D">
              <w:rPr>
                <w:rFonts w:ascii="Book Antiqua" w:hAnsi="Book Antiqua"/>
                <w:noProof/>
                <w:sz w:val="21"/>
                <w:szCs w:val="21"/>
              </w:rPr>
              <w:t>28</w:t>
            </w:r>
            <w:r w:rsidRPr="005307B1">
              <w:rPr>
                <w:rFonts w:ascii="Book Antiqua" w:hAnsi="Book Antiqua"/>
                <w:sz w:val="21"/>
                <w:szCs w:val="21"/>
              </w:rPr>
              <w:fldChar w:fldCharType="end"/>
            </w:r>
            <w:r w:rsidRPr="005307B1">
              <w:rPr>
                <w:rFonts w:ascii="Book Antiqua" w:hAnsi="Book Antiqua"/>
                <w:sz w:val="21"/>
                <w:szCs w:val="21"/>
                <w:lang w:val="zh-CN" w:eastAsia="zh-CN"/>
              </w:rPr>
              <w:t xml:space="preserve"> / </w:t>
            </w:r>
            <w:r w:rsidRPr="005307B1">
              <w:rPr>
                <w:rFonts w:ascii="Book Antiqua" w:hAnsi="Book Antiqua"/>
                <w:sz w:val="21"/>
                <w:szCs w:val="21"/>
              </w:rPr>
              <w:fldChar w:fldCharType="begin"/>
            </w:r>
            <w:r w:rsidRPr="005307B1">
              <w:rPr>
                <w:rFonts w:ascii="Book Antiqua" w:hAnsi="Book Antiqua"/>
                <w:sz w:val="21"/>
                <w:szCs w:val="21"/>
              </w:rPr>
              <w:instrText>NUMPAGES</w:instrText>
            </w:r>
            <w:r w:rsidRPr="005307B1">
              <w:rPr>
                <w:rFonts w:ascii="Book Antiqua" w:hAnsi="Book Antiqua"/>
                <w:sz w:val="21"/>
                <w:szCs w:val="21"/>
              </w:rPr>
              <w:fldChar w:fldCharType="separate"/>
            </w:r>
            <w:r w:rsidR="00620B8D">
              <w:rPr>
                <w:rFonts w:ascii="Book Antiqua" w:hAnsi="Book Antiqua"/>
                <w:noProof/>
                <w:sz w:val="21"/>
                <w:szCs w:val="21"/>
              </w:rPr>
              <w:t>28</w:t>
            </w:r>
            <w:r w:rsidRPr="005307B1">
              <w:rPr>
                <w:rFonts w:ascii="Book Antiqua" w:hAnsi="Book Antiqua"/>
                <w:sz w:val="21"/>
                <w:szCs w:val="21"/>
              </w:rPr>
              <w:fldChar w:fldCharType="end"/>
            </w:r>
          </w:p>
        </w:sdtContent>
      </w:sdt>
    </w:sdtContent>
  </w:sdt>
  <w:p w14:paraId="1A04E260" w14:textId="77777777" w:rsidR="00B671FF" w:rsidRDefault="00B671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7BDA3" w14:textId="77777777" w:rsidR="0087576D" w:rsidRDefault="0087576D" w:rsidP="005307B1">
      <w:r>
        <w:separator/>
      </w:r>
    </w:p>
  </w:footnote>
  <w:footnote w:type="continuationSeparator" w:id="0">
    <w:p w14:paraId="1CFEFCA5" w14:textId="77777777" w:rsidR="0087576D" w:rsidRDefault="0087576D" w:rsidP="00530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DB7"/>
    <w:rsid w:val="000315DE"/>
    <w:rsid w:val="00046FBD"/>
    <w:rsid w:val="00087C74"/>
    <w:rsid w:val="00091E82"/>
    <w:rsid w:val="0009789F"/>
    <w:rsid w:val="000C547D"/>
    <w:rsid w:val="000F3E63"/>
    <w:rsid w:val="00112AB4"/>
    <w:rsid w:val="00141C8E"/>
    <w:rsid w:val="00154BAC"/>
    <w:rsid w:val="00172AC9"/>
    <w:rsid w:val="001735FC"/>
    <w:rsid w:val="001D4011"/>
    <w:rsid w:val="001D573C"/>
    <w:rsid w:val="001D5A1D"/>
    <w:rsid w:val="001F19B2"/>
    <w:rsid w:val="001F3B31"/>
    <w:rsid w:val="00234FF8"/>
    <w:rsid w:val="002662FA"/>
    <w:rsid w:val="002C3B29"/>
    <w:rsid w:val="0036260B"/>
    <w:rsid w:val="00381788"/>
    <w:rsid w:val="003828AA"/>
    <w:rsid w:val="003956E4"/>
    <w:rsid w:val="003B677E"/>
    <w:rsid w:val="003D40F7"/>
    <w:rsid w:val="0040549A"/>
    <w:rsid w:val="00456653"/>
    <w:rsid w:val="00464E16"/>
    <w:rsid w:val="00467310"/>
    <w:rsid w:val="00472C4A"/>
    <w:rsid w:val="004840D5"/>
    <w:rsid w:val="004950B5"/>
    <w:rsid w:val="004A0FD5"/>
    <w:rsid w:val="004F605E"/>
    <w:rsid w:val="00516C04"/>
    <w:rsid w:val="005307B1"/>
    <w:rsid w:val="00543A9D"/>
    <w:rsid w:val="00544893"/>
    <w:rsid w:val="005A0CC7"/>
    <w:rsid w:val="005D28DA"/>
    <w:rsid w:val="00620B8D"/>
    <w:rsid w:val="00666628"/>
    <w:rsid w:val="006B665B"/>
    <w:rsid w:val="006B668B"/>
    <w:rsid w:val="006C574D"/>
    <w:rsid w:val="006D1EBA"/>
    <w:rsid w:val="006F633C"/>
    <w:rsid w:val="00706BF6"/>
    <w:rsid w:val="00725F84"/>
    <w:rsid w:val="007A0873"/>
    <w:rsid w:val="008130AA"/>
    <w:rsid w:val="0087576D"/>
    <w:rsid w:val="009130EC"/>
    <w:rsid w:val="009613A9"/>
    <w:rsid w:val="009E3D93"/>
    <w:rsid w:val="009F77E1"/>
    <w:rsid w:val="00A26E84"/>
    <w:rsid w:val="00A3217A"/>
    <w:rsid w:val="00A44637"/>
    <w:rsid w:val="00A55F1D"/>
    <w:rsid w:val="00A77B3E"/>
    <w:rsid w:val="00AD76A3"/>
    <w:rsid w:val="00B50FE5"/>
    <w:rsid w:val="00B57C2F"/>
    <w:rsid w:val="00B65062"/>
    <w:rsid w:val="00B6615C"/>
    <w:rsid w:val="00B671FF"/>
    <w:rsid w:val="00BC6554"/>
    <w:rsid w:val="00BE45C9"/>
    <w:rsid w:val="00C50E15"/>
    <w:rsid w:val="00C80FBE"/>
    <w:rsid w:val="00CA2A55"/>
    <w:rsid w:val="00CB5544"/>
    <w:rsid w:val="00CF34E5"/>
    <w:rsid w:val="00D45CFF"/>
    <w:rsid w:val="00D84BEC"/>
    <w:rsid w:val="00DB7A69"/>
    <w:rsid w:val="00DF54AC"/>
    <w:rsid w:val="00E20E34"/>
    <w:rsid w:val="00E430CB"/>
    <w:rsid w:val="00EF01B0"/>
    <w:rsid w:val="00F01EA3"/>
    <w:rsid w:val="00F6085C"/>
    <w:rsid w:val="00F82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5772D"/>
  <w15:docId w15:val="{8B4621C5-F960-414B-9D7D-2820A734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07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07B1"/>
    <w:rPr>
      <w:sz w:val="18"/>
      <w:szCs w:val="18"/>
    </w:rPr>
  </w:style>
  <w:style w:type="paragraph" w:styleId="a4">
    <w:name w:val="footer"/>
    <w:basedOn w:val="a"/>
    <w:link w:val="Char0"/>
    <w:uiPriority w:val="99"/>
    <w:unhideWhenUsed/>
    <w:rsid w:val="005307B1"/>
    <w:pPr>
      <w:tabs>
        <w:tab w:val="center" w:pos="4153"/>
        <w:tab w:val="right" w:pos="8306"/>
      </w:tabs>
      <w:snapToGrid w:val="0"/>
    </w:pPr>
    <w:rPr>
      <w:sz w:val="18"/>
      <w:szCs w:val="18"/>
    </w:rPr>
  </w:style>
  <w:style w:type="character" w:customStyle="1" w:styleId="Char0">
    <w:name w:val="页脚 Char"/>
    <w:basedOn w:val="a0"/>
    <w:link w:val="a4"/>
    <w:uiPriority w:val="99"/>
    <w:rsid w:val="005307B1"/>
    <w:rPr>
      <w:sz w:val="18"/>
      <w:szCs w:val="18"/>
    </w:rPr>
  </w:style>
  <w:style w:type="table" w:styleId="a5">
    <w:name w:val="Table Grid"/>
    <w:basedOn w:val="a1"/>
    <w:uiPriority w:val="39"/>
    <w:rsid w:val="00141C8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E430CB"/>
    <w:rPr>
      <w:sz w:val="18"/>
      <w:szCs w:val="18"/>
    </w:rPr>
  </w:style>
  <w:style w:type="character" w:customStyle="1" w:styleId="Char1">
    <w:name w:val="批注框文本 Char"/>
    <w:basedOn w:val="a0"/>
    <w:link w:val="a6"/>
    <w:rsid w:val="00E430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5838</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Tianqi</cp:lastModifiedBy>
  <cp:revision>3</cp:revision>
  <dcterms:created xsi:type="dcterms:W3CDTF">2020-12-18T01:44:00Z</dcterms:created>
  <dcterms:modified xsi:type="dcterms:W3CDTF">2020-12-18T01:49:00Z</dcterms:modified>
</cp:coreProperties>
</file>