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89855"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olor w:val="000000"/>
        </w:rPr>
        <w:t xml:space="preserve">Name of Journal: </w:t>
      </w:r>
      <w:r w:rsidRPr="000915AB">
        <w:rPr>
          <w:rFonts w:ascii="Book Antiqua" w:eastAsia="Book Antiqua" w:hAnsi="Book Antiqua" w:cs="Book Antiqua"/>
          <w:i/>
          <w:color w:val="000000"/>
        </w:rPr>
        <w:t>World Journal of Clinical Cases</w:t>
      </w:r>
    </w:p>
    <w:p w14:paraId="4BA8DF5A"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olor w:val="000000"/>
        </w:rPr>
        <w:t xml:space="preserve">Manuscript NO: </w:t>
      </w:r>
      <w:r w:rsidRPr="000915AB">
        <w:rPr>
          <w:rFonts w:ascii="Book Antiqua" w:eastAsia="Book Antiqua" w:hAnsi="Book Antiqua" w:cs="Book Antiqua"/>
          <w:color w:val="000000"/>
        </w:rPr>
        <w:t>59491</w:t>
      </w:r>
    </w:p>
    <w:p w14:paraId="288D5DCF"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olor w:val="000000"/>
        </w:rPr>
        <w:t xml:space="preserve">Manuscript Type: </w:t>
      </w:r>
      <w:r w:rsidRPr="000915AB">
        <w:rPr>
          <w:rFonts w:ascii="Book Antiqua" w:eastAsia="Book Antiqua" w:hAnsi="Book Antiqua" w:cs="Book Antiqua"/>
          <w:color w:val="000000"/>
        </w:rPr>
        <w:t>CASE REPORT</w:t>
      </w:r>
    </w:p>
    <w:p w14:paraId="52548712" w14:textId="77777777" w:rsidR="00A77B3E" w:rsidRPr="000915AB" w:rsidRDefault="00A77B3E" w:rsidP="000915AB">
      <w:pPr>
        <w:spacing w:line="360" w:lineRule="auto"/>
        <w:jc w:val="both"/>
        <w:rPr>
          <w:rFonts w:ascii="Book Antiqua" w:hAnsi="Book Antiqua"/>
        </w:rPr>
      </w:pPr>
    </w:p>
    <w:p w14:paraId="0FCE9236" w14:textId="17CA8E7A"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olor w:val="000000"/>
        </w:rPr>
        <w:t xml:space="preserve">Coinheritance of </w:t>
      </w:r>
      <w:r w:rsidRPr="000915AB">
        <w:rPr>
          <w:rFonts w:ascii="Book Antiqua" w:eastAsia="Book Antiqua" w:hAnsi="Book Antiqua" w:cs="Book Antiqua"/>
          <w:b/>
          <w:i/>
          <w:iCs/>
          <w:color w:val="000000"/>
        </w:rPr>
        <w:t>OLFM2</w:t>
      </w:r>
      <w:r w:rsidRPr="000915AB">
        <w:rPr>
          <w:rFonts w:ascii="Book Antiqua" w:eastAsia="Book Antiqua" w:hAnsi="Book Antiqua" w:cs="Book Antiqua"/>
          <w:b/>
          <w:color w:val="000000"/>
        </w:rPr>
        <w:t xml:space="preserve"> and </w:t>
      </w:r>
      <w:r w:rsidRPr="000915AB">
        <w:rPr>
          <w:rFonts w:ascii="Book Antiqua" w:eastAsia="Book Antiqua" w:hAnsi="Book Antiqua" w:cs="Book Antiqua"/>
          <w:b/>
          <w:i/>
          <w:iCs/>
          <w:color w:val="000000"/>
        </w:rPr>
        <w:t>SIX6</w:t>
      </w:r>
      <w:r w:rsidRPr="000915AB">
        <w:rPr>
          <w:rFonts w:ascii="Book Antiqua" w:eastAsia="Book Antiqua" w:hAnsi="Book Antiqua" w:cs="Book Antiqua"/>
          <w:b/>
          <w:color w:val="000000"/>
        </w:rPr>
        <w:t xml:space="preserve"> variants in a Chinese family with juvenile-onset primary open-angle glaucoma: A case report</w:t>
      </w:r>
    </w:p>
    <w:p w14:paraId="02CBDED6" w14:textId="77777777" w:rsidR="00A77B3E" w:rsidRPr="000915AB" w:rsidRDefault="00A77B3E" w:rsidP="000915AB">
      <w:pPr>
        <w:spacing w:line="360" w:lineRule="auto"/>
        <w:jc w:val="both"/>
        <w:rPr>
          <w:rFonts w:ascii="Book Antiqua" w:hAnsi="Book Antiqua"/>
        </w:rPr>
      </w:pPr>
    </w:p>
    <w:p w14:paraId="62307A94" w14:textId="43CD3D03" w:rsidR="00A77B3E" w:rsidRPr="000915AB" w:rsidRDefault="00EA6604" w:rsidP="000915AB">
      <w:pPr>
        <w:spacing w:line="360" w:lineRule="auto"/>
        <w:jc w:val="both"/>
        <w:rPr>
          <w:rFonts w:ascii="Book Antiqua" w:hAnsi="Book Antiqua"/>
        </w:rPr>
      </w:pPr>
      <w:r w:rsidRPr="000915AB">
        <w:rPr>
          <w:rFonts w:ascii="Book Antiqua" w:eastAsia="Book Antiqua" w:hAnsi="Book Antiqua" w:cs="Book Antiqua"/>
          <w:color w:val="000000"/>
        </w:rPr>
        <w:t xml:space="preserve">Yang X </w:t>
      </w:r>
      <w:r w:rsidRPr="000915AB">
        <w:rPr>
          <w:rFonts w:ascii="Book Antiqua" w:eastAsia="Book Antiqua" w:hAnsi="Book Antiqua" w:cs="Book Antiqua"/>
          <w:i/>
          <w:iCs/>
          <w:color w:val="000000"/>
        </w:rPr>
        <w:t>et al</w:t>
      </w:r>
      <w:r w:rsidRPr="000915AB">
        <w:rPr>
          <w:rFonts w:ascii="Book Antiqua" w:eastAsia="Book Antiqua" w:hAnsi="Book Antiqua" w:cs="Book Antiqua"/>
          <w:color w:val="000000"/>
        </w:rPr>
        <w:t xml:space="preserve">. </w:t>
      </w:r>
      <w:r w:rsidR="004521C0" w:rsidRPr="000915AB">
        <w:rPr>
          <w:rFonts w:ascii="Book Antiqua" w:eastAsia="Book Antiqua" w:hAnsi="Book Antiqua" w:cs="Book Antiqua"/>
          <w:i/>
          <w:iCs/>
          <w:color w:val="000000"/>
        </w:rPr>
        <w:t>OLFM2</w:t>
      </w:r>
      <w:r w:rsidR="004521C0" w:rsidRPr="000915AB">
        <w:rPr>
          <w:rFonts w:ascii="Book Antiqua" w:eastAsia="Book Antiqua" w:hAnsi="Book Antiqua" w:cs="Book Antiqua"/>
          <w:color w:val="000000"/>
        </w:rPr>
        <w:t xml:space="preserve"> and </w:t>
      </w:r>
      <w:r w:rsidR="004521C0" w:rsidRPr="000915AB">
        <w:rPr>
          <w:rFonts w:ascii="Book Antiqua" w:eastAsia="Book Antiqua" w:hAnsi="Book Antiqua" w:cs="Book Antiqua"/>
          <w:i/>
          <w:iCs/>
          <w:color w:val="000000"/>
        </w:rPr>
        <w:t>SIX6</w:t>
      </w:r>
      <w:r w:rsidR="004521C0" w:rsidRPr="000915AB">
        <w:rPr>
          <w:rFonts w:ascii="Book Antiqua" w:eastAsia="Book Antiqua" w:hAnsi="Book Antiqua" w:cs="Book Antiqua"/>
          <w:color w:val="000000"/>
        </w:rPr>
        <w:t xml:space="preserve"> variants in</w:t>
      </w:r>
      <w:r w:rsidR="007C26B1" w:rsidRPr="000915AB">
        <w:rPr>
          <w:rFonts w:ascii="Book Antiqua" w:eastAsia="Book Antiqua" w:hAnsi="Book Antiqua" w:cs="Book Antiqua"/>
          <w:color w:val="000000"/>
        </w:rPr>
        <w:t xml:space="preserve"> primary open-angle glaucoma</w:t>
      </w:r>
    </w:p>
    <w:p w14:paraId="78DB5A81" w14:textId="77777777" w:rsidR="00A77B3E" w:rsidRPr="000915AB" w:rsidRDefault="00A77B3E" w:rsidP="000915AB">
      <w:pPr>
        <w:spacing w:line="360" w:lineRule="auto"/>
        <w:jc w:val="both"/>
        <w:rPr>
          <w:rFonts w:ascii="Book Antiqua" w:hAnsi="Book Antiqua"/>
        </w:rPr>
      </w:pPr>
    </w:p>
    <w:p w14:paraId="122BF66F"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Xue Yang, Nan-Nan Sun, Zhen-Ni Zhao, Shu-Xiang He, Miao Zhang, Dan-Dan Zhang, Xiao-Wei Yu, Jia-Min Zhang, Zhi-Gang Fan</w:t>
      </w:r>
    </w:p>
    <w:p w14:paraId="3B99C5A2" w14:textId="77777777" w:rsidR="00A77B3E" w:rsidRPr="000915AB" w:rsidRDefault="00A77B3E" w:rsidP="000915AB">
      <w:pPr>
        <w:spacing w:line="360" w:lineRule="auto"/>
        <w:jc w:val="both"/>
        <w:rPr>
          <w:rFonts w:ascii="Book Antiqua" w:hAnsi="Book Antiqua"/>
        </w:rPr>
      </w:pPr>
    </w:p>
    <w:p w14:paraId="153FB25E" w14:textId="411C5814"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bCs/>
          <w:color w:val="000000"/>
        </w:rPr>
        <w:t xml:space="preserve">Xue Yang, Nan-Nan Sun, Zhen-Ni Zhao, Miao Zhang, Dan-Dan Zhang, Xiao-Wei Yu, Jia-Min Zhang, Zhi-Gang Fan, </w:t>
      </w:r>
      <w:r w:rsidRPr="000915AB">
        <w:rPr>
          <w:rFonts w:ascii="Book Antiqua" w:eastAsia="Book Antiqua" w:hAnsi="Book Antiqua" w:cs="Book Antiqua"/>
          <w:color w:val="000000"/>
        </w:rPr>
        <w:t xml:space="preserve">State Key Laboratory of Ophthalmology, Zhongshan Ophthalmic Center, Sun Yat-sen University, Guangzhou 510060, </w:t>
      </w:r>
      <w:r w:rsidR="00B04B0C" w:rsidRPr="000915AB">
        <w:rPr>
          <w:rFonts w:ascii="Book Antiqua" w:eastAsia="Book Antiqua" w:hAnsi="Book Antiqua" w:cs="Book Antiqua"/>
          <w:color w:val="000000"/>
        </w:rPr>
        <w:t xml:space="preserve">Guangdong Province, </w:t>
      </w:r>
      <w:r w:rsidRPr="000915AB">
        <w:rPr>
          <w:rFonts w:ascii="Book Antiqua" w:eastAsia="Book Antiqua" w:hAnsi="Book Antiqua" w:cs="Book Antiqua"/>
          <w:color w:val="000000"/>
        </w:rPr>
        <w:t>China</w:t>
      </w:r>
    </w:p>
    <w:p w14:paraId="47AA83CF" w14:textId="77777777" w:rsidR="00A77B3E" w:rsidRPr="000915AB" w:rsidRDefault="00A77B3E" w:rsidP="000915AB">
      <w:pPr>
        <w:spacing w:line="360" w:lineRule="auto"/>
        <w:jc w:val="both"/>
        <w:rPr>
          <w:rFonts w:ascii="Book Antiqua" w:hAnsi="Book Antiqua"/>
        </w:rPr>
      </w:pPr>
    </w:p>
    <w:p w14:paraId="738F76DC" w14:textId="65559DB1"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bCs/>
          <w:color w:val="000000"/>
        </w:rPr>
        <w:t xml:space="preserve">Shu-Xiang He, </w:t>
      </w:r>
      <w:r w:rsidRPr="000915AB">
        <w:rPr>
          <w:rFonts w:ascii="Book Antiqua" w:eastAsia="Book Antiqua" w:hAnsi="Book Antiqua" w:cs="Book Antiqua"/>
          <w:color w:val="000000"/>
        </w:rPr>
        <w:t xml:space="preserve">Guangzhou </w:t>
      </w:r>
      <w:r w:rsidR="00C021EB" w:rsidRPr="000915AB">
        <w:rPr>
          <w:rFonts w:ascii="Book Antiqua" w:eastAsia="Book Antiqua" w:hAnsi="Book Antiqua" w:cs="Book Antiqua"/>
          <w:color w:val="000000"/>
        </w:rPr>
        <w:t>KingMed Diagnostics Group Co., Ltd</w:t>
      </w:r>
      <w:r w:rsidRPr="000915AB">
        <w:rPr>
          <w:rFonts w:ascii="Book Antiqua" w:eastAsia="Book Antiqua" w:hAnsi="Book Antiqua" w:cs="Book Antiqua"/>
          <w:color w:val="000000"/>
        </w:rPr>
        <w:t xml:space="preserve">, Guangzhou 510060, </w:t>
      </w:r>
      <w:r w:rsidR="00B04B0C" w:rsidRPr="000915AB">
        <w:rPr>
          <w:rFonts w:ascii="Book Antiqua" w:eastAsia="Book Antiqua" w:hAnsi="Book Antiqua" w:cs="Book Antiqua"/>
          <w:color w:val="000000"/>
        </w:rPr>
        <w:t xml:space="preserve">Guangdong Province, </w:t>
      </w:r>
      <w:r w:rsidRPr="000915AB">
        <w:rPr>
          <w:rFonts w:ascii="Book Antiqua" w:eastAsia="Book Antiqua" w:hAnsi="Book Antiqua" w:cs="Book Antiqua"/>
          <w:color w:val="000000"/>
        </w:rPr>
        <w:t>China</w:t>
      </w:r>
    </w:p>
    <w:p w14:paraId="61CFCDE1" w14:textId="77777777" w:rsidR="00A77B3E" w:rsidRPr="000915AB" w:rsidRDefault="00A77B3E" w:rsidP="000915AB">
      <w:pPr>
        <w:spacing w:line="360" w:lineRule="auto"/>
        <w:jc w:val="both"/>
        <w:rPr>
          <w:rFonts w:ascii="Book Antiqua" w:hAnsi="Book Antiqua"/>
        </w:rPr>
      </w:pPr>
    </w:p>
    <w:p w14:paraId="7C1A2998" w14:textId="2E17DE4E"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bCs/>
          <w:color w:val="000000"/>
        </w:rPr>
        <w:t xml:space="preserve">Author contributions: </w:t>
      </w:r>
      <w:r w:rsidRPr="000915AB">
        <w:rPr>
          <w:rFonts w:ascii="Book Antiqua" w:eastAsia="Book Antiqua" w:hAnsi="Book Antiqua" w:cs="Book Antiqua"/>
          <w:color w:val="000000"/>
        </w:rPr>
        <w:t xml:space="preserve">Fan ZG conceived and designed the study; Zhang M, Yu XW and Zhang JM performed the experiments; Yang X, Zhao ZN and Zhang DD provided clinical research; Yang X and Sun NN wrote the </w:t>
      </w:r>
      <w:r w:rsidR="00B04B0C" w:rsidRPr="000915AB">
        <w:rPr>
          <w:rFonts w:ascii="Book Antiqua" w:eastAsia="Book Antiqua" w:hAnsi="Book Antiqua" w:cs="Book Antiqua"/>
          <w:color w:val="000000"/>
        </w:rPr>
        <w:t>manuscript</w:t>
      </w:r>
      <w:r w:rsidRPr="000915AB">
        <w:rPr>
          <w:rFonts w:ascii="Book Antiqua" w:eastAsia="Book Antiqua" w:hAnsi="Book Antiqua" w:cs="Book Antiqua"/>
          <w:color w:val="000000"/>
        </w:rPr>
        <w:t xml:space="preserve">; Yang X, Sun NN, He SX and Fan ZG reviewed and edited the manuscript; </w:t>
      </w:r>
      <w:r w:rsidR="00B04B0C" w:rsidRPr="000915AB">
        <w:rPr>
          <w:rFonts w:ascii="Book Antiqua" w:eastAsia="Book Antiqua" w:hAnsi="Book Antiqua" w:cs="Book Antiqua"/>
          <w:color w:val="000000"/>
        </w:rPr>
        <w:t>a</w:t>
      </w:r>
      <w:r w:rsidRPr="000915AB">
        <w:rPr>
          <w:rFonts w:ascii="Book Antiqua" w:eastAsia="Book Antiqua" w:hAnsi="Book Antiqua" w:cs="Book Antiqua"/>
          <w:color w:val="000000"/>
        </w:rPr>
        <w:t>ll authors read and approved the manuscript.</w:t>
      </w:r>
    </w:p>
    <w:p w14:paraId="12BAABE6" w14:textId="77777777" w:rsidR="00A77B3E" w:rsidRPr="000915AB" w:rsidRDefault="00A77B3E" w:rsidP="000915AB">
      <w:pPr>
        <w:spacing w:line="360" w:lineRule="auto"/>
        <w:jc w:val="both"/>
        <w:rPr>
          <w:rFonts w:ascii="Book Antiqua" w:hAnsi="Book Antiqua"/>
        </w:rPr>
      </w:pPr>
    </w:p>
    <w:p w14:paraId="1E615DD0" w14:textId="3233A7AB"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bCs/>
          <w:color w:val="000000"/>
        </w:rPr>
        <w:t xml:space="preserve">Supported by </w:t>
      </w:r>
      <w:r w:rsidR="00CA699E" w:rsidRPr="000915AB">
        <w:rPr>
          <w:rFonts w:ascii="Book Antiqua" w:eastAsia="Book Antiqua" w:hAnsi="Book Antiqua" w:cs="Book Antiqua"/>
          <w:color w:val="000000"/>
        </w:rPr>
        <w:t>the</w:t>
      </w:r>
      <w:r w:rsidR="00CA699E" w:rsidRPr="000915AB">
        <w:rPr>
          <w:rFonts w:ascii="Book Antiqua" w:eastAsia="Book Antiqua" w:hAnsi="Book Antiqua" w:cs="Book Antiqua"/>
          <w:b/>
          <w:bCs/>
          <w:color w:val="000000"/>
        </w:rPr>
        <w:t xml:space="preserve"> </w:t>
      </w:r>
      <w:r w:rsidRPr="000915AB">
        <w:rPr>
          <w:rFonts w:ascii="Book Antiqua" w:eastAsia="Book Antiqua" w:hAnsi="Book Antiqua" w:cs="Book Antiqua"/>
          <w:color w:val="000000"/>
        </w:rPr>
        <w:t>Guangzhou Science and Technology Plan Project, No. 201803040020</w:t>
      </w:r>
      <w:r w:rsidR="00CA699E" w:rsidRPr="000915AB">
        <w:rPr>
          <w:rFonts w:ascii="Book Antiqua" w:eastAsia="Book Antiqua" w:hAnsi="Book Antiqua" w:cs="Book Antiqua"/>
          <w:color w:val="000000"/>
        </w:rPr>
        <w:t xml:space="preserve"> and</w:t>
      </w:r>
      <w:r w:rsidRPr="000915AB">
        <w:rPr>
          <w:rFonts w:ascii="Book Antiqua" w:eastAsia="Book Antiqua" w:hAnsi="Book Antiqua" w:cs="Book Antiqua"/>
          <w:color w:val="000000"/>
        </w:rPr>
        <w:t xml:space="preserve"> 201903010065; </w:t>
      </w:r>
      <w:r w:rsidR="00CA699E" w:rsidRPr="000915AB">
        <w:rPr>
          <w:rFonts w:ascii="Book Antiqua" w:eastAsia="Book Antiqua" w:hAnsi="Book Antiqua" w:cs="Book Antiqua"/>
          <w:color w:val="000000"/>
        </w:rPr>
        <w:t xml:space="preserve">the </w:t>
      </w:r>
      <w:r w:rsidRPr="000915AB">
        <w:rPr>
          <w:rFonts w:ascii="Book Antiqua" w:eastAsia="Book Antiqua" w:hAnsi="Book Antiqua" w:cs="Book Antiqua"/>
          <w:color w:val="000000"/>
        </w:rPr>
        <w:t>Guangdong Natural Science Foundation, No. 2020A151501</w:t>
      </w:r>
      <w:r w:rsidR="00CA699E" w:rsidRPr="000915AB">
        <w:rPr>
          <w:rFonts w:ascii="Book Antiqua" w:eastAsia="Book Antiqua" w:hAnsi="Book Antiqua" w:cs="Book Antiqua"/>
          <w:color w:val="000000"/>
        </w:rPr>
        <w:t>0</w:t>
      </w:r>
      <w:r w:rsidRPr="000915AB">
        <w:rPr>
          <w:rFonts w:ascii="Book Antiqua" w:eastAsia="Book Antiqua" w:hAnsi="Book Antiqua" w:cs="Book Antiqua"/>
          <w:color w:val="000000"/>
        </w:rPr>
        <w:t>168</w:t>
      </w:r>
      <w:r w:rsidR="00CA699E" w:rsidRPr="000915AB">
        <w:rPr>
          <w:rFonts w:ascii="Book Antiqua" w:eastAsia="Book Antiqua" w:hAnsi="Book Antiqua" w:cs="Book Antiqua"/>
          <w:color w:val="000000"/>
        </w:rPr>
        <w:t>;</w:t>
      </w:r>
      <w:r w:rsidRPr="000915AB">
        <w:rPr>
          <w:rFonts w:ascii="Book Antiqua" w:eastAsia="Book Antiqua" w:hAnsi="Book Antiqua" w:cs="Book Antiqua"/>
          <w:color w:val="000000"/>
        </w:rPr>
        <w:t xml:space="preserve"> and</w:t>
      </w:r>
      <w:r w:rsidR="00CA699E" w:rsidRPr="000915AB">
        <w:rPr>
          <w:rFonts w:ascii="Book Antiqua" w:eastAsia="Book Antiqua" w:hAnsi="Book Antiqua" w:cs="Book Antiqua"/>
          <w:color w:val="000000"/>
        </w:rPr>
        <w:t xml:space="preserve"> the</w:t>
      </w:r>
      <w:r w:rsidRPr="000915AB">
        <w:rPr>
          <w:rFonts w:ascii="Book Antiqua" w:eastAsia="Book Antiqua" w:hAnsi="Book Antiqua" w:cs="Book Antiqua"/>
          <w:color w:val="000000"/>
        </w:rPr>
        <w:t xml:space="preserve"> Research Funds of the State Key Laboratory of Ophthalmology, No. PT1001022.</w:t>
      </w:r>
    </w:p>
    <w:p w14:paraId="1858C470" w14:textId="77777777" w:rsidR="00A77B3E" w:rsidRPr="000915AB" w:rsidRDefault="00A77B3E" w:rsidP="000915AB">
      <w:pPr>
        <w:spacing w:line="360" w:lineRule="auto"/>
        <w:jc w:val="both"/>
        <w:rPr>
          <w:rFonts w:ascii="Book Antiqua" w:hAnsi="Book Antiqua"/>
        </w:rPr>
      </w:pPr>
    </w:p>
    <w:p w14:paraId="2074C84B" w14:textId="50C88E80"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bCs/>
          <w:color w:val="000000"/>
        </w:rPr>
        <w:t>Correspond</w:t>
      </w:r>
      <w:r w:rsidR="00751994">
        <w:rPr>
          <w:rFonts w:ascii="Book Antiqua" w:eastAsia="Book Antiqua" w:hAnsi="Book Antiqua" w:cs="Book Antiqua"/>
          <w:b/>
          <w:bCs/>
          <w:color w:val="000000"/>
        </w:rPr>
        <w:t>ence to</w:t>
      </w:r>
      <w:r w:rsidRPr="000915AB">
        <w:rPr>
          <w:rFonts w:ascii="Book Antiqua" w:eastAsia="Book Antiqua" w:hAnsi="Book Antiqua" w:cs="Book Antiqua"/>
          <w:b/>
          <w:bCs/>
          <w:color w:val="000000"/>
        </w:rPr>
        <w:t xml:space="preserve">: Zhi-Gang Fan, MD, PhD, Professor, Chief Doctor, </w:t>
      </w:r>
      <w:r w:rsidRPr="000915AB">
        <w:rPr>
          <w:rFonts w:ascii="Book Antiqua" w:eastAsia="Book Antiqua" w:hAnsi="Book Antiqua" w:cs="Book Antiqua"/>
          <w:color w:val="000000"/>
        </w:rPr>
        <w:t xml:space="preserve">State Key Laboratory of Ophthalmology, Zhongshan Ophthalmic Center, Sun Yat-sen University, </w:t>
      </w:r>
      <w:r w:rsidR="001C7BD2" w:rsidRPr="000915AB">
        <w:rPr>
          <w:rFonts w:ascii="Book Antiqua" w:eastAsia="Book Antiqua" w:hAnsi="Book Antiqua" w:cs="Book Antiqua"/>
          <w:color w:val="000000"/>
        </w:rPr>
        <w:t xml:space="preserve">No. 7 </w:t>
      </w:r>
      <w:r w:rsidRPr="000915AB">
        <w:rPr>
          <w:rFonts w:ascii="Book Antiqua" w:eastAsia="Book Antiqua" w:hAnsi="Book Antiqua" w:cs="Book Antiqua"/>
          <w:color w:val="000000"/>
        </w:rPr>
        <w:t xml:space="preserve">Jinsui Road, </w:t>
      </w:r>
      <w:r w:rsidR="001C7BD2" w:rsidRPr="000915AB">
        <w:rPr>
          <w:rFonts w:ascii="Book Antiqua" w:eastAsia="Book Antiqua" w:hAnsi="Book Antiqua" w:cs="Book Antiqua"/>
          <w:color w:val="000000"/>
        </w:rPr>
        <w:t xml:space="preserve">Tianhe District, </w:t>
      </w:r>
      <w:r w:rsidRPr="000915AB">
        <w:rPr>
          <w:rFonts w:ascii="Book Antiqua" w:eastAsia="Book Antiqua" w:hAnsi="Book Antiqua" w:cs="Book Antiqua"/>
          <w:color w:val="000000"/>
        </w:rPr>
        <w:t>Guangzhou 510060, Guangdong</w:t>
      </w:r>
      <w:r w:rsidR="001C7BD2" w:rsidRPr="000915AB">
        <w:rPr>
          <w:rFonts w:ascii="Book Antiqua" w:eastAsia="Book Antiqua" w:hAnsi="Book Antiqua" w:cs="Book Antiqua"/>
          <w:color w:val="000000"/>
        </w:rPr>
        <w:t xml:space="preserve"> Province</w:t>
      </w:r>
      <w:r w:rsidRPr="000915AB">
        <w:rPr>
          <w:rFonts w:ascii="Book Antiqua" w:eastAsia="Book Antiqua" w:hAnsi="Book Antiqua" w:cs="Book Antiqua"/>
          <w:color w:val="000000"/>
        </w:rPr>
        <w:t>, China. fanzhg3@mail.sysu.edu.cn</w:t>
      </w:r>
    </w:p>
    <w:p w14:paraId="3B34A34A" w14:textId="77777777" w:rsidR="00A77B3E" w:rsidRPr="000915AB" w:rsidRDefault="00A77B3E" w:rsidP="000915AB">
      <w:pPr>
        <w:spacing w:line="360" w:lineRule="auto"/>
        <w:jc w:val="both"/>
        <w:rPr>
          <w:rFonts w:ascii="Book Antiqua" w:hAnsi="Book Antiqua"/>
        </w:rPr>
      </w:pPr>
    </w:p>
    <w:p w14:paraId="6D6910A4"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bCs/>
          <w:color w:val="000000"/>
        </w:rPr>
        <w:t xml:space="preserve">Received: </w:t>
      </w:r>
      <w:r w:rsidRPr="000915AB">
        <w:rPr>
          <w:rFonts w:ascii="Book Antiqua" w:eastAsia="Book Antiqua" w:hAnsi="Book Antiqua" w:cs="Book Antiqua"/>
          <w:color w:val="000000"/>
        </w:rPr>
        <w:t>September 14, 2020</w:t>
      </w:r>
    </w:p>
    <w:p w14:paraId="72B05DB5"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bCs/>
          <w:color w:val="000000"/>
        </w:rPr>
        <w:t xml:space="preserve">Revised: </w:t>
      </w:r>
      <w:r w:rsidRPr="000915AB">
        <w:rPr>
          <w:rFonts w:ascii="Book Antiqua" w:eastAsia="Book Antiqua" w:hAnsi="Book Antiqua" w:cs="Book Antiqua"/>
          <w:color w:val="000000"/>
        </w:rPr>
        <w:t>November 26, 2020</w:t>
      </w:r>
    </w:p>
    <w:p w14:paraId="7307EBF3" w14:textId="245C71B6"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bCs/>
          <w:color w:val="000000"/>
        </w:rPr>
        <w:t xml:space="preserve">Accepted: </w:t>
      </w:r>
      <w:r w:rsidR="009F2191" w:rsidRPr="000915AB">
        <w:rPr>
          <w:rFonts w:ascii="Book Antiqua" w:eastAsia="Book Antiqua" w:hAnsi="Book Antiqua" w:cs="Book Antiqua"/>
          <w:color w:val="000000"/>
        </w:rPr>
        <w:t>December 6, 2020</w:t>
      </w:r>
    </w:p>
    <w:p w14:paraId="11F3CB95" w14:textId="3E76AC74" w:rsidR="00A77B3E" w:rsidRPr="00AB4D3B" w:rsidRDefault="004521C0" w:rsidP="000915AB">
      <w:pPr>
        <w:spacing w:line="360" w:lineRule="auto"/>
        <w:jc w:val="both"/>
        <w:rPr>
          <w:rFonts w:ascii="Book Antiqua" w:hAnsi="Book Antiqua"/>
          <w:lang w:eastAsia="zh-CN"/>
        </w:rPr>
      </w:pPr>
      <w:r w:rsidRPr="000915AB">
        <w:rPr>
          <w:rFonts w:ascii="Book Antiqua" w:eastAsia="Book Antiqua" w:hAnsi="Book Antiqua" w:cs="Book Antiqua"/>
          <w:b/>
          <w:bCs/>
          <w:color w:val="000000"/>
        </w:rPr>
        <w:t xml:space="preserve">Published online: </w:t>
      </w:r>
      <w:r w:rsidR="00AB4D3B" w:rsidRPr="00AB4D3B">
        <w:rPr>
          <w:rFonts w:ascii="Book Antiqua" w:hAnsi="Book Antiqua" w:cs="Book Antiqua" w:hint="eastAsia"/>
          <w:bCs/>
          <w:color w:val="000000"/>
          <w:lang w:eastAsia="zh-CN"/>
        </w:rPr>
        <w:t>January 26, 2021</w:t>
      </w:r>
    </w:p>
    <w:p w14:paraId="50D5C1CF" w14:textId="77777777" w:rsidR="00A77B3E" w:rsidRPr="000915AB" w:rsidRDefault="00A77B3E" w:rsidP="000915AB">
      <w:pPr>
        <w:spacing w:line="360" w:lineRule="auto"/>
        <w:jc w:val="both"/>
        <w:rPr>
          <w:rFonts w:ascii="Book Antiqua" w:hAnsi="Book Antiqua"/>
        </w:rPr>
        <w:sectPr w:rsidR="00A77B3E" w:rsidRPr="000915AB" w:rsidSect="000915AB">
          <w:footerReference w:type="default" r:id="rId7"/>
          <w:pgSz w:w="12240" w:h="15840"/>
          <w:pgMar w:top="1440" w:right="1440" w:bottom="1440" w:left="1440" w:header="720" w:footer="720" w:gutter="0"/>
          <w:cols w:space="720"/>
          <w:docGrid w:linePitch="360"/>
        </w:sectPr>
      </w:pPr>
    </w:p>
    <w:p w14:paraId="33790242"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olor w:val="000000"/>
        </w:rPr>
        <w:t>Abstract</w:t>
      </w:r>
    </w:p>
    <w:p w14:paraId="44587292"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BACKGROUND</w:t>
      </w:r>
    </w:p>
    <w:p w14:paraId="103027A7" w14:textId="260C6EDC" w:rsidR="00A77B3E" w:rsidRPr="000915AB" w:rsidRDefault="004521C0" w:rsidP="000915AB">
      <w:pPr>
        <w:spacing w:line="360" w:lineRule="auto"/>
        <w:jc w:val="both"/>
        <w:rPr>
          <w:rFonts w:ascii="Book Antiqua" w:hAnsi="Book Antiqua"/>
        </w:rPr>
      </w:pPr>
      <w:bookmarkStart w:id="0" w:name="_Hlk57384244"/>
      <w:r w:rsidRPr="000915AB">
        <w:rPr>
          <w:rFonts w:ascii="Book Antiqua" w:eastAsia="Book Antiqua" w:hAnsi="Book Antiqua" w:cs="Book Antiqua"/>
          <w:color w:val="000000"/>
        </w:rPr>
        <w:t>Juvenile-onset primary open-angle glaucoma</w:t>
      </w:r>
      <w:bookmarkEnd w:id="0"/>
      <w:r w:rsidRPr="000915AB">
        <w:rPr>
          <w:rFonts w:ascii="Book Antiqua" w:eastAsia="Book Antiqua" w:hAnsi="Book Antiqua" w:cs="Book Antiqua"/>
          <w:color w:val="000000"/>
        </w:rPr>
        <w:t xml:space="preserve"> (JOAG), characterized by severe elevation of intraocular pressure and optic neuropathy prior to the age of 40, is a rare subtype of primary open-angle glaucoma. Several genetic mutations have been associated with JOAG.</w:t>
      </w:r>
    </w:p>
    <w:p w14:paraId="226DF8A1" w14:textId="77777777" w:rsidR="00A77B3E" w:rsidRPr="000915AB" w:rsidRDefault="00A77B3E" w:rsidP="000915AB">
      <w:pPr>
        <w:spacing w:line="360" w:lineRule="auto"/>
        <w:jc w:val="both"/>
        <w:rPr>
          <w:rFonts w:ascii="Book Antiqua" w:hAnsi="Book Antiqua"/>
        </w:rPr>
      </w:pPr>
    </w:p>
    <w:p w14:paraId="6FE7EC7C"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CASE SUMMARY</w:t>
      </w:r>
    </w:p>
    <w:p w14:paraId="2F685380" w14:textId="65313EFB"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 xml:space="preserve">The proband patient was a young male, diagnosed with </w:t>
      </w:r>
      <w:r w:rsidR="00E869E9" w:rsidRPr="000915AB">
        <w:rPr>
          <w:rFonts w:ascii="Book Antiqua" w:eastAsia="Book Antiqua" w:hAnsi="Book Antiqua" w:cs="Book Antiqua"/>
          <w:color w:val="000000"/>
        </w:rPr>
        <w:t>primary open-angle glaucoma</w:t>
      </w:r>
      <w:r w:rsidRPr="000915AB">
        <w:rPr>
          <w:rFonts w:ascii="Book Antiqua" w:eastAsia="Book Antiqua" w:hAnsi="Book Antiqua" w:cs="Book Antiqua"/>
          <w:color w:val="000000"/>
        </w:rPr>
        <w:t xml:space="preserve"> at the age of 27. The patient and his unaffected parents who have been excluded from classic genetic mutations for </w:t>
      </w:r>
      <w:r w:rsidR="00E869E9" w:rsidRPr="000915AB">
        <w:rPr>
          <w:rFonts w:ascii="Book Antiqua" w:eastAsia="Book Antiqua" w:hAnsi="Book Antiqua" w:cs="Book Antiqua"/>
          <w:color w:val="000000"/>
        </w:rPr>
        <w:t>primary open-angle glaucoma</w:t>
      </w:r>
      <w:r w:rsidR="00332B2F">
        <w:rPr>
          <w:rFonts w:ascii="Book Antiqua" w:eastAsia="Book Antiqua" w:hAnsi="Book Antiqua" w:cs="Book Antiqua"/>
          <w:color w:val="000000"/>
        </w:rPr>
        <w:t xml:space="preserve"> </w:t>
      </w:r>
      <w:r w:rsidRPr="000915AB">
        <w:rPr>
          <w:rFonts w:ascii="Book Antiqua" w:eastAsia="Book Antiqua" w:hAnsi="Book Antiqua" w:cs="Book Antiqua"/>
          <w:color w:val="000000"/>
        </w:rPr>
        <w:t>were included to explore for other possible genetic variants through whole genome sequencing and bioinformatics analysis.</w:t>
      </w:r>
      <w:r w:rsidRPr="000915AB">
        <w:rPr>
          <w:rFonts w:ascii="Book Antiqua" w:eastAsia="Book Antiqua" w:hAnsi="Book Antiqua" w:cs="Book Antiqua"/>
          <w:b/>
          <w:bCs/>
          <w:color w:val="000000"/>
        </w:rPr>
        <w:t xml:space="preserve"> </w:t>
      </w:r>
      <w:r w:rsidRPr="000915AB">
        <w:rPr>
          <w:rFonts w:ascii="Book Antiqua" w:eastAsia="Book Antiqua" w:hAnsi="Book Antiqua" w:cs="Book Antiqua"/>
          <w:color w:val="000000"/>
        </w:rPr>
        <w:t>In this trio, we found two heterozygous variants inherited from</w:t>
      </w:r>
      <w:r w:rsidR="00332B2F">
        <w:rPr>
          <w:rFonts w:ascii="Book Antiqua" w:eastAsia="Book Antiqua" w:hAnsi="Book Antiqua" w:cs="Book Antiqua"/>
          <w:color w:val="000000"/>
        </w:rPr>
        <w:t xml:space="preserve"> the</w:t>
      </w:r>
      <w:r w:rsidRPr="000915AB">
        <w:rPr>
          <w:rFonts w:ascii="Book Antiqua" w:eastAsia="Book Antiqua" w:hAnsi="Book Antiqua" w:cs="Book Antiqua"/>
          <w:color w:val="000000"/>
        </w:rPr>
        <w:t xml:space="preserve"> parents in the proband: c.281G&gt;A, p.Arg94His in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and c.177C&gt;G, p.Ile59Met in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Both genetic mutations are predicted through bioinformatics analysis to replace evolutionary conserved amino acids, therefore rendering a pathogenic effect on proteins. In contrast, very low frequencies for these genetic mutations were recorded in most common control databases.</w:t>
      </w:r>
    </w:p>
    <w:p w14:paraId="5058121E" w14:textId="77777777" w:rsidR="00A77B3E" w:rsidRPr="000915AB" w:rsidRDefault="00A77B3E" w:rsidP="000915AB">
      <w:pPr>
        <w:spacing w:line="360" w:lineRule="auto"/>
        <w:jc w:val="both"/>
        <w:rPr>
          <w:rFonts w:ascii="Book Antiqua" w:hAnsi="Book Antiqua"/>
        </w:rPr>
      </w:pPr>
    </w:p>
    <w:p w14:paraId="5DBBE0B7"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CONCLUSION</w:t>
      </w:r>
    </w:p>
    <w:p w14:paraId="0BA8A1D4" w14:textId="2B27169E"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 xml:space="preserve">This is the first report on coinherited mutations of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and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in a JOAG family, which shows the complexity of JOAG inheritance. Large-scale clinical screening and molecular functional investigations on these coinherited mutations are imperative to improve our understanding o</w:t>
      </w:r>
      <w:r w:rsidR="00332B2F">
        <w:rPr>
          <w:rFonts w:ascii="Book Antiqua" w:eastAsia="Book Antiqua" w:hAnsi="Book Antiqua" w:cs="Book Antiqua"/>
          <w:color w:val="000000"/>
        </w:rPr>
        <w:t>f</w:t>
      </w:r>
      <w:r w:rsidRPr="000915AB">
        <w:rPr>
          <w:rFonts w:ascii="Book Antiqua" w:eastAsia="Book Antiqua" w:hAnsi="Book Antiqua" w:cs="Book Antiqua"/>
          <w:color w:val="000000"/>
        </w:rPr>
        <w:t xml:space="preserve"> the development of JOAG.</w:t>
      </w:r>
    </w:p>
    <w:p w14:paraId="5F54F138" w14:textId="77777777" w:rsidR="00A77B3E" w:rsidRPr="000915AB" w:rsidRDefault="00A77B3E" w:rsidP="000915AB">
      <w:pPr>
        <w:spacing w:line="360" w:lineRule="auto"/>
        <w:jc w:val="both"/>
        <w:rPr>
          <w:rFonts w:ascii="Book Antiqua" w:hAnsi="Book Antiqua"/>
        </w:rPr>
      </w:pPr>
    </w:p>
    <w:p w14:paraId="58B6DBD1" w14:textId="7B43C635"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bCs/>
          <w:color w:val="000000"/>
        </w:rPr>
        <w:t xml:space="preserve">Key Words: </w:t>
      </w:r>
      <w:r w:rsidRPr="000915AB">
        <w:rPr>
          <w:rFonts w:ascii="Book Antiqua" w:eastAsia="Book Antiqua" w:hAnsi="Book Antiqua" w:cs="Book Antiqua"/>
          <w:color w:val="000000"/>
        </w:rPr>
        <w:t xml:space="preserve">Juvenile-onset primary open-angle glaucoma; Whole genome sequencing; Co-inheritance;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w:t>
      </w:r>
      <w:r w:rsidRPr="000915AB">
        <w:rPr>
          <w:rFonts w:ascii="Book Antiqua" w:eastAsia="Book Antiqua" w:hAnsi="Book Antiqua" w:cs="Book Antiqua"/>
          <w:i/>
          <w:iCs/>
          <w:color w:val="000000"/>
        </w:rPr>
        <w:t>SIX6</w:t>
      </w:r>
      <w:r w:rsidR="00DC050E" w:rsidRPr="000915AB">
        <w:rPr>
          <w:rFonts w:ascii="Book Antiqua" w:eastAsia="Book Antiqua" w:hAnsi="Book Antiqua" w:cs="Book Antiqua"/>
          <w:color w:val="000000"/>
        </w:rPr>
        <w:t>; Case report</w:t>
      </w:r>
    </w:p>
    <w:p w14:paraId="7A1BBF08" w14:textId="77777777" w:rsidR="00A77B3E" w:rsidRDefault="00A77B3E" w:rsidP="000915AB">
      <w:pPr>
        <w:spacing w:line="360" w:lineRule="auto"/>
        <w:jc w:val="both"/>
        <w:rPr>
          <w:rFonts w:ascii="Book Antiqua" w:hAnsi="Book Antiqua" w:hint="eastAsia"/>
          <w:lang w:eastAsia="zh-CN"/>
        </w:rPr>
      </w:pPr>
    </w:p>
    <w:p w14:paraId="7CD12DCC" w14:textId="77777777" w:rsidR="0001517F" w:rsidRPr="000C33F5" w:rsidRDefault="0001517F" w:rsidP="0001517F">
      <w:pPr>
        <w:spacing w:line="360" w:lineRule="auto"/>
        <w:rPr>
          <w:rFonts w:ascii="Book Antiqua" w:hAnsi="Book Antiqua" w:cs="Book Antiqua" w:hint="eastAsia"/>
          <w:color w:val="000000"/>
          <w:lang w:eastAsia="zh-CN"/>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AF24F18" w14:textId="77777777" w:rsidR="0001517F" w:rsidRPr="000915AB" w:rsidRDefault="0001517F" w:rsidP="000915AB">
      <w:pPr>
        <w:spacing w:line="360" w:lineRule="auto"/>
        <w:jc w:val="both"/>
        <w:rPr>
          <w:rFonts w:ascii="Book Antiqua" w:hAnsi="Book Antiqua" w:hint="eastAsia"/>
          <w:lang w:eastAsia="zh-CN"/>
        </w:rPr>
      </w:pPr>
    </w:p>
    <w:p w14:paraId="40991BAB" w14:textId="7C8A7126" w:rsidR="007C0FD0" w:rsidRDefault="007C0FD0" w:rsidP="004D046F">
      <w:pPr>
        <w:spacing w:line="360" w:lineRule="auto"/>
        <w:rPr>
          <w:rFonts w:ascii="Book Antiqua" w:hAnsi="Book Antiqua" w:cs="Book Antiqua" w:hint="eastAsia"/>
          <w:color w:val="000000"/>
          <w:lang w:eastAsia="zh-CN"/>
        </w:rPr>
      </w:pPr>
      <w:r w:rsidRPr="007C0FD0">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4521C0" w:rsidRPr="000915AB">
        <w:rPr>
          <w:rFonts w:ascii="Book Antiqua" w:eastAsia="Book Antiqua" w:hAnsi="Book Antiqua" w:cs="Book Antiqua"/>
          <w:color w:val="000000"/>
        </w:rPr>
        <w:t xml:space="preserve">Yang X, Sun NN, Zhao ZN, He SX, Zhang M, Zhang DD, Yu XW, Zhang JM, Fan ZG. Coinheritance of </w:t>
      </w:r>
      <w:r w:rsidR="004521C0" w:rsidRPr="000915AB">
        <w:rPr>
          <w:rFonts w:ascii="Book Antiqua" w:eastAsia="Book Antiqua" w:hAnsi="Book Antiqua" w:cs="Book Antiqua"/>
          <w:i/>
          <w:iCs/>
          <w:color w:val="000000"/>
        </w:rPr>
        <w:t>OLFM2</w:t>
      </w:r>
      <w:r w:rsidR="004521C0" w:rsidRPr="000915AB">
        <w:rPr>
          <w:rFonts w:ascii="Book Antiqua" w:eastAsia="Book Antiqua" w:hAnsi="Book Antiqua" w:cs="Book Antiqua"/>
          <w:color w:val="000000"/>
        </w:rPr>
        <w:t xml:space="preserve"> and </w:t>
      </w:r>
      <w:r w:rsidR="004521C0" w:rsidRPr="000915AB">
        <w:rPr>
          <w:rFonts w:ascii="Book Antiqua" w:eastAsia="Book Antiqua" w:hAnsi="Book Antiqua" w:cs="Book Antiqua"/>
          <w:i/>
          <w:iCs/>
          <w:color w:val="000000"/>
        </w:rPr>
        <w:t>SIX6</w:t>
      </w:r>
      <w:r w:rsidR="004521C0" w:rsidRPr="000915AB">
        <w:rPr>
          <w:rFonts w:ascii="Book Antiqua" w:eastAsia="Book Antiqua" w:hAnsi="Book Antiqua" w:cs="Book Antiqua"/>
          <w:color w:val="000000"/>
        </w:rPr>
        <w:t xml:space="preserve"> variants in a Chinese family with juvenile-onset primary open-angle glaucoma: A case report. </w:t>
      </w:r>
      <w:r w:rsidR="004521C0" w:rsidRPr="000915AB">
        <w:rPr>
          <w:rFonts w:ascii="Book Antiqua" w:eastAsia="Book Antiqua" w:hAnsi="Book Antiqua" w:cs="Book Antiqua"/>
          <w:i/>
          <w:iCs/>
          <w:color w:val="000000"/>
        </w:rPr>
        <w:t>World J Clin Cases</w:t>
      </w:r>
      <w:r w:rsidR="004521C0" w:rsidRPr="000915AB">
        <w:rPr>
          <w:rFonts w:ascii="Book Antiqua" w:eastAsia="Book Antiqua" w:hAnsi="Book Antiqua" w:cs="Book Antiqua"/>
          <w:color w:val="000000"/>
        </w:rPr>
        <w:t xml:space="preserve"> 202</w:t>
      </w:r>
      <w:r w:rsidR="009434BA">
        <w:rPr>
          <w:rFonts w:ascii="Book Antiqua" w:hAnsi="Book Antiqua" w:cs="Book Antiqua" w:hint="eastAsia"/>
          <w:color w:val="000000"/>
          <w:lang w:eastAsia="zh-CN"/>
        </w:rPr>
        <w:t>1</w:t>
      </w:r>
      <w:r w:rsidR="004521C0" w:rsidRPr="000915AB">
        <w:rPr>
          <w:rFonts w:ascii="Book Antiqua" w:eastAsia="Book Antiqua" w:hAnsi="Book Antiqua" w:cs="Book Antiqua"/>
          <w:color w:val="000000"/>
        </w:rPr>
        <w:t xml:space="preserve">; </w:t>
      </w:r>
      <w:r w:rsidR="009434BA" w:rsidRPr="009434BA">
        <w:rPr>
          <w:rFonts w:ascii="Book Antiqua" w:eastAsia="Book Antiqua" w:hAnsi="Book Antiqua" w:cs="Book Antiqua"/>
          <w:color w:val="000000"/>
        </w:rPr>
        <w:t xml:space="preserve">9(3): </w:t>
      </w:r>
      <w:r w:rsidR="00E6514B" w:rsidRPr="00E6514B">
        <w:rPr>
          <w:rFonts w:ascii="Book Antiqua" w:eastAsia="Book Antiqua" w:hAnsi="Book Antiqua" w:cs="Book Antiqua"/>
          <w:color w:val="000000"/>
        </w:rPr>
        <w:t>697-706</w:t>
      </w:r>
      <w:r w:rsidR="009434BA" w:rsidRPr="009434BA">
        <w:rPr>
          <w:rFonts w:ascii="Book Antiqua" w:eastAsia="Book Antiqua" w:hAnsi="Book Antiqua" w:cs="Book Antiqua"/>
          <w:color w:val="000000"/>
        </w:rPr>
        <w:t xml:space="preserve">  </w:t>
      </w:r>
    </w:p>
    <w:p w14:paraId="16A55BC1" w14:textId="77777777" w:rsidR="007C0FD0" w:rsidRDefault="009434BA" w:rsidP="004D046F">
      <w:pPr>
        <w:spacing w:line="360" w:lineRule="auto"/>
        <w:rPr>
          <w:rFonts w:ascii="Book Antiqua" w:hAnsi="Book Antiqua" w:cs="Book Antiqua" w:hint="eastAsia"/>
          <w:color w:val="000000"/>
          <w:lang w:eastAsia="zh-CN"/>
        </w:rPr>
      </w:pPr>
      <w:r w:rsidRPr="007C0FD0">
        <w:rPr>
          <w:rFonts w:ascii="Book Antiqua" w:eastAsia="Book Antiqua" w:hAnsi="Book Antiqua" w:cs="Book Antiqua"/>
          <w:b/>
          <w:color w:val="000000"/>
        </w:rPr>
        <w:t xml:space="preserve">URL: </w:t>
      </w:r>
      <w:r w:rsidRPr="009434BA">
        <w:rPr>
          <w:rFonts w:ascii="Book Antiqua" w:eastAsia="Book Antiqua" w:hAnsi="Book Antiqua" w:cs="Book Antiqua"/>
          <w:color w:val="000000"/>
        </w:rPr>
        <w:t>https://www.wjgnet.com/2307-8960/full/v9/i3/</w:t>
      </w:r>
      <w:r w:rsidR="00E6514B">
        <w:rPr>
          <w:rFonts w:ascii="Book Antiqua" w:hAnsi="Book Antiqua" w:cs="Book Antiqua" w:hint="eastAsia"/>
          <w:color w:val="000000"/>
          <w:lang w:eastAsia="zh-CN"/>
        </w:rPr>
        <w:t>697</w:t>
      </w:r>
      <w:r w:rsidRPr="009434BA">
        <w:rPr>
          <w:rFonts w:ascii="Book Antiqua" w:eastAsia="Book Antiqua" w:hAnsi="Book Antiqua" w:cs="Book Antiqua"/>
          <w:color w:val="000000"/>
        </w:rPr>
        <w:t xml:space="preserve">.htm  </w:t>
      </w:r>
    </w:p>
    <w:p w14:paraId="157C9B82" w14:textId="60BDBAF3" w:rsidR="00A77B3E" w:rsidRPr="00E6514B" w:rsidRDefault="009434BA" w:rsidP="004D046F">
      <w:pPr>
        <w:spacing w:line="360" w:lineRule="auto"/>
        <w:rPr>
          <w:rFonts w:ascii="Book Antiqua" w:hAnsi="Book Antiqua" w:cs="Book Antiqua" w:hint="eastAsia"/>
          <w:color w:val="000000"/>
          <w:lang w:eastAsia="zh-CN"/>
        </w:rPr>
      </w:pPr>
      <w:r w:rsidRPr="007C0FD0">
        <w:rPr>
          <w:rFonts w:ascii="Book Antiqua" w:eastAsia="Book Antiqua" w:hAnsi="Book Antiqua" w:cs="Book Antiqua"/>
          <w:b/>
          <w:color w:val="000000"/>
        </w:rPr>
        <w:t xml:space="preserve">DOI: </w:t>
      </w:r>
      <w:r w:rsidRPr="009434BA">
        <w:rPr>
          <w:rFonts w:ascii="Book Antiqua" w:eastAsia="Book Antiqua" w:hAnsi="Book Antiqua" w:cs="Book Antiqua"/>
          <w:color w:val="000000"/>
        </w:rPr>
        <w:t>https://dx.doi.org/10.12998/wjcc.v9.i3.</w:t>
      </w:r>
      <w:r w:rsidR="00E6514B">
        <w:rPr>
          <w:rFonts w:ascii="Book Antiqua" w:hAnsi="Book Antiqua" w:cs="Book Antiqua" w:hint="eastAsia"/>
          <w:color w:val="000000"/>
          <w:lang w:eastAsia="zh-CN"/>
        </w:rPr>
        <w:t>697</w:t>
      </w:r>
    </w:p>
    <w:p w14:paraId="6866789B" w14:textId="77777777" w:rsidR="00A77B3E" w:rsidRPr="000915AB" w:rsidRDefault="00A77B3E" w:rsidP="000915AB">
      <w:pPr>
        <w:spacing w:line="360" w:lineRule="auto"/>
        <w:jc w:val="both"/>
        <w:rPr>
          <w:rFonts w:ascii="Book Antiqua" w:hAnsi="Book Antiqua"/>
        </w:rPr>
      </w:pPr>
    </w:p>
    <w:p w14:paraId="51194656" w14:textId="09986F3E" w:rsidR="00CA46E0" w:rsidRPr="000915AB" w:rsidRDefault="004521C0" w:rsidP="000915AB">
      <w:pPr>
        <w:spacing w:line="360" w:lineRule="auto"/>
        <w:jc w:val="both"/>
        <w:rPr>
          <w:rFonts w:ascii="Book Antiqua" w:eastAsia="Book Antiqua" w:hAnsi="Book Antiqua" w:cs="Book Antiqua"/>
          <w:color w:val="000000"/>
        </w:rPr>
      </w:pPr>
      <w:r w:rsidRPr="000915AB">
        <w:rPr>
          <w:rFonts w:ascii="Book Antiqua" w:eastAsia="Book Antiqua" w:hAnsi="Book Antiqua" w:cs="Book Antiqua"/>
          <w:b/>
          <w:bCs/>
          <w:color w:val="000000"/>
        </w:rPr>
        <w:t xml:space="preserve">Core Tip: </w:t>
      </w:r>
      <w:r w:rsidRPr="000915AB">
        <w:rPr>
          <w:rFonts w:ascii="Book Antiqua" w:eastAsia="Book Antiqua" w:hAnsi="Book Antiqua" w:cs="Book Antiqua"/>
          <w:color w:val="000000"/>
        </w:rPr>
        <w:t>This report describes a</w:t>
      </w:r>
      <w:r w:rsidR="00DC050E" w:rsidRPr="000915AB">
        <w:rPr>
          <w:rFonts w:ascii="Book Antiqua" w:eastAsia="Book Antiqua" w:hAnsi="Book Antiqua" w:cs="Book Antiqua"/>
          <w:color w:val="000000"/>
        </w:rPr>
        <w:t xml:space="preserve"> case of</w:t>
      </w:r>
      <w:r w:rsidRPr="000915AB">
        <w:rPr>
          <w:rFonts w:ascii="Book Antiqua" w:eastAsia="Book Antiqua" w:hAnsi="Book Antiqua" w:cs="Book Antiqua"/>
          <w:color w:val="000000"/>
        </w:rPr>
        <w:t xml:space="preserve"> </w:t>
      </w:r>
      <w:r w:rsidR="00DC050E" w:rsidRPr="000915AB">
        <w:rPr>
          <w:rFonts w:ascii="Book Antiqua" w:eastAsia="Book Antiqua" w:hAnsi="Book Antiqua" w:cs="Book Antiqua"/>
          <w:color w:val="000000"/>
        </w:rPr>
        <w:t>juvenile-onset primary open-angle glaucoma (JOAG)</w:t>
      </w:r>
      <w:r w:rsidRPr="000915AB">
        <w:rPr>
          <w:rFonts w:ascii="Book Antiqua" w:eastAsia="Book Antiqua" w:hAnsi="Book Antiqua" w:cs="Book Antiqua"/>
          <w:color w:val="000000"/>
        </w:rPr>
        <w:t xml:space="preserve"> with a coinheritance of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and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variants, which might contribute to the onset of JOAG. This finding may enrich the genetic spectrum of JOAG and prompt us to further investigate the functional effects of </w:t>
      </w:r>
      <w:r w:rsidR="00332B2F">
        <w:rPr>
          <w:rFonts w:ascii="Book Antiqua" w:eastAsia="Book Antiqua" w:hAnsi="Book Antiqua" w:cs="Book Antiqua"/>
          <w:color w:val="000000"/>
        </w:rPr>
        <w:t xml:space="preserve">the </w:t>
      </w:r>
      <w:r w:rsidRPr="000915AB">
        <w:rPr>
          <w:rFonts w:ascii="Book Antiqua" w:eastAsia="Book Antiqua" w:hAnsi="Book Antiqua" w:cs="Book Antiqua"/>
          <w:color w:val="000000"/>
        </w:rPr>
        <w:t>two variants on JOAG.</w:t>
      </w:r>
    </w:p>
    <w:p w14:paraId="2CB92386" w14:textId="77777777" w:rsidR="00DC050E" w:rsidRPr="000915AB" w:rsidRDefault="00DC050E" w:rsidP="000915AB">
      <w:pPr>
        <w:spacing w:line="360" w:lineRule="auto"/>
        <w:jc w:val="both"/>
        <w:rPr>
          <w:rFonts w:ascii="Book Antiqua" w:eastAsia="Book Antiqua" w:hAnsi="Book Antiqua" w:cs="Book Antiqua"/>
          <w:b/>
          <w:caps/>
          <w:color w:val="000000"/>
          <w:u w:val="single"/>
        </w:rPr>
        <w:sectPr w:rsidR="00DC050E" w:rsidRPr="000915AB" w:rsidSect="000915AB">
          <w:pgSz w:w="12240" w:h="15840"/>
          <w:pgMar w:top="1440" w:right="1440" w:bottom="1440" w:left="1440" w:header="720" w:footer="720" w:gutter="0"/>
          <w:cols w:space="720"/>
          <w:docGrid w:linePitch="360"/>
        </w:sectPr>
      </w:pPr>
    </w:p>
    <w:p w14:paraId="1D790255" w14:textId="647D0F19"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aps/>
          <w:color w:val="000000"/>
          <w:u w:val="single"/>
        </w:rPr>
        <w:t>INTRODUCTION</w:t>
      </w:r>
    </w:p>
    <w:p w14:paraId="5C6093BE" w14:textId="3EAE1D8F" w:rsidR="00CA46E0" w:rsidRPr="000915AB" w:rsidRDefault="004521C0" w:rsidP="000915AB">
      <w:pPr>
        <w:spacing w:line="360" w:lineRule="auto"/>
        <w:jc w:val="both"/>
        <w:rPr>
          <w:rFonts w:ascii="Book Antiqua" w:hAnsi="Book Antiqua"/>
        </w:rPr>
      </w:pPr>
      <w:bookmarkStart w:id="1" w:name="_Hlk57365761"/>
      <w:r w:rsidRPr="000915AB">
        <w:rPr>
          <w:rFonts w:ascii="Book Antiqua" w:eastAsia="Book Antiqua" w:hAnsi="Book Antiqua" w:cs="Book Antiqua"/>
          <w:color w:val="000000"/>
        </w:rPr>
        <w:t>Primary open-angle glaucoma</w:t>
      </w:r>
      <w:bookmarkEnd w:id="1"/>
      <w:r w:rsidRPr="000915AB">
        <w:rPr>
          <w:rFonts w:ascii="Book Antiqua" w:eastAsia="Book Antiqua" w:hAnsi="Book Antiqua" w:cs="Book Antiqua"/>
          <w:color w:val="000000"/>
        </w:rPr>
        <w:t xml:space="preserve"> (POAG) is a group of polygenic heterogeneous diseases, with characteristic glaucomatous optic neuropathy and visual-field defects. POAG is the second most common cause of irreversible blindness worldwide</w:t>
      </w:r>
      <w:r w:rsidRPr="000915AB">
        <w:rPr>
          <w:rFonts w:ascii="Book Antiqua" w:eastAsia="Book Antiqua" w:hAnsi="Book Antiqua" w:cs="Book Antiqua"/>
          <w:color w:val="000000"/>
          <w:vertAlign w:val="superscript"/>
        </w:rPr>
        <w:t>[1]</w:t>
      </w:r>
      <w:r w:rsidRPr="000915AB">
        <w:rPr>
          <w:rFonts w:ascii="Book Antiqua" w:eastAsia="Book Antiqua" w:hAnsi="Book Antiqua" w:cs="Book Antiqua"/>
          <w:color w:val="000000"/>
        </w:rPr>
        <w:t>. Juvenile-onset primary open-angle glaucoma (JOAG) is a unique subtype of POAG, characterized by an early disease onset prior to 40</w:t>
      </w:r>
      <w:r w:rsidR="00751994">
        <w:rPr>
          <w:rFonts w:ascii="Book Antiqua" w:eastAsia="Book Antiqua" w:hAnsi="Book Antiqua" w:cs="Book Antiqua"/>
          <w:color w:val="000000"/>
        </w:rPr>
        <w:t>-</w:t>
      </w:r>
      <w:r w:rsidRPr="000915AB">
        <w:rPr>
          <w:rFonts w:ascii="Book Antiqua" w:eastAsia="Book Antiqua" w:hAnsi="Book Antiqua" w:cs="Book Antiqua"/>
          <w:color w:val="000000"/>
        </w:rPr>
        <w:t>years</w:t>
      </w:r>
      <w:r w:rsidR="00751994">
        <w:rPr>
          <w:rFonts w:ascii="Book Antiqua" w:eastAsia="Book Antiqua" w:hAnsi="Book Antiqua" w:cs="Book Antiqua"/>
          <w:color w:val="000000"/>
        </w:rPr>
        <w:t>-</w:t>
      </w:r>
      <w:r w:rsidRPr="000915AB">
        <w:rPr>
          <w:rFonts w:ascii="Book Antiqua" w:eastAsia="Book Antiqua" w:hAnsi="Book Antiqua" w:cs="Book Antiqua"/>
          <w:color w:val="000000"/>
        </w:rPr>
        <w:t xml:space="preserve">old, usually a significantly elevated intraocular pressure (IOP) and severe </w:t>
      </w:r>
      <w:r w:rsidR="002C400C" w:rsidRPr="000915AB">
        <w:rPr>
          <w:rFonts w:ascii="Book Antiqua" w:eastAsia="Book Antiqua" w:hAnsi="Book Antiqua" w:cs="Book Antiqua"/>
          <w:color w:val="000000"/>
        </w:rPr>
        <w:t>glaucomatous optic neuropathy</w:t>
      </w:r>
      <w:r w:rsidRPr="000915AB">
        <w:rPr>
          <w:rFonts w:ascii="Book Antiqua" w:eastAsia="Book Antiqua" w:hAnsi="Book Antiqua" w:cs="Book Antiqua"/>
          <w:color w:val="000000"/>
          <w:vertAlign w:val="superscript"/>
        </w:rPr>
        <w:t>[2]</w:t>
      </w:r>
      <w:r w:rsidRPr="000915AB">
        <w:rPr>
          <w:rFonts w:ascii="Book Antiqua" w:eastAsia="Book Antiqua" w:hAnsi="Book Antiqua" w:cs="Book Antiqua"/>
          <w:color w:val="000000"/>
        </w:rPr>
        <w:t>. JOAG progresses more rapidly in comparison with classic adult-onset POAG</w:t>
      </w:r>
      <w:r w:rsidRPr="000915AB">
        <w:rPr>
          <w:rFonts w:ascii="Book Antiqua" w:eastAsia="Book Antiqua" w:hAnsi="Book Antiqua" w:cs="Book Antiqua"/>
          <w:color w:val="000000"/>
          <w:vertAlign w:val="superscript"/>
        </w:rPr>
        <w:t>[3]</w:t>
      </w:r>
      <w:r w:rsidRPr="000915AB">
        <w:rPr>
          <w:rFonts w:ascii="Book Antiqua" w:eastAsia="Book Antiqua" w:hAnsi="Book Antiqua" w:cs="Book Antiqua"/>
          <w:color w:val="000000"/>
        </w:rPr>
        <w:t>.</w:t>
      </w:r>
    </w:p>
    <w:p w14:paraId="763D4B9F" w14:textId="33BAB0B6" w:rsidR="00CA46E0" w:rsidRPr="000915AB" w:rsidRDefault="004521C0" w:rsidP="000915AB">
      <w:pPr>
        <w:spacing w:line="360" w:lineRule="auto"/>
        <w:ind w:firstLineChars="100" w:firstLine="240"/>
        <w:jc w:val="both"/>
        <w:rPr>
          <w:rFonts w:ascii="Book Antiqua" w:eastAsia="Book Antiqua" w:hAnsi="Book Antiqua" w:cs="Book Antiqua"/>
          <w:color w:val="000000"/>
        </w:rPr>
      </w:pPr>
      <w:r w:rsidRPr="000915AB">
        <w:rPr>
          <w:rFonts w:ascii="Book Antiqua" w:eastAsia="Book Antiqua" w:hAnsi="Book Antiqua" w:cs="Book Antiqua"/>
          <w:color w:val="000000"/>
        </w:rPr>
        <w:t>POAG is essentially a neurodegenerative disease in the elderly population</w:t>
      </w:r>
      <w:r w:rsidRPr="000915AB">
        <w:rPr>
          <w:rFonts w:ascii="Book Antiqua" w:eastAsia="Book Antiqua" w:hAnsi="Book Antiqua" w:cs="Book Antiqua"/>
          <w:color w:val="000000"/>
          <w:vertAlign w:val="superscript"/>
        </w:rPr>
        <w:t>[4]</w:t>
      </w:r>
      <w:r w:rsidRPr="000915AB">
        <w:rPr>
          <w:rFonts w:ascii="Book Antiqua" w:eastAsia="Book Antiqua" w:hAnsi="Book Antiqua" w:cs="Book Antiqua"/>
          <w:color w:val="000000"/>
        </w:rPr>
        <w:t xml:space="preserve">, whose onset is determined by interactions between various environmental and genetic factors. JOAG, due to its early onset, is likely subsequent to a genetic mutation. Currently, several genes, including </w:t>
      </w:r>
      <w:r w:rsidRPr="000915AB">
        <w:rPr>
          <w:rFonts w:ascii="Book Antiqua" w:eastAsia="Book Antiqua" w:hAnsi="Book Antiqua" w:cs="Book Antiqua"/>
          <w:i/>
          <w:iCs/>
          <w:color w:val="000000"/>
        </w:rPr>
        <w:t>MYOC</w:t>
      </w:r>
      <w:r w:rsidRPr="000915AB">
        <w:rPr>
          <w:rFonts w:ascii="Book Antiqua" w:eastAsia="Book Antiqua" w:hAnsi="Book Antiqua" w:cs="Book Antiqua"/>
          <w:color w:val="000000"/>
        </w:rPr>
        <w:t xml:space="preserve">, </w:t>
      </w:r>
      <w:r w:rsidRPr="000915AB">
        <w:rPr>
          <w:rFonts w:ascii="Book Antiqua" w:eastAsia="Book Antiqua" w:hAnsi="Book Antiqua" w:cs="Book Antiqua"/>
          <w:i/>
          <w:iCs/>
          <w:color w:val="000000"/>
        </w:rPr>
        <w:t>OPTN</w:t>
      </w:r>
      <w:r w:rsidRPr="000915AB">
        <w:rPr>
          <w:rFonts w:ascii="Book Antiqua" w:eastAsia="Book Antiqua" w:hAnsi="Book Antiqua" w:cs="Book Antiqua"/>
          <w:color w:val="000000"/>
        </w:rPr>
        <w:t xml:space="preserve">, </w:t>
      </w:r>
      <w:r w:rsidRPr="000915AB">
        <w:rPr>
          <w:rFonts w:ascii="Book Antiqua" w:eastAsia="Book Antiqua" w:hAnsi="Book Antiqua" w:cs="Book Antiqua"/>
          <w:i/>
          <w:iCs/>
          <w:color w:val="000000"/>
        </w:rPr>
        <w:t>CYP1B1</w:t>
      </w:r>
      <w:r w:rsidRPr="000915AB">
        <w:rPr>
          <w:rFonts w:ascii="Book Antiqua" w:eastAsia="Book Antiqua" w:hAnsi="Book Antiqua" w:cs="Book Antiqua"/>
          <w:color w:val="000000"/>
        </w:rPr>
        <w:t>,</w:t>
      </w:r>
      <w:r w:rsidRPr="000915AB">
        <w:rPr>
          <w:rFonts w:ascii="Book Antiqua" w:eastAsia="Book Antiqua" w:hAnsi="Book Antiqua" w:cs="Book Antiqua"/>
          <w:i/>
          <w:iCs/>
          <w:color w:val="000000"/>
        </w:rPr>
        <w:t xml:space="preserve"> OAS3</w:t>
      </w:r>
      <w:r w:rsidRPr="000915AB">
        <w:rPr>
          <w:rFonts w:ascii="Book Antiqua" w:eastAsia="Book Antiqua" w:hAnsi="Book Antiqua" w:cs="Book Antiqua"/>
          <w:color w:val="000000"/>
        </w:rPr>
        <w:t xml:space="preserve">, </w:t>
      </w:r>
      <w:r w:rsidRPr="000915AB">
        <w:rPr>
          <w:rFonts w:ascii="Book Antiqua" w:eastAsia="Book Antiqua" w:hAnsi="Book Antiqua" w:cs="Book Antiqua"/>
          <w:i/>
          <w:iCs/>
          <w:color w:val="000000"/>
        </w:rPr>
        <w:t>PITX2</w:t>
      </w:r>
      <w:r w:rsidRPr="000915AB">
        <w:rPr>
          <w:rFonts w:ascii="Book Antiqua" w:eastAsia="Book Antiqua" w:hAnsi="Book Antiqua" w:cs="Book Antiqua"/>
          <w:color w:val="000000"/>
        </w:rPr>
        <w:t xml:space="preserve"> and </w:t>
      </w:r>
      <w:r w:rsidRPr="000915AB">
        <w:rPr>
          <w:rFonts w:ascii="Book Antiqua" w:eastAsia="Book Antiqua" w:hAnsi="Book Antiqua" w:cs="Book Antiqua"/>
          <w:i/>
          <w:iCs/>
          <w:color w:val="000000"/>
        </w:rPr>
        <w:t>LTBP2</w:t>
      </w:r>
      <w:r w:rsidRPr="000915AB">
        <w:rPr>
          <w:rFonts w:ascii="Book Antiqua" w:eastAsia="Book Antiqua" w:hAnsi="Book Antiqua" w:cs="Book Antiqua"/>
          <w:color w:val="000000"/>
        </w:rPr>
        <w:t xml:space="preserve"> have been reported to be associated with JOAG</w:t>
      </w:r>
      <w:r w:rsidRPr="000915AB">
        <w:rPr>
          <w:rFonts w:ascii="Book Antiqua" w:eastAsia="Book Antiqua" w:hAnsi="Book Antiqua" w:cs="Book Antiqua"/>
          <w:color w:val="000000"/>
          <w:vertAlign w:val="superscript"/>
        </w:rPr>
        <w:t>[5-7]</w:t>
      </w:r>
      <w:r w:rsidRPr="000915AB">
        <w:rPr>
          <w:rFonts w:ascii="Book Antiqua" w:eastAsia="Book Antiqua" w:hAnsi="Book Antiqua" w:cs="Book Antiqua"/>
          <w:color w:val="000000"/>
        </w:rPr>
        <w:t xml:space="preserve"> through traditional Mendel genetic analysis. However, clinically there are still many JOAG cases </w:t>
      </w:r>
      <w:r w:rsidR="00F900E9">
        <w:rPr>
          <w:rFonts w:ascii="Book Antiqua" w:eastAsia="Book Antiqua" w:hAnsi="Book Antiqua" w:cs="Book Antiqua"/>
          <w:color w:val="000000"/>
        </w:rPr>
        <w:t>that</w:t>
      </w:r>
      <w:r w:rsidRPr="000915AB">
        <w:rPr>
          <w:rFonts w:ascii="Book Antiqua" w:eastAsia="Book Antiqua" w:hAnsi="Book Antiqua" w:cs="Book Antiqua"/>
          <w:color w:val="000000"/>
        </w:rPr>
        <w:t xml:space="preserve"> cannot be attributed to these reported genetic mutations. Therefore, a strategy using whole genome sequencing (WGS) and </w:t>
      </w:r>
      <w:r w:rsidRPr="000915AB">
        <w:rPr>
          <w:rFonts w:ascii="Book Antiqua" w:eastAsia="Book Antiqua" w:hAnsi="Book Antiqua" w:cs="Book Antiqua"/>
          <w:i/>
          <w:iCs/>
          <w:color w:val="000000"/>
        </w:rPr>
        <w:t>de novo</w:t>
      </w:r>
      <w:r w:rsidRPr="000915AB">
        <w:rPr>
          <w:rFonts w:ascii="Book Antiqua" w:eastAsia="Book Antiqua" w:hAnsi="Book Antiqua" w:cs="Book Antiqua"/>
          <w:color w:val="000000"/>
        </w:rPr>
        <w:t xml:space="preserve"> mutation trio analysis</w:t>
      </w:r>
      <w:r w:rsidRPr="000915AB">
        <w:rPr>
          <w:rFonts w:ascii="Book Antiqua" w:eastAsia="Book Antiqua" w:hAnsi="Book Antiqua" w:cs="Book Antiqua"/>
          <w:color w:val="000000"/>
          <w:vertAlign w:val="superscript"/>
        </w:rPr>
        <w:t>[8]</w:t>
      </w:r>
      <w:r w:rsidRPr="000915AB">
        <w:rPr>
          <w:rFonts w:ascii="Book Antiqua" w:eastAsia="Book Antiqua" w:hAnsi="Book Antiqua" w:cs="Book Antiqua"/>
          <w:color w:val="000000"/>
        </w:rPr>
        <w:t xml:space="preserve"> </w:t>
      </w:r>
      <w:r w:rsidR="000A4442">
        <w:rPr>
          <w:rFonts w:ascii="Book Antiqua" w:eastAsia="Book Antiqua" w:hAnsi="Book Antiqua" w:cs="Book Antiqua"/>
          <w:color w:val="000000"/>
        </w:rPr>
        <w:t>can be used to</w:t>
      </w:r>
      <w:r w:rsidRPr="000915AB">
        <w:rPr>
          <w:rFonts w:ascii="Book Antiqua" w:eastAsia="Book Antiqua" w:hAnsi="Book Antiqua" w:cs="Book Antiqua"/>
          <w:color w:val="000000"/>
        </w:rPr>
        <w:t xml:space="preserve"> explor</w:t>
      </w:r>
      <w:r w:rsidR="000A4442">
        <w:rPr>
          <w:rFonts w:ascii="Book Antiqua" w:eastAsia="Book Antiqua" w:hAnsi="Book Antiqua" w:cs="Book Antiqua"/>
          <w:color w:val="000000"/>
        </w:rPr>
        <w:t>e</w:t>
      </w:r>
      <w:r w:rsidRPr="000915AB">
        <w:rPr>
          <w:rFonts w:ascii="Book Antiqua" w:eastAsia="Book Antiqua" w:hAnsi="Book Antiqua" w:cs="Book Antiqua"/>
          <w:color w:val="000000"/>
        </w:rPr>
        <w:t xml:space="preserve"> novel genetic variants.</w:t>
      </w:r>
    </w:p>
    <w:p w14:paraId="30F88452" w14:textId="2B68C291" w:rsidR="00A77B3E" w:rsidRPr="000915AB" w:rsidRDefault="004521C0" w:rsidP="000915AB">
      <w:pPr>
        <w:spacing w:line="360" w:lineRule="auto"/>
        <w:ind w:firstLineChars="100" w:firstLine="240"/>
        <w:jc w:val="both"/>
        <w:rPr>
          <w:rFonts w:ascii="Book Antiqua" w:hAnsi="Book Antiqua"/>
        </w:rPr>
      </w:pPr>
      <w:r w:rsidRPr="000915AB">
        <w:rPr>
          <w:rFonts w:ascii="Book Antiqua" w:eastAsia="Book Antiqua" w:hAnsi="Book Antiqua" w:cs="Book Antiqua"/>
          <w:color w:val="000000"/>
        </w:rPr>
        <w:t xml:space="preserve">In this current study, we performed WGS on a trio (the proband and his unaffected parents) at Zhongshan Ophthalmic Center to </w:t>
      </w:r>
      <w:r w:rsidR="000A4442">
        <w:rPr>
          <w:rFonts w:ascii="Book Antiqua" w:eastAsia="Book Antiqua" w:hAnsi="Book Antiqua" w:cs="Book Antiqua"/>
          <w:color w:val="000000"/>
        </w:rPr>
        <w:t>identify</w:t>
      </w:r>
      <w:r w:rsidRPr="000915AB">
        <w:rPr>
          <w:rFonts w:ascii="Book Antiqua" w:eastAsia="Book Antiqua" w:hAnsi="Book Antiqua" w:cs="Book Antiqua"/>
          <w:color w:val="000000"/>
        </w:rPr>
        <w:t xml:space="preserve"> potential disease-causing mutations. After excluding classic glaucoma-associated gene mutations, we </w:t>
      </w:r>
      <w:r w:rsidR="000A4442">
        <w:rPr>
          <w:rFonts w:ascii="Book Antiqua" w:eastAsia="Book Antiqua" w:hAnsi="Book Antiqua" w:cs="Book Antiqua"/>
          <w:color w:val="000000"/>
        </w:rPr>
        <w:t xml:space="preserve">surprisingly </w:t>
      </w:r>
      <w:r w:rsidRPr="000915AB">
        <w:rPr>
          <w:rFonts w:ascii="Book Antiqua" w:eastAsia="Book Antiqua" w:hAnsi="Book Antiqua" w:cs="Book Antiqua"/>
          <w:color w:val="000000"/>
        </w:rPr>
        <w:t>found two heterozygous gene variants</w:t>
      </w:r>
      <w:r w:rsidR="00D84A9C">
        <w:rPr>
          <w:rFonts w:ascii="Book Antiqua" w:eastAsia="Book Antiqua" w:hAnsi="Book Antiqua" w:cs="Book Antiqua"/>
          <w:color w:val="000000"/>
        </w:rPr>
        <w:t xml:space="preserve"> that</w:t>
      </w:r>
      <w:r w:rsidRPr="000915AB">
        <w:rPr>
          <w:rFonts w:ascii="Book Antiqua" w:eastAsia="Book Antiqua" w:hAnsi="Book Antiqua" w:cs="Book Antiqua"/>
          <w:color w:val="000000"/>
        </w:rPr>
        <w:t xml:space="preserve"> were predicted to be potentially pathogenic </w:t>
      </w:r>
      <w:r w:rsidRPr="000915AB">
        <w:rPr>
          <w:rFonts w:ascii="Book Antiqua" w:eastAsia="Book Antiqua" w:hAnsi="Book Antiqua" w:cs="Book Antiqua"/>
          <w:i/>
          <w:iCs/>
          <w:color w:val="000000"/>
        </w:rPr>
        <w:t>via</w:t>
      </w:r>
      <w:r w:rsidRPr="000915AB">
        <w:rPr>
          <w:rFonts w:ascii="Book Antiqua" w:eastAsia="Book Antiqua" w:hAnsi="Book Antiqua" w:cs="Book Antiqua"/>
          <w:color w:val="000000"/>
        </w:rPr>
        <w:t xml:space="preserve"> bioinformatics analysis</w:t>
      </w:r>
      <w:r w:rsidR="00D84A9C">
        <w:rPr>
          <w:rFonts w:ascii="Book Antiqua" w:eastAsia="Book Antiqua" w:hAnsi="Book Antiqua" w:cs="Book Antiqua"/>
          <w:color w:val="000000"/>
        </w:rPr>
        <w:t xml:space="preserve"> in the proband</w:t>
      </w:r>
      <w:r w:rsidRPr="000915AB">
        <w:rPr>
          <w:rFonts w:ascii="Book Antiqua" w:eastAsia="Book Antiqua" w:hAnsi="Book Antiqua" w:cs="Book Antiqua"/>
          <w:color w:val="000000"/>
        </w:rPr>
        <w:t xml:space="preserve">. To our knowledge, this is the first report on a JOAG family that has been associated with a coinheritance of </w:t>
      </w:r>
      <w:r w:rsidRPr="000915AB">
        <w:rPr>
          <w:rFonts w:ascii="Book Antiqua" w:eastAsia="Book Antiqua" w:hAnsi="Book Antiqua" w:cs="Book Antiqua"/>
          <w:i/>
          <w:iCs/>
          <w:color w:val="000000"/>
        </w:rPr>
        <w:t xml:space="preserve">OLFM2 </w:t>
      </w:r>
      <w:r w:rsidRPr="000915AB">
        <w:rPr>
          <w:rFonts w:ascii="Book Antiqua" w:eastAsia="Book Antiqua" w:hAnsi="Book Antiqua" w:cs="Book Antiqua"/>
          <w:color w:val="000000"/>
        </w:rPr>
        <w:t>(c.281G&gt;A, p.Arg94His) and</w:t>
      </w:r>
      <w:r w:rsidRPr="000915AB">
        <w:rPr>
          <w:rFonts w:ascii="Book Antiqua" w:eastAsia="Book Antiqua" w:hAnsi="Book Antiqua" w:cs="Book Antiqua"/>
          <w:i/>
          <w:iCs/>
          <w:color w:val="000000"/>
        </w:rPr>
        <w:t xml:space="preserve"> SIX6 </w:t>
      </w:r>
      <w:r w:rsidRPr="000915AB">
        <w:rPr>
          <w:rFonts w:ascii="Book Antiqua" w:eastAsia="Book Antiqua" w:hAnsi="Book Antiqua" w:cs="Book Antiqua"/>
          <w:color w:val="000000"/>
        </w:rPr>
        <w:t>(c.177C&gt;G, p.Ile59Met) variants.</w:t>
      </w:r>
    </w:p>
    <w:p w14:paraId="48F91A66" w14:textId="77777777" w:rsidR="00A77B3E" w:rsidRPr="000915AB" w:rsidRDefault="00A77B3E" w:rsidP="000915AB">
      <w:pPr>
        <w:spacing w:line="360" w:lineRule="auto"/>
        <w:jc w:val="both"/>
        <w:rPr>
          <w:rFonts w:ascii="Book Antiqua" w:hAnsi="Book Antiqua"/>
        </w:rPr>
      </w:pPr>
    </w:p>
    <w:p w14:paraId="1776A861"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aps/>
          <w:color w:val="000000"/>
          <w:u w:val="single"/>
        </w:rPr>
        <w:t>CASE PRESENTATION</w:t>
      </w:r>
    </w:p>
    <w:p w14:paraId="3E26453D"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i/>
          <w:color w:val="000000"/>
        </w:rPr>
        <w:t>Chief complaints</w:t>
      </w:r>
    </w:p>
    <w:p w14:paraId="5D3B113F" w14:textId="6CFD00BA"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 xml:space="preserve">A 27-year-old male was admitted to our hospital due to </w:t>
      </w:r>
      <w:r w:rsidR="00E521CF" w:rsidRPr="000915AB">
        <w:rPr>
          <w:rFonts w:ascii="Book Antiqua" w:eastAsia="Book Antiqua" w:hAnsi="Book Antiqua" w:cs="Book Antiqua"/>
          <w:color w:val="000000"/>
        </w:rPr>
        <w:t xml:space="preserve">elevated </w:t>
      </w:r>
      <w:r w:rsidRPr="000915AB">
        <w:rPr>
          <w:rFonts w:ascii="Book Antiqua" w:eastAsia="Book Antiqua" w:hAnsi="Book Antiqua" w:cs="Book Antiqua"/>
          <w:color w:val="000000"/>
        </w:rPr>
        <w:t xml:space="preserve">IOP of both eyes for nearly </w:t>
      </w:r>
      <w:r w:rsidR="00751994">
        <w:rPr>
          <w:rFonts w:ascii="Book Antiqua" w:eastAsia="Book Antiqua" w:hAnsi="Book Antiqua" w:cs="Book Antiqua"/>
          <w:color w:val="000000"/>
        </w:rPr>
        <w:t>3 mo</w:t>
      </w:r>
      <w:r w:rsidRPr="000915AB">
        <w:rPr>
          <w:rFonts w:ascii="Book Antiqua" w:eastAsia="Book Antiqua" w:hAnsi="Book Antiqua" w:cs="Book Antiqua"/>
          <w:color w:val="000000"/>
        </w:rPr>
        <w:t>.</w:t>
      </w:r>
    </w:p>
    <w:p w14:paraId="3E1180CB" w14:textId="77777777" w:rsidR="00A77B3E" w:rsidRPr="000915AB" w:rsidRDefault="00A77B3E" w:rsidP="000915AB">
      <w:pPr>
        <w:spacing w:line="360" w:lineRule="auto"/>
        <w:jc w:val="both"/>
        <w:rPr>
          <w:rFonts w:ascii="Book Antiqua" w:hAnsi="Book Antiqua"/>
        </w:rPr>
      </w:pPr>
    </w:p>
    <w:p w14:paraId="4086BC98"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i/>
          <w:color w:val="000000"/>
        </w:rPr>
        <w:t>History of present illness</w:t>
      </w:r>
    </w:p>
    <w:p w14:paraId="0BFDECB0" w14:textId="739D0726" w:rsidR="00A77B3E" w:rsidRPr="000915AB" w:rsidRDefault="00FA30A2" w:rsidP="000915AB">
      <w:pPr>
        <w:spacing w:line="360" w:lineRule="auto"/>
        <w:jc w:val="both"/>
        <w:rPr>
          <w:rFonts w:ascii="Book Antiqua" w:hAnsi="Book Antiqua"/>
        </w:rPr>
      </w:pPr>
      <w:r w:rsidRPr="000915AB">
        <w:rPr>
          <w:rFonts w:ascii="Book Antiqua" w:eastAsia="Book Antiqua" w:hAnsi="Book Antiqua" w:cs="Book Antiqua"/>
          <w:color w:val="000000"/>
        </w:rPr>
        <w:t xml:space="preserve">There </w:t>
      </w:r>
      <w:r w:rsidR="009A0452" w:rsidRPr="000915AB">
        <w:rPr>
          <w:rFonts w:ascii="Book Antiqua" w:eastAsia="Book Antiqua" w:hAnsi="Book Antiqua" w:cs="Book Antiqua"/>
          <w:color w:val="000000"/>
        </w:rPr>
        <w:t>wa</w:t>
      </w:r>
      <w:r w:rsidRPr="000915AB">
        <w:rPr>
          <w:rFonts w:ascii="Book Antiqua" w:eastAsia="Book Antiqua" w:hAnsi="Book Antiqua" w:cs="Book Antiqua"/>
          <w:color w:val="000000"/>
        </w:rPr>
        <w:t>s n</w:t>
      </w:r>
      <w:r w:rsidR="004521C0" w:rsidRPr="000915AB">
        <w:rPr>
          <w:rFonts w:ascii="Book Antiqua" w:eastAsia="Book Antiqua" w:hAnsi="Book Antiqua" w:cs="Book Antiqua"/>
          <w:color w:val="000000"/>
        </w:rPr>
        <w:t>o relevant ocular or medical history.</w:t>
      </w:r>
    </w:p>
    <w:p w14:paraId="276DCAC5" w14:textId="77777777" w:rsidR="00A77B3E" w:rsidRPr="000915AB" w:rsidRDefault="00A77B3E" w:rsidP="000915AB">
      <w:pPr>
        <w:spacing w:line="360" w:lineRule="auto"/>
        <w:jc w:val="both"/>
        <w:rPr>
          <w:rFonts w:ascii="Book Antiqua" w:hAnsi="Book Antiqua"/>
        </w:rPr>
      </w:pPr>
    </w:p>
    <w:p w14:paraId="3A08AF33"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i/>
          <w:color w:val="000000"/>
        </w:rPr>
        <w:t>History of past illness</w:t>
      </w:r>
    </w:p>
    <w:p w14:paraId="7A3603E0" w14:textId="4111C76C"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The patient was previously diagnosed with myopia, and he was allergic to cefradine. No history of systemic hypertension, diabetes mellitus, coronary heart disease, stroke, smoking or obesity was reported.</w:t>
      </w:r>
    </w:p>
    <w:p w14:paraId="053FAC1A" w14:textId="77777777" w:rsidR="00A77B3E" w:rsidRPr="000915AB" w:rsidRDefault="00A77B3E" w:rsidP="000915AB">
      <w:pPr>
        <w:spacing w:line="360" w:lineRule="auto"/>
        <w:jc w:val="both"/>
        <w:rPr>
          <w:rFonts w:ascii="Book Antiqua" w:hAnsi="Book Antiqua"/>
        </w:rPr>
      </w:pPr>
    </w:p>
    <w:p w14:paraId="76BA2182" w14:textId="77777777" w:rsidR="00A77B3E" w:rsidRPr="000915AB" w:rsidRDefault="004521C0" w:rsidP="000915AB">
      <w:pPr>
        <w:spacing w:line="360" w:lineRule="auto"/>
        <w:jc w:val="both"/>
        <w:rPr>
          <w:rFonts w:ascii="Book Antiqua" w:hAnsi="Book Antiqua"/>
        </w:rPr>
      </w:pPr>
      <w:bookmarkStart w:id="2" w:name="_Hlk57367854"/>
      <w:r w:rsidRPr="000915AB">
        <w:rPr>
          <w:rFonts w:ascii="Book Antiqua" w:eastAsia="Book Antiqua" w:hAnsi="Book Antiqua" w:cs="Book Antiqua"/>
          <w:b/>
          <w:i/>
          <w:color w:val="000000"/>
        </w:rPr>
        <w:t>Personal and family history</w:t>
      </w:r>
    </w:p>
    <w:bookmarkEnd w:id="2"/>
    <w:p w14:paraId="5DA45DAE" w14:textId="5570010C" w:rsidR="00A77B3E" w:rsidRPr="000915AB" w:rsidRDefault="00FA30A2" w:rsidP="000915AB">
      <w:pPr>
        <w:spacing w:line="360" w:lineRule="auto"/>
        <w:jc w:val="both"/>
        <w:rPr>
          <w:rFonts w:ascii="Book Antiqua" w:hAnsi="Book Antiqua"/>
        </w:rPr>
      </w:pPr>
      <w:r w:rsidRPr="000915AB">
        <w:rPr>
          <w:rFonts w:ascii="Book Antiqua" w:eastAsia="Book Antiqua" w:hAnsi="Book Antiqua" w:cs="Book Antiqua"/>
          <w:color w:val="000000"/>
        </w:rPr>
        <w:t xml:space="preserve">There </w:t>
      </w:r>
      <w:r w:rsidR="00B414D7" w:rsidRPr="000915AB">
        <w:rPr>
          <w:rFonts w:ascii="Book Antiqua" w:eastAsia="Book Antiqua" w:hAnsi="Book Antiqua" w:cs="Book Antiqua"/>
          <w:color w:val="000000"/>
        </w:rPr>
        <w:t>wa</w:t>
      </w:r>
      <w:r w:rsidRPr="000915AB">
        <w:rPr>
          <w:rFonts w:ascii="Book Antiqua" w:eastAsia="Book Antiqua" w:hAnsi="Book Antiqua" w:cs="Book Antiqua"/>
          <w:color w:val="000000"/>
        </w:rPr>
        <w:t>s no remarkable personal and family history.</w:t>
      </w:r>
    </w:p>
    <w:p w14:paraId="05AAB3F5" w14:textId="77777777" w:rsidR="00A77B3E" w:rsidRPr="000915AB" w:rsidRDefault="00A77B3E" w:rsidP="000915AB">
      <w:pPr>
        <w:spacing w:line="360" w:lineRule="auto"/>
        <w:jc w:val="both"/>
        <w:rPr>
          <w:rFonts w:ascii="Book Antiqua" w:hAnsi="Book Antiqua"/>
        </w:rPr>
      </w:pPr>
    </w:p>
    <w:p w14:paraId="00C66605"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i/>
          <w:color w:val="000000"/>
        </w:rPr>
        <w:t>Physical examination</w:t>
      </w:r>
    </w:p>
    <w:p w14:paraId="56448124" w14:textId="75080F3A"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His myopic refractive error at -3.00 diopter of both eyes was detected. The IOPs without prescription medications at the initial visit in Zhongshan Ophthalmic Center were 28.7 mmHg in the right eye and 31.4 mmHg in the left eye</w:t>
      </w:r>
      <w:r w:rsidR="009F29F8">
        <w:rPr>
          <w:rFonts w:ascii="Book Antiqua" w:eastAsia="Book Antiqua" w:hAnsi="Book Antiqua" w:cs="Book Antiqua"/>
          <w:color w:val="000000"/>
        </w:rPr>
        <w:t>,</w:t>
      </w:r>
      <w:r w:rsidRPr="000915AB">
        <w:rPr>
          <w:rFonts w:ascii="Book Antiqua" w:eastAsia="Book Antiqua" w:hAnsi="Book Antiqua" w:cs="Book Antiqua"/>
          <w:color w:val="000000"/>
        </w:rPr>
        <w:t xml:space="preserve"> which was recorded as the peak IOP. B</w:t>
      </w:r>
      <w:r w:rsidR="009C6EF2" w:rsidRPr="000915AB">
        <w:rPr>
          <w:rFonts w:ascii="Book Antiqua" w:eastAsia="Book Antiqua" w:hAnsi="Book Antiqua" w:cs="Book Antiqua"/>
          <w:color w:val="000000"/>
        </w:rPr>
        <w:t xml:space="preserve">est corrected visual acuity </w:t>
      </w:r>
      <w:r w:rsidRPr="000915AB">
        <w:rPr>
          <w:rFonts w:ascii="Book Antiqua" w:eastAsia="Book Antiqua" w:hAnsi="Book Antiqua" w:cs="Book Antiqua"/>
          <w:color w:val="000000"/>
        </w:rPr>
        <w:t>was 1.0 in each eye measured by the standard Snellen chart.</w:t>
      </w:r>
    </w:p>
    <w:p w14:paraId="1D1B2C2E" w14:textId="77777777" w:rsidR="00A77B3E" w:rsidRPr="000915AB" w:rsidRDefault="00A77B3E" w:rsidP="000915AB">
      <w:pPr>
        <w:spacing w:line="360" w:lineRule="auto"/>
        <w:jc w:val="both"/>
        <w:rPr>
          <w:rFonts w:ascii="Book Antiqua" w:hAnsi="Book Antiqua"/>
        </w:rPr>
      </w:pPr>
    </w:p>
    <w:p w14:paraId="367AA772"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i/>
          <w:color w:val="000000"/>
        </w:rPr>
        <w:t>Laboratory examinations</w:t>
      </w:r>
    </w:p>
    <w:p w14:paraId="1A7685E0"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Routine blood examination, liver and kidney function and electrolyte test indicators were normal.</w:t>
      </w:r>
    </w:p>
    <w:p w14:paraId="4FFAA476" w14:textId="77777777" w:rsidR="00A77B3E" w:rsidRPr="000915AB" w:rsidRDefault="00A77B3E" w:rsidP="000915AB">
      <w:pPr>
        <w:spacing w:line="360" w:lineRule="auto"/>
        <w:jc w:val="both"/>
        <w:rPr>
          <w:rFonts w:ascii="Book Antiqua" w:hAnsi="Book Antiqua"/>
        </w:rPr>
      </w:pPr>
    </w:p>
    <w:p w14:paraId="5D8424A6"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i/>
          <w:color w:val="000000"/>
        </w:rPr>
        <w:t>Imaging examinations</w:t>
      </w:r>
    </w:p>
    <w:p w14:paraId="317ECFB8" w14:textId="0F0228A2"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 xml:space="preserve">Fundus examination with color photos was accomplished with particular attention paid to make sure that image focus </w:t>
      </w:r>
      <w:r w:rsidR="009F29F8">
        <w:rPr>
          <w:rFonts w:ascii="Book Antiqua" w:eastAsia="Book Antiqua" w:hAnsi="Book Antiqua" w:cs="Book Antiqua"/>
          <w:color w:val="000000"/>
        </w:rPr>
        <w:t>wa</w:t>
      </w:r>
      <w:r w:rsidRPr="000915AB">
        <w:rPr>
          <w:rFonts w:ascii="Book Antiqua" w:eastAsia="Book Antiqua" w:hAnsi="Book Antiqua" w:cs="Book Antiqua"/>
          <w:color w:val="000000"/>
        </w:rPr>
        <w:t xml:space="preserve">s exactly on the optic disk margins. The result showed vertical cup disc ratio of his right eye was 0.7 and his left eye was 0.8 with localized cupping in both eyes. A localized </w:t>
      </w:r>
      <w:bookmarkStart w:id="3" w:name="_Hlk57382014"/>
      <w:r w:rsidRPr="000915AB">
        <w:rPr>
          <w:rFonts w:ascii="Book Antiqua" w:eastAsia="Book Antiqua" w:hAnsi="Book Antiqua" w:cs="Book Antiqua"/>
          <w:color w:val="000000"/>
        </w:rPr>
        <w:t>retinal ne</w:t>
      </w:r>
      <w:r w:rsidR="009C6EF2" w:rsidRPr="000915AB">
        <w:rPr>
          <w:rFonts w:ascii="Book Antiqua" w:eastAsia="Book Antiqua" w:hAnsi="Book Antiqua" w:cs="Book Antiqua"/>
          <w:color w:val="000000"/>
        </w:rPr>
        <w:t>r</w:t>
      </w:r>
      <w:r w:rsidRPr="000915AB">
        <w:rPr>
          <w:rFonts w:ascii="Book Antiqua" w:eastAsia="Book Antiqua" w:hAnsi="Book Antiqua" w:cs="Book Antiqua"/>
          <w:color w:val="000000"/>
        </w:rPr>
        <w:t>ve fiber layer</w:t>
      </w:r>
      <w:bookmarkEnd w:id="3"/>
      <w:r w:rsidR="00B70FAA" w:rsidRPr="000915AB">
        <w:rPr>
          <w:rFonts w:ascii="Book Antiqua" w:eastAsia="Book Antiqua" w:hAnsi="Book Antiqua" w:cs="Book Antiqua"/>
          <w:color w:val="000000"/>
        </w:rPr>
        <w:t xml:space="preserve"> </w:t>
      </w:r>
      <w:r w:rsidRPr="000915AB">
        <w:rPr>
          <w:rFonts w:ascii="Book Antiqua" w:eastAsia="Book Antiqua" w:hAnsi="Book Antiqua" w:cs="Book Antiqua"/>
          <w:color w:val="000000"/>
        </w:rPr>
        <w:t>thinning corresponding to the optic disc cupping was detected by Heidelberg Spectralis optical coherence tomography (Heidelberg Engineering</w:t>
      </w:r>
      <w:r w:rsidR="00DE2A8E">
        <w:rPr>
          <w:rFonts w:ascii="Book Antiqua" w:eastAsia="Book Antiqua" w:hAnsi="Book Antiqua" w:cs="Book Antiqua"/>
          <w:color w:val="000000"/>
        </w:rPr>
        <w:t>,</w:t>
      </w:r>
      <w:r w:rsidRPr="000915AB">
        <w:rPr>
          <w:rFonts w:ascii="Book Antiqua" w:eastAsia="Book Antiqua" w:hAnsi="Book Antiqua" w:cs="Book Antiqua"/>
          <w:color w:val="000000"/>
        </w:rPr>
        <w:t xml:space="preserve"> Heidelberg, Germany) in each eye, with </w:t>
      </w:r>
      <w:r w:rsidR="00DE2A8E">
        <w:rPr>
          <w:rFonts w:ascii="Book Antiqua" w:eastAsia="Book Antiqua" w:hAnsi="Book Antiqua" w:cs="Book Antiqua"/>
          <w:color w:val="000000"/>
        </w:rPr>
        <w:t xml:space="preserve">an </w:t>
      </w:r>
      <w:r w:rsidRPr="000915AB">
        <w:rPr>
          <w:rFonts w:ascii="Book Antiqua" w:eastAsia="Book Antiqua" w:hAnsi="Book Antiqua" w:cs="Book Antiqua"/>
          <w:color w:val="000000"/>
        </w:rPr>
        <w:t xml:space="preserve">average </w:t>
      </w:r>
      <w:r w:rsidR="003F6A88" w:rsidRPr="000915AB">
        <w:rPr>
          <w:rFonts w:ascii="Book Antiqua" w:eastAsia="Book Antiqua" w:hAnsi="Book Antiqua" w:cs="Book Antiqua"/>
          <w:color w:val="000000"/>
        </w:rPr>
        <w:t>retinal nerve fiber layer</w:t>
      </w:r>
      <w:r w:rsidRPr="000915AB">
        <w:rPr>
          <w:rFonts w:ascii="Book Antiqua" w:eastAsia="Book Antiqua" w:hAnsi="Book Antiqua" w:cs="Book Antiqua"/>
          <w:color w:val="000000"/>
        </w:rPr>
        <w:t xml:space="preserve"> thickness significantly reduced at 69 </w:t>
      </w:r>
      <w:r w:rsidR="0076029B" w:rsidRPr="000915AB">
        <w:rPr>
          <w:rFonts w:ascii="Book Antiqua" w:eastAsia="Book Antiqua" w:hAnsi="Book Antiqua" w:cs="Book Antiqua"/>
          <w:color w:val="000000"/>
        </w:rPr>
        <w:t>µ</w:t>
      </w:r>
      <w:r w:rsidRPr="000915AB">
        <w:rPr>
          <w:rFonts w:ascii="Book Antiqua" w:eastAsia="Book Antiqua" w:hAnsi="Book Antiqua" w:cs="Book Antiqua"/>
          <w:color w:val="000000"/>
        </w:rPr>
        <w:t xml:space="preserve">m </w:t>
      </w:r>
      <w:bookmarkStart w:id="4" w:name="_Hlk57386290"/>
      <w:r w:rsidR="001A6FFB" w:rsidRPr="000915AB">
        <w:rPr>
          <w:rStyle w:val="a5"/>
          <w:rFonts w:ascii="Book Antiqua" w:hAnsi="Book Antiqua"/>
          <w:i w:val="0"/>
          <w:iCs w:val="0"/>
        </w:rPr>
        <w:t>oculus</w:t>
      </w:r>
      <w:r w:rsidR="001A6FFB" w:rsidRPr="000915AB">
        <w:rPr>
          <w:rFonts w:ascii="Book Antiqua" w:hAnsi="Book Antiqua"/>
          <w:i/>
          <w:iCs/>
        </w:rPr>
        <w:t xml:space="preserve"> </w:t>
      </w:r>
      <w:r w:rsidR="001A6FFB" w:rsidRPr="000915AB">
        <w:rPr>
          <w:rStyle w:val="a5"/>
          <w:rFonts w:ascii="Book Antiqua" w:hAnsi="Book Antiqua"/>
          <w:i w:val="0"/>
          <w:iCs w:val="0"/>
        </w:rPr>
        <w:t>dexter</w:t>
      </w:r>
      <w:r w:rsidR="001A6FFB" w:rsidRPr="000915AB">
        <w:rPr>
          <w:rFonts w:ascii="Book Antiqua" w:eastAsia="Book Antiqua" w:hAnsi="Book Antiqua" w:cs="Book Antiqua"/>
          <w:i/>
          <w:iCs/>
          <w:color w:val="000000"/>
        </w:rPr>
        <w:t xml:space="preserve"> </w:t>
      </w:r>
      <w:r w:rsidRPr="000915AB">
        <w:rPr>
          <w:rFonts w:ascii="Book Antiqua" w:eastAsia="Book Antiqua" w:hAnsi="Book Antiqua" w:cs="Book Antiqua"/>
          <w:color w:val="000000"/>
        </w:rPr>
        <w:t xml:space="preserve">and 67 </w:t>
      </w:r>
      <w:r w:rsidR="0076029B" w:rsidRPr="000915AB">
        <w:rPr>
          <w:rFonts w:ascii="Book Antiqua" w:eastAsia="Book Antiqua" w:hAnsi="Book Antiqua" w:cs="Book Antiqua"/>
          <w:color w:val="000000"/>
        </w:rPr>
        <w:t>µ</w:t>
      </w:r>
      <w:r w:rsidRPr="000915AB">
        <w:rPr>
          <w:rFonts w:ascii="Book Antiqua" w:eastAsia="Book Antiqua" w:hAnsi="Book Antiqua" w:cs="Book Antiqua"/>
          <w:color w:val="000000"/>
        </w:rPr>
        <w:t xml:space="preserve">m </w:t>
      </w:r>
      <w:r w:rsidR="001A6FFB" w:rsidRPr="000915AB">
        <w:rPr>
          <w:rFonts w:ascii="Book Antiqua" w:eastAsia="Book Antiqua" w:hAnsi="Book Antiqua" w:cs="Book Antiqua"/>
          <w:color w:val="000000"/>
        </w:rPr>
        <w:t>oculus sinister</w:t>
      </w:r>
      <w:bookmarkEnd w:id="4"/>
      <w:r w:rsidRPr="000915AB">
        <w:rPr>
          <w:rFonts w:ascii="Book Antiqua" w:eastAsia="Book Antiqua" w:hAnsi="Book Antiqua" w:cs="Book Antiqua"/>
          <w:color w:val="000000"/>
        </w:rPr>
        <w:t xml:space="preserve">. </w:t>
      </w:r>
      <w:r w:rsidR="006A4305" w:rsidRPr="000915AB">
        <w:rPr>
          <w:rFonts w:ascii="Book Antiqua" w:eastAsia="Book Antiqua" w:hAnsi="Book Antiqua" w:cs="Book Antiqua"/>
          <w:color w:val="000000"/>
        </w:rPr>
        <w:t>Visual field</w:t>
      </w:r>
      <w:r w:rsidRPr="000915AB">
        <w:rPr>
          <w:rFonts w:ascii="Book Antiqua" w:eastAsia="Book Antiqua" w:hAnsi="Book Antiqua" w:cs="Book Antiqua"/>
          <w:color w:val="000000"/>
        </w:rPr>
        <w:t xml:space="preserve"> defects were detected by Humphrey Visual Field Analyzer (Zeiss Meditech</w:t>
      </w:r>
      <w:r w:rsidR="009E1B20">
        <w:rPr>
          <w:rFonts w:ascii="Book Antiqua" w:eastAsia="Book Antiqua" w:hAnsi="Book Antiqua" w:cs="Book Antiqua"/>
          <w:color w:val="000000"/>
        </w:rPr>
        <w:t>,</w:t>
      </w:r>
      <w:r w:rsidRPr="000915AB">
        <w:rPr>
          <w:rFonts w:ascii="Book Antiqua" w:eastAsia="Book Antiqua" w:hAnsi="Book Antiqua" w:cs="Book Antiqua"/>
          <w:color w:val="000000"/>
        </w:rPr>
        <w:t xml:space="preserve"> Jena, Germany) in both eyes with the </w:t>
      </w:r>
      <w:r w:rsidR="001A6FFB" w:rsidRPr="000915AB">
        <w:rPr>
          <w:rFonts w:ascii="Book Antiqua" w:eastAsia="Book Antiqua" w:hAnsi="Book Antiqua" w:cs="Book Antiqua"/>
          <w:color w:val="000000"/>
        </w:rPr>
        <w:t>visual field mean deviation</w:t>
      </w:r>
      <w:r w:rsidRPr="000915AB">
        <w:rPr>
          <w:rFonts w:ascii="Book Antiqua" w:eastAsia="Book Antiqua" w:hAnsi="Book Antiqua" w:cs="Book Antiqua"/>
          <w:color w:val="000000"/>
        </w:rPr>
        <w:t xml:space="preserve"> of -6.75 dB </w:t>
      </w:r>
      <w:r w:rsidR="00DE2A8E" w:rsidRPr="000915AB">
        <w:rPr>
          <w:rStyle w:val="a5"/>
          <w:rFonts w:ascii="Book Antiqua" w:hAnsi="Book Antiqua"/>
          <w:i w:val="0"/>
          <w:iCs w:val="0"/>
        </w:rPr>
        <w:t>oculus</w:t>
      </w:r>
      <w:r w:rsidR="00DE2A8E" w:rsidRPr="000915AB">
        <w:rPr>
          <w:rFonts w:ascii="Book Antiqua" w:hAnsi="Book Antiqua"/>
          <w:i/>
          <w:iCs/>
        </w:rPr>
        <w:t xml:space="preserve"> </w:t>
      </w:r>
      <w:r w:rsidR="00DE2A8E" w:rsidRPr="000915AB">
        <w:rPr>
          <w:rStyle w:val="a5"/>
          <w:rFonts w:ascii="Book Antiqua" w:hAnsi="Book Antiqua"/>
          <w:i w:val="0"/>
          <w:iCs w:val="0"/>
        </w:rPr>
        <w:t>dexter</w:t>
      </w:r>
      <w:r w:rsidRPr="000915AB">
        <w:rPr>
          <w:rFonts w:ascii="Book Antiqua" w:eastAsia="Book Antiqua" w:hAnsi="Book Antiqua" w:cs="Book Antiqua"/>
          <w:color w:val="000000"/>
        </w:rPr>
        <w:t xml:space="preserve"> and -5.30 dB</w:t>
      </w:r>
      <w:r w:rsidR="001A6FFB" w:rsidRPr="000915AB">
        <w:rPr>
          <w:rFonts w:ascii="Book Antiqua" w:eastAsia="Book Antiqua" w:hAnsi="Book Antiqua" w:cs="Book Antiqua"/>
          <w:color w:val="000000"/>
        </w:rPr>
        <w:t xml:space="preserve"> </w:t>
      </w:r>
      <w:r w:rsidR="009E1B20" w:rsidRPr="000915AB">
        <w:rPr>
          <w:rFonts w:ascii="Book Antiqua" w:eastAsia="Book Antiqua" w:hAnsi="Book Antiqua" w:cs="Book Antiqua"/>
          <w:color w:val="000000"/>
        </w:rPr>
        <w:t>oculus sinister</w:t>
      </w:r>
      <w:r w:rsidRPr="000915AB">
        <w:rPr>
          <w:rFonts w:ascii="Book Antiqua" w:eastAsia="Book Antiqua" w:hAnsi="Book Antiqua" w:cs="Book Antiqua"/>
          <w:color w:val="000000"/>
        </w:rPr>
        <w:t xml:space="preserve"> (Figure 1).</w:t>
      </w:r>
    </w:p>
    <w:p w14:paraId="68F39065" w14:textId="4C620658" w:rsidR="00A77B3E" w:rsidRPr="000915AB" w:rsidRDefault="00A77B3E" w:rsidP="000915AB">
      <w:pPr>
        <w:spacing w:line="360" w:lineRule="auto"/>
        <w:jc w:val="both"/>
        <w:rPr>
          <w:rFonts w:ascii="Book Antiqua" w:hAnsi="Book Antiqua"/>
        </w:rPr>
      </w:pPr>
    </w:p>
    <w:p w14:paraId="2673B949" w14:textId="77777777" w:rsidR="00FA30A2" w:rsidRPr="000915AB" w:rsidRDefault="00FA30A2" w:rsidP="000915AB">
      <w:pPr>
        <w:spacing w:line="360" w:lineRule="auto"/>
        <w:jc w:val="both"/>
        <w:rPr>
          <w:rFonts w:ascii="Book Antiqua" w:eastAsia="Calibri" w:hAnsi="Book Antiqua" w:cs="等线"/>
          <w:b/>
          <w:i/>
        </w:rPr>
      </w:pPr>
      <w:r w:rsidRPr="000915AB">
        <w:rPr>
          <w:rFonts w:ascii="Book Antiqua" w:eastAsia="Calibri" w:hAnsi="Book Antiqua" w:cs="等线"/>
          <w:b/>
          <w:i/>
        </w:rPr>
        <w:t>Further diagnostic work-up</w:t>
      </w:r>
    </w:p>
    <w:p w14:paraId="4097E49C" w14:textId="52187BA8" w:rsidR="00FA30A2" w:rsidRPr="000915AB" w:rsidRDefault="00FA30A2" w:rsidP="000915AB">
      <w:pPr>
        <w:spacing w:line="360" w:lineRule="auto"/>
        <w:jc w:val="both"/>
        <w:rPr>
          <w:rFonts w:ascii="Book Antiqua" w:hAnsi="Book Antiqua"/>
        </w:rPr>
      </w:pPr>
      <w:r w:rsidRPr="000915AB">
        <w:rPr>
          <w:rFonts w:ascii="Book Antiqua" w:hAnsi="Book Antiqua"/>
          <w:b/>
        </w:rPr>
        <w:t>W</w:t>
      </w:r>
      <w:r w:rsidR="0076029B" w:rsidRPr="000915AB">
        <w:rPr>
          <w:rFonts w:ascii="Book Antiqua" w:hAnsi="Book Antiqua"/>
          <w:b/>
        </w:rPr>
        <w:t>GS</w:t>
      </w:r>
      <w:r w:rsidRPr="000915AB">
        <w:rPr>
          <w:rFonts w:ascii="Book Antiqua" w:hAnsi="Book Antiqua"/>
          <w:b/>
        </w:rPr>
        <w:t>:</w:t>
      </w:r>
      <w:r w:rsidRPr="000915AB">
        <w:rPr>
          <w:rFonts w:ascii="Book Antiqua" w:hAnsi="Book Antiqua"/>
        </w:rPr>
        <w:t xml:space="preserve"> WGS followed the same protocol as previously reported</w:t>
      </w:r>
      <w:r w:rsidR="0076029B" w:rsidRPr="000915AB">
        <w:rPr>
          <w:rFonts w:ascii="Book Antiqua" w:hAnsi="Book Antiqua"/>
          <w:vertAlign w:val="superscript"/>
        </w:rPr>
        <w:t>[9]</w:t>
      </w:r>
      <w:r w:rsidRPr="000915AB">
        <w:rPr>
          <w:rFonts w:ascii="Book Antiqua" w:hAnsi="Book Antiqua"/>
        </w:rPr>
        <w:t>. The sequencing depth among participants range</w:t>
      </w:r>
      <w:r w:rsidR="009C4CA5">
        <w:rPr>
          <w:rFonts w:ascii="Book Antiqua" w:hAnsi="Book Antiqua"/>
        </w:rPr>
        <w:t>d</w:t>
      </w:r>
      <w:r w:rsidRPr="000915AB">
        <w:rPr>
          <w:rFonts w:ascii="Book Antiqua" w:hAnsi="Book Antiqua"/>
        </w:rPr>
        <w:t xml:space="preserve"> from 54.23X to 60.27X, with the percentage of coverage more than 10X at 91.53% to 92.20%. Mutations identified were analyzed using an autosomal recessive model as well as</w:t>
      </w:r>
      <w:r w:rsidRPr="000915AB">
        <w:rPr>
          <w:rFonts w:ascii="Book Antiqua" w:hAnsi="Book Antiqua"/>
          <w:i/>
        </w:rPr>
        <w:t xml:space="preserve"> de novo </w:t>
      </w:r>
      <w:r w:rsidRPr="000915AB">
        <w:rPr>
          <w:rFonts w:ascii="Book Antiqua" w:hAnsi="Book Antiqua"/>
        </w:rPr>
        <w:t xml:space="preserve">dominant model. We have excluded mutations with </w:t>
      </w:r>
      <w:r w:rsidR="00B66DF5">
        <w:rPr>
          <w:rFonts w:ascii="Book Antiqua" w:hAnsi="Book Antiqua"/>
        </w:rPr>
        <w:t xml:space="preserve">a </w:t>
      </w:r>
      <w:r w:rsidRPr="000915AB">
        <w:rPr>
          <w:rFonts w:ascii="Book Antiqua" w:hAnsi="Book Antiqua"/>
        </w:rPr>
        <w:t xml:space="preserve">minor allele frequency more than 0.1% in either </w:t>
      </w:r>
      <w:r w:rsidR="00B66DF5">
        <w:rPr>
          <w:rFonts w:ascii="Book Antiqua" w:hAnsi="Book Antiqua"/>
        </w:rPr>
        <w:t xml:space="preserve">the </w:t>
      </w:r>
      <w:r w:rsidRPr="000915AB">
        <w:rPr>
          <w:rFonts w:ascii="Book Antiqua" w:hAnsi="Book Antiqua"/>
        </w:rPr>
        <w:t xml:space="preserve">Genome Aggregation Database or </w:t>
      </w:r>
      <w:r w:rsidR="00B66DF5">
        <w:rPr>
          <w:rFonts w:ascii="Book Antiqua" w:hAnsi="Book Antiqua"/>
        </w:rPr>
        <w:t xml:space="preserve">the </w:t>
      </w:r>
      <w:r w:rsidRPr="000915AB">
        <w:rPr>
          <w:rFonts w:ascii="Book Antiqua" w:hAnsi="Book Antiqua"/>
        </w:rPr>
        <w:t xml:space="preserve">Exome Aggregation Consortium. According to the data from </w:t>
      </w:r>
      <w:r w:rsidR="00435854">
        <w:rPr>
          <w:rFonts w:ascii="Book Antiqua" w:hAnsi="Book Antiqua"/>
        </w:rPr>
        <w:t xml:space="preserve">the </w:t>
      </w:r>
      <w:r w:rsidRPr="000915AB">
        <w:rPr>
          <w:rFonts w:ascii="Book Antiqua" w:hAnsi="Book Antiqua"/>
        </w:rPr>
        <w:t xml:space="preserve">Human Phenotype Ontology, the names of the reference genes screened are listed in the Supplementary Table 1. The screening criteria for deleterious mutations were based on </w:t>
      </w:r>
      <w:r w:rsidR="00435854">
        <w:rPr>
          <w:rFonts w:ascii="Book Antiqua" w:hAnsi="Book Antiqua"/>
        </w:rPr>
        <w:t xml:space="preserve">the </w:t>
      </w:r>
      <w:r w:rsidRPr="000915AB">
        <w:rPr>
          <w:rFonts w:ascii="Book Antiqua" w:hAnsi="Book Antiqua"/>
        </w:rPr>
        <w:t>American College of Medical Genetics guidelines</w:t>
      </w:r>
      <w:r w:rsidR="008876FB" w:rsidRPr="000915AB">
        <w:rPr>
          <w:rFonts w:ascii="Book Antiqua" w:hAnsi="Book Antiqua"/>
          <w:vertAlign w:val="superscript"/>
        </w:rPr>
        <w:t>[10]</w:t>
      </w:r>
      <w:r w:rsidRPr="000915AB">
        <w:rPr>
          <w:rFonts w:ascii="Book Antiqua" w:hAnsi="Book Antiqua"/>
        </w:rPr>
        <w:t xml:space="preserve">. In trio-based WGS, the single nucleotide polymorphism in some of the major gene loci (Supplementary Table 2) that </w:t>
      </w:r>
      <w:r w:rsidR="008876FB" w:rsidRPr="000915AB">
        <w:rPr>
          <w:rFonts w:ascii="Book Antiqua" w:hAnsi="Book Antiqua"/>
        </w:rPr>
        <w:t>we</w:t>
      </w:r>
      <w:r w:rsidRPr="000915AB">
        <w:rPr>
          <w:rFonts w:ascii="Book Antiqua" w:hAnsi="Book Antiqua"/>
        </w:rPr>
        <w:t xml:space="preserve">re previously reported to affect JOAG phenotype, such as </w:t>
      </w:r>
      <w:r w:rsidRPr="000915AB">
        <w:rPr>
          <w:rFonts w:ascii="Book Antiqua" w:hAnsi="Book Antiqua"/>
          <w:i/>
        </w:rPr>
        <w:t>MYOC</w:t>
      </w:r>
      <w:r w:rsidRPr="000915AB">
        <w:rPr>
          <w:rFonts w:ascii="Book Antiqua" w:hAnsi="Book Antiqua"/>
        </w:rPr>
        <w:t xml:space="preserve"> and </w:t>
      </w:r>
      <w:r w:rsidRPr="000915AB">
        <w:rPr>
          <w:rFonts w:ascii="Book Antiqua" w:hAnsi="Book Antiqua"/>
          <w:i/>
        </w:rPr>
        <w:t>LTBP2</w:t>
      </w:r>
      <w:r w:rsidRPr="000915AB">
        <w:rPr>
          <w:rFonts w:ascii="Book Antiqua" w:hAnsi="Book Antiqua"/>
          <w:vertAlign w:val="superscript"/>
        </w:rPr>
        <w:t>[6,7]</w:t>
      </w:r>
      <w:r w:rsidRPr="000915AB">
        <w:rPr>
          <w:rFonts w:ascii="Book Antiqua" w:hAnsi="Book Antiqua"/>
        </w:rPr>
        <w:t xml:space="preserve"> as well as </w:t>
      </w:r>
      <w:r w:rsidRPr="000915AB">
        <w:rPr>
          <w:rFonts w:ascii="Book Antiqua" w:hAnsi="Book Antiqua"/>
          <w:i/>
        </w:rPr>
        <w:t>de novo</w:t>
      </w:r>
      <w:r w:rsidRPr="000915AB">
        <w:rPr>
          <w:rFonts w:ascii="Book Antiqua" w:hAnsi="Book Antiqua"/>
        </w:rPr>
        <w:t xml:space="preserve"> dominant mutations were not detected. Importantly, it was found that the proband (II1) had coinherited mutations. The proband has a </w:t>
      </w:r>
      <w:r w:rsidRPr="000915AB">
        <w:rPr>
          <w:rFonts w:ascii="Book Antiqua" w:hAnsi="Book Antiqua"/>
          <w:bCs/>
        </w:rPr>
        <w:t xml:space="preserve">c.281G&gt;A, </w:t>
      </w:r>
      <w:r w:rsidRPr="000915AB">
        <w:rPr>
          <w:rFonts w:ascii="Book Antiqua" w:hAnsi="Book Antiqua"/>
        </w:rPr>
        <w:t xml:space="preserve">p.Arg94His in </w:t>
      </w:r>
      <w:r w:rsidRPr="000915AB">
        <w:rPr>
          <w:rFonts w:ascii="Book Antiqua" w:hAnsi="Book Antiqua"/>
          <w:i/>
        </w:rPr>
        <w:t>OLFM2</w:t>
      </w:r>
      <w:r w:rsidRPr="000915AB">
        <w:rPr>
          <w:rFonts w:ascii="Book Antiqua" w:hAnsi="Book Antiqua"/>
        </w:rPr>
        <w:t xml:space="preserve"> (NM_058164.3) inherited from his father (I1) and a </w:t>
      </w:r>
      <w:r w:rsidRPr="000915AB">
        <w:rPr>
          <w:rFonts w:ascii="Book Antiqua" w:hAnsi="Book Antiqua"/>
          <w:bCs/>
        </w:rPr>
        <w:t>c.177C&gt;G</w:t>
      </w:r>
      <w:r w:rsidRPr="000915AB">
        <w:rPr>
          <w:rFonts w:ascii="Book Antiqua" w:hAnsi="Book Antiqua"/>
        </w:rPr>
        <w:t xml:space="preserve">, p.Ile59Met in </w:t>
      </w:r>
      <w:r w:rsidRPr="000915AB">
        <w:rPr>
          <w:rFonts w:ascii="Book Antiqua" w:hAnsi="Book Antiqua"/>
          <w:i/>
        </w:rPr>
        <w:t>SIX6</w:t>
      </w:r>
      <w:r w:rsidRPr="000915AB">
        <w:rPr>
          <w:rFonts w:ascii="Book Antiqua" w:hAnsi="Book Antiqua"/>
        </w:rPr>
        <w:t xml:space="preserve"> (NM_007374.2) inherited from his mother (I2), which cosegregates with the phenotype in a recessive pattern (Figure 2). Interestingly, the </w:t>
      </w:r>
      <w:r w:rsidRPr="000915AB">
        <w:rPr>
          <w:rFonts w:ascii="Book Antiqua" w:hAnsi="Book Antiqua"/>
          <w:i/>
        </w:rPr>
        <w:t>OLFM2</w:t>
      </w:r>
      <w:r w:rsidRPr="000915AB">
        <w:rPr>
          <w:rFonts w:ascii="Book Antiqua" w:hAnsi="Book Antiqua"/>
        </w:rPr>
        <w:t xml:space="preserve"> mutation from the father is also transmitted to another sibling (II2), who is exempt from any glaucoma phenotypes. </w:t>
      </w:r>
      <w:r w:rsidR="00D82A57">
        <w:rPr>
          <w:rFonts w:ascii="Book Antiqua" w:hAnsi="Book Antiqua"/>
        </w:rPr>
        <w:t>The</w:t>
      </w:r>
      <w:r w:rsidRPr="000915AB">
        <w:rPr>
          <w:rFonts w:ascii="Book Antiqua" w:hAnsi="Book Antiqua"/>
        </w:rPr>
        <w:t xml:space="preserve"> </w:t>
      </w:r>
      <w:r w:rsidRPr="000915AB">
        <w:rPr>
          <w:rFonts w:ascii="Book Antiqua" w:hAnsi="Book Antiqua"/>
          <w:i/>
        </w:rPr>
        <w:t>OLFM2</w:t>
      </w:r>
      <w:r w:rsidRPr="000915AB">
        <w:rPr>
          <w:rFonts w:ascii="Book Antiqua" w:hAnsi="Book Antiqua"/>
        </w:rPr>
        <w:t xml:space="preserve"> mutation (c.281G&gt;A, p.Arg94His) had a </w:t>
      </w:r>
      <w:r w:rsidR="00B66DF5" w:rsidRPr="000915AB">
        <w:rPr>
          <w:rFonts w:ascii="Book Antiqua" w:hAnsi="Book Antiqua"/>
        </w:rPr>
        <w:t>minor allele frequency</w:t>
      </w:r>
      <w:r w:rsidRPr="000915AB">
        <w:rPr>
          <w:rFonts w:ascii="Book Antiqua" w:hAnsi="Book Antiqua"/>
        </w:rPr>
        <w:t xml:space="preserve"> of 0.</w:t>
      </w:r>
      <w:r w:rsidR="00D0596A">
        <w:rPr>
          <w:rFonts w:ascii="Book Antiqua" w:hAnsi="Book Antiqua"/>
        </w:rPr>
        <w:t>0</w:t>
      </w:r>
      <w:r w:rsidRPr="000915AB">
        <w:rPr>
          <w:rFonts w:ascii="Book Antiqua" w:hAnsi="Book Antiqua"/>
        </w:rPr>
        <w:t>05</w:t>
      </w:r>
      <w:r w:rsidR="00D82A57">
        <w:rPr>
          <w:rFonts w:ascii="Book Antiqua" w:hAnsi="Book Antiqua"/>
        </w:rPr>
        <w:t>%</w:t>
      </w:r>
      <w:r w:rsidRPr="000915AB">
        <w:rPr>
          <w:rFonts w:ascii="Book Antiqua" w:hAnsi="Book Antiqua"/>
        </w:rPr>
        <w:t xml:space="preserve"> in </w:t>
      </w:r>
      <w:r w:rsidR="00D82A57">
        <w:rPr>
          <w:rFonts w:ascii="Book Antiqua" w:hAnsi="Book Antiqua"/>
        </w:rPr>
        <w:t xml:space="preserve">the </w:t>
      </w:r>
      <w:r w:rsidR="00B66DF5" w:rsidRPr="000915AB">
        <w:rPr>
          <w:rFonts w:ascii="Book Antiqua" w:hAnsi="Book Antiqua"/>
        </w:rPr>
        <w:t>Exome Aggregation Consortium</w:t>
      </w:r>
      <w:r w:rsidRPr="000915AB">
        <w:rPr>
          <w:rFonts w:ascii="Book Antiqua" w:hAnsi="Book Antiqua"/>
        </w:rPr>
        <w:t xml:space="preserve"> and 0.0</w:t>
      </w:r>
      <w:r w:rsidR="00D0596A">
        <w:rPr>
          <w:rFonts w:ascii="Book Antiqua" w:hAnsi="Book Antiqua"/>
        </w:rPr>
        <w:t>0</w:t>
      </w:r>
      <w:r w:rsidRPr="000915AB">
        <w:rPr>
          <w:rFonts w:ascii="Book Antiqua" w:hAnsi="Book Antiqua"/>
        </w:rPr>
        <w:t>4</w:t>
      </w:r>
      <w:r w:rsidR="00D82A57">
        <w:rPr>
          <w:rFonts w:ascii="Book Antiqua" w:hAnsi="Book Antiqua"/>
        </w:rPr>
        <w:t>%</w:t>
      </w:r>
      <w:r w:rsidRPr="000915AB">
        <w:rPr>
          <w:rFonts w:ascii="Book Antiqua" w:hAnsi="Book Antiqua"/>
        </w:rPr>
        <w:t xml:space="preserve"> in </w:t>
      </w:r>
      <w:r w:rsidR="00D82A57">
        <w:rPr>
          <w:rFonts w:ascii="Book Antiqua" w:hAnsi="Book Antiqua"/>
        </w:rPr>
        <w:t xml:space="preserve">the </w:t>
      </w:r>
      <w:r w:rsidR="00B66DF5" w:rsidRPr="000915AB">
        <w:rPr>
          <w:rFonts w:ascii="Book Antiqua" w:hAnsi="Book Antiqua"/>
        </w:rPr>
        <w:t>Genome Aggregation Database</w:t>
      </w:r>
      <w:r w:rsidRPr="000915AB">
        <w:rPr>
          <w:rFonts w:ascii="Book Antiqua" w:hAnsi="Book Antiqua"/>
        </w:rPr>
        <w:t xml:space="preserve">, while the specific mutation was classified as deleterious in MutationTaster, mCAP and CADD. The </w:t>
      </w:r>
      <w:r w:rsidRPr="000915AB">
        <w:rPr>
          <w:rFonts w:ascii="Book Antiqua" w:hAnsi="Book Antiqua"/>
          <w:i/>
        </w:rPr>
        <w:t>SIX6</w:t>
      </w:r>
      <w:r w:rsidRPr="000915AB">
        <w:rPr>
          <w:rFonts w:ascii="Book Antiqua" w:hAnsi="Book Antiqua"/>
        </w:rPr>
        <w:t xml:space="preserve"> mutation (c.177C&gt;G, p.Ile59Met) was absent in </w:t>
      </w:r>
      <w:r w:rsidR="00262BEC">
        <w:rPr>
          <w:rFonts w:ascii="Book Antiqua" w:hAnsi="Book Antiqua"/>
        </w:rPr>
        <w:t xml:space="preserve">the </w:t>
      </w:r>
      <w:r w:rsidR="00B66DF5" w:rsidRPr="000915AB">
        <w:rPr>
          <w:rFonts w:ascii="Book Antiqua" w:hAnsi="Book Antiqua"/>
        </w:rPr>
        <w:t>Exome Aggregation Consortium</w:t>
      </w:r>
      <w:r w:rsidRPr="000915AB">
        <w:rPr>
          <w:rFonts w:ascii="Book Antiqua" w:hAnsi="Book Antiqua"/>
        </w:rPr>
        <w:t xml:space="preserve"> and had a </w:t>
      </w:r>
      <w:r w:rsidR="00B66DF5" w:rsidRPr="000915AB">
        <w:rPr>
          <w:rFonts w:ascii="Book Antiqua" w:hAnsi="Book Antiqua"/>
        </w:rPr>
        <w:t>minor allele frequency</w:t>
      </w:r>
      <w:r w:rsidRPr="000915AB">
        <w:rPr>
          <w:rFonts w:ascii="Book Antiqua" w:hAnsi="Book Antiqua"/>
        </w:rPr>
        <w:t xml:space="preserve"> of 0.00</w:t>
      </w:r>
      <w:r w:rsidR="00D0596A">
        <w:rPr>
          <w:rFonts w:ascii="Book Antiqua" w:hAnsi="Book Antiqua"/>
        </w:rPr>
        <w:t>0</w:t>
      </w:r>
      <w:r w:rsidRPr="000915AB">
        <w:rPr>
          <w:rFonts w:ascii="Book Antiqua" w:hAnsi="Book Antiqua"/>
        </w:rPr>
        <w:t>4</w:t>
      </w:r>
      <w:r w:rsidR="00262BEC">
        <w:rPr>
          <w:rFonts w:ascii="Book Antiqua" w:hAnsi="Book Antiqua"/>
        </w:rPr>
        <w:t>%</w:t>
      </w:r>
      <w:r w:rsidRPr="000915AB">
        <w:rPr>
          <w:rFonts w:ascii="Book Antiqua" w:hAnsi="Book Antiqua"/>
        </w:rPr>
        <w:t xml:space="preserve"> in </w:t>
      </w:r>
      <w:r w:rsidR="00262BEC">
        <w:rPr>
          <w:rFonts w:ascii="Book Antiqua" w:hAnsi="Book Antiqua"/>
        </w:rPr>
        <w:t xml:space="preserve">the </w:t>
      </w:r>
      <w:r w:rsidR="00B66DF5" w:rsidRPr="000915AB">
        <w:rPr>
          <w:rFonts w:ascii="Book Antiqua" w:hAnsi="Book Antiqua"/>
        </w:rPr>
        <w:t>Genome Aggregation Database</w:t>
      </w:r>
      <w:r w:rsidRPr="000915AB">
        <w:rPr>
          <w:rFonts w:ascii="Book Antiqua" w:hAnsi="Book Antiqua"/>
        </w:rPr>
        <w:t>, which was classified as deleterious in MutationTaster, Fathmm and mCAP. Importantly, these mutations were found to be highly conserved across various species (Figure 3).</w:t>
      </w:r>
    </w:p>
    <w:p w14:paraId="1E2A17C4" w14:textId="77777777" w:rsidR="00FA30A2" w:rsidRPr="000915AB" w:rsidRDefault="00FA30A2" w:rsidP="000915AB">
      <w:pPr>
        <w:spacing w:line="360" w:lineRule="auto"/>
        <w:jc w:val="both"/>
        <w:rPr>
          <w:rFonts w:ascii="Book Antiqua" w:hAnsi="Book Antiqua"/>
        </w:rPr>
      </w:pPr>
    </w:p>
    <w:p w14:paraId="4FDE8954" w14:textId="1514449F" w:rsidR="00FA30A2" w:rsidRPr="000915AB" w:rsidRDefault="00FA30A2" w:rsidP="000915AB">
      <w:pPr>
        <w:spacing w:line="360" w:lineRule="auto"/>
        <w:jc w:val="both"/>
        <w:rPr>
          <w:rFonts w:ascii="Book Antiqua" w:hAnsi="Book Antiqua"/>
        </w:rPr>
      </w:pPr>
      <w:r w:rsidRPr="000915AB">
        <w:rPr>
          <w:rFonts w:ascii="Book Antiqua" w:hAnsi="Book Antiqua"/>
          <w:b/>
          <w:bCs/>
        </w:rPr>
        <w:t xml:space="preserve">Sanger </w:t>
      </w:r>
      <w:r w:rsidR="00096172" w:rsidRPr="000915AB">
        <w:rPr>
          <w:rFonts w:ascii="Book Antiqua" w:hAnsi="Book Antiqua"/>
          <w:b/>
          <w:bCs/>
        </w:rPr>
        <w:t>s</w:t>
      </w:r>
      <w:r w:rsidRPr="000915AB">
        <w:rPr>
          <w:rFonts w:ascii="Book Antiqua" w:hAnsi="Book Antiqua"/>
          <w:b/>
          <w:bCs/>
        </w:rPr>
        <w:t xml:space="preserve">equencing: </w:t>
      </w:r>
      <w:r w:rsidRPr="000915AB">
        <w:rPr>
          <w:rFonts w:ascii="Book Antiqua" w:hAnsi="Book Antiqua"/>
        </w:rPr>
        <w:t xml:space="preserve">Amplification using PCR followed by Sanger sequencing was used to confirm the identified mutations of </w:t>
      </w:r>
      <w:r w:rsidRPr="000915AB">
        <w:rPr>
          <w:rFonts w:ascii="Book Antiqua" w:hAnsi="Book Antiqua"/>
          <w:i/>
        </w:rPr>
        <w:t>OLFM2</w:t>
      </w:r>
      <w:r w:rsidRPr="000915AB">
        <w:rPr>
          <w:rFonts w:ascii="Book Antiqua" w:hAnsi="Book Antiqua"/>
        </w:rPr>
        <w:t xml:space="preserve"> and </w:t>
      </w:r>
      <w:r w:rsidRPr="000915AB">
        <w:rPr>
          <w:rFonts w:ascii="Book Antiqua" w:hAnsi="Book Antiqua"/>
          <w:i/>
        </w:rPr>
        <w:t xml:space="preserve">SIX6 </w:t>
      </w:r>
      <w:r w:rsidRPr="000915AB">
        <w:rPr>
          <w:rFonts w:ascii="Book Antiqua" w:hAnsi="Book Antiqua"/>
        </w:rPr>
        <w:t>in each family member. Sequencing was performed on an ABI 3730xl DNA analyzer (Applied Biosystems</w:t>
      </w:r>
      <w:r w:rsidR="00751994">
        <w:rPr>
          <w:rFonts w:ascii="Book Antiqua" w:hAnsi="Book Antiqua"/>
        </w:rPr>
        <w:t>,</w:t>
      </w:r>
      <w:r w:rsidRPr="000915AB">
        <w:rPr>
          <w:rFonts w:ascii="Book Antiqua" w:hAnsi="Book Antiqua"/>
        </w:rPr>
        <w:t xml:space="preserve"> Foster City, CA, U</w:t>
      </w:r>
      <w:r w:rsidR="008876FB" w:rsidRPr="000915AB">
        <w:rPr>
          <w:rFonts w:ascii="Book Antiqua" w:hAnsi="Book Antiqua"/>
        </w:rPr>
        <w:t>nited States</w:t>
      </w:r>
      <w:r w:rsidRPr="000915AB">
        <w:rPr>
          <w:rFonts w:ascii="Book Antiqua" w:hAnsi="Book Antiqua"/>
        </w:rPr>
        <w:t>). The reference genes were obtained from the Ensembl genome browser (in the public domain, http://www.ensembl.org). The primers used for PCR amplification are listed in Table 1.</w:t>
      </w:r>
    </w:p>
    <w:p w14:paraId="12735B56" w14:textId="77777777" w:rsidR="00FA30A2" w:rsidRPr="000915AB" w:rsidRDefault="00FA30A2" w:rsidP="000915AB">
      <w:pPr>
        <w:spacing w:line="360" w:lineRule="auto"/>
        <w:jc w:val="both"/>
        <w:rPr>
          <w:rFonts w:ascii="Book Antiqua" w:hAnsi="Book Antiqua"/>
        </w:rPr>
      </w:pPr>
    </w:p>
    <w:p w14:paraId="62F768A0"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aps/>
          <w:color w:val="000000"/>
          <w:u w:val="single"/>
        </w:rPr>
        <w:t>FINAL DIAGNOSIS</w:t>
      </w:r>
    </w:p>
    <w:p w14:paraId="4875BE95" w14:textId="2799DF71" w:rsidR="00A77B3E" w:rsidRPr="000915AB" w:rsidRDefault="004629FB" w:rsidP="000915AB">
      <w:pPr>
        <w:spacing w:line="360" w:lineRule="auto"/>
        <w:jc w:val="both"/>
        <w:rPr>
          <w:rFonts w:ascii="Book Antiqua" w:hAnsi="Book Antiqua"/>
        </w:rPr>
      </w:pPr>
      <w:r w:rsidRPr="000915AB">
        <w:rPr>
          <w:rFonts w:ascii="Book Antiqua" w:eastAsia="Book Antiqua" w:hAnsi="Book Antiqua" w:cs="Book Antiqua"/>
          <w:color w:val="000000"/>
        </w:rPr>
        <w:t>JOAG</w:t>
      </w:r>
      <w:r w:rsidR="004521C0" w:rsidRPr="000915AB">
        <w:rPr>
          <w:rFonts w:ascii="Book Antiqua" w:eastAsia="Book Antiqua" w:hAnsi="Book Antiqua" w:cs="Book Antiqua"/>
          <w:color w:val="000000"/>
        </w:rPr>
        <w:t xml:space="preserve"> in both eyes.</w:t>
      </w:r>
    </w:p>
    <w:p w14:paraId="681D28A7" w14:textId="77777777" w:rsidR="00A77B3E" w:rsidRPr="000915AB" w:rsidRDefault="00A77B3E" w:rsidP="000915AB">
      <w:pPr>
        <w:spacing w:line="360" w:lineRule="auto"/>
        <w:jc w:val="both"/>
        <w:rPr>
          <w:rFonts w:ascii="Book Antiqua" w:hAnsi="Book Antiqua"/>
        </w:rPr>
      </w:pPr>
    </w:p>
    <w:p w14:paraId="41AD764B"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aps/>
          <w:color w:val="000000"/>
          <w:u w:val="single"/>
        </w:rPr>
        <w:t>TREATMENT</w:t>
      </w:r>
    </w:p>
    <w:p w14:paraId="369FFD1A" w14:textId="6EC96462"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Since the diagnosis of glaucoma, the patient has been routinely treated with medication (</w:t>
      </w:r>
      <w:r w:rsidR="00B701F1">
        <w:rPr>
          <w:rFonts w:ascii="Book Antiqua" w:eastAsia="Book Antiqua" w:hAnsi="Book Antiqua" w:cs="Book Antiqua"/>
          <w:color w:val="000000"/>
        </w:rPr>
        <w:t>b</w:t>
      </w:r>
      <w:r w:rsidRPr="000915AB">
        <w:rPr>
          <w:rFonts w:ascii="Book Antiqua" w:eastAsia="Book Antiqua" w:hAnsi="Book Antiqua" w:cs="Book Antiqua"/>
          <w:color w:val="000000"/>
        </w:rPr>
        <w:t xml:space="preserve">rimonidine </w:t>
      </w:r>
      <w:r w:rsidR="00B701F1">
        <w:rPr>
          <w:rFonts w:ascii="Book Antiqua" w:eastAsia="Book Antiqua" w:hAnsi="Book Antiqua" w:cs="Book Antiqua"/>
          <w:color w:val="000000"/>
        </w:rPr>
        <w:t>t</w:t>
      </w:r>
      <w:r w:rsidRPr="000915AB">
        <w:rPr>
          <w:rFonts w:ascii="Book Antiqua" w:eastAsia="Book Antiqua" w:hAnsi="Book Antiqua" w:cs="Book Antiqua"/>
          <w:color w:val="000000"/>
        </w:rPr>
        <w:t>artrate eye drops</w:t>
      </w:r>
      <w:r w:rsidR="00A077D9" w:rsidRPr="000915AB">
        <w:rPr>
          <w:rFonts w:ascii="Book Antiqua" w:eastAsia="Book Antiqua" w:hAnsi="Book Antiqua" w:cs="Book Antiqua"/>
          <w:color w:val="000000"/>
        </w:rPr>
        <w:t>,</w:t>
      </w:r>
      <w:r w:rsidRPr="000915AB">
        <w:rPr>
          <w:rFonts w:ascii="Book Antiqua" w:eastAsia="Book Antiqua" w:hAnsi="Book Antiqua" w:cs="Book Antiqua"/>
          <w:color w:val="000000"/>
        </w:rPr>
        <w:t xml:space="preserve"> </w:t>
      </w:r>
      <w:r w:rsidR="00A077D9" w:rsidRPr="000915AB">
        <w:rPr>
          <w:rFonts w:ascii="Book Antiqua" w:eastAsia="Book Antiqua" w:hAnsi="Book Antiqua" w:cs="Book Antiqua"/>
          <w:color w:val="000000"/>
        </w:rPr>
        <w:t>three times a day</w:t>
      </w:r>
      <w:r w:rsidRPr="000915AB">
        <w:rPr>
          <w:rFonts w:ascii="Book Antiqua" w:eastAsia="Book Antiqua" w:hAnsi="Book Antiqua" w:cs="Book Antiqua"/>
          <w:color w:val="000000"/>
        </w:rPr>
        <w:t xml:space="preserve">; </w:t>
      </w:r>
      <w:r w:rsidR="00B701F1">
        <w:rPr>
          <w:rFonts w:ascii="Book Antiqua" w:eastAsia="Book Antiqua" w:hAnsi="Book Antiqua" w:cs="Book Antiqua"/>
          <w:color w:val="000000"/>
        </w:rPr>
        <w:t>t</w:t>
      </w:r>
      <w:r w:rsidRPr="000915AB">
        <w:rPr>
          <w:rFonts w:ascii="Book Antiqua" w:eastAsia="Book Antiqua" w:hAnsi="Book Antiqua" w:cs="Book Antiqua"/>
          <w:color w:val="000000"/>
        </w:rPr>
        <w:t xml:space="preserve">ravatan, </w:t>
      </w:r>
      <w:r w:rsidR="00A077D9" w:rsidRPr="000915AB">
        <w:rPr>
          <w:rFonts w:ascii="Book Antiqua" w:eastAsia="Book Antiqua" w:hAnsi="Book Antiqua" w:cs="Book Antiqua"/>
          <w:i/>
          <w:iCs/>
          <w:color w:val="000000"/>
        </w:rPr>
        <w:t>quaque nocte</w:t>
      </w:r>
      <w:r w:rsidRPr="000915AB">
        <w:rPr>
          <w:rFonts w:ascii="Book Antiqua" w:eastAsia="Book Antiqua" w:hAnsi="Book Antiqua" w:cs="Book Antiqua"/>
          <w:color w:val="000000"/>
        </w:rPr>
        <w:t xml:space="preserve">; </w:t>
      </w:r>
      <w:r w:rsidR="00B701F1">
        <w:rPr>
          <w:rFonts w:ascii="Book Antiqua" w:eastAsia="Book Antiqua" w:hAnsi="Book Antiqua" w:cs="Book Antiqua"/>
          <w:color w:val="000000"/>
        </w:rPr>
        <w:t>a</w:t>
      </w:r>
      <w:r w:rsidRPr="000915AB">
        <w:rPr>
          <w:rFonts w:ascii="Book Antiqua" w:eastAsia="Book Antiqua" w:hAnsi="Book Antiqua" w:cs="Book Antiqua"/>
          <w:color w:val="000000"/>
        </w:rPr>
        <w:t xml:space="preserve">zopt, </w:t>
      </w:r>
      <w:r w:rsidR="00A077D9" w:rsidRPr="000915AB">
        <w:rPr>
          <w:rFonts w:ascii="Book Antiqua" w:eastAsia="Book Antiqua" w:hAnsi="Book Antiqua" w:cs="Book Antiqua"/>
          <w:color w:val="000000"/>
        </w:rPr>
        <w:t>twice a day</w:t>
      </w:r>
      <w:r w:rsidRPr="000915AB">
        <w:rPr>
          <w:rFonts w:ascii="Book Antiqua" w:eastAsia="Book Antiqua" w:hAnsi="Book Antiqua" w:cs="Book Antiqua"/>
          <w:color w:val="000000"/>
        </w:rPr>
        <w:t xml:space="preserve">) to control IOP for more than </w:t>
      </w:r>
      <w:r w:rsidR="00751994">
        <w:rPr>
          <w:rFonts w:ascii="Book Antiqua" w:eastAsia="Book Antiqua" w:hAnsi="Book Antiqua" w:cs="Book Antiqua"/>
          <w:color w:val="000000"/>
        </w:rPr>
        <w:t>3 mo</w:t>
      </w:r>
      <w:r w:rsidRPr="000915AB">
        <w:rPr>
          <w:rFonts w:ascii="Book Antiqua" w:eastAsia="Book Antiqua" w:hAnsi="Book Antiqua" w:cs="Book Antiqua"/>
          <w:color w:val="000000"/>
        </w:rPr>
        <w:t xml:space="preserve">. At the age of 28, the patient received </w:t>
      </w:r>
      <w:r w:rsidR="002049CA">
        <w:rPr>
          <w:rFonts w:ascii="Book Antiqua" w:eastAsia="Book Antiqua" w:hAnsi="Book Antiqua" w:cs="Book Antiqua"/>
          <w:color w:val="000000"/>
        </w:rPr>
        <w:t>an e</w:t>
      </w:r>
      <w:r w:rsidRPr="000915AB">
        <w:rPr>
          <w:rFonts w:ascii="Book Antiqua" w:eastAsia="Book Antiqua" w:hAnsi="Book Antiqua" w:cs="Book Antiqua"/>
          <w:color w:val="000000"/>
        </w:rPr>
        <w:t>xpress implant (Glaucoma Filtration Device Version P-200) in the right eye</w:t>
      </w:r>
      <w:r w:rsidR="002049CA">
        <w:rPr>
          <w:rFonts w:ascii="Book Antiqua" w:eastAsia="Book Antiqua" w:hAnsi="Book Antiqua" w:cs="Book Antiqua"/>
          <w:color w:val="000000"/>
        </w:rPr>
        <w:t>.</w:t>
      </w:r>
      <w:r w:rsidRPr="000915AB">
        <w:rPr>
          <w:rFonts w:ascii="Book Antiqua" w:eastAsia="Book Antiqua" w:hAnsi="Book Antiqua" w:cs="Book Antiqua"/>
          <w:color w:val="000000"/>
        </w:rPr>
        <w:t xml:space="preserve"> </w:t>
      </w:r>
      <w:r w:rsidR="002049CA">
        <w:rPr>
          <w:rFonts w:ascii="Book Antiqua" w:eastAsia="Book Antiqua" w:hAnsi="Book Antiqua" w:cs="Book Antiqua"/>
          <w:color w:val="000000"/>
        </w:rPr>
        <w:t>O</w:t>
      </w:r>
      <w:r w:rsidRPr="000915AB">
        <w:rPr>
          <w:rFonts w:ascii="Book Antiqua" w:eastAsia="Book Antiqua" w:hAnsi="Book Antiqua" w:cs="Book Antiqua"/>
          <w:color w:val="000000"/>
        </w:rPr>
        <w:t xml:space="preserve">ne month later, his left eye was also treated with </w:t>
      </w:r>
      <w:r w:rsidR="002049CA">
        <w:rPr>
          <w:rFonts w:ascii="Book Antiqua" w:eastAsia="Book Antiqua" w:hAnsi="Book Antiqua" w:cs="Book Antiqua"/>
          <w:color w:val="000000"/>
        </w:rPr>
        <w:t>an e</w:t>
      </w:r>
      <w:r w:rsidRPr="000915AB">
        <w:rPr>
          <w:rFonts w:ascii="Book Antiqua" w:eastAsia="Book Antiqua" w:hAnsi="Book Antiqua" w:cs="Book Antiqua"/>
          <w:color w:val="000000"/>
        </w:rPr>
        <w:t>xpress implant (Glaucoma Filtration Device Version P-200). Antibiotic eye drops (</w:t>
      </w:r>
      <w:r w:rsidR="002049CA">
        <w:rPr>
          <w:rFonts w:ascii="Book Antiqua" w:eastAsia="Book Antiqua" w:hAnsi="Book Antiqua" w:cs="Book Antiqua"/>
          <w:color w:val="000000"/>
        </w:rPr>
        <w:t>c</w:t>
      </w:r>
      <w:r w:rsidRPr="000915AB">
        <w:rPr>
          <w:rFonts w:ascii="Book Antiqua" w:eastAsia="Book Antiqua" w:hAnsi="Book Antiqua" w:cs="Book Antiqua"/>
          <w:color w:val="000000"/>
        </w:rPr>
        <w:t xml:space="preserve">ompound </w:t>
      </w:r>
      <w:r w:rsidR="002049CA">
        <w:rPr>
          <w:rFonts w:ascii="Book Antiqua" w:eastAsia="Book Antiqua" w:hAnsi="Book Antiqua" w:cs="Book Antiqua"/>
          <w:color w:val="000000"/>
        </w:rPr>
        <w:t>n</w:t>
      </w:r>
      <w:r w:rsidRPr="000915AB">
        <w:rPr>
          <w:rFonts w:ascii="Book Antiqua" w:eastAsia="Book Antiqua" w:hAnsi="Book Antiqua" w:cs="Book Antiqua"/>
          <w:color w:val="000000"/>
        </w:rPr>
        <w:t xml:space="preserve">eomycin </w:t>
      </w:r>
      <w:r w:rsidR="002049CA">
        <w:rPr>
          <w:rFonts w:ascii="Book Antiqua" w:eastAsia="Book Antiqua" w:hAnsi="Book Antiqua" w:cs="Book Antiqua"/>
          <w:color w:val="000000"/>
        </w:rPr>
        <w:t>s</w:t>
      </w:r>
      <w:r w:rsidRPr="000915AB">
        <w:rPr>
          <w:rFonts w:ascii="Book Antiqua" w:eastAsia="Book Antiqua" w:hAnsi="Book Antiqua" w:cs="Book Antiqua"/>
          <w:color w:val="000000"/>
        </w:rPr>
        <w:t>ulfate) and eye ointment (</w:t>
      </w:r>
      <w:r w:rsidR="002049CA">
        <w:rPr>
          <w:rFonts w:ascii="Book Antiqua" w:eastAsia="Book Antiqua" w:hAnsi="Book Antiqua" w:cs="Book Antiqua"/>
          <w:color w:val="000000"/>
        </w:rPr>
        <w:t>t</w:t>
      </w:r>
      <w:r w:rsidRPr="000915AB">
        <w:rPr>
          <w:rFonts w:ascii="Book Antiqua" w:eastAsia="Book Antiqua" w:hAnsi="Book Antiqua" w:cs="Book Antiqua"/>
          <w:color w:val="000000"/>
        </w:rPr>
        <w:t xml:space="preserve">obramycin </w:t>
      </w:r>
      <w:r w:rsidR="002049CA">
        <w:rPr>
          <w:rFonts w:ascii="Book Antiqua" w:eastAsia="Book Antiqua" w:hAnsi="Book Antiqua" w:cs="Book Antiqua"/>
          <w:color w:val="000000"/>
        </w:rPr>
        <w:t>d</w:t>
      </w:r>
      <w:r w:rsidRPr="000915AB">
        <w:rPr>
          <w:rFonts w:ascii="Book Antiqua" w:eastAsia="Book Antiqua" w:hAnsi="Book Antiqua" w:cs="Book Antiqua"/>
          <w:color w:val="000000"/>
        </w:rPr>
        <w:t>examethasone) were used for anti-inflammation postoperatively.</w:t>
      </w:r>
    </w:p>
    <w:p w14:paraId="32BDB0D4" w14:textId="77777777" w:rsidR="00A77B3E" w:rsidRPr="000915AB" w:rsidRDefault="00A77B3E" w:rsidP="000915AB">
      <w:pPr>
        <w:spacing w:line="360" w:lineRule="auto"/>
        <w:jc w:val="both"/>
        <w:rPr>
          <w:rFonts w:ascii="Book Antiqua" w:hAnsi="Book Antiqua"/>
        </w:rPr>
      </w:pPr>
    </w:p>
    <w:p w14:paraId="32357B73"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aps/>
          <w:color w:val="000000"/>
          <w:u w:val="single"/>
        </w:rPr>
        <w:t>OUTCOME AND FOLLOW-UP</w:t>
      </w:r>
    </w:p>
    <w:p w14:paraId="48CDBABA" w14:textId="0A8220F2"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The IOPs were well controlled at middle 10</w:t>
      </w:r>
      <w:r w:rsidR="008876FB" w:rsidRPr="000915AB">
        <w:rPr>
          <w:rFonts w:ascii="Book Antiqua" w:eastAsia="Book Antiqua" w:hAnsi="Book Antiqua" w:cs="Book Antiqua"/>
          <w:color w:val="000000"/>
        </w:rPr>
        <w:t xml:space="preserve"> </w:t>
      </w:r>
      <w:r w:rsidRPr="000915AB">
        <w:rPr>
          <w:rFonts w:ascii="Book Antiqua" w:eastAsia="Book Antiqua" w:hAnsi="Book Antiqua" w:cs="Book Antiqua"/>
          <w:color w:val="000000"/>
        </w:rPr>
        <w:t>s in both eyes postoperatively and during regular follow-up.</w:t>
      </w:r>
    </w:p>
    <w:p w14:paraId="17814425" w14:textId="77777777" w:rsidR="00A77B3E" w:rsidRPr="000915AB" w:rsidRDefault="00A77B3E" w:rsidP="000915AB">
      <w:pPr>
        <w:spacing w:line="360" w:lineRule="auto"/>
        <w:jc w:val="both"/>
        <w:rPr>
          <w:rFonts w:ascii="Book Antiqua" w:hAnsi="Book Antiqua"/>
        </w:rPr>
      </w:pPr>
    </w:p>
    <w:p w14:paraId="551FF95C"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aps/>
          <w:color w:val="000000"/>
          <w:u w:val="single"/>
        </w:rPr>
        <w:t>DISCUSSION</w:t>
      </w:r>
    </w:p>
    <w:p w14:paraId="12BBFF7F" w14:textId="481F839C" w:rsidR="008876FB"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 xml:space="preserve">JOAG is a rare subtype of POAG </w:t>
      </w:r>
      <w:r w:rsidR="002A6E80">
        <w:rPr>
          <w:rFonts w:ascii="Book Antiqua" w:eastAsia="Book Antiqua" w:hAnsi="Book Antiqua" w:cs="Book Antiqua"/>
          <w:color w:val="000000"/>
        </w:rPr>
        <w:t xml:space="preserve">that </w:t>
      </w:r>
      <w:r w:rsidRPr="000915AB">
        <w:rPr>
          <w:rFonts w:ascii="Book Antiqua" w:eastAsia="Book Antiqua" w:hAnsi="Book Antiqua" w:cs="Book Antiqua"/>
          <w:color w:val="000000"/>
        </w:rPr>
        <w:t xml:space="preserve">is closely associated with genetic mutations. In the present study, we have for the first time, reported a coinheritance of mutations in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(c.281G&gt;A, p.Arg94His) and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(c.177C&gt;G, p.Ile59Met) in a patient with JOAG through WGS and bioinformatics analysis. The potentially pathogenic mutations in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and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inherited from the father and the mother,</w:t>
      </w:r>
      <w:r w:rsidR="0098086B">
        <w:rPr>
          <w:rFonts w:ascii="Book Antiqua" w:eastAsia="Book Antiqua" w:hAnsi="Book Antiqua" w:cs="Book Antiqua"/>
          <w:color w:val="000000"/>
        </w:rPr>
        <w:t xml:space="preserve"> </w:t>
      </w:r>
      <w:r w:rsidR="0098086B" w:rsidRPr="000915AB">
        <w:rPr>
          <w:rFonts w:ascii="Book Antiqua" w:eastAsia="Book Antiqua" w:hAnsi="Book Antiqua" w:cs="Book Antiqua"/>
          <w:color w:val="000000"/>
        </w:rPr>
        <w:t>respectively</w:t>
      </w:r>
      <w:r w:rsidR="0098086B">
        <w:rPr>
          <w:rFonts w:ascii="Book Antiqua" w:eastAsia="Book Antiqua" w:hAnsi="Book Antiqua" w:cs="Book Antiqua"/>
          <w:color w:val="000000"/>
        </w:rPr>
        <w:t>,</w:t>
      </w:r>
      <w:r w:rsidRPr="000915AB">
        <w:rPr>
          <w:rFonts w:ascii="Book Antiqua" w:eastAsia="Book Antiqua" w:hAnsi="Book Antiqua" w:cs="Book Antiqua"/>
          <w:color w:val="000000"/>
        </w:rPr>
        <w:t xml:space="preserve"> might be responsible for the onset of JOAG in this proband. Digenic inheritance is the simplest form for genetically complex diseases. By contrast with the thousands of reports that mutations in single genes cause human diseases, there are </w:t>
      </w:r>
      <w:r w:rsidR="0098086B">
        <w:rPr>
          <w:rFonts w:ascii="Book Antiqua" w:eastAsia="Book Antiqua" w:hAnsi="Book Antiqua" w:cs="Book Antiqua"/>
          <w:color w:val="000000"/>
        </w:rPr>
        <w:t>many</w:t>
      </w:r>
      <w:r w:rsidRPr="000915AB">
        <w:rPr>
          <w:rFonts w:ascii="Book Antiqua" w:eastAsia="Book Antiqua" w:hAnsi="Book Antiqua" w:cs="Book Antiqua"/>
          <w:color w:val="000000"/>
        </w:rPr>
        <w:t xml:space="preserve"> human disease phenotypes with evidence for digenic inheritance in some pedigrees. Therefore, whether</w:t>
      </w:r>
      <w:r w:rsidR="0098086B">
        <w:rPr>
          <w:rFonts w:ascii="Book Antiqua" w:eastAsia="Book Antiqua" w:hAnsi="Book Antiqua" w:cs="Book Antiqua"/>
          <w:color w:val="000000"/>
        </w:rPr>
        <w:t xml:space="preserve"> the</w:t>
      </w:r>
      <w:r w:rsidRPr="000915AB">
        <w:rPr>
          <w:rFonts w:ascii="Book Antiqua" w:eastAsia="Book Antiqua" w:hAnsi="Book Antiqua" w:cs="Book Antiqua"/>
          <w:color w:val="000000"/>
        </w:rPr>
        <w:t xml:space="preserve"> inherited pattern of the proband is consistent with digenic inheritance need</w:t>
      </w:r>
      <w:r w:rsidR="005C0364">
        <w:rPr>
          <w:rFonts w:ascii="Book Antiqua" w:eastAsia="Book Antiqua" w:hAnsi="Book Antiqua" w:cs="Book Antiqua"/>
          <w:color w:val="000000"/>
        </w:rPr>
        <w:t>s</w:t>
      </w:r>
      <w:r w:rsidRPr="000915AB">
        <w:rPr>
          <w:rFonts w:ascii="Book Antiqua" w:eastAsia="Book Antiqua" w:hAnsi="Book Antiqua" w:cs="Book Antiqua"/>
          <w:color w:val="000000"/>
        </w:rPr>
        <w:t xml:space="preserve"> to be further verified through functional research. Our report of coinherited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and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variants in a JOAG family indicate</w:t>
      </w:r>
      <w:r w:rsidR="005C0364">
        <w:rPr>
          <w:rFonts w:ascii="Book Antiqua" w:eastAsia="Book Antiqua" w:hAnsi="Book Antiqua" w:cs="Book Antiqua"/>
          <w:color w:val="000000"/>
        </w:rPr>
        <w:t>s</w:t>
      </w:r>
      <w:r w:rsidRPr="000915AB">
        <w:rPr>
          <w:rFonts w:ascii="Book Antiqua" w:eastAsia="Book Antiqua" w:hAnsi="Book Antiqua" w:cs="Book Antiqua"/>
          <w:color w:val="000000"/>
        </w:rPr>
        <w:t xml:space="preserve"> the complexity of JOAG inheritance and enrich</w:t>
      </w:r>
      <w:r w:rsidR="005C0364">
        <w:rPr>
          <w:rFonts w:ascii="Book Antiqua" w:eastAsia="Book Antiqua" w:hAnsi="Book Antiqua" w:cs="Book Antiqua"/>
          <w:color w:val="000000"/>
        </w:rPr>
        <w:t>es</w:t>
      </w:r>
      <w:r w:rsidRPr="000915AB">
        <w:rPr>
          <w:rFonts w:ascii="Book Antiqua" w:eastAsia="Book Antiqua" w:hAnsi="Book Antiqua" w:cs="Book Antiqua"/>
          <w:color w:val="000000"/>
        </w:rPr>
        <w:t xml:space="preserve"> our understanding o</w:t>
      </w:r>
      <w:r w:rsidR="005C0364">
        <w:rPr>
          <w:rFonts w:ascii="Book Antiqua" w:eastAsia="Book Antiqua" w:hAnsi="Book Antiqua" w:cs="Book Antiqua"/>
          <w:color w:val="000000"/>
        </w:rPr>
        <w:t>f</w:t>
      </w:r>
      <w:r w:rsidRPr="000915AB">
        <w:rPr>
          <w:rFonts w:ascii="Book Antiqua" w:eastAsia="Book Antiqua" w:hAnsi="Book Antiqua" w:cs="Book Antiqua"/>
          <w:color w:val="000000"/>
        </w:rPr>
        <w:t xml:space="preserve"> the mutation spectrum in JOAG.</w:t>
      </w:r>
    </w:p>
    <w:p w14:paraId="7460359D" w14:textId="6586D88F" w:rsidR="008876FB" w:rsidRPr="000915AB" w:rsidRDefault="004521C0" w:rsidP="000915AB">
      <w:pPr>
        <w:spacing w:line="360" w:lineRule="auto"/>
        <w:ind w:firstLineChars="100" w:firstLine="240"/>
        <w:jc w:val="both"/>
        <w:rPr>
          <w:rFonts w:ascii="Book Antiqua" w:hAnsi="Book Antiqua"/>
        </w:rPr>
      </w:pP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encodes a secreted glycoprotein in the Noelin family of olfactomedin domain-containing proteins </w:t>
      </w:r>
      <w:r w:rsidR="005C0364">
        <w:rPr>
          <w:rFonts w:ascii="Book Antiqua" w:eastAsia="Book Antiqua" w:hAnsi="Book Antiqua" w:cs="Book Antiqua"/>
          <w:color w:val="000000"/>
        </w:rPr>
        <w:t>that</w:t>
      </w:r>
      <w:r w:rsidR="005C0364" w:rsidRPr="000915AB">
        <w:rPr>
          <w:rFonts w:ascii="Book Antiqua" w:eastAsia="Book Antiqua" w:hAnsi="Book Antiqua" w:cs="Book Antiqua"/>
          <w:color w:val="000000"/>
        </w:rPr>
        <w:t xml:space="preserve"> </w:t>
      </w:r>
      <w:r w:rsidRPr="000915AB">
        <w:rPr>
          <w:rFonts w:ascii="Book Antiqua" w:eastAsia="Book Antiqua" w:hAnsi="Book Antiqua" w:cs="Book Antiqua"/>
          <w:color w:val="000000"/>
        </w:rPr>
        <w:t>regulate the timing of neuronal differentiation during development</w:t>
      </w:r>
      <w:r w:rsidRPr="000915AB">
        <w:rPr>
          <w:rFonts w:ascii="Book Antiqua" w:eastAsia="Book Antiqua" w:hAnsi="Book Antiqua" w:cs="Book Antiqua"/>
          <w:color w:val="000000"/>
          <w:vertAlign w:val="superscript"/>
        </w:rPr>
        <w:t>[11]</w:t>
      </w:r>
      <w:r w:rsidRPr="000915AB">
        <w:rPr>
          <w:rFonts w:ascii="Book Antiqua" w:eastAsia="Book Antiqua" w:hAnsi="Book Antiqua" w:cs="Book Antiqua"/>
          <w:color w:val="000000"/>
        </w:rPr>
        <w:t xml:space="preserve">. </w:t>
      </w:r>
      <w:r w:rsidR="005C0364">
        <w:rPr>
          <w:rFonts w:ascii="Book Antiqua" w:eastAsia="Book Antiqua" w:hAnsi="Book Antiqua" w:cs="Book Antiqua"/>
          <w:color w:val="000000"/>
        </w:rPr>
        <w:t>The o</w:t>
      </w:r>
      <w:r w:rsidRPr="000915AB">
        <w:rPr>
          <w:rFonts w:ascii="Book Antiqua" w:eastAsia="Book Antiqua" w:hAnsi="Book Antiqua" w:cs="Book Antiqua"/>
          <w:color w:val="000000"/>
        </w:rPr>
        <w:t xml:space="preserve">lfactomedin domain-containing protein that has been studied most comprehensively is myocilin encoded by </w:t>
      </w:r>
      <w:r w:rsidR="005C0364">
        <w:rPr>
          <w:rFonts w:ascii="Book Antiqua" w:eastAsia="Book Antiqua" w:hAnsi="Book Antiqua" w:cs="Book Antiqua"/>
          <w:color w:val="000000"/>
        </w:rPr>
        <w:t xml:space="preserve">the </w:t>
      </w:r>
      <w:r w:rsidRPr="000915AB">
        <w:rPr>
          <w:rFonts w:ascii="Book Antiqua" w:eastAsia="Book Antiqua" w:hAnsi="Book Antiqua" w:cs="Book Antiqua"/>
          <w:i/>
          <w:iCs/>
          <w:color w:val="000000"/>
        </w:rPr>
        <w:t xml:space="preserve">MYOC </w:t>
      </w:r>
      <w:r w:rsidRPr="000915AB">
        <w:rPr>
          <w:rFonts w:ascii="Book Antiqua" w:eastAsia="Book Antiqua" w:hAnsi="Book Antiqua" w:cs="Book Antiqua"/>
          <w:color w:val="000000"/>
        </w:rPr>
        <w:t xml:space="preserve">gene. Through phylogenetic analysis in humans, it was suggested that </w:t>
      </w:r>
      <w:r w:rsidRPr="000915AB">
        <w:rPr>
          <w:rFonts w:ascii="Book Antiqua" w:eastAsia="Book Antiqua" w:hAnsi="Book Antiqua" w:cs="Book Antiqua"/>
          <w:i/>
          <w:iCs/>
          <w:color w:val="000000"/>
        </w:rPr>
        <w:t>MYOC</w:t>
      </w:r>
      <w:r w:rsidRPr="000915AB">
        <w:rPr>
          <w:rFonts w:ascii="Book Antiqua" w:eastAsia="Book Antiqua" w:hAnsi="Book Antiqua" w:cs="Book Antiqua"/>
          <w:color w:val="000000"/>
        </w:rPr>
        <w:t xml:space="preserve"> may have evolved from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through gene duplication followed by exon fusion, which may partially explain a 31% homology between </w:t>
      </w:r>
      <w:r w:rsidRPr="000915AB">
        <w:rPr>
          <w:rFonts w:ascii="Book Antiqua" w:eastAsia="Book Antiqua" w:hAnsi="Book Antiqua" w:cs="Book Antiqua"/>
          <w:i/>
          <w:iCs/>
          <w:color w:val="000000"/>
        </w:rPr>
        <w:t>MYOC</w:t>
      </w:r>
      <w:r w:rsidRPr="000915AB">
        <w:rPr>
          <w:rFonts w:ascii="Book Antiqua" w:eastAsia="Book Antiqua" w:hAnsi="Book Antiqua" w:cs="Book Antiqua"/>
          <w:color w:val="000000"/>
        </w:rPr>
        <w:t xml:space="preserve"> and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vertAlign w:val="superscript"/>
        </w:rPr>
        <w:t>[12]</w:t>
      </w:r>
      <w:r w:rsidRPr="000915AB">
        <w:rPr>
          <w:rFonts w:ascii="Book Antiqua" w:eastAsia="Book Antiqua" w:hAnsi="Book Antiqua" w:cs="Book Antiqua"/>
          <w:color w:val="000000"/>
        </w:rPr>
        <w:t>.</w:t>
      </w:r>
      <w:r w:rsidRPr="000915AB">
        <w:rPr>
          <w:rFonts w:ascii="Book Antiqua" w:eastAsia="Book Antiqua" w:hAnsi="Book Antiqua" w:cs="Book Antiqua"/>
          <w:i/>
          <w:iCs/>
          <w:color w:val="000000"/>
        </w:rPr>
        <w:t xml:space="preserve"> MYOC </w:t>
      </w:r>
      <w:r w:rsidRPr="000915AB">
        <w:rPr>
          <w:rFonts w:ascii="Book Antiqua" w:eastAsia="Book Antiqua" w:hAnsi="Book Antiqua" w:cs="Book Antiqua"/>
          <w:color w:val="000000"/>
        </w:rPr>
        <w:t>is the first candidate gene mapped for POAG</w:t>
      </w:r>
      <w:r w:rsidR="00895504">
        <w:rPr>
          <w:rFonts w:ascii="Book Antiqua" w:eastAsia="Book Antiqua" w:hAnsi="Book Antiqua" w:cs="Book Antiqua"/>
          <w:color w:val="000000"/>
        </w:rPr>
        <w:t>.</w:t>
      </w:r>
      <w:r w:rsidRPr="000915AB">
        <w:rPr>
          <w:rFonts w:ascii="Book Antiqua" w:eastAsia="Book Antiqua" w:hAnsi="Book Antiqua" w:cs="Book Antiqua"/>
          <w:color w:val="000000"/>
        </w:rPr>
        <w:t xml:space="preserve"> </w:t>
      </w:r>
      <w:r w:rsidR="00895504">
        <w:rPr>
          <w:rFonts w:ascii="Book Antiqua" w:eastAsia="Book Antiqua" w:hAnsi="Book Antiqua" w:cs="Book Antiqua"/>
          <w:color w:val="000000"/>
        </w:rPr>
        <w:t>M</w:t>
      </w:r>
      <w:r w:rsidRPr="000915AB">
        <w:rPr>
          <w:rFonts w:ascii="Book Antiqua" w:eastAsia="Book Antiqua" w:hAnsi="Book Antiqua" w:cs="Book Antiqua"/>
          <w:color w:val="000000"/>
        </w:rPr>
        <w:t xml:space="preserve">utations </w:t>
      </w:r>
      <w:r w:rsidR="00895504">
        <w:rPr>
          <w:rFonts w:ascii="Book Antiqua" w:eastAsia="Book Antiqua" w:hAnsi="Book Antiqua" w:cs="Book Antiqua"/>
          <w:color w:val="000000"/>
        </w:rPr>
        <w:t xml:space="preserve">in </w:t>
      </w:r>
      <w:r w:rsidR="00895504">
        <w:rPr>
          <w:rFonts w:ascii="Book Antiqua" w:eastAsia="Book Antiqua" w:hAnsi="Book Antiqua" w:cs="Book Antiqua"/>
          <w:i/>
          <w:iCs/>
          <w:color w:val="000000"/>
        </w:rPr>
        <w:t xml:space="preserve">MYOC </w:t>
      </w:r>
      <w:r w:rsidRPr="000915AB">
        <w:rPr>
          <w:rFonts w:ascii="Book Antiqua" w:eastAsia="Book Antiqua" w:hAnsi="Book Antiqua" w:cs="Book Antiqua"/>
          <w:color w:val="000000"/>
        </w:rPr>
        <w:t>account for 4%-35% of adult-onset POAG and for more than 10% in JOAG</w:t>
      </w:r>
      <w:r w:rsidRPr="000915AB">
        <w:rPr>
          <w:rFonts w:ascii="Book Antiqua" w:eastAsia="Book Antiqua" w:hAnsi="Book Antiqua" w:cs="Book Antiqua"/>
          <w:color w:val="000000"/>
          <w:vertAlign w:val="superscript"/>
        </w:rPr>
        <w:t>[12-14]</w:t>
      </w:r>
      <w:r w:rsidRPr="000915AB">
        <w:rPr>
          <w:rFonts w:ascii="Book Antiqua" w:eastAsia="Book Antiqua" w:hAnsi="Book Antiqua" w:cs="Book Antiqua"/>
          <w:color w:val="000000"/>
        </w:rPr>
        <w:t xml:space="preserve">. Therefore, it is reasonable to speculate that certain mutations in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may also have detrimental effects in the development of JOAG. Funayama </w:t>
      </w:r>
      <w:r w:rsidRPr="000915AB">
        <w:rPr>
          <w:rFonts w:ascii="Book Antiqua" w:eastAsia="Book Antiqua" w:hAnsi="Book Antiqua" w:cs="Book Antiqua"/>
          <w:i/>
          <w:iCs/>
          <w:color w:val="000000"/>
        </w:rPr>
        <w:t>et al</w:t>
      </w:r>
      <w:r w:rsidR="008876FB" w:rsidRPr="000915AB">
        <w:rPr>
          <w:rFonts w:ascii="Book Antiqua" w:eastAsia="Book Antiqua" w:hAnsi="Book Antiqua" w:cs="Book Antiqua"/>
          <w:color w:val="000000"/>
          <w:vertAlign w:val="superscript"/>
        </w:rPr>
        <w:t>[15]</w:t>
      </w:r>
      <w:r w:rsidRPr="000915AB">
        <w:rPr>
          <w:rFonts w:ascii="Book Antiqua" w:eastAsia="Book Antiqua" w:hAnsi="Book Antiqua" w:cs="Book Antiqua"/>
          <w:color w:val="000000"/>
        </w:rPr>
        <w:t xml:space="preserve"> reported </w:t>
      </w:r>
      <w:r w:rsidR="00895504">
        <w:rPr>
          <w:rFonts w:ascii="Book Antiqua" w:eastAsia="Book Antiqua" w:hAnsi="Book Antiqua" w:cs="Book Antiqua"/>
          <w:color w:val="000000"/>
        </w:rPr>
        <w:t xml:space="preserve">that the </w:t>
      </w:r>
      <w:r w:rsidRPr="000915AB">
        <w:rPr>
          <w:rFonts w:ascii="Book Antiqua" w:eastAsia="Book Antiqua" w:hAnsi="Book Antiqua" w:cs="Book Antiqua"/>
          <w:color w:val="000000"/>
        </w:rPr>
        <w:t xml:space="preserve">Arg144Gln (exon 4) mutation in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might result in POAG in Japanese patients. They also found that the combination of </w:t>
      </w:r>
      <w:r w:rsidR="00435854" w:rsidRPr="000915AB">
        <w:rPr>
          <w:rFonts w:ascii="Book Antiqua" w:hAnsi="Book Antiqua"/>
        </w:rPr>
        <w:t xml:space="preserve">single nucleotide polymorphisms </w:t>
      </w:r>
      <w:r w:rsidRPr="000915AB">
        <w:rPr>
          <w:rFonts w:ascii="Book Antiqua" w:eastAsia="Book Antiqua" w:hAnsi="Book Antiqua" w:cs="Book Antiqua"/>
          <w:color w:val="000000"/>
        </w:rPr>
        <w:t xml:space="preserve">in </w:t>
      </w:r>
      <w:r w:rsidRPr="000915AB">
        <w:rPr>
          <w:rFonts w:ascii="Book Antiqua" w:eastAsia="Book Antiqua" w:hAnsi="Book Antiqua" w:cs="Book Antiqua"/>
          <w:i/>
          <w:iCs/>
          <w:color w:val="000000"/>
        </w:rPr>
        <w:t>OLFM2/317G</w:t>
      </w:r>
      <w:r w:rsidRPr="000915AB">
        <w:rPr>
          <w:rFonts w:ascii="Book Antiqua" w:eastAsia="Book Antiqua" w:hAnsi="Book Antiqua" w:cs="Book Antiqua"/>
          <w:color w:val="000000"/>
        </w:rPr>
        <w:t xml:space="preserve"> and </w:t>
      </w:r>
      <w:r w:rsidRPr="000915AB">
        <w:rPr>
          <w:rFonts w:ascii="Book Antiqua" w:eastAsia="Book Antiqua" w:hAnsi="Book Antiqua" w:cs="Book Antiqua"/>
          <w:i/>
          <w:iCs/>
          <w:color w:val="000000"/>
        </w:rPr>
        <w:t>OPTN/603A</w:t>
      </w:r>
      <w:r w:rsidRPr="000915AB">
        <w:rPr>
          <w:rFonts w:ascii="Book Antiqua" w:eastAsia="Book Antiqua" w:hAnsi="Book Antiqua" w:cs="Book Antiqua"/>
          <w:color w:val="000000"/>
        </w:rPr>
        <w:t xml:space="preserve"> was significantly associated with IOP elevation. However, their data were derived from sporadic case analysis, and there was no genetic information based on family inheritance. The origin of disease-causing mutation</w:t>
      </w:r>
      <w:r w:rsidR="009E745C" w:rsidRPr="000915AB">
        <w:rPr>
          <w:rFonts w:ascii="Book Antiqua" w:eastAsia="Book Antiqua" w:hAnsi="Book Antiqua" w:cs="Book Antiqua"/>
          <w:color w:val="000000"/>
        </w:rPr>
        <w:t>s</w:t>
      </w:r>
      <w:r w:rsidRPr="000915AB">
        <w:rPr>
          <w:rFonts w:ascii="Book Antiqua" w:eastAsia="Book Antiqua" w:hAnsi="Book Antiqua" w:cs="Book Antiqua"/>
          <w:color w:val="000000"/>
        </w:rPr>
        <w:t xml:space="preserve"> was unknown.</w:t>
      </w:r>
    </w:p>
    <w:p w14:paraId="2269FDEA" w14:textId="29248844" w:rsidR="00675CD7" w:rsidRPr="000915AB" w:rsidRDefault="004521C0" w:rsidP="000915AB">
      <w:pPr>
        <w:spacing w:line="360" w:lineRule="auto"/>
        <w:ind w:firstLineChars="100" w:firstLine="240"/>
        <w:jc w:val="both"/>
        <w:rPr>
          <w:rFonts w:ascii="Book Antiqua" w:hAnsi="Book Antiqua"/>
        </w:rPr>
      </w:pPr>
      <w:r w:rsidRPr="000915AB">
        <w:rPr>
          <w:rFonts w:ascii="Book Antiqua" w:eastAsia="Book Antiqua" w:hAnsi="Book Antiqua" w:cs="Book Antiqua"/>
          <w:color w:val="000000"/>
        </w:rPr>
        <w:t xml:space="preserve">Loss of </w:t>
      </w:r>
      <w:r w:rsidR="00675CD7" w:rsidRPr="000915AB">
        <w:rPr>
          <w:rFonts w:ascii="Book Antiqua" w:eastAsia="Book Antiqua" w:hAnsi="Book Antiqua" w:cs="Book Antiqua"/>
          <w:color w:val="000000"/>
        </w:rPr>
        <w:t>retinal ganglion cells (</w:t>
      </w:r>
      <w:r w:rsidRPr="000915AB">
        <w:rPr>
          <w:rFonts w:ascii="Book Antiqua" w:eastAsia="Book Antiqua" w:hAnsi="Book Antiqua" w:cs="Book Antiqua"/>
          <w:color w:val="000000"/>
        </w:rPr>
        <w:t>RGCs</w:t>
      </w:r>
      <w:r w:rsidR="00675CD7" w:rsidRPr="000915AB">
        <w:rPr>
          <w:rFonts w:ascii="Book Antiqua" w:eastAsia="Book Antiqua" w:hAnsi="Book Antiqua" w:cs="Book Antiqua"/>
          <w:color w:val="000000"/>
        </w:rPr>
        <w:t>)</w:t>
      </w:r>
      <w:r w:rsidRPr="000915AB">
        <w:rPr>
          <w:rFonts w:ascii="Book Antiqua" w:eastAsia="Book Antiqua" w:hAnsi="Book Antiqua" w:cs="Book Antiqua"/>
          <w:color w:val="000000"/>
        </w:rPr>
        <w:t xml:space="preserve"> and their axons are the primary diagnostic pathology in glaucoma. </w:t>
      </w:r>
      <w:r w:rsidR="008E61F6">
        <w:rPr>
          <w:rFonts w:ascii="Book Antiqua" w:eastAsia="Book Antiqua" w:hAnsi="Book Antiqua" w:cs="Book Antiqua"/>
          <w:color w:val="000000"/>
        </w:rPr>
        <w:t>W</w:t>
      </w:r>
      <w:r w:rsidRPr="000915AB">
        <w:rPr>
          <w:rFonts w:ascii="Book Antiqua" w:eastAsia="Book Antiqua" w:hAnsi="Book Antiqua" w:cs="Book Antiqua"/>
          <w:color w:val="000000"/>
        </w:rPr>
        <w:t>e have long known that the retina and optic nerve are embryonically and structurally part of the brain. Numerous studies have attempted to establish connections between glaucoma and neurodegeneration in the brain</w:t>
      </w:r>
      <w:r w:rsidRPr="000915AB">
        <w:rPr>
          <w:rFonts w:ascii="Book Antiqua" w:eastAsia="Book Antiqua" w:hAnsi="Book Antiqua" w:cs="Book Antiqua"/>
          <w:color w:val="000000"/>
          <w:vertAlign w:val="superscript"/>
        </w:rPr>
        <w:t>[16,17]</w:t>
      </w:r>
      <w:r w:rsidRPr="000915AB">
        <w:rPr>
          <w:rFonts w:ascii="Book Antiqua" w:eastAsia="Book Antiqua" w:hAnsi="Book Antiqua" w:cs="Book Antiqua"/>
          <w:color w:val="000000"/>
        </w:rPr>
        <w:t xml:space="preserve">. Previously, it was reported that </w:t>
      </w:r>
      <w:r w:rsidRPr="000915AB">
        <w:rPr>
          <w:rFonts w:ascii="Book Antiqua" w:eastAsia="Book Antiqua" w:hAnsi="Book Antiqua" w:cs="Book Antiqua"/>
          <w:i/>
          <w:iCs/>
          <w:color w:val="000000"/>
        </w:rPr>
        <w:t xml:space="preserve">OLFM2 </w:t>
      </w:r>
      <w:r w:rsidR="00996EE4">
        <w:rPr>
          <w:rFonts w:ascii="Book Antiqua" w:eastAsia="Book Antiqua" w:hAnsi="Book Antiqua" w:cs="Book Antiqua"/>
          <w:color w:val="000000"/>
        </w:rPr>
        <w:t>wa</w:t>
      </w:r>
      <w:r w:rsidRPr="000915AB">
        <w:rPr>
          <w:rFonts w:ascii="Book Antiqua" w:eastAsia="Book Antiqua" w:hAnsi="Book Antiqua" w:cs="Book Antiqua"/>
          <w:color w:val="000000"/>
        </w:rPr>
        <w:t>s mainly expressed in the olfactory bulb, cortex, piriform cortex, olfactory trabeculae</w:t>
      </w:r>
      <w:r w:rsidR="00996EE4">
        <w:rPr>
          <w:rFonts w:ascii="Book Antiqua" w:eastAsia="Book Antiqua" w:hAnsi="Book Antiqua" w:cs="Book Antiqua"/>
          <w:color w:val="000000"/>
        </w:rPr>
        <w:t xml:space="preserve"> and</w:t>
      </w:r>
      <w:r w:rsidRPr="000915AB">
        <w:rPr>
          <w:rFonts w:ascii="Book Antiqua" w:eastAsia="Book Antiqua" w:hAnsi="Book Antiqua" w:cs="Book Antiqua"/>
          <w:color w:val="000000"/>
        </w:rPr>
        <w:t xml:space="preserve"> inferior and superior colliculus in the brain. Functional investigation using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-KO</w:t>
      </w:r>
      <w:r w:rsidRPr="000915AB">
        <w:rPr>
          <w:rFonts w:ascii="Book Antiqua" w:eastAsia="Book Antiqua" w:hAnsi="Book Antiqua" w:cs="Book Antiqua"/>
          <w:color w:val="000000"/>
          <w:vertAlign w:val="superscript"/>
        </w:rPr>
        <w:t>LacZ</w:t>
      </w:r>
      <w:r w:rsidRPr="000915AB">
        <w:rPr>
          <w:rFonts w:ascii="Book Antiqua" w:eastAsia="Book Antiqua" w:hAnsi="Book Antiqua" w:cs="Book Antiqua"/>
          <w:color w:val="000000"/>
        </w:rPr>
        <w:t xml:space="preserve"> mice demonstrate</w:t>
      </w:r>
      <w:r w:rsidR="00996EE4">
        <w:rPr>
          <w:rFonts w:ascii="Book Antiqua" w:eastAsia="Book Antiqua" w:hAnsi="Book Antiqua" w:cs="Book Antiqua"/>
          <w:color w:val="000000"/>
        </w:rPr>
        <w:t>d</w:t>
      </w:r>
      <w:r w:rsidRPr="000915AB">
        <w:rPr>
          <w:rFonts w:ascii="Book Antiqua" w:eastAsia="Book Antiqua" w:hAnsi="Book Antiqua" w:cs="Book Antiqua"/>
          <w:color w:val="000000"/>
        </w:rPr>
        <w:t xml:space="preserve"> that the loss of </w:t>
      </w:r>
      <w:r w:rsidRPr="000915AB">
        <w:rPr>
          <w:rFonts w:ascii="Book Antiqua" w:eastAsia="Book Antiqua" w:hAnsi="Book Antiqua" w:cs="Book Antiqua"/>
          <w:i/>
          <w:iCs/>
          <w:color w:val="000000"/>
        </w:rPr>
        <w:t xml:space="preserve">Olfm2 </w:t>
      </w:r>
      <w:r w:rsidRPr="000915AB">
        <w:rPr>
          <w:rFonts w:ascii="Book Antiqua" w:eastAsia="Book Antiqua" w:hAnsi="Book Antiqua" w:cs="Book Antiqua"/>
          <w:color w:val="000000"/>
        </w:rPr>
        <w:t>cause</w:t>
      </w:r>
      <w:r w:rsidR="00996EE4">
        <w:rPr>
          <w:rFonts w:ascii="Book Antiqua" w:eastAsia="Book Antiqua" w:hAnsi="Book Antiqua" w:cs="Book Antiqua"/>
          <w:color w:val="000000"/>
        </w:rPr>
        <w:t>d</w:t>
      </w:r>
      <w:r w:rsidRPr="000915AB">
        <w:rPr>
          <w:rFonts w:ascii="Book Antiqua" w:eastAsia="Book Antiqua" w:hAnsi="Book Antiqua" w:cs="Book Antiqua"/>
          <w:color w:val="000000"/>
        </w:rPr>
        <w:t xml:space="preserve"> a reduction of synaptic proteins in the brain and the retina</w:t>
      </w:r>
      <w:r w:rsidRPr="000915AB">
        <w:rPr>
          <w:rFonts w:ascii="Book Antiqua" w:eastAsia="Book Antiqua" w:hAnsi="Book Antiqua" w:cs="Book Antiqua"/>
          <w:color w:val="000000"/>
          <w:vertAlign w:val="superscript"/>
        </w:rPr>
        <w:t>[18]</w:t>
      </w:r>
      <w:r w:rsidRPr="000915AB">
        <w:rPr>
          <w:rFonts w:ascii="Book Antiqua" w:eastAsia="Book Antiqua" w:hAnsi="Book Antiqua" w:cs="Book Antiqua"/>
          <w:color w:val="000000"/>
        </w:rPr>
        <w:t xml:space="preserve">. Although not systemically investigated, the impairment of synaptic connections between neurons within the retina and the brain can potentially affect structural and functional integrity of RGCs and their axons. Interestingly, it was shown that genetic mutant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in</w:t>
      </w:r>
      <w:r w:rsidRPr="000915AB">
        <w:rPr>
          <w:rFonts w:ascii="Book Antiqua" w:eastAsia="Book Antiqua" w:hAnsi="Book Antiqua" w:cs="Book Antiqua"/>
          <w:i/>
          <w:iCs/>
          <w:color w:val="000000"/>
        </w:rPr>
        <w:t xml:space="preserve"> </w:t>
      </w:r>
      <w:r w:rsidRPr="000915AB">
        <w:rPr>
          <w:rFonts w:ascii="Book Antiqua" w:eastAsia="Book Antiqua" w:hAnsi="Book Antiqua" w:cs="Book Antiqua"/>
          <w:color w:val="000000"/>
        </w:rPr>
        <w:t xml:space="preserve">mouse </w:t>
      </w:r>
      <w:r w:rsidR="00996EE4">
        <w:rPr>
          <w:rFonts w:ascii="Book Antiqua" w:eastAsia="Book Antiqua" w:hAnsi="Book Antiqua" w:cs="Book Antiqua"/>
          <w:color w:val="000000"/>
        </w:rPr>
        <w:t>wa</w:t>
      </w:r>
      <w:r w:rsidRPr="000915AB">
        <w:rPr>
          <w:rFonts w:ascii="Book Antiqua" w:eastAsia="Book Antiqua" w:hAnsi="Book Antiqua" w:cs="Book Antiqua"/>
          <w:color w:val="000000"/>
        </w:rPr>
        <w:t>s associated with abnormal psychological phenotypes such as anxiety and reduced levels of exploratory and locomotor activities</w:t>
      </w:r>
      <w:r w:rsidRPr="000915AB">
        <w:rPr>
          <w:rFonts w:ascii="Book Antiqua" w:eastAsia="Book Antiqua" w:hAnsi="Book Antiqua" w:cs="Book Antiqua"/>
          <w:color w:val="000000"/>
          <w:vertAlign w:val="superscript"/>
        </w:rPr>
        <w:t>[18]</w:t>
      </w:r>
      <w:r w:rsidRPr="000915AB">
        <w:rPr>
          <w:rFonts w:ascii="Book Antiqua" w:eastAsia="Book Antiqua" w:hAnsi="Book Antiqua" w:cs="Book Antiqua"/>
          <w:color w:val="000000"/>
        </w:rPr>
        <w:t>, while ours and various other studies have shown that psychological conditions such as anxiety are strongly connected with the incidence of POAG</w:t>
      </w:r>
      <w:r w:rsidRPr="000915AB">
        <w:rPr>
          <w:rFonts w:ascii="Book Antiqua" w:eastAsia="Book Antiqua" w:hAnsi="Book Antiqua" w:cs="Book Antiqua"/>
          <w:color w:val="000000"/>
          <w:vertAlign w:val="superscript"/>
        </w:rPr>
        <w:t>[19-21</w:t>
      </w:r>
      <w:r w:rsidR="00622607">
        <w:rPr>
          <w:rFonts w:ascii="Book Antiqua" w:eastAsia="Book Antiqua" w:hAnsi="Book Antiqua" w:cs="Book Antiqua"/>
          <w:color w:val="000000"/>
          <w:vertAlign w:val="superscript"/>
        </w:rPr>
        <w:t xml:space="preserve">] </w:t>
      </w:r>
      <w:r w:rsidR="00622607" w:rsidRPr="00CE3765">
        <w:rPr>
          <w:rFonts w:ascii="Book Antiqua" w:eastAsia="Book Antiqua" w:hAnsi="Book Antiqua" w:cs="Book Antiqua"/>
          <w:color w:val="000000"/>
        </w:rPr>
        <w:t>likely</w:t>
      </w:r>
      <w:r w:rsidRPr="00622607">
        <w:rPr>
          <w:rFonts w:ascii="Book Antiqua" w:eastAsia="Book Antiqua" w:hAnsi="Book Antiqua" w:cs="Book Antiqua"/>
          <w:color w:val="000000"/>
        </w:rPr>
        <w:t xml:space="preserve"> </w:t>
      </w:r>
      <w:r w:rsidRPr="000915AB">
        <w:rPr>
          <w:rFonts w:ascii="Book Antiqua" w:eastAsia="Book Antiqua" w:hAnsi="Book Antiqua" w:cs="Book Antiqua"/>
          <w:color w:val="000000"/>
        </w:rPr>
        <w:t xml:space="preserve">through reduced retrograde axonal transport of neurotropic factors, such as </w:t>
      </w:r>
      <w:r w:rsidR="00675CD7" w:rsidRPr="000915AB">
        <w:rPr>
          <w:rFonts w:ascii="Book Antiqua" w:eastAsia="Book Antiqua" w:hAnsi="Book Antiqua" w:cs="Book Antiqua"/>
          <w:color w:val="000000"/>
        </w:rPr>
        <w:t>brain-derived neurotrophic factor</w:t>
      </w:r>
      <w:r w:rsidRPr="000915AB">
        <w:rPr>
          <w:rFonts w:ascii="Book Antiqua" w:eastAsia="Book Antiqua" w:hAnsi="Book Antiqua" w:cs="Book Antiqua"/>
          <w:color w:val="000000"/>
        </w:rPr>
        <w:t xml:space="preserve">. Taken together,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is likely a candidate gene for POAG/JOAG.</w:t>
      </w:r>
    </w:p>
    <w:p w14:paraId="2C50E1F6" w14:textId="26AC5C5D" w:rsidR="00675CD7" w:rsidRPr="000915AB" w:rsidRDefault="004521C0" w:rsidP="000915AB">
      <w:pPr>
        <w:spacing w:line="360" w:lineRule="auto"/>
        <w:ind w:firstLineChars="100" w:firstLine="240"/>
        <w:jc w:val="both"/>
        <w:rPr>
          <w:rFonts w:ascii="Book Antiqua" w:hAnsi="Book Antiqua"/>
        </w:rPr>
      </w:pP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is also known as </w:t>
      </w:r>
      <w:r w:rsidRPr="000915AB">
        <w:rPr>
          <w:rFonts w:ascii="Book Antiqua" w:eastAsia="Book Antiqua" w:hAnsi="Book Antiqua" w:cs="Book Antiqua"/>
          <w:i/>
          <w:iCs/>
          <w:color w:val="000000"/>
        </w:rPr>
        <w:t>OPTX2</w:t>
      </w:r>
      <w:r w:rsidRPr="000915AB">
        <w:rPr>
          <w:rFonts w:ascii="Book Antiqua" w:eastAsia="Book Antiqua" w:hAnsi="Book Antiqua" w:cs="Book Antiqua"/>
          <w:color w:val="000000"/>
        </w:rPr>
        <w:t xml:space="preserve">, which belongs to the SIX/Sine oculis homeobox family that covers 1 homeobox DNA-binding domain. </w:t>
      </w:r>
      <w:r w:rsidR="00622607">
        <w:rPr>
          <w:rFonts w:ascii="Book Antiqua" w:eastAsia="Book Antiqua" w:hAnsi="Book Antiqua" w:cs="Book Antiqua"/>
          <w:color w:val="000000"/>
        </w:rPr>
        <w:t>V</w:t>
      </w:r>
      <w:r w:rsidRPr="000915AB">
        <w:rPr>
          <w:rFonts w:ascii="Book Antiqua" w:eastAsia="Book Antiqua" w:hAnsi="Book Antiqua" w:cs="Book Antiqua"/>
          <w:color w:val="000000"/>
        </w:rPr>
        <w:t>arious reports on pathogenic mutations in</w:t>
      </w:r>
      <w:r w:rsidRPr="000915AB">
        <w:rPr>
          <w:rFonts w:ascii="Book Antiqua" w:eastAsia="Book Antiqua" w:hAnsi="Book Antiqua" w:cs="Book Antiqua"/>
          <w:i/>
          <w:iCs/>
          <w:color w:val="000000"/>
        </w:rPr>
        <w:t xml:space="preserve"> SIX6 </w:t>
      </w:r>
      <w:r w:rsidRPr="000915AB">
        <w:rPr>
          <w:rFonts w:ascii="Book Antiqua" w:eastAsia="Book Antiqua" w:hAnsi="Book Antiqua" w:cs="Book Antiqua"/>
          <w:color w:val="000000"/>
        </w:rPr>
        <w:t xml:space="preserve">have been connected to POAG. The connection between </w:t>
      </w:r>
      <w:r w:rsidR="00435854" w:rsidRPr="000915AB">
        <w:rPr>
          <w:rFonts w:ascii="Book Antiqua" w:hAnsi="Book Antiqua"/>
        </w:rPr>
        <w:t>single nucleotide polymorphisms</w:t>
      </w:r>
      <w:r w:rsidRPr="000915AB">
        <w:rPr>
          <w:rFonts w:ascii="Book Antiqua" w:eastAsia="Book Antiqua" w:hAnsi="Book Antiqua" w:cs="Book Antiqua"/>
          <w:color w:val="000000"/>
        </w:rPr>
        <w:t xml:space="preserve"> (rs33912345, rs10483727 and rs12436579) in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and POAG </w:t>
      </w:r>
      <w:r w:rsidR="00E6108A">
        <w:rPr>
          <w:rFonts w:ascii="Book Antiqua" w:eastAsia="Book Antiqua" w:hAnsi="Book Antiqua" w:cs="Book Antiqua"/>
          <w:color w:val="000000"/>
        </w:rPr>
        <w:t>wa</w:t>
      </w:r>
      <w:r w:rsidRPr="000915AB">
        <w:rPr>
          <w:rFonts w:ascii="Book Antiqua" w:eastAsia="Book Antiqua" w:hAnsi="Book Antiqua" w:cs="Book Antiqua"/>
          <w:color w:val="000000"/>
        </w:rPr>
        <w:t>s established by genome-wide association studies</w:t>
      </w:r>
      <w:r w:rsidRPr="000915AB">
        <w:rPr>
          <w:rFonts w:ascii="Book Antiqua" w:eastAsia="Book Antiqua" w:hAnsi="Book Antiqua" w:cs="Book Antiqua"/>
          <w:color w:val="000000"/>
          <w:vertAlign w:val="superscript"/>
        </w:rPr>
        <w:t>[22,23]</w:t>
      </w:r>
      <w:r w:rsidRPr="000915AB">
        <w:rPr>
          <w:rFonts w:ascii="Book Antiqua" w:eastAsia="Book Antiqua" w:hAnsi="Book Antiqua" w:cs="Book Antiqua"/>
          <w:color w:val="000000"/>
        </w:rPr>
        <w:t xml:space="preserve">. Another study including POAG patients with missense variant in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(rs33912345) show</w:t>
      </w:r>
      <w:r w:rsidR="00E6108A">
        <w:rPr>
          <w:rFonts w:ascii="Book Antiqua" w:eastAsia="Book Antiqua" w:hAnsi="Book Antiqua" w:cs="Book Antiqua"/>
          <w:color w:val="000000"/>
        </w:rPr>
        <w:t>ed</w:t>
      </w:r>
      <w:r w:rsidRPr="000915AB">
        <w:rPr>
          <w:rFonts w:ascii="Book Antiqua" w:eastAsia="Book Antiqua" w:hAnsi="Book Antiqua" w:cs="Book Antiqua"/>
          <w:color w:val="000000"/>
        </w:rPr>
        <w:t xml:space="preserve"> that a smaller optic disc rim area, larger vertical cup-disc ratio and significantly decreased average nerve fiber layer thickness are detected in patients with homozygous mutation</w:t>
      </w:r>
      <w:r w:rsidR="00E6108A">
        <w:rPr>
          <w:rFonts w:ascii="Book Antiqua" w:eastAsia="Book Antiqua" w:hAnsi="Book Antiqua" w:cs="Book Antiqua"/>
          <w:color w:val="000000"/>
        </w:rPr>
        <w:t>s</w:t>
      </w:r>
      <w:r w:rsidRPr="000915AB">
        <w:rPr>
          <w:rFonts w:ascii="Book Antiqua" w:eastAsia="Book Antiqua" w:hAnsi="Book Antiqua" w:cs="Book Antiqua"/>
          <w:color w:val="000000"/>
        </w:rPr>
        <w:t xml:space="preserve"> in contrast to those with </w:t>
      </w:r>
      <w:r w:rsidR="00E6108A">
        <w:rPr>
          <w:rFonts w:ascii="Book Antiqua" w:eastAsia="Book Antiqua" w:hAnsi="Book Antiqua" w:cs="Book Antiqua"/>
          <w:color w:val="000000"/>
        </w:rPr>
        <w:t xml:space="preserve">the </w:t>
      </w:r>
      <w:r w:rsidRPr="000915AB">
        <w:rPr>
          <w:rFonts w:ascii="Book Antiqua" w:eastAsia="Book Antiqua" w:hAnsi="Book Antiqua" w:cs="Book Antiqua"/>
          <w:color w:val="000000"/>
        </w:rPr>
        <w:t>nonrisk allele</w:t>
      </w:r>
      <w:r w:rsidRPr="000915AB">
        <w:rPr>
          <w:rFonts w:ascii="Book Antiqua" w:eastAsia="Book Antiqua" w:hAnsi="Book Antiqua" w:cs="Book Antiqua"/>
          <w:color w:val="000000"/>
          <w:vertAlign w:val="superscript"/>
        </w:rPr>
        <w:t>[24,25]</w:t>
      </w:r>
      <w:r w:rsidRPr="000915AB">
        <w:rPr>
          <w:rFonts w:ascii="Book Antiqua" w:eastAsia="Book Antiqua" w:hAnsi="Book Antiqua" w:cs="Book Antiqua"/>
          <w:color w:val="000000"/>
        </w:rPr>
        <w:t>. It was found in another study that clinical features in POAG patients appear to be dependent on</w:t>
      </w:r>
      <w:r w:rsidR="002A5127">
        <w:rPr>
          <w:rFonts w:ascii="Book Antiqua" w:eastAsia="Book Antiqua" w:hAnsi="Book Antiqua" w:cs="Book Antiqua"/>
          <w:color w:val="000000"/>
        </w:rPr>
        <w:t xml:space="preserve"> the</w:t>
      </w:r>
      <w:r w:rsidRPr="000915AB">
        <w:rPr>
          <w:rFonts w:ascii="Book Antiqua" w:eastAsia="Book Antiqua" w:hAnsi="Book Antiqua" w:cs="Book Antiqua"/>
          <w:color w:val="000000"/>
        </w:rPr>
        <w:t xml:space="preserve">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genotype</w:t>
      </w:r>
      <w:r w:rsidRPr="000915AB">
        <w:rPr>
          <w:rFonts w:ascii="Book Antiqua" w:eastAsia="Book Antiqua" w:hAnsi="Book Antiqua" w:cs="Book Antiqua"/>
          <w:color w:val="000000"/>
          <w:vertAlign w:val="superscript"/>
        </w:rPr>
        <w:t>[26]</w:t>
      </w:r>
      <w:r w:rsidRPr="000915AB">
        <w:rPr>
          <w:rFonts w:ascii="Book Antiqua" w:eastAsia="Book Antiqua" w:hAnsi="Book Antiqua" w:cs="Book Antiqua"/>
          <w:color w:val="000000"/>
        </w:rPr>
        <w:t>.</w:t>
      </w:r>
    </w:p>
    <w:p w14:paraId="566E860B" w14:textId="7601EEF1" w:rsidR="00675CD7" w:rsidRPr="000915AB" w:rsidRDefault="004521C0" w:rsidP="000915AB">
      <w:pPr>
        <w:spacing w:line="360" w:lineRule="auto"/>
        <w:ind w:firstLineChars="100" w:firstLine="240"/>
        <w:jc w:val="both"/>
        <w:rPr>
          <w:rFonts w:ascii="Book Antiqua" w:hAnsi="Book Antiqua"/>
        </w:rPr>
      </w:pPr>
      <w:r w:rsidRPr="000915AB">
        <w:rPr>
          <w:rFonts w:ascii="Book Antiqua" w:eastAsia="Book Antiqua" w:hAnsi="Book Antiqua" w:cs="Book Antiqua"/>
          <w:color w:val="000000"/>
        </w:rPr>
        <w:t>In our study, we f</w:t>
      </w:r>
      <w:r w:rsidR="002A5127">
        <w:rPr>
          <w:rFonts w:ascii="Book Antiqua" w:eastAsia="Book Antiqua" w:hAnsi="Book Antiqua" w:cs="Book Antiqua"/>
          <w:color w:val="000000"/>
        </w:rPr>
        <w:t>ou</w:t>
      </w:r>
      <w:r w:rsidRPr="000915AB">
        <w:rPr>
          <w:rFonts w:ascii="Book Antiqua" w:eastAsia="Book Antiqua" w:hAnsi="Book Antiqua" w:cs="Book Antiqua"/>
          <w:color w:val="000000"/>
        </w:rPr>
        <w:t xml:space="preserve">nd two missense mutations in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(c.281G&gt;A, p.Arg94His) and </w:t>
      </w:r>
      <w:r w:rsidRPr="000915AB">
        <w:rPr>
          <w:rFonts w:ascii="Book Antiqua" w:eastAsia="Book Antiqua" w:hAnsi="Book Antiqua" w:cs="Book Antiqua"/>
          <w:i/>
          <w:iCs/>
          <w:color w:val="000000"/>
        </w:rPr>
        <w:t xml:space="preserve">SIX6 </w:t>
      </w:r>
      <w:r w:rsidRPr="000915AB">
        <w:rPr>
          <w:rFonts w:ascii="Book Antiqua" w:eastAsia="Book Antiqua" w:hAnsi="Book Antiqua" w:cs="Book Antiqua"/>
          <w:color w:val="000000"/>
        </w:rPr>
        <w:t xml:space="preserve">(c.177C&gt;G, p.Ile59Met) by WGS </w:t>
      </w:r>
      <w:r w:rsidR="002A5127">
        <w:rPr>
          <w:rFonts w:ascii="Book Antiqua" w:eastAsia="Book Antiqua" w:hAnsi="Book Antiqua" w:cs="Book Antiqua"/>
          <w:color w:val="000000"/>
        </w:rPr>
        <w:t>i</w:t>
      </w:r>
      <w:r w:rsidR="002A5127" w:rsidRPr="000915AB">
        <w:rPr>
          <w:rFonts w:ascii="Book Antiqua" w:eastAsia="Book Antiqua" w:hAnsi="Book Antiqua" w:cs="Book Antiqua"/>
          <w:color w:val="000000"/>
        </w:rPr>
        <w:t xml:space="preserve">n </w:t>
      </w:r>
      <w:r w:rsidRPr="000915AB">
        <w:rPr>
          <w:rFonts w:ascii="Book Antiqua" w:eastAsia="Book Antiqua" w:hAnsi="Book Antiqua" w:cs="Book Antiqua"/>
          <w:color w:val="000000"/>
        </w:rPr>
        <w:t xml:space="preserve">a trio. Interestingly, the proband with JOAG </w:t>
      </w:r>
      <w:r w:rsidR="002A5127">
        <w:rPr>
          <w:rFonts w:ascii="Book Antiqua" w:eastAsia="Book Antiqua" w:hAnsi="Book Antiqua" w:cs="Book Antiqua"/>
          <w:color w:val="000000"/>
        </w:rPr>
        <w:t xml:space="preserve">coinherited </w:t>
      </w:r>
      <w:r w:rsidR="006A4378">
        <w:rPr>
          <w:rFonts w:ascii="Book Antiqua" w:eastAsia="Book Antiqua" w:hAnsi="Book Antiqua" w:cs="Book Antiqua"/>
          <w:color w:val="000000"/>
        </w:rPr>
        <w:t xml:space="preserve">one mutation </w:t>
      </w:r>
      <w:r w:rsidRPr="000915AB">
        <w:rPr>
          <w:rFonts w:ascii="Book Antiqua" w:eastAsia="Book Antiqua" w:hAnsi="Book Antiqua" w:cs="Book Antiqua"/>
          <w:color w:val="000000"/>
        </w:rPr>
        <w:t xml:space="preserve">from </w:t>
      </w:r>
      <w:r w:rsidR="006A4378">
        <w:rPr>
          <w:rFonts w:ascii="Book Antiqua" w:eastAsia="Book Antiqua" w:hAnsi="Book Antiqua" w:cs="Book Antiqua"/>
          <w:color w:val="000000"/>
        </w:rPr>
        <w:t>each</w:t>
      </w:r>
      <w:r w:rsidRPr="000915AB">
        <w:rPr>
          <w:rFonts w:ascii="Book Antiqua" w:eastAsia="Book Antiqua" w:hAnsi="Book Antiqua" w:cs="Book Antiqua"/>
          <w:color w:val="000000"/>
        </w:rPr>
        <w:t xml:space="preserve"> parent. Furthermore, we included another nine trios with a JOAG proband and unaffected parents to verify the deleterious mutations. However, we did not find</w:t>
      </w:r>
      <w:r w:rsidR="006A4378">
        <w:rPr>
          <w:rFonts w:ascii="Book Antiqua" w:eastAsia="Book Antiqua" w:hAnsi="Book Antiqua" w:cs="Book Antiqua"/>
          <w:color w:val="000000"/>
        </w:rPr>
        <w:t xml:space="preserve"> any</w:t>
      </w:r>
      <w:r w:rsidRPr="000915AB">
        <w:rPr>
          <w:rFonts w:ascii="Book Antiqua" w:eastAsia="Book Antiqua" w:hAnsi="Book Antiqua" w:cs="Book Antiqua"/>
          <w:color w:val="000000"/>
        </w:rPr>
        <w:t xml:space="preserve"> duplicate cases due to</w:t>
      </w:r>
      <w:r w:rsidR="006A4378">
        <w:rPr>
          <w:rFonts w:ascii="Book Antiqua" w:eastAsia="Book Antiqua" w:hAnsi="Book Antiqua" w:cs="Book Antiqua"/>
          <w:color w:val="000000"/>
        </w:rPr>
        <w:t xml:space="preserve"> an</w:t>
      </w:r>
      <w:r w:rsidRPr="000915AB">
        <w:rPr>
          <w:rFonts w:ascii="Book Antiqua" w:eastAsia="Book Antiqua" w:hAnsi="Book Antiqua" w:cs="Book Antiqua"/>
          <w:color w:val="000000"/>
        </w:rPr>
        <w:t xml:space="preserve"> insufficient number of trios. Nevertheless, combined with various functional studies on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and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mutations, we still suspect</w:t>
      </w:r>
      <w:r w:rsidR="00C917EA">
        <w:rPr>
          <w:rFonts w:ascii="Book Antiqua" w:eastAsia="Book Antiqua" w:hAnsi="Book Antiqua" w:cs="Book Antiqua"/>
          <w:color w:val="000000"/>
        </w:rPr>
        <w:t>ed</w:t>
      </w:r>
      <w:r w:rsidRPr="000915AB">
        <w:rPr>
          <w:rFonts w:ascii="Book Antiqua" w:eastAsia="Book Antiqua" w:hAnsi="Book Antiqua" w:cs="Book Antiqua"/>
          <w:color w:val="000000"/>
        </w:rPr>
        <w:t xml:space="preserve"> the coinherited variants might contribute to occurrence of JOAG. Based on data from the FANTOM5 dataset</w:t>
      </w:r>
      <w:r w:rsidRPr="000915AB">
        <w:rPr>
          <w:rFonts w:ascii="Book Antiqua" w:eastAsia="Book Antiqua" w:hAnsi="Book Antiqua" w:cs="Book Antiqua"/>
          <w:color w:val="000000"/>
          <w:vertAlign w:val="superscript"/>
        </w:rPr>
        <w:t>[27,28]</w:t>
      </w:r>
      <w:r w:rsidRPr="000915AB">
        <w:rPr>
          <w:rFonts w:ascii="Book Antiqua" w:eastAsia="Book Antiqua" w:hAnsi="Book Antiqua" w:cs="Book Antiqua"/>
          <w:color w:val="000000"/>
        </w:rPr>
        <w:t xml:space="preserve">,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and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are both expressed in the human retina. In mice,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is mainly detected in RGC</w:t>
      </w:r>
      <w:r w:rsidRPr="000915AB">
        <w:rPr>
          <w:rFonts w:ascii="Book Antiqua" w:eastAsia="Book Antiqua" w:hAnsi="Book Antiqua" w:cs="Book Antiqua"/>
          <w:color w:val="000000"/>
          <w:vertAlign w:val="superscript"/>
        </w:rPr>
        <w:t>[18]</w:t>
      </w:r>
      <w:r w:rsidRPr="000915AB">
        <w:rPr>
          <w:rFonts w:ascii="Book Antiqua" w:eastAsia="Book Antiqua" w:hAnsi="Book Antiqua" w:cs="Book Antiqua"/>
          <w:color w:val="000000"/>
        </w:rPr>
        <w:t xml:space="preserve">. In an </w:t>
      </w:r>
      <w:r w:rsidRPr="000915AB">
        <w:rPr>
          <w:rFonts w:ascii="Book Antiqua" w:eastAsia="Book Antiqua" w:hAnsi="Book Antiqua" w:cs="Book Antiqua"/>
          <w:i/>
          <w:iCs/>
          <w:color w:val="000000"/>
        </w:rPr>
        <w:t>in vitro</w:t>
      </w:r>
      <w:r w:rsidRPr="000915AB">
        <w:rPr>
          <w:rFonts w:ascii="Book Antiqua" w:eastAsia="Book Antiqua" w:hAnsi="Book Antiqua" w:cs="Book Antiqua"/>
          <w:color w:val="000000"/>
        </w:rPr>
        <w:t xml:space="preserve"> disease model using the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risk allele (rs33912345; C&gt;A; His141Asn) carrying glaucoma patient-specific induced pluripotent stem cells for functional RGC regeneration, it was demonstrated that the number of RGCs generated was decreased and the expression of RGC regulatory genes were suppressed by altered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function</w:t>
      </w:r>
      <w:r w:rsidRPr="000915AB">
        <w:rPr>
          <w:rFonts w:ascii="Book Antiqua" w:eastAsia="Book Antiqua" w:hAnsi="Book Antiqua" w:cs="Book Antiqua"/>
          <w:color w:val="000000"/>
          <w:vertAlign w:val="superscript"/>
        </w:rPr>
        <w:t>[29]</w:t>
      </w:r>
      <w:r w:rsidRPr="000915AB">
        <w:rPr>
          <w:rFonts w:ascii="Book Antiqua" w:eastAsia="Book Antiqua" w:hAnsi="Book Antiqua" w:cs="Book Antiqua"/>
          <w:color w:val="000000"/>
        </w:rPr>
        <w:t xml:space="preserve">. In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-KO</w:t>
      </w:r>
      <w:r w:rsidRPr="000915AB">
        <w:rPr>
          <w:rFonts w:ascii="Book Antiqua" w:eastAsia="Book Antiqua" w:hAnsi="Book Antiqua" w:cs="Book Antiqua"/>
          <w:color w:val="000000"/>
          <w:vertAlign w:val="superscript"/>
        </w:rPr>
        <w:t>LacZ</w:t>
      </w:r>
      <w:r w:rsidRPr="000915AB">
        <w:rPr>
          <w:rFonts w:ascii="Book Antiqua" w:eastAsia="Book Antiqua" w:hAnsi="Book Antiqua" w:cs="Book Antiqua"/>
          <w:color w:val="000000"/>
        </w:rPr>
        <w:t xml:space="preserve"> mice, the primary wave at the visual cortex in visual evoked potential was found to be significantly reduced</w:t>
      </w:r>
      <w:r w:rsidR="00C917EA">
        <w:rPr>
          <w:rFonts w:ascii="Book Antiqua" w:eastAsia="Book Antiqua" w:hAnsi="Book Antiqua" w:cs="Book Antiqua"/>
          <w:color w:val="000000"/>
        </w:rPr>
        <w:t xml:space="preserve"> when</w:t>
      </w:r>
      <w:r w:rsidRPr="000915AB">
        <w:rPr>
          <w:rFonts w:ascii="Book Antiqua" w:eastAsia="Book Antiqua" w:hAnsi="Book Antiqua" w:cs="Book Antiqua"/>
          <w:color w:val="000000"/>
        </w:rPr>
        <w:t xml:space="preserve"> compared with those in wild-type littermates. A slight reduction in the number of RGCs and their axons was also observed in the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-KO</w:t>
      </w:r>
      <w:r w:rsidRPr="000915AB">
        <w:rPr>
          <w:rFonts w:ascii="Book Antiqua" w:eastAsia="Book Antiqua" w:hAnsi="Book Antiqua" w:cs="Book Antiqua"/>
          <w:color w:val="000000"/>
          <w:vertAlign w:val="superscript"/>
        </w:rPr>
        <w:t>LacZ</w:t>
      </w:r>
      <w:r w:rsidRPr="000915AB">
        <w:rPr>
          <w:rFonts w:ascii="Book Antiqua" w:eastAsia="Book Antiqua" w:hAnsi="Book Antiqua" w:cs="Book Antiqua"/>
          <w:color w:val="000000"/>
        </w:rPr>
        <w:t xml:space="preserve"> mice. In zebrafish, it was found that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-KO retarded nervous system development</w:t>
      </w:r>
      <w:r w:rsidRPr="000915AB">
        <w:rPr>
          <w:rFonts w:ascii="Book Antiqua" w:eastAsia="Book Antiqua" w:hAnsi="Book Antiqua" w:cs="Book Antiqua"/>
          <w:color w:val="000000"/>
          <w:vertAlign w:val="superscript"/>
        </w:rPr>
        <w:t>[30]</w:t>
      </w:r>
      <w:r w:rsidRPr="000915AB">
        <w:rPr>
          <w:rFonts w:ascii="Book Antiqua" w:eastAsia="Book Antiqua" w:hAnsi="Book Antiqua" w:cs="Book Antiqua"/>
          <w:color w:val="000000"/>
        </w:rPr>
        <w:t xml:space="preserve">. Additionally, loss of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in early development may cause small eye phenotype, under-development of the lens and reduced neural fiber layer around </w:t>
      </w:r>
      <w:r w:rsidR="001901C9">
        <w:rPr>
          <w:rFonts w:ascii="Book Antiqua" w:eastAsia="Book Antiqua" w:hAnsi="Book Antiqua" w:cs="Book Antiqua"/>
          <w:color w:val="000000"/>
        </w:rPr>
        <w:t xml:space="preserve">the </w:t>
      </w:r>
      <w:r w:rsidRPr="000915AB">
        <w:rPr>
          <w:rFonts w:ascii="Book Antiqua" w:eastAsia="Book Antiqua" w:hAnsi="Book Antiqua" w:cs="Book Antiqua"/>
          <w:color w:val="000000"/>
        </w:rPr>
        <w:t>optic nerve head</w:t>
      </w:r>
      <w:r w:rsidRPr="000915AB">
        <w:rPr>
          <w:rFonts w:ascii="Book Antiqua" w:eastAsia="Book Antiqua" w:hAnsi="Book Antiqua" w:cs="Book Antiqua"/>
          <w:color w:val="000000"/>
          <w:vertAlign w:val="superscript"/>
        </w:rPr>
        <w:t>[26]</w:t>
      </w:r>
      <w:r w:rsidRPr="000915AB">
        <w:rPr>
          <w:rFonts w:ascii="Book Antiqua" w:eastAsia="Book Antiqua" w:hAnsi="Book Antiqua" w:cs="Book Antiqua"/>
          <w:color w:val="000000"/>
        </w:rPr>
        <w:t xml:space="preserve">. There are clinical studies in which patients with anophthalmia and microphthalmia were found to have </w:t>
      </w:r>
      <w:r w:rsidRPr="000915AB">
        <w:rPr>
          <w:rFonts w:ascii="Book Antiqua" w:eastAsia="Book Antiqua" w:hAnsi="Book Antiqua" w:cs="Book Antiqua"/>
          <w:i/>
          <w:iCs/>
          <w:color w:val="000000"/>
        </w:rPr>
        <w:t xml:space="preserve">SIX6 </w:t>
      </w:r>
      <w:r w:rsidRPr="000915AB">
        <w:rPr>
          <w:rFonts w:ascii="Book Antiqua" w:eastAsia="Book Antiqua" w:hAnsi="Book Antiqua" w:cs="Book Antiqua"/>
          <w:color w:val="000000"/>
        </w:rPr>
        <w:t>mutations</w:t>
      </w:r>
      <w:r w:rsidRPr="000915AB">
        <w:rPr>
          <w:rFonts w:ascii="Book Antiqua" w:eastAsia="Book Antiqua" w:hAnsi="Book Antiqua" w:cs="Book Antiqua"/>
          <w:color w:val="000000"/>
          <w:vertAlign w:val="superscript"/>
        </w:rPr>
        <w:t>[31]</w:t>
      </w:r>
      <w:r w:rsidRPr="000915AB">
        <w:rPr>
          <w:rFonts w:ascii="Book Antiqua" w:eastAsia="Book Antiqua" w:hAnsi="Book Antiqua" w:cs="Book Antiqua"/>
          <w:color w:val="000000"/>
        </w:rPr>
        <w:t xml:space="preserve">. Significantly, mutations in </w:t>
      </w:r>
      <w:r w:rsidRPr="000915AB">
        <w:rPr>
          <w:rFonts w:ascii="Book Antiqua" w:eastAsia="Book Antiqua" w:hAnsi="Book Antiqua" w:cs="Book Antiqua"/>
          <w:i/>
          <w:iCs/>
          <w:color w:val="000000"/>
        </w:rPr>
        <w:t xml:space="preserve">OLFM2 </w:t>
      </w:r>
      <w:r w:rsidRPr="000915AB">
        <w:rPr>
          <w:rFonts w:ascii="Book Antiqua" w:eastAsia="Book Antiqua" w:hAnsi="Book Antiqua" w:cs="Book Antiqua"/>
          <w:color w:val="000000"/>
        </w:rPr>
        <w:t>can also</w:t>
      </w:r>
      <w:r w:rsidRPr="000915AB">
        <w:rPr>
          <w:rFonts w:ascii="Book Antiqua" w:eastAsia="Book Antiqua" w:hAnsi="Book Antiqua" w:cs="Book Antiqua"/>
          <w:i/>
          <w:iCs/>
          <w:color w:val="000000"/>
        </w:rPr>
        <w:t xml:space="preserve"> </w:t>
      </w:r>
      <w:r w:rsidRPr="000915AB">
        <w:rPr>
          <w:rFonts w:ascii="Book Antiqua" w:eastAsia="Book Antiqua" w:hAnsi="Book Antiqua" w:cs="Book Antiqua"/>
          <w:color w:val="000000"/>
        </w:rPr>
        <w:t>result in anophthalmia, microphthalmia and coloboma</w:t>
      </w:r>
      <w:r w:rsidRPr="000915AB">
        <w:rPr>
          <w:rFonts w:ascii="Book Antiqua" w:eastAsia="Book Antiqua" w:hAnsi="Book Antiqua" w:cs="Book Antiqua"/>
          <w:color w:val="000000"/>
          <w:vertAlign w:val="superscript"/>
        </w:rPr>
        <w:t>[32]</w:t>
      </w:r>
      <w:r w:rsidRPr="000915AB">
        <w:rPr>
          <w:rFonts w:ascii="Book Antiqua" w:eastAsia="Book Antiqua" w:hAnsi="Book Antiqua" w:cs="Book Antiqua"/>
          <w:color w:val="000000"/>
        </w:rPr>
        <w:t xml:space="preserve">, which altogether indicate that </w:t>
      </w:r>
      <w:r w:rsidRPr="000915AB">
        <w:rPr>
          <w:rFonts w:ascii="Book Antiqua" w:eastAsia="Book Antiqua" w:hAnsi="Book Antiqua" w:cs="Book Antiqua"/>
          <w:i/>
          <w:iCs/>
          <w:color w:val="000000"/>
        </w:rPr>
        <w:t xml:space="preserve">OLFM2 </w:t>
      </w:r>
      <w:r w:rsidRPr="000915AB">
        <w:rPr>
          <w:rFonts w:ascii="Book Antiqua" w:eastAsia="Book Antiqua" w:hAnsi="Book Antiqua" w:cs="Book Antiqua"/>
          <w:color w:val="000000"/>
        </w:rPr>
        <w:t xml:space="preserve">and </w:t>
      </w:r>
      <w:r w:rsidRPr="000915AB">
        <w:rPr>
          <w:rFonts w:ascii="Book Antiqua" w:eastAsia="Book Antiqua" w:hAnsi="Book Antiqua" w:cs="Book Antiqua"/>
          <w:i/>
          <w:iCs/>
          <w:color w:val="000000"/>
        </w:rPr>
        <w:t xml:space="preserve">SIX6 </w:t>
      </w:r>
      <w:r w:rsidRPr="000915AB">
        <w:rPr>
          <w:rFonts w:ascii="Book Antiqua" w:eastAsia="Book Antiqua" w:hAnsi="Book Antiqua" w:cs="Book Antiqua"/>
          <w:color w:val="000000"/>
        </w:rPr>
        <w:t>may have interactions working together in shaping eye</w:t>
      </w:r>
      <w:r w:rsidRPr="000915AB">
        <w:rPr>
          <w:rFonts w:ascii="Book Antiqua" w:eastAsia="Book Antiqua" w:hAnsi="Book Antiqua" w:cs="Book Antiqua"/>
          <w:i/>
          <w:iCs/>
          <w:color w:val="000000"/>
        </w:rPr>
        <w:t xml:space="preserve"> </w:t>
      </w:r>
      <w:r w:rsidRPr="000915AB">
        <w:rPr>
          <w:rFonts w:ascii="Book Antiqua" w:eastAsia="Book Antiqua" w:hAnsi="Book Antiqua" w:cs="Book Antiqua"/>
          <w:color w:val="000000"/>
        </w:rPr>
        <w:t xml:space="preserve">development. We hypothesize that </w:t>
      </w:r>
      <w:r w:rsidRPr="000915AB">
        <w:rPr>
          <w:rFonts w:ascii="Book Antiqua" w:eastAsia="Book Antiqua" w:hAnsi="Book Antiqua" w:cs="Book Antiqua"/>
          <w:i/>
          <w:iCs/>
          <w:color w:val="000000"/>
        </w:rPr>
        <w:t xml:space="preserve">OLFM2 </w:t>
      </w:r>
      <w:r w:rsidRPr="000915AB">
        <w:rPr>
          <w:rFonts w:ascii="Book Antiqua" w:eastAsia="Book Antiqua" w:hAnsi="Book Antiqua" w:cs="Book Antiqua"/>
          <w:color w:val="000000"/>
        </w:rPr>
        <w:t xml:space="preserve">and </w:t>
      </w:r>
      <w:r w:rsidRPr="000915AB">
        <w:rPr>
          <w:rFonts w:ascii="Book Antiqua" w:eastAsia="Book Antiqua" w:hAnsi="Book Antiqua" w:cs="Book Antiqua"/>
          <w:i/>
          <w:iCs/>
          <w:color w:val="000000"/>
        </w:rPr>
        <w:t xml:space="preserve">SIX6 </w:t>
      </w:r>
      <w:r w:rsidRPr="000915AB">
        <w:rPr>
          <w:rFonts w:ascii="Book Antiqua" w:eastAsia="Book Antiqua" w:hAnsi="Book Antiqua" w:cs="Book Antiqua"/>
          <w:color w:val="000000"/>
        </w:rPr>
        <w:t>genes and their protein</w:t>
      </w:r>
      <w:r w:rsidRPr="000915AB">
        <w:rPr>
          <w:rFonts w:ascii="Book Antiqua" w:eastAsia="Book Antiqua" w:hAnsi="Book Antiqua" w:cs="Book Antiqua"/>
          <w:i/>
          <w:iCs/>
          <w:color w:val="000000"/>
        </w:rPr>
        <w:t xml:space="preserve"> </w:t>
      </w:r>
      <w:r w:rsidRPr="000915AB">
        <w:rPr>
          <w:rFonts w:ascii="Book Antiqua" w:eastAsia="Book Antiqua" w:hAnsi="Book Antiqua" w:cs="Book Antiqua"/>
          <w:color w:val="000000"/>
        </w:rPr>
        <w:t>products may interact to regulate a critical pathway in ocular development, which if disturbed may lead to the pathogenesis of JOAG/POAG.</w:t>
      </w:r>
    </w:p>
    <w:p w14:paraId="42603E7A" w14:textId="504B5691" w:rsidR="00A77B3E" w:rsidRPr="000915AB" w:rsidRDefault="004521C0" w:rsidP="000915AB">
      <w:pPr>
        <w:spacing w:line="360" w:lineRule="auto"/>
        <w:ind w:firstLineChars="100" w:firstLine="240"/>
        <w:jc w:val="both"/>
        <w:rPr>
          <w:rFonts w:ascii="Book Antiqua" w:hAnsi="Book Antiqua"/>
        </w:rPr>
      </w:pPr>
      <w:r w:rsidRPr="000915AB">
        <w:rPr>
          <w:rFonts w:ascii="Book Antiqua" w:eastAsia="Book Antiqua" w:hAnsi="Book Antiqua" w:cs="Book Antiqua"/>
          <w:color w:val="000000"/>
        </w:rPr>
        <w:t xml:space="preserve">To date, there are only two reports on glaucoma </w:t>
      </w:r>
      <w:r w:rsidR="00880325">
        <w:rPr>
          <w:rFonts w:ascii="Book Antiqua" w:eastAsia="Book Antiqua" w:hAnsi="Book Antiqua" w:cs="Book Antiqua"/>
          <w:color w:val="000000"/>
        </w:rPr>
        <w:t xml:space="preserve">that </w:t>
      </w:r>
      <w:r w:rsidRPr="000915AB">
        <w:rPr>
          <w:rFonts w:ascii="Book Antiqua" w:eastAsia="Book Antiqua" w:hAnsi="Book Antiqua" w:cs="Book Antiqua"/>
          <w:color w:val="000000"/>
        </w:rPr>
        <w:t>have shown clear evidence for digenic inheritance</w:t>
      </w:r>
      <w:r w:rsidRPr="000915AB">
        <w:rPr>
          <w:rFonts w:ascii="Book Antiqua" w:eastAsia="Book Antiqua" w:hAnsi="Book Antiqua" w:cs="Book Antiqua"/>
          <w:color w:val="000000"/>
          <w:vertAlign w:val="superscript"/>
        </w:rPr>
        <w:t>[33,34]</w:t>
      </w:r>
      <w:r w:rsidRPr="000915AB">
        <w:rPr>
          <w:rFonts w:ascii="Book Antiqua" w:eastAsia="Book Antiqua" w:hAnsi="Book Antiqua" w:cs="Book Antiqua"/>
          <w:color w:val="000000"/>
        </w:rPr>
        <w:t xml:space="preserve">. In primary congenital glaucoma, </w:t>
      </w:r>
      <w:r w:rsidRPr="000915AB">
        <w:rPr>
          <w:rFonts w:ascii="Book Antiqua" w:eastAsia="Book Antiqua" w:hAnsi="Book Antiqua" w:cs="Book Antiqua"/>
          <w:i/>
          <w:iCs/>
          <w:color w:val="000000"/>
        </w:rPr>
        <w:t xml:space="preserve">LTBP2 </w:t>
      </w:r>
      <w:r w:rsidRPr="000915AB">
        <w:rPr>
          <w:rFonts w:ascii="Book Antiqua" w:eastAsia="Book Antiqua" w:hAnsi="Book Antiqua" w:cs="Book Antiqua"/>
          <w:color w:val="000000"/>
        </w:rPr>
        <w:t xml:space="preserve">p.R299X homozygous mutation plus </w:t>
      </w:r>
      <w:r w:rsidRPr="000915AB">
        <w:rPr>
          <w:rFonts w:ascii="Book Antiqua" w:eastAsia="Book Antiqua" w:hAnsi="Book Antiqua" w:cs="Book Antiqua"/>
          <w:i/>
          <w:iCs/>
          <w:color w:val="000000"/>
        </w:rPr>
        <w:t>CYP1B1</w:t>
      </w:r>
      <w:r w:rsidRPr="000915AB">
        <w:rPr>
          <w:rFonts w:ascii="Book Antiqua" w:eastAsia="Book Antiqua" w:hAnsi="Book Antiqua" w:cs="Book Antiqua"/>
          <w:color w:val="000000"/>
        </w:rPr>
        <w:t xml:space="preserve"> p.E387K heterozygous mutation result</w:t>
      </w:r>
      <w:r w:rsidR="00880325">
        <w:rPr>
          <w:rFonts w:ascii="Book Antiqua" w:eastAsia="Book Antiqua" w:hAnsi="Book Antiqua" w:cs="Book Antiqua"/>
          <w:color w:val="000000"/>
        </w:rPr>
        <w:t>ed</w:t>
      </w:r>
      <w:r w:rsidRPr="000915AB">
        <w:rPr>
          <w:rFonts w:ascii="Book Antiqua" w:eastAsia="Book Antiqua" w:hAnsi="Book Antiqua" w:cs="Book Antiqua"/>
          <w:color w:val="000000"/>
        </w:rPr>
        <w:t xml:space="preserve"> in </w:t>
      </w:r>
      <w:r w:rsidR="00880325">
        <w:rPr>
          <w:rFonts w:ascii="Book Antiqua" w:eastAsia="Book Antiqua" w:hAnsi="Book Antiqua" w:cs="Book Antiqua"/>
          <w:color w:val="000000"/>
        </w:rPr>
        <w:t>a</w:t>
      </w:r>
      <w:r w:rsidRPr="000915AB">
        <w:rPr>
          <w:rFonts w:ascii="Book Antiqua" w:eastAsia="Book Antiqua" w:hAnsi="Book Antiqua" w:cs="Book Antiqua"/>
          <w:color w:val="000000"/>
        </w:rPr>
        <w:t xml:space="preserve"> severe clinical phenotype and poor prognosis</w:t>
      </w:r>
      <w:r w:rsidRPr="000915AB">
        <w:rPr>
          <w:rFonts w:ascii="Book Antiqua" w:eastAsia="Book Antiqua" w:hAnsi="Book Antiqua" w:cs="Book Antiqua"/>
          <w:color w:val="000000"/>
          <w:vertAlign w:val="superscript"/>
        </w:rPr>
        <w:t>[33]</w:t>
      </w:r>
      <w:r w:rsidRPr="000915AB">
        <w:rPr>
          <w:rFonts w:ascii="Book Antiqua" w:eastAsia="Book Antiqua" w:hAnsi="Book Antiqua" w:cs="Book Antiqua"/>
          <w:color w:val="000000"/>
        </w:rPr>
        <w:t xml:space="preserve">. Carriers of both the </w:t>
      </w:r>
      <w:r w:rsidRPr="000915AB">
        <w:rPr>
          <w:rFonts w:ascii="Book Antiqua" w:eastAsia="Book Antiqua" w:hAnsi="Book Antiqua" w:cs="Book Antiqua"/>
          <w:i/>
          <w:iCs/>
          <w:color w:val="000000"/>
        </w:rPr>
        <w:t>MYOC</w:t>
      </w:r>
      <w:r w:rsidRPr="000915AB">
        <w:rPr>
          <w:rFonts w:ascii="Book Antiqua" w:eastAsia="Book Antiqua" w:hAnsi="Book Antiqua" w:cs="Book Antiqua"/>
          <w:color w:val="000000"/>
        </w:rPr>
        <w:t xml:space="preserve"> and </w:t>
      </w:r>
      <w:r w:rsidRPr="000915AB">
        <w:rPr>
          <w:rFonts w:ascii="Book Antiqua" w:eastAsia="Book Antiqua" w:hAnsi="Book Antiqua" w:cs="Book Antiqua"/>
          <w:i/>
          <w:iCs/>
          <w:color w:val="000000"/>
        </w:rPr>
        <w:t>CYP1B1</w:t>
      </w:r>
      <w:r w:rsidRPr="000915AB">
        <w:rPr>
          <w:rFonts w:ascii="Book Antiqua" w:eastAsia="Book Antiqua" w:hAnsi="Book Antiqua" w:cs="Book Antiqua"/>
          <w:color w:val="000000"/>
        </w:rPr>
        <w:t xml:space="preserve"> mutations lead to POAG at an earlier age (27</w:t>
      </w:r>
      <w:r w:rsidR="00751994">
        <w:rPr>
          <w:rFonts w:ascii="Book Antiqua" w:eastAsia="Book Antiqua" w:hAnsi="Book Antiqua" w:cs="Book Antiqua"/>
          <w:color w:val="000000"/>
        </w:rPr>
        <w:t>-</w:t>
      </w:r>
      <w:r w:rsidRPr="000915AB">
        <w:rPr>
          <w:rFonts w:ascii="Book Antiqua" w:eastAsia="Book Antiqua" w:hAnsi="Book Antiqua" w:cs="Book Antiqua"/>
          <w:color w:val="000000"/>
        </w:rPr>
        <w:t>years</w:t>
      </w:r>
      <w:r w:rsidR="00751994">
        <w:rPr>
          <w:rFonts w:ascii="Book Antiqua" w:eastAsia="Book Antiqua" w:hAnsi="Book Antiqua" w:cs="Book Antiqua"/>
          <w:color w:val="000000"/>
        </w:rPr>
        <w:t>-</w:t>
      </w:r>
      <w:r w:rsidRPr="000915AB">
        <w:rPr>
          <w:rFonts w:ascii="Book Antiqua" w:eastAsia="Book Antiqua" w:hAnsi="Book Antiqua" w:cs="Book Antiqua"/>
          <w:color w:val="000000"/>
        </w:rPr>
        <w:t>old) compared with carriers of only</w:t>
      </w:r>
      <w:r w:rsidR="00705181">
        <w:rPr>
          <w:rFonts w:ascii="Book Antiqua" w:eastAsia="Book Antiqua" w:hAnsi="Book Antiqua" w:cs="Book Antiqua"/>
          <w:color w:val="000000"/>
        </w:rPr>
        <w:t xml:space="preserve"> the</w:t>
      </w:r>
      <w:r w:rsidRPr="000915AB">
        <w:rPr>
          <w:rFonts w:ascii="Book Antiqua" w:eastAsia="Book Antiqua" w:hAnsi="Book Antiqua" w:cs="Book Antiqua"/>
          <w:color w:val="000000"/>
        </w:rPr>
        <w:t xml:space="preserve"> </w:t>
      </w:r>
      <w:r w:rsidRPr="000915AB">
        <w:rPr>
          <w:rFonts w:ascii="Book Antiqua" w:eastAsia="Book Antiqua" w:hAnsi="Book Antiqua" w:cs="Book Antiqua"/>
          <w:i/>
          <w:iCs/>
          <w:color w:val="000000"/>
        </w:rPr>
        <w:t xml:space="preserve">MYOC </w:t>
      </w:r>
      <w:r w:rsidRPr="000915AB">
        <w:rPr>
          <w:rFonts w:ascii="Book Antiqua" w:eastAsia="Book Antiqua" w:hAnsi="Book Antiqua" w:cs="Book Antiqua"/>
          <w:color w:val="000000"/>
        </w:rPr>
        <w:t>mutation (51</w:t>
      </w:r>
      <w:r w:rsidR="00751994">
        <w:rPr>
          <w:rFonts w:ascii="Book Antiqua" w:eastAsia="Book Antiqua" w:hAnsi="Book Antiqua" w:cs="Book Antiqua"/>
          <w:color w:val="000000"/>
        </w:rPr>
        <w:t>-</w:t>
      </w:r>
      <w:r w:rsidRPr="000915AB">
        <w:rPr>
          <w:rFonts w:ascii="Book Antiqua" w:eastAsia="Book Antiqua" w:hAnsi="Book Antiqua" w:cs="Book Antiqua"/>
          <w:color w:val="000000"/>
        </w:rPr>
        <w:t>years</w:t>
      </w:r>
      <w:r w:rsidR="00751994">
        <w:rPr>
          <w:rFonts w:ascii="Book Antiqua" w:eastAsia="Book Antiqua" w:hAnsi="Book Antiqua" w:cs="Book Antiqua"/>
          <w:color w:val="000000"/>
        </w:rPr>
        <w:t>-</w:t>
      </w:r>
      <w:r w:rsidRPr="000915AB">
        <w:rPr>
          <w:rFonts w:ascii="Book Antiqua" w:eastAsia="Book Antiqua" w:hAnsi="Book Antiqua" w:cs="Book Antiqua"/>
          <w:color w:val="000000"/>
        </w:rPr>
        <w:t>old)</w:t>
      </w:r>
      <w:r w:rsidRPr="000915AB">
        <w:rPr>
          <w:rFonts w:ascii="Book Antiqua" w:eastAsia="Book Antiqua" w:hAnsi="Book Antiqua" w:cs="Book Antiqua"/>
          <w:color w:val="000000"/>
          <w:vertAlign w:val="superscript"/>
        </w:rPr>
        <w:t>[34]</w:t>
      </w:r>
      <w:r w:rsidRPr="000915AB">
        <w:rPr>
          <w:rFonts w:ascii="Book Antiqua" w:eastAsia="Book Antiqua" w:hAnsi="Book Antiqua" w:cs="Book Antiqua"/>
          <w:color w:val="000000"/>
        </w:rPr>
        <w:t xml:space="preserve">. These data indicate that coinherited mutations may play an important role in determining the age of disease onset. Under this situation, one genetic mutation may work as a “dominator” while the other functions as a “regulator”. Therefore, a conservative approach to counselling may be warranted, under the assumption that some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mutations may render susceptibility but are not sufficient to cause glaucoma. The existence of another genetic mutation, for example,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may facilitate </w:t>
      </w:r>
      <w:r w:rsidR="00705181">
        <w:rPr>
          <w:rFonts w:ascii="Book Antiqua" w:eastAsia="Book Antiqua" w:hAnsi="Book Antiqua" w:cs="Book Antiqua"/>
          <w:color w:val="000000"/>
        </w:rPr>
        <w:t xml:space="preserve">a </w:t>
      </w:r>
      <w:r w:rsidRPr="000915AB">
        <w:rPr>
          <w:rFonts w:ascii="Book Antiqua" w:eastAsia="Book Antiqua" w:hAnsi="Book Antiqua" w:cs="Book Antiqua"/>
          <w:color w:val="000000"/>
        </w:rPr>
        <w:t xml:space="preserve">pathogenic effect of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mutations. To investigate our hypothesis, functional work on </w:t>
      </w:r>
      <w:r w:rsidR="00705181">
        <w:rPr>
          <w:rFonts w:ascii="Book Antiqua" w:eastAsia="Book Antiqua" w:hAnsi="Book Antiqua" w:cs="Book Antiqua"/>
          <w:color w:val="000000"/>
        </w:rPr>
        <w:t xml:space="preserve">the </w:t>
      </w:r>
      <w:r w:rsidRPr="000915AB">
        <w:rPr>
          <w:rFonts w:ascii="Book Antiqua" w:eastAsia="Book Antiqua" w:hAnsi="Book Antiqua" w:cs="Book Antiqua"/>
          <w:color w:val="000000"/>
        </w:rPr>
        <w:t xml:space="preserve">association between </w:t>
      </w:r>
      <w:r w:rsidRPr="000915AB">
        <w:rPr>
          <w:rFonts w:ascii="Book Antiqua" w:eastAsia="Book Antiqua" w:hAnsi="Book Antiqua" w:cs="Book Antiqua"/>
          <w:i/>
          <w:iCs/>
          <w:color w:val="000000"/>
        </w:rPr>
        <w:t xml:space="preserve">OLFM2 </w:t>
      </w:r>
      <w:r w:rsidRPr="000915AB">
        <w:rPr>
          <w:rFonts w:ascii="Book Antiqua" w:eastAsia="Book Antiqua" w:hAnsi="Book Antiqua" w:cs="Book Antiqua"/>
          <w:color w:val="000000"/>
        </w:rPr>
        <w:t>and</w:t>
      </w:r>
      <w:r w:rsidRPr="000915AB">
        <w:rPr>
          <w:rFonts w:ascii="Book Antiqua" w:eastAsia="Book Antiqua" w:hAnsi="Book Antiqua" w:cs="Book Antiqua"/>
          <w:i/>
          <w:iCs/>
          <w:color w:val="000000"/>
        </w:rPr>
        <w:t xml:space="preserve"> SIX6 </w:t>
      </w:r>
      <w:r w:rsidR="00705181">
        <w:rPr>
          <w:rFonts w:ascii="Book Antiqua" w:eastAsia="Book Antiqua" w:hAnsi="Book Antiqua" w:cs="Book Antiqua"/>
          <w:color w:val="000000"/>
        </w:rPr>
        <w:t>sh</w:t>
      </w:r>
      <w:r w:rsidR="00705181" w:rsidRPr="000915AB">
        <w:rPr>
          <w:rFonts w:ascii="Book Antiqua" w:eastAsia="Book Antiqua" w:hAnsi="Book Antiqua" w:cs="Book Antiqua"/>
          <w:color w:val="000000"/>
        </w:rPr>
        <w:t xml:space="preserve">ould </w:t>
      </w:r>
      <w:r w:rsidRPr="000915AB">
        <w:rPr>
          <w:rFonts w:ascii="Book Antiqua" w:eastAsia="Book Antiqua" w:hAnsi="Book Antiqua" w:cs="Book Antiqua"/>
          <w:color w:val="000000"/>
        </w:rPr>
        <w:t>be carried out in the future.</w:t>
      </w:r>
    </w:p>
    <w:p w14:paraId="0149B713" w14:textId="77777777" w:rsidR="00A77B3E" w:rsidRPr="000915AB" w:rsidRDefault="00A77B3E" w:rsidP="000915AB">
      <w:pPr>
        <w:spacing w:line="360" w:lineRule="auto"/>
        <w:jc w:val="both"/>
        <w:rPr>
          <w:rFonts w:ascii="Book Antiqua" w:hAnsi="Book Antiqua"/>
        </w:rPr>
      </w:pPr>
    </w:p>
    <w:p w14:paraId="040104D6"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aps/>
          <w:color w:val="000000"/>
          <w:u w:val="single"/>
        </w:rPr>
        <w:t>CONCLUSION</w:t>
      </w:r>
    </w:p>
    <w:p w14:paraId="36232A4F" w14:textId="1757CD23"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 xml:space="preserve">In summary, we identified a coinheritance of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and </w:t>
      </w:r>
      <w:r w:rsidRPr="000915AB">
        <w:rPr>
          <w:rFonts w:ascii="Book Antiqua" w:eastAsia="Book Antiqua" w:hAnsi="Book Antiqua" w:cs="Book Antiqua"/>
          <w:i/>
          <w:iCs/>
          <w:color w:val="000000"/>
        </w:rPr>
        <w:t xml:space="preserve">SIX6 </w:t>
      </w:r>
      <w:r w:rsidRPr="000915AB">
        <w:rPr>
          <w:rFonts w:ascii="Book Antiqua" w:eastAsia="Book Antiqua" w:hAnsi="Book Antiqua" w:cs="Book Antiqua"/>
          <w:color w:val="000000"/>
        </w:rPr>
        <w:t xml:space="preserve">variants in a core family of JOAG through WGS, Sanger sequencing and bioinformatics analysis. This specific inheritance would not have been identified through traditional Mendelian </w:t>
      </w:r>
      <w:r w:rsidR="001904B0">
        <w:rPr>
          <w:rFonts w:ascii="Book Antiqua" w:eastAsia="Book Antiqua" w:hAnsi="Book Antiqua" w:cs="Book Antiqua"/>
          <w:color w:val="000000"/>
        </w:rPr>
        <w:t>i</w:t>
      </w:r>
      <w:r w:rsidRPr="000915AB">
        <w:rPr>
          <w:rFonts w:ascii="Book Antiqua" w:eastAsia="Book Antiqua" w:hAnsi="Book Antiqua" w:cs="Book Antiqua"/>
          <w:color w:val="000000"/>
        </w:rPr>
        <w:t xml:space="preserve">nheritance studies or analysis with a gene chip-based test. WGS covering a great number of annotated exons </w:t>
      </w:r>
      <w:r w:rsidR="001904B0">
        <w:rPr>
          <w:rFonts w:ascii="Book Antiqua" w:eastAsia="Book Antiqua" w:hAnsi="Book Antiqua" w:cs="Book Antiqua"/>
          <w:color w:val="000000"/>
        </w:rPr>
        <w:t>wa</w:t>
      </w:r>
      <w:r w:rsidRPr="000915AB">
        <w:rPr>
          <w:rFonts w:ascii="Book Antiqua" w:eastAsia="Book Antiqua" w:hAnsi="Book Antiqua" w:cs="Book Antiqua"/>
          <w:color w:val="000000"/>
        </w:rPr>
        <w:t>s the best option</w:t>
      </w:r>
      <w:r w:rsidR="001904B0">
        <w:rPr>
          <w:rFonts w:ascii="Book Antiqua" w:eastAsia="Book Antiqua" w:hAnsi="Book Antiqua" w:cs="Book Antiqua"/>
          <w:color w:val="000000"/>
        </w:rPr>
        <w:t xml:space="preserve"> for</w:t>
      </w:r>
      <w:r w:rsidRPr="000915AB">
        <w:rPr>
          <w:rFonts w:ascii="Book Antiqua" w:eastAsia="Book Antiqua" w:hAnsi="Book Antiqua" w:cs="Book Antiqua"/>
          <w:color w:val="000000"/>
        </w:rPr>
        <w:t xml:space="preserve"> finding novel mutations. It should be emphasized that a WGS strategy </w:t>
      </w:r>
      <w:r w:rsidR="001904B0">
        <w:rPr>
          <w:rFonts w:ascii="Book Antiqua" w:eastAsia="Book Antiqua" w:hAnsi="Book Antiqua" w:cs="Book Antiqua"/>
          <w:color w:val="000000"/>
        </w:rPr>
        <w:t>on</w:t>
      </w:r>
      <w:r w:rsidRPr="000915AB">
        <w:rPr>
          <w:rFonts w:ascii="Book Antiqua" w:eastAsia="Book Antiqua" w:hAnsi="Book Antiqua" w:cs="Book Antiqua"/>
          <w:color w:val="000000"/>
        </w:rPr>
        <w:t xml:space="preserve"> trios is crucial for further genetic studies in JOAG/POAG. Additionally, previous families investigated by Mendelian </w:t>
      </w:r>
      <w:r w:rsidR="00201801">
        <w:rPr>
          <w:rFonts w:ascii="Book Antiqua" w:eastAsia="Book Antiqua" w:hAnsi="Book Antiqua" w:cs="Book Antiqua"/>
          <w:color w:val="000000"/>
        </w:rPr>
        <w:t>i</w:t>
      </w:r>
      <w:r w:rsidRPr="000915AB">
        <w:rPr>
          <w:rFonts w:ascii="Book Antiqua" w:eastAsia="Book Antiqua" w:hAnsi="Book Antiqua" w:cs="Book Antiqua"/>
          <w:color w:val="000000"/>
        </w:rPr>
        <w:t xml:space="preserve">nheritance should be further explored with a WGS approach. JOAG/POAG is a group of polygenic heterogeneous disease in which a single genetic mutation may not be sufficient to cause </w:t>
      </w:r>
      <w:r w:rsidR="00201801">
        <w:rPr>
          <w:rFonts w:ascii="Book Antiqua" w:eastAsia="Book Antiqua" w:hAnsi="Book Antiqua" w:cs="Book Antiqua"/>
          <w:color w:val="000000"/>
        </w:rPr>
        <w:t xml:space="preserve">a </w:t>
      </w:r>
      <w:r w:rsidRPr="000915AB">
        <w:rPr>
          <w:rFonts w:ascii="Book Antiqua" w:eastAsia="Book Antiqua" w:hAnsi="Book Antiqua" w:cs="Book Antiqua"/>
          <w:color w:val="000000"/>
        </w:rPr>
        <w:t xml:space="preserve">clinical phenotype. Genetic mutations from digenic or polygenic inheritance may result in pathogenesis changes that are beyond physiological compensation. Large-scale clinical screening and molecular functional investigations into the association of this coinherited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and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variants are imperative to enrich our understanding on the pathogenesis of JOAG/POAG.</w:t>
      </w:r>
    </w:p>
    <w:p w14:paraId="3ABBBEE7" w14:textId="77777777" w:rsidR="00A77B3E" w:rsidRPr="000915AB" w:rsidRDefault="00A77B3E" w:rsidP="000915AB">
      <w:pPr>
        <w:spacing w:line="360" w:lineRule="auto"/>
        <w:jc w:val="both"/>
        <w:rPr>
          <w:rFonts w:ascii="Book Antiqua" w:hAnsi="Book Antiqua"/>
        </w:rPr>
      </w:pPr>
    </w:p>
    <w:p w14:paraId="4F977630"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aps/>
          <w:color w:val="000000"/>
          <w:u w:val="single"/>
        </w:rPr>
        <w:t>ACKNOWLEDGEMENTS</w:t>
      </w:r>
    </w:p>
    <w:p w14:paraId="009DFA37" w14:textId="7F173106"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The authors would like to thank all participants</w:t>
      </w:r>
      <w:r w:rsidR="00FA30A2" w:rsidRPr="000915AB">
        <w:rPr>
          <w:rFonts w:ascii="Book Antiqua" w:eastAsia="Book Antiqua" w:hAnsi="Book Antiqua" w:cs="Book Antiqua"/>
          <w:color w:val="000000"/>
        </w:rPr>
        <w:t xml:space="preserve"> for</w:t>
      </w:r>
      <w:r w:rsidRPr="000915AB">
        <w:rPr>
          <w:rFonts w:ascii="Book Antiqua" w:eastAsia="Book Antiqua" w:hAnsi="Book Antiqua" w:cs="Book Antiqua"/>
          <w:color w:val="000000"/>
        </w:rPr>
        <w:t xml:space="preserve"> providing blood samples and agreeing to participate in this research.</w:t>
      </w:r>
    </w:p>
    <w:p w14:paraId="4794BD3D" w14:textId="77777777" w:rsidR="00A77B3E" w:rsidRPr="000915AB" w:rsidRDefault="00A77B3E" w:rsidP="000915AB">
      <w:pPr>
        <w:spacing w:line="360" w:lineRule="auto"/>
        <w:jc w:val="both"/>
        <w:rPr>
          <w:rFonts w:ascii="Book Antiqua" w:hAnsi="Book Antiqua"/>
        </w:rPr>
      </w:pPr>
    </w:p>
    <w:p w14:paraId="302C9BEA"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olor w:val="000000"/>
        </w:rPr>
        <w:t>REFERENCES</w:t>
      </w:r>
    </w:p>
    <w:p w14:paraId="07F3E3C9"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1 </w:t>
      </w:r>
      <w:r w:rsidRPr="000915AB">
        <w:rPr>
          <w:rFonts w:ascii="Book Antiqua" w:hAnsi="Book Antiqua"/>
          <w:b/>
          <w:bCs/>
        </w:rPr>
        <w:t>Jonas JB</w:t>
      </w:r>
      <w:r w:rsidRPr="000915AB">
        <w:rPr>
          <w:rFonts w:ascii="Book Antiqua" w:hAnsi="Book Antiqua"/>
        </w:rPr>
        <w:t xml:space="preserve">, Aung T, Bourne RR, Bron AM, Ritch R, Panda-Jonas S. Glaucoma. </w:t>
      </w:r>
      <w:r w:rsidRPr="000915AB">
        <w:rPr>
          <w:rFonts w:ascii="Book Antiqua" w:hAnsi="Book Antiqua"/>
          <w:i/>
          <w:iCs/>
        </w:rPr>
        <w:t>Lancet</w:t>
      </w:r>
      <w:r w:rsidRPr="000915AB">
        <w:rPr>
          <w:rFonts w:ascii="Book Antiqua" w:hAnsi="Book Antiqua"/>
        </w:rPr>
        <w:t xml:space="preserve"> 2017; </w:t>
      </w:r>
      <w:r w:rsidRPr="000915AB">
        <w:rPr>
          <w:rFonts w:ascii="Book Antiqua" w:hAnsi="Book Antiqua"/>
          <w:b/>
          <w:bCs/>
        </w:rPr>
        <w:t>390</w:t>
      </w:r>
      <w:r w:rsidRPr="000915AB">
        <w:rPr>
          <w:rFonts w:ascii="Book Antiqua" w:hAnsi="Book Antiqua"/>
        </w:rPr>
        <w:t>: 2183-2193 [PMID: 28577860 DOI: 10.1016/S0140-6736(17)31469-1]</w:t>
      </w:r>
    </w:p>
    <w:p w14:paraId="3276441A"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2 </w:t>
      </w:r>
      <w:r w:rsidRPr="000915AB">
        <w:rPr>
          <w:rFonts w:ascii="Book Antiqua" w:hAnsi="Book Antiqua"/>
          <w:b/>
          <w:bCs/>
        </w:rPr>
        <w:t>Turalba AV</w:t>
      </w:r>
      <w:r w:rsidRPr="000915AB">
        <w:rPr>
          <w:rFonts w:ascii="Book Antiqua" w:hAnsi="Book Antiqua"/>
        </w:rPr>
        <w:t xml:space="preserve">, Chen TC. Clinical and genetic characteristics of primary juvenile-onset open-angle glaucoma (JOAG). </w:t>
      </w:r>
      <w:r w:rsidRPr="000915AB">
        <w:rPr>
          <w:rFonts w:ascii="Book Antiqua" w:hAnsi="Book Antiqua"/>
          <w:i/>
          <w:iCs/>
        </w:rPr>
        <w:t>Semin Ophthalmol</w:t>
      </w:r>
      <w:r w:rsidRPr="000915AB">
        <w:rPr>
          <w:rFonts w:ascii="Book Antiqua" w:hAnsi="Book Antiqua"/>
        </w:rPr>
        <w:t xml:space="preserve"> 2008; </w:t>
      </w:r>
      <w:r w:rsidRPr="000915AB">
        <w:rPr>
          <w:rFonts w:ascii="Book Antiqua" w:hAnsi="Book Antiqua"/>
          <w:b/>
          <w:bCs/>
        </w:rPr>
        <w:t>23</w:t>
      </w:r>
      <w:r w:rsidRPr="000915AB">
        <w:rPr>
          <w:rFonts w:ascii="Book Antiqua" w:hAnsi="Book Antiqua"/>
        </w:rPr>
        <w:t>: 19-25 [PMID: 18214788 DOI: 10.1080/08820530701745199]</w:t>
      </w:r>
    </w:p>
    <w:p w14:paraId="7E1F681E"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3 </w:t>
      </w:r>
      <w:r w:rsidRPr="000915AB">
        <w:rPr>
          <w:rFonts w:ascii="Book Antiqua" w:hAnsi="Book Antiqua"/>
          <w:b/>
          <w:bCs/>
        </w:rPr>
        <w:t>Kwun Y</w:t>
      </w:r>
      <w:r w:rsidRPr="000915AB">
        <w:rPr>
          <w:rFonts w:ascii="Book Antiqua" w:hAnsi="Book Antiqua"/>
        </w:rPr>
        <w:t xml:space="preserve">, Lee EJ, Han JC, Kee C. Clinical Characteristics of Juvenile-onset Open Angle Glaucoma. </w:t>
      </w:r>
      <w:r w:rsidRPr="000915AB">
        <w:rPr>
          <w:rFonts w:ascii="Book Antiqua" w:hAnsi="Book Antiqua"/>
          <w:i/>
          <w:iCs/>
        </w:rPr>
        <w:t>Korean J Ophthalmol</w:t>
      </w:r>
      <w:r w:rsidRPr="000915AB">
        <w:rPr>
          <w:rFonts w:ascii="Book Antiqua" w:hAnsi="Book Antiqua"/>
        </w:rPr>
        <w:t xml:space="preserve"> 2016; </w:t>
      </w:r>
      <w:r w:rsidRPr="000915AB">
        <w:rPr>
          <w:rFonts w:ascii="Book Antiqua" w:hAnsi="Book Antiqua"/>
          <w:b/>
          <w:bCs/>
        </w:rPr>
        <w:t>30</w:t>
      </w:r>
      <w:r w:rsidRPr="000915AB">
        <w:rPr>
          <w:rFonts w:ascii="Book Antiqua" w:hAnsi="Book Antiqua"/>
        </w:rPr>
        <w:t>: 127-133 [PMID: 27051261 DOI: 10.3341/kjo.2016.30.2.127]</w:t>
      </w:r>
    </w:p>
    <w:p w14:paraId="15EA3C77"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4 </w:t>
      </w:r>
      <w:r w:rsidRPr="000915AB">
        <w:rPr>
          <w:rFonts w:ascii="Book Antiqua" w:hAnsi="Book Antiqua"/>
          <w:b/>
          <w:bCs/>
        </w:rPr>
        <w:t>Weinreb RN</w:t>
      </w:r>
      <w:r w:rsidRPr="000915AB">
        <w:rPr>
          <w:rFonts w:ascii="Book Antiqua" w:hAnsi="Book Antiqua"/>
        </w:rPr>
        <w:t xml:space="preserve">, Leung CK, Crowston JG, Medeiros FA, Friedman DS, Wiggs JL, Martin KR. Primary open-angle glaucoma. </w:t>
      </w:r>
      <w:r w:rsidRPr="000915AB">
        <w:rPr>
          <w:rFonts w:ascii="Book Antiqua" w:hAnsi="Book Antiqua"/>
          <w:i/>
          <w:iCs/>
        </w:rPr>
        <w:t>Nat Rev Dis Primers</w:t>
      </w:r>
      <w:r w:rsidRPr="000915AB">
        <w:rPr>
          <w:rFonts w:ascii="Book Antiqua" w:hAnsi="Book Antiqua"/>
        </w:rPr>
        <w:t xml:space="preserve"> 2016; </w:t>
      </w:r>
      <w:r w:rsidRPr="000915AB">
        <w:rPr>
          <w:rFonts w:ascii="Book Antiqua" w:hAnsi="Book Antiqua"/>
          <w:b/>
          <w:bCs/>
        </w:rPr>
        <w:t>2</w:t>
      </w:r>
      <w:r w:rsidRPr="000915AB">
        <w:rPr>
          <w:rFonts w:ascii="Book Antiqua" w:hAnsi="Book Antiqua"/>
        </w:rPr>
        <w:t>: 16067 [PMID: 27654570 DOI: 10.1038/nrdp.2016.67]</w:t>
      </w:r>
    </w:p>
    <w:p w14:paraId="561E548E"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5 </w:t>
      </w:r>
      <w:r w:rsidRPr="000915AB">
        <w:rPr>
          <w:rFonts w:ascii="Book Antiqua" w:hAnsi="Book Antiqua"/>
          <w:b/>
          <w:bCs/>
        </w:rPr>
        <w:t>Wax MB</w:t>
      </w:r>
      <w:r w:rsidRPr="000915AB">
        <w:rPr>
          <w:rFonts w:ascii="Book Antiqua" w:hAnsi="Book Antiqua"/>
        </w:rPr>
        <w:t xml:space="preserve">, Tezel G, Yang J, Peng G, Patil RV, Agarwal N, Sappington RM, Calkins DJ. Induced autoimmunity to heat shock proteins elicits glaucomatous loss of retinal ganglion cell neurons via activated T-cell-derived fas-ligand. </w:t>
      </w:r>
      <w:r w:rsidRPr="000915AB">
        <w:rPr>
          <w:rFonts w:ascii="Book Antiqua" w:hAnsi="Book Antiqua"/>
          <w:i/>
          <w:iCs/>
        </w:rPr>
        <w:t>J Neurosci</w:t>
      </w:r>
      <w:r w:rsidRPr="000915AB">
        <w:rPr>
          <w:rFonts w:ascii="Book Antiqua" w:hAnsi="Book Antiqua"/>
        </w:rPr>
        <w:t xml:space="preserve"> 2008; </w:t>
      </w:r>
      <w:r w:rsidRPr="000915AB">
        <w:rPr>
          <w:rFonts w:ascii="Book Antiqua" w:hAnsi="Book Antiqua"/>
          <w:b/>
          <w:bCs/>
        </w:rPr>
        <w:t>28</w:t>
      </w:r>
      <w:r w:rsidRPr="000915AB">
        <w:rPr>
          <w:rFonts w:ascii="Book Antiqua" w:hAnsi="Book Antiqua"/>
        </w:rPr>
        <w:t>: 12085-12096 [PMID: 19005073 DOI: 10.1523/JNEUROSCI.3200-08.2008]</w:t>
      </w:r>
    </w:p>
    <w:p w14:paraId="649EB5AF"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6 </w:t>
      </w:r>
      <w:r w:rsidRPr="000915AB">
        <w:rPr>
          <w:rFonts w:ascii="Book Antiqua" w:hAnsi="Book Antiqua"/>
          <w:b/>
          <w:bCs/>
        </w:rPr>
        <w:t>Huang C</w:t>
      </w:r>
      <w:r w:rsidRPr="000915AB">
        <w:rPr>
          <w:rFonts w:ascii="Book Antiqua" w:hAnsi="Book Antiqua"/>
        </w:rPr>
        <w:t xml:space="preserve">, Xie L, Wu Z, Cao Y, Zheng Y, Pang CP, Zhang M. Detection of mutations in MYOC, OPTN, NTF4, WDR36 and CYP1B1 in Chinese juvenile onset open-angle glaucoma using exome sequencing. </w:t>
      </w:r>
      <w:r w:rsidRPr="000915AB">
        <w:rPr>
          <w:rFonts w:ascii="Book Antiqua" w:hAnsi="Book Antiqua"/>
          <w:i/>
          <w:iCs/>
        </w:rPr>
        <w:t>Sci Rep</w:t>
      </w:r>
      <w:r w:rsidRPr="000915AB">
        <w:rPr>
          <w:rFonts w:ascii="Book Antiqua" w:hAnsi="Book Antiqua"/>
        </w:rPr>
        <w:t xml:space="preserve"> 2018; </w:t>
      </w:r>
      <w:r w:rsidRPr="000915AB">
        <w:rPr>
          <w:rFonts w:ascii="Book Antiqua" w:hAnsi="Book Antiqua"/>
          <w:b/>
          <w:bCs/>
        </w:rPr>
        <w:t>8</w:t>
      </w:r>
      <w:r w:rsidRPr="000915AB">
        <w:rPr>
          <w:rFonts w:ascii="Book Antiqua" w:hAnsi="Book Antiqua"/>
        </w:rPr>
        <w:t>: 4498 [PMID: 29540704 DOI: 10.1038/s41598-018-22337-2]</w:t>
      </w:r>
    </w:p>
    <w:p w14:paraId="37ACDC35" w14:textId="1BC545B3" w:rsidR="004B11D8" w:rsidRPr="000915AB" w:rsidRDefault="004B11D8" w:rsidP="000915AB">
      <w:pPr>
        <w:spacing w:line="360" w:lineRule="auto"/>
        <w:jc w:val="both"/>
        <w:rPr>
          <w:rFonts w:ascii="Book Antiqua" w:hAnsi="Book Antiqua"/>
        </w:rPr>
      </w:pPr>
      <w:r w:rsidRPr="000915AB">
        <w:rPr>
          <w:rFonts w:ascii="Book Antiqua" w:hAnsi="Book Antiqua"/>
        </w:rPr>
        <w:t xml:space="preserve">7 </w:t>
      </w:r>
      <w:r w:rsidRPr="000915AB">
        <w:rPr>
          <w:rFonts w:ascii="Book Antiqua" w:hAnsi="Book Antiqua"/>
          <w:b/>
          <w:bCs/>
        </w:rPr>
        <w:t>Saeedi O</w:t>
      </w:r>
      <w:r w:rsidRPr="000915AB">
        <w:rPr>
          <w:rFonts w:ascii="Book Antiqua" w:hAnsi="Book Antiqua"/>
        </w:rPr>
        <w:t xml:space="preserve">, Yousaf S, Tsai J, Palmer K, Riazuddin S, Ahmed ZM. Delineation of Novel Compound Heterozygous Variants in LTBP2 Associated with Juvenile Open Angle Glaucoma. </w:t>
      </w:r>
      <w:r w:rsidRPr="000915AB">
        <w:rPr>
          <w:rFonts w:ascii="Book Antiqua" w:hAnsi="Book Antiqua"/>
          <w:i/>
          <w:iCs/>
        </w:rPr>
        <w:t>Genes</w:t>
      </w:r>
      <w:r w:rsidRPr="000915AB">
        <w:rPr>
          <w:rFonts w:ascii="Book Antiqua" w:hAnsi="Book Antiqua"/>
        </w:rPr>
        <w:t xml:space="preserve"> (Basel) 2018; </w:t>
      </w:r>
      <w:r w:rsidRPr="000915AB">
        <w:rPr>
          <w:rFonts w:ascii="Book Antiqua" w:hAnsi="Book Antiqua"/>
          <w:b/>
          <w:bCs/>
        </w:rPr>
        <w:t>9</w:t>
      </w:r>
      <w:r w:rsidRPr="000915AB">
        <w:rPr>
          <w:rFonts w:ascii="Book Antiqua" w:hAnsi="Book Antiqua"/>
        </w:rPr>
        <w:t>:</w:t>
      </w:r>
      <w:r w:rsidR="004D6C7C" w:rsidRPr="000915AB">
        <w:rPr>
          <w:rFonts w:ascii="Book Antiqua" w:hAnsi="Book Antiqua"/>
        </w:rPr>
        <w:t xml:space="preserve"> 527</w:t>
      </w:r>
      <w:r w:rsidRPr="000915AB">
        <w:rPr>
          <w:rFonts w:ascii="Book Antiqua" w:hAnsi="Book Antiqua"/>
        </w:rPr>
        <w:t xml:space="preserve"> [PMID: 30380740 DOI: 10.3390/genes9110527]</w:t>
      </w:r>
    </w:p>
    <w:p w14:paraId="7D88AABA"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8 </w:t>
      </w:r>
      <w:r w:rsidRPr="000915AB">
        <w:rPr>
          <w:rFonts w:ascii="Book Antiqua" w:hAnsi="Book Antiqua"/>
          <w:b/>
          <w:bCs/>
        </w:rPr>
        <w:t>Jiang YH</w:t>
      </w:r>
      <w:r w:rsidRPr="000915AB">
        <w:rPr>
          <w:rFonts w:ascii="Book Antiqua" w:hAnsi="Book Antiqua"/>
        </w:rPr>
        <w:t xml:space="preserve">, Yuen RK, Jin X, Wang M, Chen N, Wu X, Ju J, Mei J, Shi Y, He M, Wang G, Liang J, Wang Z, Cao D, Carter MT, Chrysler C, Drmic IE, Howe JL, Lau L, Marshall CR, Merico D, Nalpathamkalam T, Thiruvahindrapuram B, Thompson A, Uddin M, Walker S, Luo J, Anagnostou E, Zwaigenbaum L, Ring RH, Wang J, Lajonchere C, Wang J, Shih A, Szatmari P, Yang H, Dawson G, Li Y, Scherer SW. Detection of clinically relevant genetic variants in autism spectrum disorder by whole-genome sequencing. </w:t>
      </w:r>
      <w:r w:rsidRPr="000915AB">
        <w:rPr>
          <w:rFonts w:ascii="Book Antiqua" w:hAnsi="Book Antiqua"/>
          <w:i/>
          <w:iCs/>
        </w:rPr>
        <w:t>Am J Hum Genet</w:t>
      </w:r>
      <w:r w:rsidRPr="000915AB">
        <w:rPr>
          <w:rFonts w:ascii="Book Antiqua" w:hAnsi="Book Antiqua"/>
        </w:rPr>
        <w:t xml:space="preserve"> 2013; </w:t>
      </w:r>
      <w:r w:rsidRPr="000915AB">
        <w:rPr>
          <w:rFonts w:ascii="Book Antiqua" w:hAnsi="Book Antiqua"/>
          <w:b/>
          <w:bCs/>
        </w:rPr>
        <w:t>93</w:t>
      </w:r>
      <w:r w:rsidRPr="000915AB">
        <w:rPr>
          <w:rFonts w:ascii="Book Antiqua" w:hAnsi="Book Antiqua"/>
        </w:rPr>
        <w:t>: 249-263 [PMID: 23849776 DOI: 10.1016/j.ajhg.2013.06.012]</w:t>
      </w:r>
    </w:p>
    <w:p w14:paraId="7F0A9ABA"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9 </w:t>
      </w:r>
      <w:r w:rsidRPr="000915AB">
        <w:rPr>
          <w:rFonts w:ascii="Book Antiqua" w:hAnsi="Book Antiqua"/>
          <w:b/>
          <w:bCs/>
        </w:rPr>
        <w:t>Guo C</w:t>
      </w:r>
      <w:r w:rsidRPr="000915AB">
        <w:rPr>
          <w:rFonts w:ascii="Book Antiqua" w:hAnsi="Book Antiqua"/>
        </w:rPr>
        <w:t xml:space="preserve">, Zhao Z, Chen D, He S, Sun N, Li Z, Liu J, Zhang D, Zhang J, Li J, Zhang M, Ge J, Liu X, Zhang X, Fan Z. Detection of Clinically Relevant Genetic Variants in Chinese Patients With Nanophthalmos by Trio-Based Whole-Genome Sequencing Study. </w:t>
      </w:r>
      <w:r w:rsidRPr="000915AB">
        <w:rPr>
          <w:rFonts w:ascii="Book Antiqua" w:hAnsi="Book Antiqua"/>
          <w:i/>
          <w:iCs/>
        </w:rPr>
        <w:t>Invest Ophthalmol Vis Sci</w:t>
      </w:r>
      <w:r w:rsidRPr="000915AB">
        <w:rPr>
          <w:rFonts w:ascii="Book Antiqua" w:hAnsi="Book Antiqua"/>
        </w:rPr>
        <w:t xml:space="preserve"> 2019; </w:t>
      </w:r>
      <w:r w:rsidRPr="000915AB">
        <w:rPr>
          <w:rFonts w:ascii="Book Antiqua" w:hAnsi="Book Antiqua"/>
          <w:b/>
          <w:bCs/>
        </w:rPr>
        <w:t>60</w:t>
      </w:r>
      <w:r w:rsidRPr="000915AB">
        <w:rPr>
          <w:rFonts w:ascii="Book Antiqua" w:hAnsi="Book Antiqua"/>
        </w:rPr>
        <w:t>: 2904-2913 [PMID: 31266062 DOI: 10.1167/iovs.18-26275]</w:t>
      </w:r>
    </w:p>
    <w:p w14:paraId="54DEC6D5"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10 </w:t>
      </w:r>
      <w:r w:rsidRPr="000915AB">
        <w:rPr>
          <w:rFonts w:ascii="Book Antiqua" w:hAnsi="Book Antiqua"/>
          <w:b/>
          <w:bCs/>
        </w:rPr>
        <w:t>Richards S</w:t>
      </w:r>
      <w:r w:rsidRPr="000915AB">
        <w:rPr>
          <w:rFonts w:ascii="Book Antiqua" w:hAnsi="Book Antiqua"/>
        </w:rPr>
        <w:t xml:space="preserve">, Aziz N, Bale S, Bick D, Das S, Gastier-Foster J, Grody WW, Hegde M, Lyon E, Spector E, Voelkerding K, Rehm HL; ACMG Laboratory Quality Assurance Committee. Standards and guidelines for the interpretation of sequence variants: a joint consensus recommendation of the American College of Medical Genetics and Genomics and the Association for Molecular Pathology. </w:t>
      </w:r>
      <w:r w:rsidRPr="000915AB">
        <w:rPr>
          <w:rFonts w:ascii="Book Antiqua" w:hAnsi="Book Antiqua"/>
          <w:i/>
          <w:iCs/>
        </w:rPr>
        <w:t>Genet Med</w:t>
      </w:r>
      <w:r w:rsidRPr="000915AB">
        <w:rPr>
          <w:rFonts w:ascii="Book Antiqua" w:hAnsi="Book Antiqua"/>
        </w:rPr>
        <w:t xml:space="preserve"> 2015; </w:t>
      </w:r>
      <w:r w:rsidRPr="000915AB">
        <w:rPr>
          <w:rFonts w:ascii="Book Antiqua" w:hAnsi="Book Antiqua"/>
          <w:b/>
          <w:bCs/>
        </w:rPr>
        <w:t>17</w:t>
      </w:r>
      <w:r w:rsidRPr="000915AB">
        <w:rPr>
          <w:rFonts w:ascii="Book Antiqua" w:hAnsi="Book Antiqua"/>
        </w:rPr>
        <w:t>: 405-424 [PMID: 25741868 DOI: 10.1038/gim.2015.30]</w:t>
      </w:r>
    </w:p>
    <w:p w14:paraId="017EBD90"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11 </w:t>
      </w:r>
      <w:r w:rsidRPr="000915AB">
        <w:rPr>
          <w:rFonts w:ascii="Book Antiqua" w:hAnsi="Book Antiqua"/>
          <w:b/>
          <w:bCs/>
        </w:rPr>
        <w:t>Davies GS</w:t>
      </w:r>
      <w:r w:rsidRPr="000915AB">
        <w:rPr>
          <w:rFonts w:ascii="Book Antiqua" w:hAnsi="Book Antiqua"/>
        </w:rPr>
        <w:t xml:space="preserve">, Cohen J. In-vitro study of the activity of ciprofloxacin alone and in combination against strains of Pseudomonas aeruginosa with multiple antibiotic resistance. </w:t>
      </w:r>
      <w:r w:rsidRPr="000915AB">
        <w:rPr>
          <w:rFonts w:ascii="Book Antiqua" w:hAnsi="Book Antiqua"/>
          <w:i/>
          <w:iCs/>
        </w:rPr>
        <w:t>J Antimicrob Chemother</w:t>
      </w:r>
      <w:r w:rsidRPr="000915AB">
        <w:rPr>
          <w:rFonts w:ascii="Book Antiqua" w:hAnsi="Book Antiqua"/>
        </w:rPr>
        <w:t xml:space="preserve"> 1985; </w:t>
      </w:r>
      <w:r w:rsidRPr="000915AB">
        <w:rPr>
          <w:rFonts w:ascii="Book Antiqua" w:hAnsi="Book Antiqua"/>
          <w:b/>
          <w:bCs/>
        </w:rPr>
        <w:t>16</w:t>
      </w:r>
      <w:r w:rsidRPr="000915AB">
        <w:rPr>
          <w:rFonts w:ascii="Book Antiqua" w:hAnsi="Book Antiqua"/>
        </w:rPr>
        <w:t>: 713-717 [PMID: 2936706 DOI: 10.1007/s12035-009-8076-x]</w:t>
      </w:r>
    </w:p>
    <w:p w14:paraId="763AEB2A"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12 </w:t>
      </w:r>
      <w:r w:rsidRPr="000915AB">
        <w:rPr>
          <w:rFonts w:ascii="Book Antiqua" w:hAnsi="Book Antiqua"/>
          <w:b/>
          <w:bCs/>
        </w:rPr>
        <w:t>Sultana A</w:t>
      </w:r>
      <w:r w:rsidRPr="000915AB">
        <w:rPr>
          <w:rFonts w:ascii="Book Antiqua" w:hAnsi="Book Antiqua"/>
        </w:rPr>
        <w:t xml:space="preserve">, Nakaya N, Senatorov VV, Tomarev SI. Olfactomedin 2: expression in the eye and interaction with other olfactomedin domain-containing proteins. </w:t>
      </w:r>
      <w:r w:rsidRPr="000915AB">
        <w:rPr>
          <w:rFonts w:ascii="Book Antiqua" w:hAnsi="Book Antiqua"/>
          <w:i/>
          <w:iCs/>
        </w:rPr>
        <w:t>Invest Ophthalmol Vis Sci</w:t>
      </w:r>
      <w:r w:rsidRPr="000915AB">
        <w:rPr>
          <w:rFonts w:ascii="Book Antiqua" w:hAnsi="Book Antiqua"/>
        </w:rPr>
        <w:t xml:space="preserve"> 2011; </w:t>
      </w:r>
      <w:r w:rsidRPr="000915AB">
        <w:rPr>
          <w:rFonts w:ascii="Book Antiqua" w:hAnsi="Book Antiqua"/>
          <w:b/>
          <w:bCs/>
        </w:rPr>
        <w:t>52</w:t>
      </w:r>
      <w:r w:rsidRPr="000915AB">
        <w:rPr>
          <w:rFonts w:ascii="Book Antiqua" w:hAnsi="Book Antiqua"/>
        </w:rPr>
        <w:t>: 2584-2592 [PMID: 21228389 DOI: 10.1167/iovs.10-6356]</w:t>
      </w:r>
    </w:p>
    <w:p w14:paraId="4D5CB0C1"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13 </w:t>
      </w:r>
      <w:r w:rsidRPr="000915AB">
        <w:rPr>
          <w:rFonts w:ascii="Book Antiqua" w:hAnsi="Book Antiqua"/>
          <w:b/>
          <w:bCs/>
        </w:rPr>
        <w:t>Sears NC</w:t>
      </w:r>
      <w:r w:rsidRPr="000915AB">
        <w:rPr>
          <w:rFonts w:ascii="Book Antiqua" w:hAnsi="Book Antiqua"/>
        </w:rPr>
        <w:t xml:space="preserve">, Boese EA, Miller MA, Fingert JH. Mendelian genes in primary open angle glaucoma. </w:t>
      </w:r>
      <w:r w:rsidRPr="000915AB">
        <w:rPr>
          <w:rFonts w:ascii="Book Antiqua" w:hAnsi="Book Antiqua"/>
          <w:i/>
          <w:iCs/>
        </w:rPr>
        <w:t>Exp Eye Res</w:t>
      </w:r>
      <w:r w:rsidRPr="000915AB">
        <w:rPr>
          <w:rFonts w:ascii="Book Antiqua" w:hAnsi="Book Antiqua"/>
        </w:rPr>
        <w:t xml:space="preserve"> 2019; </w:t>
      </w:r>
      <w:r w:rsidRPr="000915AB">
        <w:rPr>
          <w:rFonts w:ascii="Book Antiqua" w:hAnsi="Book Antiqua"/>
          <w:b/>
          <w:bCs/>
        </w:rPr>
        <w:t>186</w:t>
      </w:r>
      <w:r w:rsidRPr="000915AB">
        <w:rPr>
          <w:rFonts w:ascii="Book Antiqua" w:hAnsi="Book Antiqua"/>
        </w:rPr>
        <w:t>: 107702 [PMID: 31238079 DOI: 10.1016/j.exer.2019.107702]</w:t>
      </w:r>
    </w:p>
    <w:p w14:paraId="77F5C349"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14 </w:t>
      </w:r>
      <w:r w:rsidRPr="000915AB">
        <w:rPr>
          <w:rFonts w:ascii="Book Antiqua" w:hAnsi="Book Antiqua"/>
          <w:b/>
          <w:bCs/>
        </w:rPr>
        <w:t>Li Q</w:t>
      </w:r>
      <w:r w:rsidRPr="000915AB">
        <w:rPr>
          <w:rFonts w:ascii="Book Antiqua" w:hAnsi="Book Antiqua"/>
        </w:rPr>
        <w:t xml:space="preserve">, Liu A, Gu X, Su Z. Olfactomedin domain-containing proteins: evolution, functional divergence, expression patterns and damaging SNPs. </w:t>
      </w:r>
      <w:r w:rsidRPr="000915AB">
        <w:rPr>
          <w:rFonts w:ascii="Book Antiqua" w:hAnsi="Book Antiqua"/>
          <w:i/>
          <w:iCs/>
        </w:rPr>
        <w:t>Mol Genet Genomics</w:t>
      </w:r>
      <w:r w:rsidRPr="000915AB">
        <w:rPr>
          <w:rFonts w:ascii="Book Antiqua" w:hAnsi="Book Antiqua"/>
        </w:rPr>
        <w:t xml:space="preserve"> 2019; </w:t>
      </w:r>
      <w:r w:rsidRPr="000915AB">
        <w:rPr>
          <w:rFonts w:ascii="Book Antiqua" w:hAnsi="Book Antiqua"/>
          <w:b/>
          <w:bCs/>
        </w:rPr>
        <w:t>294</w:t>
      </w:r>
      <w:r w:rsidRPr="000915AB">
        <w:rPr>
          <w:rFonts w:ascii="Book Antiqua" w:hAnsi="Book Antiqua"/>
        </w:rPr>
        <w:t>: 875-885 [PMID: 30915543 DOI: 10.1007/s00438-019-01549-9]</w:t>
      </w:r>
    </w:p>
    <w:p w14:paraId="2A51CC4B"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15 </w:t>
      </w:r>
      <w:r w:rsidRPr="000915AB">
        <w:rPr>
          <w:rFonts w:ascii="Book Antiqua" w:hAnsi="Book Antiqua"/>
          <w:b/>
          <w:bCs/>
        </w:rPr>
        <w:t>Funayama T</w:t>
      </w:r>
      <w:r w:rsidRPr="000915AB">
        <w:rPr>
          <w:rFonts w:ascii="Book Antiqua" w:hAnsi="Book Antiqua"/>
        </w:rPr>
        <w:t xml:space="preserve">, Mashima Y, Ohtake Y, Ishikawa K, Fuse N, Yasuda N, Fukuchi T, Murakami A, Hotta Y, Shimada N; Glaucoma Gene Research Group. SNPs and interaction analyses of noelin 2, myocilin, and optineurin genes in Japanese patients with open-angle glaucoma. </w:t>
      </w:r>
      <w:r w:rsidRPr="000915AB">
        <w:rPr>
          <w:rFonts w:ascii="Book Antiqua" w:hAnsi="Book Antiqua"/>
          <w:i/>
          <w:iCs/>
        </w:rPr>
        <w:t>Invest Ophthalmol Vis Sci</w:t>
      </w:r>
      <w:r w:rsidRPr="000915AB">
        <w:rPr>
          <w:rFonts w:ascii="Book Antiqua" w:hAnsi="Book Antiqua"/>
        </w:rPr>
        <w:t xml:space="preserve"> 2006; </w:t>
      </w:r>
      <w:r w:rsidRPr="000915AB">
        <w:rPr>
          <w:rFonts w:ascii="Book Antiqua" w:hAnsi="Book Antiqua"/>
          <w:b/>
          <w:bCs/>
        </w:rPr>
        <w:t>47</w:t>
      </w:r>
      <w:r w:rsidRPr="000915AB">
        <w:rPr>
          <w:rFonts w:ascii="Book Antiqua" w:hAnsi="Book Antiqua"/>
        </w:rPr>
        <w:t>: 5368-5375 [PMID: 17122126 DOI: 10.1167/iovs.06-0196]</w:t>
      </w:r>
    </w:p>
    <w:p w14:paraId="1F172DFE" w14:textId="00D8DE84" w:rsidR="004B11D8" w:rsidRPr="000915AB" w:rsidRDefault="004B11D8" w:rsidP="000915AB">
      <w:pPr>
        <w:spacing w:line="360" w:lineRule="auto"/>
        <w:jc w:val="both"/>
        <w:rPr>
          <w:rFonts w:ascii="Book Antiqua" w:hAnsi="Book Antiqua"/>
        </w:rPr>
      </w:pPr>
      <w:r w:rsidRPr="000915AB">
        <w:rPr>
          <w:rFonts w:ascii="Book Antiqua" w:hAnsi="Book Antiqua"/>
        </w:rPr>
        <w:t xml:space="preserve">16 </w:t>
      </w:r>
      <w:r w:rsidRPr="000915AB">
        <w:rPr>
          <w:rFonts w:ascii="Book Antiqua" w:hAnsi="Book Antiqua"/>
          <w:b/>
          <w:bCs/>
        </w:rPr>
        <w:t>Mélik Parsadaniantz S</w:t>
      </w:r>
      <w:r w:rsidRPr="000915AB">
        <w:rPr>
          <w:rFonts w:ascii="Book Antiqua" w:hAnsi="Book Antiqua"/>
        </w:rPr>
        <w:t xml:space="preserve">, Réaux-le Goazigo A, Sapienza A, Habas C, Baudouin C. Glaucoma: A Degenerative Optic Neuropathy Related to Neuroinflammation? </w:t>
      </w:r>
      <w:r w:rsidRPr="000915AB">
        <w:rPr>
          <w:rFonts w:ascii="Book Antiqua" w:hAnsi="Book Antiqua"/>
          <w:i/>
          <w:iCs/>
        </w:rPr>
        <w:t>Cells</w:t>
      </w:r>
      <w:r w:rsidRPr="000915AB">
        <w:rPr>
          <w:rFonts w:ascii="Book Antiqua" w:hAnsi="Book Antiqua"/>
        </w:rPr>
        <w:t xml:space="preserve"> 2020; </w:t>
      </w:r>
      <w:r w:rsidRPr="000915AB">
        <w:rPr>
          <w:rFonts w:ascii="Book Antiqua" w:hAnsi="Book Antiqua"/>
          <w:b/>
          <w:bCs/>
        </w:rPr>
        <w:t>9</w:t>
      </w:r>
      <w:r w:rsidRPr="000915AB">
        <w:rPr>
          <w:rFonts w:ascii="Book Antiqua" w:hAnsi="Book Antiqua"/>
        </w:rPr>
        <w:t xml:space="preserve">: </w:t>
      </w:r>
      <w:r w:rsidR="004C3011" w:rsidRPr="000915AB">
        <w:rPr>
          <w:rFonts w:ascii="Book Antiqua" w:hAnsi="Book Antiqua"/>
        </w:rPr>
        <w:t xml:space="preserve">535 </w:t>
      </w:r>
      <w:r w:rsidRPr="000915AB">
        <w:rPr>
          <w:rFonts w:ascii="Book Antiqua" w:hAnsi="Book Antiqua"/>
        </w:rPr>
        <w:t>[PMID: 32106630 DOI: 10.3390/cells9030535]</w:t>
      </w:r>
    </w:p>
    <w:p w14:paraId="574C2D75"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17 </w:t>
      </w:r>
      <w:r w:rsidRPr="000915AB">
        <w:rPr>
          <w:rFonts w:ascii="Book Antiqua" w:hAnsi="Book Antiqua"/>
          <w:b/>
          <w:bCs/>
        </w:rPr>
        <w:t>Williams PA</w:t>
      </w:r>
      <w:r w:rsidRPr="000915AB">
        <w:rPr>
          <w:rFonts w:ascii="Book Antiqua" w:hAnsi="Book Antiqua"/>
        </w:rPr>
        <w:t xml:space="preserve">, Marsh-Armstrong N, Howell GR; Lasker/IRRF Initiative on Astrocytes and Glaucomatous Neurodegeneration Participants. Neuroinflammation in glaucoma: A new opportunity. </w:t>
      </w:r>
      <w:r w:rsidRPr="000915AB">
        <w:rPr>
          <w:rFonts w:ascii="Book Antiqua" w:hAnsi="Book Antiqua"/>
          <w:i/>
          <w:iCs/>
        </w:rPr>
        <w:t>Exp Eye Res</w:t>
      </w:r>
      <w:r w:rsidRPr="000915AB">
        <w:rPr>
          <w:rFonts w:ascii="Book Antiqua" w:hAnsi="Book Antiqua"/>
        </w:rPr>
        <w:t xml:space="preserve"> 2017; </w:t>
      </w:r>
      <w:r w:rsidRPr="000915AB">
        <w:rPr>
          <w:rFonts w:ascii="Book Antiqua" w:hAnsi="Book Antiqua"/>
          <w:b/>
          <w:bCs/>
        </w:rPr>
        <w:t>157</w:t>
      </w:r>
      <w:r w:rsidRPr="000915AB">
        <w:rPr>
          <w:rFonts w:ascii="Book Antiqua" w:hAnsi="Book Antiqua"/>
        </w:rPr>
        <w:t>: 20-27 [PMID: 28242160 DOI: 10.1016/j.exer.2017.02.014]</w:t>
      </w:r>
    </w:p>
    <w:p w14:paraId="2078C696"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18 </w:t>
      </w:r>
      <w:r w:rsidRPr="000915AB">
        <w:rPr>
          <w:rFonts w:ascii="Book Antiqua" w:hAnsi="Book Antiqua"/>
          <w:b/>
          <w:bCs/>
        </w:rPr>
        <w:t>Sultana A</w:t>
      </w:r>
      <w:r w:rsidRPr="000915AB">
        <w:rPr>
          <w:rFonts w:ascii="Book Antiqua" w:hAnsi="Book Antiqua"/>
        </w:rPr>
        <w:t xml:space="preserve">, Nakaya N, Dong L, Abu-Asab M, Qian H, Tomarev SI. Deletion of olfactomedin 2 induces changes in the AMPA receptor complex and impairs visual, olfactory, and motor functions in mice. </w:t>
      </w:r>
      <w:r w:rsidRPr="000915AB">
        <w:rPr>
          <w:rFonts w:ascii="Book Antiqua" w:hAnsi="Book Antiqua"/>
          <w:i/>
          <w:iCs/>
        </w:rPr>
        <w:t>Exp Neurol</w:t>
      </w:r>
      <w:r w:rsidRPr="000915AB">
        <w:rPr>
          <w:rFonts w:ascii="Book Antiqua" w:hAnsi="Book Antiqua"/>
        </w:rPr>
        <w:t xml:space="preserve"> 2014; </w:t>
      </w:r>
      <w:r w:rsidRPr="000915AB">
        <w:rPr>
          <w:rFonts w:ascii="Book Antiqua" w:hAnsi="Book Antiqua"/>
          <w:b/>
          <w:bCs/>
        </w:rPr>
        <w:t>261</w:t>
      </w:r>
      <w:r w:rsidRPr="000915AB">
        <w:rPr>
          <w:rFonts w:ascii="Book Antiqua" w:hAnsi="Book Antiqua"/>
        </w:rPr>
        <w:t>: 802-811 [PMID: 25218043 DOI: 10.1016/j.expneurol.2014.09.002]</w:t>
      </w:r>
    </w:p>
    <w:p w14:paraId="54671D3E"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19 </w:t>
      </w:r>
      <w:r w:rsidRPr="000915AB">
        <w:rPr>
          <w:rFonts w:ascii="Book Antiqua" w:hAnsi="Book Antiqua"/>
          <w:b/>
          <w:bCs/>
        </w:rPr>
        <w:t>Zhang D</w:t>
      </w:r>
      <w:r w:rsidRPr="000915AB">
        <w:rPr>
          <w:rFonts w:ascii="Book Antiqua" w:hAnsi="Book Antiqua"/>
        </w:rPr>
        <w:t xml:space="preserve">, Fan Z, Gao X, Huang W, Yang Q, Li Z, Lin M, Xiao H, Ge J. Illness uncertainty, anxiety and depression in Chinese patients with glaucoma or cataract. </w:t>
      </w:r>
      <w:r w:rsidRPr="000915AB">
        <w:rPr>
          <w:rFonts w:ascii="Book Antiqua" w:hAnsi="Book Antiqua"/>
          <w:i/>
          <w:iCs/>
        </w:rPr>
        <w:t>Sci Rep</w:t>
      </w:r>
      <w:r w:rsidRPr="000915AB">
        <w:rPr>
          <w:rFonts w:ascii="Book Antiqua" w:hAnsi="Book Antiqua"/>
        </w:rPr>
        <w:t xml:space="preserve"> 2018; </w:t>
      </w:r>
      <w:r w:rsidRPr="000915AB">
        <w:rPr>
          <w:rFonts w:ascii="Book Antiqua" w:hAnsi="Book Antiqua"/>
          <w:b/>
          <w:bCs/>
        </w:rPr>
        <w:t>8</w:t>
      </w:r>
      <w:r w:rsidRPr="000915AB">
        <w:rPr>
          <w:rFonts w:ascii="Book Antiqua" w:hAnsi="Book Antiqua"/>
        </w:rPr>
        <w:t>: 11671 [PMID: 30076311 DOI: 10.1038/s41598-018-29489-1]</w:t>
      </w:r>
    </w:p>
    <w:p w14:paraId="12D9A892"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20 </w:t>
      </w:r>
      <w:r w:rsidRPr="000915AB">
        <w:rPr>
          <w:rFonts w:ascii="Book Antiqua" w:hAnsi="Book Antiqua"/>
          <w:b/>
          <w:bCs/>
        </w:rPr>
        <w:t>Zhang X</w:t>
      </w:r>
      <w:r w:rsidRPr="000915AB">
        <w:rPr>
          <w:rFonts w:ascii="Book Antiqua" w:hAnsi="Book Antiqua"/>
        </w:rPr>
        <w:t xml:space="preserve">, Olson DJ, Le P, Lin FC, Fleischman D, Davis RM. The Association Between Glaucoma, Anxiety, and Depression in a Large Population. </w:t>
      </w:r>
      <w:r w:rsidRPr="000915AB">
        <w:rPr>
          <w:rFonts w:ascii="Book Antiqua" w:hAnsi="Book Antiqua"/>
          <w:i/>
          <w:iCs/>
        </w:rPr>
        <w:t>Am J Ophthalmol</w:t>
      </w:r>
      <w:r w:rsidRPr="000915AB">
        <w:rPr>
          <w:rFonts w:ascii="Book Antiqua" w:hAnsi="Book Antiqua"/>
        </w:rPr>
        <w:t xml:space="preserve"> 2017; </w:t>
      </w:r>
      <w:r w:rsidRPr="000915AB">
        <w:rPr>
          <w:rFonts w:ascii="Book Antiqua" w:hAnsi="Book Antiqua"/>
          <w:b/>
          <w:bCs/>
        </w:rPr>
        <w:t>183</w:t>
      </w:r>
      <w:r w:rsidRPr="000915AB">
        <w:rPr>
          <w:rFonts w:ascii="Book Antiqua" w:hAnsi="Book Antiqua"/>
        </w:rPr>
        <w:t>: 37-41 [PMID: 28760639 DOI: 10.1016/j.ajo.2017.07.021]</w:t>
      </w:r>
    </w:p>
    <w:p w14:paraId="4324A2BC"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21 </w:t>
      </w:r>
      <w:r w:rsidRPr="000915AB">
        <w:rPr>
          <w:rFonts w:ascii="Book Antiqua" w:hAnsi="Book Antiqua"/>
          <w:b/>
          <w:bCs/>
        </w:rPr>
        <w:t>Rezapour J</w:t>
      </w:r>
      <w:r w:rsidRPr="000915AB">
        <w:rPr>
          <w:rFonts w:ascii="Book Antiqua" w:hAnsi="Book Antiqua"/>
        </w:rPr>
        <w:t xml:space="preserve">, Nickels S, Schuster AK, Michal M, Münzel T, Wild PS, Schmidtmann I, Lackner K, Schulz A, Pfeiffer N, Beutel ME. Prevalence of depression and anxiety among participants with glaucoma in a population-based cohort study: The Gutenberg Health Study. </w:t>
      </w:r>
      <w:r w:rsidRPr="000915AB">
        <w:rPr>
          <w:rFonts w:ascii="Book Antiqua" w:hAnsi="Book Antiqua"/>
          <w:i/>
          <w:iCs/>
        </w:rPr>
        <w:t>BMC Ophthalmol</w:t>
      </w:r>
      <w:r w:rsidRPr="000915AB">
        <w:rPr>
          <w:rFonts w:ascii="Book Antiqua" w:hAnsi="Book Antiqua"/>
        </w:rPr>
        <w:t xml:space="preserve"> 2018; </w:t>
      </w:r>
      <w:r w:rsidRPr="000915AB">
        <w:rPr>
          <w:rFonts w:ascii="Book Antiqua" w:hAnsi="Book Antiqua"/>
          <w:b/>
          <w:bCs/>
        </w:rPr>
        <w:t>18</w:t>
      </w:r>
      <w:r w:rsidRPr="000915AB">
        <w:rPr>
          <w:rFonts w:ascii="Book Antiqua" w:hAnsi="Book Antiqua"/>
        </w:rPr>
        <w:t>: 157 [PMID: 29954361 DOI: 10.1186/s12886-018-0831-1]</w:t>
      </w:r>
    </w:p>
    <w:p w14:paraId="6F83DAE3"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22 </w:t>
      </w:r>
      <w:r w:rsidRPr="000915AB">
        <w:rPr>
          <w:rFonts w:ascii="Book Antiqua" w:hAnsi="Book Antiqua"/>
          <w:b/>
          <w:bCs/>
        </w:rPr>
        <w:t>Rong SS</w:t>
      </w:r>
      <w:r w:rsidRPr="000915AB">
        <w:rPr>
          <w:rFonts w:ascii="Book Antiqua" w:hAnsi="Book Antiqua"/>
        </w:rPr>
        <w:t xml:space="preserve">, Lu SY, Matsushita K, Huang C, Leung CKS, Kawashima R, Usui S, Tam POS, Young AL, Tsujikawa M, Zhang M, Nishida K, Wiggs JL, Tham CC, Pang CP, Chen LJ. Association of the SIX6 locus with primary open angle glaucoma in southern Chinese and Japanese. </w:t>
      </w:r>
      <w:r w:rsidRPr="000915AB">
        <w:rPr>
          <w:rFonts w:ascii="Book Antiqua" w:hAnsi="Book Antiqua"/>
          <w:i/>
          <w:iCs/>
        </w:rPr>
        <w:t>Exp Eye Res</w:t>
      </w:r>
      <w:r w:rsidRPr="000915AB">
        <w:rPr>
          <w:rFonts w:ascii="Book Antiqua" w:hAnsi="Book Antiqua"/>
        </w:rPr>
        <w:t xml:space="preserve"> 2019; </w:t>
      </w:r>
      <w:r w:rsidRPr="000915AB">
        <w:rPr>
          <w:rFonts w:ascii="Book Antiqua" w:hAnsi="Book Antiqua"/>
          <w:b/>
          <w:bCs/>
        </w:rPr>
        <w:t>180</w:t>
      </w:r>
      <w:r w:rsidRPr="000915AB">
        <w:rPr>
          <w:rFonts w:ascii="Book Antiqua" w:hAnsi="Book Antiqua"/>
        </w:rPr>
        <w:t>: 129-136 [PMID: 30586556 DOI: 10.1016/j.exer.2018.12.014]</w:t>
      </w:r>
    </w:p>
    <w:p w14:paraId="30713971"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23 </w:t>
      </w:r>
      <w:r w:rsidRPr="000915AB">
        <w:rPr>
          <w:rFonts w:ascii="Book Antiqua" w:hAnsi="Book Antiqua"/>
          <w:b/>
          <w:bCs/>
        </w:rPr>
        <w:t>Kondkar AA</w:t>
      </w:r>
      <w:r w:rsidRPr="000915AB">
        <w:rPr>
          <w:rFonts w:ascii="Book Antiqua" w:hAnsi="Book Antiqua"/>
        </w:rPr>
        <w:t xml:space="preserve">, Azad TA, Almobarak FA, Kalantan H, Sultan T, Alsabaani NA, Al-Obeidan SA, Abu-Amero KK. Polymorphism rs10483727 in the SIX1/SIX6 Gene Locus Is a Risk Factor for Primary Open Angle Glaucoma in a Saudi Cohort. </w:t>
      </w:r>
      <w:r w:rsidRPr="000915AB">
        <w:rPr>
          <w:rFonts w:ascii="Book Antiqua" w:hAnsi="Book Antiqua"/>
          <w:i/>
          <w:iCs/>
        </w:rPr>
        <w:t>Genet Test Mol Biomarkers</w:t>
      </w:r>
      <w:r w:rsidRPr="000915AB">
        <w:rPr>
          <w:rFonts w:ascii="Book Antiqua" w:hAnsi="Book Antiqua"/>
        </w:rPr>
        <w:t xml:space="preserve"> 2018; </w:t>
      </w:r>
      <w:r w:rsidRPr="000915AB">
        <w:rPr>
          <w:rFonts w:ascii="Book Antiqua" w:hAnsi="Book Antiqua"/>
          <w:b/>
          <w:bCs/>
        </w:rPr>
        <w:t>22</w:t>
      </w:r>
      <w:r w:rsidRPr="000915AB">
        <w:rPr>
          <w:rFonts w:ascii="Book Antiqua" w:hAnsi="Book Antiqua"/>
        </w:rPr>
        <w:t>: 74-78 [PMID: 29190129 DOI: 10.1089/gtmb.2017.0159]</w:t>
      </w:r>
    </w:p>
    <w:p w14:paraId="02B56B03"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24 </w:t>
      </w:r>
      <w:r w:rsidRPr="000915AB">
        <w:rPr>
          <w:rFonts w:ascii="Book Antiqua" w:hAnsi="Book Antiqua"/>
          <w:b/>
          <w:bCs/>
        </w:rPr>
        <w:t>Khawaja AP</w:t>
      </w:r>
      <w:r w:rsidRPr="000915AB">
        <w:rPr>
          <w:rFonts w:ascii="Book Antiqua" w:hAnsi="Book Antiqua"/>
        </w:rPr>
        <w:t xml:space="preserve">, Chan MPY, Yip JLY, Broadway DC, Garway-Heath DF, Viswanathan AC, Luben R, Hayat S, Hauser MA, Wareham NJ, Khaw KT, Fortune B, Allingham RR, Foster PJ. A Common Glaucoma-risk Variant of SIX6 Alters Retinal Nerve Fiber Layer and Optic Disc Measures in a European Population: The EPIC-Norfolk Eye Study. </w:t>
      </w:r>
      <w:r w:rsidRPr="000915AB">
        <w:rPr>
          <w:rFonts w:ascii="Book Antiqua" w:hAnsi="Book Antiqua"/>
          <w:i/>
          <w:iCs/>
        </w:rPr>
        <w:t>J Glaucoma</w:t>
      </w:r>
      <w:r w:rsidRPr="000915AB">
        <w:rPr>
          <w:rFonts w:ascii="Book Antiqua" w:hAnsi="Book Antiqua"/>
        </w:rPr>
        <w:t xml:space="preserve"> 2018; </w:t>
      </w:r>
      <w:r w:rsidRPr="000915AB">
        <w:rPr>
          <w:rFonts w:ascii="Book Antiqua" w:hAnsi="Book Antiqua"/>
          <w:b/>
          <w:bCs/>
        </w:rPr>
        <w:t>27</w:t>
      </w:r>
      <w:r w:rsidRPr="000915AB">
        <w:rPr>
          <w:rFonts w:ascii="Book Antiqua" w:hAnsi="Book Antiqua"/>
        </w:rPr>
        <w:t>: 743-749 [PMID: 30005032 DOI: 10.1097/IJG.0000000000001026]</w:t>
      </w:r>
    </w:p>
    <w:p w14:paraId="04D70618"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25 </w:t>
      </w:r>
      <w:r w:rsidRPr="000915AB">
        <w:rPr>
          <w:rFonts w:ascii="Book Antiqua" w:hAnsi="Book Antiqua"/>
          <w:b/>
          <w:bCs/>
        </w:rPr>
        <w:t>Yariz KO</w:t>
      </w:r>
      <w:r w:rsidRPr="000915AB">
        <w:rPr>
          <w:rFonts w:ascii="Book Antiqua" w:hAnsi="Book Antiqua"/>
        </w:rPr>
        <w:t xml:space="preserve">, Sakalar YB, Jin X, Hertz J, Sener EF, Akay H, Özbek MN, Farooq A, Goldberg J, Tekin M. A homozygous SIX6 mutation is associated with optic disc anomalies and macular atrophy and reduces retinal ganglion cell differentiation. </w:t>
      </w:r>
      <w:r w:rsidRPr="000915AB">
        <w:rPr>
          <w:rFonts w:ascii="Book Antiqua" w:hAnsi="Book Antiqua"/>
          <w:i/>
          <w:iCs/>
        </w:rPr>
        <w:t>Clin Genet</w:t>
      </w:r>
      <w:r w:rsidRPr="000915AB">
        <w:rPr>
          <w:rFonts w:ascii="Book Antiqua" w:hAnsi="Book Antiqua"/>
        </w:rPr>
        <w:t xml:space="preserve"> 2015; </w:t>
      </w:r>
      <w:r w:rsidRPr="000915AB">
        <w:rPr>
          <w:rFonts w:ascii="Book Antiqua" w:hAnsi="Book Antiqua"/>
          <w:b/>
          <w:bCs/>
        </w:rPr>
        <w:t>87</w:t>
      </w:r>
      <w:r w:rsidRPr="000915AB">
        <w:rPr>
          <w:rFonts w:ascii="Book Antiqua" w:hAnsi="Book Antiqua"/>
        </w:rPr>
        <w:t>: 192-195 [PMID: 24702266 DOI: 10.1111/cge.12374]</w:t>
      </w:r>
    </w:p>
    <w:p w14:paraId="48117C72"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26 </w:t>
      </w:r>
      <w:r w:rsidRPr="000915AB">
        <w:rPr>
          <w:rFonts w:ascii="Book Antiqua" w:hAnsi="Book Antiqua"/>
          <w:b/>
          <w:bCs/>
        </w:rPr>
        <w:t>Carnes MU</w:t>
      </w:r>
      <w:r w:rsidRPr="000915AB">
        <w:rPr>
          <w:rFonts w:ascii="Book Antiqua" w:hAnsi="Book Antiqua"/>
        </w:rPr>
        <w:t xml:space="preserve">, Liu YP, Allingham RR, Whigham BT, Havens S, Garrett ME, Qiao C; NEIGHBORHOOD Consortium Investigators, Katsanis N, Wiggs JL, Pasquale LR, Ashley-Koch A, Oh EC, Hauser MA. Discovery and functional annotation of SIX6 variants in primary open-angle glaucoma. </w:t>
      </w:r>
      <w:r w:rsidRPr="000915AB">
        <w:rPr>
          <w:rFonts w:ascii="Book Antiqua" w:hAnsi="Book Antiqua"/>
          <w:i/>
          <w:iCs/>
        </w:rPr>
        <w:t>PLoS Genet</w:t>
      </w:r>
      <w:r w:rsidRPr="000915AB">
        <w:rPr>
          <w:rFonts w:ascii="Book Antiqua" w:hAnsi="Book Antiqua"/>
        </w:rPr>
        <w:t xml:space="preserve"> 2014; </w:t>
      </w:r>
      <w:r w:rsidRPr="000915AB">
        <w:rPr>
          <w:rFonts w:ascii="Book Antiqua" w:hAnsi="Book Antiqua"/>
          <w:b/>
          <w:bCs/>
        </w:rPr>
        <w:t>10</w:t>
      </w:r>
      <w:r w:rsidRPr="000915AB">
        <w:rPr>
          <w:rFonts w:ascii="Book Antiqua" w:hAnsi="Book Antiqua"/>
        </w:rPr>
        <w:t>: e1004372 [PMID: 24875647 DOI: 10.1371/journal.pgen.1004372]</w:t>
      </w:r>
    </w:p>
    <w:p w14:paraId="61DFF4F3"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27 </w:t>
      </w:r>
      <w:r w:rsidRPr="000915AB">
        <w:rPr>
          <w:rFonts w:ascii="Book Antiqua" w:hAnsi="Book Antiqua"/>
          <w:b/>
          <w:bCs/>
        </w:rPr>
        <w:t>Crisci V</w:t>
      </w:r>
      <w:r w:rsidRPr="000915AB">
        <w:rPr>
          <w:rFonts w:ascii="Book Antiqua" w:hAnsi="Book Antiqua"/>
        </w:rPr>
        <w:t xml:space="preserve">, Orso CA. [Involvement and paralysis of the ulnar nerve in elbow arthrosis]. </w:t>
      </w:r>
      <w:r w:rsidRPr="000915AB">
        <w:rPr>
          <w:rFonts w:ascii="Book Antiqua" w:hAnsi="Book Antiqua"/>
          <w:i/>
          <w:iCs/>
        </w:rPr>
        <w:t>Minerva Ortop</w:t>
      </w:r>
      <w:r w:rsidRPr="000915AB">
        <w:rPr>
          <w:rFonts w:ascii="Book Antiqua" w:hAnsi="Book Antiqua"/>
        </w:rPr>
        <w:t xml:space="preserve"> 1968; </w:t>
      </w:r>
      <w:r w:rsidRPr="000915AB">
        <w:rPr>
          <w:rFonts w:ascii="Book Antiqua" w:hAnsi="Book Antiqua"/>
          <w:b/>
          <w:bCs/>
        </w:rPr>
        <w:t>19</w:t>
      </w:r>
      <w:r w:rsidRPr="000915AB">
        <w:rPr>
          <w:rFonts w:ascii="Book Antiqua" w:hAnsi="Book Antiqua"/>
        </w:rPr>
        <w:t>: 570-577 [PMID: 4310165 DOI: 10.1186/s13059-014-0560-6]</w:t>
      </w:r>
    </w:p>
    <w:p w14:paraId="67C4ED22"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28 </w:t>
      </w:r>
      <w:r w:rsidRPr="000915AB">
        <w:rPr>
          <w:rFonts w:ascii="Book Antiqua" w:hAnsi="Book Antiqua"/>
          <w:b/>
          <w:bCs/>
        </w:rPr>
        <w:t>Nishimura SL</w:t>
      </w:r>
      <w:r w:rsidRPr="000915AB">
        <w:rPr>
          <w:rFonts w:ascii="Book Antiqua" w:hAnsi="Book Antiqua"/>
        </w:rPr>
        <w:t xml:space="preserve">, Recht LD, Pasternak GW. Biochemical characterization of high-affinity 3H-opioid binding. Further evidence for Mu1 sites. </w:t>
      </w:r>
      <w:r w:rsidRPr="000915AB">
        <w:rPr>
          <w:rFonts w:ascii="Book Antiqua" w:hAnsi="Book Antiqua"/>
          <w:i/>
          <w:iCs/>
        </w:rPr>
        <w:t>Mol Pharmacol</w:t>
      </w:r>
      <w:r w:rsidRPr="000915AB">
        <w:rPr>
          <w:rFonts w:ascii="Book Antiqua" w:hAnsi="Book Antiqua"/>
        </w:rPr>
        <w:t xml:space="preserve"> 1984; </w:t>
      </w:r>
      <w:r w:rsidRPr="000915AB">
        <w:rPr>
          <w:rFonts w:ascii="Book Antiqua" w:hAnsi="Book Antiqua"/>
          <w:b/>
          <w:bCs/>
        </w:rPr>
        <w:t>25</w:t>
      </w:r>
      <w:r w:rsidRPr="000915AB">
        <w:rPr>
          <w:rFonts w:ascii="Book Antiqua" w:hAnsi="Book Antiqua"/>
        </w:rPr>
        <w:t>: 29-37 [PMID: 6323950 DOI: 10.1093/nar/gky1099]</w:t>
      </w:r>
    </w:p>
    <w:p w14:paraId="08CA2FE9"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29 </w:t>
      </w:r>
      <w:r w:rsidRPr="000915AB">
        <w:rPr>
          <w:rFonts w:ascii="Book Antiqua" w:hAnsi="Book Antiqua"/>
          <w:b/>
          <w:bCs/>
        </w:rPr>
        <w:t>Teotia P</w:t>
      </w:r>
      <w:r w:rsidRPr="000915AB">
        <w:rPr>
          <w:rFonts w:ascii="Book Antiqua" w:hAnsi="Book Antiqua"/>
        </w:rPr>
        <w:t xml:space="preserve">, Van Hook MJ, Wichman CS, Allingham RR, Hauser MA, Ahmad I. Modeling Glaucoma: Retinal Ganglion Cells Generated from Induced Pluripotent Stem Cells of Patients with SIX6 Risk Allele Show Developmental Abnormalities. </w:t>
      </w:r>
      <w:r w:rsidRPr="000915AB">
        <w:rPr>
          <w:rFonts w:ascii="Book Antiqua" w:hAnsi="Book Antiqua"/>
          <w:i/>
          <w:iCs/>
        </w:rPr>
        <w:t>Stem Cells</w:t>
      </w:r>
      <w:r w:rsidRPr="000915AB">
        <w:rPr>
          <w:rFonts w:ascii="Book Antiqua" w:hAnsi="Book Antiqua"/>
        </w:rPr>
        <w:t xml:space="preserve"> 2017; </w:t>
      </w:r>
      <w:r w:rsidRPr="000915AB">
        <w:rPr>
          <w:rFonts w:ascii="Book Antiqua" w:hAnsi="Book Antiqua"/>
          <w:b/>
          <w:bCs/>
        </w:rPr>
        <w:t>35</w:t>
      </w:r>
      <w:r w:rsidRPr="000915AB">
        <w:rPr>
          <w:rFonts w:ascii="Book Antiqua" w:hAnsi="Book Antiqua"/>
        </w:rPr>
        <w:t>: 2239-2252 [PMID: 28792678 DOI: 10.1002/stem.2675]</w:t>
      </w:r>
    </w:p>
    <w:p w14:paraId="4F9CA91A"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30 </w:t>
      </w:r>
      <w:r w:rsidRPr="000915AB">
        <w:rPr>
          <w:rFonts w:ascii="Book Antiqua" w:hAnsi="Book Antiqua"/>
          <w:b/>
          <w:bCs/>
        </w:rPr>
        <w:t>Lee JA</w:t>
      </w:r>
      <w:r w:rsidRPr="000915AB">
        <w:rPr>
          <w:rFonts w:ascii="Book Antiqua" w:hAnsi="Book Antiqua"/>
        </w:rPr>
        <w:t xml:space="preserve">, Anholt RR, Cole GJ. Olfactomedin-2 mediates development of the anterior central nervous system and head structures in zebrafish. </w:t>
      </w:r>
      <w:r w:rsidRPr="000915AB">
        <w:rPr>
          <w:rFonts w:ascii="Book Antiqua" w:hAnsi="Book Antiqua"/>
          <w:i/>
          <w:iCs/>
        </w:rPr>
        <w:t>Mech Dev</w:t>
      </w:r>
      <w:r w:rsidRPr="000915AB">
        <w:rPr>
          <w:rFonts w:ascii="Book Antiqua" w:hAnsi="Book Antiqua"/>
        </w:rPr>
        <w:t xml:space="preserve"> 2008; </w:t>
      </w:r>
      <w:r w:rsidRPr="000915AB">
        <w:rPr>
          <w:rFonts w:ascii="Book Antiqua" w:hAnsi="Book Antiqua"/>
          <w:b/>
          <w:bCs/>
        </w:rPr>
        <w:t>125</w:t>
      </w:r>
      <w:r w:rsidRPr="000915AB">
        <w:rPr>
          <w:rFonts w:ascii="Book Antiqua" w:hAnsi="Book Antiqua"/>
        </w:rPr>
        <w:t>: 167-181 [PMID: 18037275 DOI: 10.1016/j.mod.2007.09.009]</w:t>
      </w:r>
    </w:p>
    <w:p w14:paraId="481031C5"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31 </w:t>
      </w:r>
      <w:r w:rsidRPr="000915AB">
        <w:rPr>
          <w:rFonts w:ascii="Book Antiqua" w:hAnsi="Book Antiqua"/>
          <w:b/>
          <w:bCs/>
        </w:rPr>
        <w:t>Aldahmesh MA</w:t>
      </w:r>
      <w:r w:rsidRPr="000915AB">
        <w:rPr>
          <w:rFonts w:ascii="Book Antiqua" w:hAnsi="Book Antiqua"/>
        </w:rPr>
        <w:t xml:space="preserve">, Khan AO, Hijazi H, Alkuraya FS. Homozygous truncation of SIX6 causes complex microphthalmia in humans. </w:t>
      </w:r>
      <w:r w:rsidRPr="000915AB">
        <w:rPr>
          <w:rFonts w:ascii="Book Antiqua" w:hAnsi="Book Antiqua"/>
          <w:i/>
          <w:iCs/>
        </w:rPr>
        <w:t>Clin Genet</w:t>
      </w:r>
      <w:r w:rsidRPr="000915AB">
        <w:rPr>
          <w:rFonts w:ascii="Book Antiqua" w:hAnsi="Book Antiqua"/>
        </w:rPr>
        <w:t xml:space="preserve"> 2013; </w:t>
      </w:r>
      <w:r w:rsidRPr="000915AB">
        <w:rPr>
          <w:rFonts w:ascii="Book Antiqua" w:hAnsi="Book Antiqua"/>
          <w:b/>
          <w:bCs/>
        </w:rPr>
        <w:t>84</w:t>
      </w:r>
      <w:r w:rsidRPr="000915AB">
        <w:rPr>
          <w:rFonts w:ascii="Book Antiqua" w:hAnsi="Book Antiqua"/>
        </w:rPr>
        <w:t>: 198-199 [PMID: 23167593 DOI: 10.1111/cge.12046]</w:t>
      </w:r>
    </w:p>
    <w:p w14:paraId="30523EEA"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32 </w:t>
      </w:r>
      <w:r w:rsidRPr="000915AB">
        <w:rPr>
          <w:rFonts w:ascii="Book Antiqua" w:hAnsi="Book Antiqua"/>
          <w:b/>
          <w:bCs/>
        </w:rPr>
        <w:t>Holt R</w:t>
      </w:r>
      <w:r w:rsidRPr="000915AB">
        <w:rPr>
          <w:rFonts w:ascii="Book Antiqua" w:hAnsi="Book Antiqua"/>
        </w:rPr>
        <w:t xml:space="preserve">, Ugur Iseri SA, Wyatt AW, Bax DA, Gold Diaz D, Santos C, Broadgate S, Dunn R, Bruty J, Wallis Y, McMullan D, Ogilvie C, Gerrelli D, Zhang Y, Ragge N. Identification and functional characterisation of genetic variants in OLFM2 in children with developmental eye disorders. </w:t>
      </w:r>
      <w:r w:rsidRPr="000915AB">
        <w:rPr>
          <w:rFonts w:ascii="Book Antiqua" w:hAnsi="Book Antiqua"/>
          <w:i/>
          <w:iCs/>
        </w:rPr>
        <w:t>Hum Genet</w:t>
      </w:r>
      <w:r w:rsidRPr="000915AB">
        <w:rPr>
          <w:rFonts w:ascii="Book Antiqua" w:hAnsi="Book Antiqua"/>
        </w:rPr>
        <w:t xml:space="preserve"> 2017; </w:t>
      </w:r>
      <w:r w:rsidRPr="000915AB">
        <w:rPr>
          <w:rFonts w:ascii="Book Antiqua" w:hAnsi="Book Antiqua"/>
          <w:b/>
          <w:bCs/>
        </w:rPr>
        <w:t>136</w:t>
      </w:r>
      <w:r w:rsidRPr="000915AB">
        <w:rPr>
          <w:rFonts w:ascii="Book Antiqua" w:hAnsi="Book Antiqua"/>
        </w:rPr>
        <w:t>: 119-127 [PMID: 27844144 DOI: 10.1007/s00439-016-1745-8]</w:t>
      </w:r>
    </w:p>
    <w:p w14:paraId="5E446382"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33 </w:t>
      </w:r>
      <w:r w:rsidRPr="000915AB">
        <w:rPr>
          <w:rFonts w:ascii="Book Antiqua" w:hAnsi="Book Antiqua"/>
          <w:b/>
          <w:bCs/>
        </w:rPr>
        <w:t>Azmanov DN</w:t>
      </w:r>
      <w:r w:rsidRPr="000915AB">
        <w:rPr>
          <w:rFonts w:ascii="Book Antiqua" w:hAnsi="Book Antiqua"/>
        </w:rPr>
        <w:t xml:space="preserve">, Dimitrova S, Florez L, Cherninkova S, Draganov D, Morar B, Saat R, Juan M, Arostegui JI, Ganguly S, Soodyall H, Chakrabarti S, Padh H, López-Nevot MA, Chernodrinska V, Anguelov B, Majumder P, Angelova L, Kaneva R, Mackey DA, Tournev I, Kalaydjieva L. LTBP2 and CYP1B1 mutations and associated ocular phenotypes in the Roma/Gypsy founder population. </w:t>
      </w:r>
      <w:r w:rsidRPr="000915AB">
        <w:rPr>
          <w:rFonts w:ascii="Book Antiqua" w:hAnsi="Book Antiqua"/>
          <w:i/>
          <w:iCs/>
        </w:rPr>
        <w:t>Eur J Hum Genet</w:t>
      </w:r>
      <w:r w:rsidRPr="000915AB">
        <w:rPr>
          <w:rFonts w:ascii="Book Antiqua" w:hAnsi="Book Antiqua"/>
        </w:rPr>
        <w:t xml:space="preserve"> 2011; </w:t>
      </w:r>
      <w:r w:rsidRPr="000915AB">
        <w:rPr>
          <w:rFonts w:ascii="Book Antiqua" w:hAnsi="Book Antiqua"/>
          <w:b/>
          <w:bCs/>
        </w:rPr>
        <w:t>19</w:t>
      </w:r>
      <w:r w:rsidRPr="000915AB">
        <w:rPr>
          <w:rFonts w:ascii="Book Antiqua" w:hAnsi="Book Antiqua"/>
        </w:rPr>
        <w:t>: 326-333 [PMID: 21081970 DOI: 10.1038/ejhg.2010.181]</w:t>
      </w:r>
    </w:p>
    <w:p w14:paraId="00AA5D87"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34 </w:t>
      </w:r>
      <w:r w:rsidRPr="000915AB">
        <w:rPr>
          <w:rFonts w:ascii="Book Antiqua" w:hAnsi="Book Antiqua"/>
          <w:b/>
          <w:bCs/>
        </w:rPr>
        <w:t>Vincent AL</w:t>
      </w:r>
      <w:r w:rsidRPr="000915AB">
        <w:rPr>
          <w:rFonts w:ascii="Book Antiqua" w:hAnsi="Book Antiqua"/>
        </w:rPr>
        <w:t xml:space="preserve">, Billingsley G, Buys Y, Levin AV, Priston M, Trope G, Williams-Lyn D, Héon E. Digenic inheritance of early-onset glaucoma: CYP1B1, a potential modifier gene. </w:t>
      </w:r>
      <w:r w:rsidRPr="000915AB">
        <w:rPr>
          <w:rFonts w:ascii="Book Antiqua" w:hAnsi="Book Antiqua"/>
          <w:i/>
          <w:iCs/>
        </w:rPr>
        <w:t>Am J Hum Genet</w:t>
      </w:r>
      <w:r w:rsidRPr="000915AB">
        <w:rPr>
          <w:rFonts w:ascii="Book Antiqua" w:hAnsi="Book Antiqua"/>
        </w:rPr>
        <w:t xml:space="preserve"> 2002; </w:t>
      </w:r>
      <w:r w:rsidRPr="000915AB">
        <w:rPr>
          <w:rFonts w:ascii="Book Antiqua" w:hAnsi="Book Antiqua"/>
          <w:b/>
          <w:bCs/>
        </w:rPr>
        <w:t>70</w:t>
      </w:r>
      <w:r w:rsidRPr="000915AB">
        <w:rPr>
          <w:rFonts w:ascii="Book Antiqua" w:hAnsi="Book Antiqua"/>
        </w:rPr>
        <w:t>: 448-460 [PMID: 11774072 DOI: 10.1086/338709]</w:t>
      </w:r>
    </w:p>
    <w:p w14:paraId="57C8C1F4" w14:textId="77777777" w:rsidR="00A77B3E" w:rsidRPr="000915AB" w:rsidRDefault="00A77B3E" w:rsidP="000915AB">
      <w:pPr>
        <w:spacing w:line="360" w:lineRule="auto"/>
        <w:jc w:val="both"/>
        <w:rPr>
          <w:rFonts w:ascii="Book Antiqua" w:hAnsi="Book Antiqua"/>
        </w:rPr>
        <w:sectPr w:rsidR="00A77B3E" w:rsidRPr="000915AB" w:rsidSect="000915AB">
          <w:pgSz w:w="12240" w:h="15840"/>
          <w:pgMar w:top="1440" w:right="1440" w:bottom="1440" w:left="1440" w:header="720" w:footer="720" w:gutter="0"/>
          <w:cols w:space="720"/>
          <w:docGrid w:linePitch="360"/>
        </w:sectPr>
      </w:pPr>
    </w:p>
    <w:p w14:paraId="4BC5A381"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olor w:val="000000"/>
        </w:rPr>
        <w:t>Footnotes</w:t>
      </w:r>
    </w:p>
    <w:p w14:paraId="781E5AFC"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bCs/>
          <w:color w:val="000000"/>
        </w:rPr>
        <w:t xml:space="preserve">Informed consent statement: </w:t>
      </w:r>
      <w:r w:rsidRPr="000915AB">
        <w:rPr>
          <w:rFonts w:ascii="Book Antiqua" w:eastAsia="Book Antiqua" w:hAnsi="Book Antiqua" w:cs="Book Antiqua"/>
          <w:color w:val="000000"/>
        </w:rPr>
        <w:t>Informed written consent was obtained from the patient for publication of this report and any accompanying images.</w:t>
      </w:r>
    </w:p>
    <w:p w14:paraId="3F956E8E" w14:textId="77777777" w:rsidR="00A77B3E" w:rsidRPr="000915AB" w:rsidRDefault="00A77B3E" w:rsidP="000915AB">
      <w:pPr>
        <w:spacing w:line="360" w:lineRule="auto"/>
        <w:jc w:val="both"/>
        <w:rPr>
          <w:rFonts w:ascii="Book Antiqua" w:hAnsi="Book Antiqua"/>
        </w:rPr>
      </w:pPr>
    </w:p>
    <w:p w14:paraId="62BF24E9"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bCs/>
          <w:color w:val="000000"/>
        </w:rPr>
        <w:t xml:space="preserve">Conflict-of-interest statement: </w:t>
      </w:r>
      <w:r w:rsidRPr="000915AB">
        <w:rPr>
          <w:rFonts w:ascii="Book Antiqua" w:eastAsia="Book Antiqua" w:hAnsi="Book Antiqua" w:cs="Book Antiqua"/>
          <w:color w:val="000000"/>
        </w:rPr>
        <w:t>The authors declare that they have no conflicts of interest.</w:t>
      </w:r>
    </w:p>
    <w:p w14:paraId="59F7EAFD" w14:textId="77777777" w:rsidR="00A77B3E" w:rsidRPr="000915AB" w:rsidRDefault="00A77B3E" w:rsidP="000915AB">
      <w:pPr>
        <w:spacing w:line="360" w:lineRule="auto"/>
        <w:jc w:val="both"/>
        <w:rPr>
          <w:rFonts w:ascii="Book Antiqua" w:hAnsi="Book Antiqua"/>
        </w:rPr>
      </w:pPr>
    </w:p>
    <w:p w14:paraId="16FEDEC7"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bCs/>
          <w:color w:val="000000"/>
        </w:rPr>
        <w:t xml:space="preserve">CARE Checklist (2016) statement: </w:t>
      </w:r>
      <w:r w:rsidRPr="000915AB">
        <w:rPr>
          <w:rFonts w:ascii="Book Antiqua" w:eastAsia="Book Antiqua" w:hAnsi="Book Antiqua" w:cs="Book Antiqua"/>
          <w:color w:val="000000"/>
        </w:rPr>
        <w:t>The authors have read the CARE Checklist (2016), and the manuscript was prepared and revised according to the CARE Checklist (2016).</w:t>
      </w:r>
    </w:p>
    <w:p w14:paraId="4AB53D3A" w14:textId="77777777" w:rsidR="00A77B3E" w:rsidRPr="000915AB" w:rsidRDefault="00A77B3E" w:rsidP="000915AB">
      <w:pPr>
        <w:spacing w:line="360" w:lineRule="auto"/>
        <w:jc w:val="both"/>
        <w:rPr>
          <w:rFonts w:ascii="Book Antiqua" w:hAnsi="Book Antiqua"/>
        </w:rPr>
      </w:pPr>
    </w:p>
    <w:p w14:paraId="25FAB81B"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bCs/>
          <w:color w:val="000000"/>
        </w:rPr>
        <w:t xml:space="preserve">Open-Access: </w:t>
      </w:r>
      <w:r w:rsidRPr="000915A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75BC14" w14:textId="77777777" w:rsidR="00A77B3E" w:rsidRPr="000915AB" w:rsidRDefault="00A77B3E" w:rsidP="000915AB">
      <w:pPr>
        <w:spacing w:line="360" w:lineRule="auto"/>
        <w:jc w:val="both"/>
        <w:rPr>
          <w:rFonts w:ascii="Book Antiqua" w:hAnsi="Book Antiqua"/>
        </w:rPr>
      </w:pPr>
    </w:p>
    <w:p w14:paraId="25BCFDB2" w14:textId="166EDD16"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olor w:val="000000"/>
        </w:rPr>
        <w:t xml:space="preserve">Manuscript source: </w:t>
      </w:r>
      <w:r w:rsidRPr="000915AB">
        <w:rPr>
          <w:rFonts w:ascii="Book Antiqua" w:eastAsia="Book Antiqua" w:hAnsi="Book Antiqua" w:cs="Book Antiqua"/>
          <w:color w:val="000000"/>
        </w:rPr>
        <w:t xml:space="preserve">Unsolicited </w:t>
      </w:r>
      <w:r w:rsidR="00AD0DDB" w:rsidRPr="000915AB">
        <w:rPr>
          <w:rFonts w:ascii="Book Antiqua" w:eastAsia="Book Antiqua" w:hAnsi="Book Antiqua" w:cs="Book Antiqua"/>
          <w:color w:val="000000"/>
        </w:rPr>
        <w:t>m</w:t>
      </w:r>
      <w:r w:rsidRPr="000915AB">
        <w:rPr>
          <w:rFonts w:ascii="Book Antiqua" w:eastAsia="Book Antiqua" w:hAnsi="Book Antiqua" w:cs="Book Antiqua"/>
          <w:color w:val="000000"/>
        </w:rPr>
        <w:t>anuscript</w:t>
      </w:r>
    </w:p>
    <w:p w14:paraId="5E5D5281" w14:textId="77777777" w:rsidR="00A77B3E" w:rsidRPr="000915AB" w:rsidRDefault="00A77B3E" w:rsidP="000915AB">
      <w:pPr>
        <w:spacing w:line="360" w:lineRule="auto"/>
        <w:jc w:val="both"/>
        <w:rPr>
          <w:rFonts w:ascii="Book Antiqua" w:hAnsi="Book Antiqua"/>
        </w:rPr>
      </w:pPr>
    </w:p>
    <w:p w14:paraId="3D330B96"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olor w:val="000000"/>
        </w:rPr>
        <w:t xml:space="preserve">Peer-review started: </w:t>
      </w:r>
      <w:r w:rsidRPr="000915AB">
        <w:rPr>
          <w:rFonts w:ascii="Book Antiqua" w:eastAsia="Book Antiqua" w:hAnsi="Book Antiqua" w:cs="Book Antiqua"/>
          <w:color w:val="000000"/>
        </w:rPr>
        <w:t>September 14, 2020</w:t>
      </w:r>
    </w:p>
    <w:p w14:paraId="6A504278"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olor w:val="000000"/>
        </w:rPr>
        <w:t xml:space="preserve">First decision: </w:t>
      </w:r>
      <w:r w:rsidRPr="000915AB">
        <w:rPr>
          <w:rFonts w:ascii="Book Antiqua" w:eastAsia="Book Antiqua" w:hAnsi="Book Antiqua" w:cs="Book Antiqua"/>
          <w:color w:val="000000"/>
        </w:rPr>
        <w:t>November 20, 2020</w:t>
      </w:r>
    </w:p>
    <w:p w14:paraId="2412F2A7" w14:textId="60D4F5C4" w:rsidR="00A77B3E" w:rsidRPr="000915AB" w:rsidRDefault="004521C0" w:rsidP="000915AB">
      <w:pPr>
        <w:spacing w:line="360" w:lineRule="auto"/>
        <w:jc w:val="both"/>
        <w:rPr>
          <w:rFonts w:ascii="Book Antiqua" w:hAnsi="Book Antiqua"/>
          <w:lang w:eastAsia="zh-CN"/>
        </w:rPr>
      </w:pPr>
      <w:r w:rsidRPr="000915AB">
        <w:rPr>
          <w:rFonts w:ascii="Book Antiqua" w:eastAsia="Book Antiqua" w:hAnsi="Book Antiqua" w:cs="Book Antiqua"/>
          <w:b/>
          <w:color w:val="000000"/>
        </w:rPr>
        <w:t xml:space="preserve">Article in press: </w:t>
      </w:r>
      <w:r w:rsidR="00AB4D3B" w:rsidRPr="000915AB">
        <w:rPr>
          <w:rFonts w:ascii="Book Antiqua" w:eastAsia="Book Antiqua" w:hAnsi="Book Antiqua" w:cs="Book Antiqua"/>
          <w:color w:val="000000"/>
        </w:rPr>
        <w:t>December 6, 2020</w:t>
      </w:r>
    </w:p>
    <w:p w14:paraId="05F3AA37" w14:textId="77777777" w:rsidR="00A77B3E" w:rsidRPr="000915AB" w:rsidRDefault="00A77B3E" w:rsidP="000915AB">
      <w:pPr>
        <w:spacing w:line="360" w:lineRule="auto"/>
        <w:jc w:val="both"/>
        <w:rPr>
          <w:rFonts w:ascii="Book Antiqua" w:hAnsi="Book Antiqua"/>
        </w:rPr>
      </w:pPr>
    </w:p>
    <w:p w14:paraId="6FD5C6A3" w14:textId="4A5C526C"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olor w:val="000000"/>
        </w:rPr>
        <w:t xml:space="preserve">Specialty type: </w:t>
      </w:r>
      <w:r w:rsidR="00F21CB5" w:rsidRPr="000915AB">
        <w:rPr>
          <w:rFonts w:ascii="Book Antiqua" w:eastAsia="Book Antiqua" w:hAnsi="Book Antiqua" w:cs="Book Antiqua"/>
          <w:color w:val="000000"/>
        </w:rPr>
        <w:t>Medicine, research and experimental</w:t>
      </w:r>
    </w:p>
    <w:p w14:paraId="77324011"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olor w:val="000000"/>
        </w:rPr>
        <w:t xml:space="preserve">Country/Territory of origin: </w:t>
      </w:r>
      <w:r w:rsidRPr="000915AB">
        <w:rPr>
          <w:rFonts w:ascii="Book Antiqua" w:eastAsia="Book Antiqua" w:hAnsi="Book Antiqua" w:cs="Book Antiqua"/>
          <w:color w:val="000000"/>
        </w:rPr>
        <w:t>China</w:t>
      </w:r>
    </w:p>
    <w:p w14:paraId="5DD0B8E5"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olor w:val="000000"/>
        </w:rPr>
        <w:t>Peer-review report’s scientific quality classification</w:t>
      </w:r>
    </w:p>
    <w:p w14:paraId="2B52189D"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Grade A (Excellent): 0</w:t>
      </w:r>
    </w:p>
    <w:p w14:paraId="0786F656"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Grade B (Very good): B, B</w:t>
      </w:r>
    </w:p>
    <w:p w14:paraId="5FA4F6AA"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Grade C (Good): C</w:t>
      </w:r>
    </w:p>
    <w:p w14:paraId="5697C527"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Grade D (Fair): 0</w:t>
      </w:r>
    </w:p>
    <w:p w14:paraId="17734A81"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Grade E (Poor): 0</w:t>
      </w:r>
    </w:p>
    <w:p w14:paraId="3CFDE877" w14:textId="77777777" w:rsidR="00A77B3E" w:rsidRPr="000915AB" w:rsidRDefault="00A77B3E" w:rsidP="000915AB">
      <w:pPr>
        <w:spacing w:line="360" w:lineRule="auto"/>
        <w:jc w:val="both"/>
        <w:rPr>
          <w:rFonts w:ascii="Book Antiqua" w:hAnsi="Book Antiqua"/>
        </w:rPr>
      </w:pPr>
    </w:p>
    <w:p w14:paraId="51D74F00" w14:textId="55047945" w:rsidR="00A77B3E" w:rsidRPr="00AB4D3B" w:rsidRDefault="004521C0" w:rsidP="000915AB">
      <w:pPr>
        <w:spacing w:line="360" w:lineRule="auto"/>
        <w:jc w:val="both"/>
        <w:rPr>
          <w:rFonts w:ascii="Book Antiqua" w:hAnsi="Book Antiqua" w:cs="Book Antiqua"/>
          <w:color w:val="000000"/>
          <w:lang w:eastAsia="zh-CN"/>
        </w:rPr>
      </w:pPr>
      <w:r w:rsidRPr="000915AB">
        <w:rPr>
          <w:rFonts w:ascii="Book Antiqua" w:eastAsia="Book Antiqua" w:hAnsi="Book Antiqua" w:cs="Book Antiqua"/>
          <w:b/>
          <w:color w:val="000000"/>
        </w:rPr>
        <w:t xml:space="preserve">P-Reviewer: </w:t>
      </w:r>
      <w:r w:rsidRPr="000915AB">
        <w:rPr>
          <w:rFonts w:ascii="Book Antiqua" w:eastAsia="Book Antiqua" w:hAnsi="Book Antiqua" w:cs="Book Antiqua"/>
          <w:color w:val="000000"/>
        </w:rPr>
        <w:t>Byeon H, Demir AB, Vunnam RR</w:t>
      </w:r>
      <w:r w:rsidRPr="000915AB">
        <w:rPr>
          <w:rFonts w:ascii="Book Antiqua" w:eastAsia="Book Antiqua" w:hAnsi="Book Antiqua" w:cs="Book Antiqua"/>
          <w:b/>
          <w:color w:val="000000"/>
        </w:rPr>
        <w:t xml:space="preserve"> S-Editor: </w:t>
      </w:r>
      <w:r w:rsidRPr="000915AB">
        <w:rPr>
          <w:rFonts w:ascii="Book Antiqua" w:eastAsia="Book Antiqua" w:hAnsi="Book Antiqua" w:cs="Book Antiqua"/>
          <w:color w:val="000000"/>
        </w:rPr>
        <w:t>Chen</w:t>
      </w:r>
      <w:r w:rsidR="005A64A2" w:rsidRPr="000915AB">
        <w:rPr>
          <w:rFonts w:ascii="Book Antiqua" w:eastAsia="Book Antiqua" w:hAnsi="Book Antiqua" w:cs="Book Antiqua"/>
          <w:color w:val="000000"/>
        </w:rPr>
        <w:t xml:space="preserve"> </w:t>
      </w:r>
      <w:r w:rsidRPr="000915AB">
        <w:rPr>
          <w:rFonts w:ascii="Book Antiqua" w:eastAsia="Book Antiqua" w:hAnsi="Book Antiqua" w:cs="Book Antiqua"/>
          <w:color w:val="000000"/>
        </w:rPr>
        <w:t>XF</w:t>
      </w:r>
      <w:r w:rsidRPr="000915AB">
        <w:rPr>
          <w:rFonts w:ascii="Book Antiqua" w:eastAsia="Book Antiqua" w:hAnsi="Book Antiqua" w:cs="Book Antiqua"/>
          <w:b/>
          <w:color w:val="000000"/>
        </w:rPr>
        <w:t xml:space="preserve"> L-Editor: </w:t>
      </w:r>
      <w:r w:rsidR="00F86F95" w:rsidRPr="000915AB">
        <w:rPr>
          <w:rFonts w:ascii="Book Antiqua" w:eastAsia="Book Antiqua" w:hAnsi="Book Antiqua" w:cs="Book Antiqua"/>
          <w:bCs/>
          <w:color w:val="000000"/>
        </w:rPr>
        <w:t>Filipodia</w:t>
      </w:r>
      <w:r w:rsidRPr="000915AB">
        <w:rPr>
          <w:rFonts w:ascii="Book Antiqua" w:eastAsia="Book Antiqua" w:hAnsi="Book Antiqua" w:cs="Book Antiqua"/>
          <w:b/>
          <w:color w:val="000000"/>
        </w:rPr>
        <w:t xml:space="preserve"> P-Editor: </w:t>
      </w:r>
      <w:r w:rsidR="00AB4D3B" w:rsidRPr="00AB4D3B">
        <w:rPr>
          <w:rFonts w:ascii="Book Antiqua" w:hAnsi="Book Antiqua" w:cs="Book Antiqua" w:hint="eastAsia"/>
          <w:color w:val="000000"/>
          <w:lang w:eastAsia="zh-CN"/>
        </w:rPr>
        <w:t>Li JH</w:t>
      </w:r>
    </w:p>
    <w:p w14:paraId="64E541FC" w14:textId="77777777" w:rsidR="00AB4D3B" w:rsidRPr="00AB4D3B" w:rsidRDefault="00AB4D3B" w:rsidP="000915AB">
      <w:pPr>
        <w:spacing w:line="360" w:lineRule="auto"/>
        <w:jc w:val="both"/>
        <w:rPr>
          <w:rFonts w:ascii="Book Antiqua" w:hAnsi="Book Antiqua" w:cs="Book Antiqua"/>
          <w:b/>
          <w:color w:val="000000"/>
          <w:lang w:eastAsia="zh-CN"/>
        </w:rPr>
      </w:pPr>
    </w:p>
    <w:p w14:paraId="73CC0082" w14:textId="7D8E2967" w:rsidR="000F22A1" w:rsidRPr="000915AB" w:rsidRDefault="000F22A1" w:rsidP="000915AB">
      <w:pPr>
        <w:spacing w:line="360" w:lineRule="auto"/>
        <w:jc w:val="both"/>
        <w:rPr>
          <w:rFonts w:ascii="Book Antiqua" w:hAnsi="Book Antiqua"/>
        </w:rPr>
        <w:sectPr w:rsidR="000F22A1" w:rsidRPr="000915AB" w:rsidSect="000915AB">
          <w:pgSz w:w="12240" w:h="15840"/>
          <w:pgMar w:top="1440" w:right="1440" w:bottom="1440" w:left="1440" w:header="720" w:footer="720" w:gutter="0"/>
          <w:cols w:space="720"/>
          <w:docGrid w:linePitch="360"/>
        </w:sectPr>
      </w:pPr>
    </w:p>
    <w:p w14:paraId="743C6EEA"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olor w:val="000000"/>
        </w:rPr>
        <w:t>Figure Legends</w:t>
      </w:r>
    </w:p>
    <w:p w14:paraId="65835DA2" w14:textId="49A38AB2" w:rsidR="00992A5D" w:rsidRPr="000915AB" w:rsidRDefault="00992A5D" w:rsidP="000915AB">
      <w:pPr>
        <w:spacing w:line="360" w:lineRule="auto"/>
        <w:jc w:val="both"/>
        <w:rPr>
          <w:rFonts w:ascii="Book Antiqua" w:eastAsia="宋体" w:hAnsi="Book Antiqua" w:cs="宋体"/>
          <w:lang w:eastAsia="zh-CN"/>
        </w:rPr>
      </w:pPr>
      <w:r w:rsidRPr="000915AB">
        <w:rPr>
          <w:rFonts w:ascii="Book Antiqua" w:eastAsia="宋体" w:hAnsi="Book Antiqua" w:cs="宋体"/>
          <w:noProof/>
          <w:lang w:eastAsia="zh-CN"/>
        </w:rPr>
        <w:drawing>
          <wp:inline distT="0" distB="0" distL="0" distR="0" wp14:anchorId="26E620C1" wp14:editId="49867B8F">
            <wp:extent cx="3582000" cy="4798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2000" cy="4798800"/>
                    </a:xfrm>
                    <a:prstGeom prst="rect">
                      <a:avLst/>
                    </a:prstGeom>
                    <a:noFill/>
                    <a:ln>
                      <a:noFill/>
                    </a:ln>
                  </pic:spPr>
                </pic:pic>
              </a:graphicData>
            </a:graphic>
          </wp:inline>
        </w:drawing>
      </w:r>
    </w:p>
    <w:p w14:paraId="4D77F23B" w14:textId="59982DB2"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bCs/>
          <w:color w:val="000000"/>
        </w:rPr>
        <w:t>Figure 1</w:t>
      </w:r>
      <w:r w:rsidRPr="000915AB">
        <w:rPr>
          <w:rFonts w:ascii="Book Antiqua" w:eastAsia="Book Antiqua" w:hAnsi="Book Antiqua" w:cs="Book Antiqua"/>
          <w:color w:val="000000"/>
        </w:rPr>
        <w:t xml:space="preserve"> </w:t>
      </w:r>
      <w:r w:rsidRPr="000915AB">
        <w:rPr>
          <w:rFonts w:ascii="Book Antiqua" w:eastAsia="Book Antiqua" w:hAnsi="Book Antiqua" w:cs="Book Antiqua"/>
          <w:b/>
          <w:bCs/>
          <w:color w:val="000000"/>
        </w:rPr>
        <w:t>Ocular assessments of the proband.</w:t>
      </w:r>
      <w:r w:rsidRPr="000915AB">
        <w:rPr>
          <w:rFonts w:ascii="Book Antiqua" w:eastAsia="Book Antiqua" w:hAnsi="Book Antiqua" w:cs="Book Antiqua"/>
          <w:color w:val="000000"/>
        </w:rPr>
        <w:t xml:space="preserve"> A</w:t>
      </w:r>
      <w:r w:rsidR="00992A5D" w:rsidRPr="000915AB">
        <w:rPr>
          <w:rFonts w:ascii="Book Antiqua" w:eastAsia="Book Antiqua" w:hAnsi="Book Antiqua" w:cs="Book Antiqua"/>
          <w:color w:val="000000"/>
        </w:rPr>
        <w:t xml:space="preserve">: </w:t>
      </w:r>
      <w:r w:rsidRPr="000915AB">
        <w:rPr>
          <w:rFonts w:ascii="Book Antiqua" w:eastAsia="Book Antiqua" w:hAnsi="Book Antiqua" w:cs="Book Antiqua"/>
          <w:color w:val="000000"/>
        </w:rPr>
        <w:t>Fundus photo of</w:t>
      </w:r>
      <w:r w:rsidR="00007A40" w:rsidRPr="000915AB">
        <w:rPr>
          <w:rFonts w:ascii="Book Antiqua" w:eastAsia="Book Antiqua" w:hAnsi="Book Antiqua" w:cs="Book Antiqua"/>
          <w:color w:val="000000"/>
        </w:rPr>
        <w:t xml:space="preserve"> the</w:t>
      </w:r>
      <w:r w:rsidRPr="000915AB">
        <w:rPr>
          <w:rFonts w:ascii="Book Antiqua" w:eastAsia="Book Antiqua" w:hAnsi="Book Antiqua" w:cs="Book Antiqua"/>
          <w:color w:val="000000"/>
        </w:rPr>
        <w:t xml:space="preserve"> right and left eye</w:t>
      </w:r>
      <w:r w:rsidR="00992A5D" w:rsidRPr="000915AB">
        <w:rPr>
          <w:rFonts w:ascii="Book Antiqua" w:eastAsia="Book Antiqua" w:hAnsi="Book Antiqua" w:cs="Book Antiqua"/>
          <w:color w:val="000000"/>
        </w:rPr>
        <w:t>;</w:t>
      </w:r>
      <w:r w:rsidRPr="000915AB">
        <w:rPr>
          <w:rFonts w:ascii="Book Antiqua" w:eastAsia="Book Antiqua" w:hAnsi="Book Antiqua" w:cs="Book Antiqua"/>
          <w:color w:val="000000"/>
        </w:rPr>
        <w:t xml:space="preserve"> B</w:t>
      </w:r>
      <w:r w:rsidR="00992A5D" w:rsidRPr="000915AB">
        <w:rPr>
          <w:rFonts w:ascii="Book Antiqua" w:eastAsia="Book Antiqua" w:hAnsi="Book Antiqua" w:cs="Book Antiqua"/>
          <w:color w:val="000000"/>
        </w:rPr>
        <w:t>:</w:t>
      </w:r>
      <w:r w:rsidRPr="000915AB">
        <w:rPr>
          <w:rFonts w:ascii="Book Antiqua" w:eastAsia="Book Antiqua" w:hAnsi="Book Antiqua" w:cs="Book Antiqua"/>
          <w:color w:val="000000"/>
        </w:rPr>
        <w:t xml:space="preserve"> Ocular coherence tomography</w:t>
      </w:r>
      <w:r w:rsidR="00992A5D" w:rsidRPr="000915AB">
        <w:rPr>
          <w:rFonts w:ascii="Book Antiqua" w:eastAsia="Book Antiqua" w:hAnsi="Book Antiqua" w:cs="Book Antiqua"/>
          <w:color w:val="000000"/>
        </w:rPr>
        <w:t>-</w:t>
      </w:r>
      <w:r w:rsidRPr="000915AB">
        <w:rPr>
          <w:rFonts w:ascii="Book Antiqua" w:eastAsia="Book Antiqua" w:hAnsi="Book Antiqua" w:cs="Book Antiqua"/>
          <w:color w:val="000000"/>
        </w:rPr>
        <w:t>retinal nerve fiber layer of both eyes</w:t>
      </w:r>
      <w:r w:rsidR="00F6692F" w:rsidRPr="000915AB">
        <w:rPr>
          <w:rFonts w:ascii="Book Antiqua" w:eastAsia="Book Antiqua" w:hAnsi="Book Antiqua" w:cs="Book Antiqua"/>
          <w:color w:val="000000"/>
        </w:rPr>
        <w:t xml:space="preserve"> (</w:t>
      </w:r>
      <w:r w:rsidRPr="000915AB">
        <w:rPr>
          <w:rFonts w:ascii="Book Antiqua" w:eastAsia="Book Antiqua" w:hAnsi="Book Antiqua" w:cs="Book Antiqua"/>
          <w:color w:val="000000"/>
        </w:rPr>
        <w:t xml:space="preserve">Key: </w:t>
      </w:r>
      <w:r w:rsidR="00007A40" w:rsidRPr="000915AB">
        <w:rPr>
          <w:rFonts w:ascii="Book Antiqua" w:eastAsia="Book Antiqua" w:hAnsi="Book Antiqua" w:cs="Book Antiqua"/>
          <w:color w:val="000000"/>
        </w:rPr>
        <w:t xml:space="preserve">S: </w:t>
      </w:r>
      <w:r w:rsidRPr="000915AB">
        <w:rPr>
          <w:rFonts w:ascii="Book Antiqua" w:eastAsia="Book Antiqua" w:hAnsi="Book Antiqua" w:cs="Book Antiqua"/>
          <w:color w:val="000000"/>
        </w:rPr>
        <w:t>Superior</w:t>
      </w:r>
      <w:r w:rsidR="00007A40" w:rsidRPr="000915AB">
        <w:rPr>
          <w:rFonts w:ascii="Book Antiqua" w:eastAsia="Book Antiqua" w:hAnsi="Book Antiqua" w:cs="Book Antiqua"/>
          <w:color w:val="000000"/>
        </w:rPr>
        <w:t>;</w:t>
      </w:r>
      <w:r w:rsidRPr="000915AB">
        <w:rPr>
          <w:rFonts w:ascii="Book Antiqua" w:eastAsia="Book Antiqua" w:hAnsi="Book Antiqua" w:cs="Book Antiqua"/>
          <w:color w:val="000000"/>
        </w:rPr>
        <w:t xml:space="preserve"> </w:t>
      </w:r>
      <w:r w:rsidR="00007A40" w:rsidRPr="000915AB">
        <w:rPr>
          <w:rFonts w:ascii="Book Antiqua" w:eastAsia="Book Antiqua" w:hAnsi="Book Antiqua" w:cs="Book Antiqua"/>
          <w:color w:val="000000"/>
        </w:rPr>
        <w:t xml:space="preserve">T: </w:t>
      </w:r>
      <w:r w:rsidRPr="000915AB">
        <w:rPr>
          <w:rFonts w:ascii="Book Antiqua" w:eastAsia="Book Antiqua" w:hAnsi="Book Antiqua" w:cs="Book Antiqua"/>
          <w:color w:val="000000"/>
        </w:rPr>
        <w:t>Temporal</w:t>
      </w:r>
      <w:r w:rsidR="00007A40" w:rsidRPr="000915AB">
        <w:rPr>
          <w:rFonts w:ascii="Book Antiqua" w:eastAsia="Book Antiqua" w:hAnsi="Book Antiqua" w:cs="Book Antiqua"/>
          <w:color w:val="000000"/>
        </w:rPr>
        <w:t>;</w:t>
      </w:r>
      <w:r w:rsidRPr="000915AB">
        <w:rPr>
          <w:rFonts w:ascii="Book Antiqua" w:eastAsia="Book Antiqua" w:hAnsi="Book Antiqua" w:cs="Book Antiqua"/>
          <w:color w:val="000000"/>
        </w:rPr>
        <w:t xml:space="preserve"> </w:t>
      </w:r>
      <w:r w:rsidR="00007A40" w:rsidRPr="000915AB">
        <w:rPr>
          <w:rFonts w:ascii="Book Antiqua" w:eastAsia="Book Antiqua" w:hAnsi="Book Antiqua" w:cs="Book Antiqua"/>
          <w:color w:val="000000"/>
        </w:rPr>
        <w:t xml:space="preserve">N: </w:t>
      </w:r>
      <w:r w:rsidRPr="000915AB">
        <w:rPr>
          <w:rFonts w:ascii="Book Antiqua" w:eastAsia="Book Antiqua" w:hAnsi="Book Antiqua" w:cs="Book Antiqua"/>
          <w:color w:val="000000"/>
        </w:rPr>
        <w:t>Nasal</w:t>
      </w:r>
      <w:r w:rsidR="00007A40" w:rsidRPr="000915AB">
        <w:rPr>
          <w:rFonts w:ascii="Book Antiqua" w:eastAsia="Book Antiqua" w:hAnsi="Book Antiqua" w:cs="Book Antiqua"/>
          <w:color w:val="000000"/>
        </w:rPr>
        <w:t>;</w:t>
      </w:r>
      <w:r w:rsidRPr="000915AB">
        <w:rPr>
          <w:rFonts w:ascii="Book Antiqua" w:eastAsia="Book Antiqua" w:hAnsi="Book Antiqua" w:cs="Book Antiqua"/>
          <w:color w:val="000000"/>
        </w:rPr>
        <w:t xml:space="preserve"> </w:t>
      </w:r>
      <w:r w:rsidR="00007A40" w:rsidRPr="000915AB">
        <w:rPr>
          <w:rFonts w:ascii="Book Antiqua" w:eastAsia="Book Antiqua" w:hAnsi="Book Antiqua" w:cs="Book Antiqua"/>
          <w:color w:val="000000"/>
        </w:rPr>
        <w:t xml:space="preserve">I: </w:t>
      </w:r>
      <w:r w:rsidRPr="000915AB">
        <w:rPr>
          <w:rFonts w:ascii="Book Antiqua" w:eastAsia="Book Antiqua" w:hAnsi="Book Antiqua" w:cs="Book Antiqua"/>
          <w:color w:val="000000"/>
        </w:rPr>
        <w:t>Inferior</w:t>
      </w:r>
      <w:r w:rsidR="00F6692F" w:rsidRPr="000915AB">
        <w:rPr>
          <w:rFonts w:ascii="Book Antiqua" w:eastAsia="Book Antiqua" w:hAnsi="Book Antiqua" w:cs="Book Antiqua"/>
          <w:color w:val="000000"/>
        </w:rPr>
        <w:t>)</w:t>
      </w:r>
      <w:r w:rsidR="00007A40" w:rsidRPr="000915AB">
        <w:rPr>
          <w:rFonts w:ascii="Book Antiqua" w:eastAsia="Book Antiqua" w:hAnsi="Book Antiqua" w:cs="Book Antiqua"/>
          <w:color w:val="000000"/>
        </w:rPr>
        <w:t xml:space="preserve">; </w:t>
      </w:r>
      <w:r w:rsidRPr="000915AB">
        <w:rPr>
          <w:rFonts w:ascii="Book Antiqua" w:eastAsia="Book Antiqua" w:hAnsi="Book Antiqua" w:cs="Book Antiqua"/>
          <w:color w:val="000000"/>
        </w:rPr>
        <w:t>C</w:t>
      </w:r>
      <w:r w:rsidR="00007A40" w:rsidRPr="000915AB">
        <w:rPr>
          <w:rFonts w:ascii="Book Antiqua" w:eastAsia="Book Antiqua" w:hAnsi="Book Antiqua" w:cs="Book Antiqua"/>
          <w:color w:val="000000"/>
        </w:rPr>
        <w:t>:</w:t>
      </w:r>
      <w:r w:rsidRPr="000915AB">
        <w:rPr>
          <w:rFonts w:ascii="Book Antiqua" w:eastAsia="Book Antiqua" w:hAnsi="Book Antiqua" w:cs="Book Antiqua"/>
          <w:color w:val="000000"/>
        </w:rPr>
        <w:t xml:space="preserve"> Right and left nasal step visual field defects consistent with glaucomatous damage.</w:t>
      </w:r>
    </w:p>
    <w:p w14:paraId="29FBACB6" w14:textId="77777777" w:rsidR="006876A8" w:rsidRPr="000915AB" w:rsidRDefault="006876A8" w:rsidP="000915AB">
      <w:pPr>
        <w:spacing w:line="360" w:lineRule="auto"/>
        <w:jc w:val="both"/>
        <w:rPr>
          <w:rFonts w:ascii="Book Antiqua" w:eastAsia="Book Antiqua" w:hAnsi="Book Antiqua" w:cs="Book Antiqua"/>
          <w:b/>
          <w:bCs/>
          <w:color w:val="000000"/>
        </w:rPr>
        <w:sectPr w:rsidR="006876A8" w:rsidRPr="000915AB" w:rsidSect="000915AB">
          <w:pgSz w:w="12240" w:h="15840"/>
          <w:pgMar w:top="1440" w:right="1440" w:bottom="1440" w:left="1440" w:header="720" w:footer="720" w:gutter="0"/>
          <w:cols w:space="720"/>
          <w:docGrid w:linePitch="360"/>
        </w:sectPr>
      </w:pPr>
    </w:p>
    <w:p w14:paraId="02DB25DC" w14:textId="3D5596FD" w:rsidR="00F6692F" w:rsidRPr="000915AB" w:rsidRDefault="00F6692F" w:rsidP="000915AB">
      <w:pPr>
        <w:spacing w:line="360" w:lineRule="auto"/>
        <w:jc w:val="both"/>
        <w:rPr>
          <w:rFonts w:ascii="Book Antiqua" w:eastAsia="宋体" w:hAnsi="Book Antiqua" w:cs="宋体"/>
          <w:lang w:eastAsia="zh-CN"/>
        </w:rPr>
      </w:pPr>
      <w:r w:rsidRPr="000915AB">
        <w:rPr>
          <w:rFonts w:ascii="Book Antiqua" w:eastAsia="宋体" w:hAnsi="Book Antiqua" w:cs="宋体"/>
          <w:noProof/>
          <w:lang w:eastAsia="zh-CN"/>
        </w:rPr>
        <w:drawing>
          <wp:inline distT="0" distB="0" distL="0" distR="0" wp14:anchorId="48230748" wp14:editId="74856A8D">
            <wp:extent cx="5943600" cy="32251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25165"/>
                    </a:xfrm>
                    <a:prstGeom prst="rect">
                      <a:avLst/>
                    </a:prstGeom>
                    <a:noFill/>
                    <a:ln>
                      <a:noFill/>
                    </a:ln>
                  </pic:spPr>
                </pic:pic>
              </a:graphicData>
            </a:graphic>
          </wp:inline>
        </w:drawing>
      </w:r>
    </w:p>
    <w:p w14:paraId="0D949894" w14:textId="5093138A"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bCs/>
          <w:color w:val="000000"/>
        </w:rPr>
        <w:t>Figure 2</w:t>
      </w:r>
      <w:r w:rsidRPr="000915AB">
        <w:rPr>
          <w:rFonts w:ascii="Book Antiqua" w:eastAsia="Book Antiqua" w:hAnsi="Book Antiqua" w:cs="Book Antiqua"/>
          <w:color w:val="000000"/>
        </w:rPr>
        <w:t xml:space="preserve"> </w:t>
      </w:r>
      <w:r w:rsidRPr="000915AB">
        <w:rPr>
          <w:rFonts w:ascii="Book Antiqua" w:eastAsia="Book Antiqua" w:hAnsi="Book Antiqua" w:cs="Book Antiqua"/>
          <w:b/>
          <w:bCs/>
          <w:color w:val="000000"/>
        </w:rPr>
        <w:t xml:space="preserve">Coinheritance of </w:t>
      </w:r>
      <w:r w:rsidRPr="000915AB">
        <w:rPr>
          <w:rFonts w:ascii="Book Antiqua" w:eastAsia="Book Antiqua" w:hAnsi="Book Antiqua" w:cs="Book Antiqua"/>
          <w:b/>
          <w:bCs/>
          <w:i/>
          <w:iCs/>
          <w:color w:val="000000"/>
        </w:rPr>
        <w:t>OLFM2</w:t>
      </w:r>
      <w:r w:rsidRPr="000915AB">
        <w:rPr>
          <w:rFonts w:ascii="Book Antiqua" w:eastAsia="Book Antiqua" w:hAnsi="Book Antiqua" w:cs="Book Antiqua"/>
          <w:b/>
          <w:bCs/>
          <w:color w:val="000000"/>
        </w:rPr>
        <w:t xml:space="preserve"> and </w:t>
      </w:r>
      <w:r w:rsidRPr="000915AB">
        <w:rPr>
          <w:rFonts w:ascii="Book Antiqua" w:eastAsia="Book Antiqua" w:hAnsi="Book Antiqua" w:cs="Book Antiqua"/>
          <w:b/>
          <w:bCs/>
          <w:i/>
          <w:iCs/>
          <w:color w:val="000000"/>
        </w:rPr>
        <w:t>SIX6</w:t>
      </w:r>
      <w:r w:rsidRPr="000915AB">
        <w:rPr>
          <w:rFonts w:ascii="Book Antiqua" w:eastAsia="Book Antiqua" w:hAnsi="Book Antiqua" w:cs="Book Antiqua"/>
          <w:b/>
          <w:bCs/>
          <w:color w:val="000000"/>
        </w:rPr>
        <w:t xml:space="preserve"> variants might be associated with </w:t>
      </w:r>
      <w:r w:rsidR="00F6692F" w:rsidRPr="000915AB">
        <w:rPr>
          <w:rFonts w:ascii="Book Antiqua" w:eastAsia="Book Antiqua" w:hAnsi="Book Antiqua" w:cs="Book Antiqua"/>
          <w:b/>
          <w:bCs/>
          <w:color w:val="000000"/>
        </w:rPr>
        <w:t>juvenile-onset primary open-angle glaucoma</w:t>
      </w:r>
      <w:r w:rsidRPr="000915AB">
        <w:rPr>
          <w:rFonts w:ascii="Book Antiqua" w:eastAsia="Book Antiqua" w:hAnsi="Book Antiqua" w:cs="Book Antiqua"/>
          <w:b/>
          <w:bCs/>
          <w:color w:val="000000"/>
        </w:rPr>
        <w:t>.</w:t>
      </w:r>
      <w:r w:rsidRPr="000915AB">
        <w:rPr>
          <w:rFonts w:ascii="Book Antiqua" w:eastAsia="Book Antiqua" w:hAnsi="Book Antiqua" w:cs="Book Antiqua"/>
          <w:color w:val="000000"/>
        </w:rPr>
        <w:t xml:space="preserve"> A: The proband coinherited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and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variants, indicated with a black arrow</w:t>
      </w:r>
      <w:r w:rsidR="00911CBE" w:rsidRPr="000915AB">
        <w:rPr>
          <w:rFonts w:ascii="Book Antiqua" w:eastAsia="Book Antiqua" w:hAnsi="Book Antiqua" w:cs="Book Antiqua"/>
          <w:color w:val="000000"/>
        </w:rPr>
        <w:t>. The square represents male, circle represents female</w:t>
      </w:r>
      <w:r w:rsidR="00D82A57">
        <w:rPr>
          <w:rFonts w:ascii="Book Antiqua" w:eastAsia="Book Antiqua" w:hAnsi="Book Antiqua" w:cs="Book Antiqua"/>
          <w:color w:val="000000"/>
        </w:rPr>
        <w:t>,</w:t>
      </w:r>
      <w:r w:rsidR="00911CBE" w:rsidRPr="000915AB">
        <w:rPr>
          <w:rFonts w:ascii="Book Antiqua" w:eastAsia="Book Antiqua" w:hAnsi="Book Antiqua" w:cs="Book Antiqua"/>
          <w:color w:val="000000"/>
        </w:rPr>
        <w:t xml:space="preserve"> and affected individual was shown by</w:t>
      </w:r>
      <w:r w:rsidR="00D82A57">
        <w:rPr>
          <w:rFonts w:ascii="Book Antiqua" w:eastAsia="Book Antiqua" w:hAnsi="Book Antiqua" w:cs="Book Antiqua"/>
          <w:color w:val="000000"/>
        </w:rPr>
        <w:t xml:space="preserve"> a</w:t>
      </w:r>
      <w:r w:rsidR="00911CBE" w:rsidRPr="000915AB">
        <w:rPr>
          <w:rFonts w:ascii="Book Antiqua" w:eastAsia="Book Antiqua" w:hAnsi="Book Antiqua" w:cs="Book Antiqua"/>
          <w:color w:val="000000"/>
        </w:rPr>
        <w:t xml:space="preserve"> filled symbol</w:t>
      </w:r>
      <w:r w:rsidR="006876A8" w:rsidRPr="000915AB">
        <w:rPr>
          <w:rFonts w:ascii="Book Antiqua" w:eastAsia="Book Antiqua" w:hAnsi="Book Antiqua" w:cs="Book Antiqua"/>
          <w:color w:val="000000"/>
        </w:rPr>
        <w:t>;</w:t>
      </w:r>
      <w:r w:rsidRPr="000915AB">
        <w:rPr>
          <w:rFonts w:ascii="Book Antiqua" w:eastAsia="Book Antiqua" w:hAnsi="Book Antiqua" w:cs="Book Antiqua"/>
          <w:color w:val="000000"/>
        </w:rPr>
        <w:t xml:space="preserve"> B: </w:t>
      </w:r>
      <w:r w:rsidR="00D82A57">
        <w:rPr>
          <w:rFonts w:ascii="Book Antiqua" w:eastAsia="Book Antiqua" w:hAnsi="Book Antiqua" w:cs="Book Antiqua"/>
          <w:color w:val="000000"/>
        </w:rPr>
        <w:t>T</w:t>
      </w:r>
      <w:r w:rsidRPr="000915AB">
        <w:rPr>
          <w:rFonts w:ascii="Book Antiqua" w:eastAsia="Book Antiqua" w:hAnsi="Book Antiqua" w:cs="Book Antiqua"/>
          <w:color w:val="000000"/>
        </w:rPr>
        <w:t xml:space="preserve">he Sanger sequencing DNA chromatograms of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and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for the proband and unaffected family members. The mutated nucleotides are marked with red arrows.</w:t>
      </w:r>
    </w:p>
    <w:p w14:paraId="69D04ED7" w14:textId="77777777" w:rsidR="006876A8" w:rsidRPr="000915AB" w:rsidRDefault="006876A8" w:rsidP="000915AB">
      <w:pPr>
        <w:spacing w:line="360" w:lineRule="auto"/>
        <w:jc w:val="both"/>
        <w:rPr>
          <w:rFonts w:ascii="Book Antiqua" w:eastAsia="Book Antiqua" w:hAnsi="Book Antiqua" w:cs="Book Antiqua"/>
          <w:b/>
          <w:bCs/>
          <w:color w:val="000000"/>
        </w:rPr>
        <w:sectPr w:rsidR="006876A8" w:rsidRPr="000915AB" w:rsidSect="000915AB">
          <w:pgSz w:w="12240" w:h="15840"/>
          <w:pgMar w:top="1440" w:right="1440" w:bottom="1440" w:left="1440" w:header="720" w:footer="720" w:gutter="0"/>
          <w:cols w:space="720"/>
          <w:docGrid w:linePitch="360"/>
        </w:sectPr>
      </w:pPr>
    </w:p>
    <w:p w14:paraId="20E2C0D4" w14:textId="45C74F9D" w:rsidR="003D0FB0" w:rsidRPr="000915AB" w:rsidRDefault="003D0FB0" w:rsidP="000915AB">
      <w:pPr>
        <w:spacing w:line="360" w:lineRule="auto"/>
        <w:jc w:val="both"/>
        <w:rPr>
          <w:rFonts w:ascii="Book Antiqua" w:eastAsia="宋体" w:hAnsi="Book Antiqua" w:cs="宋体"/>
          <w:lang w:eastAsia="zh-CN"/>
        </w:rPr>
      </w:pPr>
      <w:r w:rsidRPr="000915AB">
        <w:rPr>
          <w:rFonts w:ascii="Book Antiqua" w:eastAsia="宋体" w:hAnsi="Book Antiqua" w:cs="宋体"/>
          <w:noProof/>
          <w:lang w:eastAsia="zh-CN"/>
        </w:rPr>
        <w:drawing>
          <wp:inline distT="0" distB="0" distL="0" distR="0" wp14:anchorId="1CA5D4D5" wp14:editId="0B9A39A5">
            <wp:extent cx="3990109" cy="51948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7223" cy="5204077"/>
                    </a:xfrm>
                    <a:prstGeom prst="rect">
                      <a:avLst/>
                    </a:prstGeom>
                    <a:noFill/>
                    <a:ln>
                      <a:noFill/>
                    </a:ln>
                  </pic:spPr>
                </pic:pic>
              </a:graphicData>
            </a:graphic>
          </wp:inline>
        </w:drawing>
      </w:r>
    </w:p>
    <w:p w14:paraId="18AE22C3" w14:textId="3561642F" w:rsidR="00A77B3E" w:rsidRPr="000915AB" w:rsidRDefault="004521C0" w:rsidP="000915AB">
      <w:pPr>
        <w:spacing w:line="360" w:lineRule="auto"/>
        <w:jc w:val="both"/>
        <w:rPr>
          <w:rFonts w:ascii="Book Antiqua" w:eastAsia="Book Antiqua" w:hAnsi="Book Antiqua" w:cs="Book Antiqua"/>
          <w:color w:val="000000"/>
        </w:rPr>
      </w:pPr>
      <w:r w:rsidRPr="000915AB">
        <w:rPr>
          <w:rFonts w:ascii="Book Antiqua" w:eastAsia="Book Antiqua" w:hAnsi="Book Antiqua" w:cs="Book Antiqua"/>
          <w:b/>
          <w:bCs/>
          <w:color w:val="000000"/>
        </w:rPr>
        <w:t>Figure 3</w:t>
      </w:r>
      <w:r w:rsidRPr="000915AB">
        <w:rPr>
          <w:rFonts w:ascii="Book Antiqua" w:eastAsia="Book Antiqua" w:hAnsi="Book Antiqua" w:cs="Book Antiqua"/>
          <w:color w:val="000000"/>
        </w:rPr>
        <w:t xml:space="preserve"> </w:t>
      </w:r>
      <w:r w:rsidRPr="000915AB">
        <w:rPr>
          <w:rFonts w:ascii="Book Antiqua" w:eastAsia="Book Antiqua" w:hAnsi="Book Antiqua" w:cs="Book Antiqua"/>
          <w:b/>
          <w:bCs/>
          <w:color w:val="000000"/>
        </w:rPr>
        <w:t xml:space="preserve">Evolutionary conservation of amino acids for the p.(Arg94His) and p.(Ile59Met) mutations. </w:t>
      </w:r>
      <w:r w:rsidRPr="000915AB">
        <w:rPr>
          <w:rFonts w:ascii="Book Antiqua" w:eastAsia="Book Antiqua" w:hAnsi="Book Antiqua" w:cs="Book Antiqua"/>
          <w:color w:val="000000"/>
        </w:rPr>
        <w:t>A: Schematics of the functional domains of the O</w:t>
      </w:r>
      <w:r w:rsidR="005D2774" w:rsidRPr="000915AB">
        <w:rPr>
          <w:rFonts w:ascii="Book Antiqua" w:eastAsia="Book Antiqua" w:hAnsi="Book Antiqua" w:cs="Book Antiqua"/>
          <w:color w:val="000000"/>
        </w:rPr>
        <w:t>lfm</w:t>
      </w:r>
      <w:r w:rsidRPr="000915AB">
        <w:rPr>
          <w:rFonts w:ascii="Book Antiqua" w:eastAsia="Book Antiqua" w:hAnsi="Book Antiqua" w:cs="Book Antiqua"/>
          <w:color w:val="000000"/>
        </w:rPr>
        <w:t>2</w:t>
      </w:r>
      <w:r w:rsidR="00262BEC">
        <w:rPr>
          <w:rFonts w:ascii="Book Antiqua" w:eastAsia="Book Antiqua" w:hAnsi="Book Antiqua" w:cs="Book Antiqua"/>
          <w:color w:val="000000"/>
        </w:rPr>
        <w:t xml:space="preserve"> and</w:t>
      </w:r>
      <w:r w:rsidRPr="000915AB">
        <w:rPr>
          <w:rFonts w:ascii="Book Antiqua" w:eastAsia="Book Antiqua" w:hAnsi="Book Antiqua" w:cs="Book Antiqua"/>
          <w:color w:val="000000"/>
        </w:rPr>
        <w:t xml:space="preserve"> S</w:t>
      </w:r>
      <w:r w:rsidR="005D2774" w:rsidRPr="000915AB">
        <w:rPr>
          <w:rFonts w:ascii="Book Antiqua" w:eastAsia="Book Antiqua" w:hAnsi="Book Antiqua" w:cs="Book Antiqua"/>
          <w:color w:val="000000"/>
        </w:rPr>
        <w:t>ix</w:t>
      </w:r>
      <w:r w:rsidRPr="000915AB">
        <w:rPr>
          <w:rFonts w:ascii="Book Antiqua" w:eastAsia="Book Antiqua" w:hAnsi="Book Antiqua" w:cs="Book Antiqua"/>
          <w:color w:val="000000"/>
        </w:rPr>
        <w:t>6 proteins and locations of the corresponding mutations</w:t>
      </w:r>
      <w:r w:rsidR="005D2774" w:rsidRPr="000915AB">
        <w:rPr>
          <w:rFonts w:ascii="Book Antiqua" w:eastAsia="Book Antiqua" w:hAnsi="Book Antiqua" w:cs="Book Antiqua"/>
          <w:color w:val="000000"/>
        </w:rPr>
        <w:t>; B and C:</w:t>
      </w:r>
      <w:r w:rsidRPr="000915AB">
        <w:rPr>
          <w:rFonts w:ascii="Book Antiqua" w:eastAsia="Book Antiqua" w:hAnsi="Book Antiqua" w:cs="Book Antiqua"/>
          <w:color w:val="000000"/>
        </w:rPr>
        <w:t xml:space="preserve"> The mutation and wild type residues for</w:t>
      </w:r>
      <w:r w:rsidR="005D2774" w:rsidRPr="000915AB">
        <w:rPr>
          <w:rFonts w:ascii="Book Antiqua" w:eastAsia="Book Antiqua" w:hAnsi="Book Antiqua" w:cs="Book Antiqua"/>
          <w:color w:val="000000"/>
        </w:rPr>
        <w:t xml:space="preserve">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p.Arg94</w:t>
      </w:r>
      <w:r w:rsidR="005D2774" w:rsidRPr="000915AB">
        <w:rPr>
          <w:rFonts w:ascii="Book Antiqua" w:eastAsia="Book Antiqua" w:hAnsi="Book Antiqua" w:cs="Book Antiqua"/>
          <w:color w:val="000000"/>
        </w:rPr>
        <w:t xml:space="preserve"> (B) </w:t>
      </w:r>
      <w:r w:rsidRPr="000915AB">
        <w:rPr>
          <w:rFonts w:ascii="Book Antiqua" w:eastAsia="Book Antiqua" w:hAnsi="Book Antiqua" w:cs="Book Antiqua"/>
          <w:color w:val="000000"/>
        </w:rPr>
        <w:t xml:space="preserve">and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p.Ile59</w:t>
      </w:r>
      <w:r w:rsidR="005D2774" w:rsidRPr="000915AB">
        <w:rPr>
          <w:rFonts w:ascii="Book Antiqua" w:eastAsia="Book Antiqua" w:hAnsi="Book Antiqua" w:cs="Book Antiqua"/>
          <w:color w:val="000000"/>
        </w:rPr>
        <w:t xml:space="preserve"> (C)</w:t>
      </w:r>
      <w:r w:rsidRPr="000915AB">
        <w:rPr>
          <w:rFonts w:ascii="Book Antiqua" w:eastAsia="Book Antiqua" w:hAnsi="Book Antiqua" w:cs="Book Antiqua"/>
          <w:color w:val="000000"/>
        </w:rPr>
        <w:t xml:space="preserve"> were highlighted with </w:t>
      </w:r>
      <w:r w:rsidR="00262BEC">
        <w:rPr>
          <w:rFonts w:ascii="Book Antiqua" w:eastAsia="Book Antiqua" w:hAnsi="Book Antiqua" w:cs="Book Antiqua"/>
          <w:color w:val="000000"/>
        </w:rPr>
        <w:t xml:space="preserve">a </w:t>
      </w:r>
      <w:r w:rsidRPr="000915AB">
        <w:rPr>
          <w:rFonts w:ascii="Book Antiqua" w:eastAsia="Book Antiqua" w:hAnsi="Book Antiqua" w:cs="Book Antiqua"/>
          <w:color w:val="000000"/>
        </w:rPr>
        <w:t>red box. Noelin-1</w:t>
      </w:r>
      <w:r w:rsidR="005D2774" w:rsidRPr="000915AB">
        <w:rPr>
          <w:rFonts w:ascii="Book Antiqua" w:eastAsia="Book Antiqua" w:hAnsi="Book Antiqua" w:cs="Book Antiqua"/>
          <w:color w:val="000000"/>
        </w:rPr>
        <w:t>:</w:t>
      </w:r>
      <w:r w:rsidRPr="000915AB">
        <w:rPr>
          <w:rFonts w:ascii="Book Antiqua" w:eastAsia="Book Antiqua" w:hAnsi="Book Antiqua" w:cs="Book Antiqua"/>
          <w:color w:val="000000"/>
        </w:rPr>
        <w:t xml:space="preserve"> </w:t>
      </w:r>
      <w:r w:rsidR="005D2774" w:rsidRPr="000915AB">
        <w:rPr>
          <w:rFonts w:ascii="Book Antiqua" w:eastAsia="Book Antiqua" w:hAnsi="Book Antiqua" w:cs="Book Antiqua"/>
          <w:color w:val="000000"/>
        </w:rPr>
        <w:t>N</w:t>
      </w:r>
      <w:r w:rsidRPr="000915AB">
        <w:rPr>
          <w:rFonts w:ascii="Book Antiqua" w:eastAsia="Book Antiqua" w:hAnsi="Book Antiqua" w:cs="Book Antiqua"/>
          <w:color w:val="000000"/>
        </w:rPr>
        <w:t>eurogenesis glycoprotein domain; OLF</w:t>
      </w:r>
      <w:r w:rsidR="005D2774" w:rsidRPr="000915AB">
        <w:rPr>
          <w:rFonts w:ascii="Book Antiqua" w:eastAsia="Book Antiqua" w:hAnsi="Book Antiqua" w:cs="Book Antiqua"/>
          <w:color w:val="000000"/>
        </w:rPr>
        <w:t>:</w:t>
      </w:r>
      <w:r w:rsidRPr="000915AB">
        <w:rPr>
          <w:rFonts w:ascii="Book Antiqua" w:eastAsia="Book Antiqua" w:hAnsi="Book Antiqua" w:cs="Book Antiqua"/>
          <w:color w:val="000000"/>
        </w:rPr>
        <w:t xml:space="preserve"> </w:t>
      </w:r>
      <w:r w:rsidR="005D2774" w:rsidRPr="000915AB">
        <w:rPr>
          <w:rFonts w:ascii="Book Antiqua" w:eastAsia="Book Antiqua" w:hAnsi="Book Antiqua" w:cs="Book Antiqua"/>
          <w:color w:val="000000"/>
        </w:rPr>
        <w:t>O</w:t>
      </w:r>
      <w:r w:rsidRPr="000915AB">
        <w:rPr>
          <w:rFonts w:ascii="Book Antiqua" w:eastAsia="Book Antiqua" w:hAnsi="Book Antiqua" w:cs="Book Antiqua"/>
          <w:color w:val="000000"/>
        </w:rPr>
        <w:t>lfactomedin-like domain; SIX1_SD</w:t>
      </w:r>
      <w:r w:rsidR="005D2774" w:rsidRPr="000915AB">
        <w:rPr>
          <w:rFonts w:ascii="Book Antiqua" w:eastAsia="Book Antiqua" w:hAnsi="Book Antiqua" w:cs="Book Antiqua"/>
          <w:color w:val="000000"/>
        </w:rPr>
        <w:t>:</w:t>
      </w:r>
      <w:r w:rsidRPr="000915AB">
        <w:rPr>
          <w:rFonts w:ascii="Book Antiqua" w:eastAsia="Book Antiqua" w:hAnsi="Book Antiqua" w:cs="Book Antiqua"/>
          <w:color w:val="000000"/>
        </w:rPr>
        <w:t xml:space="preserve"> </w:t>
      </w:r>
      <w:r w:rsidR="005D2774" w:rsidRPr="000915AB">
        <w:rPr>
          <w:rFonts w:ascii="Book Antiqua" w:eastAsia="Book Antiqua" w:hAnsi="Book Antiqua" w:cs="Book Antiqua"/>
          <w:color w:val="000000"/>
        </w:rPr>
        <w:t>T</w:t>
      </w:r>
      <w:r w:rsidRPr="000915AB">
        <w:rPr>
          <w:rFonts w:ascii="Book Antiqua" w:eastAsia="Book Antiqua" w:hAnsi="Book Antiqua" w:cs="Book Antiqua"/>
          <w:color w:val="000000"/>
        </w:rPr>
        <w:t xml:space="preserve">ranscriptional regulator, SIX1, N-terminal SD domain; </w:t>
      </w:r>
      <w:r w:rsidR="005D2774" w:rsidRPr="000915AB">
        <w:rPr>
          <w:rFonts w:ascii="Book Antiqua" w:eastAsia="Book Antiqua" w:hAnsi="Book Antiqua" w:cs="Book Antiqua"/>
          <w:color w:val="000000"/>
        </w:rPr>
        <w:t>h</w:t>
      </w:r>
      <w:r w:rsidRPr="000915AB">
        <w:rPr>
          <w:rFonts w:ascii="Book Antiqua" w:eastAsia="Book Antiqua" w:hAnsi="Book Antiqua" w:cs="Book Antiqua"/>
          <w:color w:val="000000"/>
        </w:rPr>
        <w:t>omeodomain</w:t>
      </w:r>
      <w:r w:rsidR="005D2774" w:rsidRPr="000915AB">
        <w:rPr>
          <w:rFonts w:ascii="Book Antiqua" w:eastAsia="Book Antiqua" w:hAnsi="Book Antiqua" w:cs="Book Antiqua"/>
          <w:color w:val="000000"/>
        </w:rPr>
        <w:t>:</w:t>
      </w:r>
      <w:r w:rsidRPr="000915AB">
        <w:rPr>
          <w:rFonts w:ascii="Book Antiqua" w:eastAsia="Book Antiqua" w:hAnsi="Book Antiqua" w:cs="Book Antiqua"/>
          <w:color w:val="000000"/>
        </w:rPr>
        <w:t xml:space="preserve"> DNA binding domain, involved in the transcriptional regulation of key eukaryotic developmental processes.</w:t>
      </w:r>
    </w:p>
    <w:p w14:paraId="6586B057" w14:textId="77777777" w:rsidR="000E07E2" w:rsidRPr="000915AB" w:rsidRDefault="000E07E2" w:rsidP="000915AB">
      <w:pPr>
        <w:spacing w:line="360" w:lineRule="auto"/>
        <w:jc w:val="both"/>
        <w:rPr>
          <w:rFonts w:ascii="Book Antiqua" w:hAnsi="Book Antiqua"/>
        </w:rPr>
        <w:sectPr w:rsidR="000E07E2" w:rsidRPr="000915AB" w:rsidSect="000915AB">
          <w:pgSz w:w="12240" w:h="15840"/>
          <w:pgMar w:top="1440" w:right="1440" w:bottom="1440" w:left="1440" w:header="720" w:footer="720" w:gutter="0"/>
          <w:cols w:space="720"/>
          <w:docGrid w:linePitch="360"/>
        </w:sectPr>
      </w:pPr>
    </w:p>
    <w:p w14:paraId="7B27DA2F" w14:textId="38DD4C7D" w:rsidR="000E07E2" w:rsidRPr="000915AB" w:rsidRDefault="000E07E2" w:rsidP="000915AB">
      <w:pPr>
        <w:spacing w:line="360" w:lineRule="auto"/>
        <w:jc w:val="both"/>
        <w:rPr>
          <w:rFonts w:ascii="Book Antiqua" w:hAnsi="Book Antiqua"/>
          <w:b/>
        </w:rPr>
      </w:pPr>
      <w:r w:rsidRPr="000915AB">
        <w:rPr>
          <w:rFonts w:ascii="Book Antiqua" w:hAnsi="Book Antiqua"/>
          <w:b/>
        </w:rPr>
        <w:t xml:space="preserve">Table 1 Primer sequences used for Sanger </w:t>
      </w:r>
      <w:r w:rsidR="00096172" w:rsidRPr="000915AB">
        <w:rPr>
          <w:rFonts w:ascii="Book Antiqua" w:hAnsi="Book Antiqua"/>
          <w:b/>
        </w:rPr>
        <w:t>s</w:t>
      </w:r>
      <w:r w:rsidRPr="000915AB">
        <w:rPr>
          <w:rFonts w:ascii="Book Antiqua" w:hAnsi="Book Antiqua"/>
          <w:b/>
        </w:rPr>
        <w:t>equencing</w:t>
      </w:r>
    </w:p>
    <w:tbl>
      <w:tblPr>
        <w:tblpPr w:leftFromText="181" w:rightFromText="181" w:vertAnchor="text" w:horzAnchor="margin" w:tblpXSpec="center" w:tblpY="1"/>
        <w:tblW w:w="5000"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561"/>
        <w:gridCol w:w="5316"/>
        <w:gridCol w:w="2771"/>
      </w:tblGrid>
      <w:tr w:rsidR="000E07E2" w:rsidRPr="000915AB" w14:paraId="1625B206" w14:textId="77777777" w:rsidTr="008E1966">
        <w:trPr>
          <w:trHeight w:val="170"/>
        </w:trPr>
        <w:tc>
          <w:tcPr>
            <w:tcW w:w="809" w:type="pct"/>
            <w:tcBorders>
              <w:top w:val="single" w:sz="4" w:space="0" w:color="auto"/>
              <w:bottom w:val="single" w:sz="4" w:space="0" w:color="auto"/>
            </w:tcBorders>
            <w:shd w:val="clear" w:color="auto" w:fill="auto"/>
            <w:tcMar>
              <w:top w:w="72" w:type="dxa"/>
              <w:left w:w="144" w:type="dxa"/>
              <w:bottom w:w="72" w:type="dxa"/>
              <w:right w:w="144" w:type="dxa"/>
            </w:tcMar>
            <w:hideMark/>
          </w:tcPr>
          <w:p w14:paraId="502BF04E" w14:textId="77777777" w:rsidR="000E07E2" w:rsidRPr="000915AB" w:rsidRDefault="000E07E2" w:rsidP="000915AB">
            <w:pPr>
              <w:spacing w:line="360" w:lineRule="auto"/>
              <w:jc w:val="both"/>
              <w:rPr>
                <w:rFonts w:ascii="Book Antiqua" w:hAnsi="Book Antiqua"/>
                <w:b/>
                <w:bCs/>
              </w:rPr>
            </w:pPr>
            <w:r w:rsidRPr="000915AB">
              <w:rPr>
                <w:rFonts w:ascii="Book Antiqua" w:hAnsi="Book Antiqua"/>
                <w:b/>
                <w:bCs/>
              </w:rPr>
              <w:t>Gene</w:t>
            </w:r>
          </w:p>
        </w:tc>
        <w:tc>
          <w:tcPr>
            <w:tcW w:w="2754" w:type="pct"/>
            <w:tcBorders>
              <w:top w:val="single" w:sz="4" w:space="0" w:color="auto"/>
              <w:bottom w:val="single" w:sz="4" w:space="0" w:color="auto"/>
            </w:tcBorders>
            <w:shd w:val="clear" w:color="auto" w:fill="auto"/>
            <w:tcMar>
              <w:top w:w="72" w:type="dxa"/>
              <w:left w:w="144" w:type="dxa"/>
              <w:bottom w:w="72" w:type="dxa"/>
              <w:right w:w="144" w:type="dxa"/>
            </w:tcMar>
            <w:hideMark/>
          </w:tcPr>
          <w:p w14:paraId="40AEC078" w14:textId="4F6DF31F" w:rsidR="000E07E2" w:rsidRPr="000915AB" w:rsidRDefault="000E07E2" w:rsidP="000915AB">
            <w:pPr>
              <w:spacing w:line="360" w:lineRule="auto"/>
              <w:jc w:val="both"/>
              <w:rPr>
                <w:rFonts w:ascii="Book Antiqua" w:hAnsi="Book Antiqua"/>
                <w:b/>
                <w:bCs/>
              </w:rPr>
            </w:pPr>
            <w:r w:rsidRPr="000915AB">
              <w:rPr>
                <w:rFonts w:ascii="Book Antiqua" w:hAnsi="Book Antiqua"/>
                <w:b/>
                <w:bCs/>
              </w:rPr>
              <w:t>Sequence</w:t>
            </w:r>
            <w:r w:rsidR="00751994">
              <w:rPr>
                <w:rFonts w:ascii="Book Antiqua" w:hAnsi="Book Antiqua"/>
                <w:b/>
                <w:bCs/>
              </w:rPr>
              <w:t>,</w:t>
            </w:r>
            <w:r w:rsidRPr="000915AB">
              <w:rPr>
                <w:rFonts w:ascii="Book Antiqua" w:hAnsi="Book Antiqua"/>
                <w:b/>
                <w:bCs/>
              </w:rPr>
              <w:t xml:space="preserve"> 5’-3’</w:t>
            </w:r>
          </w:p>
        </w:tc>
        <w:tc>
          <w:tcPr>
            <w:tcW w:w="1436" w:type="pct"/>
            <w:tcBorders>
              <w:top w:val="single" w:sz="4" w:space="0" w:color="auto"/>
              <w:bottom w:val="single" w:sz="4" w:space="0" w:color="auto"/>
            </w:tcBorders>
            <w:shd w:val="clear" w:color="auto" w:fill="auto"/>
            <w:tcMar>
              <w:top w:w="72" w:type="dxa"/>
              <w:left w:w="144" w:type="dxa"/>
              <w:bottom w:w="72" w:type="dxa"/>
              <w:right w:w="144" w:type="dxa"/>
            </w:tcMar>
            <w:hideMark/>
          </w:tcPr>
          <w:p w14:paraId="0B1A9729" w14:textId="61AFD1B7" w:rsidR="000E07E2" w:rsidRPr="000915AB" w:rsidRDefault="000E07E2" w:rsidP="000915AB">
            <w:pPr>
              <w:spacing w:line="360" w:lineRule="auto"/>
              <w:jc w:val="both"/>
              <w:rPr>
                <w:rFonts w:ascii="Book Antiqua" w:hAnsi="Book Antiqua"/>
                <w:b/>
                <w:bCs/>
              </w:rPr>
            </w:pPr>
            <w:r w:rsidRPr="000915AB">
              <w:rPr>
                <w:rFonts w:ascii="Book Antiqua" w:hAnsi="Book Antiqua"/>
                <w:b/>
                <w:bCs/>
              </w:rPr>
              <w:t>Product si</w:t>
            </w:r>
            <w:r w:rsidR="005939A4" w:rsidRPr="000915AB">
              <w:rPr>
                <w:rFonts w:ascii="Book Antiqua" w:hAnsi="Book Antiqua"/>
                <w:b/>
                <w:bCs/>
              </w:rPr>
              <w:t>z</w:t>
            </w:r>
            <w:r w:rsidRPr="000915AB">
              <w:rPr>
                <w:rFonts w:ascii="Book Antiqua" w:hAnsi="Book Antiqua"/>
                <w:b/>
                <w:bCs/>
              </w:rPr>
              <w:t xml:space="preserve">e </w:t>
            </w:r>
            <w:r w:rsidR="00751994">
              <w:rPr>
                <w:rFonts w:ascii="Book Antiqua" w:hAnsi="Book Antiqua"/>
                <w:b/>
                <w:bCs/>
              </w:rPr>
              <w:t xml:space="preserve">in </w:t>
            </w:r>
            <w:r w:rsidRPr="000915AB">
              <w:rPr>
                <w:rFonts w:ascii="Book Antiqua" w:hAnsi="Book Antiqua"/>
                <w:b/>
                <w:bCs/>
              </w:rPr>
              <w:t>bp</w:t>
            </w:r>
          </w:p>
        </w:tc>
      </w:tr>
      <w:tr w:rsidR="005939A4" w:rsidRPr="000915AB" w14:paraId="6C57D3C3" w14:textId="77777777" w:rsidTr="008E1966">
        <w:trPr>
          <w:trHeight w:val="170"/>
        </w:trPr>
        <w:tc>
          <w:tcPr>
            <w:tcW w:w="809" w:type="pct"/>
            <w:vMerge w:val="restart"/>
            <w:tcBorders>
              <w:top w:val="single" w:sz="4" w:space="0" w:color="auto"/>
            </w:tcBorders>
            <w:shd w:val="clear" w:color="auto" w:fill="auto"/>
            <w:tcMar>
              <w:top w:w="72" w:type="dxa"/>
              <w:left w:w="144" w:type="dxa"/>
              <w:bottom w:w="72" w:type="dxa"/>
              <w:right w:w="144" w:type="dxa"/>
            </w:tcMar>
            <w:hideMark/>
          </w:tcPr>
          <w:p w14:paraId="3F2B5783" w14:textId="77777777" w:rsidR="005939A4" w:rsidRPr="000915AB" w:rsidRDefault="005939A4" w:rsidP="000915AB">
            <w:pPr>
              <w:spacing w:line="360" w:lineRule="auto"/>
              <w:jc w:val="both"/>
              <w:rPr>
                <w:rFonts w:ascii="Book Antiqua" w:hAnsi="Book Antiqua"/>
                <w:i/>
                <w:iCs/>
              </w:rPr>
            </w:pPr>
            <w:r w:rsidRPr="000915AB">
              <w:rPr>
                <w:rFonts w:ascii="Book Antiqua" w:hAnsi="Book Antiqua"/>
                <w:i/>
                <w:iCs/>
              </w:rPr>
              <w:t>OLFM2</w:t>
            </w:r>
          </w:p>
        </w:tc>
        <w:tc>
          <w:tcPr>
            <w:tcW w:w="2754" w:type="pct"/>
            <w:tcBorders>
              <w:top w:val="single" w:sz="4" w:space="0" w:color="auto"/>
            </w:tcBorders>
            <w:shd w:val="clear" w:color="auto" w:fill="auto"/>
            <w:tcMar>
              <w:top w:w="72" w:type="dxa"/>
              <w:left w:w="144" w:type="dxa"/>
              <w:bottom w:w="72" w:type="dxa"/>
              <w:right w:w="144" w:type="dxa"/>
            </w:tcMar>
            <w:hideMark/>
          </w:tcPr>
          <w:p w14:paraId="7CC9136E" w14:textId="77777777" w:rsidR="005939A4" w:rsidRPr="000915AB" w:rsidRDefault="005939A4" w:rsidP="000915AB">
            <w:pPr>
              <w:spacing w:line="360" w:lineRule="auto"/>
              <w:jc w:val="both"/>
              <w:rPr>
                <w:rFonts w:ascii="Book Antiqua" w:hAnsi="Book Antiqua"/>
              </w:rPr>
            </w:pPr>
            <w:r w:rsidRPr="000915AB">
              <w:rPr>
                <w:rFonts w:ascii="Book Antiqua" w:hAnsi="Book Antiqua"/>
              </w:rPr>
              <w:t>F: CGTCGGTGTGGTGTTTGTAC</w:t>
            </w:r>
          </w:p>
        </w:tc>
        <w:tc>
          <w:tcPr>
            <w:tcW w:w="1436" w:type="pct"/>
            <w:vMerge w:val="restart"/>
            <w:tcBorders>
              <w:top w:val="single" w:sz="4" w:space="0" w:color="auto"/>
            </w:tcBorders>
            <w:shd w:val="clear" w:color="auto" w:fill="auto"/>
            <w:tcMar>
              <w:top w:w="72" w:type="dxa"/>
              <w:left w:w="144" w:type="dxa"/>
              <w:bottom w:w="72" w:type="dxa"/>
              <w:right w:w="144" w:type="dxa"/>
            </w:tcMar>
            <w:hideMark/>
          </w:tcPr>
          <w:p w14:paraId="48FB50CE" w14:textId="1B378983" w:rsidR="005939A4" w:rsidRPr="000915AB" w:rsidRDefault="005939A4" w:rsidP="000915AB">
            <w:pPr>
              <w:spacing w:line="360" w:lineRule="auto"/>
              <w:jc w:val="both"/>
              <w:rPr>
                <w:rFonts w:ascii="Book Antiqua" w:hAnsi="Book Antiqua"/>
              </w:rPr>
            </w:pPr>
            <w:r w:rsidRPr="000915AB">
              <w:rPr>
                <w:rFonts w:ascii="Book Antiqua" w:hAnsi="Book Antiqua"/>
              </w:rPr>
              <w:t>372</w:t>
            </w:r>
          </w:p>
        </w:tc>
      </w:tr>
      <w:tr w:rsidR="005939A4" w:rsidRPr="000915AB" w14:paraId="3B6623B2" w14:textId="77777777" w:rsidTr="008E1966">
        <w:trPr>
          <w:trHeight w:val="293"/>
        </w:trPr>
        <w:tc>
          <w:tcPr>
            <w:tcW w:w="809" w:type="pct"/>
            <w:vMerge/>
            <w:shd w:val="clear" w:color="auto" w:fill="auto"/>
            <w:tcMar>
              <w:top w:w="72" w:type="dxa"/>
              <w:left w:w="144" w:type="dxa"/>
              <w:bottom w:w="72" w:type="dxa"/>
              <w:right w:w="144" w:type="dxa"/>
            </w:tcMar>
            <w:hideMark/>
          </w:tcPr>
          <w:p w14:paraId="0063D362" w14:textId="77777777" w:rsidR="005939A4" w:rsidRPr="000915AB" w:rsidRDefault="005939A4" w:rsidP="000915AB">
            <w:pPr>
              <w:spacing w:line="360" w:lineRule="auto"/>
              <w:jc w:val="both"/>
              <w:rPr>
                <w:rFonts w:ascii="Book Antiqua" w:hAnsi="Book Antiqua"/>
              </w:rPr>
            </w:pPr>
          </w:p>
        </w:tc>
        <w:tc>
          <w:tcPr>
            <w:tcW w:w="2754" w:type="pct"/>
            <w:shd w:val="clear" w:color="auto" w:fill="auto"/>
            <w:tcMar>
              <w:top w:w="72" w:type="dxa"/>
              <w:left w:w="144" w:type="dxa"/>
              <w:bottom w:w="72" w:type="dxa"/>
              <w:right w:w="144" w:type="dxa"/>
            </w:tcMar>
            <w:hideMark/>
          </w:tcPr>
          <w:p w14:paraId="10B10DAD" w14:textId="77777777" w:rsidR="005939A4" w:rsidRPr="000915AB" w:rsidRDefault="005939A4" w:rsidP="000915AB">
            <w:pPr>
              <w:spacing w:line="360" w:lineRule="auto"/>
              <w:jc w:val="both"/>
              <w:rPr>
                <w:rFonts w:ascii="Book Antiqua" w:hAnsi="Book Antiqua"/>
              </w:rPr>
            </w:pPr>
            <w:r w:rsidRPr="000915AB">
              <w:rPr>
                <w:rFonts w:ascii="Book Antiqua" w:hAnsi="Book Antiqua"/>
              </w:rPr>
              <w:t>R: TGTGGCTCATATTGGACCCT</w:t>
            </w:r>
          </w:p>
        </w:tc>
        <w:tc>
          <w:tcPr>
            <w:tcW w:w="1436" w:type="pct"/>
            <w:vMerge/>
            <w:shd w:val="clear" w:color="auto" w:fill="auto"/>
            <w:tcMar>
              <w:top w:w="72" w:type="dxa"/>
              <w:left w:w="144" w:type="dxa"/>
              <w:bottom w:w="72" w:type="dxa"/>
              <w:right w:w="144" w:type="dxa"/>
            </w:tcMar>
            <w:hideMark/>
          </w:tcPr>
          <w:p w14:paraId="73666CBA" w14:textId="2B98AD27" w:rsidR="005939A4" w:rsidRPr="000915AB" w:rsidRDefault="005939A4" w:rsidP="000915AB">
            <w:pPr>
              <w:spacing w:line="360" w:lineRule="auto"/>
              <w:jc w:val="both"/>
              <w:rPr>
                <w:rFonts w:ascii="Book Antiqua" w:hAnsi="Book Antiqua"/>
              </w:rPr>
            </w:pPr>
          </w:p>
        </w:tc>
      </w:tr>
      <w:tr w:rsidR="005939A4" w:rsidRPr="000915AB" w14:paraId="3D61B0BE" w14:textId="77777777" w:rsidTr="008E1966">
        <w:trPr>
          <w:trHeight w:val="170"/>
        </w:trPr>
        <w:tc>
          <w:tcPr>
            <w:tcW w:w="809" w:type="pct"/>
            <w:vMerge w:val="restart"/>
            <w:shd w:val="clear" w:color="auto" w:fill="auto"/>
            <w:tcMar>
              <w:top w:w="72" w:type="dxa"/>
              <w:left w:w="144" w:type="dxa"/>
              <w:bottom w:w="72" w:type="dxa"/>
              <w:right w:w="144" w:type="dxa"/>
            </w:tcMar>
            <w:hideMark/>
          </w:tcPr>
          <w:p w14:paraId="587446F1" w14:textId="77777777" w:rsidR="005939A4" w:rsidRPr="000915AB" w:rsidRDefault="005939A4" w:rsidP="000915AB">
            <w:pPr>
              <w:spacing w:line="360" w:lineRule="auto"/>
              <w:jc w:val="both"/>
              <w:rPr>
                <w:rFonts w:ascii="Book Antiqua" w:hAnsi="Book Antiqua"/>
              </w:rPr>
            </w:pPr>
            <w:r w:rsidRPr="000915AB">
              <w:rPr>
                <w:rFonts w:ascii="Book Antiqua" w:hAnsi="Book Antiqua"/>
                <w:i/>
                <w:iCs/>
              </w:rPr>
              <w:t>SIX6</w:t>
            </w:r>
          </w:p>
        </w:tc>
        <w:tc>
          <w:tcPr>
            <w:tcW w:w="2754" w:type="pct"/>
            <w:shd w:val="clear" w:color="auto" w:fill="auto"/>
            <w:tcMar>
              <w:top w:w="72" w:type="dxa"/>
              <w:left w:w="144" w:type="dxa"/>
              <w:bottom w:w="72" w:type="dxa"/>
              <w:right w:w="144" w:type="dxa"/>
            </w:tcMar>
            <w:hideMark/>
          </w:tcPr>
          <w:p w14:paraId="7FD27F3D" w14:textId="77777777" w:rsidR="005939A4" w:rsidRPr="000915AB" w:rsidRDefault="005939A4" w:rsidP="000915AB">
            <w:pPr>
              <w:spacing w:line="360" w:lineRule="auto"/>
              <w:jc w:val="both"/>
              <w:rPr>
                <w:rFonts w:ascii="Book Antiqua" w:hAnsi="Book Antiqua"/>
              </w:rPr>
            </w:pPr>
            <w:r w:rsidRPr="000915AB">
              <w:rPr>
                <w:rFonts w:ascii="Book Antiqua" w:hAnsi="Book Antiqua"/>
              </w:rPr>
              <w:t>F: AATCCGCCTCATCAACAAGC</w:t>
            </w:r>
          </w:p>
        </w:tc>
        <w:tc>
          <w:tcPr>
            <w:tcW w:w="1436" w:type="pct"/>
            <w:vMerge w:val="restart"/>
            <w:shd w:val="clear" w:color="auto" w:fill="auto"/>
            <w:tcMar>
              <w:top w:w="72" w:type="dxa"/>
              <w:left w:w="144" w:type="dxa"/>
              <w:bottom w:w="72" w:type="dxa"/>
              <w:right w:w="144" w:type="dxa"/>
            </w:tcMar>
            <w:hideMark/>
          </w:tcPr>
          <w:p w14:paraId="49683262" w14:textId="13B2ECBB" w:rsidR="005939A4" w:rsidRPr="000915AB" w:rsidRDefault="005939A4" w:rsidP="000915AB">
            <w:pPr>
              <w:spacing w:line="360" w:lineRule="auto"/>
              <w:jc w:val="both"/>
              <w:rPr>
                <w:rFonts w:ascii="Book Antiqua" w:hAnsi="Book Antiqua"/>
              </w:rPr>
            </w:pPr>
            <w:r w:rsidRPr="000915AB">
              <w:rPr>
                <w:rFonts w:ascii="Book Antiqua" w:hAnsi="Book Antiqua"/>
              </w:rPr>
              <w:t>825</w:t>
            </w:r>
          </w:p>
        </w:tc>
      </w:tr>
      <w:tr w:rsidR="005939A4" w:rsidRPr="000915AB" w14:paraId="5C4BFBAB" w14:textId="77777777" w:rsidTr="008E1966">
        <w:trPr>
          <w:trHeight w:val="170"/>
        </w:trPr>
        <w:tc>
          <w:tcPr>
            <w:tcW w:w="809" w:type="pct"/>
            <w:vMerge/>
            <w:shd w:val="clear" w:color="auto" w:fill="auto"/>
            <w:tcMar>
              <w:top w:w="72" w:type="dxa"/>
              <w:left w:w="144" w:type="dxa"/>
              <w:bottom w:w="72" w:type="dxa"/>
              <w:right w:w="144" w:type="dxa"/>
            </w:tcMar>
          </w:tcPr>
          <w:p w14:paraId="67C64C60" w14:textId="77777777" w:rsidR="005939A4" w:rsidRPr="000915AB" w:rsidRDefault="005939A4" w:rsidP="000915AB">
            <w:pPr>
              <w:spacing w:line="360" w:lineRule="auto"/>
              <w:jc w:val="both"/>
              <w:rPr>
                <w:rFonts w:ascii="Book Antiqua" w:hAnsi="Book Antiqua"/>
                <w:i/>
                <w:iCs/>
              </w:rPr>
            </w:pPr>
          </w:p>
        </w:tc>
        <w:tc>
          <w:tcPr>
            <w:tcW w:w="2754" w:type="pct"/>
            <w:shd w:val="clear" w:color="auto" w:fill="auto"/>
            <w:tcMar>
              <w:top w:w="72" w:type="dxa"/>
              <w:left w:w="144" w:type="dxa"/>
              <w:bottom w:w="72" w:type="dxa"/>
              <w:right w:w="144" w:type="dxa"/>
            </w:tcMar>
          </w:tcPr>
          <w:p w14:paraId="3D6CF988" w14:textId="77777777" w:rsidR="005939A4" w:rsidRPr="000915AB" w:rsidRDefault="005939A4" w:rsidP="000915AB">
            <w:pPr>
              <w:spacing w:line="360" w:lineRule="auto"/>
              <w:jc w:val="both"/>
              <w:rPr>
                <w:rFonts w:ascii="Book Antiqua" w:hAnsi="Book Antiqua"/>
              </w:rPr>
            </w:pPr>
            <w:r w:rsidRPr="000915AB">
              <w:rPr>
                <w:rFonts w:ascii="Book Antiqua" w:hAnsi="Book Antiqua"/>
              </w:rPr>
              <w:t>R: CAGAACGCAGGGCTCTTAAC</w:t>
            </w:r>
          </w:p>
        </w:tc>
        <w:tc>
          <w:tcPr>
            <w:tcW w:w="1436" w:type="pct"/>
            <w:vMerge/>
            <w:shd w:val="clear" w:color="auto" w:fill="auto"/>
            <w:tcMar>
              <w:top w:w="72" w:type="dxa"/>
              <w:left w:w="144" w:type="dxa"/>
              <w:bottom w:w="72" w:type="dxa"/>
              <w:right w:w="144" w:type="dxa"/>
            </w:tcMar>
          </w:tcPr>
          <w:p w14:paraId="18ADBD83" w14:textId="2F2AB01C" w:rsidR="005939A4" w:rsidRPr="000915AB" w:rsidRDefault="005939A4" w:rsidP="000915AB">
            <w:pPr>
              <w:spacing w:line="360" w:lineRule="auto"/>
              <w:jc w:val="both"/>
              <w:rPr>
                <w:rFonts w:ascii="Book Antiqua" w:hAnsi="Book Antiqua"/>
              </w:rPr>
            </w:pPr>
          </w:p>
        </w:tc>
      </w:tr>
    </w:tbl>
    <w:p w14:paraId="1640D967" w14:textId="127AE206" w:rsidR="001E7A2D" w:rsidRDefault="00751994" w:rsidP="000915AB">
      <w:pPr>
        <w:spacing w:line="360" w:lineRule="auto"/>
        <w:jc w:val="both"/>
        <w:rPr>
          <w:rFonts w:ascii="Book Antiqua" w:hAnsi="Book Antiqua"/>
        </w:rPr>
      </w:pPr>
      <w:r>
        <w:rPr>
          <w:rFonts w:ascii="Book Antiqua" w:hAnsi="Book Antiqua"/>
        </w:rPr>
        <w:t>F: Forward; R: Reverse.</w:t>
      </w:r>
    </w:p>
    <w:p w14:paraId="0F3DCDBC" w14:textId="77777777" w:rsidR="001E7A2D" w:rsidRDefault="001E7A2D">
      <w:pPr>
        <w:rPr>
          <w:rFonts w:ascii="Book Antiqua" w:hAnsi="Book Antiqua"/>
        </w:rPr>
      </w:pPr>
      <w:r>
        <w:rPr>
          <w:rFonts w:ascii="Book Antiqua" w:hAnsi="Book Antiqua"/>
        </w:rPr>
        <w:br w:type="page"/>
      </w:r>
    </w:p>
    <w:p w14:paraId="5FB37094" w14:textId="77777777" w:rsidR="001E7A2D" w:rsidRDefault="001E7A2D" w:rsidP="001E7A2D">
      <w:pPr>
        <w:jc w:val="center"/>
        <w:rPr>
          <w:rFonts w:ascii="Book Antiqua" w:hAnsi="Book Antiqua"/>
        </w:rPr>
      </w:pPr>
      <w:bookmarkStart w:id="5" w:name="OLE_LINK3"/>
      <w:bookmarkStart w:id="6" w:name="OLE_LINK4"/>
    </w:p>
    <w:p w14:paraId="01F2C3C0" w14:textId="77777777" w:rsidR="001E7A2D" w:rsidRDefault="001E7A2D" w:rsidP="001E7A2D">
      <w:pPr>
        <w:jc w:val="center"/>
        <w:rPr>
          <w:rFonts w:ascii="Book Antiqua" w:hAnsi="Book Antiqua"/>
        </w:rPr>
      </w:pPr>
    </w:p>
    <w:p w14:paraId="594C3FAA" w14:textId="77777777" w:rsidR="001E7A2D" w:rsidRDefault="001E7A2D" w:rsidP="001E7A2D">
      <w:pPr>
        <w:jc w:val="center"/>
        <w:rPr>
          <w:rFonts w:ascii="Book Antiqua" w:hAnsi="Book Antiqua"/>
        </w:rPr>
      </w:pPr>
    </w:p>
    <w:p w14:paraId="5D334F53" w14:textId="77777777" w:rsidR="001E7A2D" w:rsidRDefault="001E7A2D" w:rsidP="001E7A2D">
      <w:pPr>
        <w:jc w:val="center"/>
        <w:rPr>
          <w:rFonts w:ascii="Book Antiqua" w:hAnsi="Book Antiqua"/>
        </w:rPr>
      </w:pPr>
    </w:p>
    <w:p w14:paraId="14770995" w14:textId="77777777" w:rsidR="001E7A2D" w:rsidRDefault="001E7A2D" w:rsidP="001E7A2D">
      <w:pPr>
        <w:jc w:val="center"/>
        <w:rPr>
          <w:rFonts w:ascii="Book Antiqua" w:hAnsi="Book Antiqua"/>
        </w:rPr>
      </w:pPr>
    </w:p>
    <w:p w14:paraId="35B75838" w14:textId="77777777" w:rsidR="001E7A2D" w:rsidRDefault="001E7A2D" w:rsidP="001E7A2D">
      <w:pPr>
        <w:jc w:val="center"/>
        <w:rPr>
          <w:rFonts w:ascii="Book Antiqua" w:hAnsi="Book Antiqua"/>
        </w:rPr>
      </w:pPr>
      <w:r>
        <w:rPr>
          <w:rFonts w:ascii="Book Antiqua" w:hAnsi="Book Antiqua"/>
          <w:noProof/>
          <w:lang w:eastAsia="zh-CN"/>
        </w:rPr>
        <w:drawing>
          <wp:inline distT="0" distB="0" distL="0" distR="0" wp14:anchorId="3E67FC8C" wp14:editId="3650649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5C033EF" w14:textId="77777777" w:rsidR="001E7A2D" w:rsidRDefault="001E7A2D" w:rsidP="001E7A2D">
      <w:pPr>
        <w:jc w:val="center"/>
        <w:rPr>
          <w:rFonts w:ascii="Book Antiqua" w:hAnsi="Book Antiqua"/>
        </w:rPr>
      </w:pPr>
    </w:p>
    <w:p w14:paraId="49953EA0" w14:textId="77777777" w:rsidR="001E7A2D" w:rsidRPr="00763D22" w:rsidRDefault="001E7A2D" w:rsidP="001E7A2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D90620E" w14:textId="77777777" w:rsidR="001E7A2D" w:rsidRPr="00763D22" w:rsidRDefault="001E7A2D" w:rsidP="001E7A2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70E9C70" w14:textId="77777777" w:rsidR="001E7A2D" w:rsidRPr="00763D22" w:rsidRDefault="001E7A2D" w:rsidP="001E7A2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69436FF" w14:textId="77777777" w:rsidR="001E7A2D" w:rsidRPr="00763D22" w:rsidRDefault="001E7A2D" w:rsidP="001E7A2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F0ECB53" w14:textId="77777777" w:rsidR="001E7A2D" w:rsidRPr="00763D22" w:rsidRDefault="001E7A2D" w:rsidP="001E7A2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59AFE33" w14:textId="77777777" w:rsidR="001E7A2D" w:rsidRPr="00763D22" w:rsidRDefault="001E7A2D" w:rsidP="001E7A2D">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616DC92" w14:textId="77777777" w:rsidR="001E7A2D" w:rsidRDefault="001E7A2D" w:rsidP="001E7A2D">
      <w:pPr>
        <w:jc w:val="center"/>
        <w:rPr>
          <w:rFonts w:ascii="Book Antiqua" w:hAnsi="Book Antiqua"/>
        </w:rPr>
      </w:pPr>
    </w:p>
    <w:p w14:paraId="3618920D" w14:textId="77777777" w:rsidR="001E7A2D" w:rsidRDefault="001E7A2D" w:rsidP="001E7A2D">
      <w:pPr>
        <w:jc w:val="center"/>
        <w:rPr>
          <w:rFonts w:ascii="Book Antiqua" w:hAnsi="Book Antiqua"/>
        </w:rPr>
      </w:pPr>
    </w:p>
    <w:p w14:paraId="67A7BB5C" w14:textId="77777777" w:rsidR="001E7A2D" w:rsidRDefault="001E7A2D" w:rsidP="001E7A2D">
      <w:pPr>
        <w:jc w:val="center"/>
        <w:rPr>
          <w:rFonts w:ascii="Book Antiqua" w:hAnsi="Book Antiqua"/>
        </w:rPr>
      </w:pPr>
    </w:p>
    <w:p w14:paraId="28CBB2EE" w14:textId="77777777" w:rsidR="001E7A2D" w:rsidRDefault="001E7A2D" w:rsidP="001E7A2D">
      <w:pPr>
        <w:jc w:val="center"/>
        <w:rPr>
          <w:rFonts w:ascii="Book Antiqua" w:hAnsi="Book Antiqua"/>
        </w:rPr>
      </w:pPr>
      <w:r>
        <w:rPr>
          <w:rFonts w:ascii="Book Antiqua" w:hAnsi="Book Antiqua"/>
          <w:noProof/>
          <w:lang w:eastAsia="zh-CN"/>
        </w:rPr>
        <w:drawing>
          <wp:inline distT="0" distB="0" distL="0" distR="0" wp14:anchorId="452FFDF9" wp14:editId="5D2F22B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99C2DA1" w14:textId="77777777" w:rsidR="001E7A2D" w:rsidRDefault="001E7A2D" w:rsidP="001E7A2D">
      <w:pPr>
        <w:jc w:val="center"/>
        <w:rPr>
          <w:rFonts w:ascii="Book Antiqua" w:hAnsi="Book Antiqua"/>
        </w:rPr>
      </w:pPr>
    </w:p>
    <w:p w14:paraId="678F32CE" w14:textId="77777777" w:rsidR="001E7A2D" w:rsidRDefault="001E7A2D" w:rsidP="001E7A2D">
      <w:pPr>
        <w:jc w:val="center"/>
        <w:rPr>
          <w:rFonts w:ascii="Book Antiqua" w:hAnsi="Book Antiqua"/>
        </w:rPr>
      </w:pPr>
    </w:p>
    <w:p w14:paraId="7B9D0750" w14:textId="77777777" w:rsidR="001E7A2D" w:rsidRDefault="001E7A2D" w:rsidP="001E7A2D">
      <w:pPr>
        <w:jc w:val="center"/>
        <w:rPr>
          <w:rFonts w:ascii="Book Antiqua" w:hAnsi="Book Antiqua"/>
        </w:rPr>
      </w:pPr>
    </w:p>
    <w:p w14:paraId="522E7947" w14:textId="77777777" w:rsidR="001E7A2D" w:rsidRDefault="001E7A2D" w:rsidP="001E7A2D">
      <w:pPr>
        <w:jc w:val="center"/>
        <w:rPr>
          <w:rFonts w:ascii="Book Antiqua" w:hAnsi="Book Antiqua"/>
        </w:rPr>
      </w:pPr>
    </w:p>
    <w:p w14:paraId="5BEF8450" w14:textId="77777777" w:rsidR="001E7A2D" w:rsidRDefault="001E7A2D" w:rsidP="001E7A2D">
      <w:pPr>
        <w:jc w:val="center"/>
        <w:rPr>
          <w:rFonts w:ascii="Book Antiqua" w:hAnsi="Book Antiqua"/>
        </w:rPr>
      </w:pPr>
    </w:p>
    <w:p w14:paraId="0EB3E401" w14:textId="77777777" w:rsidR="001E7A2D" w:rsidRDefault="001E7A2D" w:rsidP="001E7A2D">
      <w:pPr>
        <w:jc w:val="center"/>
        <w:rPr>
          <w:rFonts w:ascii="Book Antiqua" w:hAnsi="Book Antiqua"/>
        </w:rPr>
      </w:pPr>
    </w:p>
    <w:p w14:paraId="263EC644" w14:textId="77777777" w:rsidR="001E7A2D" w:rsidRDefault="001E7A2D" w:rsidP="001E7A2D">
      <w:pPr>
        <w:jc w:val="center"/>
        <w:rPr>
          <w:rFonts w:ascii="Book Antiqua" w:hAnsi="Book Antiqua"/>
        </w:rPr>
      </w:pPr>
    </w:p>
    <w:p w14:paraId="5148F89E" w14:textId="77777777" w:rsidR="001E7A2D" w:rsidRDefault="001E7A2D" w:rsidP="001E7A2D">
      <w:pPr>
        <w:jc w:val="center"/>
        <w:rPr>
          <w:rFonts w:ascii="Book Antiqua" w:hAnsi="Book Antiqua"/>
        </w:rPr>
      </w:pPr>
    </w:p>
    <w:p w14:paraId="77769E09" w14:textId="77777777" w:rsidR="001E7A2D" w:rsidRDefault="001E7A2D" w:rsidP="001E7A2D">
      <w:pPr>
        <w:jc w:val="center"/>
        <w:rPr>
          <w:rFonts w:ascii="Book Antiqua" w:hAnsi="Book Antiqua"/>
        </w:rPr>
      </w:pPr>
    </w:p>
    <w:p w14:paraId="1C99BAE7" w14:textId="77777777" w:rsidR="001E7A2D" w:rsidRPr="00763D22" w:rsidRDefault="001E7A2D" w:rsidP="001E7A2D">
      <w:pPr>
        <w:jc w:val="right"/>
        <w:rPr>
          <w:rFonts w:ascii="Book Antiqua" w:hAnsi="Book Antiqua"/>
          <w:color w:val="000000" w:themeColor="text1"/>
        </w:rPr>
      </w:pPr>
    </w:p>
    <w:p w14:paraId="50A3FE84" w14:textId="77777777" w:rsidR="001E7A2D" w:rsidRPr="00763D22" w:rsidRDefault="001E7A2D" w:rsidP="001E7A2D">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9AAA4A4" w14:textId="77777777" w:rsidR="000E07E2" w:rsidRPr="000915AB" w:rsidRDefault="000E07E2" w:rsidP="000915AB">
      <w:pPr>
        <w:spacing w:line="360" w:lineRule="auto"/>
        <w:jc w:val="both"/>
        <w:rPr>
          <w:rFonts w:ascii="Book Antiqua" w:hAnsi="Book Antiqua"/>
        </w:rPr>
      </w:pPr>
      <w:bookmarkStart w:id="7" w:name="_GoBack"/>
      <w:bookmarkEnd w:id="5"/>
      <w:bookmarkEnd w:id="6"/>
      <w:bookmarkEnd w:id="7"/>
    </w:p>
    <w:sectPr w:rsidR="000E07E2" w:rsidRPr="000915AB" w:rsidSect="000915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2567E" w14:textId="77777777" w:rsidR="00542994" w:rsidRDefault="00542994" w:rsidP="00CA699E">
      <w:r>
        <w:separator/>
      </w:r>
    </w:p>
  </w:endnote>
  <w:endnote w:type="continuationSeparator" w:id="0">
    <w:p w14:paraId="67C70FFA" w14:textId="77777777" w:rsidR="00542994" w:rsidRDefault="00542994" w:rsidP="00CA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2F2BD" w14:textId="77777777" w:rsidR="00CA699E" w:rsidRPr="00CE3765" w:rsidRDefault="00CA699E" w:rsidP="00CA699E">
    <w:pPr>
      <w:pStyle w:val="a4"/>
      <w:jc w:val="right"/>
      <w:rPr>
        <w:rFonts w:ascii="Book Antiqua" w:hAnsi="Book Antiqua"/>
        <w:sz w:val="24"/>
        <w:szCs w:val="24"/>
      </w:rPr>
    </w:pPr>
    <w:r w:rsidRPr="00CA699E">
      <w:rPr>
        <w:rFonts w:ascii="Book Antiqua" w:hAnsi="Book Antiqua"/>
        <w:lang w:val="zh-CN" w:eastAsia="zh-CN"/>
      </w:rPr>
      <w:t xml:space="preserve"> </w:t>
    </w:r>
    <w:r w:rsidRPr="00CE3765">
      <w:rPr>
        <w:rFonts w:ascii="Book Antiqua" w:hAnsi="Book Antiqua"/>
        <w:sz w:val="24"/>
        <w:szCs w:val="24"/>
      </w:rPr>
      <w:fldChar w:fldCharType="begin"/>
    </w:r>
    <w:r w:rsidRPr="00CE3765">
      <w:rPr>
        <w:rFonts w:ascii="Book Antiqua" w:hAnsi="Book Antiqua"/>
        <w:sz w:val="24"/>
        <w:szCs w:val="24"/>
      </w:rPr>
      <w:instrText>PAGE  \* Arabic  \* MERGEFORMAT</w:instrText>
    </w:r>
    <w:r w:rsidRPr="00CE3765">
      <w:rPr>
        <w:rFonts w:ascii="Book Antiqua" w:hAnsi="Book Antiqua"/>
        <w:sz w:val="24"/>
        <w:szCs w:val="24"/>
      </w:rPr>
      <w:fldChar w:fldCharType="separate"/>
    </w:r>
    <w:r w:rsidR="00542994" w:rsidRPr="00542994">
      <w:rPr>
        <w:rFonts w:ascii="Book Antiqua" w:hAnsi="Book Antiqua"/>
        <w:noProof/>
        <w:sz w:val="24"/>
        <w:szCs w:val="24"/>
        <w:lang w:val="zh-CN" w:eastAsia="zh-CN"/>
      </w:rPr>
      <w:t>1</w:t>
    </w:r>
    <w:r w:rsidRPr="00CE3765">
      <w:rPr>
        <w:rFonts w:ascii="Book Antiqua" w:hAnsi="Book Antiqua"/>
        <w:sz w:val="24"/>
        <w:szCs w:val="24"/>
      </w:rPr>
      <w:fldChar w:fldCharType="end"/>
    </w:r>
    <w:r w:rsidRPr="00CE3765">
      <w:rPr>
        <w:rFonts w:ascii="Book Antiqua" w:hAnsi="Book Antiqua"/>
        <w:sz w:val="24"/>
        <w:szCs w:val="24"/>
        <w:lang w:val="zh-CN" w:eastAsia="zh-CN"/>
      </w:rPr>
      <w:t xml:space="preserve"> / </w:t>
    </w:r>
    <w:r w:rsidRPr="00CE3765">
      <w:rPr>
        <w:rFonts w:ascii="Book Antiqua" w:hAnsi="Book Antiqua"/>
        <w:sz w:val="24"/>
        <w:szCs w:val="24"/>
      </w:rPr>
      <w:fldChar w:fldCharType="begin"/>
    </w:r>
    <w:r w:rsidRPr="00CE3765">
      <w:rPr>
        <w:rFonts w:ascii="Book Antiqua" w:hAnsi="Book Antiqua"/>
        <w:sz w:val="24"/>
        <w:szCs w:val="24"/>
      </w:rPr>
      <w:instrText>NUMPAGES  \* Arabic  \* MERGEFORMAT</w:instrText>
    </w:r>
    <w:r w:rsidRPr="00CE3765">
      <w:rPr>
        <w:rFonts w:ascii="Book Antiqua" w:hAnsi="Book Antiqua"/>
        <w:sz w:val="24"/>
        <w:szCs w:val="24"/>
      </w:rPr>
      <w:fldChar w:fldCharType="separate"/>
    </w:r>
    <w:r w:rsidR="00542994" w:rsidRPr="00542994">
      <w:rPr>
        <w:rFonts w:ascii="Book Antiqua" w:hAnsi="Book Antiqua"/>
        <w:noProof/>
        <w:sz w:val="24"/>
        <w:szCs w:val="24"/>
        <w:lang w:val="zh-CN" w:eastAsia="zh-CN"/>
      </w:rPr>
      <w:t>1</w:t>
    </w:r>
    <w:r w:rsidRPr="00CE3765">
      <w:rPr>
        <w:rFonts w:ascii="Book Antiqua" w:hAnsi="Book Antiqua"/>
        <w:sz w:val="24"/>
        <w:szCs w:val="24"/>
      </w:rPr>
      <w:fldChar w:fldCharType="end"/>
    </w:r>
  </w:p>
  <w:p w14:paraId="3162EB52" w14:textId="77777777" w:rsidR="00CA699E" w:rsidRDefault="00CA69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F342B" w14:textId="77777777" w:rsidR="00542994" w:rsidRDefault="00542994" w:rsidP="00CA699E">
      <w:r>
        <w:separator/>
      </w:r>
    </w:p>
  </w:footnote>
  <w:footnote w:type="continuationSeparator" w:id="0">
    <w:p w14:paraId="30C72AE0" w14:textId="77777777" w:rsidR="00542994" w:rsidRDefault="00542994" w:rsidP="00CA6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A40"/>
    <w:rsid w:val="0001517F"/>
    <w:rsid w:val="00052112"/>
    <w:rsid w:val="000818B9"/>
    <w:rsid w:val="000915AB"/>
    <w:rsid w:val="00096172"/>
    <w:rsid w:val="000A4442"/>
    <w:rsid w:val="000B5F3E"/>
    <w:rsid w:val="000E07E2"/>
    <w:rsid w:val="000F22A1"/>
    <w:rsid w:val="00125393"/>
    <w:rsid w:val="001901C9"/>
    <w:rsid w:val="001904B0"/>
    <w:rsid w:val="001A48D9"/>
    <w:rsid w:val="001A6FFB"/>
    <w:rsid w:val="001C4298"/>
    <w:rsid w:val="001C7BD2"/>
    <w:rsid w:val="001D18A7"/>
    <w:rsid w:val="001E4BBD"/>
    <w:rsid w:val="001E7A2D"/>
    <w:rsid w:val="00201801"/>
    <w:rsid w:val="002049CA"/>
    <w:rsid w:val="00234B88"/>
    <w:rsid w:val="002509CA"/>
    <w:rsid w:val="00262BEC"/>
    <w:rsid w:val="002915DC"/>
    <w:rsid w:val="002A48B1"/>
    <w:rsid w:val="002A5127"/>
    <w:rsid w:val="002A6E80"/>
    <w:rsid w:val="002C400C"/>
    <w:rsid w:val="00332B2F"/>
    <w:rsid w:val="00367267"/>
    <w:rsid w:val="003C0E1F"/>
    <w:rsid w:val="003C4A18"/>
    <w:rsid w:val="003D0FB0"/>
    <w:rsid w:val="003E59FD"/>
    <w:rsid w:val="003F6A88"/>
    <w:rsid w:val="00401C8D"/>
    <w:rsid w:val="00404FB4"/>
    <w:rsid w:val="00412FC7"/>
    <w:rsid w:val="00416828"/>
    <w:rsid w:val="00430D13"/>
    <w:rsid w:val="00435854"/>
    <w:rsid w:val="0044586A"/>
    <w:rsid w:val="004521C0"/>
    <w:rsid w:val="004629FB"/>
    <w:rsid w:val="00465E8C"/>
    <w:rsid w:val="004823B2"/>
    <w:rsid w:val="00487D99"/>
    <w:rsid w:val="004B11D8"/>
    <w:rsid w:val="004C3011"/>
    <w:rsid w:val="004D046F"/>
    <w:rsid w:val="004D5028"/>
    <w:rsid w:val="004D6C7C"/>
    <w:rsid w:val="00542994"/>
    <w:rsid w:val="005861A3"/>
    <w:rsid w:val="005939A4"/>
    <w:rsid w:val="005A1A32"/>
    <w:rsid w:val="005A64A2"/>
    <w:rsid w:val="005C0364"/>
    <w:rsid w:val="005D2774"/>
    <w:rsid w:val="006044BF"/>
    <w:rsid w:val="00622607"/>
    <w:rsid w:val="00675CD7"/>
    <w:rsid w:val="006876A8"/>
    <w:rsid w:val="006A4305"/>
    <w:rsid w:val="006A4378"/>
    <w:rsid w:val="006B7C49"/>
    <w:rsid w:val="006C68D7"/>
    <w:rsid w:val="006E184D"/>
    <w:rsid w:val="006F33DE"/>
    <w:rsid w:val="00702FD7"/>
    <w:rsid w:val="00705181"/>
    <w:rsid w:val="00724BCA"/>
    <w:rsid w:val="00735C9A"/>
    <w:rsid w:val="00751994"/>
    <w:rsid w:val="0076029B"/>
    <w:rsid w:val="007C0FD0"/>
    <w:rsid w:val="007C26B1"/>
    <w:rsid w:val="007F3073"/>
    <w:rsid w:val="00800BE4"/>
    <w:rsid w:val="00880325"/>
    <w:rsid w:val="008876FB"/>
    <w:rsid w:val="00895504"/>
    <w:rsid w:val="008A7548"/>
    <w:rsid w:val="008D3B21"/>
    <w:rsid w:val="008E1966"/>
    <w:rsid w:val="008E4D1A"/>
    <w:rsid w:val="008E61F6"/>
    <w:rsid w:val="00911CBE"/>
    <w:rsid w:val="009434BA"/>
    <w:rsid w:val="0095319C"/>
    <w:rsid w:val="0098086B"/>
    <w:rsid w:val="00992A5D"/>
    <w:rsid w:val="00996EE4"/>
    <w:rsid w:val="009A0452"/>
    <w:rsid w:val="009A5210"/>
    <w:rsid w:val="009B3500"/>
    <w:rsid w:val="009C4CA5"/>
    <w:rsid w:val="009C6EF2"/>
    <w:rsid w:val="009D09F3"/>
    <w:rsid w:val="009E1B20"/>
    <w:rsid w:val="009E745C"/>
    <w:rsid w:val="009F2191"/>
    <w:rsid w:val="009F29F8"/>
    <w:rsid w:val="00A077D9"/>
    <w:rsid w:val="00A36D46"/>
    <w:rsid w:val="00A77B3E"/>
    <w:rsid w:val="00A92C52"/>
    <w:rsid w:val="00AA2473"/>
    <w:rsid w:val="00AB4D3B"/>
    <w:rsid w:val="00AD0DDB"/>
    <w:rsid w:val="00AF430C"/>
    <w:rsid w:val="00B04B0C"/>
    <w:rsid w:val="00B414D7"/>
    <w:rsid w:val="00B50C0B"/>
    <w:rsid w:val="00B66DF5"/>
    <w:rsid w:val="00B701F1"/>
    <w:rsid w:val="00B70FAA"/>
    <w:rsid w:val="00B9668A"/>
    <w:rsid w:val="00BD65D7"/>
    <w:rsid w:val="00BE187C"/>
    <w:rsid w:val="00BE4879"/>
    <w:rsid w:val="00BF52D3"/>
    <w:rsid w:val="00C021EB"/>
    <w:rsid w:val="00C456B3"/>
    <w:rsid w:val="00C8584A"/>
    <w:rsid w:val="00C917EA"/>
    <w:rsid w:val="00C95BCC"/>
    <w:rsid w:val="00CA2A55"/>
    <w:rsid w:val="00CA46E0"/>
    <w:rsid w:val="00CA699E"/>
    <w:rsid w:val="00CD7F1E"/>
    <w:rsid w:val="00CE3765"/>
    <w:rsid w:val="00D0596A"/>
    <w:rsid w:val="00D108C1"/>
    <w:rsid w:val="00D370B1"/>
    <w:rsid w:val="00D74588"/>
    <w:rsid w:val="00D82A57"/>
    <w:rsid w:val="00D84A9C"/>
    <w:rsid w:val="00DC050E"/>
    <w:rsid w:val="00DE2A8E"/>
    <w:rsid w:val="00DE38A0"/>
    <w:rsid w:val="00E521CF"/>
    <w:rsid w:val="00E6108A"/>
    <w:rsid w:val="00E6514B"/>
    <w:rsid w:val="00E869E9"/>
    <w:rsid w:val="00EA6604"/>
    <w:rsid w:val="00EC3106"/>
    <w:rsid w:val="00F158B7"/>
    <w:rsid w:val="00F21CB5"/>
    <w:rsid w:val="00F6692F"/>
    <w:rsid w:val="00F86F95"/>
    <w:rsid w:val="00F87226"/>
    <w:rsid w:val="00F900E9"/>
    <w:rsid w:val="00F90ECB"/>
    <w:rsid w:val="00FA30A2"/>
    <w:rsid w:val="00FA6C54"/>
    <w:rsid w:val="00FC5FBC"/>
    <w:rsid w:val="00FE5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9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A69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A699E"/>
    <w:rPr>
      <w:sz w:val="18"/>
      <w:szCs w:val="18"/>
    </w:rPr>
  </w:style>
  <w:style w:type="paragraph" w:styleId="a4">
    <w:name w:val="footer"/>
    <w:basedOn w:val="a"/>
    <w:link w:val="Char0"/>
    <w:uiPriority w:val="99"/>
    <w:unhideWhenUsed/>
    <w:rsid w:val="00CA699E"/>
    <w:pPr>
      <w:tabs>
        <w:tab w:val="center" w:pos="4153"/>
        <w:tab w:val="right" w:pos="8306"/>
      </w:tabs>
      <w:snapToGrid w:val="0"/>
    </w:pPr>
    <w:rPr>
      <w:sz w:val="18"/>
      <w:szCs w:val="18"/>
    </w:rPr>
  </w:style>
  <w:style w:type="character" w:customStyle="1" w:styleId="Char0">
    <w:name w:val="页脚 Char"/>
    <w:basedOn w:val="a0"/>
    <w:link w:val="a4"/>
    <w:uiPriority w:val="99"/>
    <w:rsid w:val="00CA699E"/>
    <w:rPr>
      <w:sz w:val="18"/>
      <w:szCs w:val="18"/>
    </w:rPr>
  </w:style>
  <w:style w:type="character" w:styleId="a5">
    <w:name w:val="Emphasis"/>
    <w:basedOn w:val="a0"/>
    <w:uiPriority w:val="20"/>
    <w:qFormat/>
    <w:rsid w:val="001A6FFB"/>
    <w:rPr>
      <w:i/>
      <w:iCs/>
    </w:rPr>
  </w:style>
  <w:style w:type="paragraph" w:styleId="a6">
    <w:name w:val="Balloon Text"/>
    <w:basedOn w:val="a"/>
    <w:link w:val="Char1"/>
    <w:rsid w:val="00367267"/>
    <w:rPr>
      <w:sz w:val="18"/>
      <w:szCs w:val="18"/>
    </w:rPr>
  </w:style>
  <w:style w:type="character" w:customStyle="1" w:styleId="Char1">
    <w:name w:val="批注框文本 Char"/>
    <w:basedOn w:val="a0"/>
    <w:link w:val="a6"/>
    <w:rsid w:val="00367267"/>
    <w:rPr>
      <w:sz w:val="18"/>
      <w:szCs w:val="18"/>
    </w:rPr>
  </w:style>
  <w:style w:type="character" w:styleId="a7">
    <w:name w:val="annotation reference"/>
    <w:basedOn w:val="a0"/>
    <w:semiHidden/>
    <w:unhideWhenUsed/>
    <w:rsid w:val="00487D99"/>
    <w:rPr>
      <w:sz w:val="16"/>
      <w:szCs w:val="16"/>
    </w:rPr>
  </w:style>
  <w:style w:type="paragraph" w:styleId="a8">
    <w:name w:val="annotation text"/>
    <w:basedOn w:val="a"/>
    <w:link w:val="Char2"/>
    <w:semiHidden/>
    <w:unhideWhenUsed/>
    <w:rsid w:val="00487D99"/>
    <w:rPr>
      <w:sz w:val="20"/>
      <w:szCs w:val="20"/>
    </w:rPr>
  </w:style>
  <w:style w:type="character" w:customStyle="1" w:styleId="Char2">
    <w:name w:val="批注文字 Char"/>
    <w:basedOn w:val="a0"/>
    <w:link w:val="a8"/>
    <w:semiHidden/>
    <w:rsid w:val="00487D99"/>
  </w:style>
  <w:style w:type="paragraph" w:styleId="a9">
    <w:name w:val="annotation subject"/>
    <w:basedOn w:val="a8"/>
    <w:next w:val="a8"/>
    <w:link w:val="Char3"/>
    <w:semiHidden/>
    <w:unhideWhenUsed/>
    <w:rsid w:val="00487D99"/>
    <w:rPr>
      <w:b/>
      <w:bCs/>
    </w:rPr>
  </w:style>
  <w:style w:type="character" w:customStyle="1" w:styleId="Char3">
    <w:name w:val="批注主题 Char"/>
    <w:basedOn w:val="Char2"/>
    <w:link w:val="a9"/>
    <w:semiHidden/>
    <w:rsid w:val="00487D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A69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A699E"/>
    <w:rPr>
      <w:sz w:val="18"/>
      <w:szCs w:val="18"/>
    </w:rPr>
  </w:style>
  <w:style w:type="paragraph" w:styleId="a4">
    <w:name w:val="footer"/>
    <w:basedOn w:val="a"/>
    <w:link w:val="Char0"/>
    <w:uiPriority w:val="99"/>
    <w:unhideWhenUsed/>
    <w:rsid w:val="00CA699E"/>
    <w:pPr>
      <w:tabs>
        <w:tab w:val="center" w:pos="4153"/>
        <w:tab w:val="right" w:pos="8306"/>
      </w:tabs>
      <w:snapToGrid w:val="0"/>
    </w:pPr>
    <w:rPr>
      <w:sz w:val="18"/>
      <w:szCs w:val="18"/>
    </w:rPr>
  </w:style>
  <w:style w:type="character" w:customStyle="1" w:styleId="Char0">
    <w:name w:val="页脚 Char"/>
    <w:basedOn w:val="a0"/>
    <w:link w:val="a4"/>
    <w:uiPriority w:val="99"/>
    <w:rsid w:val="00CA699E"/>
    <w:rPr>
      <w:sz w:val="18"/>
      <w:szCs w:val="18"/>
    </w:rPr>
  </w:style>
  <w:style w:type="character" w:styleId="a5">
    <w:name w:val="Emphasis"/>
    <w:basedOn w:val="a0"/>
    <w:uiPriority w:val="20"/>
    <w:qFormat/>
    <w:rsid w:val="001A6FFB"/>
    <w:rPr>
      <w:i/>
      <w:iCs/>
    </w:rPr>
  </w:style>
  <w:style w:type="paragraph" w:styleId="a6">
    <w:name w:val="Balloon Text"/>
    <w:basedOn w:val="a"/>
    <w:link w:val="Char1"/>
    <w:rsid w:val="00367267"/>
    <w:rPr>
      <w:sz w:val="18"/>
      <w:szCs w:val="18"/>
    </w:rPr>
  </w:style>
  <w:style w:type="character" w:customStyle="1" w:styleId="Char1">
    <w:name w:val="批注框文本 Char"/>
    <w:basedOn w:val="a0"/>
    <w:link w:val="a6"/>
    <w:rsid w:val="00367267"/>
    <w:rPr>
      <w:sz w:val="18"/>
      <w:szCs w:val="18"/>
    </w:rPr>
  </w:style>
  <w:style w:type="character" w:styleId="a7">
    <w:name w:val="annotation reference"/>
    <w:basedOn w:val="a0"/>
    <w:semiHidden/>
    <w:unhideWhenUsed/>
    <w:rsid w:val="00487D99"/>
    <w:rPr>
      <w:sz w:val="16"/>
      <w:szCs w:val="16"/>
    </w:rPr>
  </w:style>
  <w:style w:type="paragraph" w:styleId="a8">
    <w:name w:val="annotation text"/>
    <w:basedOn w:val="a"/>
    <w:link w:val="Char2"/>
    <w:semiHidden/>
    <w:unhideWhenUsed/>
    <w:rsid w:val="00487D99"/>
    <w:rPr>
      <w:sz w:val="20"/>
      <w:szCs w:val="20"/>
    </w:rPr>
  </w:style>
  <w:style w:type="character" w:customStyle="1" w:styleId="Char2">
    <w:name w:val="批注文字 Char"/>
    <w:basedOn w:val="a0"/>
    <w:link w:val="a8"/>
    <w:semiHidden/>
    <w:rsid w:val="00487D99"/>
  </w:style>
  <w:style w:type="paragraph" w:styleId="a9">
    <w:name w:val="annotation subject"/>
    <w:basedOn w:val="a8"/>
    <w:next w:val="a8"/>
    <w:link w:val="Char3"/>
    <w:semiHidden/>
    <w:unhideWhenUsed/>
    <w:rsid w:val="00487D99"/>
    <w:rPr>
      <w:b/>
      <w:bCs/>
    </w:rPr>
  </w:style>
  <w:style w:type="character" w:customStyle="1" w:styleId="Char3">
    <w:name w:val="批注主题 Char"/>
    <w:basedOn w:val="Char2"/>
    <w:link w:val="a9"/>
    <w:semiHidden/>
    <w:rsid w:val="00487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62154">
      <w:bodyDiv w:val="1"/>
      <w:marLeft w:val="0"/>
      <w:marRight w:val="0"/>
      <w:marTop w:val="0"/>
      <w:marBottom w:val="0"/>
      <w:divBdr>
        <w:top w:val="none" w:sz="0" w:space="0" w:color="auto"/>
        <w:left w:val="none" w:sz="0" w:space="0" w:color="auto"/>
        <w:bottom w:val="none" w:sz="0" w:space="0" w:color="auto"/>
        <w:right w:val="none" w:sz="0" w:space="0" w:color="auto"/>
      </w:divBdr>
      <w:divsChild>
        <w:div w:id="438064264">
          <w:marLeft w:val="0"/>
          <w:marRight w:val="0"/>
          <w:marTop w:val="0"/>
          <w:marBottom w:val="0"/>
          <w:divBdr>
            <w:top w:val="none" w:sz="0" w:space="0" w:color="auto"/>
            <w:left w:val="none" w:sz="0" w:space="0" w:color="auto"/>
            <w:bottom w:val="none" w:sz="0" w:space="0" w:color="auto"/>
            <w:right w:val="none" w:sz="0" w:space="0" w:color="auto"/>
          </w:divBdr>
        </w:div>
      </w:divsChild>
    </w:div>
    <w:div w:id="580414713">
      <w:bodyDiv w:val="1"/>
      <w:marLeft w:val="0"/>
      <w:marRight w:val="0"/>
      <w:marTop w:val="0"/>
      <w:marBottom w:val="0"/>
      <w:divBdr>
        <w:top w:val="none" w:sz="0" w:space="0" w:color="auto"/>
        <w:left w:val="none" w:sz="0" w:space="0" w:color="auto"/>
        <w:bottom w:val="none" w:sz="0" w:space="0" w:color="auto"/>
        <w:right w:val="none" w:sz="0" w:space="0" w:color="auto"/>
      </w:divBdr>
      <w:divsChild>
        <w:div w:id="380253265">
          <w:marLeft w:val="0"/>
          <w:marRight w:val="0"/>
          <w:marTop w:val="0"/>
          <w:marBottom w:val="0"/>
          <w:divBdr>
            <w:top w:val="none" w:sz="0" w:space="0" w:color="auto"/>
            <w:left w:val="none" w:sz="0" w:space="0" w:color="auto"/>
            <w:bottom w:val="none" w:sz="0" w:space="0" w:color="auto"/>
            <w:right w:val="none" w:sz="0" w:space="0" w:color="auto"/>
          </w:divBdr>
        </w:div>
      </w:divsChild>
    </w:div>
    <w:div w:id="1185826568">
      <w:bodyDiv w:val="1"/>
      <w:marLeft w:val="0"/>
      <w:marRight w:val="0"/>
      <w:marTop w:val="0"/>
      <w:marBottom w:val="0"/>
      <w:divBdr>
        <w:top w:val="none" w:sz="0" w:space="0" w:color="auto"/>
        <w:left w:val="none" w:sz="0" w:space="0" w:color="auto"/>
        <w:bottom w:val="none" w:sz="0" w:space="0" w:color="auto"/>
        <w:right w:val="none" w:sz="0" w:space="0" w:color="auto"/>
      </w:divBdr>
      <w:divsChild>
        <w:div w:id="717826229">
          <w:marLeft w:val="0"/>
          <w:marRight w:val="0"/>
          <w:marTop w:val="0"/>
          <w:marBottom w:val="0"/>
          <w:divBdr>
            <w:top w:val="none" w:sz="0" w:space="0" w:color="auto"/>
            <w:left w:val="none" w:sz="0" w:space="0" w:color="auto"/>
            <w:bottom w:val="none" w:sz="0" w:space="0" w:color="auto"/>
            <w:right w:val="none" w:sz="0" w:space="0" w:color="auto"/>
          </w:divBdr>
        </w:div>
      </w:divsChild>
    </w:div>
    <w:div w:id="2060467711">
      <w:bodyDiv w:val="1"/>
      <w:marLeft w:val="0"/>
      <w:marRight w:val="0"/>
      <w:marTop w:val="0"/>
      <w:marBottom w:val="0"/>
      <w:divBdr>
        <w:top w:val="none" w:sz="0" w:space="0" w:color="auto"/>
        <w:left w:val="none" w:sz="0" w:space="0" w:color="auto"/>
        <w:bottom w:val="none" w:sz="0" w:space="0" w:color="auto"/>
        <w:right w:val="none" w:sz="0" w:space="0" w:color="auto"/>
      </w:divBdr>
      <w:divsChild>
        <w:div w:id="2427599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4919</Words>
  <Characters>28044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2020-12-10T01:01:00Z</dcterms:created>
  <dcterms:modified xsi:type="dcterms:W3CDTF">2021-01-15T08:12:00Z</dcterms:modified>
</cp:coreProperties>
</file>