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19A" w:rsidRDefault="00A0654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76119A" w:rsidRDefault="00A0654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59506</w:t>
      </w:r>
    </w:p>
    <w:p w:rsidR="0076119A" w:rsidRDefault="00A0654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76119A" w:rsidRDefault="0076119A">
      <w:pPr>
        <w:spacing w:line="360" w:lineRule="auto"/>
        <w:jc w:val="both"/>
      </w:pPr>
      <w:bookmarkStart w:id="0" w:name="_GoBack"/>
      <w:bookmarkEnd w:id="0"/>
    </w:p>
    <w:p w:rsidR="0076119A" w:rsidRDefault="00A06540">
      <w:pPr>
        <w:spacing w:line="360" w:lineRule="auto"/>
        <w:jc w:val="both"/>
      </w:pPr>
      <w:r>
        <w:rPr>
          <w:rFonts w:ascii="Book Antiqua" w:eastAsia="Book Antiqua" w:hAnsi="Book Antiqua" w:cs="Book Antiqua"/>
          <w:b/>
          <w:color w:val="000000"/>
        </w:rPr>
        <w:t xml:space="preserve">Systemic lupus erythematosus and </w:t>
      </w:r>
      <w:proofErr w:type="spellStart"/>
      <w:r>
        <w:rPr>
          <w:rFonts w:ascii="Book Antiqua" w:eastAsia="Book Antiqua" w:hAnsi="Book Antiqua" w:cs="Book Antiqua"/>
          <w:b/>
          <w:color w:val="000000"/>
        </w:rPr>
        <w:t>antineutrophil</w:t>
      </w:r>
      <w:proofErr w:type="spellEnd"/>
      <w:r>
        <w:rPr>
          <w:rFonts w:ascii="Book Antiqua" w:eastAsia="Book Antiqua" w:hAnsi="Book Antiqua" w:cs="Book Antiqua"/>
          <w:b/>
          <w:color w:val="000000"/>
        </w:rPr>
        <w:t xml:space="preserve"> cytoplasmic antibody-associated vasculitis overlap syndrome in a </w:t>
      </w:r>
      <w:r>
        <w:rPr>
          <w:rFonts w:ascii="Book Antiqua" w:eastAsia="宋体" w:hAnsi="Book Antiqua" w:cs="Book Antiqua" w:hint="eastAsia"/>
          <w:b/>
          <w:color w:val="000000"/>
          <w:lang w:eastAsia="zh-CN"/>
        </w:rPr>
        <w:t>77</w:t>
      </w:r>
      <w:r>
        <w:rPr>
          <w:rFonts w:ascii="Book Antiqua" w:eastAsia="Book Antiqua" w:hAnsi="Book Antiqua" w:cs="Book Antiqua"/>
          <w:b/>
          <w:color w:val="000000"/>
        </w:rPr>
        <w:t>-year-old ma</w:t>
      </w:r>
      <w:r>
        <w:rPr>
          <w:rFonts w:ascii="Book Antiqua" w:eastAsia="宋体" w:hAnsi="Book Antiqua" w:cs="Book Antiqua" w:hint="eastAsia"/>
          <w:b/>
          <w:color w:val="000000"/>
          <w:lang w:eastAsia="zh-CN"/>
        </w:rPr>
        <w:t>n</w:t>
      </w:r>
      <w:r>
        <w:rPr>
          <w:rFonts w:ascii="Book Antiqua" w:eastAsia="Book Antiqua" w:hAnsi="Book Antiqua" w:cs="Book Antiqua"/>
          <w:b/>
          <w:color w:val="000000"/>
        </w:rPr>
        <w:t>: A case report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color w:val="000000"/>
        </w:rPr>
        <w:t xml:space="preserve">Xu ZG </w:t>
      </w:r>
      <w:r>
        <w:rPr>
          <w:rFonts w:ascii="Book Antiqua" w:eastAsia="Book Antiqua" w:hAnsi="Book Antiqua" w:cs="Book Antiqua"/>
          <w:i/>
          <w:iCs/>
          <w:color w:val="000000"/>
        </w:rPr>
        <w:t>et al</w:t>
      </w:r>
      <w:r>
        <w:rPr>
          <w:rFonts w:ascii="Book Antiqua" w:eastAsia="Book Antiqua" w:hAnsi="Book Antiqua" w:cs="Book Antiqua"/>
          <w:color w:val="000000"/>
        </w:rPr>
        <w:t>. SLE and ANCA-AAV overlap syndrome</w:t>
      </w:r>
    </w:p>
    <w:p w:rsidR="0076119A" w:rsidRDefault="0076119A">
      <w:pPr>
        <w:spacing w:line="360" w:lineRule="auto"/>
        <w:jc w:val="both"/>
      </w:pPr>
    </w:p>
    <w:p w:rsidR="0076119A" w:rsidRDefault="00A06540">
      <w:pPr>
        <w:spacing w:line="360" w:lineRule="auto"/>
        <w:jc w:val="both"/>
      </w:pPr>
      <w:proofErr w:type="spellStart"/>
      <w:r>
        <w:rPr>
          <w:rFonts w:ascii="Book Antiqua" w:eastAsia="Book Antiqua" w:hAnsi="Book Antiqua" w:cs="Book Antiqua"/>
          <w:color w:val="000000"/>
        </w:rPr>
        <w:t>Zi-Gan</w:t>
      </w:r>
      <w:proofErr w:type="spellEnd"/>
      <w:r>
        <w:rPr>
          <w:rFonts w:ascii="Book Antiqua" w:eastAsia="Book Antiqua" w:hAnsi="Book Antiqua" w:cs="Book Antiqua"/>
          <w:color w:val="000000"/>
        </w:rPr>
        <w:t xml:space="preserve"> Xu, Wei-Long Li, Xi Wang, Shu-Yuan Zhang, Ying-Wei Zhang, Xing Wei, Chun-Di Li, Ping Zeng, Shao-Dong Luan</w:t>
      </w:r>
    </w:p>
    <w:p w:rsidR="0076119A" w:rsidRDefault="0076119A">
      <w:pPr>
        <w:spacing w:line="360" w:lineRule="auto"/>
        <w:jc w:val="both"/>
      </w:pPr>
    </w:p>
    <w:p w:rsidR="0076119A" w:rsidRDefault="00A06540">
      <w:pPr>
        <w:spacing w:line="360" w:lineRule="auto"/>
        <w:jc w:val="both"/>
      </w:pPr>
      <w:proofErr w:type="spellStart"/>
      <w:r>
        <w:rPr>
          <w:rFonts w:ascii="Book Antiqua" w:eastAsia="Book Antiqua" w:hAnsi="Book Antiqua" w:cs="Book Antiqua"/>
          <w:b/>
          <w:bCs/>
          <w:color w:val="000000"/>
        </w:rPr>
        <w:t>Zi-Gan</w:t>
      </w:r>
      <w:proofErr w:type="spellEnd"/>
      <w:r>
        <w:rPr>
          <w:rFonts w:ascii="Book Antiqua" w:eastAsia="Book Antiqua" w:hAnsi="Book Antiqua" w:cs="Book Antiqua"/>
          <w:b/>
          <w:bCs/>
          <w:color w:val="000000"/>
        </w:rPr>
        <w:t xml:space="preserve"> Xu, Wei-Long Li, Xi Wang, Shu-Yuan Zhang, Ying-Wei Zhang, Xing Wei, Chun-Di Li, Ping Zeng, Shao-Dong Luan, </w:t>
      </w:r>
      <w:r>
        <w:rPr>
          <w:rFonts w:ascii="Book Antiqua" w:eastAsia="Book Antiqua" w:hAnsi="Book Antiqua" w:cs="Book Antiqua"/>
          <w:color w:val="000000"/>
        </w:rPr>
        <w:t xml:space="preserve">Department of Nephrology, Shenzhen </w:t>
      </w:r>
      <w:proofErr w:type="spellStart"/>
      <w:r>
        <w:rPr>
          <w:rFonts w:ascii="Book Antiqua" w:eastAsia="Book Antiqua" w:hAnsi="Book Antiqua" w:cs="Book Antiqua"/>
          <w:color w:val="000000"/>
        </w:rPr>
        <w:t>Longhua</w:t>
      </w:r>
      <w:proofErr w:type="spellEnd"/>
      <w:r>
        <w:rPr>
          <w:rFonts w:ascii="Book Antiqua" w:eastAsia="Book Antiqua" w:hAnsi="Book Antiqua" w:cs="Book Antiqua"/>
          <w:color w:val="000000"/>
        </w:rPr>
        <w:t xml:space="preserve"> District Central Hospital, Shenzhen 518110, Guangdong Province, China</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Xu ZG reviewed the literature and contributed to manuscript drafting; Li WL, Wang X, Zhang SY, Zhang YW, Li CD</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and Zeng P collected the information from </w:t>
      </w:r>
      <w:r>
        <w:rPr>
          <w:rFonts w:ascii="Book Antiqua" w:eastAsia="宋体" w:hAnsi="Book Antiqua" w:cs="Book Antiqua" w:hint="eastAsia"/>
          <w:color w:val="000000"/>
          <w:szCs w:val="21"/>
          <w:lang w:eastAsia="zh-CN"/>
        </w:rPr>
        <w:t xml:space="preserve">the </w:t>
      </w:r>
      <w:r>
        <w:rPr>
          <w:rFonts w:ascii="Book Antiqua" w:eastAsia="Book Antiqua" w:hAnsi="Book Antiqua" w:cs="Book Antiqua"/>
          <w:color w:val="000000"/>
          <w:szCs w:val="21"/>
        </w:rPr>
        <w:t>patient; Wei X and Luan SD were surgeons for biopsy and revised the manuscript; Luan SD supervised the study; all authors read and approved the final manuscript.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Corresponding author: Shao-Dong Luan, PhD, Chief Doctor, </w:t>
      </w:r>
      <w:r>
        <w:rPr>
          <w:rFonts w:ascii="Book Antiqua" w:eastAsia="Book Antiqua" w:hAnsi="Book Antiqua" w:cs="Book Antiqua"/>
          <w:color w:val="000000"/>
        </w:rPr>
        <w:t xml:space="preserve">Department of Nephrology, Shenzhen </w:t>
      </w:r>
      <w:proofErr w:type="spellStart"/>
      <w:r>
        <w:rPr>
          <w:rFonts w:ascii="Book Antiqua" w:eastAsia="Book Antiqua" w:hAnsi="Book Antiqua" w:cs="Book Antiqua"/>
          <w:color w:val="000000"/>
        </w:rPr>
        <w:t>Longhua</w:t>
      </w:r>
      <w:proofErr w:type="spellEnd"/>
      <w:r>
        <w:rPr>
          <w:rFonts w:ascii="Book Antiqua" w:eastAsia="Book Antiqua" w:hAnsi="Book Antiqua" w:cs="Book Antiqua"/>
          <w:color w:val="000000"/>
        </w:rPr>
        <w:t xml:space="preserve"> District Central Hospital, No. 187 </w:t>
      </w:r>
      <w:proofErr w:type="spellStart"/>
      <w:r>
        <w:rPr>
          <w:rFonts w:ascii="Book Antiqua" w:eastAsia="Book Antiqua" w:hAnsi="Book Antiqua" w:cs="Book Antiqua"/>
          <w:color w:val="000000"/>
        </w:rPr>
        <w:t>Guanlan</w:t>
      </w:r>
      <w:proofErr w:type="spellEnd"/>
      <w:r>
        <w:rPr>
          <w:rFonts w:ascii="Book Antiqua" w:eastAsia="Book Antiqua" w:hAnsi="Book Antiqua" w:cs="Book Antiqua"/>
          <w:color w:val="000000"/>
        </w:rPr>
        <w:t xml:space="preserve"> Road, Shenzhen 518110, Guangdong Province, China. szkidney3@163.com</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15, 2020</w:t>
      </w:r>
    </w:p>
    <w:p w:rsidR="0076119A" w:rsidRDefault="00A0654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23, 2020</w:t>
      </w:r>
    </w:p>
    <w:p w:rsidR="0076119A" w:rsidRDefault="00A06540">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29, 2020</w:t>
      </w:r>
    </w:p>
    <w:p w:rsidR="0076119A" w:rsidRDefault="00A06540">
      <w:pPr>
        <w:spacing w:line="360" w:lineRule="auto"/>
        <w:jc w:val="both"/>
      </w:pPr>
      <w:r>
        <w:rPr>
          <w:rFonts w:ascii="Book Antiqua" w:eastAsia="Book Antiqua" w:hAnsi="Book Antiqua" w:cs="Book Antiqua"/>
          <w:b/>
          <w:bCs/>
          <w:color w:val="000000"/>
        </w:rPr>
        <w:lastRenderedPageBreak/>
        <w:t xml:space="preserve">Published online: </w:t>
      </w:r>
    </w:p>
    <w:p w:rsidR="0076119A" w:rsidRDefault="0076119A">
      <w:pPr>
        <w:spacing w:line="360" w:lineRule="auto"/>
        <w:jc w:val="both"/>
        <w:sectPr w:rsidR="0076119A">
          <w:footerReference w:type="default" r:id="rId8"/>
          <w:pgSz w:w="12240" w:h="15840"/>
          <w:pgMar w:top="1440" w:right="1440" w:bottom="1440" w:left="1440" w:header="720" w:footer="720" w:gutter="0"/>
          <w:cols w:space="720"/>
          <w:docGrid w:linePitch="360"/>
        </w:sectPr>
      </w:pPr>
    </w:p>
    <w:p w:rsidR="0076119A" w:rsidRDefault="00A06540">
      <w:pPr>
        <w:spacing w:line="360" w:lineRule="auto"/>
        <w:jc w:val="both"/>
      </w:pPr>
      <w:r>
        <w:rPr>
          <w:rFonts w:ascii="Book Antiqua" w:eastAsia="Book Antiqua" w:hAnsi="Book Antiqua" w:cs="Book Antiqua"/>
          <w:b/>
          <w:color w:val="000000"/>
        </w:rPr>
        <w:lastRenderedPageBreak/>
        <w:t>Abstract</w:t>
      </w:r>
    </w:p>
    <w:p w:rsidR="0076119A" w:rsidRDefault="00A06540">
      <w:pPr>
        <w:spacing w:line="360" w:lineRule="auto"/>
        <w:jc w:val="both"/>
      </w:pPr>
      <w:r>
        <w:rPr>
          <w:rFonts w:ascii="Book Antiqua" w:eastAsia="Book Antiqua" w:hAnsi="Book Antiqua" w:cs="Book Antiqua"/>
          <w:color w:val="000000"/>
        </w:rPr>
        <w:t>BACKGROUND</w:t>
      </w:r>
    </w:p>
    <w:p w:rsidR="0076119A" w:rsidRDefault="00A06540">
      <w:pPr>
        <w:spacing w:line="360" w:lineRule="auto"/>
        <w:jc w:val="both"/>
      </w:pPr>
      <w:r>
        <w:rPr>
          <w:rFonts w:ascii="Book Antiqua" w:eastAsia="Book Antiqua" w:hAnsi="Book Antiqua" w:cs="Book Antiqua"/>
          <w:color w:val="000000"/>
          <w:szCs w:val="21"/>
        </w:rPr>
        <w:t xml:space="preserve">Systemic lupus erythematosus (SLE) and </w:t>
      </w:r>
      <w:proofErr w:type="spellStart"/>
      <w:r>
        <w:rPr>
          <w:rFonts w:ascii="Book Antiqua" w:eastAsia="Book Antiqua" w:hAnsi="Book Antiqua" w:cs="Book Antiqua"/>
          <w:color w:val="000000"/>
          <w:szCs w:val="21"/>
        </w:rPr>
        <w:t>antineutrophil</w:t>
      </w:r>
      <w:proofErr w:type="spellEnd"/>
      <w:r>
        <w:rPr>
          <w:rFonts w:ascii="Book Antiqua" w:eastAsia="Book Antiqua" w:hAnsi="Book Antiqua" w:cs="Book Antiqua"/>
          <w:color w:val="000000"/>
          <w:szCs w:val="21"/>
        </w:rPr>
        <w:t xml:space="preserve"> cytoplasmic antibody-associated vasculitis (AAV) are classically thought to cause renal impairment and small vessel vasculitis with different </w:t>
      </w:r>
      <w:proofErr w:type="spellStart"/>
      <w:r>
        <w:rPr>
          <w:rFonts w:ascii="Book Antiqua" w:eastAsia="Book Antiqua" w:hAnsi="Book Antiqua" w:cs="Book Antiqua"/>
          <w:color w:val="000000"/>
          <w:szCs w:val="21"/>
        </w:rPr>
        <w:t>pathophysiologies</w:t>
      </w:r>
      <w:proofErr w:type="spellEnd"/>
      <w:r>
        <w:rPr>
          <w:rFonts w:ascii="Book Antiqua" w:eastAsia="Book Antiqua" w:hAnsi="Book Antiqua" w:cs="Book Antiqua"/>
          <w:color w:val="000000"/>
          <w:szCs w:val="21"/>
        </w:rPr>
        <w:t xml:space="preserve">. Their overlap constitutes a rare rheumatologic disease. To date, only dozens of </w:t>
      </w:r>
      <w:r>
        <w:rPr>
          <w:rFonts w:ascii="Book Antiqua" w:eastAsia="宋体" w:hAnsi="Book Antiqua" w:cs="Book Antiqua" w:hint="eastAsia"/>
          <w:color w:val="000000"/>
          <w:szCs w:val="21"/>
          <w:lang w:eastAsia="zh-CN"/>
        </w:rPr>
        <w:t xml:space="preserve">such </w:t>
      </w:r>
      <w:r>
        <w:rPr>
          <w:rFonts w:ascii="Book Antiqua" w:eastAsia="Book Antiqua" w:hAnsi="Book Antiqua" w:cs="Book Antiqua"/>
          <w:color w:val="000000"/>
          <w:szCs w:val="21"/>
        </w:rPr>
        <w:t>cases with biopsy-proven glomerulonephritis have been reported worldwide typically in women of childbearing age. Here, we present a unique clinical case due to its rarity and individualized treatment of a Chinese ma</w:t>
      </w:r>
      <w:r>
        <w:rPr>
          <w:rFonts w:ascii="Book Antiqua" w:eastAsia="宋体" w:hAnsi="Book Antiqua" w:cs="Book Antiqua" w:hint="eastAsia"/>
          <w:color w:val="000000"/>
          <w:szCs w:val="21"/>
          <w:lang w:eastAsia="zh-CN"/>
        </w:rPr>
        <w:t>n</w:t>
      </w:r>
      <w:r>
        <w:rPr>
          <w:rFonts w:ascii="Book Antiqua" w:eastAsia="Book Antiqua" w:hAnsi="Book Antiqua" w:cs="Book Antiqua"/>
          <w:color w:val="000000"/>
          <w:szCs w:val="21"/>
        </w:rPr>
        <w:t xml:space="preserve"> in his eighth decade of life.</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color w:val="000000"/>
        </w:rPr>
        <w:t>CASE SUMMARY</w:t>
      </w:r>
    </w:p>
    <w:p w:rsidR="0076119A" w:rsidRDefault="00A06540">
      <w:pPr>
        <w:spacing w:line="360" w:lineRule="auto"/>
        <w:jc w:val="both"/>
      </w:pPr>
      <w:r>
        <w:rPr>
          <w:rFonts w:ascii="Book Antiqua" w:eastAsia="Book Antiqua" w:hAnsi="Book Antiqua" w:cs="Book Antiqua"/>
          <w:color w:val="000000"/>
          <w:szCs w:val="21"/>
        </w:rPr>
        <w:t>A 77-year-old ma</w:t>
      </w:r>
      <w:r>
        <w:rPr>
          <w:rFonts w:ascii="Book Antiqua" w:eastAsia="宋体" w:hAnsi="Book Antiqua" w:cs="Book Antiqua" w:hint="eastAsia"/>
          <w:color w:val="000000"/>
          <w:szCs w:val="21"/>
          <w:lang w:eastAsia="zh-CN"/>
        </w:rPr>
        <w:t>n</w:t>
      </w:r>
      <w:r>
        <w:rPr>
          <w:rFonts w:ascii="Book Antiqua" w:eastAsia="Book Antiqua" w:hAnsi="Book Antiqua" w:cs="Book Antiqua"/>
          <w:color w:val="000000"/>
          <w:szCs w:val="21"/>
        </w:rPr>
        <w:t xml:space="preserve"> was admitted to several hospitals for shortness of breath and received nonspecific treatments over </w:t>
      </w:r>
      <w:r>
        <w:rPr>
          <w:rFonts w:ascii="Book Antiqua" w:eastAsia="宋体" w:hAnsi="Book Antiqua" w:cs="Book Antiqua" w:hint="eastAsia"/>
          <w:color w:val="000000"/>
          <w:szCs w:val="21"/>
          <w:lang w:eastAsia="zh-CN"/>
        </w:rPr>
        <w:t xml:space="preserve">the past </w:t>
      </w:r>
      <w:r>
        <w:rPr>
          <w:rFonts w:ascii="Book Antiqua" w:eastAsia="Book Antiqua" w:hAnsi="Book Antiqua" w:cs="Book Antiqua"/>
          <w:color w:val="000000"/>
          <w:szCs w:val="21"/>
        </w:rPr>
        <w:t>3 years. As his symptoms were not completely relieved, he visited our hospital for further treatment. Laboratory</w:t>
      </w:r>
      <w:r>
        <w:rPr>
          <w:rFonts w:ascii="Book Antiqua" w:eastAsia="宋体" w:hAnsi="Book Antiqua" w:cs="Book Antiqua" w:hint="eastAsia"/>
          <w:color w:val="000000"/>
          <w:szCs w:val="21"/>
          <w:lang w:eastAsia="zh-CN"/>
        </w:rPr>
        <w:t xml:space="preserve"> examinations</w:t>
      </w:r>
      <w:r>
        <w:rPr>
          <w:rFonts w:ascii="Book Antiqua" w:eastAsia="Book Antiqua" w:hAnsi="Book Antiqua" w:cs="Book Antiqua"/>
          <w:color w:val="000000"/>
          <w:szCs w:val="21"/>
        </w:rPr>
        <w:t xml:space="preserve"> revealed kidney dysfunction, severe </w:t>
      </w:r>
      <w:proofErr w:type="spellStart"/>
      <w:r>
        <w:rPr>
          <w:rFonts w:ascii="Book Antiqua" w:eastAsia="Book Antiqua" w:hAnsi="Book Antiqua" w:cs="Book Antiqua"/>
          <w:color w:val="000000"/>
          <w:szCs w:val="21"/>
        </w:rPr>
        <w:t>anaemia</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hypocomplementemia</w:t>
      </w:r>
      <w:proofErr w:type="spellEnd"/>
      <w:r>
        <w:rPr>
          <w:rFonts w:ascii="Book Antiqua" w:eastAsia="Book Antiqua" w:hAnsi="Book Antiqua" w:cs="Book Antiqua"/>
          <w:color w:val="000000"/>
          <w:szCs w:val="21"/>
        </w:rPr>
        <w:t>, glomerular proteinuria</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and microscopic </w:t>
      </w:r>
      <w:proofErr w:type="spellStart"/>
      <w:r>
        <w:rPr>
          <w:rFonts w:ascii="Book Antiqua" w:eastAsia="Book Antiqua" w:hAnsi="Book Antiqua" w:cs="Book Antiqua"/>
          <w:color w:val="000000"/>
          <w:szCs w:val="21"/>
        </w:rPr>
        <w:t>haematuria</w:t>
      </w:r>
      <w:proofErr w:type="spellEnd"/>
      <w:r>
        <w:rPr>
          <w:rFonts w:ascii="Book Antiqua" w:eastAsia="Book Antiqua" w:hAnsi="Book Antiqua" w:cs="Book Antiqua"/>
          <w:color w:val="000000"/>
          <w:szCs w:val="21"/>
        </w:rPr>
        <w:t xml:space="preserve">. Antinuclear antibodies, as well as anti-dsDNA antibodies, were positive. Computed tomography of the chest showed right pleural effusion. Renal biopsy was performed, and histology suggested crescentic glomerulonephritis, </w:t>
      </w:r>
      <w:proofErr w:type="spellStart"/>
      <w:r>
        <w:rPr>
          <w:rFonts w:ascii="Book Antiqua" w:eastAsia="Book Antiqua" w:hAnsi="Book Antiqua" w:cs="Book Antiqua"/>
          <w:color w:val="000000"/>
          <w:szCs w:val="21"/>
        </w:rPr>
        <w:t>pauci</w:t>
      </w:r>
      <w:proofErr w:type="spellEnd"/>
      <w:r>
        <w:rPr>
          <w:rFonts w:ascii="Book Antiqua" w:eastAsia="Book Antiqua" w:hAnsi="Book Antiqua" w:cs="Book Antiqua"/>
          <w:color w:val="000000"/>
          <w:szCs w:val="21"/>
        </w:rPr>
        <w:t>-immune type. After treatment with plasmapheresis, glucocorticoid</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and cyclophosphamide, the disease was in remission, and the patient remained in a stable condition for over 3 years post-hospital discharge.</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color w:val="000000"/>
        </w:rPr>
        <w:t>CONCLUSION</w:t>
      </w:r>
    </w:p>
    <w:p w:rsidR="0076119A" w:rsidRDefault="00A06540">
      <w:pPr>
        <w:spacing w:line="360" w:lineRule="auto"/>
        <w:jc w:val="both"/>
      </w:pPr>
      <w:r>
        <w:rPr>
          <w:rFonts w:ascii="Book Antiqua" w:eastAsia="Book Antiqua" w:hAnsi="Book Antiqua" w:cs="Book Antiqua"/>
          <w:color w:val="000000"/>
        </w:rPr>
        <w:t>Due to its complexity and rarity, SLE and AAV overlap syndrome is easily misdiagnosed. An accurate diagnosis and treatment at the earliest stage may significantly improve the condition and reduce irreversible organ injury.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Systemic lupus erythematosus; </w:t>
      </w:r>
      <w:proofErr w:type="spellStart"/>
      <w:r>
        <w:rPr>
          <w:rFonts w:ascii="Book Antiqua" w:eastAsia="Book Antiqua" w:hAnsi="Book Antiqua" w:cs="Book Antiqua"/>
          <w:color w:val="000000"/>
          <w:szCs w:val="21"/>
        </w:rPr>
        <w:t>Antineutrophil</w:t>
      </w:r>
      <w:proofErr w:type="spellEnd"/>
      <w:r>
        <w:rPr>
          <w:rFonts w:ascii="Book Antiqua" w:eastAsia="Book Antiqua" w:hAnsi="Book Antiqua" w:cs="Book Antiqua"/>
          <w:color w:val="000000"/>
          <w:szCs w:val="21"/>
        </w:rPr>
        <w:t xml:space="preserve"> cytoplasmic antibody</w:t>
      </w:r>
      <w:r>
        <w:rPr>
          <w:rFonts w:ascii="Book Antiqua" w:eastAsia="Book Antiqua" w:hAnsi="Book Antiqua" w:cs="Book Antiqua"/>
          <w:color w:val="000000"/>
        </w:rPr>
        <w:t>-associated vasculitis; Overlap syndrome; Elderly male; Renal insufficiency; Case report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color w:val="000000"/>
        </w:rPr>
        <w:t xml:space="preserve">Xu ZG, Li WL, Wang X, Zhang SY, Zhang YW, Wei X, Li CD, Zeng P, Luan SD. Systemic lupus erythematosus and </w:t>
      </w:r>
      <w:proofErr w:type="spellStart"/>
      <w:r>
        <w:rPr>
          <w:rFonts w:ascii="Book Antiqua" w:eastAsia="Book Antiqua" w:hAnsi="Book Antiqua" w:cs="Book Antiqua"/>
          <w:color w:val="000000"/>
        </w:rPr>
        <w:t>antineutrophil</w:t>
      </w:r>
      <w:proofErr w:type="spellEnd"/>
      <w:r>
        <w:rPr>
          <w:rFonts w:ascii="Book Antiqua" w:eastAsia="Book Antiqua" w:hAnsi="Book Antiqua" w:cs="Book Antiqua"/>
          <w:color w:val="000000"/>
        </w:rPr>
        <w:t xml:space="preserve"> cytoplasmic antibody-associated vasculitis overlap syndrome in a </w:t>
      </w:r>
      <w:r>
        <w:rPr>
          <w:rFonts w:ascii="Book Antiqua" w:eastAsia="宋体" w:hAnsi="Book Antiqua" w:cs="Book Antiqua" w:hint="eastAsia"/>
          <w:color w:val="000000"/>
          <w:lang w:eastAsia="zh-CN"/>
        </w:rPr>
        <w:t>77</w:t>
      </w:r>
      <w:r>
        <w:rPr>
          <w:rFonts w:ascii="Book Antiqua" w:eastAsia="Book Antiqua" w:hAnsi="Book Antiqua" w:cs="Book Antiqua"/>
          <w:color w:val="000000"/>
        </w:rPr>
        <w:t>-year-old ma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1"/>
        </w:rPr>
        <w:t>Systemic lupus erythematosus</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associated vasculitis</w:t>
      </w:r>
      <w:r>
        <w:rPr>
          <w:rFonts w:ascii="Book Antiqua" w:eastAsia="Book Antiqua" w:hAnsi="Book Antiqua" w:cs="Book Antiqua"/>
          <w:color w:val="000000"/>
        </w:rPr>
        <w:t xml:space="preserve"> overlap syndrome was first described in 1997, and only dozens of </w:t>
      </w:r>
      <w:r>
        <w:rPr>
          <w:rFonts w:ascii="Book Antiqua" w:eastAsia="宋体" w:hAnsi="Book Antiqua" w:cs="Book Antiqua" w:hint="eastAsia"/>
          <w:color w:val="000000"/>
          <w:lang w:eastAsia="zh-CN"/>
        </w:rPr>
        <w:t xml:space="preserve">such </w:t>
      </w:r>
      <w:r>
        <w:rPr>
          <w:rFonts w:ascii="Book Antiqua" w:eastAsia="Book Antiqua" w:hAnsi="Book Antiqua" w:cs="Book Antiqua"/>
          <w:color w:val="000000"/>
        </w:rPr>
        <w:t>cases have been reported to date worldwide. We report an elderly male patient who was not diagnosed with this disease in a timely manner due to hidden features. After treatment with plasmapheresis, glucocorticoid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cyclophosphamide</w:t>
      </w:r>
      <w:r>
        <w:rPr>
          <w:rFonts w:ascii="Book Antiqua" w:eastAsia="Book Antiqua" w:hAnsi="Book Antiqua" w:cs="Book Antiqua"/>
          <w:color w:val="000000"/>
        </w:rPr>
        <w:t>, the patient’s condition improved, even at his advanced age.</w:t>
      </w:r>
    </w:p>
    <w:p w:rsidR="0076119A" w:rsidRDefault="00A06540">
      <w:pPr>
        <w:spacing w:line="360" w:lineRule="auto"/>
        <w:jc w:val="both"/>
      </w:pPr>
      <w:r>
        <w:br w:type="page"/>
      </w:r>
      <w:r>
        <w:rPr>
          <w:rFonts w:ascii="Book Antiqua" w:eastAsia="Book Antiqua" w:hAnsi="Book Antiqua" w:cs="Book Antiqua"/>
          <w:b/>
          <w:caps/>
          <w:color w:val="000000"/>
          <w:u w:val="single"/>
        </w:rPr>
        <w:lastRenderedPageBreak/>
        <w:t>INTRODUCTION</w:t>
      </w:r>
    </w:p>
    <w:p w:rsidR="0076119A" w:rsidRDefault="00A065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1"/>
        </w:rPr>
        <w:t>Systemic lupus erythematosus (</w:t>
      </w:r>
      <w:r>
        <w:rPr>
          <w:rFonts w:ascii="Book Antiqua" w:eastAsia="Book Antiqua" w:hAnsi="Book Antiqua" w:cs="Book Antiqua"/>
          <w:color w:val="000000"/>
        </w:rPr>
        <w:t xml:space="preserve">SLE) and </w:t>
      </w:r>
      <w:r>
        <w:rPr>
          <w:rFonts w:ascii="Book Antiqua" w:eastAsia="Book Antiqua" w:hAnsi="Book Antiqua" w:cs="Book Antiqua"/>
          <w:color w:val="000000"/>
          <w:szCs w:val="21"/>
        </w:rPr>
        <w:t>associated vasculitis (</w:t>
      </w:r>
      <w:r>
        <w:rPr>
          <w:rFonts w:ascii="Book Antiqua" w:eastAsia="Book Antiqua" w:hAnsi="Book Antiqua" w:cs="Book Antiqua"/>
          <w:color w:val="000000"/>
        </w:rPr>
        <w:t>AAV) overlap syndrome, first reported in 1997</w:t>
      </w:r>
      <w:r>
        <w:rPr>
          <w:rFonts w:ascii="Book Antiqua" w:eastAsia="Book Antiqua" w:hAnsi="Book Antiqua" w:cs="Book Antiqua"/>
          <w:color w:val="000000"/>
          <w:vertAlign w:val="superscript"/>
        </w:rPr>
        <w:t>[1]</w:t>
      </w:r>
      <w:r>
        <w:rPr>
          <w:rFonts w:ascii="Book Antiqua" w:eastAsia="Book Antiqua" w:hAnsi="Book Antiqua" w:cs="Book Antiqua"/>
          <w:color w:val="000000"/>
        </w:rPr>
        <w:t>, is a rare disease characterized by simultaneous presentation of serological marker positivity, severe clinical manifestations (rapidly progressive glomerulonephritis and frequent pulmonary involvement)</w:t>
      </w:r>
      <w:r>
        <w:rPr>
          <w:rFonts w:ascii="Book Antiqua" w:eastAsia="Book Antiqua" w:hAnsi="Book Antiqua" w:cs="Book Antiqua"/>
          <w:color w:val="000000"/>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or histopathology of SLE and AAV in the same patient, with the case fulfilling the classification criteria for both diseases. The disease is commonly seen in women of childbearing age. Those who have both overlapping syndromes commonly present with severe renal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rsidR="0076119A" w:rsidRDefault="00A06540">
      <w:pPr>
        <w:spacing w:line="360" w:lineRule="auto"/>
        <w:ind w:firstLineChars="100" w:firstLine="240"/>
        <w:jc w:val="both"/>
      </w:pPr>
      <w:r>
        <w:rPr>
          <w:rFonts w:ascii="Book Antiqua" w:eastAsia="Book Antiqua" w:hAnsi="Book Antiqua" w:cs="Book Antiqua"/>
          <w:color w:val="000000"/>
        </w:rPr>
        <w:t xml:space="preserve">This case report describes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simultaneous manifestation of SLE and AAV. Based on our literature search, this overlap has rarely been reported in older m</w:t>
      </w:r>
      <w:r>
        <w:rPr>
          <w:rFonts w:ascii="Book Antiqua" w:eastAsia="宋体" w:hAnsi="Book Antiqua" w:cs="Book Antiqua" w:hint="eastAsia"/>
          <w:color w:val="000000"/>
          <w:lang w:eastAsia="zh-CN"/>
        </w:rPr>
        <w:t>en</w:t>
      </w:r>
      <w:r>
        <w:rPr>
          <w:rFonts w:ascii="Book Antiqua" w:eastAsia="Book Antiqua" w:hAnsi="Book Antiqua" w:cs="Book Antiqua"/>
          <w:color w:val="000000"/>
        </w:rPr>
        <w:t xml:space="preserve"> with biopsy-proven </w:t>
      </w:r>
      <w:r>
        <w:rPr>
          <w:rFonts w:ascii="Book Antiqua" w:eastAsia="Book Antiqua" w:hAnsi="Book Antiqua" w:cs="Book Antiqua"/>
          <w:color w:val="000000"/>
          <w:szCs w:val="21"/>
        </w:rPr>
        <w:t>glomerulonephritis</w:t>
      </w:r>
      <w:r>
        <w:rPr>
          <w:rFonts w:ascii="Book Antiqua" w:eastAsia="Book Antiqua" w:hAnsi="Book Antiqua" w:cs="Book Antiqua"/>
          <w:color w:val="000000"/>
        </w:rPr>
        <w:t xml:space="preserve"> (GN).</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CASE PRESENTATION</w:t>
      </w:r>
    </w:p>
    <w:p w:rsidR="0076119A" w:rsidRDefault="00A06540">
      <w:pPr>
        <w:spacing w:line="360" w:lineRule="auto"/>
        <w:jc w:val="both"/>
      </w:pPr>
      <w:r>
        <w:rPr>
          <w:rFonts w:ascii="Book Antiqua" w:eastAsia="Book Antiqua" w:hAnsi="Book Antiqua" w:cs="Book Antiqua"/>
          <w:b/>
          <w:i/>
          <w:color w:val="000000"/>
        </w:rPr>
        <w:t>Chief complaints</w:t>
      </w:r>
    </w:p>
    <w:p w:rsidR="0076119A" w:rsidRDefault="00A06540">
      <w:pPr>
        <w:spacing w:line="360" w:lineRule="auto"/>
        <w:jc w:val="both"/>
      </w:pPr>
      <w:r>
        <w:rPr>
          <w:rFonts w:ascii="Book Antiqua" w:eastAsia="Book Antiqua" w:hAnsi="Book Antiqua" w:cs="Book Antiqua"/>
          <w:color w:val="000000"/>
        </w:rPr>
        <w:t>This case report involves a 77-year-old Chinese ma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admitted to our hospital for recurrent shortness of breath for more than 9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History of present illness</w:t>
      </w:r>
    </w:p>
    <w:p w:rsidR="0076119A" w:rsidRDefault="00A06540">
      <w:pPr>
        <w:spacing w:line="360" w:lineRule="auto"/>
        <w:jc w:val="both"/>
      </w:pPr>
      <w:r>
        <w:rPr>
          <w:rFonts w:ascii="Book Antiqua" w:eastAsia="宋体" w:hAnsi="Book Antiqua" w:cs="Book Antiqua" w:hint="eastAsia"/>
          <w:color w:val="000000"/>
          <w:lang w:eastAsia="zh-CN"/>
        </w:rPr>
        <w:t>The man</w:t>
      </w:r>
      <w:r>
        <w:rPr>
          <w:rFonts w:ascii="Book Antiqua" w:eastAsia="Book Antiqua" w:hAnsi="Book Antiqua" w:cs="Book Antiqua"/>
          <w:color w:val="000000"/>
        </w:rPr>
        <w:t xml:space="preserve"> was admitted to a local hospital for shortness of breath since February 2017. No clear diagnosis was made, and he was treated (the medication is unknown), but the symptom was recurrent. He felt worse and went to our hospital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and was successively admitted to the Department of Cardiology and Respiratory. </w:t>
      </w:r>
      <w:r>
        <w:rPr>
          <w:rFonts w:ascii="Book Antiqua" w:eastAsia="宋体" w:hAnsi="Book Antiqua" w:cs="Book Antiqua" w:hint="eastAsia"/>
          <w:color w:val="000000"/>
          <w:lang w:eastAsia="zh-CN"/>
        </w:rPr>
        <w:t>Laboratory examination</w:t>
      </w:r>
      <w:r>
        <w:rPr>
          <w:rFonts w:ascii="Book Antiqua" w:eastAsia="Book Antiqua" w:hAnsi="Book Antiqua" w:cs="Book Antiqua"/>
          <w:color w:val="000000"/>
        </w:rPr>
        <w:t xml:space="preserve"> showed mild renal insufficiency with serum creatinine (</w:t>
      </w:r>
      <w:proofErr w:type="spellStart"/>
      <w:r>
        <w:rPr>
          <w:rFonts w:ascii="Book Antiqua" w:eastAsia="Book Antiqua" w:hAnsi="Book Antiqua" w:cs="Book Antiqua"/>
          <w:color w:val="000000"/>
        </w:rPr>
        <w:t>Scr</w:t>
      </w:r>
      <w:proofErr w:type="spellEnd"/>
      <w:r>
        <w:rPr>
          <w:rFonts w:ascii="Book Antiqua" w:eastAsia="Book Antiqua" w:hAnsi="Book Antiqua" w:cs="Book Antiqua"/>
          <w:color w:val="000000"/>
        </w:rPr>
        <w:t>) at 113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at 83 g/L, was present. Urinalysis revealed microscopic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xml:space="preserve">, but the urine protein was negative. </w:t>
      </w:r>
      <w:r>
        <w:rPr>
          <w:rFonts w:ascii="Book Antiqua" w:eastAsia="Book Antiqua" w:hAnsi="Book Antiqua" w:cs="Book Antiqua"/>
          <w:color w:val="000000"/>
          <w:szCs w:val="21"/>
        </w:rPr>
        <w:t>Computed tomography</w:t>
      </w:r>
      <w:r>
        <w:rPr>
          <w:rFonts w:ascii="Book Antiqua" w:eastAsia="Book Antiqua" w:hAnsi="Book Antiqua" w:cs="Book Antiqua"/>
          <w:color w:val="000000"/>
        </w:rPr>
        <w:t xml:space="preserve"> (CT) of the chest showed right pleural effusion. For a correct diagnosis, the patient subsequently underwent thoracentesis and pleural biopsy. The hydrothorax was exudative, and the histological examination showed chronic inflammation. On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immunological tests revealed </w:t>
      </w:r>
      <w:r>
        <w:rPr>
          <w:rFonts w:ascii="Book Antiqua" w:eastAsia="Book Antiqua" w:hAnsi="Book Antiqua" w:cs="Book Antiqua"/>
          <w:color w:val="000000"/>
          <w:szCs w:val="21"/>
        </w:rPr>
        <w:t>antinuclear antibodies</w:t>
      </w:r>
      <w:r>
        <w:rPr>
          <w:rFonts w:ascii="Book Antiqua" w:eastAsia="Book Antiqua" w:hAnsi="Book Antiqua" w:cs="Book Antiqua"/>
          <w:color w:val="000000"/>
        </w:rPr>
        <w:t xml:space="preserve"> (ANA) and anti-</w:t>
      </w:r>
      <w:r>
        <w:rPr>
          <w:rFonts w:ascii="Book Antiqua" w:eastAsia="Book Antiqua" w:hAnsi="Book Antiqua" w:cs="Book Antiqua"/>
          <w:color w:val="000000"/>
        </w:rPr>
        <w:lastRenderedPageBreak/>
        <w:t>dsDNA antibody positivity, and myeloperoxidase (MPO)-</w:t>
      </w:r>
      <w:proofErr w:type="spellStart"/>
      <w:r>
        <w:rPr>
          <w:rFonts w:ascii="Book Antiqua" w:eastAsia="Book Antiqua" w:hAnsi="Book Antiqua" w:cs="Book Antiqua"/>
          <w:color w:val="000000"/>
          <w:szCs w:val="21"/>
        </w:rPr>
        <w:t>antineutrophil</w:t>
      </w:r>
      <w:proofErr w:type="spellEnd"/>
      <w:r>
        <w:rPr>
          <w:rFonts w:ascii="Book Antiqua" w:eastAsia="Book Antiqua" w:hAnsi="Book Antiqua" w:cs="Book Antiqua"/>
          <w:color w:val="000000"/>
          <w:szCs w:val="21"/>
        </w:rPr>
        <w:t xml:space="preserve"> cytoplasmic antibody</w:t>
      </w:r>
      <w:r>
        <w:rPr>
          <w:rFonts w:ascii="Book Antiqua" w:eastAsia="Book Antiqua" w:hAnsi="Book Antiqua" w:cs="Book Antiqua"/>
          <w:color w:val="000000"/>
        </w:rPr>
        <w:t xml:space="preserve"> (ANCA) was detected at 133 AU/mL using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For further treatment, the patient went to a chest hospital and received nonspecific therapies. As his symptoms were not completely relieved in November 2017, he came to our hospital again.</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History of past illness</w:t>
      </w:r>
    </w:p>
    <w:p w:rsidR="0076119A" w:rsidRDefault="00A06540">
      <w:pPr>
        <w:spacing w:line="360" w:lineRule="auto"/>
        <w:jc w:val="both"/>
      </w:pPr>
      <w:r>
        <w:rPr>
          <w:rFonts w:ascii="Book Antiqua" w:eastAsia="Book Antiqua" w:hAnsi="Book Antiqua" w:cs="Book Antiqua"/>
          <w:color w:val="000000"/>
        </w:rPr>
        <w:t>He had no history of coronary heart disease, metabolic disease, rheumatic disease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liver disease, but had over 50 years of water pipes smoking history.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Personal and family history</w:t>
      </w:r>
    </w:p>
    <w:p w:rsidR="0076119A" w:rsidRDefault="00A06540">
      <w:pPr>
        <w:spacing w:line="360" w:lineRule="auto"/>
        <w:jc w:val="both"/>
      </w:pPr>
      <w:r>
        <w:rPr>
          <w:rFonts w:ascii="Book Antiqua" w:eastAsia="Book Antiqua" w:hAnsi="Book Antiqua" w:cs="Book Antiqua"/>
          <w:color w:val="000000"/>
        </w:rPr>
        <w:t>He has no special personal and family history.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Physical examination</w:t>
      </w:r>
    </w:p>
    <w:p w:rsidR="0076119A" w:rsidRDefault="00A06540">
      <w:pPr>
        <w:spacing w:line="360" w:lineRule="auto"/>
        <w:jc w:val="both"/>
      </w:pPr>
      <w:r>
        <w:rPr>
          <w:rFonts w:ascii="Book Antiqua" w:eastAsia="Book Antiqua" w:hAnsi="Book Antiqua" w:cs="Book Antiqua"/>
          <w:color w:val="000000"/>
        </w:rPr>
        <w:t>His blood pressure, heart rate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temperature were normal. A moderate </w:t>
      </w:r>
      <w:proofErr w:type="spellStart"/>
      <w:r>
        <w:rPr>
          <w:rFonts w:ascii="Book Antiqua" w:eastAsia="Book Antiqua" w:hAnsi="Book Antiqua" w:cs="Book Antiqua"/>
          <w:color w:val="000000"/>
        </w:rPr>
        <w:t>anaemic</w:t>
      </w:r>
      <w:proofErr w:type="spellEnd"/>
      <w:r>
        <w:rPr>
          <w:rFonts w:ascii="Book Antiqua" w:eastAsia="Book Antiqua" w:hAnsi="Book Antiqua" w:cs="Book Antiqua"/>
          <w:color w:val="000000"/>
        </w:rPr>
        <w:t xml:space="preserve"> appearance and decreased breathing sounds in the right lower lung were noted. Heart auscultation and abdominal examination were normal. No pitting </w:t>
      </w:r>
      <w:proofErr w:type="spellStart"/>
      <w:r>
        <w:rPr>
          <w:rFonts w:ascii="Book Antiqua" w:eastAsia="Book Antiqua" w:hAnsi="Book Antiqua" w:cs="Book Antiqua"/>
          <w:color w:val="000000"/>
        </w:rPr>
        <w:t>oedema</w:t>
      </w:r>
      <w:proofErr w:type="spellEnd"/>
      <w:r>
        <w:rPr>
          <w:rFonts w:ascii="Book Antiqua" w:eastAsia="Book Antiqua" w:hAnsi="Book Antiqua" w:cs="Book Antiqua"/>
          <w:color w:val="000000"/>
        </w:rPr>
        <w:t xml:space="preserve"> in the extremities was detected. He had no skin involvement, lymphadenopathy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synovitis.</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Laboratory examinations</w:t>
      </w:r>
    </w:p>
    <w:p w:rsidR="0076119A" w:rsidRDefault="00A06540">
      <w:pPr>
        <w:spacing w:line="360" w:lineRule="auto"/>
        <w:jc w:val="both"/>
      </w:pPr>
      <w:r>
        <w:rPr>
          <w:rFonts w:ascii="Book Antiqua" w:eastAsia="Book Antiqua" w:hAnsi="Book Antiqua" w:cs="Book Antiqua"/>
          <w:color w:val="000000"/>
        </w:rPr>
        <w:t xml:space="preserve">On admission, serum laboratory results revealed the following values: </w:t>
      </w:r>
      <w:proofErr w:type="spellStart"/>
      <w:r>
        <w:rPr>
          <w:rFonts w:ascii="Book Antiqua" w:eastAsia="宋体" w:hAnsi="Book Antiqua" w:cs="Book Antiqua" w:hint="eastAsia"/>
          <w:color w:val="000000"/>
          <w:lang w:eastAsia="zh-CN"/>
        </w:rPr>
        <w:t>H</w:t>
      </w:r>
      <w:r>
        <w:rPr>
          <w:rFonts w:ascii="Book Antiqua" w:eastAsia="Book Antiqua" w:hAnsi="Book Antiqua" w:cs="Book Antiqua"/>
          <w:color w:val="000000"/>
        </w:rPr>
        <w:t>aemoglobin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57 g/L; white blood cells, 5.9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platelets, 156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Scr</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310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 serum albumin, 39 g/L; complement C3, 0.72 g/L; C4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0.17 g/L; C-reactive protein, 32.1 mg/L. Liver function was normal. </w:t>
      </w:r>
      <w:r>
        <w:rPr>
          <w:rFonts w:ascii="Book Antiqua" w:eastAsia="宋体" w:hAnsi="Book Antiqua" w:cs="Book Antiqua" w:hint="eastAsia"/>
          <w:color w:val="000000"/>
          <w:lang w:eastAsia="zh-CN"/>
        </w:rPr>
        <w:t xml:space="preserve">The patient was positive for </w:t>
      </w:r>
      <w:r>
        <w:rPr>
          <w:rFonts w:ascii="Book Antiqua" w:eastAsia="Book Antiqua" w:hAnsi="Book Antiqua" w:cs="Book Antiqua"/>
          <w:color w:val="000000"/>
        </w:rPr>
        <w:t>ANA and anti-dsDNA antibod</w:t>
      </w:r>
      <w:r>
        <w:rPr>
          <w:rFonts w:ascii="Book Antiqua" w:eastAsia="宋体" w:hAnsi="Book Antiqua" w:cs="Book Antiqua" w:hint="eastAsia"/>
          <w:color w:val="000000"/>
          <w:lang w:eastAsia="zh-CN"/>
        </w:rPr>
        <w:t>ies</w:t>
      </w:r>
      <w:r>
        <w:rPr>
          <w:rFonts w:ascii="Book Antiqua" w:eastAsia="Book Antiqua" w:hAnsi="Book Antiqua" w:cs="Book Antiqua"/>
          <w:color w:val="000000"/>
        </w:rPr>
        <w:t xml:space="preserve">. MPO-ANCA was detected at 180.62 AU/mL using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cANCA</w:t>
      </w:r>
      <w:proofErr w:type="spellEnd"/>
      <w:r>
        <w:rPr>
          <w:rFonts w:ascii="Book Antiqua" w:eastAsia="Book Antiqua" w:hAnsi="Book Antiqua" w:cs="Book Antiqua"/>
          <w:color w:val="000000"/>
        </w:rPr>
        <w:t xml:space="preserve"> was positive by indirect immunofluorescence. Proteinase (PR3)-ANCA and </w:t>
      </w:r>
      <w:proofErr w:type="spellStart"/>
      <w:r>
        <w:rPr>
          <w:rFonts w:ascii="Book Antiqua" w:eastAsia="Book Antiqua" w:hAnsi="Book Antiqua" w:cs="Book Antiqua"/>
          <w:color w:val="000000"/>
        </w:rPr>
        <w:t>pANCA</w:t>
      </w:r>
      <w:proofErr w:type="spellEnd"/>
      <w:r>
        <w:rPr>
          <w:rFonts w:ascii="Book Antiqua" w:eastAsia="Book Antiqua" w:hAnsi="Book Antiqua" w:cs="Book Antiqua"/>
          <w:color w:val="000000"/>
        </w:rPr>
        <w:t xml:space="preserve"> were normal. We detected no anti-glomerular basement membrane or anti-phospholipase A2 receptor antibodies. Urinalysis revealed glomerular proteinuria (24-h urine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0.887 g/d) and microscopic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Imaging examinations</w:t>
      </w:r>
    </w:p>
    <w:p w:rsidR="0076119A" w:rsidRDefault="00A06540">
      <w:pPr>
        <w:spacing w:line="360" w:lineRule="auto"/>
        <w:jc w:val="both"/>
      </w:pPr>
      <w:r>
        <w:rPr>
          <w:rFonts w:ascii="Book Antiqua" w:eastAsia="Book Antiqua" w:hAnsi="Book Antiqua" w:cs="Book Antiqua"/>
          <w:color w:val="000000"/>
        </w:rPr>
        <w:t>CT of the chest showed right pleural effusion, and Doppler echocardiography indicated decreased left ventricular diastolic dysfunction and moderate pulmonary hypertension. Kidney ultrasound examination revealed normal-sized kidneys, renal cysts, and right kidney stones, with obstruction excluded.</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i/>
          <w:color w:val="000000"/>
        </w:rPr>
        <w:t>Renal biopsy</w:t>
      </w:r>
    </w:p>
    <w:p w:rsidR="0076119A" w:rsidRDefault="00A06540">
      <w:pPr>
        <w:spacing w:line="360" w:lineRule="auto"/>
        <w:jc w:val="both"/>
      </w:pPr>
      <w:r>
        <w:rPr>
          <w:rFonts w:ascii="Book Antiqua" w:eastAsia="Book Antiqua" w:hAnsi="Book Antiqua" w:cs="Book Antiqua"/>
          <w:color w:val="000000"/>
        </w:rPr>
        <w:t xml:space="preserve">Lymph nodes or AVV was considered, leading us to perform a renal biopsy. Histological examination of the renal biopsy demonstrated 36 glomeruli, </w:t>
      </w:r>
      <w:r>
        <w:rPr>
          <w:rFonts w:ascii="Book Antiqua" w:eastAsia="宋体" w:hAnsi="Book Antiqua" w:cs="Book Antiqua" w:hint="eastAsia"/>
          <w:color w:val="000000"/>
          <w:lang w:eastAsia="zh-CN"/>
        </w:rPr>
        <w:t xml:space="preserve">of which </w:t>
      </w:r>
      <w:r>
        <w:rPr>
          <w:rFonts w:ascii="Book Antiqua" w:eastAsia="Book Antiqua" w:hAnsi="Book Antiqua" w:cs="Book Antiqua"/>
          <w:color w:val="000000"/>
        </w:rPr>
        <w:t>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globally sclerotic and 14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crescent, including 3 cellular, 1 fibro-cellular, 8 fibrous, 1 small cellular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1 small fibro-cellular, with some lesions of capillary </w:t>
      </w:r>
      <w:proofErr w:type="spellStart"/>
      <w:r>
        <w:rPr>
          <w:rFonts w:ascii="Book Antiqua" w:eastAsia="Book Antiqua" w:hAnsi="Book Antiqua" w:cs="Book Antiqua"/>
          <w:color w:val="000000"/>
        </w:rPr>
        <w:t>fibrinoid</w:t>
      </w:r>
      <w:proofErr w:type="spellEnd"/>
      <w:r>
        <w:rPr>
          <w:rFonts w:ascii="Book Antiqua" w:eastAsia="Book Antiqua" w:hAnsi="Book Antiqua" w:cs="Book Antiqua"/>
          <w:color w:val="000000"/>
        </w:rPr>
        <w:t xml:space="preserve"> necrosis (Figure 1). No marked mesangial cell proliferation, matrix proliferation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fuchsinophilic</w:t>
      </w:r>
      <w:proofErr w:type="spellEnd"/>
      <w:r>
        <w:rPr>
          <w:rFonts w:ascii="Book Antiqua" w:eastAsia="Book Antiqua" w:hAnsi="Book Antiqua" w:cs="Book Antiqua"/>
          <w:color w:val="000000"/>
        </w:rPr>
        <w:t xml:space="preserve"> protein deposits were found in the remaining glomeruli. Part of the interstitial region was infiltrated with inflammatory cells. </w:t>
      </w:r>
      <w:proofErr w:type="spellStart"/>
      <w:r>
        <w:rPr>
          <w:rFonts w:ascii="Book Antiqua" w:eastAsia="Book Antiqua" w:hAnsi="Book Antiqua" w:cs="Book Antiqua"/>
          <w:color w:val="000000"/>
        </w:rPr>
        <w:t>Immunohistology</w:t>
      </w:r>
      <w:proofErr w:type="spellEnd"/>
      <w:r>
        <w:rPr>
          <w:rFonts w:ascii="Book Antiqua" w:eastAsia="Book Antiqua" w:hAnsi="Book Antiqua" w:cs="Book Antiqua"/>
          <w:color w:val="000000"/>
        </w:rPr>
        <w:t xml:space="preserve"> showed negativity for immunoglobulin (Ig) M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IgA, IgG, C3</w:t>
      </w:r>
      <w:r>
        <w:rPr>
          <w:rFonts w:ascii="Book Antiqua" w:eastAsia="宋体" w:hAnsi="Book Antiqua" w:cs="Book Antiqua" w:hint="eastAsia"/>
          <w:color w:val="000000"/>
          <w:lang w:eastAsia="zh-CN"/>
        </w:rPr>
        <w:t>,</w:t>
      </w:r>
      <w:r>
        <w:rPr>
          <w:rFonts w:ascii="Book Antiqua" w:eastAsia="Book Antiqua" w:hAnsi="Book Antiqua" w:cs="Book Antiqua"/>
          <w:color w:val="000000"/>
        </w:rPr>
        <w:t> and C1q. Vacuolar degeneration in endothelial cells was </w:t>
      </w:r>
      <w:r>
        <w:rPr>
          <w:rFonts w:ascii="Book Antiqua" w:eastAsia="宋体" w:hAnsi="Book Antiqua" w:cs="Book Antiqua" w:hint="eastAsia"/>
          <w:color w:val="000000"/>
          <w:lang w:eastAsia="zh-CN"/>
        </w:rPr>
        <w:t>observed</w:t>
      </w:r>
      <w:r>
        <w:rPr>
          <w:rFonts w:ascii="Book Antiqua" w:eastAsia="Book Antiqua" w:hAnsi="Book Antiqua" w:cs="Book Antiqua"/>
          <w:color w:val="000000"/>
        </w:rPr>
        <w:t xml:space="preserve"> by electron microscopy, and </w:t>
      </w:r>
      <w:proofErr w:type="gramStart"/>
      <w:r>
        <w:rPr>
          <w:rFonts w:ascii="Book Antiqua" w:eastAsia="Book Antiqua" w:hAnsi="Book Antiqua" w:cs="Book Antiqua"/>
          <w:color w:val="000000"/>
        </w:rPr>
        <w:t>part of the glomerular capillary loops were</w:t>
      </w:r>
      <w:proofErr w:type="gramEnd"/>
      <w:r>
        <w:rPr>
          <w:rFonts w:ascii="Book Antiqua" w:eastAsia="Book Antiqua" w:hAnsi="Book Antiqua" w:cs="Book Antiqua"/>
          <w:color w:val="000000"/>
        </w:rPr>
        <w:t xml:space="preserve"> compressed.</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FINAL DIAGNOSIS</w:t>
      </w:r>
    </w:p>
    <w:p w:rsidR="0076119A" w:rsidRDefault="00A06540">
      <w:pPr>
        <w:spacing w:line="360" w:lineRule="auto"/>
        <w:jc w:val="both"/>
      </w:pPr>
      <w:r>
        <w:rPr>
          <w:rFonts w:ascii="Book Antiqua" w:eastAsia="Book Antiqua" w:hAnsi="Book Antiqua" w:cs="Book Antiqua"/>
          <w:color w:val="000000"/>
        </w:rPr>
        <w:t>We corrected the previous diagnosis result to SLE and AAV overlap syndrome.</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TREATMENT</w:t>
      </w:r>
    </w:p>
    <w:p w:rsidR="0076119A" w:rsidRDefault="00A06540">
      <w:pPr>
        <w:spacing w:line="360" w:lineRule="auto"/>
        <w:jc w:val="both"/>
      </w:pPr>
      <w:r>
        <w:rPr>
          <w:rFonts w:ascii="Book Antiqua" w:eastAsia="Book Antiqua" w:hAnsi="Book Antiqua" w:cs="Book Antiqua"/>
          <w:color w:val="000000"/>
        </w:rPr>
        <w:t xml:space="preserve">As the diagnosis was clear, we started injections of methylprednisolone (500 mg/d, 3 d in total), </w:t>
      </w:r>
      <w:r>
        <w:rPr>
          <w:rFonts w:ascii="Book Antiqua" w:eastAsia="Book Antiqua" w:hAnsi="Book Antiqua" w:cs="Book Antiqua"/>
          <w:color w:val="000000"/>
          <w:szCs w:val="21"/>
        </w:rPr>
        <w:t>cyclophosphamide</w:t>
      </w:r>
      <w:r>
        <w:rPr>
          <w:rFonts w:ascii="Book Antiqua" w:eastAsia="Book Antiqua" w:hAnsi="Book Antiqua" w:cs="Book Antiqua"/>
          <w:color w:val="000000"/>
        </w:rPr>
        <w:t xml:space="preserve"> (CTX) (0.4 g/d, 2 d in total)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γ-globin (15 g/d, 5 d in total). Plasmapheresis (double plasmapheresis, exchange dosage: 800 mL fresh frozen plasma) and continuous renal replacement therapy were immediately initiated. Although MPO-ANCA did not decrease apparently after </w:t>
      </w:r>
      <w:r>
        <w:rPr>
          <w:rFonts w:ascii="Book Antiqua" w:eastAsia="宋体" w:hAnsi="Book Antiqua" w:cs="Book Antiqua" w:hint="eastAsia"/>
          <w:color w:val="000000"/>
          <w:lang w:eastAsia="zh-CN"/>
        </w:rPr>
        <w:t>five</w:t>
      </w:r>
      <w:r>
        <w:rPr>
          <w:rFonts w:ascii="Book Antiqua" w:eastAsia="Book Antiqua" w:hAnsi="Book Antiqua" w:cs="Book Antiqua"/>
          <w:color w:val="000000"/>
        </w:rPr>
        <w:t xml:space="preserve"> plasmapheresis sessions, </w:t>
      </w:r>
      <w:r>
        <w:rPr>
          <w:rFonts w:ascii="Book Antiqua" w:eastAsia="Book Antiqua" w:hAnsi="Book Antiqua" w:cs="Book Antiqua"/>
          <w:color w:val="000000"/>
        </w:rPr>
        <w:lastRenderedPageBreak/>
        <w:t xml:space="preserve">the patient’s condition improved, the reexamination image was also evidently promoted, and the value of </w:t>
      </w:r>
      <w:proofErr w:type="spellStart"/>
      <w:r>
        <w:rPr>
          <w:rFonts w:ascii="Book Antiqua" w:eastAsia="Book Antiqua" w:hAnsi="Book Antiqua" w:cs="Book Antiqua"/>
          <w:color w:val="000000"/>
        </w:rPr>
        <w:t>Scr</w:t>
      </w:r>
      <w:proofErr w:type="spellEnd"/>
      <w:r>
        <w:rPr>
          <w:rFonts w:ascii="Book Antiqua" w:eastAsia="Book Antiqua" w:hAnsi="Book Antiqua" w:cs="Book Antiqua"/>
          <w:color w:val="000000"/>
        </w:rPr>
        <w:t xml:space="preserve"> was stable </w:t>
      </w:r>
      <w:proofErr w:type="gramStart"/>
      <w:r>
        <w:rPr>
          <w:rFonts w:ascii="Book Antiqua" w:eastAsia="Book Antiqua" w:hAnsi="Book Antiqua" w:cs="Book Antiqua"/>
          <w:color w:val="000000"/>
        </w:rPr>
        <w:t>at approximately 270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w:t>
      </w:r>
      <w:proofErr w:type="gramEnd"/>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OUTCOME AND FOLLOW-UP</w:t>
      </w:r>
    </w:p>
    <w:p w:rsidR="0076119A" w:rsidRDefault="00A06540">
      <w:pPr>
        <w:spacing w:line="360" w:lineRule="auto"/>
        <w:jc w:val="both"/>
      </w:pPr>
      <w:r>
        <w:rPr>
          <w:rFonts w:ascii="Book Antiqua" w:eastAsia="Book Antiqua" w:hAnsi="Book Antiqua" w:cs="Book Antiqua"/>
          <w:color w:val="000000"/>
        </w:rPr>
        <w:t xml:space="preserve">After being discharged, the patient was maintained on tapering PO doses of prednisone that was eventually suspended one year later. He was administered </w:t>
      </w:r>
      <w:r>
        <w:rPr>
          <w:rFonts w:ascii="Book Antiqua" w:eastAsia="宋体" w:hAnsi="Book Antiqua" w:cs="Book Antiqua" w:hint="eastAsia"/>
          <w:color w:val="000000"/>
          <w:lang w:eastAsia="zh-CN"/>
        </w:rPr>
        <w:t>nine</w:t>
      </w:r>
      <w:r>
        <w:rPr>
          <w:rFonts w:ascii="Book Antiqua" w:eastAsia="Book Antiqua" w:hAnsi="Book Antiqua" w:cs="Book Antiqua"/>
          <w:color w:val="000000"/>
        </w:rPr>
        <w:t xml:space="preserve"> courses of 800 mg intravenous CTX (7.2 g in total) and was transitioned to oral daily azathioprine (100 mg), which continues to date. Further results, including urine protein-to-creatinine ratio, urinary erythrocyte, </w:t>
      </w:r>
      <w:proofErr w:type="spellStart"/>
      <w:r>
        <w:rPr>
          <w:rFonts w:ascii="Book Antiqua" w:eastAsia="Book Antiqua" w:hAnsi="Book Antiqua" w:cs="Book Antiqua"/>
          <w:color w:val="000000"/>
        </w:rPr>
        <w:t>Scr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images, revealed effective relief (Figures 2 and 3).</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DISCUSSION</w:t>
      </w:r>
    </w:p>
    <w:p w:rsidR="0076119A" w:rsidRDefault="00A065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SLE and AAV are classically thought to cause renal impairment and small vessel vasculitis with different </w:t>
      </w:r>
      <w:proofErr w:type="spellStart"/>
      <w:r>
        <w:rPr>
          <w:rFonts w:ascii="Book Antiqua" w:eastAsia="Book Antiqua" w:hAnsi="Book Antiqua" w:cs="Book Antiqua"/>
          <w:color w:val="000000"/>
        </w:rPr>
        <w:t>pathophysiologies</w:t>
      </w:r>
      <w:proofErr w:type="spellEnd"/>
      <w:r>
        <w:rPr>
          <w:rFonts w:ascii="Book Antiqua" w:eastAsia="Book Antiqua" w:hAnsi="Book Antiqua" w:cs="Book Antiqua"/>
          <w:color w:val="000000"/>
        </w:rPr>
        <w:t xml:space="preserve">. Both affect the kidneys, but the mechanism of SLE involves massive deposition of immune complexes under the endothelium of glomerular capillaries. It is a classical immune complex-mediated kidney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contrast, AAV leads to necrotizing and crescentic glomerulonephritis without immune complex </w:t>
      </w:r>
      <w:proofErr w:type="gramStart"/>
      <w:r>
        <w:rPr>
          <w:rFonts w:ascii="Book Antiqua" w:eastAsia="Book Antiqua" w:hAnsi="Book Antiqua" w:cs="Book Antiqua"/>
          <w:color w:val="000000"/>
        </w:rPr>
        <w:t>deposition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76119A" w:rsidRDefault="00A065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SLE and AAV overlap syndrome was first described in 1997. It is typically seen in women of childbearing age. Our case is unique because to our knowledge, this overlap is rarely observed in older m</w:t>
      </w:r>
      <w:r>
        <w:rPr>
          <w:rFonts w:ascii="Book Antiqua" w:eastAsia="宋体" w:hAnsi="Book Antiqua" w:cs="Book Antiqua" w:hint="eastAsia"/>
          <w:color w:val="000000"/>
          <w:lang w:eastAsia="zh-CN"/>
        </w:rPr>
        <w:t>en</w:t>
      </w:r>
      <w:r>
        <w:rPr>
          <w:rFonts w:ascii="Book Antiqua" w:eastAsia="Book Antiqua" w:hAnsi="Book Antiqua" w:cs="Book Antiqua"/>
          <w:color w:val="000000"/>
        </w:rPr>
        <w:t xml:space="preserve"> with biopsy-proven GN worldwide. The clinical manifestations of this patient were multisystem involvement, the associated autoantibodies were positive, and the histological examination of the renal biopsy revealed AAV-renal impairment. After assessment, the case fulfilled both SLE and AAV classification criteria.</w:t>
      </w:r>
    </w:p>
    <w:p w:rsidR="0076119A" w:rsidRDefault="00A065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Many factors have been known to cause SLE, including smoking, </w:t>
      </w:r>
      <w:proofErr w:type="gramStart"/>
      <w:r>
        <w:rPr>
          <w:rFonts w:ascii="Book Antiqua" w:eastAsia="Book Antiqua" w:hAnsi="Book Antiqua" w:cs="Book Antiqua"/>
          <w:color w:val="000000"/>
        </w:rPr>
        <w:t>alcohol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ultraviolet light</w:t>
      </w:r>
      <w:r>
        <w:rPr>
          <w:rFonts w:ascii="Book Antiqua" w:eastAsia="Book Antiqua" w:hAnsi="Book Antiqua" w:cs="Book Antiqua"/>
          <w:color w:val="000000"/>
          <w:vertAlign w:val="superscript"/>
        </w:rPr>
        <w:t>[7]</w:t>
      </w:r>
      <w:r>
        <w:rPr>
          <w:rFonts w:ascii="Book Antiqua" w:eastAsia="Book Antiqua" w:hAnsi="Book Antiqua" w:cs="Book Antiqua"/>
          <w:color w:val="000000"/>
        </w:rPr>
        <w:t>, virus infection</w:t>
      </w:r>
      <w:r>
        <w:rPr>
          <w:rFonts w:ascii="Book Antiqua" w:eastAsia="Book Antiqua" w:hAnsi="Book Antiqua" w:cs="Book Antiqua"/>
          <w:color w:val="000000"/>
          <w:vertAlign w:val="superscript"/>
        </w:rPr>
        <w:t>[8]</w:t>
      </w:r>
      <w:r>
        <w:rPr>
          <w:rFonts w:ascii="Book Antiqua" w:eastAsia="Book Antiqua" w:hAnsi="Book Antiqua" w:cs="Book Antiqua"/>
          <w:color w:val="000000"/>
        </w:rPr>
        <w:t>, certain drugs</w:t>
      </w:r>
      <w:r>
        <w:rPr>
          <w:rFonts w:ascii="Book Antiqua" w:eastAsia="Book Antiqua" w:hAnsi="Book Antiqua" w:cs="Book Antiqua"/>
          <w:color w:val="000000"/>
          <w:vertAlign w:val="superscript"/>
        </w:rPr>
        <w:t>[9]</w:t>
      </w:r>
      <w:r>
        <w:rPr>
          <w:rFonts w:ascii="Book Antiqua" w:eastAsia="Book Antiqua" w:hAnsi="Book Antiqua" w:cs="Book Antiqua"/>
          <w:color w:val="000000"/>
        </w:rPr>
        <w:t>, silica</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In this case, the patient was not exposed to intense ultraviolet light. There was no evidence to suggest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he was infected with viruses before the onset of this overlap syndrome. Procainamide, hydralazine, phenytoin sodium, isoniazid, </w:t>
      </w:r>
      <w:proofErr w:type="spellStart"/>
      <w:r>
        <w:rPr>
          <w:rFonts w:ascii="Book Antiqua" w:eastAsia="Book Antiqua" w:hAnsi="Book Antiqua" w:cs="Book Antiqua"/>
          <w:color w:val="000000"/>
        </w:rPr>
        <w:t>propylthiouracil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penicillamine</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w:t>
      </w:r>
      <w:r>
        <w:rPr>
          <w:rFonts w:ascii="Book Antiqua" w:eastAsia="Book Antiqua" w:hAnsi="Book Antiqua" w:cs="Book Antiqua"/>
          <w:color w:val="000000"/>
        </w:rPr>
        <w:lastRenderedPageBreak/>
        <w:t xml:space="preserve">special drugs have not been taken recently. However, given his water pipes smoking history, we suspect that it might be a potential trigger for SLE. Like SLE, there are a number of factors that contribute to serum ANCA positivity. </w:t>
      </w:r>
      <w:r w:rsidRPr="00C67118">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is a common bacterium that has been implicated in the genesis of </w:t>
      </w:r>
      <w:proofErr w:type="gramStart"/>
      <w:r>
        <w:rPr>
          <w:rFonts w:ascii="Book Antiqua" w:eastAsia="Book Antiqua" w:hAnsi="Book Antiqua" w:cs="Book Antiqua"/>
          <w:color w:val="000000"/>
        </w:rPr>
        <w:t>ANCAs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Cigarette smoking and drugs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we mentioned above are also involved in inducing ANCA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There was no evidence that this patient had been infected with bacteria according to the physical examination upon admission. Therefore, in this case, water pipes smoking seems to be the common cause of SLE and ANCAs.</w:t>
      </w:r>
    </w:p>
    <w:p w:rsidR="0076119A" w:rsidRDefault="00A065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Corticosteroids, immunosuppressive agents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plasmapheresis are recommended as regular therapies for this overlap. In this case, a high dose of </w:t>
      </w:r>
      <w:r>
        <w:rPr>
          <w:rFonts w:ascii="Book Antiqua" w:eastAsia="Book Antiqua" w:hAnsi="Book Antiqua" w:cs="Book Antiqua"/>
          <w:color w:val="000000"/>
          <w:szCs w:val="21"/>
        </w:rPr>
        <w:t>glucocorticoid</w:t>
      </w:r>
      <w:r>
        <w:rPr>
          <w:rFonts w:ascii="Book Antiqua" w:eastAsia="Book Antiqua" w:hAnsi="Book Antiqua" w:cs="Book Antiqua"/>
          <w:color w:val="000000"/>
        </w:rPr>
        <w:t xml:space="preserve"> (GC) and CTX were given to diminish inflammation and prevent permanent organ damage. After we detected ANCA in the patient’s circulation, plasma exchange was used to rapidly remove the pathogenic autoantibodies and prevent the deterioration of renal function. When he was in complete remission, azathioprine was used after CTX withdrawal due to its lower toxicity. Further results, including urine protein, </w:t>
      </w:r>
      <w:proofErr w:type="spellStart"/>
      <w:r>
        <w:rPr>
          <w:rFonts w:ascii="Book Antiqua" w:eastAsia="Book Antiqua" w:hAnsi="Book Antiqua" w:cs="Book Antiqua"/>
          <w:color w:val="000000"/>
        </w:rPr>
        <w:t>Scr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images, showed effective relief in 3 years.</w:t>
      </w:r>
    </w:p>
    <w:p w:rsidR="0076119A" w:rsidRDefault="00A06540">
      <w:pPr>
        <w:spacing w:line="360" w:lineRule="auto"/>
        <w:ind w:firstLineChars="100" w:firstLine="240"/>
        <w:jc w:val="both"/>
      </w:pPr>
      <w:r>
        <w:rPr>
          <w:rFonts w:ascii="Book Antiqua" w:eastAsia="Book Antiqua" w:hAnsi="Book Antiqua" w:cs="Book Antiqua"/>
          <w:color w:val="000000"/>
        </w:rPr>
        <w:t xml:space="preserve">This case reveals that early diagnosis and timely treatment for this overlap syndrome are critical. The patient had been misdiagnosed and received nonspecific treatments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visiting our department. Thus, early diagnosis and proper treatments are crucial for renal function preservation. In addition, it is generally believed that elderly patients are vulnerable to the adverse effects of the GC to treat autoimmunological diseases. In a recent study, </w:t>
      </w:r>
      <w:proofErr w:type="spellStart"/>
      <w:r>
        <w:rPr>
          <w:rFonts w:ascii="Book Antiqua" w:eastAsia="Book Antiqua" w:hAnsi="Book Antiqua" w:cs="Book Antiqua"/>
          <w:color w:val="000000"/>
        </w:rPr>
        <w:t>Sada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divided the elderly AAV patients into three groups according to initial GC dose. They found that there were no statistically significant intergroup differences in remission or relapse, but serious infection developed more frequently in the high-dose group (prednisolone ≥ 0.8 mg/kg per day). Considering that the patient was elderly and prone to GC-related side effects such as serious infection and gastrointestinal bleeding, we treated him with only 0.5 g methylprednisolone QD for 3 d and achieved satisfactory results. Thus, a conservative dose for GC therapy may be an appropriate option for the elderly.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CONCLUSION</w:t>
      </w:r>
    </w:p>
    <w:p w:rsidR="0076119A" w:rsidRDefault="00A06540">
      <w:pPr>
        <w:spacing w:line="360" w:lineRule="auto"/>
        <w:jc w:val="both"/>
      </w:pPr>
      <w:r>
        <w:rPr>
          <w:rFonts w:ascii="Book Antiqua" w:eastAsia="Book Antiqua" w:hAnsi="Book Antiqua" w:cs="Book Antiqua"/>
          <w:color w:val="000000"/>
        </w:rPr>
        <w:t>In conclusion, SLE and AAV overlap syndrome is a rare autoimmune disease involving multiple systems. It usually damages small vessels and causes renal impairment. Due to the complexity of this disease, it is easily misdiagnosed. An accurate diagnosis and treatment at the earliest stage may significantly improve the patient’s condition and reduce irreversible organ injury.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olor w:val="000000"/>
        </w:rPr>
        <w:t>REFERENCES</w:t>
      </w:r>
    </w:p>
    <w:p w:rsidR="0076119A" w:rsidRDefault="00A0654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Marshall S</w:t>
      </w:r>
      <w:r>
        <w:rPr>
          <w:rFonts w:ascii="Book Antiqua" w:eastAsia="Book Antiqua" w:hAnsi="Book Antiqua" w:cs="Book Antiqua"/>
          <w:color w:val="000000"/>
        </w:rPr>
        <w:t xml:space="preserve">, Dressler R, </w:t>
      </w:r>
      <w:proofErr w:type="spellStart"/>
      <w:r>
        <w:rPr>
          <w:rFonts w:ascii="Book Antiqua" w:eastAsia="Book Antiqua" w:hAnsi="Book Antiqua" w:cs="Book Antiqua"/>
          <w:color w:val="000000"/>
        </w:rPr>
        <w:t>D'Agati</w:t>
      </w:r>
      <w:proofErr w:type="spellEnd"/>
      <w:r>
        <w:rPr>
          <w:rFonts w:ascii="Book Antiqua" w:eastAsia="Book Antiqua" w:hAnsi="Book Antiqua" w:cs="Book Antiqua"/>
          <w:color w:val="000000"/>
        </w:rPr>
        <w:t xml:space="preserve"> V. Membranous lupus nephritis with </w:t>
      </w:r>
      <w:proofErr w:type="spellStart"/>
      <w:r>
        <w:rPr>
          <w:rFonts w:ascii="Book Antiqua" w:eastAsia="Book Antiqua" w:hAnsi="Book Antiqua" w:cs="Book Antiqua"/>
          <w:color w:val="000000"/>
        </w:rPr>
        <w:t>antineutrophil</w:t>
      </w:r>
      <w:proofErr w:type="spellEnd"/>
      <w:r>
        <w:rPr>
          <w:rFonts w:ascii="Book Antiqua" w:eastAsia="Book Antiqua" w:hAnsi="Book Antiqua" w:cs="Book Antiqua"/>
          <w:color w:val="000000"/>
        </w:rPr>
        <w:t xml:space="preserve"> cytoplasmic antibody-associated segmental necrotizing and crescentic glomerulonephritis.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1997; </w:t>
      </w:r>
      <w:r>
        <w:rPr>
          <w:rFonts w:ascii="Book Antiqua" w:eastAsia="Book Antiqua" w:hAnsi="Book Antiqua" w:cs="Book Antiqua"/>
          <w:b/>
          <w:bCs/>
          <w:color w:val="000000"/>
        </w:rPr>
        <w:t>29</w:t>
      </w:r>
      <w:r>
        <w:rPr>
          <w:rFonts w:ascii="Book Antiqua" w:eastAsia="Book Antiqua" w:hAnsi="Book Antiqua" w:cs="Book Antiqua"/>
          <w:color w:val="000000"/>
        </w:rPr>
        <w:t>: 119-124 [PMID: 9002540 DOI: 10.1016/s0272-6386(97)90018-4]</w:t>
      </w:r>
    </w:p>
    <w:p w:rsidR="0076119A" w:rsidRDefault="00A0654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Jarrot</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Chiche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Hervier</w:t>
      </w:r>
      <w:proofErr w:type="spellEnd"/>
      <w:r>
        <w:rPr>
          <w:rFonts w:ascii="Book Antiqua" w:eastAsia="Book Antiqua" w:hAnsi="Book Antiqua" w:cs="Book Antiqua"/>
          <w:color w:val="000000"/>
        </w:rPr>
        <w:t xml:space="preserve"> B, Daniel L, </w:t>
      </w:r>
      <w:proofErr w:type="spellStart"/>
      <w:r>
        <w:rPr>
          <w:rFonts w:ascii="Book Antiqua" w:eastAsia="Book Antiqua" w:hAnsi="Book Antiqua" w:cs="Book Antiqua"/>
          <w:color w:val="000000"/>
        </w:rPr>
        <w:t>Vuiblet</w:t>
      </w:r>
      <w:proofErr w:type="spellEnd"/>
      <w:r>
        <w:rPr>
          <w:rFonts w:ascii="Book Antiqua" w:eastAsia="Book Antiqua" w:hAnsi="Book Antiqua" w:cs="Book Antiqua"/>
          <w:color w:val="000000"/>
        </w:rPr>
        <w:t xml:space="preserve"> V, Bardin N, </w:t>
      </w:r>
      <w:proofErr w:type="spellStart"/>
      <w:r>
        <w:rPr>
          <w:rFonts w:ascii="Book Antiqua" w:eastAsia="Book Antiqua" w:hAnsi="Book Antiqua" w:cs="Book Antiqua"/>
          <w:color w:val="000000"/>
        </w:rPr>
        <w:t>Bertin</w:t>
      </w:r>
      <w:proofErr w:type="spellEnd"/>
      <w:r>
        <w:rPr>
          <w:rFonts w:ascii="Book Antiqua" w:eastAsia="Book Antiqua" w:hAnsi="Book Antiqua" w:cs="Book Antiqua"/>
          <w:color w:val="000000"/>
        </w:rPr>
        <w:t xml:space="preserve"> D, Terrier B, </w:t>
      </w:r>
      <w:proofErr w:type="spellStart"/>
      <w:r>
        <w:rPr>
          <w:rFonts w:ascii="Book Antiqua" w:eastAsia="Book Antiqua" w:hAnsi="Book Antiqua" w:cs="Book Antiqua"/>
          <w:color w:val="000000"/>
        </w:rPr>
        <w:t>Amoura</w:t>
      </w:r>
      <w:proofErr w:type="spellEnd"/>
      <w:r>
        <w:rPr>
          <w:rFonts w:ascii="Book Antiqua" w:eastAsia="Book Antiqua" w:hAnsi="Book Antiqua" w:cs="Book Antiqua"/>
          <w:color w:val="000000"/>
        </w:rPr>
        <w:t xml:space="preserve"> Z, Andrés E, Rondeau E, </w:t>
      </w:r>
      <w:proofErr w:type="spellStart"/>
      <w:r>
        <w:rPr>
          <w:rFonts w:ascii="Book Antiqua" w:eastAsia="Book Antiqua" w:hAnsi="Book Antiqua" w:cs="Book Antiqua"/>
          <w:color w:val="000000"/>
        </w:rPr>
        <w:t>Hamidou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Pennaforte</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Halfon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Daugas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Dussol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Puéchal</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Kaplanski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Jourde-Chiche</w:t>
      </w:r>
      <w:proofErr w:type="spellEnd"/>
      <w:r>
        <w:rPr>
          <w:rFonts w:ascii="Book Antiqua" w:eastAsia="Book Antiqua" w:hAnsi="Book Antiqua" w:cs="Book Antiqua"/>
          <w:color w:val="000000"/>
        </w:rPr>
        <w:t xml:space="preserve"> N. Systemic Lupus Erythematosus and </w:t>
      </w:r>
      <w:proofErr w:type="spellStart"/>
      <w:r>
        <w:rPr>
          <w:rFonts w:ascii="Book Antiqua" w:eastAsia="Book Antiqua" w:hAnsi="Book Antiqua" w:cs="Book Antiqua"/>
          <w:color w:val="000000"/>
        </w:rPr>
        <w:t>Antineutrophil</w:t>
      </w:r>
      <w:proofErr w:type="spellEnd"/>
      <w:r>
        <w:rPr>
          <w:rFonts w:ascii="Book Antiqua" w:eastAsia="Book Antiqua" w:hAnsi="Book Antiqua" w:cs="Book Antiqua"/>
          <w:color w:val="000000"/>
        </w:rPr>
        <w:t xml:space="preserve"> Cytoplasmic Antibody-Associated Vasculitis Overlap Syndrome in Patients With Biopsy-Proven Glomerulonephritis.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e3748 [PMID: 27258503 DOI: 10.1097/MD.0000000000003748]</w:t>
      </w:r>
    </w:p>
    <w:p w:rsidR="0076119A" w:rsidRDefault="00A0654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Hervier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Hamidou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Haroche</w:t>
      </w:r>
      <w:proofErr w:type="spellEnd"/>
      <w:r>
        <w:rPr>
          <w:rFonts w:ascii="Book Antiqua" w:eastAsia="Book Antiqua" w:hAnsi="Book Antiqua" w:cs="Book Antiqua"/>
          <w:color w:val="000000"/>
        </w:rPr>
        <w:t xml:space="preserve"> J, Durant C, </w:t>
      </w:r>
      <w:proofErr w:type="spellStart"/>
      <w:r>
        <w:rPr>
          <w:rFonts w:ascii="Book Antiqua" w:eastAsia="Book Antiqua" w:hAnsi="Book Antiqua" w:cs="Book Antiqua"/>
          <w:color w:val="000000"/>
        </w:rPr>
        <w:t>Mathian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Amoura</w:t>
      </w:r>
      <w:proofErr w:type="spellEnd"/>
      <w:r>
        <w:rPr>
          <w:rFonts w:ascii="Book Antiqua" w:eastAsia="Book Antiqua" w:hAnsi="Book Antiqua" w:cs="Book Antiqua"/>
          <w:color w:val="000000"/>
        </w:rPr>
        <w:t xml:space="preserve"> Z. Systemic lupus erythematosus associated with ANCA-associated vasculitis: an overlapping syndrome?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3285-3290 [PMID: 21805174 DOI: 10.1007/s00296-011-2055-z]</w:t>
      </w:r>
    </w:p>
    <w:p w:rsidR="0076119A" w:rsidRDefault="00A0654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Kewalramani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Singh AK. </w:t>
      </w:r>
      <w:proofErr w:type="spellStart"/>
      <w:r>
        <w:rPr>
          <w:rFonts w:ascii="Book Antiqua" w:eastAsia="Book Antiqua" w:hAnsi="Book Antiqua" w:cs="Book Antiqua"/>
          <w:color w:val="000000"/>
        </w:rPr>
        <w:t>Immunopathogenesis</w:t>
      </w:r>
      <w:proofErr w:type="spellEnd"/>
      <w:r>
        <w:rPr>
          <w:rFonts w:ascii="Book Antiqua" w:eastAsia="Book Antiqua" w:hAnsi="Book Antiqua" w:cs="Book Antiqua"/>
          <w:color w:val="000000"/>
        </w:rPr>
        <w:t xml:space="preserve"> of lupus and lupus nephritis: recent insights.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Hypertens</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11</w:t>
      </w:r>
      <w:r>
        <w:rPr>
          <w:rFonts w:ascii="Book Antiqua" w:eastAsia="Book Antiqua" w:hAnsi="Book Antiqua" w:cs="Book Antiqua"/>
          <w:color w:val="000000"/>
        </w:rPr>
        <w:t>: 273-277 [PMID: 11981256 DOI: 10.1097/00041552-200205000-00002]</w:t>
      </w:r>
    </w:p>
    <w:p w:rsidR="0076119A" w:rsidRDefault="00A0654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Jennette</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Xiao H, Falk RJ. Pathogenesis of vascular inflammation by anti-neutrophil cytoplasmic antibodies.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1235-1242 [PMID: 16624929 DOI: 10.1681/ASN.2005101048]</w:t>
      </w:r>
    </w:p>
    <w:p w:rsidR="0076119A" w:rsidRDefault="00A06540">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Takvorian</w:t>
      </w:r>
      <w:proofErr w:type="spellEnd"/>
      <w:r>
        <w:rPr>
          <w:rFonts w:ascii="Book Antiqua" w:eastAsia="Book Antiqua" w:hAnsi="Book Antiqua" w:cs="Book Antiqua"/>
          <w:b/>
          <w:bCs/>
          <w:color w:val="000000"/>
        </w:rPr>
        <w:t xml:space="preserve"> SU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Merola</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Costenbader</w:t>
      </w:r>
      <w:proofErr w:type="spellEnd"/>
      <w:r>
        <w:rPr>
          <w:rFonts w:ascii="Book Antiqua" w:eastAsia="Book Antiqua" w:hAnsi="Book Antiqua" w:cs="Book Antiqua"/>
          <w:color w:val="000000"/>
        </w:rPr>
        <w:t xml:space="preserve"> KH. Cigarette smoking, alcohol consumption and risk of systemic lupus erythematosus.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537-544 [PMID: 24763538 DOI: 10.1177/0961203313501400]</w:t>
      </w:r>
    </w:p>
    <w:p w:rsidR="0076119A" w:rsidRDefault="00A0654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Simard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Costenbader</w:t>
      </w:r>
      <w:proofErr w:type="spellEnd"/>
      <w:r>
        <w:rPr>
          <w:rFonts w:ascii="Book Antiqua" w:eastAsia="Book Antiqua" w:hAnsi="Book Antiqua" w:cs="Book Antiqua"/>
          <w:color w:val="000000"/>
        </w:rPr>
        <w:t xml:space="preserve"> KH, Liang MH, </w:t>
      </w:r>
      <w:proofErr w:type="spellStart"/>
      <w:r>
        <w:rPr>
          <w:rFonts w:ascii="Book Antiqua" w:eastAsia="Book Antiqua" w:hAnsi="Book Antiqua" w:cs="Book Antiqua"/>
          <w:color w:val="000000"/>
        </w:rPr>
        <w:t>Karlson</w:t>
      </w:r>
      <w:proofErr w:type="spellEnd"/>
      <w:r>
        <w:rPr>
          <w:rFonts w:ascii="Book Antiqua" w:eastAsia="Book Antiqua" w:hAnsi="Book Antiqua" w:cs="Book Antiqua"/>
          <w:color w:val="000000"/>
        </w:rPr>
        <w:t xml:space="preserve"> EW, </w:t>
      </w:r>
      <w:proofErr w:type="spellStart"/>
      <w:r>
        <w:rPr>
          <w:rFonts w:ascii="Book Antiqua" w:eastAsia="Book Antiqua" w:hAnsi="Book Antiqua" w:cs="Book Antiqua"/>
          <w:color w:val="000000"/>
        </w:rPr>
        <w:t>Mittleman</w:t>
      </w:r>
      <w:proofErr w:type="spellEnd"/>
      <w:r>
        <w:rPr>
          <w:rFonts w:ascii="Book Antiqua" w:eastAsia="Book Antiqua" w:hAnsi="Book Antiqua" w:cs="Book Antiqua"/>
          <w:color w:val="000000"/>
        </w:rPr>
        <w:t xml:space="preserve"> MA. Exposure to maternal smoking and incident SLE in a prospective cohort study.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2009; </w:t>
      </w:r>
      <w:r>
        <w:rPr>
          <w:rFonts w:ascii="Book Antiqua" w:eastAsia="Book Antiqua" w:hAnsi="Book Antiqua" w:cs="Book Antiqua"/>
          <w:b/>
          <w:bCs/>
          <w:color w:val="000000"/>
        </w:rPr>
        <w:t>18</w:t>
      </w:r>
      <w:r>
        <w:rPr>
          <w:rFonts w:ascii="Book Antiqua" w:eastAsia="Book Antiqua" w:hAnsi="Book Antiqua" w:cs="Book Antiqua"/>
          <w:color w:val="000000"/>
        </w:rPr>
        <w:t>: 431-435 [PMID: 19318396 DOI: 10.1177/0961203308098186]</w:t>
      </w:r>
    </w:p>
    <w:p w:rsidR="0076119A" w:rsidRDefault="00A0654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Poole BD</w:t>
      </w:r>
      <w:r>
        <w:rPr>
          <w:rFonts w:ascii="Book Antiqua" w:eastAsia="Book Antiqua" w:hAnsi="Book Antiqua" w:cs="Book Antiqua"/>
          <w:color w:val="000000"/>
        </w:rPr>
        <w:t xml:space="preserve">, Scofield RH, Harley JB, James JA. Epstein-Barr virus and molecular mimicry in systemic lupus erythematosus. </w:t>
      </w:r>
      <w:r>
        <w:rPr>
          <w:rFonts w:ascii="Book Antiqua" w:eastAsia="Book Antiqua" w:hAnsi="Book Antiqua" w:cs="Book Antiqua"/>
          <w:i/>
          <w:iCs/>
          <w:color w:val="000000"/>
        </w:rPr>
        <w:t>Autoimmunity</w:t>
      </w:r>
      <w:r>
        <w:rPr>
          <w:rFonts w:ascii="Book Antiqua" w:eastAsia="Book Antiqua" w:hAnsi="Book Antiqua" w:cs="Book Antiqua"/>
          <w:color w:val="000000"/>
        </w:rPr>
        <w:t xml:space="preserve"> 2006; </w:t>
      </w:r>
      <w:r>
        <w:rPr>
          <w:rFonts w:ascii="Book Antiqua" w:eastAsia="Book Antiqua" w:hAnsi="Book Antiqua" w:cs="Book Antiqua"/>
          <w:b/>
          <w:bCs/>
          <w:color w:val="000000"/>
        </w:rPr>
        <w:t>39</w:t>
      </w:r>
      <w:r>
        <w:rPr>
          <w:rFonts w:ascii="Book Antiqua" w:eastAsia="Book Antiqua" w:hAnsi="Book Antiqua" w:cs="Book Antiqua"/>
          <w:color w:val="000000"/>
        </w:rPr>
        <w:t>: 63-70 [PMID: 16455583 DOI: 10.1080/08916930500484849]</w:t>
      </w:r>
    </w:p>
    <w:p w:rsidR="0076119A" w:rsidRDefault="00A0654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Hess E</w:t>
      </w:r>
      <w:r>
        <w:rPr>
          <w:rFonts w:ascii="Book Antiqua" w:eastAsia="Book Antiqua" w:hAnsi="Book Antiqua" w:cs="Book Antiqua"/>
          <w:color w:val="000000"/>
        </w:rPr>
        <w:t xml:space="preserve">. Drug-related lupus.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1988; </w:t>
      </w:r>
      <w:r>
        <w:rPr>
          <w:rFonts w:ascii="Book Antiqua" w:eastAsia="Book Antiqua" w:hAnsi="Book Antiqua" w:cs="Book Antiqua"/>
          <w:b/>
          <w:bCs/>
          <w:color w:val="000000"/>
        </w:rPr>
        <w:t>318</w:t>
      </w:r>
      <w:r>
        <w:rPr>
          <w:rFonts w:ascii="Book Antiqua" w:eastAsia="Book Antiqua" w:hAnsi="Book Antiqua" w:cs="Book Antiqua"/>
          <w:color w:val="000000"/>
        </w:rPr>
        <w:t>: 1460-1462 [PMID: 3259288 DOI: 10.1056/NEJM198806023182209]</w:t>
      </w:r>
    </w:p>
    <w:p w:rsidR="0076119A" w:rsidRDefault="00A0654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Parks CG</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AJ. Pesticides, chemical and industrial exposures in relation to systemic lupus erythematosus.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527-536 [PMID: 24763537 DOI: 10.1177/0961203313511680]</w:t>
      </w:r>
    </w:p>
    <w:p w:rsidR="0076119A" w:rsidRDefault="00A0654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Stegeman</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Tervaert</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Sluiter</w:t>
      </w:r>
      <w:proofErr w:type="spellEnd"/>
      <w:r>
        <w:rPr>
          <w:rFonts w:ascii="Book Antiqua" w:eastAsia="Book Antiqua" w:hAnsi="Book Antiqua" w:cs="Book Antiqua"/>
          <w:color w:val="000000"/>
        </w:rPr>
        <w:t xml:space="preserve"> WJ, Manson WL, de Jong PE, </w:t>
      </w:r>
      <w:proofErr w:type="spellStart"/>
      <w:r>
        <w:rPr>
          <w:rFonts w:ascii="Book Antiqua" w:eastAsia="Book Antiqua" w:hAnsi="Book Antiqua" w:cs="Book Antiqua"/>
          <w:color w:val="000000"/>
        </w:rPr>
        <w:t>Kallenberg</w:t>
      </w:r>
      <w:proofErr w:type="spellEnd"/>
      <w:r>
        <w:rPr>
          <w:rFonts w:ascii="Book Antiqua" w:eastAsia="Book Antiqua" w:hAnsi="Book Antiqua" w:cs="Book Antiqua"/>
          <w:color w:val="000000"/>
        </w:rPr>
        <w:t xml:space="preserve"> CG. Association of chronic nasal carriage of Staphylococcus aureus and higher relapse rates in Wegener granulomatosis.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120</w:t>
      </w:r>
      <w:r>
        <w:rPr>
          <w:rFonts w:ascii="Book Antiqua" w:eastAsia="Book Antiqua" w:hAnsi="Book Antiqua" w:cs="Book Antiqua"/>
          <w:color w:val="000000"/>
        </w:rPr>
        <w:t>: 12-17 [PMID: 8250451 DOI: 10.7326/0003-4819-120-1-199401010-00003]</w:t>
      </w:r>
    </w:p>
    <w:p w:rsidR="0076119A" w:rsidRDefault="00A0654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McDermott G</w:t>
      </w:r>
      <w:r>
        <w:rPr>
          <w:rFonts w:ascii="Book Antiqua" w:eastAsia="Book Antiqua" w:hAnsi="Book Antiqua" w:cs="Book Antiqua"/>
          <w:color w:val="000000"/>
        </w:rPr>
        <w:t xml:space="preserve">, Fu X, Stone JH, </w:t>
      </w:r>
      <w:proofErr w:type="spellStart"/>
      <w:r>
        <w:rPr>
          <w:rFonts w:ascii="Book Antiqua" w:eastAsia="Book Antiqua" w:hAnsi="Book Antiqua" w:cs="Book Antiqua"/>
          <w:color w:val="000000"/>
        </w:rPr>
        <w:t>Wallwork</w:t>
      </w:r>
      <w:proofErr w:type="spellEnd"/>
      <w:r>
        <w:rPr>
          <w:rFonts w:ascii="Book Antiqua" w:eastAsia="Book Antiqua" w:hAnsi="Book Antiqua" w:cs="Book Antiqua"/>
          <w:color w:val="000000"/>
        </w:rPr>
        <w:t xml:space="preserve"> R, Zhang Y, Choi HK, Wallace ZS. Association of Cigarette Smoking With </w:t>
      </w:r>
      <w:proofErr w:type="spellStart"/>
      <w:r>
        <w:rPr>
          <w:rFonts w:ascii="Book Antiqua" w:eastAsia="Book Antiqua" w:hAnsi="Book Antiqua" w:cs="Book Antiqua"/>
          <w:color w:val="000000"/>
        </w:rPr>
        <w:t>Antineutrophil</w:t>
      </w:r>
      <w:proofErr w:type="spellEnd"/>
      <w:r>
        <w:rPr>
          <w:rFonts w:ascii="Book Antiqua" w:eastAsia="Book Antiqua" w:hAnsi="Book Antiqua" w:cs="Book Antiqua"/>
          <w:color w:val="000000"/>
        </w:rPr>
        <w:t xml:space="preserve"> Cytoplasmic Antibody-Associated Vasculitis.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180</w:t>
      </w:r>
      <w:r>
        <w:rPr>
          <w:rFonts w:ascii="Book Antiqua" w:eastAsia="Book Antiqua" w:hAnsi="Book Antiqua" w:cs="Book Antiqua"/>
          <w:color w:val="000000"/>
        </w:rPr>
        <w:t>: 870-876 [PMID: 32282021 DOI: 10.1001/jamainternmed.2020.0675]</w:t>
      </w:r>
    </w:p>
    <w:p w:rsidR="0076119A" w:rsidRDefault="00A0654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Radić</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Martinović</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Kaliterna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Radić</w:t>
      </w:r>
      <w:proofErr w:type="spellEnd"/>
      <w:r>
        <w:rPr>
          <w:rFonts w:ascii="Book Antiqua" w:eastAsia="Book Antiqua" w:hAnsi="Book Antiqua" w:cs="Book Antiqua"/>
          <w:color w:val="000000"/>
        </w:rPr>
        <w:t xml:space="preserve"> J. Drug-induced vasculitis: a clinical and pathological review. </w:t>
      </w:r>
      <w:proofErr w:type="spellStart"/>
      <w:r>
        <w:rPr>
          <w:rFonts w:ascii="Book Antiqua" w:eastAsia="Book Antiqua" w:hAnsi="Book Antiqua" w:cs="Book Antiqua"/>
          <w:i/>
          <w:iCs/>
          <w:color w:val="000000"/>
        </w:rPr>
        <w:t>Neth</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70</w:t>
      </w:r>
      <w:r>
        <w:rPr>
          <w:rFonts w:ascii="Book Antiqua" w:eastAsia="Book Antiqua" w:hAnsi="Book Antiqua" w:cs="Book Antiqua"/>
          <w:color w:val="000000"/>
        </w:rPr>
        <w:t>: 12-17 [PMID: 22271809]</w:t>
      </w:r>
    </w:p>
    <w:p w:rsidR="0076119A" w:rsidRDefault="00A0654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Sada</w:t>
      </w:r>
      <w:proofErr w:type="spellEnd"/>
      <w:r>
        <w:rPr>
          <w:rFonts w:ascii="Book Antiqua" w:eastAsia="Book Antiqua" w:hAnsi="Book Antiqua" w:cs="Book Antiqua"/>
          <w:b/>
          <w:bCs/>
          <w:color w:val="000000"/>
        </w:rPr>
        <w:t xml:space="preserve"> KE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Ohashi</w:t>
      </w:r>
      <w:proofErr w:type="spellEnd"/>
      <w:r>
        <w:rPr>
          <w:rFonts w:ascii="Book Antiqua" w:eastAsia="Book Antiqua" w:hAnsi="Book Antiqua" w:cs="Book Antiqua"/>
          <w:color w:val="000000"/>
        </w:rPr>
        <w:t xml:space="preserve"> K, Asano Y, Hayashi K,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M, Watanabe H, Matsumoto Y, Fujimoto S, Takasaki Y, Yamagata K, </w:t>
      </w:r>
      <w:proofErr w:type="spellStart"/>
      <w:r>
        <w:rPr>
          <w:rFonts w:ascii="Book Antiqua" w:eastAsia="Book Antiqua" w:hAnsi="Book Antiqua" w:cs="Book Antiqua"/>
          <w:color w:val="000000"/>
        </w:rPr>
        <w:t>Banno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Dobashi</w:t>
      </w:r>
      <w:proofErr w:type="spellEnd"/>
      <w:r>
        <w:rPr>
          <w:rFonts w:ascii="Book Antiqua" w:eastAsia="Book Antiqua" w:hAnsi="Book Antiqua" w:cs="Book Antiqua"/>
          <w:color w:val="000000"/>
        </w:rPr>
        <w:t xml:space="preserve"> H, Amano K, </w:t>
      </w:r>
      <w:proofErr w:type="spellStart"/>
      <w:r>
        <w:rPr>
          <w:rFonts w:ascii="Book Antiqua" w:eastAsia="Book Antiqua" w:hAnsi="Book Antiqua" w:cs="Book Antiqua"/>
          <w:color w:val="000000"/>
        </w:rPr>
        <w:t>Harigai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Arimura</w:t>
      </w:r>
      <w:proofErr w:type="spellEnd"/>
      <w:r>
        <w:rPr>
          <w:rFonts w:ascii="Book Antiqua" w:eastAsia="Book Antiqua" w:hAnsi="Book Antiqua" w:cs="Book Antiqua"/>
          <w:color w:val="000000"/>
        </w:rPr>
        <w:t xml:space="preserve"> Y, Makino H; Japan Research Committee of the Ministry of Health, </w:t>
      </w:r>
      <w:proofErr w:type="spellStart"/>
      <w:r>
        <w:rPr>
          <w:rFonts w:ascii="Book Antiqua" w:eastAsia="Book Antiqua" w:hAnsi="Book Antiqua" w:cs="Book Antiqua"/>
          <w:color w:val="000000"/>
        </w:rPr>
        <w:t>Labour</w:t>
      </w:r>
      <w:proofErr w:type="spellEnd"/>
      <w:r>
        <w:rPr>
          <w:rFonts w:ascii="Book Antiqua" w:eastAsia="Book Antiqua" w:hAnsi="Book Antiqua" w:cs="Book Antiqua"/>
          <w:color w:val="000000"/>
        </w:rPr>
        <w:t xml:space="preserve">, and Welfare for Intractable Vasculitis (JPVAS) and the Research Committee of Intractable Renal Disease of the Ministry of Health, </w:t>
      </w:r>
      <w:proofErr w:type="spellStart"/>
      <w:r>
        <w:rPr>
          <w:rFonts w:ascii="Book Antiqua" w:eastAsia="Book Antiqua" w:hAnsi="Book Antiqua" w:cs="Book Antiqua"/>
          <w:color w:val="000000"/>
        </w:rPr>
        <w:t>Labour</w:t>
      </w:r>
      <w:proofErr w:type="spellEnd"/>
      <w:r>
        <w:rPr>
          <w:rFonts w:ascii="Book Antiqua" w:eastAsia="Book Antiqua" w:hAnsi="Book Antiqua" w:cs="Book Antiqua"/>
          <w:color w:val="000000"/>
        </w:rPr>
        <w:t xml:space="preserve">, and Welfare of Japan. </w:t>
      </w:r>
      <w:r>
        <w:rPr>
          <w:rFonts w:ascii="Book Antiqua" w:eastAsia="Book Antiqua" w:hAnsi="Book Antiqua" w:cs="Book Antiqua"/>
          <w:color w:val="000000"/>
        </w:rPr>
        <w:lastRenderedPageBreak/>
        <w:t xml:space="preserve">Treatment-related damage in elderly-onset ANCA-associated vasculitis: safety outcome analysis of two nationwide prospective cohort studies.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236 [PMID: 33046139 DOI: 10.1186/s13075-020-02341-6]</w:t>
      </w:r>
    </w:p>
    <w:p w:rsidR="0076119A" w:rsidRDefault="0076119A">
      <w:pPr>
        <w:spacing w:line="360" w:lineRule="auto"/>
        <w:jc w:val="both"/>
        <w:sectPr w:rsidR="0076119A">
          <w:pgSz w:w="12240" w:h="15840"/>
          <w:pgMar w:top="1440" w:right="1440" w:bottom="1440" w:left="1440" w:header="720" w:footer="720" w:gutter="0"/>
          <w:cols w:space="720"/>
          <w:docGrid w:linePitch="360"/>
        </w:sectPr>
      </w:pPr>
    </w:p>
    <w:p w:rsidR="0076119A" w:rsidRDefault="00A06540">
      <w:pPr>
        <w:spacing w:line="360" w:lineRule="auto"/>
        <w:jc w:val="both"/>
      </w:pPr>
      <w:r>
        <w:rPr>
          <w:rFonts w:ascii="Book Antiqua" w:eastAsia="Book Antiqua" w:hAnsi="Book Antiqua" w:cs="Book Antiqua"/>
          <w:b/>
          <w:color w:val="000000"/>
        </w:rPr>
        <w:lastRenderedPageBreak/>
        <w:t>Footnotes</w:t>
      </w:r>
    </w:p>
    <w:p w:rsidR="0076119A" w:rsidRDefault="00A0654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was obtained from the patient for publication of this report and any accompanying images.</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 of interest</w:t>
      </w:r>
      <w:r>
        <w:rPr>
          <w:rFonts w:ascii="Book Antiqua" w:eastAsia="宋体" w:hAnsi="Book Antiqua" w:cs="Book Antiqua" w:hint="eastAsia"/>
          <w:color w:val="000000"/>
          <w:szCs w:val="21"/>
          <w:lang w:eastAsia="zh-CN"/>
        </w:rPr>
        <w:t xml:space="preserve"> to disclose</w:t>
      </w:r>
      <w:r>
        <w:rPr>
          <w:rFonts w:ascii="Book Antiqua" w:eastAsia="Book Antiqua" w:hAnsi="Book Antiqua" w:cs="Book Antiqua"/>
          <w:color w:val="000000"/>
          <w:szCs w:val="21"/>
        </w:rPr>
        <w: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15, 2020</w:t>
      </w:r>
    </w:p>
    <w:p w:rsidR="0076119A" w:rsidRDefault="00A0654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rsidR="0076119A" w:rsidRDefault="00A06540">
      <w:pPr>
        <w:spacing w:line="360" w:lineRule="auto"/>
        <w:jc w:val="both"/>
      </w:pPr>
      <w:r>
        <w:rPr>
          <w:rFonts w:ascii="Book Antiqua" w:eastAsia="Book Antiqua" w:hAnsi="Book Antiqua" w:cs="Book Antiqua"/>
          <w:b/>
          <w:color w:val="000000"/>
        </w:rPr>
        <w:t xml:space="preserve">Article in press: </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rsidR="0076119A" w:rsidRDefault="00A0654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76119A" w:rsidRDefault="00A06540">
      <w:pPr>
        <w:spacing w:line="360" w:lineRule="auto"/>
        <w:jc w:val="both"/>
      </w:pPr>
      <w:r>
        <w:rPr>
          <w:rFonts w:ascii="Book Antiqua" w:eastAsia="Book Antiqua" w:hAnsi="Book Antiqua" w:cs="Book Antiqua"/>
          <w:b/>
          <w:color w:val="000000"/>
        </w:rPr>
        <w:t>Peer-review report’s scientific quality classification</w:t>
      </w:r>
    </w:p>
    <w:p w:rsidR="0076119A" w:rsidRDefault="00A0654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76119A" w:rsidRDefault="00A06540">
      <w:pPr>
        <w:spacing w:line="360" w:lineRule="auto"/>
        <w:jc w:val="both"/>
      </w:pPr>
      <w:r>
        <w:rPr>
          <w:rFonts w:ascii="Book Antiqua" w:eastAsia="Book Antiqua" w:hAnsi="Book Antiqua" w:cs="Book Antiqua"/>
          <w:color w:val="000000"/>
        </w:rPr>
        <w:t>Grade B (Very good): 0</w:t>
      </w:r>
    </w:p>
    <w:p w:rsidR="0076119A" w:rsidRDefault="00A06540">
      <w:pPr>
        <w:spacing w:line="360" w:lineRule="auto"/>
        <w:jc w:val="both"/>
      </w:pPr>
      <w:r>
        <w:rPr>
          <w:rFonts w:ascii="Book Antiqua" w:eastAsia="Book Antiqua" w:hAnsi="Book Antiqua" w:cs="Book Antiqua"/>
          <w:color w:val="000000"/>
        </w:rPr>
        <w:lastRenderedPageBreak/>
        <w:t>Grade C (Good): C, C</w:t>
      </w:r>
    </w:p>
    <w:p w:rsidR="0076119A" w:rsidRDefault="00A06540">
      <w:pPr>
        <w:spacing w:line="360" w:lineRule="auto"/>
        <w:jc w:val="both"/>
      </w:pPr>
      <w:r>
        <w:rPr>
          <w:rFonts w:ascii="Book Antiqua" w:eastAsia="Book Antiqua" w:hAnsi="Book Antiqua" w:cs="Book Antiqua"/>
          <w:color w:val="000000"/>
        </w:rPr>
        <w:t>Grade D (Fair): 0</w:t>
      </w:r>
    </w:p>
    <w:p w:rsidR="0076119A" w:rsidRDefault="00A06540">
      <w:pPr>
        <w:spacing w:line="360" w:lineRule="auto"/>
        <w:jc w:val="both"/>
      </w:pPr>
      <w:r>
        <w:rPr>
          <w:rFonts w:ascii="Book Antiqua" w:eastAsia="Book Antiqua" w:hAnsi="Book Antiqua" w:cs="Book Antiqua"/>
          <w:color w:val="000000"/>
        </w:rPr>
        <w:t>Grade E (Poor): 0</w:t>
      </w:r>
    </w:p>
    <w:p w:rsidR="0076119A" w:rsidRDefault="0076119A">
      <w:pPr>
        <w:spacing w:line="360" w:lineRule="auto"/>
        <w:jc w:val="both"/>
      </w:pPr>
    </w:p>
    <w:p w:rsidR="0076119A" w:rsidRDefault="00A065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Tanaka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Pr="00F7142E">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p>
    <w:p w:rsidR="0076119A" w:rsidRDefault="0076119A">
      <w:pPr>
        <w:spacing w:line="360" w:lineRule="auto"/>
        <w:jc w:val="both"/>
        <w:sectPr w:rsidR="0076119A">
          <w:pgSz w:w="12240" w:h="15840"/>
          <w:pgMar w:top="1440" w:right="1440" w:bottom="1440" w:left="1440" w:header="720" w:footer="720" w:gutter="0"/>
          <w:cols w:space="720"/>
          <w:docGrid w:linePitch="360"/>
        </w:sectPr>
      </w:pPr>
    </w:p>
    <w:p w:rsidR="0076119A" w:rsidRDefault="00A065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76119A" w:rsidRDefault="00A06540">
      <w:pPr>
        <w:spacing w:line="360" w:lineRule="auto"/>
        <w:jc w:val="both"/>
      </w:pPr>
      <w:r>
        <w:rPr>
          <w:noProof/>
          <w:lang w:eastAsia="zh-CN"/>
        </w:rPr>
        <w:drawing>
          <wp:inline distT="0" distB="0" distL="0" distR="0" wp14:anchorId="32A02133" wp14:editId="44266EA1">
            <wp:extent cx="3773170" cy="2159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73577" cy="2160000"/>
                    </a:xfrm>
                    <a:prstGeom prst="rect">
                      <a:avLst/>
                    </a:prstGeom>
                    <a:noFill/>
                  </pic:spPr>
                </pic:pic>
              </a:graphicData>
            </a:graphic>
          </wp:inline>
        </w:drawing>
      </w:r>
    </w:p>
    <w:p w:rsidR="0076119A" w:rsidRDefault="00A06540">
      <w:pPr>
        <w:spacing w:line="360" w:lineRule="auto"/>
        <w:jc w:val="both"/>
      </w:pPr>
      <w:r>
        <w:rPr>
          <w:noProof/>
          <w:lang w:eastAsia="zh-CN"/>
        </w:rPr>
        <w:drawing>
          <wp:inline distT="0" distB="0" distL="0" distR="0" wp14:anchorId="116EECCF" wp14:editId="677F7E44">
            <wp:extent cx="3784600" cy="2159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84774" cy="2160000"/>
                    </a:xfrm>
                    <a:prstGeom prst="rect">
                      <a:avLst/>
                    </a:prstGeom>
                    <a:noFill/>
                  </pic:spPr>
                </pic:pic>
              </a:graphicData>
            </a:graphic>
          </wp:inline>
        </w:drawing>
      </w:r>
    </w:p>
    <w:p w:rsidR="0076119A" w:rsidRDefault="00A06540">
      <w:pPr>
        <w:spacing w:line="360" w:lineRule="auto"/>
        <w:jc w:val="both"/>
      </w:pPr>
      <w:r>
        <w:rPr>
          <w:noProof/>
          <w:lang w:eastAsia="zh-CN"/>
        </w:rPr>
        <w:drawing>
          <wp:inline distT="0" distB="0" distL="0" distR="0" wp14:anchorId="211BD1F8" wp14:editId="4352D3B6">
            <wp:extent cx="3775075" cy="2159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75537" cy="2160000"/>
                    </a:xfrm>
                    <a:prstGeom prst="rect">
                      <a:avLst/>
                    </a:prstGeom>
                    <a:noFill/>
                  </pic:spPr>
                </pic:pic>
              </a:graphicData>
            </a:graphic>
          </wp:inline>
        </w:drawing>
      </w:r>
    </w:p>
    <w:p w:rsidR="0076119A" w:rsidRDefault="00A065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宋体" w:hAnsi="Book Antiqua" w:cs="Book Antiqua" w:hint="eastAsia"/>
          <w:b/>
          <w:bCs/>
          <w:color w:val="000000"/>
          <w:lang w:eastAsia="zh-CN"/>
        </w:rPr>
        <w:t>Sections</w:t>
      </w:r>
      <w:r>
        <w:rPr>
          <w:rFonts w:ascii="Book Antiqua" w:eastAsia="Book Antiqua" w:hAnsi="Book Antiqua" w:cs="Book Antiqua"/>
          <w:b/>
          <w:bCs/>
          <w:color w:val="000000"/>
        </w:rPr>
        <w:t xml:space="preserve"> of kidney</w:t>
      </w:r>
      <w:r>
        <w:rPr>
          <w:rFonts w:ascii="Book Antiqua" w:eastAsia="宋体" w:hAnsi="Book Antiqua" w:cs="Book Antiqua" w:hint="eastAsia"/>
          <w:b/>
          <w:bCs/>
          <w:color w:val="000000"/>
          <w:lang w:eastAsia="zh-CN"/>
        </w:rPr>
        <w:t xml:space="preserve"> sample</w:t>
      </w:r>
      <w:r w:rsidR="00F7142E">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 taken at autopsy show</w:t>
      </w:r>
      <w:r>
        <w:rPr>
          <w:rFonts w:ascii="Book Antiqua" w:eastAsia="宋体" w:hAnsi="Book Antiqua" w:cs="Book Antiqua" w:hint="eastAsia"/>
          <w:b/>
          <w:bCs/>
          <w:color w:val="000000"/>
          <w:lang w:eastAsia="zh-CN"/>
        </w:rPr>
        <w:t>ing</w:t>
      </w:r>
      <w:r>
        <w:rPr>
          <w:rFonts w:ascii="Book Antiqua" w:eastAsia="Book Antiqua" w:hAnsi="Book Antiqua" w:cs="Book Antiqua"/>
          <w:b/>
          <w:bCs/>
          <w:color w:val="000000"/>
        </w:rPr>
        <w:t xml:space="preserve"> sclerotic glomerulus, fibro-cellular crescent</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and cellular crescent.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 and eosin</w:t>
      </w:r>
      <w:r>
        <w:rPr>
          <w:rFonts w:ascii="Book Antiqua" w:eastAsia="宋体" w:hAnsi="Book Antiqua" w:cs="Book Antiqua" w:hint="eastAsia"/>
          <w:color w:val="000000"/>
          <w:lang w:eastAsia="zh-CN"/>
        </w:rPr>
        <w:t xml:space="preserve"> stained image</w:t>
      </w:r>
      <w:r>
        <w:rPr>
          <w:rFonts w:ascii="Book Antiqua" w:eastAsia="Book Antiqua" w:hAnsi="Book Antiqua" w:cs="Book Antiqua"/>
          <w:color w:val="000000"/>
        </w:rPr>
        <w:t>; B: Periodic acid-Schiff reaction; C: Periodic acid-Schiff-</w:t>
      </w:r>
      <w:proofErr w:type="spellStart"/>
      <w:r>
        <w:rPr>
          <w:rFonts w:ascii="Book Antiqua" w:eastAsia="Book Antiqua" w:hAnsi="Book Antiqua" w:cs="Book Antiqua"/>
          <w:color w:val="000000"/>
        </w:rPr>
        <w:t>methenamine</w:t>
      </w:r>
      <w:proofErr w:type="spellEnd"/>
      <w:r>
        <w:rPr>
          <w:rFonts w:ascii="Book Antiqua" w:eastAsia="Book Antiqua" w:hAnsi="Book Antiqua" w:cs="Book Antiqua"/>
          <w:color w:val="000000"/>
        </w:rPr>
        <w:t xml:space="preserve"> silver staining. Original magnification × 400.</w:t>
      </w:r>
    </w:p>
    <w:p w:rsidR="0076119A" w:rsidRDefault="00A065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1EFE5AC7" wp14:editId="1EED4C87">
            <wp:extent cx="2144395" cy="2159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44601" cy="2160000"/>
                    </a:xfrm>
                    <a:prstGeom prst="rect">
                      <a:avLst/>
                    </a:prstGeom>
                    <a:noFill/>
                  </pic:spPr>
                </pic:pic>
              </a:graphicData>
            </a:graphic>
          </wp:inline>
        </w:drawing>
      </w:r>
    </w:p>
    <w:p w:rsidR="0076119A" w:rsidRDefault="00A06540">
      <w:pPr>
        <w:spacing w:line="360" w:lineRule="auto"/>
        <w:jc w:val="both"/>
      </w:pPr>
      <w:r>
        <w:rPr>
          <w:noProof/>
          <w:lang w:eastAsia="zh-CN"/>
        </w:rPr>
        <w:drawing>
          <wp:inline distT="0" distB="0" distL="0" distR="0" wp14:anchorId="109D8E6B" wp14:editId="076D5B44">
            <wp:extent cx="2349500" cy="21596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49982" cy="2160000"/>
                    </a:xfrm>
                    <a:prstGeom prst="rect">
                      <a:avLst/>
                    </a:prstGeom>
                    <a:noFill/>
                  </pic:spPr>
                </pic:pic>
              </a:graphicData>
            </a:graphic>
          </wp:inline>
        </w:drawing>
      </w:r>
    </w:p>
    <w:p w:rsidR="0076119A" w:rsidRDefault="00A06540">
      <w:pPr>
        <w:spacing w:line="360" w:lineRule="auto"/>
        <w:jc w:val="both"/>
      </w:pPr>
      <w:r>
        <w:rPr>
          <w:noProof/>
          <w:lang w:eastAsia="zh-CN"/>
        </w:rPr>
        <w:drawing>
          <wp:inline distT="0" distB="0" distL="0" distR="0" wp14:anchorId="0953029E" wp14:editId="509822BE">
            <wp:extent cx="2353945" cy="2159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3982" cy="2160000"/>
                    </a:xfrm>
                    <a:prstGeom prst="rect">
                      <a:avLst/>
                    </a:prstGeom>
                    <a:noFill/>
                  </pic:spPr>
                </pic:pic>
              </a:graphicData>
            </a:graphic>
          </wp:inline>
        </w:drawing>
      </w:r>
    </w:p>
    <w:p w:rsidR="0076119A" w:rsidRDefault="00A0654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w:t>
      </w:r>
      <w:r>
        <w:rPr>
          <w:rFonts w:ascii="Book Antiqua" w:eastAsia="宋体" w:hAnsi="Book Antiqua" w:cs="Book Antiqua" w:hint="eastAsia"/>
          <w:b/>
          <w:bCs/>
          <w:color w:val="000000"/>
          <w:lang w:eastAsia="zh-CN"/>
        </w:rPr>
        <w:t>T</w:t>
      </w:r>
      <w:r>
        <w:rPr>
          <w:rFonts w:ascii="Book Antiqua" w:eastAsia="Book Antiqua" w:hAnsi="Book Antiqua" w:cs="Book Antiqua"/>
          <w:b/>
          <w:bCs/>
          <w:color w:val="000000"/>
        </w:rPr>
        <w:t>rend</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 xml:space="preserve"> of urine protein-to-creatinine ratio, serum creatinine</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and </w:t>
      </w:r>
      <w:proofErr w:type="spellStart"/>
      <w:r>
        <w:rPr>
          <w:rFonts w:ascii="Book Antiqua" w:eastAsia="Book Antiqua" w:hAnsi="Book Antiqua" w:cs="Book Antiqua"/>
          <w:b/>
          <w:bCs/>
          <w:color w:val="000000"/>
        </w:rPr>
        <w:t>haemoglobin</w:t>
      </w:r>
      <w:proofErr w:type="spellEnd"/>
      <w:r>
        <w:rPr>
          <w:rFonts w:ascii="Book Antiqua" w:eastAsia="Book Antiqua" w:hAnsi="Book Antiqua" w:cs="Book Antiqua"/>
          <w:b/>
          <w:bCs/>
          <w:color w:val="000000"/>
        </w:rPr>
        <w:t>.</w:t>
      </w:r>
    </w:p>
    <w:p w:rsidR="0076119A" w:rsidRDefault="00A0654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B4822FF" wp14:editId="59737770">
            <wp:extent cx="2688590" cy="2159635"/>
            <wp:effectExtent l="0" t="0" r="0" b="0"/>
            <wp:docPr id="8193" name="内容占位符 2" descr="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内容占位符 2" descr="C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89200" cy="2160000"/>
                    </a:xfrm>
                    <a:prstGeom prst="rect">
                      <a:avLst/>
                    </a:prstGeom>
                    <a:noFill/>
                    <a:ln>
                      <a:noFill/>
                    </a:ln>
                  </pic:spPr>
                </pic:pic>
              </a:graphicData>
            </a:graphic>
          </wp:inline>
        </w:drawing>
      </w:r>
    </w:p>
    <w:p w:rsidR="0076119A" w:rsidRDefault="00A06540">
      <w:pPr>
        <w:spacing w:line="360" w:lineRule="auto"/>
        <w:jc w:val="both"/>
        <w:rPr>
          <w:b/>
          <w:bCs/>
        </w:rPr>
      </w:pPr>
      <w:r>
        <w:rPr>
          <w:b/>
          <w:bCs/>
          <w:noProof/>
          <w:lang w:eastAsia="zh-CN"/>
        </w:rPr>
        <w:drawing>
          <wp:inline distT="0" distB="0" distL="0" distR="0" wp14:anchorId="3DB9E59F" wp14:editId="1FAAC7C0">
            <wp:extent cx="2692400" cy="21596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92689" cy="2160000"/>
                    </a:xfrm>
                    <a:prstGeom prst="rect">
                      <a:avLst/>
                    </a:prstGeom>
                    <a:noFill/>
                  </pic:spPr>
                </pic:pic>
              </a:graphicData>
            </a:graphic>
          </wp:inline>
        </w:drawing>
      </w:r>
    </w:p>
    <w:p w:rsidR="0076119A" w:rsidRDefault="00A06540">
      <w:pPr>
        <w:spacing w:line="360" w:lineRule="auto"/>
        <w:jc w:val="both"/>
        <w:rPr>
          <w:b/>
          <w:bCs/>
        </w:rPr>
      </w:pPr>
      <w:r>
        <w:rPr>
          <w:rFonts w:ascii="Book Antiqua" w:eastAsia="Book Antiqua" w:hAnsi="Book Antiqua" w:cs="Book Antiqua"/>
          <w:b/>
          <w:bCs/>
          <w:color w:val="000000"/>
        </w:rPr>
        <w:t xml:space="preserve">Figure 3 </w:t>
      </w:r>
      <w:r>
        <w:rPr>
          <w:rFonts w:ascii="Book Antiqua" w:eastAsia="Book Antiqua" w:hAnsi="Book Antiqua" w:cs="Book Antiqua"/>
          <w:b/>
          <w:bCs/>
          <w:color w:val="000000"/>
          <w:szCs w:val="21"/>
        </w:rPr>
        <w:t>Computed tomography</w:t>
      </w:r>
      <w:r>
        <w:rPr>
          <w:rFonts w:ascii="Book Antiqua" w:eastAsia="Book Antiqua" w:hAnsi="Book Antiqua" w:cs="Book Antiqua"/>
          <w:b/>
          <w:bCs/>
          <w:color w:val="000000"/>
        </w:rPr>
        <w:t xml:space="preserve"> of the chest showing </w:t>
      </w:r>
      <w:r>
        <w:rPr>
          <w:rStyle w:val="tran"/>
          <w:rFonts w:ascii="Book Antiqua" w:eastAsia="Book Antiqua" w:hAnsi="Book Antiqua" w:cs="Book Antiqua"/>
          <w:b/>
          <w:bCs/>
          <w:color w:val="000000"/>
          <w:shd w:val="clear" w:color="auto" w:fill="FFFFFF"/>
        </w:rPr>
        <w:t>pleural</w:t>
      </w:r>
      <w:r>
        <w:rPr>
          <w:rStyle w:val="apple-converted-space"/>
          <w:rFonts w:ascii="Book Antiqua" w:eastAsia="Book Antiqua" w:hAnsi="Book Antiqua" w:cs="Book Antiqua"/>
          <w:b/>
          <w:bCs/>
          <w:color w:val="000000"/>
          <w:shd w:val="clear" w:color="auto" w:fill="FFFFFF"/>
        </w:rPr>
        <w:t> </w:t>
      </w:r>
      <w:r>
        <w:rPr>
          <w:rStyle w:val="tran"/>
          <w:rFonts w:ascii="Book Antiqua" w:eastAsia="Book Antiqua" w:hAnsi="Book Antiqua" w:cs="Book Antiqua"/>
          <w:b/>
          <w:bCs/>
          <w:color w:val="000000"/>
          <w:shd w:val="clear" w:color="auto" w:fill="FFFFFF"/>
        </w:rPr>
        <w:t>effusion</w:t>
      </w:r>
      <w:r>
        <w:rPr>
          <w:rFonts w:ascii="Book Antiqua" w:eastAsia="Book Antiqua" w:hAnsi="Book Antiqua" w:cs="Book Antiqua"/>
          <w:b/>
          <w:bCs/>
          <w:color w:val="000000"/>
        </w:rPr>
        <w:t>.</w:t>
      </w:r>
    </w:p>
    <w:sectPr w:rsidR="007611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DF7" w:rsidRDefault="002E2DF7">
      <w:r>
        <w:separator/>
      </w:r>
    </w:p>
  </w:endnote>
  <w:endnote w:type="continuationSeparator" w:id="0">
    <w:p w:rsidR="002E2DF7" w:rsidRDefault="002E2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740846"/>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76119A" w:rsidRDefault="00A0654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67118">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67118">
              <w:rPr>
                <w:rFonts w:ascii="Book Antiqua" w:hAnsi="Book Antiqua"/>
                <w:noProof/>
                <w:sz w:val="24"/>
                <w:szCs w:val="24"/>
              </w:rPr>
              <w:t>17</w:t>
            </w:r>
            <w:r>
              <w:rPr>
                <w:rFonts w:ascii="Book Antiqua" w:hAnsi="Book Antiqua"/>
                <w:sz w:val="24"/>
                <w:szCs w:val="24"/>
              </w:rPr>
              <w:fldChar w:fldCharType="end"/>
            </w:r>
          </w:p>
        </w:sdtContent>
      </w:sdt>
    </w:sdtContent>
  </w:sdt>
  <w:p w:rsidR="0076119A" w:rsidRDefault="0076119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DF7" w:rsidRDefault="002E2DF7">
      <w:r>
        <w:separator/>
      </w:r>
    </w:p>
  </w:footnote>
  <w:footnote w:type="continuationSeparator" w:id="0">
    <w:p w:rsidR="002E2DF7" w:rsidRDefault="002E2DF7">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3A2"/>
    <w:rsid w:val="000250E6"/>
    <w:rsid w:val="00131895"/>
    <w:rsid w:val="002E2DF7"/>
    <w:rsid w:val="00346678"/>
    <w:rsid w:val="003B2B1C"/>
    <w:rsid w:val="005454E1"/>
    <w:rsid w:val="00642B6E"/>
    <w:rsid w:val="006700E8"/>
    <w:rsid w:val="006C0882"/>
    <w:rsid w:val="00752BDB"/>
    <w:rsid w:val="0076119A"/>
    <w:rsid w:val="007F211D"/>
    <w:rsid w:val="007F5D3F"/>
    <w:rsid w:val="008354D6"/>
    <w:rsid w:val="0085780D"/>
    <w:rsid w:val="008E0554"/>
    <w:rsid w:val="009F2E9B"/>
    <w:rsid w:val="009F74B6"/>
    <w:rsid w:val="00A06540"/>
    <w:rsid w:val="00A77B3E"/>
    <w:rsid w:val="00A96878"/>
    <w:rsid w:val="00C67118"/>
    <w:rsid w:val="00CA2A55"/>
    <w:rsid w:val="00D23EA0"/>
    <w:rsid w:val="00D34F87"/>
    <w:rsid w:val="00E56CF4"/>
    <w:rsid w:val="00F7142E"/>
    <w:rsid w:val="00F77ADD"/>
    <w:rsid w:val="1B887762"/>
    <w:rsid w:val="29B75F32"/>
    <w:rsid w:val="47E16A07"/>
    <w:rsid w:val="49E34668"/>
    <w:rsid w:val="4DDB6792"/>
    <w:rsid w:val="7D0C7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Balloon Text"/>
    <w:basedOn w:val="a"/>
    <w:link w:val="Char"/>
    <w:qFormat/>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semiHidden/>
    <w:unhideWhenUsed/>
    <w:rPr>
      <w:sz w:val="21"/>
      <w:szCs w:val="21"/>
    </w:rPr>
  </w:style>
  <w:style w:type="character" w:customStyle="1" w:styleId="tran">
    <w:name w:val="tr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sz w:val="18"/>
      <w:szCs w:val="18"/>
    </w:rPr>
  </w:style>
  <w:style w:type="character" w:customStyle="1" w:styleId="Char1">
    <w:name w:val="页眉 Char"/>
    <w:basedOn w:val="a0"/>
    <w:link w:val="a6"/>
    <w:rPr>
      <w:sz w:val="18"/>
      <w:szCs w:val="18"/>
    </w:rPr>
  </w:style>
  <w:style w:type="character" w:customStyle="1" w:styleId="Char0">
    <w:name w:val="页脚 Char"/>
    <w:basedOn w:val="a0"/>
    <w:link w:val="a5"/>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Balloon Text"/>
    <w:basedOn w:val="a"/>
    <w:link w:val="Char"/>
    <w:qFormat/>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semiHidden/>
    <w:unhideWhenUsed/>
    <w:rPr>
      <w:sz w:val="21"/>
      <w:szCs w:val="21"/>
    </w:rPr>
  </w:style>
  <w:style w:type="character" w:customStyle="1" w:styleId="tran">
    <w:name w:val="tr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sz w:val="18"/>
      <w:szCs w:val="18"/>
    </w:rPr>
  </w:style>
  <w:style w:type="character" w:customStyle="1" w:styleId="Char1">
    <w:name w:val="页眉 Char"/>
    <w:basedOn w:val="a0"/>
    <w:link w:val="a6"/>
    <w:rPr>
      <w:sz w:val="18"/>
      <w:szCs w:val="18"/>
    </w:rPr>
  </w:style>
  <w:style w:type="character" w:customStyle="1" w:styleId="Char0">
    <w:name w:val="页脚 Char"/>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2870</Words>
  <Characters>16360</Characters>
  <Application>Microsoft Office Word</Application>
  <DocSecurity>0</DocSecurity>
  <Lines>136</Lines>
  <Paragraphs>38</Paragraphs>
  <ScaleCrop>false</ScaleCrop>
  <Company>Microsoft</Company>
  <LinksUpToDate>false</LinksUpToDate>
  <CharactersWithSpaces>19192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Hp</cp:lastModifiedBy>
  <cp:revision>4</cp:revision>
  <dcterms:created xsi:type="dcterms:W3CDTF">2020-12-07T07:35:00Z</dcterms:created>
  <dcterms:modified xsi:type="dcterms:W3CDTF">2020-12-09T07:08:00Z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