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42172" w14:textId="77777777" w:rsidR="007B6E23" w:rsidRDefault="006A3E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540B47" w14:textId="77777777" w:rsidR="007B6E23" w:rsidRDefault="006A3E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59597</w:t>
      </w:r>
    </w:p>
    <w:p w14:paraId="0D4155BF" w14:textId="77777777" w:rsidR="007B6E23" w:rsidRDefault="006A3E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8347A5" w14:textId="77777777" w:rsidR="007B6E23" w:rsidRDefault="007B6E23">
      <w:pPr>
        <w:spacing w:line="360" w:lineRule="auto"/>
        <w:jc w:val="both"/>
      </w:pPr>
    </w:p>
    <w:p w14:paraId="2D6054D1" w14:textId="77777777" w:rsidR="007B6E23" w:rsidRDefault="006A3E19">
      <w:pPr>
        <w:spacing w:line="360" w:lineRule="auto"/>
        <w:jc w:val="both"/>
      </w:pPr>
      <w:r>
        <w:rPr>
          <w:rFonts w:ascii="Book Antiqua" w:eastAsia="Book Antiqua" w:hAnsi="Book Antiqua" w:cs="Book Antiqua"/>
          <w:b/>
          <w:color w:val="000000"/>
        </w:rPr>
        <w:t xml:space="preserve">Adult onset type 2 familial </w:t>
      </w:r>
      <w:proofErr w:type="spellStart"/>
      <w:r>
        <w:rPr>
          <w:rFonts w:ascii="Book Antiqua" w:eastAsia="Book Antiqua" w:hAnsi="Book Antiqua" w:cs="Book Antiqua"/>
          <w:b/>
          <w:color w:val="000000"/>
        </w:rPr>
        <w:t>hemophagocytic</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lymphohistiocytosis</w:t>
      </w:r>
      <w:proofErr w:type="spellEnd"/>
      <w:r>
        <w:rPr>
          <w:rFonts w:ascii="Book Antiqua" w:eastAsia="Book Antiqua" w:hAnsi="Book Antiqua" w:cs="Book Antiqua"/>
          <w:b/>
          <w:color w:val="000000"/>
        </w:rPr>
        <w:t xml:space="preserve"> with </w:t>
      </w:r>
      <w:r>
        <w:rPr>
          <w:rFonts w:ascii="Book Antiqua" w:eastAsia="Book Antiqua" w:hAnsi="Book Antiqua" w:cs="Book Antiqua"/>
          <w:b/>
          <w:i/>
          <w:color w:val="000000"/>
        </w:rPr>
        <w:t>PRF1</w:t>
      </w:r>
      <w:r>
        <w:rPr>
          <w:rFonts w:ascii="Book Antiqua" w:eastAsia="Book Antiqua" w:hAnsi="Book Antiqua" w:cs="Book Antiqua"/>
          <w:b/>
          <w:color w:val="000000"/>
        </w:rPr>
        <w:t xml:space="preserve"> c.65delC/c.163C&gt;T compound heterozygous mutations: A case report</w:t>
      </w:r>
    </w:p>
    <w:p w14:paraId="63A2A187" w14:textId="77777777" w:rsidR="007B6E23" w:rsidRDefault="007B6E23">
      <w:pPr>
        <w:spacing w:line="360" w:lineRule="auto"/>
        <w:jc w:val="both"/>
      </w:pPr>
    </w:p>
    <w:p w14:paraId="711B9C72" w14:textId="77777777" w:rsidR="007B6E23" w:rsidRDefault="006A3E19">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XY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Adult onset FHL2</w:t>
      </w:r>
    </w:p>
    <w:p w14:paraId="4B4DAA8A" w14:textId="77777777" w:rsidR="007B6E23" w:rsidRDefault="007B6E23">
      <w:pPr>
        <w:spacing w:line="360" w:lineRule="auto"/>
        <w:jc w:val="both"/>
      </w:pPr>
    </w:p>
    <w:p w14:paraId="7D9443F9" w14:textId="77777777" w:rsidR="007B6E23" w:rsidRDefault="006A3E19">
      <w:pPr>
        <w:spacing w:line="360" w:lineRule="auto"/>
        <w:jc w:val="both"/>
      </w:pPr>
      <w:r>
        <w:rPr>
          <w:rFonts w:ascii="Book Antiqua" w:eastAsia="Book Antiqua" w:hAnsi="Book Antiqua" w:cs="Book Antiqua"/>
          <w:color w:val="000000"/>
        </w:rPr>
        <w:t xml:space="preserve">Xin-Yi </w:t>
      </w:r>
      <w:bookmarkStart w:id="0" w:name="OLE_LINK1"/>
      <w:bookmarkStart w:id="1" w:name="OLE_LINK2"/>
      <w:r>
        <w:rPr>
          <w:rFonts w:ascii="Book Antiqua" w:eastAsia="Book Antiqua" w:hAnsi="Book Antiqua" w:cs="Book Antiqua"/>
          <w:color w:val="000000"/>
        </w:rPr>
        <w:t>Liu</w:t>
      </w:r>
      <w:bookmarkEnd w:id="0"/>
      <w:bookmarkEnd w:id="1"/>
      <w:r>
        <w:rPr>
          <w:rFonts w:ascii="Book Antiqua" w:eastAsia="Book Antiqua" w:hAnsi="Book Antiqua" w:cs="Book Antiqua"/>
          <w:color w:val="000000"/>
        </w:rPr>
        <w:t xml:space="preserve">, Yan-Bo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-Jing Chen, Xiao-Hui Gao, Li-</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Feng-Ling Min</w:t>
      </w:r>
    </w:p>
    <w:p w14:paraId="3C00B17A" w14:textId="77777777" w:rsidR="007B6E23" w:rsidRDefault="007B6E23">
      <w:pPr>
        <w:spacing w:line="360" w:lineRule="auto"/>
        <w:jc w:val="both"/>
      </w:pPr>
    </w:p>
    <w:p w14:paraId="01A55F47" w14:textId="77777777" w:rsidR="007B6E23" w:rsidRDefault="006A3E19">
      <w:pPr>
        <w:spacing w:line="360" w:lineRule="auto"/>
        <w:jc w:val="both"/>
      </w:pPr>
      <w:r>
        <w:rPr>
          <w:rFonts w:ascii="Book Antiqua" w:eastAsia="Book Antiqua" w:hAnsi="Book Antiqua" w:cs="Book Antiqua"/>
          <w:b/>
          <w:bCs/>
          <w:color w:val="000000"/>
        </w:rPr>
        <w:t>Xin-Yi Liu, Xiao-Hui Gao, Li-</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Feng-Ling Min, </w:t>
      </w:r>
      <w:r>
        <w:rPr>
          <w:rFonts w:ascii="Book Antiqua" w:eastAsia="Book Antiqua" w:hAnsi="Book Antiqua" w:cs="Book Antiqua"/>
          <w:color w:val="000000"/>
        </w:rPr>
        <w:t xml:space="preserve">Department of Hematology,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Affiliated Hospital of Yangzhou University, Yangzhou University, Yangzhou 225000, Jiangsu</w:t>
      </w:r>
      <w:r>
        <w:rPr>
          <w:rFonts w:ascii="Book Antiqua" w:hAnsi="Book Antiqua" w:cs="Book Antiqua" w:hint="eastAsia"/>
          <w:color w:val="000000"/>
          <w:lang w:eastAsia="zh-CN"/>
        </w:rPr>
        <w:t xml:space="preserve"> </w:t>
      </w:r>
      <w:bookmarkStart w:id="2" w:name="OLE_LINK3"/>
      <w:bookmarkStart w:id="3" w:name="OLE_LINK4"/>
      <w:r>
        <w:rPr>
          <w:rFonts w:ascii="Book Antiqua" w:hAnsi="Book Antiqua" w:cs="Book Antiqua" w:hint="eastAsia"/>
          <w:color w:val="000000"/>
          <w:lang w:eastAsia="zh-CN"/>
        </w:rPr>
        <w:t>Province</w:t>
      </w:r>
      <w:bookmarkEnd w:id="2"/>
      <w:bookmarkEnd w:id="3"/>
      <w:r>
        <w:rPr>
          <w:rFonts w:ascii="Book Antiqua" w:eastAsia="Book Antiqua" w:hAnsi="Book Antiqua" w:cs="Book Antiqua"/>
          <w:color w:val="000000"/>
        </w:rPr>
        <w:t>, China</w:t>
      </w:r>
    </w:p>
    <w:p w14:paraId="4044E4FC" w14:textId="77777777" w:rsidR="007B6E23" w:rsidRDefault="007B6E23">
      <w:pPr>
        <w:spacing w:line="360" w:lineRule="auto"/>
        <w:jc w:val="both"/>
      </w:pPr>
    </w:p>
    <w:p w14:paraId="2E11683F" w14:textId="77777777" w:rsidR="007B6E23" w:rsidRDefault="006A3E19">
      <w:pPr>
        <w:spacing w:line="360" w:lineRule="auto"/>
        <w:jc w:val="both"/>
      </w:pPr>
      <w:r>
        <w:rPr>
          <w:rFonts w:ascii="Book Antiqua" w:eastAsia="Book Antiqua" w:hAnsi="Book Antiqua" w:cs="Book Antiqua"/>
          <w:b/>
          <w:bCs/>
          <w:color w:val="000000"/>
        </w:rPr>
        <w:t xml:space="preserve">Yan-Bo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Gene Sequencing Laboratory, Tianjin SINO-US-Diagnostics </w:t>
      </w:r>
      <w:proofErr w:type="spellStart"/>
      <w:r>
        <w:rPr>
          <w:rFonts w:ascii="Book Antiqua" w:eastAsia="Book Antiqua" w:hAnsi="Book Antiqua" w:cs="Book Antiqua"/>
          <w:color w:val="000000"/>
        </w:rPr>
        <w:t>Co.Ltd</w:t>
      </w:r>
      <w:proofErr w:type="spellEnd"/>
      <w:r>
        <w:rPr>
          <w:rFonts w:ascii="Book Antiqua" w:eastAsia="Book Antiqua" w:hAnsi="Book Antiqua" w:cs="Book Antiqua"/>
          <w:color w:val="000000"/>
        </w:rPr>
        <w:t>, Tianjin 300000, China</w:t>
      </w:r>
    </w:p>
    <w:p w14:paraId="6CD90FE0" w14:textId="77777777" w:rsidR="007B6E23" w:rsidRDefault="007B6E23">
      <w:pPr>
        <w:spacing w:line="360" w:lineRule="auto"/>
        <w:jc w:val="center"/>
      </w:pPr>
    </w:p>
    <w:p w14:paraId="5E430028" w14:textId="77777777" w:rsidR="007B6E23" w:rsidRDefault="006A3E19">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-Jing Chen, </w:t>
      </w:r>
      <w:r>
        <w:rPr>
          <w:rFonts w:ascii="Book Antiqua" w:eastAsia="Book Antiqua" w:hAnsi="Book Antiqua" w:cs="Book Antiqua"/>
          <w:color w:val="000000"/>
        </w:rPr>
        <w:t xml:space="preserve">Flow Cytometry Laboratory, Tianjin SINO-US-Diagnostics </w:t>
      </w:r>
      <w:proofErr w:type="spellStart"/>
      <w:r>
        <w:rPr>
          <w:rFonts w:ascii="Book Antiqua" w:eastAsia="Book Antiqua" w:hAnsi="Book Antiqua" w:cs="Book Antiqua"/>
          <w:color w:val="000000"/>
        </w:rPr>
        <w:t>Co.Ltd</w:t>
      </w:r>
      <w:proofErr w:type="spellEnd"/>
      <w:r>
        <w:rPr>
          <w:rFonts w:ascii="Book Antiqua" w:eastAsia="Book Antiqua" w:hAnsi="Book Antiqua" w:cs="Book Antiqua"/>
          <w:color w:val="000000"/>
        </w:rPr>
        <w:t>, Tianjin 300000, China</w:t>
      </w:r>
    </w:p>
    <w:p w14:paraId="4B69DB11" w14:textId="77777777" w:rsidR="007B6E23" w:rsidRDefault="007B6E23">
      <w:pPr>
        <w:spacing w:line="360" w:lineRule="auto"/>
        <w:jc w:val="both"/>
      </w:pPr>
    </w:p>
    <w:p w14:paraId="37060187" w14:textId="00651DD5" w:rsidR="007B6E23" w:rsidRDefault="006A3E1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XY and Min FL conceived and designed the study; Gao XH and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LJ provided the tissue samples and supplied the clinical and pathological information of the patient;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YB performed data analysis of Sanger sequences and next-generation sequencing; Chen XJ performed flow cytometry analysis; Liu XY, Min FL, and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YB drafted and revised the manuscript; All authors read and approved the final manuscript.</w:t>
      </w:r>
    </w:p>
    <w:p w14:paraId="7C757686" w14:textId="77777777" w:rsidR="007B6E23" w:rsidRDefault="007B6E23">
      <w:pPr>
        <w:spacing w:line="360" w:lineRule="auto"/>
        <w:ind w:firstLine="420"/>
        <w:jc w:val="both"/>
      </w:pPr>
    </w:p>
    <w:p w14:paraId="4150F4C1" w14:textId="77777777" w:rsidR="007B6E23" w:rsidRDefault="006A3E19">
      <w:pPr>
        <w:spacing w:line="360" w:lineRule="auto"/>
        <w:jc w:val="both"/>
        <w:rPr>
          <w:lang w:eastAsia="zh-CN"/>
        </w:rPr>
      </w:pPr>
      <w:proofErr w:type="gramStart"/>
      <w:r>
        <w:rPr>
          <w:rFonts w:ascii="Book Antiqua" w:eastAsia="Book Antiqua" w:hAnsi="Book Antiqua" w:cs="Book Antiqua"/>
          <w:b/>
          <w:bCs/>
          <w:color w:val="000000"/>
        </w:rPr>
        <w:lastRenderedPageBreak/>
        <w:t xml:space="preserve">Supported by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Project of Key Talents of Strengthening Health through Science and Education of Yangzhou City, China, </w:t>
      </w:r>
      <w:r>
        <w:rPr>
          <w:rFonts w:ascii="Book Antiqua" w:hAnsi="Book Antiqua" w:cs="Book Antiqua" w:hint="eastAsia"/>
          <w:color w:val="000000"/>
          <w:lang w:eastAsia="zh-CN"/>
        </w:rPr>
        <w:t>No.</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ZDRC201813</w:t>
      </w:r>
      <w:r>
        <w:rPr>
          <w:rFonts w:ascii="Book Antiqua" w:hAnsi="Book Antiqua" w:cs="Book Antiqua" w:hint="eastAsia"/>
          <w:color w:val="000000"/>
          <w:lang w:eastAsia="zh-CN"/>
        </w:rPr>
        <w:t>.</w:t>
      </w:r>
    </w:p>
    <w:p w14:paraId="59CA768A" w14:textId="77777777" w:rsidR="007B6E23" w:rsidRDefault="007B6E23">
      <w:pPr>
        <w:spacing w:line="360" w:lineRule="auto"/>
        <w:jc w:val="both"/>
      </w:pPr>
    </w:p>
    <w:p w14:paraId="47327196" w14:textId="77777777" w:rsidR="007B6E23" w:rsidRDefault="006A3E19">
      <w:pPr>
        <w:spacing w:line="360" w:lineRule="auto"/>
        <w:jc w:val="both"/>
      </w:pPr>
      <w:r>
        <w:rPr>
          <w:rFonts w:ascii="Book Antiqua" w:eastAsia="Book Antiqua" w:hAnsi="Book Antiqua" w:cs="Book Antiqua"/>
          <w:b/>
          <w:bCs/>
          <w:color w:val="000000"/>
        </w:rPr>
        <w:t xml:space="preserve">Corresponding author: Feng-Ling Min, MD, Chief Doctor, Professor, </w:t>
      </w:r>
      <w:r>
        <w:rPr>
          <w:rFonts w:ascii="Book Antiqua" w:eastAsia="Book Antiqua" w:hAnsi="Book Antiqua" w:cs="Book Antiqua"/>
          <w:color w:val="000000"/>
        </w:rPr>
        <w:t xml:space="preserve">Department of Hematology,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Affiliated Hospital of Yangzhou University, Yangzhou University, No. 368 </w:t>
      </w:r>
      <w:proofErr w:type="spellStart"/>
      <w:r>
        <w:rPr>
          <w:rFonts w:ascii="Book Antiqua" w:eastAsia="Book Antiqua" w:hAnsi="Book Antiqua" w:cs="Book Antiqua"/>
          <w:color w:val="000000"/>
        </w:rPr>
        <w:t>Hanjiang</w:t>
      </w:r>
      <w:proofErr w:type="spellEnd"/>
      <w:r>
        <w:rPr>
          <w:rFonts w:ascii="Book Antiqua" w:eastAsia="Book Antiqua" w:hAnsi="Book Antiqua" w:cs="Book Antiqua"/>
          <w:color w:val="000000"/>
        </w:rPr>
        <w:t xml:space="preserve"> Middle Road, Yangzhou 225000, 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1014121694@qq.com</w:t>
      </w:r>
    </w:p>
    <w:p w14:paraId="753C5F15" w14:textId="77777777" w:rsidR="007B6E23" w:rsidRDefault="007B6E23">
      <w:pPr>
        <w:spacing w:line="360" w:lineRule="auto"/>
        <w:jc w:val="both"/>
      </w:pPr>
    </w:p>
    <w:p w14:paraId="28188F6F" w14:textId="77777777" w:rsidR="007B6E23" w:rsidRDefault="006A3E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2020</w:t>
      </w:r>
    </w:p>
    <w:p w14:paraId="514350E4" w14:textId="77777777" w:rsidR="007B6E23" w:rsidRDefault="006A3E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1E83242E" w14:textId="77777777" w:rsidR="007B6E23" w:rsidRDefault="006A3E19">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 2021</w:t>
      </w:r>
    </w:p>
    <w:p w14:paraId="280FBB06" w14:textId="3C9AD414" w:rsidR="007B6E23" w:rsidRPr="00C3691F" w:rsidRDefault="006A3E19">
      <w:pPr>
        <w:spacing w:line="360" w:lineRule="auto"/>
        <w:jc w:val="both"/>
      </w:pPr>
      <w:r>
        <w:rPr>
          <w:rFonts w:ascii="Book Antiqua" w:eastAsia="Book Antiqua" w:hAnsi="Book Antiqua" w:cs="Book Antiqua"/>
          <w:b/>
          <w:bCs/>
          <w:color w:val="000000"/>
        </w:rPr>
        <w:t xml:space="preserve">Published online: </w:t>
      </w:r>
      <w:r w:rsidR="00441101">
        <w:rPr>
          <w:rFonts w:ascii="Book Antiqua" w:eastAsia="Book Antiqua" w:hAnsi="Book Antiqua" w:cs="Book Antiqua"/>
          <w:color w:val="000000"/>
        </w:rPr>
        <w:t>April</w:t>
      </w:r>
      <w:r w:rsidR="00C3691F" w:rsidRPr="00C3691F">
        <w:rPr>
          <w:rFonts w:ascii="Book Antiqua" w:eastAsia="Book Antiqua" w:hAnsi="Book Antiqua" w:cs="Book Antiqua"/>
          <w:color w:val="000000"/>
        </w:rPr>
        <w:t xml:space="preserve"> 6, 2021</w:t>
      </w:r>
    </w:p>
    <w:p w14:paraId="7E86A580" w14:textId="77777777" w:rsidR="007B6E23" w:rsidRDefault="007B6E23">
      <w:pPr>
        <w:spacing w:line="360" w:lineRule="auto"/>
        <w:jc w:val="both"/>
        <w:sectPr w:rsidR="007B6E23">
          <w:footerReference w:type="default" r:id="rId8"/>
          <w:pgSz w:w="12240" w:h="15840"/>
          <w:pgMar w:top="1440" w:right="1440" w:bottom="1440" w:left="1440" w:header="720" w:footer="720" w:gutter="0"/>
          <w:cols w:space="720"/>
          <w:docGrid w:linePitch="360"/>
        </w:sectPr>
      </w:pPr>
    </w:p>
    <w:p w14:paraId="0E8814EA" w14:textId="77777777" w:rsidR="007B6E23" w:rsidRDefault="006A3E19">
      <w:pPr>
        <w:spacing w:line="360" w:lineRule="auto"/>
        <w:jc w:val="both"/>
      </w:pPr>
      <w:r>
        <w:rPr>
          <w:rFonts w:ascii="Book Antiqua" w:eastAsia="Book Antiqua" w:hAnsi="Book Antiqua" w:cs="Book Antiqua"/>
          <w:b/>
          <w:color w:val="000000"/>
        </w:rPr>
        <w:lastRenderedPageBreak/>
        <w:t>Abstract</w:t>
      </w:r>
    </w:p>
    <w:p w14:paraId="159720C3" w14:textId="77777777" w:rsidR="007B6E23" w:rsidRDefault="006A3E19">
      <w:pPr>
        <w:spacing w:line="360" w:lineRule="auto"/>
        <w:jc w:val="both"/>
      </w:pPr>
      <w:r>
        <w:rPr>
          <w:rFonts w:ascii="Book Antiqua" w:eastAsia="Book Antiqua" w:hAnsi="Book Antiqua" w:cs="Book Antiqua"/>
          <w:color w:val="000000"/>
        </w:rPr>
        <w:t>BACKGROUND</w:t>
      </w:r>
    </w:p>
    <w:p w14:paraId="61D0A4D1" w14:textId="07226938" w:rsidR="007B6E23" w:rsidRDefault="006A3E19">
      <w:pPr>
        <w:spacing w:line="360" w:lineRule="auto"/>
        <w:jc w:val="both"/>
      </w:pPr>
      <w:bookmarkStart w:id="4" w:name="OLE_LINK13"/>
      <w:bookmarkStart w:id="5" w:name="OLE_LINK14"/>
      <w:r>
        <w:rPr>
          <w:rFonts w:ascii="Book Antiqua" w:eastAsia="Book Antiqua" w:hAnsi="Book Antiqua" w:cs="Book Antiqua"/>
          <w:color w:val="000000"/>
          <w:szCs w:val="21"/>
        </w:rPr>
        <w:t xml:space="preserve">Familial </w:t>
      </w:r>
      <w:bookmarkEnd w:id="4"/>
      <w:bookmarkEnd w:id="5"/>
      <w:proofErr w:type="spellStart"/>
      <w:r>
        <w:rPr>
          <w:rFonts w:ascii="Book Antiqua" w:eastAsia="Book Antiqua" w:hAnsi="Book Antiqua" w:cs="Book Antiqua"/>
          <w:color w:val="000000"/>
          <w:szCs w:val="21"/>
        </w:rPr>
        <w:t>hemophagocytic</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lymphohistiocytosis</w:t>
      </w:r>
      <w:proofErr w:type="spellEnd"/>
      <w:r>
        <w:rPr>
          <w:rFonts w:ascii="Book Antiqua" w:eastAsia="Book Antiqua" w:hAnsi="Book Antiqua" w:cs="Book Antiqua"/>
          <w:color w:val="000000"/>
          <w:szCs w:val="21"/>
        </w:rPr>
        <w:t> </w:t>
      </w:r>
      <w:bookmarkStart w:id="6" w:name="OLE_LINK7"/>
      <w:bookmarkStart w:id="7" w:name="OLE_LINK8"/>
      <w:r>
        <w:rPr>
          <w:rFonts w:ascii="Book Antiqua" w:eastAsia="Book Antiqua" w:hAnsi="Book Antiqua" w:cs="Book Antiqua"/>
          <w:color w:val="000000"/>
          <w:szCs w:val="21"/>
        </w:rPr>
        <w:t>(FHL)</w:t>
      </w:r>
      <w:bookmarkEnd w:id="6"/>
      <w:bookmarkEnd w:id="7"/>
      <w:r>
        <w:rPr>
          <w:rFonts w:ascii="Book Antiqua" w:eastAsia="Book Antiqua" w:hAnsi="Book Antiqua" w:cs="Book Antiqua"/>
          <w:color w:val="000000"/>
          <w:szCs w:val="21"/>
        </w:rPr>
        <w:t xml:space="preserve"> is a primary immunodeficiency disease caused by gene defects. The onset of FHL in adolescents and adults may lead clinicians to ignore or even misdiagnose the disease. To the best of our knowledge, this is the first report to detail the clinical features of type 2 </w:t>
      </w:r>
      <w:r>
        <w:rPr>
          <w:rFonts w:ascii="Book Antiqua" w:hAnsi="Book Antiqua" w:cs="Book Antiqua" w:hint="eastAsia"/>
          <w:color w:val="000000"/>
          <w:szCs w:val="21"/>
          <w:lang w:eastAsia="zh-CN"/>
        </w:rPr>
        <w:t>FHL</w:t>
      </w:r>
      <w:r>
        <w:rPr>
          <w:rFonts w:ascii="Book Antiqua" w:eastAsia="Book Antiqua" w:hAnsi="Book Antiqua" w:cs="Book Antiqua"/>
          <w:color w:val="000000"/>
          <w:szCs w:val="21"/>
        </w:rPr>
        <w:t xml:space="preserve"> (FHL2) with compound heterozygous perforin (</w:t>
      </w:r>
      <w:r>
        <w:rPr>
          <w:rFonts w:ascii="Book Antiqua" w:eastAsia="Book Antiqua" w:hAnsi="Book Antiqua" w:cs="Book Antiqua"/>
          <w:i/>
          <w:iCs/>
          <w:color w:val="000000"/>
          <w:szCs w:val="21"/>
        </w:rPr>
        <w:t>PRF1</w:t>
      </w:r>
      <w:r w:rsidRPr="001C6AB1">
        <w:rPr>
          <w:rFonts w:ascii="Book Antiqua" w:eastAsia="Book Antiqua" w:hAnsi="Book Antiqua" w:cs="Book Antiqua"/>
          <w:color w:val="000000"/>
          <w:szCs w:val="21"/>
        </w:rPr>
        <w:t>)</w:t>
      </w:r>
      <w:r>
        <w:rPr>
          <w:rFonts w:ascii="Book Antiqua" w:eastAsia="Book Antiqua" w:hAnsi="Book Antiqua" w:cs="Book Antiqua"/>
          <w:color w:val="000000"/>
          <w:szCs w:val="21"/>
        </w:rPr>
        <w:t> defects involving the c.163C&gt;T mutation, in addition to correlation analysis and a literature review.</w:t>
      </w:r>
    </w:p>
    <w:p w14:paraId="1C4FC6D0" w14:textId="77777777" w:rsidR="007B6E23" w:rsidRDefault="007B6E23">
      <w:pPr>
        <w:spacing w:line="360" w:lineRule="auto"/>
        <w:jc w:val="both"/>
      </w:pPr>
    </w:p>
    <w:p w14:paraId="3B8AC7B8" w14:textId="77777777" w:rsidR="007B6E23" w:rsidRDefault="006A3E19">
      <w:pPr>
        <w:spacing w:line="360" w:lineRule="auto"/>
        <w:jc w:val="both"/>
      </w:pPr>
      <w:r>
        <w:rPr>
          <w:rFonts w:ascii="Book Antiqua" w:eastAsia="Book Antiqua" w:hAnsi="Book Antiqua" w:cs="Book Antiqua"/>
          <w:color w:val="000000"/>
        </w:rPr>
        <w:t>CASE SUMMARY</w:t>
      </w:r>
    </w:p>
    <w:p w14:paraId="561CB37C" w14:textId="7F84D619" w:rsidR="007B6E23" w:rsidRDefault="006A3E19">
      <w:pPr>
        <w:spacing w:line="360" w:lineRule="auto"/>
        <w:jc w:val="both"/>
      </w:pPr>
      <w:r>
        <w:rPr>
          <w:rFonts w:ascii="Book Antiqua" w:eastAsia="Book Antiqua" w:hAnsi="Book Antiqua" w:cs="Book Antiqua"/>
          <w:color w:val="000000"/>
          <w:szCs w:val="21"/>
        </w:rPr>
        <w:t xml:space="preserve">We report a case of a 27-year-old male patient with FHL2, who was admitted with a persistent fever and pancytopenia. Through next-generation sequencing technology of </w:t>
      </w:r>
      <w:bookmarkStart w:id="8" w:name="OLE_LINK9"/>
      <w:bookmarkStart w:id="9" w:name="OLE_LINK10"/>
      <w:bookmarkStart w:id="10" w:name="OLE_LINK11"/>
      <w:bookmarkStart w:id="11" w:name="OLE_LINK12"/>
      <w:bookmarkStart w:id="12" w:name="OLE_LINK5"/>
      <w:bookmarkStart w:id="13" w:name="OLE_LINK6"/>
      <w:proofErr w:type="spellStart"/>
      <w:r>
        <w:rPr>
          <w:rFonts w:ascii="Book Antiqua" w:eastAsia="Book Antiqua" w:hAnsi="Book Antiqua" w:cs="Book Antiqua"/>
          <w:color w:val="000000"/>
          <w:szCs w:val="21"/>
        </w:rPr>
        <w:t>hemophagocytic</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lymphohistiocytosis</w:t>
      </w:r>
      <w:bookmarkEnd w:id="8"/>
      <w:bookmarkEnd w:id="9"/>
      <w:proofErr w:type="spellEnd"/>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HLH</w:t>
      </w:r>
      <w:r>
        <w:rPr>
          <w:rFonts w:ascii="Book Antiqua" w:hAnsi="Book Antiqua" w:cs="Book Antiqua" w:hint="eastAsia"/>
          <w:color w:val="000000"/>
          <w:szCs w:val="21"/>
          <w:lang w:eastAsia="zh-CN"/>
        </w:rPr>
        <w:t>)</w:t>
      </w:r>
      <w:bookmarkEnd w:id="10"/>
      <w:bookmarkEnd w:id="11"/>
      <w:r>
        <w:rPr>
          <w:rFonts w:ascii="Book Antiqua" w:eastAsia="Book Antiqua" w:hAnsi="Book Antiqua" w:cs="Book Antiqua"/>
          <w:color w:val="000000"/>
          <w:szCs w:val="21"/>
        </w:rPr>
        <w:t>-</w:t>
      </w:r>
      <w:bookmarkEnd w:id="12"/>
      <w:bookmarkEnd w:id="13"/>
      <w:r>
        <w:rPr>
          <w:rFonts w:ascii="Book Antiqua" w:eastAsia="Book Antiqua" w:hAnsi="Book Antiqua" w:cs="Book Antiqua"/>
          <w:color w:val="000000"/>
          <w:szCs w:val="21"/>
        </w:rPr>
        <w:t>related genes, we found compound heterozygous mutations of </w:t>
      </w:r>
      <w:r>
        <w:rPr>
          <w:rFonts w:ascii="Book Antiqua" w:eastAsia="Book Antiqua" w:hAnsi="Book Antiqua" w:cs="Book Antiqua"/>
          <w:i/>
          <w:iCs/>
          <w:color w:val="000000"/>
          <w:szCs w:val="21"/>
        </w:rPr>
        <w:t>PRF1</w:t>
      </w:r>
      <w:r>
        <w:rPr>
          <w:rFonts w:ascii="Book Antiqua" w:eastAsia="Book Antiqua" w:hAnsi="Book Antiqua" w:cs="Book Antiqua"/>
          <w:color w:val="000000"/>
        </w:rPr>
        <w:t xml:space="preserve">: c.65delC </w:t>
      </w:r>
      <w:r>
        <w:rPr>
          <w:rFonts w:ascii="Book Antiqua" w:hAnsi="Book Antiqua" w:cs="Book Antiqua" w:hint="eastAsia"/>
          <w:color w:val="000000"/>
          <w:lang w:eastAsia="zh-CN"/>
        </w:rPr>
        <w:t>(</w:t>
      </w:r>
      <w:r>
        <w:rPr>
          <w:rFonts w:ascii="Book Antiqua" w:eastAsia="Book Antiqua" w:hAnsi="Book Antiqua" w:cs="Book Antiqua"/>
          <w:color w:val="000000"/>
        </w:rPr>
        <w:t>p.Pro22Argfs*29</w:t>
      </w:r>
      <w:r>
        <w:rPr>
          <w:rFonts w:ascii="Book Antiqua" w:hAnsi="Book Antiqua" w:cs="Book Antiqua" w:hint="eastAsia"/>
          <w:color w:val="000000"/>
          <w:lang w:eastAsia="zh-CN"/>
        </w:rPr>
        <w:t>)</w:t>
      </w:r>
      <w:r>
        <w:rPr>
          <w:rFonts w:ascii="Book Antiqua" w:eastAsia="Book Antiqua" w:hAnsi="Book Antiqua" w:cs="Book Antiqua"/>
          <w:color w:val="000000"/>
        </w:rPr>
        <w:t xml:space="preserve"> (frameshift mutation</w:t>
      </w:r>
      <w:r>
        <w:rPr>
          <w:rFonts w:ascii="Book Antiqua" w:eastAsia="Book Antiqua" w:hAnsi="Book Antiqua" w:cs="Book Antiqua"/>
          <w:color w:val="000000"/>
          <w:szCs w:val="21"/>
        </w:rPr>
        <w:t>, paternal</w:t>
      </w:r>
      <w:r>
        <w:rPr>
          <w:rFonts w:ascii="Book Antiqua" w:eastAsia="Book Antiqua" w:hAnsi="Book Antiqua" w:cs="Book Antiqua"/>
          <w:color w:val="000000"/>
        </w:rPr>
        <w:t xml:space="preserve">) and c.163C&gt;T </w:t>
      </w:r>
      <w:r>
        <w:rPr>
          <w:rFonts w:ascii="Book Antiqua" w:hAnsi="Book Antiqua" w:cs="Book Antiqua" w:hint="eastAsia"/>
          <w:color w:val="000000"/>
          <w:lang w:eastAsia="zh-CN"/>
        </w:rPr>
        <w:t>(</w:t>
      </w:r>
      <w:r>
        <w:rPr>
          <w:rFonts w:ascii="Book Antiqua" w:eastAsia="Book Antiqua" w:hAnsi="Book Antiqua" w:cs="Book Antiqua"/>
          <w:color w:val="000000"/>
        </w:rPr>
        <w:t>p.Arg55Cys</w:t>
      </w:r>
      <w:r>
        <w:rPr>
          <w:rFonts w:ascii="Book Antiqua" w:hAnsi="Book Antiqua" w:cs="Book Antiqua" w:hint="eastAsia"/>
          <w:color w:val="000000"/>
          <w:lang w:eastAsia="zh-CN"/>
        </w:rPr>
        <w:t>)</w:t>
      </w:r>
      <w:r>
        <w:rPr>
          <w:rFonts w:ascii="Book Antiqua" w:eastAsia="Book Antiqua" w:hAnsi="Book Antiqua" w:cs="Book Antiqua"/>
          <w:color w:val="000000"/>
        </w:rPr>
        <w:t xml:space="preserve"> (missense mutation</w:t>
      </w:r>
      <w:r>
        <w:rPr>
          <w:rFonts w:ascii="Book Antiqua" w:eastAsia="Book Antiqua" w:hAnsi="Book Antiqua" w:cs="Book Antiqua"/>
          <w:color w:val="000000"/>
          <w:szCs w:val="21"/>
        </w:rPr>
        <w:t xml:space="preserve">, maternal). Although he did not receive hematopoietic stem cell transplantation, the patient achieved complete remission after receiving HLH-2004 treatment protocol. To date, the patient has stopped taking drugs for 15 </w:t>
      </w:r>
      <w:proofErr w:type="spellStart"/>
      <w:proofErr w:type="gramStart"/>
      <w:r>
        <w:rPr>
          <w:rFonts w:ascii="Book Antiqua" w:eastAsia="Book Antiqua" w:hAnsi="Book Antiqua" w:cs="Book Antiqua"/>
          <w:color w:val="000000"/>
          <w:szCs w:val="21"/>
        </w:rPr>
        <w:t>mo</w:t>
      </w:r>
      <w:proofErr w:type="spellEnd"/>
      <w:proofErr w:type="gramEnd"/>
      <w:r>
        <w:rPr>
          <w:rFonts w:ascii="Book Antiqua" w:eastAsia="Book Antiqua" w:hAnsi="Book Antiqua" w:cs="Book Antiqua"/>
          <w:color w:val="000000"/>
          <w:szCs w:val="21"/>
        </w:rPr>
        <w:t>, is in a stable condition, and is under follow-up observation.</w:t>
      </w:r>
    </w:p>
    <w:p w14:paraId="261E8D7D" w14:textId="77777777" w:rsidR="007B6E23" w:rsidRDefault="007B6E23">
      <w:pPr>
        <w:spacing w:line="360" w:lineRule="auto"/>
        <w:jc w:val="both"/>
      </w:pPr>
    </w:p>
    <w:p w14:paraId="7D26CE65" w14:textId="77777777" w:rsidR="007B6E23" w:rsidRDefault="006A3E19">
      <w:pPr>
        <w:spacing w:line="360" w:lineRule="auto"/>
        <w:jc w:val="both"/>
      </w:pPr>
      <w:r>
        <w:rPr>
          <w:rFonts w:ascii="Book Antiqua" w:eastAsia="Book Antiqua" w:hAnsi="Book Antiqua" w:cs="Book Antiqua"/>
          <w:color w:val="000000"/>
        </w:rPr>
        <w:t>CONCLUSION</w:t>
      </w:r>
    </w:p>
    <w:p w14:paraId="54C8FEAA" w14:textId="77777777" w:rsidR="007B6E23" w:rsidRDefault="006A3E19">
      <w:pPr>
        <w:spacing w:line="360" w:lineRule="auto"/>
        <w:jc w:val="both"/>
      </w:pPr>
      <w:r>
        <w:rPr>
          <w:rFonts w:ascii="Book Antiqua" w:eastAsia="Book Antiqua" w:hAnsi="Book Antiqua" w:cs="Book Antiqua"/>
          <w:color w:val="000000"/>
          <w:szCs w:val="21"/>
        </w:rPr>
        <w:t xml:space="preserve">The delayed onset of FHL2 may be related to the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mutation type, pathogenic variation pattern, triggering factors, and the temperature sensitivity of some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mutations. For individual, the detailed reason for the delay in the onset of FHL warrants further investigation.</w:t>
      </w:r>
    </w:p>
    <w:p w14:paraId="3DDE90E8" w14:textId="77777777" w:rsidR="007B6E23" w:rsidRDefault="007B6E23">
      <w:pPr>
        <w:spacing w:line="360" w:lineRule="auto"/>
        <w:jc w:val="both"/>
      </w:pPr>
    </w:p>
    <w:p w14:paraId="1E69E342" w14:textId="77777777" w:rsidR="007B6E23" w:rsidRDefault="006A3E19">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Perforin; </w:t>
      </w:r>
      <w:r>
        <w:rPr>
          <w:rFonts w:ascii="Book Antiqua" w:eastAsia="Book Antiqua" w:hAnsi="Book Antiqua" w:cs="Book Antiqua"/>
          <w:i/>
          <w:color w:val="000000"/>
        </w:rPr>
        <w:t>PRF1</w:t>
      </w:r>
      <w:r>
        <w:rPr>
          <w:rFonts w:ascii="Book Antiqua" w:eastAsia="Book Antiqua" w:hAnsi="Book Antiqua" w:cs="Book Antiqua"/>
          <w:color w:val="000000"/>
        </w:rPr>
        <w:t xml:space="preserve"> mutation; Late-onset; Case report</w:t>
      </w:r>
    </w:p>
    <w:p w14:paraId="28E1189F" w14:textId="77777777" w:rsidR="00312CDD" w:rsidRPr="00312CDD" w:rsidRDefault="00312CDD">
      <w:pPr>
        <w:spacing w:line="360" w:lineRule="auto"/>
        <w:jc w:val="both"/>
        <w:rPr>
          <w:rFonts w:hint="eastAsia"/>
          <w:lang w:eastAsia="zh-CN"/>
        </w:rPr>
      </w:pPr>
    </w:p>
    <w:p w14:paraId="7809BE93" w14:textId="77777777" w:rsidR="00312CDD" w:rsidRDefault="00312CDD" w:rsidP="00312CD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F401FAF" w14:textId="77777777" w:rsidR="007B6E23" w:rsidRDefault="007B6E23">
      <w:pPr>
        <w:spacing w:line="360" w:lineRule="auto"/>
        <w:jc w:val="both"/>
      </w:pPr>
    </w:p>
    <w:p w14:paraId="3A0C6C11" w14:textId="5D0790DA" w:rsidR="007B6E23" w:rsidRPr="00C46749" w:rsidRDefault="006A3E19">
      <w:pPr>
        <w:spacing w:line="360" w:lineRule="auto"/>
        <w:jc w:val="both"/>
        <w:rPr>
          <w:rFonts w:hint="eastAsia"/>
          <w:lang w:eastAsia="zh-CN"/>
        </w:rPr>
      </w:pPr>
      <w:r>
        <w:rPr>
          <w:rFonts w:ascii="Book Antiqua" w:eastAsia="Book Antiqua" w:hAnsi="Book Antiqua" w:cs="Book Antiqua"/>
          <w:color w:val="000000"/>
        </w:rPr>
        <w:t xml:space="preserve">Liu XY,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YB, Chen XJ,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XH,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LJ, Min FL. Adult onset type 2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with </w:t>
      </w:r>
      <w:r>
        <w:rPr>
          <w:rFonts w:ascii="Book Antiqua" w:eastAsia="Book Antiqua" w:hAnsi="Book Antiqua" w:cs="Book Antiqua"/>
          <w:i/>
          <w:color w:val="000000"/>
        </w:rPr>
        <w:t>PRF1</w:t>
      </w:r>
      <w:r>
        <w:rPr>
          <w:rFonts w:ascii="Book Antiqua" w:eastAsia="Book Antiqua" w:hAnsi="Book Antiqua" w:cs="Book Antiqua"/>
          <w:color w:val="000000"/>
        </w:rPr>
        <w:t xml:space="preserve"> c.65delC/c.163C&gt;T compound heterozygous mutations: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5B23B2" w:rsidRPr="005B23B2">
        <w:rPr>
          <w:rFonts w:ascii="Book Antiqua" w:eastAsia="Book Antiqua" w:hAnsi="Book Antiqua" w:cs="Book Antiqua"/>
          <w:color w:val="000000"/>
        </w:rPr>
        <w:t>9(</w:t>
      </w:r>
      <w:r w:rsidR="008F3A3A">
        <w:rPr>
          <w:rFonts w:ascii="Book Antiqua" w:eastAsia="Book Antiqua" w:hAnsi="Book Antiqua" w:cs="Book Antiqua"/>
          <w:color w:val="000000"/>
        </w:rPr>
        <w:t>10</w:t>
      </w:r>
      <w:r w:rsidR="005B23B2" w:rsidRPr="005B23B2">
        <w:rPr>
          <w:rFonts w:ascii="Book Antiqua" w:eastAsia="Book Antiqua" w:hAnsi="Book Antiqua" w:cs="Book Antiqua"/>
          <w:color w:val="000000"/>
        </w:rPr>
        <w:t xml:space="preserve">): </w:t>
      </w:r>
      <w:r w:rsidR="00301DE7">
        <w:rPr>
          <w:rFonts w:ascii="Book Antiqua" w:hAnsi="Book Antiqua" w:cs="Book Antiqua" w:hint="eastAsia"/>
          <w:color w:val="000000"/>
          <w:lang w:eastAsia="zh-CN"/>
        </w:rPr>
        <w:t>2289</w:t>
      </w:r>
      <w:r w:rsidR="00C46749">
        <w:rPr>
          <w:rFonts w:ascii="Book Antiqua" w:hAnsi="Book Antiqua" w:cs="Book Antiqua" w:hint="eastAsia"/>
          <w:color w:val="000000"/>
          <w:lang w:eastAsia="zh-CN"/>
        </w:rPr>
        <w:t>-</w:t>
      </w:r>
      <w:proofErr w:type="gramStart"/>
      <w:r w:rsidR="00C46749">
        <w:rPr>
          <w:rFonts w:ascii="Book Antiqua" w:hAnsi="Book Antiqua" w:cs="Book Antiqua" w:hint="eastAsia"/>
          <w:color w:val="000000"/>
          <w:lang w:eastAsia="zh-CN"/>
        </w:rPr>
        <w:t>2295</w:t>
      </w:r>
      <w:r w:rsidR="005B23B2" w:rsidRPr="005B23B2">
        <w:rPr>
          <w:rFonts w:ascii="Book Antiqua" w:eastAsia="Book Antiqua" w:hAnsi="Book Antiqua" w:cs="Book Antiqua"/>
          <w:color w:val="000000"/>
        </w:rPr>
        <w:t xml:space="preserve">  URL</w:t>
      </w:r>
      <w:proofErr w:type="gramEnd"/>
      <w:r w:rsidR="005B23B2" w:rsidRPr="005B23B2">
        <w:rPr>
          <w:rFonts w:ascii="Book Antiqua" w:eastAsia="Book Antiqua" w:hAnsi="Book Antiqua" w:cs="Book Antiqua"/>
          <w:color w:val="000000"/>
        </w:rPr>
        <w:t>: https://www.wjgnet.com/2307-8960/full/v9/i</w:t>
      </w:r>
      <w:r w:rsidR="008F3A3A">
        <w:rPr>
          <w:rFonts w:ascii="Book Antiqua" w:eastAsia="Book Antiqua" w:hAnsi="Book Antiqua" w:cs="Book Antiqua"/>
          <w:color w:val="000000"/>
        </w:rPr>
        <w:t>10</w:t>
      </w:r>
      <w:r w:rsidR="005B23B2" w:rsidRPr="005B23B2">
        <w:rPr>
          <w:rFonts w:ascii="Book Antiqua" w:eastAsia="Book Antiqua" w:hAnsi="Book Antiqua" w:cs="Book Antiqua"/>
          <w:color w:val="000000"/>
        </w:rPr>
        <w:t>/</w:t>
      </w:r>
      <w:r w:rsidR="00C46749">
        <w:rPr>
          <w:rFonts w:ascii="Book Antiqua" w:hAnsi="Book Antiqua" w:cs="Book Antiqua" w:hint="eastAsia"/>
          <w:color w:val="000000"/>
          <w:lang w:eastAsia="zh-CN"/>
        </w:rPr>
        <w:t>2289</w:t>
      </w:r>
      <w:r w:rsidR="005B23B2" w:rsidRPr="005B23B2">
        <w:rPr>
          <w:rFonts w:ascii="Book Antiqua" w:eastAsia="Book Antiqua" w:hAnsi="Book Antiqua" w:cs="Book Antiqua"/>
          <w:color w:val="000000"/>
        </w:rPr>
        <w:t>.htm  DOI: https://dx.doi.org/10.12998/wjcc.v9.i</w:t>
      </w:r>
      <w:r w:rsidR="008F3A3A">
        <w:rPr>
          <w:rFonts w:ascii="Book Antiqua" w:eastAsia="Book Antiqua" w:hAnsi="Book Antiqua" w:cs="Book Antiqua"/>
          <w:color w:val="000000"/>
        </w:rPr>
        <w:t>10</w:t>
      </w:r>
      <w:r w:rsidR="005B23B2" w:rsidRPr="005B23B2">
        <w:rPr>
          <w:rFonts w:ascii="Book Antiqua" w:eastAsia="Book Antiqua" w:hAnsi="Book Antiqua" w:cs="Book Antiqua"/>
          <w:color w:val="000000"/>
        </w:rPr>
        <w:t>.</w:t>
      </w:r>
      <w:r w:rsidR="00C46749">
        <w:rPr>
          <w:rFonts w:ascii="Book Antiqua" w:hAnsi="Book Antiqua" w:cs="Book Antiqua" w:hint="eastAsia"/>
          <w:color w:val="000000"/>
          <w:lang w:eastAsia="zh-CN"/>
        </w:rPr>
        <w:t>2289</w:t>
      </w:r>
    </w:p>
    <w:p w14:paraId="099AACCF" w14:textId="77777777" w:rsidR="007B6E23" w:rsidRDefault="007B6E23">
      <w:pPr>
        <w:spacing w:line="360" w:lineRule="auto"/>
        <w:jc w:val="both"/>
      </w:pPr>
    </w:p>
    <w:p w14:paraId="0DE43281" w14:textId="4D2E42C7" w:rsidR="007B6E23" w:rsidRDefault="006A3E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(FHL), the perforin (</w:t>
      </w:r>
      <w:r>
        <w:rPr>
          <w:rFonts w:ascii="Book Antiqua" w:eastAsia="Book Antiqua" w:hAnsi="Book Antiqua" w:cs="Book Antiqua"/>
          <w:i/>
          <w:color w:val="000000"/>
        </w:rPr>
        <w:t>PRF1)</w:t>
      </w:r>
      <w:r>
        <w:rPr>
          <w:rFonts w:ascii="Book Antiqua" w:eastAsia="Book Antiqua" w:hAnsi="Book Antiqua" w:cs="Book Antiqua"/>
          <w:color w:val="000000"/>
        </w:rPr>
        <w:t xml:space="preserve">: c.163C&gt;T mutation is rare and the clinical features have not been reported. We discuss a case of adult onset type 2 </w:t>
      </w:r>
      <w:r>
        <w:rPr>
          <w:rFonts w:ascii="Book Antiqua" w:hAnsi="Book Antiqua" w:cs="Book Antiqua" w:hint="eastAsia"/>
          <w:color w:val="000000"/>
          <w:lang w:eastAsia="zh-CN"/>
        </w:rPr>
        <w:t>FHL</w:t>
      </w:r>
      <w:r>
        <w:rPr>
          <w:rFonts w:ascii="Book Antiqua" w:eastAsia="Book Antiqua" w:hAnsi="Book Antiqua" w:cs="Book Antiqua"/>
          <w:color w:val="000000"/>
        </w:rPr>
        <w:t xml:space="preserve"> with </w:t>
      </w:r>
      <w:r>
        <w:rPr>
          <w:rFonts w:ascii="Book Antiqua" w:eastAsia="Book Antiqua" w:hAnsi="Book Antiqua" w:cs="Book Antiqua"/>
          <w:i/>
          <w:color w:val="000000"/>
        </w:rPr>
        <w:t>PRF1</w:t>
      </w:r>
      <w:r>
        <w:rPr>
          <w:rFonts w:ascii="Book Antiqua" w:eastAsia="Book Antiqua" w:hAnsi="Book Antiqua" w:cs="Book Antiqua"/>
          <w:color w:val="000000"/>
        </w:rPr>
        <w:t xml:space="preserve"> c.65delC/c.163C&gt;T compound heterozygous mutations, and conduct a predictive analysis of the effects of the two mutations on PRF1 function and disease onset.</w:t>
      </w:r>
    </w:p>
    <w:p w14:paraId="06724646" w14:textId="77777777" w:rsidR="007B6E23" w:rsidRDefault="007B6E23">
      <w:pPr>
        <w:spacing w:line="360" w:lineRule="auto"/>
        <w:jc w:val="both"/>
      </w:pPr>
    </w:p>
    <w:p w14:paraId="68FEA2E0" w14:textId="77777777" w:rsidR="007B6E23" w:rsidRDefault="006A3E19">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BBB551A" w14:textId="4DAF4A9F" w:rsidR="007B6E23" w:rsidRDefault="006A3E19">
      <w:pPr>
        <w:spacing w:line="360" w:lineRule="auto"/>
        <w:jc w:val="both"/>
      </w:pPr>
      <w:proofErr w:type="spellStart"/>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emophagocytic</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lymphohistiocytosis</w:t>
      </w:r>
      <w:proofErr w:type="spellEnd"/>
      <w:r>
        <w:rPr>
          <w:rFonts w:ascii="Book Antiqua" w:eastAsia="Book Antiqua" w:hAnsi="Book Antiqua" w:cs="Book Antiqua"/>
          <w:color w:val="000000"/>
          <w:szCs w:val="21"/>
        </w:rPr>
        <w:t xml:space="preserve"> </w:t>
      </w:r>
      <w:r>
        <w:rPr>
          <w:rFonts w:ascii="Book Antiqua" w:hAnsi="Book Antiqua" w:cs="Book Antiqua"/>
          <w:color w:val="000000"/>
          <w:szCs w:val="21"/>
          <w:lang w:eastAsia="zh-CN"/>
        </w:rPr>
        <w:t>(</w:t>
      </w:r>
      <w:bookmarkStart w:id="14" w:name="OLE_LINK15"/>
      <w:r>
        <w:rPr>
          <w:rFonts w:ascii="Book Antiqua" w:eastAsia="Book Antiqua" w:hAnsi="Book Antiqua" w:cs="Book Antiqua"/>
          <w:color w:val="000000"/>
          <w:szCs w:val="21"/>
        </w:rPr>
        <w:t>HLH</w:t>
      </w:r>
      <w:bookmarkEnd w:id="14"/>
      <w:r>
        <w:rPr>
          <w:rFonts w:ascii="Book Antiqua" w:hAnsi="Book Antiqua" w:cs="Book Antiqua"/>
          <w:color w:val="000000"/>
          <w:szCs w:val="21"/>
          <w:lang w:eastAsia="zh-CN"/>
        </w:rPr>
        <w:t>)</w:t>
      </w:r>
      <w:r>
        <w:rPr>
          <w:rFonts w:ascii="Book Antiqua" w:eastAsia="Book Antiqua" w:hAnsi="Book Antiqua" w:cs="Book Antiqua"/>
          <w:color w:val="000000"/>
        </w:rPr>
        <w:t xml:space="preserve"> can be divided into primary (familial) form and secondary form. </w:t>
      </w:r>
      <w:r>
        <w:rPr>
          <w:rFonts w:ascii="Book Antiqua" w:eastAsia="Book Antiqua" w:hAnsi="Book Antiqua" w:cs="Book Antiqua"/>
          <w:color w:val="000000"/>
          <w:szCs w:val="21"/>
        </w:rPr>
        <w:t>Familial HLH</w:t>
      </w:r>
      <w:r>
        <w:rPr>
          <w:rFonts w:ascii="Book Antiqua" w:hAnsi="Book Antiqua" w:cs="Book Antiqua" w:hint="eastAsia"/>
          <w:color w:val="000000"/>
          <w:szCs w:val="21"/>
          <w:lang w:eastAsia="zh-CN"/>
        </w:rPr>
        <w:t xml:space="preserve"> (FHL)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is a rare autosomal recessive genetic disease, which is more common in children under 2-year-old, with a high fatality rate. Secondary HLH is more common in adolescents and adults, and can be induced by some specific factors. In recent years, there have been some reports of late-onset FHL in adolescents or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so age is no longer the restriction for FHL diagnosis. To date, five subtypes of FHL (FHL1-5) and their pathogenic genes have been reported: </w:t>
      </w:r>
      <w:r w:rsidR="006F4142">
        <w:rPr>
          <w:rFonts w:ascii="Book Antiqua" w:eastAsia="Book Antiqua" w:hAnsi="Book Antiqua" w:cs="Book Antiqua"/>
          <w:color w:val="000000"/>
        </w:rPr>
        <w:t>P</w:t>
      </w:r>
      <w:r>
        <w:rPr>
          <w:rFonts w:ascii="Book Antiqua" w:eastAsia="Book Antiqua" w:hAnsi="Book Antiqua" w:cs="Book Antiqua"/>
          <w:color w:val="000000"/>
        </w:rPr>
        <w:t>erforin (</w:t>
      </w:r>
      <w:r>
        <w:rPr>
          <w:rFonts w:ascii="Book Antiqua" w:eastAsia="Book Antiqua" w:hAnsi="Book Antiqua" w:cs="Book Antiqua"/>
          <w:i/>
          <w:iCs/>
          <w:color w:val="000000"/>
        </w:rPr>
        <w:t>PRF1</w:t>
      </w:r>
      <w:r>
        <w:rPr>
          <w:rFonts w:ascii="Book Antiqua" w:eastAsia="Book Antiqua" w:hAnsi="Book Antiqua" w:cs="Book Antiqua"/>
          <w:color w:val="000000"/>
        </w:rPr>
        <w:t>, FHL2), unc-13 homolog D (</w:t>
      </w:r>
      <w:r>
        <w:rPr>
          <w:rFonts w:ascii="Book Antiqua" w:eastAsia="Book Antiqua" w:hAnsi="Book Antiqua" w:cs="Book Antiqua"/>
          <w:i/>
          <w:iCs/>
          <w:color w:val="000000"/>
        </w:rPr>
        <w:t>UNC13D</w:t>
      </w:r>
      <w:r>
        <w:rPr>
          <w:rFonts w:ascii="Book Antiqua" w:eastAsia="Book Antiqua" w:hAnsi="Book Antiqua" w:cs="Book Antiqua"/>
          <w:color w:val="000000"/>
        </w:rPr>
        <w:t>, FHL3), </w:t>
      </w:r>
      <w:proofErr w:type="spellStart"/>
      <w:r>
        <w:rPr>
          <w:rFonts w:ascii="Book Antiqua" w:eastAsia="Book Antiqua" w:hAnsi="Book Antiqua" w:cs="Book Antiqua"/>
          <w:color w:val="000000"/>
        </w:rPr>
        <w:t>syntaxin</w:t>
      </w:r>
      <w:proofErr w:type="spellEnd"/>
      <w:r>
        <w:rPr>
          <w:rFonts w:ascii="Book Antiqua" w:eastAsia="Book Antiqua" w:hAnsi="Book Antiqua" w:cs="Book Antiqua"/>
          <w:color w:val="000000"/>
        </w:rPr>
        <w:t xml:space="preserve"> 11 (</w:t>
      </w:r>
      <w:r>
        <w:rPr>
          <w:rFonts w:ascii="Book Antiqua" w:eastAsia="Book Antiqua" w:hAnsi="Book Antiqua" w:cs="Book Antiqua"/>
          <w:i/>
          <w:iCs/>
          <w:color w:val="000000"/>
        </w:rPr>
        <w:t>STX11</w:t>
      </w:r>
      <w:r>
        <w:rPr>
          <w:rFonts w:ascii="Book Antiqua" w:eastAsia="Book Antiqua" w:hAnsi="Book Antiqua" w:cs="Book Antiqua"/>
          <w:color w:val="000000"/>
        </w:rPr>
        <w:t xml:space="preserve">, FHL4), and </w:t>
      </w:r>
      <w:proofErr w:type="spellStart"/>
      <w:r>
        <w:rPr>
          <w:rFonts w:ascii="Book Antiqua" w:eastAsia="Book Antiqua" w:hAnsi="Book Antiqua" w:cs="Book Antiqua"/>
          <w:color w:val="000000"/>
        </w:rPr>
        <w:t>syntaxin</w:t>
      </w:r>
      <w:proofErr w:type="spellEnd"/>
      <w:r>
        <w:rPr>
          <w:rFonts w:ascii="Book Antiqua" w:eastAsia="Book Antiqua" w:hAnsi="Book Antiqua" w:cs="Book Antiqua"/>
          <w:color w:val="000000"/>
        </w:rPr>
        <w:t>-binding protein 2 (</w:t>
      </w:r>
      <w:r>
        <w:rPr>
          <w:rFonts w:ascii="Book Antiqua" w:eastAsia="Book Antiqua" w:hAnsi="Book Antiqua" w:cs="Book Antiqua"/>
          <w:i/>
          <w:iCs/>
          <w:color w:val="000000"/>
        </w:rPr>
        <w:t>STXBP2</w:t>
      </w:r>
      <w:r>
        <w:rPr>
          <w:rFonts w:ascii="Book Antiqua" w:eastAsia="Book Antiqua" w:hAnsi="Book Antiqua" w:cs="Book Antiqua"/>
          <w:color w:val="000000"/>
        </w:rPr>
        <w:t>, FHL5). FHL1 is caused by an unidentified gene defect on chromosome 9</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FHL2 is a genetic disease related to </w:t>
      </w:r>
      <w:r>
        <w:rPr>
          <w:rFonts w:ascii="Book Antiqua" w:eastAsia="Book Antiqua" w:hAnsi="Book Antiqua" w:cs="Book Antiqua"/>
          <w:i/>
          <w:iCs/>
          <w:color w:val="000000"/>
        </w:rPr>
        <w:t>PRF1</w:t>
      </w:r>
      <w:r>
        <w:rPr>
          <w:rFonts w:ascii="Book Antiqua" w:eastAsia="Book Antiqua" w:hAnsi="Book Antiqua" w:cs="Book Antiqua"/>
          <w:color w:val="000000"/>
        </w:rPr>
        <w:t xml:space="preserve"> deficiency. </w:t>
      </w:r>
      <w:r>
        <w:rPr>
          <w:rFonts w:ascii="Book Antiqua" w:eastAsia="Book Antiqua" w:hAnsi="Book Antiqua" w:cs="Book Antiqua"/>
          <w:i/>
          <w:iCs/>
          <w:color w:val="000000"/>
        </w:rPr>
        <w:t>PRF1</w:t>
      </w:r>
      <w:r>
        <w:rPr>
          <w:rFonts w:ascii="Book Antiqua" w:eastAsia="Book Antiqua" w:hAnsi="Book Antiqua" w:cs="Book Antiqua"/>
          <w:color w:val="000000"/>
        </w:rPr>
        <w:t xml:space="preserve"> is located on chromosome 10 q21-22 and contains three exons. Exons 2 and 3 encode 555 amino acid residues to form PRF1. Human PRF1 is composed of three major domains: </w:t>
      </w:r>
      <w:r w:rsidR="006F4142">
        <w:rPr>
          <w:rFonts w:ascii="Book Antiqua" w:eastAsia="Book Antiqua" w:hAnsi="Book Antiqua" w:cs="Book Antiqua"/>
          <w:color w:val="000000"/>
        </w:rPr>
        <w:t>T</w:t>
      </w:r>
      <w:r>
        <w:rPr>
          <w:rFonts w:ascii="Book Antiqua" w:eastAsia="Book Antiqua" w:hAnsi="Book Antiqua" w:cs="Book Antiqua"/>
          <w:color w:val="000000"/>
        </w:rPr>
        <w:t>he membrane attack complex PRF1-like/ch</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lesterol-dependent </w:t>
      </w:r>
      <w:proofErr w:type="spellStart"/>
      <w:r>
        <w:rPr>
          <w:rFonts w:ascii="Book Antiqua" w:eastAsia="Book Antiqua" w:hAnsi="Book Antiqua" w:cs="Book Antiqua"/>
          <w:color w:val="000000"/>
        </w:rPr>
        <w:t>cytolysin</w:t>
      </w:r>
      <w:proofErr w:type="spellEnd"/>
      <w:r>
        <w:rPr>
          <w:rFonts w:ascii="Book Antiqua" w:eastAsia="Book Antiqua" w:hAnsi="Book Antiqua" w:cs="Book Antiqua"/>
          <w:color w:val="000000"/>
        </w:rPr>
        <w:t xml:space="preserve"> (MACPF/CDC) domain, the epidermal growth factor domain, and the C terminus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When human congenital defects lead to impaired PRF1 synthesis or function, or PRF1 release disorders, activated cytotoxic T cells (CTLs) cannot clear antigen presentation targets, resulting in the uncontrolled expansion of T cells and macrophage system in the body, which eventually leads to a storm of cytokines in the blood</w:t>
      </w:r>
      <w:r>
        <w:rPr>
          <w:rFonts w:ascii="Book Antiqua" w:hAnsi="Book Antiqua" w:cs="Book Antiqua" w:hint="eastAsia"/>
          <w:color w:val="000000"/>
          <w:lang w:eastAsia="zh-CN"/>
        </w:rPr>
        <w:t>-</w:t>
      </w:r>
      <w:r>
        <w:rPr>
          <w:rFonts w:ascii="Book Antiqua" w:eastAsia="Book Antiqua" w:hAnsi="Book Antiqua" w:cs="Book Antiqua"/>
          <w:color w:val="000000"/>
        </w:rPr>
        <w:t>the onset of FHL2</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CBC853D" w14:textId="1F3876D3" w:rsidR="007B6E23" w:rsidRDefault="006A3E19" w:rsidP="001C6AB1">
      <w:pPr>
        <w:spacing w:line="360" w:lineRule="auto"/>
        <w:ind w:firstLine="270"/>
        <w:jc w:val="both"/>
      </w:pPr>
      <w:r>
        <w:rPr>
          <w:rFonts w:ascii="Book Antiqua" w:eastAsia="Book Antiqua" w:hAnsi="Book Antiqua" w:cs="Book Antiqua"/>
          <w:color w:val="000000"/>
        </w:rPr>
        <w:t xml:space="preserve">In this study, we report the case of a Chinese male patient with a typical clinical FHL2 phenotype carrying compound heterozygous </w:t>
      </w:r>
      <w:r>
        <w:rPr>
          <w:rFonts w:ascii="Book Antiqua" w:eastAsia="Book Antiqua" w:hAnsi="Book Antiqua" w:cs="Book Antiqua"/>
          <w:i/>
          <w:iCs/>
          <w:color w:val="000000"/>
        </w:rPr>
        <w:t>PRF1</w:t>
      </w:r>
      <w:r>
        <w:rPr>
          <w:rFonts w:ascii="Book Antiqua" w:eastAsia="Book Antiqua" w:hAnsi="Book Antiqua" w:cs="Book Antiqua"/>
          <w:color w:val="000000"/>
        </w:rPr>
        <w:t xml:space="preserve"> defects involving a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c.163C&gt;T. </w:t>
      </w:r>
    </w:p>
    <w:p w14:paraId="575030E0" w14:textId="77777777" w:rsidR="007B6E23" w:rsidRDefault="007B6E23">
      <w:pPr>
        <w:spacing w:line="360" w:lineRule="auto"/>
        <w:ind w:firstLine="420"/>
        <w:jc w:val="both"/>
      </w:pPr>
    </w:p>
    <w:p w14:paraId="3A6FF8A9" w14:textId="77777777" w:rsidR="007B6E23" w:rsidRDefault="006A3E19">
      <w:pPr>
        <w:spacing w:line="360" w:lineRule="auto"/>
        <w:jc w:val="both"/>
      </w:pPr>
      <w:r>
        <w:rPr>
          <w:rFonts w:ascii="Book Antiqua" w:eastAsia="Book Antiqua" w:hAnsi="Book Antiqua" w:cs="Book Antiqua"/>
          <w:b/>
          <w:caps/>
          <w:color w:val="000000"/>
          <w:u w:val="single"/>
        </w:rPr>
        <w:t>CASE PRESENTATION</w:t>
      </w:r>
    </w:p>
    <w:p w14:paraId="74A34BD3" w14:textId="77777777" w:rsidR="007B6E23" w:rsidRDefault="006A3E19">
      <w:pPr>
        <w:spacing w:line="360" w:lineRule="auto"/>
        <w:jc w:val="both"/>
      </w:pPr>
      <w:r>
        <w:rPr>
          <w:rFonts w:ascii="Book Antiqua" w:eastAsia="Book Antiqua" w:hAnsi="Book Antiqua" w:cs="Book Antiqua"/>
          <w:b/>
          <w:i/>
          <w:color w:val="000000"/>
        </w:rPr>
        <w:t>Chief complaints</w:t>
      </w:r>
    </w:p>
    <w:p w14:paraId="37A0D517" w14:textId="54334B67" w:rsidR="007B6E23" w:rsidRDefault="006A3E19">
      <w:pPr>
        <w:spacing w:line="360" w:lineRule="auto"/>
        <w:jc w:val="both"/>
      </w:pPr>
      <w:r>
        <w:rPr>
          <w:rFonts w:ascii="Book Antiqua" w:eastAsia="Book Antiqua" w:hAnsi="Book Antiqua" w:cs="Book Antiqua"/>
          <w:color w:val="000000"/>
          <w:szCs w:val="21"/>
        </w:rPr>
        <w:t xml:space="preserve">A 27-year-old Chinese man was admitted to our institution after half a month, with persistent fever and a cough without sputum with </w:t>
      </w:r>
      <w:proofErr w:type="gramStart"/>
      <w:r>
        <w:rPr>
          <w:rFonts w:ascii="Book Antiqua" w:eastAsia="Book Antiqua" w:hAnsi="Book Antiqua" w:cs="Book Antiqua"/>
          <w:color w:val="000000"/>
          <w:szCs w:val="21"/>
        </w:rPr>
        <w:t>no</w:t>
      </w:r>
      <w:proofErr w:type="gramEnd"/>
      <w:r>
        <w:rPr>
          <w:rFonts w:ascii="Book Antiqua" w:eastAsia="Book Antiqua" w:hAnsi="Book Antiqua" w:cs="Book Antiqua"/>
          <w:color w:val="000000"/>
          <w:szCs w:val="21"/>
        </w:rPr>
        <w:t xml:space="preserve"> obvious inducement.</w:t>
      </w:r>
    </w:p>
    <w:p w14:paraId="301B9B83" w14:textId="77777777" w:rsidR="007B6E23" w:rsidRDefault="007B6E23">
      <w:pPr>
        <w:spacing w:line="360" w:lineRule="auto"/>
        <w:jc w:val="both"/>
      </w:pPr>
    </w:p>
    <w:p w14:paraId="2E29C75C" w14:textId="77777777" w:rsidR="007B6E23" w:rsidRDefault="006A3E19">
      <w:pPr>
        <w:spacing w:line="360" w:lineRule="auto"/>
        <w:jc w:val="both"/>
      </w:pPr>
      <w:r>
        <w:rPr>
          <w:rFonts w:ascii="Book Antiqua" w:eastAsia="Book Antiqua" w:hAnsi="Book Antiqua" w:cs="Book Antiqua"/>
          <w:b/>
          <w:i/>
          <w:color w:val="000000"/>
        </w:rPr>
        <w:lastRenderedPageBreak/>
        <w:t>History of present illness</w:t>
      </w:r>
    </w:p>
    <w:p w14:paraId="13D1D4F0" w14:textId="4EE08496" w:rsidR="007B6E23" w:rsidRDefault="006A3E19">
      <w:pPr>
        <w:spacing w:line="360" w:lineRule="auto"/>
        <w:jc w:val="both"/>
      </w:pPr>
      <w:r>
        <w:rPr>
          <w:rFonts w:ascii="Book Antiqua" w:eastAsia="Book Antiqua" w:hAnsi="Book Antiqua" w:cs="Book Antiqua"/>
          <w:color w:val="000000"/>
          <w:szCs w:val="21"/>
        </w:rPr>
        <w:t>His temperature fluctuated to about 39.5 °C. He had no chest tightness, no shortness of breath, and no headache.</w:t>
      </w:r>
    </w:p>
    <w:p w14:paraId="73E2BDB9" w14:textId="77777777" w:rsidR="007B6E23" w:rsidRDefault="007B6E23">
      <w:pPr>
        <w:spacing w:line="360" w:lineRule="auto"/>
        <w:jc w:val="both"/>
      </w:pPr>
    </w:p>
    <w:p w14:paraId="5C95476F" w14:textId="77777777" w:rsidR="007B6E23" w:rsidRDefault="006A3E19">
      <w:pPr>
        <w:spacing w:line="360" w:lineRule="auto"/>
        <w:jc w:val="both"/>
      </w:pPr>
      <w:r>
        <w:rPr>
          <w:rFonts w:ascii="Book Antiqua" w:eastAsia="Book Antiqua" w:hAnsi="Book Antiqua" w:cs="Book Antiqua"/>
          <w:b/>
          <w:i/>
          <w:color w:val="000000"/>
        </w:rPr>
        <w:t>History of past illness</w:t>
      </w:r>
    </w:p>
    <w:p w14:paraId="65E25672" w14:textId="77777777" w:rsidR="007B6E23" w:rsidRDefault="006A3E19">
      <w:pPr>
        <w:spacing w:line="360" w:lineRule="auto"/>
        <w:jc w:val="both"/>
      </w:pPr>
      <w:r>
        <w:rPr>
          <w:rFonts w:ascii="Book Antiqua" w:eastAsia="Book Antiqua" w:hAnsi="Book Antiqua" w:cs="Book Antiqua"/>
          <w:color w:val="000000"/>
        </w:rPr>
        <w:t>His past medical history was unremarkable.</w:t>
      </w:r>
    </w:p>
    <w:p w14:paraId="371B4D8C" w14:textId="77777777" w:rsidR="007B6E23" w:rsidRDefault="007B6E23">
      <w:pPr>
        <w:spacing w:line="360" w:lineRule="auto"/>
        <w:ind w:firstLine="420"/>
        <w:jc w:val="both"/>
      </w:pPr>
    </w:p>
    <w:p w14:paraId="2D7AD08C" w14:textId="77777777" w:rsidR="007B6E23" w:rsidRDefault="006A3E19">
      <w:pPr>
        <w:spacing w:line="360" w:lineRule="auto"/>
        <w:jc w:val="both"/>
      </w:pPr>
      <w:r>
        <w:rPr>
          <w:rFonts w:ascii="Book Antiqua" w:eastAsia="Book Antiqua" w:hAnsi="Book Antiqua" w:cs="Book Antiqua"/>
          <w:b/>
          <w:i/>
          <w:color w:val="000000"/>
        </w:rPr>
        <w:t>Personal and family history</w:t>
      </w:r>
    </w:p>
    <w:p w14:paraId="5B9F58C9" w14:textId="77777777" w:rsidR="007B6E23" w:rsidRDefault="006A3E19">
      <w:pPr>
        <w:spacing w:line="360" w:lineRule="auto"/>
        <w:jc w:val="both"/>
      </w:pPr>
      <w:r>
        <w:rPr>
          <w:rFonts w:ascii="Book Antiqua" w:eastAsia="Book Antiqua" w:hAnsi="Book Antiqua" w:cs="Book Antiqua"/>
          <w:color w:val="000000"/>
        </w:rPr>
        <w:t>No specific personal history of disease was recorded.</w:t>
      </w:r>
    </w:p>
    <w:p w14:paraId="0B1DED44" w14:textId="77777777" w:rsidR="007B6E23" w:rsidRDefault="007B6E23">
      <w:pPr>
        <w:spacing w:line="360" w:lineRule="auto"/>
        <w:ind w:firstLine="420"/>
        <w:jc w:val="both"/>
      </w:pPr>
    </w:p>
    <w:p w14:paraId="1623FFCE" w14:textId="77777777" w:rsidR="007B6E23" w:rsidRDefault="006A3E19">
      <w:pPr>
        <w:spacing w:line="360" w:lineRule="auto"/>
        <w:jc w:val="both"/>
      </w:pPr>
      <w:r>
        <w:rPr>
          <w:rFonts w:ascii="Book Antiqua" w:eastAsia="Book Antiqua" w:hAnsi="Book Antiqua" w:cs="Book Antiqua"/>
          <w:b/>
          <w:i/>
          <w:color w:val="000000"/>
        </w:rPr>
        <w:t>Physical examination</w:t>
      </w:r>
    </w:p>
    <w:p w14:paraId="7E193ADA" w14:textId="0A47B783" w:rsidR="007B6E23" w:rsidRDefault="006A3E19">
      <w:pPr>
        <w:spacing w:line="360" w:lineRule="auto"/>
        <w:jc w:val="both"/>
      </w:pPr>
      <w:r>
        <w:rPr>
          <w:rFonts w:ascii="Book Antiqua" w:eastAsia="Book Antiqua" w:hAnsi="Book Antiqua" w:cs="Book Antiqua"/>
          <w:color w:val="000000"/>
          <w:szCs w:val="21"/>
        </w:rPr>
        <w:t xml:space="preserve">His vital signs were as follows: </w:t>
      </w:r>
      <w:r w:rsidR="006F4142">
        <w:rPr>
          <w:rFonts w:ascii="Book Antiqua" w:eastAsia="Book Antiqua" w:hAnsi="Book Antiqua" w:cs="Book Antiqua"/>
          <w:color w:val="000000"/>
          <w:szCs w:val="21"/>
        </w:rPr>
        <w:t>T</w:t>
      </w:r>
      <w:r>
        <w:rPr>
          <w:rFonts w:ascii="Book Antiqua" w:eastAsia="Book Antiqua" w:hAnsi="Book Antiqua" w:cs="Book Antiqua"/>
          <w:color w:val="000000"/>
          <w:szCs w:val="21"/>
        </w:rPr>
        <w:t>emperature, 39.3 °C; heart rate, 90 beats per min; respiratory rate, 16 breaths per min; blood pressure, 121/60 mmHg; and oxygen saturation in room air, 97%. His mental state was apathetic. He presented with </w:t>
      </w:r>
      <w:proofErr w:type="spellStart"/>
      <w:r>
        <w:rPr>
          <w:rFonts w:ascii="Book Antiqua" w:eastAsia="Book Antiqua" w:hAnsi="Book Antiqua" w:cs="Book Antiqua"/>
          <w:color w:val="000000"/>
          <w:szCs w:val="21"/>
        </w:rPr>
        <w:t>petechiae</w:t>
      </w:r>
      <w:proofErr w:type="spellEnd"/>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ecchymoses</w:t>
      </w:r>
      <w:proofErr w:type="spellEnd"/>
      <w:r>
        <w:rPr>
          <w:rFonts w:ascii="Book Antiqua" w:eastAsia="Book Antiqua" w:hAnsi="Book Antiqua" w:cs="Book Antiqua"/>
          <w:color w:val="000000"/>
          <w:szCs w:val="21"/>
        </w:rPr>
        <w:t xml:space="preserve"> on the skin of neck and limbs, along with conjunctival hemorrhage of the right eyeball. Spleen was 1.0 cm below the left costal margin and the liver was not palpable. Superficial lymph nodes were not affected, heart and lung auscultation were normal, and neither lower limb had edema. No obvious abnormalities were found during nervous system examination.</w:t>
      </w:r>
    </w:p>
    <w:p w14:paraId="28F3C62A" w14:textId="77777777" w:rsidR="007B6E23" w:rsidRDefault="007B6E23">
      <w:pPr>
        <w:spacing w:line="360" w:lineRule="auto"/>
        <w:jc w:val="both"/>
      </w:pPr>
    </w:p>
    <w:p w14:paraId="2B061499" w14:textId="77777777" w:rsidR="007B6E23" w:rsidRDefault="006A3E19">
      <w:pPr>
        <w:spacing w:line="360" w:lineRule="auto"/>
        <w:jc w:val="both"/>
      </w:pPr>
      <w:r>
        <w:rPr>
          <w:rFonts w:ascii="Book Antiqua" w:eastAsia="Book Antiqua" w:hAnsi="Book Antiqua" w:cs="Book Antiqua"/>
          <w:b/>
          <w:i/>
          <w:color w:val="000000"/>
        </w:rPr>
        <w:t>Laboratory examinations</w:t>
      </w:r>
    </w:p>
    <w:p w14:paraId="2350F52B" w14:textId="51A3FE01" w:rsidR="007B6E23" w:rsidRDefault="006A3E19">
      <w:pPr>
        <w:adjustRightInd w:val="0"/>
        <w:snapToGrid w:val="0"/>
        <w:spacing w:line="360" w:lineRule="auto"/>
        <w:jc w:val="both"/>
      </w:pPr>
      <w:r>
        <w:rPr>
          <w:rFonts w:ascii="Book Antiqua" w:eastAsia="Book Antiqua" w:hAnsi="Book Antiqua" w:cs="Book Antiqua"/>
          <w:color w:val="000000"/>
          <w:szCs w:val="21"/>
        </w:rPr>
        <w:t>Laboratory examinations revealed pancytopenia (leukocytes 0.46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hAnsi="Book Antiqua"/>
          <w:vertAlign w:val="superscript"/>
          <w:lang w:eastAsia="zh-CN"/>
        </w:rPr>
        <w:t>9</w:t>
      </w:r>
      <w:r>
        <w:rPr>
          <w:rFonts w:ascii="Book Antiqua" w:eastAsia="Book Antiqua" w:hAnsi="Book Antiqua" w:cs="Book Antiqua"/>
          <w:color w:val="000000"/>
          <w:szCs w:val="21"/>
        </w:rPr>
        <w:t>/L, hemoglobin 54.0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and platelets 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hAnsi="Book Antiqua"/>
          <w:vertAlign w:val="superscript"/>
          <w:lang w:eastAsia="zh-CN"/>
        </w:rPr>
        <w:t>9</w:t>
      </w:r>
      <w:r>
        <w:rPr>
          <w:rFonts w:ascii="Book Antiqua" w:eastAsia="Book Antiqua" w:hAnsi="Book Antiqua" w:cs="Book Antiqua"/>
          <w:color w:val="000000"/>
          <w:szCs w:val="21"/>
        </w:rPr>
        <w:t>/L), hypertriglyceridemia </w:t>
      </w:r>
      <w:r>
        <w:rPr>
          <w:rFonts w:ascii="Book Antiqua" w:hAnsi="Book Antiqua" w:cs="Book Antiqua"/>
          <w:color w:val="000000"/>
          <w:szCs w:val="21"/>
          <w:lang w:eastAsia="zh-CN"/>
        </w:rPr>
        <w:t>(</w:t>
      </w:r>
      <w:r>
        <w:rPr>
          <w:rFonts w:ascii="Book Antiqua" w:eastAsia="Book Antiqua" w:hAnsi="Book Antiqua" w:cs="Book Antiqua"/>
          <w:color w:val="000000"/>
          <w:szCs w:val="21"/>
        </w:rPr>
        <w:t>2.40</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mmol</w:t>
      </w:r>
      <w:proofErr w:type="spellEnd"/>
      <w:r>
        <w:rPr>
          <w:rFonts w:ascii="Book Antiqua" w:eastAsia="Book Antiqua" w:hAnsi="Book Antiqua" w:cs="Book Antiqua"/>
          <w:color w:val="000000"/>
          <w:szCs w:val="21"/>
        </w:rPr>
        <w:t>/L, reference interval </w:t>
      </w:r>
      <w:r>
        <w:rPr>
          <w:rFonts w:ascii="Book Antiqua" w:hAnsi="Book Antiqua" w:cs="Book Antiqua"/>
          <w:color w:val="000000"/>
          <w:lang w:eastAsia="zh-CN"/>
        </w:rPr>
        <w:t>[</w:t>
      </w:r>
      <w:r>
        <w:rPr>
          <w:rFonts w:ascii="Book Antiqua" w:eastAsia="Book Antiqua" w:hAnsi="Book Antiqua" w:cs="Book Antiqua"/>
          <w:color w:val="000000"/>
        </w:rPr>
        <w:t>RI</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eastAsia="Book Antiqua" w:hAnsi="Book Antiqua" w:cs="Book Antiqua"/>
          <w:color w:val="000000"/>
          <w:szCs w:val="21"/>
        </w:rPr>
        <w:t> 0.23-1.70</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mmol</w:t>
      </w:r>
      <w:proofErr w:type="spellEnd"/>
      <w:r>
        <w:rPr>
          <w:rFonts w:ascii="Book Antiqua" w:eastAsia="Book Antiqua" w:hAnsi="Book Antiqua" w:cs="Book Antiqua"/>
          <w:color w:val="000000"/>
          <w:szCs w:val="21"/>
        </w:rPr>
        <w:t>/L</w:t>
      </w:r>
      <w:r>
        <w:rPr>
          <w:rFonts w:ascii="Book Antiqua" w:hAnsi="Book Antiqua" w:cs="Book Antiqua"/>
          <w:color w:val="000000"/>
          <w:szCs w:val="21"/>
          <w:lang w:eastAsia="zh-CN"/>
        </w:rPr>
        <w:t>)</w:t>
      </w:r>
      <w:r>
        <w:rPr>
          <w:rFonts w:ascii="Book Antiqua" w:eastAsia="Book Antiqua" w:hAnsi="Book Antiqua" w:cs="Book Antiqua"/>
          <w:color w:val="000000"/>
          <w:szCs w:val="21"/>
        </w:rPr>
        <w:t>, </w:t>
      </w:r>
      <w:proofErr w:type="spellStart"/>
      <w:r>
        <w:rPr>
          <w:rFonts w:ascii="Book Antiqua" w:eastAsia="Book Antiqua" w:hAnsi="Book Antiqua" w:cs="Book Antiqua"/>
          <w:color w:val="000000"/>
          <w:szCs w:val="21"/>
        </w:rPr>
        <w:t>hypofibrinogenemia</w:t>
      </w:r>
      <w:proofErr w:type="spellEnd"/>
      <w:r>
        <w:rPr>
          <w:rFonts w:ascii="Book Antiqua" w:eastAsia="Book Antiqua" w:hAnsi="Book Antiqua" w:cs="Book Antiqua"/>
          <w:color w:val="000000"/>
          <w:szCs w:val="21"/>
        </w:rPr>
        <w:t> (1.290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2.0-4.5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hyperferrit</w:t>
      </w:r>
      <w:r>
        <w:rPr>
          <w:rFonts w:ascii="Book Antiqua" w:eastAsia="宋体" w:hAnsi="Book Antiqua" w:cs="Book Antiqua" w:hint="eastAsia"/>
          <w:color w:val="000000"/>
          <w:szCs w:val="21"/>
          <w:lang w:eastAsia="zh-CN"/>
        </w:rPr>
        <w:t>in</w:t>
      </w:r>
      <w:r>
        <w:rPr>
          <w:rFonts w:ascii="Book Antiqua" w:eastAsia="Book Antiqua" w:hAnsi="Book Antiqua" w:cs="Book Antiqua"/>
          <w:color w:val="000000"/>
          <w:szCs w:val="21"/>
        </w:rPr>
        <w:t>emia</w:t>
      </w:r>
      <w:proofErr w:type="spellEnd"/>
      <w:r>
        <w:rPr>
          <w:rFonts w:ascii="Book Antiqua" w:eastAsia="Book Antiqua" w:hAnsi="Book Antiqua" w:cs="Book Antiqua"/>
          <w:color w:val="000000"/>
          <w:szCs w:val="21"/>
        </w:rPr>
        <w:t xml:space="preserve"> (&gt;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1500</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/L, RI: 21.81-274.66</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/L), soluble cluster of differentiation 25 (CD25) (26095.13</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pg</w:t>
      </w:r>
      <w:proofErr w:type="spellEnd"/>
      <w:r>
        <w:rPr>
          <w:rFonts w:ascii="Book Antiqua" w:eastAsia="Book Antiqua" w:hAnsi="Book Antiqua" w:cs="Book Antiqua"/>
          <w:color w:val="000000"/>
          <w:szCs w:val="21"/>
        </w:rPr>
        <w:t>/mL, RI: 410-2623</w:t>
      </w:r>
      <w:r>
        <w:rPr>
          <w:rFonts w:ascii="Book Antiqua"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pg</w:t>
      </w:r>
      <w:proofErr w:type="spellEnd"/>
      <w:r>
        <w:rPr>
          <w:rFonts w:ascii="Book Antiqua" w:eastAsia="Book Antiqua" w:hAnsi="Book Antiqua" w:cs="Book Antiqua"/>
          <w:color w:val="000000"/>
          <w:szCs w:val="21"/>
        </w:rPr>
        <w:t>/mL), total protein (61.3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65-85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albumin (33.9</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40-55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aspartate aminotransferase (27.5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U/L, RI: 10-40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U/L), </w:t>
      </w:r>
      <w:r>
        <w:rPr>
          <w:rFonts w:ascii="Book Antiqua" w:hAnsi="Book Antiqua" w:cs="Book Antiqua" w:hint="eastAsia"/>
          <w:color w:val="000000"/>
          <w:szCs w:val="21"/>
          <w:lang w:eastAsia="zh-CN"/>
        </w:rPr>
        <w:t>a</w:t>
      </w:r>
      <w:r>
        <w:rPr>
          <w:rFonts w:ascii="Book Antiqua" w:eastAsia="Book Antiqua" w:hAnsi="Book Antiqua" w:cs="Book Antiqua"/>
          <w:color w:val="000000"/>
          <w:szCs w:val="21"/>
        </w:rPr>
        <w:t>lanine aminotransferase (29.0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U/L, RI: </w:t>
      </w:r>
      <w:r>
        <w:rPr>
          <w:rFonts w:ascii="Book Antiqua" w:eastAsia="Book Antiqua" w:hAnsi="Book Antiqua" w:cs="Book Antiqua"/>
          <w:color w:val="000000"/>
        </w:rPr>
        <w:t>9-50</w:t>
      </w:r>
      <w:r>
        <w:rPr>
          <w:rFonts w:ascii="Book Antiqua" w:hAnsi="Book Antiqua" w:cs="Book Antiqua" w:hint="eastAsia"/>
          <w:color w:val="000000"/>
          <w:lang w:eastAsia="zh-CN"/>
        </w:rPr>
        <w:t xml:space="preserve"> </w:t>
      </w:r>
      <w:r>
        <w:rPr>
          <w:rFonts w:ascii="Book Antiqua" w:eastAsia="Book Antiqua" w:hAnsi="Book Antiqua" w:cs="Book Antiqua"/>
          <w:color w:val="000000"/>
        </w:rPr>
        <w:t>U/L), and lactate dehydrogenase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(291.1</w:t>
      </w:r>
      <w:r>
        <w:rPr>
          <w:rFonts w:ascii="Book Antiqua" w:hAnsi="Book Antiqua" w:cs="Book Antiqua" w:hint="eastAsia"/>
          <w:color w:val="000000"/>
          <w:lang w:eastAsia="zh-CN"/>
        </w:rPr>
        <w:t xml:space="preserve"> </w:t>
      </w:r>
      <w:r>
        <w:rPr>
          <w:rFonts w:ascii="Book Antiqua" w:eastAsia="Book Antiqua" w:hAnsi="Book Antiqua" w:cs="Book Antiqua"/>
          <w:color w:val="000000"/>
        </w:rPr>
        <w:t>U/L,</w:t>
      </w:r>
      <w:r>
        <w:rPr>
          <w:rFonts w:ascii="Book Antiqua" w:eastAsia="Book Antiqua" w:hAnsi="Book Antiqua" w:cs="Book Antiqua"/>
          <w:color w:val="000000"/>
          <w:szCs w:val="21"/>
        </w:rPr>
        <w:t> RI: 109-245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U/L). Blood tumor biomarkers, autoimmune antibody, and </w:t>
      </w:r>
      <w:r>
        <w:rPr>
          <w:rFonts w:ascii="Book Antiqua" w:eastAsia="Book Antiqua" w:hAnsi="Book Antiqua" w:cs="Book Antiqua"/>
          <w:color w:val="000000"/>
          <w:szCs w:val="21"/>
        </w:rPr>
        <w:lastRenderedPageBreak/>
        <w:t xml:space="preserve">blood culture were all within normal limits. No obvious virus infection </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include </w:t>
      </w:r>
      <w:bookmarkStart w:id="15" w:name="OLE_LINK16"/>
      <w:bookmarkStart w:id="16" w:name="OLE_LINK17"/>
      <w:r>
        <w:rPr>
          <w:rFonts w:ascii="Book Antiqua" w:eastAsia="Book Antiqua" w:hAnsi="Book Antiqua" w:cs="Book Antiqua"/>
          <w:color w:val="000000"/>
          <w:szCs w:val="21"/>
        </w:rPr>
        <w:t xml:space="preserve">Epstein-Barr virus </w:t>
      </w:r>
      <w:r>
        <w:rPr>
          <w:rFonts w:ascii="Book Antiqua" w:hAnsi="Book Antiqua" w:cs="Book Antiqua"/>
          <w:color w:val="000000"/>
          <w:szCs w:val="21"/>
          <w:lang w:eastAsia="zh-CN"/>
        </w:rPr>
        <w:t>[</w:t>
      </w:r>
      <w:r>
        <w:rPr>
          <w:rFonts w:ascii="Book Antiqua" w:eastAsia="Book Antiqua" w:hAnsi="Book Antiqua" w:cs="Book Antiqua"/>
          <w:color w:val="000000"/>
          <w:szCs w:val="21"/>
        </w:rPr>
        <w:t>EBV</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and </w:t>
      </w:r>
      <w:bookmarkEnd w:id="15"/>
      <w:bookmarkEnd w:id="16"/>
      <w:r>
        <w:rPr>
          <w:rFonts w:ascii="Book Antiqua" w:eastAsia="Book Antiqua" w:hAnsi="Book Antiqua" w:cs="Book Antiqua"/>
          <w:color w:val="000000"/>
          <w:szCs w:val="21"/>
        </w:rPr>
        <w:t>cytomegalovirus</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was detected.</w:t>
      </w:r>
    </w:p>
    <w:p w14:paraId="17C86726" w14:textId="77777777" w:rsidR="007B6E23" w:rsidRDefault="006A3E19">
      <w:pPr>
        <w:spacing w:line="360" w:lineRule="auto"/>
        <w:jc w:val="both"/>
      </w:pPr>
      <w:r>
        <w:rPr>
          <w:rFonts w:ascii="Book Antiqua" w:eastAsia="Book Antiqua" w:hAnsi="Book Antiqua" w:cs="Book Antiqua"/>
          <w:b/>
          <w:i/>
          <w:color w:val="000000"/>
        </w:rPr>
        <w:t>Imaging examinations</w:t>
      </w:r>
    </w:p>
    <w:p w14:paraId="7E29C87C" w14:textId="6B3A95BB" w:rsidR="007B6E23" w:rsidRDefault="006A3E19">
      <w:pPr>
        <w:spacing w:line="360" w:lineRule="auto"/>
        <w:jc w:val="both"/>
      </w:pPr>
      <w:r>
        <w:rPr>
          <w:rFonts w:ascii="Book Antiqua" w:eastAsia="Book Antiqua" w:hAnsi="Book Antiqua" w:cs="Book Antiqua"/>
          <w:color w:val="000000"/>
          <w:szCs w:val="21"/>
        </w:rPr>
        <w:t>The plain computed tomography (CT) scan and contrast enhancement of his chest and abdomen showed evidence of a small amount of pleural effusion on both sides</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splenomegaly, about 13.6 cm × 6.7 cm</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slightly low density shadow of liver and spleen; and enlarged lymph nodes in the hilar region and abdominal aorta, of which the larger one in the hilar region measured about 1.8 cm × 1.4 cm.</w:t>
      </w:r>
    </w:p>
    <w:p w14:paraId="23FD3948" w14:textId="77777777" w:rsidR="007B6E23" w:rsidRDefault="007B6E23">
      <w:pPr>
        <w:spacing w:line="360" w:lineRule="auto"/>
        <w:jc w:val="both"/>
      </w:pPr>
    </w:p>
    <w:p w14:paraId="448B38ED" w14:textId="77777777" w:rsidR="007B6E23" w:rsidRDefault="006A3E19">
      <w:pPr>
        <w:spacing w:line="360" w:lineRule="auto"/>
        <w:jc w:val="both"/>
        <w:rPr>
          <w:lang w:eastAsia="zh-CN"/>
        </w:rPr>
      </w:pPr>
      <w:r>
        <w:rPr>
          <w:rFonts w:ascii="Book Antiqua" w:eastAsia="Book Antiqua" w:hAnsi="Book Antiqua" w:cs="Book Antiqua"/>
          <w:b/>
          <w:bCs/>
          <w:caps/>
          <w:color w:val="000000"/>
          <w:u w:val="single"/>
        </w:rPr>
        <w:t>Further diagnostic work-up</w:t>
      </w:r>
    </w:p>
    <w:p w14:paraId="2C13B7A9" w14:textId="60FAE69F" w:rsidR="007B6E23" w:rsidRDefault="006A3E19">
      <w:pPr>
        <w:spacing w:line="360" w:lineRule="auto"/>
        <w:jc w:val="both"/>
      </w:pPr>
      <w:r>
        <w:rPr>
          <w:rFonts w:ascii="Book Antiqua" w:eastAsia="Book Antiqua" w:hAnsi="Book Antiqua" w:cs="Book Antiqua"/>
          <w:color w:val="000000"/>
        </w:rPr>
        <w:t xml:space="preserve">Bone marrow smear displayed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with evidence of 2.5% phagocytic cells in the whole slide. Bone marrow biopsy showed obviously active bone marrow hyperplasia, </w:t>
      </w:r>
      <w:proofErr w:type="spellStart"/>
      <w:r>
        <w:rPr>
          <w:rFonts w:ascii="Book Antiqua" w:eastAsia="Book Antiqua" w:hAnsi="Book Antiqua" w:cs="Book Antiqua"/>
          <w:color w:val="000000"/>
        </w:rPr>
        <w:t>erythroblastic</w:t>
      </w:r>
      <w:proofErr w:type="spellEnd"/>
      <w:r>
        <w:rPr>
          <w:rFonts w:ascii="Book Antiqua" w:eastAsia="Book Antiqua" w:hAnsi="Book Antiqua" w:cs="Book Antiqua"/>
          <w:color w:val="000000"/>
        </w:rPr>
        <w:t xml:space="preserve"> clusters, few mature granulocytes, and atypical small clusters of lymphocyte-like cells. Further immunohistochemistry showed myeloperoxidase (-), PG-M1 (-), CD20 (-), CD3 (+), paired box 5 (-), CD56 (-), S100 (-), T-cell intracellular antigen 1 (+), Ki-67 (50%), and CD30 (-). Bone marrow gene rearrangement: T-cell receptor beta (</w:t>
      </w:r>
      <w:r>
        <w:rPr>
          <w:rFonts w:ascii="Book Antiqua" w:eastAsia="Book Antiqua" w:hAnsi="Book Antiqua" w:cs="Book Antiqua"/>
          <w:color w:val="000000" w:themeColor="text1"/>
        </w:rPr>
        <w:t>TCRβ)</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TCRγ</w:t>
      </w:r>
      <w:proofErr w:type="spellEnd"/>
      <w:r>
        <w:rPr>
          <w:rFonts w:ascii="Book Antiqua" w:eastAsia="Book Antiqua" w:hAnsi="Book Antiqua" w:cs="Book Antiqua"/>
          <w:color w:val="000000" w:themeColor="text1"/>
        </w:rPr>
        <w:t> </w:t>
      </w:r>
      <w:r>
        <w:rPr>
          <w:rFonts w:ascii="Book Antiqua" w:eastAsia="Book Antiqua" w:hAnsi="Book Antiqua" w:cs="Book Antiqua"/>
          <w:color w:val="000000"/>
        </w:rPr>
        <w:t xml:space="preserve">(-). Bone marrow flow cytometry: </w:t>
      </w:r>
      <w:r w:rsidR="006F4142">
        <w:rPr>
          <w:rFonts w:ascii="Book Antiqua" w:eastAsia="Book Antiqua" w:hAnsi="Book Antiqua" w:cs="Book Antiqua"/>
          <w:color w:val="000000"/>
        </w:rPr>
        <w:t>N</w:t>
      </w:r>
      <w:r>
        <w:rPr>
          <w:rFonts w:ascii="Book Antiqua" w:eastAsia="Book Antiqua" w:hAnsi="Book Antiqua" w:cs="Book Antiqua"/>
          <w:color w:val="000000"/>
        </w:rPr>
        <w:t xml:space="preserve">atural killer </w:t>
      </w:r>
      <w:r>
        <w:rPr>
          <w:rFonts w:ascii="Book Antiqua" w:hAnsi="Book Antiqua" w:cs="Book Antiqua" w:hint="eastAsia"/>
          <w:color w:val="000000"/>
          <w:lang w:eastAsia="zh-CN"/>
        </w:rPr>
        <w:t>(</w:t>
      </w:r>
      <w:r>
        <w:rPr>
          <w:rFonts w:ascii="Book Antiqua" w:eastAsia="Book Antiqua" w:hAnsi="Book Antiqua" w:cs="Book Antiqua"/>
          <w:color w:val="000000"/>
        </w:rPr>
        <w:t>NK</w:t>
      </w:r>
      <w:r>
        <w:rPr>
          <w:rFonts w:ascii="Book Antiqua" w:hAnsi="Book Antiqua" w:cs="Book Antiqua" w:hint="eastAsia"/>
          <w:color w:val="000000"/>
          <w:lang w:eastAsia="zh-CN"/>
        </w:rPr>
        <w:t>)</w:t>
      </w:r>
      <w:r>
        <w:rPr>
          <w:rFonts w:ascii="Book Antiqua" w:eastAsia="Book Antiqua" w:hAnsi="Book Antiqua" w:cs="Book Antiqua"/>
          <w:color w:val="000000"/>
        </w:rPr>
        <w:t xml:space="preserve"> cells showed no abnormal phenotype, B lymphocytes showed no clonal abnormalities, T lymphocytes accounted for 54.66% of lymphocytes; the value of CD3+CD4+/CD3+CD8+ decreased, and CD5 and CD7 expression decreased. Chromosome karyotype analysis: 46,</w:t>
      </w:r>
      <w:r>
        <w:rPr>
          <w:rFonts w:ascii="Book Antiqua" w:hAnsi="Book Antiqua" w:cs="Book Antiqua" w:hint="eastAsia"/>
          <w:color w:val="000000"/>
          <w:lang w:eastAsia="zh-CN"/>
        </w:rPr>
        <w:t xml:space="preserve"> </w:t>
      </w:r>
      <w:r>
        <w:rPr>
          <w:rFonts w:ascii="Book Antiqua" w:eastAsia="Book Antiqua" w:hAnsi="Book Antiqua" w:cs="Book Antiqua"/>
          <w:color w:val="000000"/>
        </w:rPr>
        <w:t>XY</w:t>
      </w:r>
      <w:r>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Pr>
          <w:rFonts w:ascii="Book Antiqua" w:hAnsi="Book Antiqua" w:cs="Book Antiqua" w:hint="eastAsia"/>
          <w:color w:val="000000"/>
          <w:lang w:eastAsia="zh-CN"/>
        </w:rPr>
        <w:t>)</w:t>
      </w:r>
      <w:r>
        <w:rPr>
          <w:rFonts w:ascii="Book Antiqua" w:eastAsia="Book Antiqua" w:hAnsi="Book Antiqua" w:cs="Book Antiqua"/>
          <w:color w:val="000000"/>
        </w:rPr>
        <w:t>. Labial gland biopsy: (</w:t>
      </w:r>
      <w:r w:rsidR="006F4142">
        <w:rPr>
          <w:rFonts w:ascii="Book Antiqua" w:eastAsia="Book Antiqua" w:hAnsi="Book Antiqua" w:cs="Book Antiqua"/>
          <w:color w:val="000000"/>
        </w:rPr>
        <w:t>L</w:t>
      </w:r>
      <w:r>
        <w:rPr>
          <w:rFonts w:ascii="Book Antiqua" w:eastAsia="Book Antiqua" w:hAnsi="Book Antiqua" w:cs="Book Antiqua"/>
          <w:color w:val="000000"/>
        </w:rPr>
        <w:t>ower lip) revealed a small number of lymphocytes and plasma cells between the labial acini and one lymphocyte nest with more than 50 lymphocytes. </w:t>
      </w:r>
    </w:p>
    <w:p w14:paraId="0B79A6E3" w14:textId="228811F1" w:rsidR="007B6E23" w:rsidRDefault="006A3E19">
      <w:pPr>
        <w:spacing w:line="360" w:lineRule="auto"/>
        <w:ind w:firstLineChars="100" w:firstLine="240"/>
        <w:jc w:val="both"/>
      </w:pPr>
      <w:r>
        <w:rPr>
          <w:rFonts w:ascii="Book Antiqua" w:eastAsia="Book Antiqua" w:hAnsi="Book Antiqua" w:cs="Book Antiqua"/>
          <w:color w:val="000000"/>
        </w:rPr>
        <w:t xml:space="preserve">After admission, the patient was treated with </w:t>
      </w:r>
      <w:proofErr w:type="spellStart"/>
      <w:r>
        <w:rPr>
          <w:rFonts w:ascii="Book Antiqua" w:eastAsia="Book Antiqua" w:hAnsi="Book Antiqua" w:cs="Book Antiqua"/>
          <w:color w:val="000000"/>
        </w:rPr>
        <w:t>cefepime</w:t>
      </w:r>
      <w:proofErr w:type="spellEnd"/>
      <w:r>
        <w:rPr>
          <w:rFonts w:ascii="Book Antiqua" w:eastAsia="Book Antiqua" w:hAnsi="Book Antiqua" w:cs="Book Antiqua"/>
          <w:color w:val="000000"/>
        </w:rPr>
        <w:t xml:space="preserve"> and imipenem successively, but the curative effect was not satisfactory and he still had a fever, with the highest temperature at 40.2</w:t>
      </w:r>
      <w:r>
        <w:rPr>
          <w:rFonts w:eastAsia="Book Antiqua"/>
          <w:color w:val="000000"/>
        </w:rPr>
        <w:t>℃</w:t>
      </w:r>
      <w:r>
        <w:rPr>
          <w:rFonts w:ascii="Book Antiqua" w:eastAsia="Book Antiqua" w:hAnsi="Book Antiqua" w:cs="Book Antiqua"/>
          <w:color w:val="000000"/>
        </w:rPr>
        <w:t xml:space="preserve">, accompanied by persistent pancytopenia. He then underwent splenectomy. Postoperative pathology showed the presence of spleen tissue structure, small focal extramedullary hematopoietic cells and no obvious tumor. During the </w:t>
      </w:r>
      <w:r>
        <w:rPr>
          <w:rFonts w:ascii="Book Antiqua" w:eastAsia="Book Antiqua" w:hAnsi="Book Antiqua" w:cs="Book Antiqua"/>
          <w:color w:val="000000"/>
        </w:rPr>
        <w:lastRenderedPageBreak/>
        <w:t>operation, the surrounding mesenteric root lymph nodes were removed, and the pathology showed lymphoid tissue hyperplasia.</w:t>
      </w:r>
    </w:p>
    <w:p w14:paraId="195E7DF4" w14:textId="67DF675A" w:rsidR="007B6E23" w:rsidRDefault="006A3E19">
      <w:pPr>
        <w:spacing w:line="360" w:lineRule="auto"/>
        <w:ind w:firstLineChars="100" w:firstLine="240"/>
        <w:jc w:val="both"/>
      </w:pPr>
      <w:r>
        <w:rPr>
          <w:rFonts w:ascii="Book Antiqua" w:eastAsia="Book Antiqua" w:hAnsi="Book Antiqua" w:cs="Book Antiqua"/>
          <w:color w:val="000000"/>
          <w:szCs w:val="21"/>
        </w:rPr>
        <w:t xml:space="preserve">According to the HLH-2004: </w:t>
      </w:r>
      <w:r w:rsidR="006F4142">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iagnostic and therapeutic </w:t>
      </w:r>
      <w:r>
        <w:rPr>
          <w:rFonts w:ascii="Book Antiqua" w:eastAsia="Book Antiqua" w:hAnsi="Book Antiqua" w:cs="Book Antiqua"/>
          <w:color w:val="000000"/>
        </w:rPr>
        <w:t xml:space="preserve">guidelines for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 xml:space="preserve">, the patient was diagnosed with HLH. To further clarify the etiology of HLH, the next-generation sequencing technology (NGS) of HLH-related genes (Table 1) was performed in the peripheral blood of our patient. We found two mutations of human </w:t>
      </w:r>
      <w:r>
        <w:rPr>
          <w:rFonts w:ascii="Book Antiqua" w:eastAsia="Book Antiqua" w:hAnsi="Book Antiqua" w:cs="Book Antiqua"/>
          <w:i/>
          <w:iCs/>
          <w:color w:val="000000"/>
          <w:szCs w:val="21"/>
        </w:rPr>
        <w:t>PRF1</w:t>
      </w:r>
      <w:r>
        <w:rPr>
          <w:rFonts w:ascii="Book Antiqua" w:eastAsia="Book Antiqua" w:hAnsi="Book Antiqua" w:cs="Book Antiqua"/>
          <w:color w:val="000000"/>
        </w:rPr>
        <w:t xml:space="preserve">: c.65delC </w:t>
      </w:r>
      <w:r>
        <w:rPr>
          <w:rFonts w:ascii="Book Antiqua" w:hAnsi="Book Antiqua" w:cs="Book Antiqua" w:hint="eastAsia"/>
          <w:color w:val="000000"/>
          <w:lang w:eastAsia="zh-CN"/>
        </w:rPr>
        <w:t>(</w:t>
      </w:r>
      <w:r>
        <w:rPr>
          <w:rFonts w:ascii="Book Antiqua" w:eastAsia="Book Antiqua" w:hAnsi="Book Antiqua" w:cs="Book Antiqua"/>
          <w:color w:val="000000"/>
        </w:rPr>
        <w:t>p.Pro22Argfs*29</w:t>
      </w:r>
      <w:r>
        <w:rPr>
          <w:rFonts w:ascii="Book Antiqua" w:hAnsi="Book Antiqua" w:cs="Book Antiqua" w:hint="eastAsia"/>
          <w:color w:val="000000"/>
          <w:lang w:eastAsia="zh-CN"/>
        </w:rPr>
        <w:t>)</w:t>
      </w:r>
      <w:r>
        <w:rPr>
          <w:rFonts w:ascii="Book Antiqua" w:eastAsia="Book Antiqua" w:hAnsi="Book Antiqua" w:cs="Book Antiqua"/>
          <w:color w:val="000000"/>
        </w:rPr>
        <w:t xml:space="preserve"> (frameshift mutation) and c.163C</w:t>
      </w:r>
      <w:r>
        <w:rPr>
          <w:rFonts w:ascii="Book Antiqua" w:eastAsia="Book Antiqua" w:hAnsi="Book Antiqua" w:cs="Book Antiqua"/>
          <w:color w:val="000000"/>
          <w:szCs w:val="21"/>
        </w:rPr>
        <w:t>&gt;</w:t>
      </w:r>
      <w:r>
        <w:rPr>
          <w:rFonts w:ascii="Book Antiqua" w:eastAsia="Book Antiqua" w:hAnsi="Book Antiqua" w:cs="Book Antiqua"/>
          <w:color w:val="000000"/>
        </w:rPr>
        <w:t xml:space="preserve">T </w:t>
      </w:r>
      <w:r>
        <w:rPr>
          <w:rFonts w:ascii="Book Antiqua" w:hAnsi="Book Antiqua" w:cs="Book Antiqua" w:hint="eastAsia"/>
          <w:color w:val="000000"/>
          <w:lang w:eastAsia="zh-CN"/>
        </w:rPr>
        <w:t>(</w:t>
      </w:r>
      <w:r>
        <w:rPr>
          <w:rFonts w:ascii="Book Antiqua" w:eastAsia="Book Antiqua" w:hAnsi="Book Antiqua" w:cs="Book Antiqua"/>
          <w:color w:val="000000"/>
        </w:rPr>
        <w:t>p.Arg55Cys</w:t>
      </w:r>
      <w:r>
        <w:rPr>
          <w:rFonts w:ascii="Book Antiqua" w:hAnsi="Book Antiqua" w:cs="Book Antiqua" w:hint="eastAsia"/>
          <w:color w:val="000000"/>
          <w:lang w:eastAsia="zh-CN"/>
        </w:rPr>
        <w:t>)</w:t>
      </w:r>
      <w:r>
        <w:rPr>
          <w:rFonts w:ascii="Book Antiqua" w:eastAsia="Book Antiqua" w:hAnsi="Book Antiqua" w:cs="Book Antiqua"/>
          <w:color w:val="000000"/>
        </w:rPr>
        <w:t xml:space="preserve"> (missense mutation) (Table 2</w:t>
      </w:r>
      <w:r>
        <w:rPr>
          <w:rFonts w:ascii="Book Antiqua" w:eastAsia="Book Antiqua" w:hAnsi="Book Antiqua" w:cs="Book Antiqua"/>
          <w:color w:val="000000"/>
          <w:szCs w:val="21"/>
        </w:rPr>
        <w:t xml:space="preserve">). The expression of PRF1 and </w:t>
      </w:r>
      <w:proofErr w:type="spellStart"/>
      <w:r>
        <w:rPr>
          <w:rFonts w:ascii="Book Antiqua" w:eastAsia="Book Antiqua" w:hAnsi="Book Antiqua" w:cs="Book Antiqua"/>
          <w:color w:val="000000"/>
          <w:szCs w:val="21"/>
        </w:rPr>
        <w:t>granzyme</w:t>
      </w:r>
      <w:proofErr w:type="spellEnd"/>
      <w:r>
        <w:rPr>
          <w:rFonts w:ascii="Book Antiqua" w:eastAsia="Book Antiqua" w:hAnsi="Book Antiqua" w:cs="Book Antiqua"/>
          <w:color w:val="000000"/>
          <w:szCs w:val="21"/>
        </w:rPr>
        <w:t xml:space="preserve"> in the NK cells of our patient and his parents was measured by flow cytometry. The results are shown in Table 3.</w:t>
      </w:r>
    </w:p>
    <w:p w14:paraId="5912C11F" w14:textId="35285C94" w:rsidR="007B6E23" w:rsidRDefault="006A3E19">
      <w:pPr>
        <w:spacing w:line="360" w:lineRule="auto"/>
        <w:ind w:firstLineChars="100" w:firstLine="240"/>
        <w:jc w:val="both"/>
      </w:pPr>
      <w:r>
        <w:rPr>
          <w:rFonts w:ascii="Book Antiqua" w:eastAsia="Book Antiqua" w:hAnsi="Book Antiqua" w:cs="Book Antiqua"/>
          <w:color w:val="000000"/>
        </w:rPr>
        <w:t>According to the latest 2017 version of the American College of Medical Genetics and Genomics guidelines</w:t>
      </w:r>
      <w:r>
        <w:rPr>
          <w:rFonts w:ascii="Book Antiqua" w:eastAsia="Book Antiqua" w:hAnsi="Book Antiqua" w:cs="Book Antiqua"/>
          <w:color w:val="000000"/>
          <w:vertAlign w:val="superscript"/>
        </w:rPr>
        <w:t>[8-9]</w:t>
      </w:r>
      <w:r>
        <w:rPr>
          <w:rFonts w:ascii="Book Antiqua" w:eastAsia="Book Antiqua" w:hAnsi="Book Antiqua" w:cs="Book Antiqua"/>
          <w:color w:val="000000"/>
          <w:szCs w:val="21"/>
        </w:rPr>
        <w:t>, it is inferred that the c.65delC mutation is a pathogenic mutation (PVS1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PP4), while the c.163C&gt;T mutation is a likely pathogenic mutation (PM1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PP3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PP4). The specific bases are as follows: </w:t>
      </w:r>
      <w:r w:rsidR="006F4142">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two mutations are all located in the MACPF/CDC domain (PM1), and based on the results of flow cytometry analysis and the clinical manifestations of our </w:t>
      </w:r>
      <w:proofErr w:type="gramStart"/>
      <w:r>
        <w:rPr>
          <w:rFonts w:ascii="Book Antiqua" w:eastAsia="Book Antiqua" w:hAnsi="Book Antiqua" w:cs="Book Antiqua"/>
          <w:color w:val="000000"/>
          <w:szCs w:val="21"/>
        </w:rPr>
        <w:t>patient,</w:t>
      </w:r>
      <w:proofErr w:type="gramEnd"/>
      <w:r>
        <w:rPr>
          <w:rFonts w:ascii="Book Antiqua" w:eastAsia="Book Antiqua" w:hAnsi="Book Antiqua" w:cs="Book Antiqua"/>
          <w:color w:val="000000"/>
          <w:szCs w:val="21"/>
        </w:rPr>
        <w:t xml:space="preserve"> the patient’s phenotype is highly consistent with clinical features of FHL2 (PP4). </w:t>
      </w:r>
      <w:proofErr w:type="gramStart"/>
      <w:r>
        <w:rPr>
          <w:rFonts w:ascii="Book Antiqua" w:eastAsia="Book Antiqua" w:hAnsi="Book Antiqua" w:cs="Book Antiqua"/>
          <w:color w:val="000000"/>
          <w:szCs w:val="21"/>
        </w:rPr>
        <w:t>The ExAC03 Database records that the proportion of these mutations in the population is 0.0001 while in 1000 Genomes Database is 0.000199681 (c.163C&gt;T) (PM2).</w:t>
      </w:r>
      <w:proofErr w:type="gramEnd"/>
      <w:r>
        <w:rPr>
          <w:rFonts w:ascii="Book Antiqua" w:eastAsia="Book Antiqua" w:hAnsi="Book Antiqua" w:cs="Book Antiqua"/>
          <w:color w:val="000000"/>
          <w:szCs w:val="21"/>
        </w:rPr>
        <w:t xml:space="preserve"> Meanwhile,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he c.65delC mutation is a frameshift mutation, which can cause a truncation mutation and lead to a change in the downstream coding region (PVS1). According to the pathogenicity of c.65delC and his parents' Sanger Sequencing (Figure 1), the c.163C&gt;T mutation is in trans (PM3) and is predicted by SIFT, PolyPhen-2 and </w:t>
      </w:r>
      <w:proofErr w:type="spellStart"/>
      <w:r>
        <w:rPr>
          <w:rFonts w:ascii="Book Antiqua" w:eastAsia="Book Antiqua" w:hAnsi="Book Antiqua" w:cs="Book Antiqua"/>
          <w:color w:val="000000"/>
          <w:szCs w:val="21"/>
        </w:rPr>
        <w:t>MutationTaster</w:t>
      </w:r>
      <w:proofErr w:type="spellEnd"/>
      <w:r>
        <w:rPr>
          <w:rFonts w:ascii="Book Antiqua" w:eastAsia="Book Antiqua" w:hAnsi="Book Antiqua" w:cs="Book Antiqua"/>
          <w:color w:val="000000"/>
          <w:szCs w:val="21"/>
        </w:rPr>
        <w:t xml:space="preserve"> Database that the mutation has a great effect on the protein structure and may affect the protein function (PP3).</w:t>
      </w:r>
    </w:p>
    <w:p w14:paraId="3F87A70A" w14:textId="77777777" w:rsidR="007B6E23" w:rsidRDefault="007B6E23">
      <w:pPr>
        <w:spacing w:line="360" w:lineRule="auto"/>
        <w:ind w:firstLine="420"/>
        <w:jc w:val="both"/>
      </w:pPr>
    </w:p>
    <w:p w14:paraId="5220103C" w14:textId="77777777" w:rsidR="007B6E23" w:rsidRDefault="006A3E19">
      <w:pPr>
        <w:spacing w:line="360" w:lineRule="auto"/>
        <w:jc w:val="both"/>
      </w:pPr>
      <w:r>
        <w:rPr>
          <w:rFonts w:ascii="Book Antiqua" w:eastAsia="Book Antiqua" w:hAnsi="Book Antiqua" w:cs="Book Antiqua"/>
          <w:b/>
          <w:caps/>
          <w:color w:val="000000"/>
          <w:u w:val="single"/>
        </w:rPr>
        <w:t>FINAL DIAGNOSIS</w:t>
      </w:r>
    </w:p>
    <w:p w14:paraId="331BB353" w14:textId="77777777" w:rsidR="007B6E23" w:rsidRDefault="006A3E19">
      <w:pPr>
        <w:spacing w:line="360" w:lineRule="auto"/>
        <w:jc w:val="both"/>
      </w:pPr>
      <w:r>
        <w:rPr>
          <w:rFonts w:ascii="Book Antiqua" w:hAnsi="Book Antiqua" w:cs="Book Antiqua" w:hint="eastAsia"/>
          <w:color w:val="000000"/>
          <w:lang w:eastAsia="zh-CN"/>
        </w:rPr>
        <w:t xml:space="preserve">The final diagnosis was </w:t>
      </w:r>
      <w:r>
        <w:rPr>
          <w:rFonts w:ascii="Book Antiqua" w:eastAsia="Book Antiqua" w:hAnsi="Book Antiqua" w:cs="Book Antiqua"/>
          <w:color w:val="000000"/>
        </w:rPr>
        <w:t>FHL2.</w:t>
      </w:r>
    </w:p>
    <w:p w14:paraId="48BB55B6" w14:textId="77777777" w:rsidR="007B6E23" w:rsidRDefault="007B6E23">
      <w:pPr>
        <w:spacing w:line="360" w:lineRule="auto"/>
        <w:ind w:firstLine="420"/>
        <w:jc w:val="both"/>
      </w:pPr>
    </w:p>
    <w:p w14:paraId="55D409CC" w14:textId="77777777" w:rsidR="007B6E23" w:rsidRDefault="006A3E19">
      <w:pPr>
        <w:spacing w:line="360" w:lineRule="auto"/>
        <w:jc w:val="both"/>
      </w:pPr>
      <w:r>
        <w:rPr>
          <w:rFonts w:ascii="Book Antiqua" w:eastAsia="Book Antiqua" w:hAnsi="Book Antiqua" w:cs="Book Antiqua"/>
          <w:b/>
          <w:caps/>
          <w:color w:val="000000"/>
          <w:u w:val="single"/>
        </w:rPr>
        <w:lastRenderedPageBreak/>
        <w:t>TREATMENT</w:t>
      </w:r>
    </w:p>
    <w:p w14:paraId="4288B96A" w14:textId="77777777" w:rsidR="007B6E23" w:rsidRDefault="006A3E19">
      <w:pPr>
        <w:spacing w:line="360" w:lineRule="auto"/>
        <w:jc w:val="both"/>
      </w:pPr>
      <w:r>
        <w:rPr>
          <w:rFonts w:ascii="Book Antiqua" w:eastAsia="Book Antiqua" w:hAnsi="Book Antiqua" w:cs="Book Antiqua"/>
          <w:color w:val="000000"/>
          <w:szCs w:val="21"/>
        </w:rPr>
        <w:t xml:space="preserve">The patient was treated according to the HLH-2004 </w:t>
      </w:r>
      <w:r>
        <w:rPr>
          <w:rFonts w:ascii="Book Antiqua" w:eastAsia="Book Antiqua" w:hAnsi="Book Antiqua" w:cs="Book Antiqua"/>
          <w:color w:val="000000"/>
        </w:rPr>
        <w:t xml:space="preserve">treatment </w:t>
      </w:r>
      <w:proofErr w:type="gramStart"/>
      <w:r>
        <w:rPr>
          <w:rFonts w:ascii="Book Antiqua" w:eastAsia="Book Antiqua" w:hAnsi="Book Antiqua" w:cs="Book Antiqua"/>
          <w:color w:val="000000"/>
        </w:rPr>
        <w:t>protocol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w:t>
      </w:r>
    </w:p>
    <w:p w14:paraId="123DFD57" w14:textId="77777777" w:rsidR="007B6E23" w:rsidRDefault="007B6E23">
      <w:pPr>
        <w:spacing w:line="360" w:lineRule="auto"/>
        <w:jc w:val="both"/>
      </w:pPr>
    </w:p>
    <w:p w14:paraId="6F2CA04F" w14:textId="77777777" w:rsidR="007B6E23" w:rsidRDefault="006A3E19">
      <w:pPr>
        <w:spacing w:line="360" w:lineRule="auto"/>
        <w:jc w:val="both"/>
      </w:pPr>
      <w:r>
        <w:rPr>
          <w:rFonts w:ascii="Book Antiqua" w:eastAsia="Book Antiqua" w:hAnsi="Book Antiqua" w:cs="Book Antiqua"/>
          <w:b/>
          <w:caps/>
          <w:color w:val="000000"/>
          <w:u w:val="single"/>
        </w:rPr>
        <w:t>OUTCOME AND FOLLOW-UP</w:t>
      </w:r>
    </w:p>
    <w:p w14:paraId="1E0EEF43" w14:textId="40F5675B" w:rsidR="007B6E23" w:rsidRDefault="006A3E19">
      <w:pPr>
        <w:spacing w:line="360" w:lineRule="auto"/>
        <w:jc w:val="both"/>
      </w:pPr>
      <w:r>
        <w:rPr>
          <w:rFonts w:ascii="Book Antiqua" w:eastAsia="Book Antiqua" w:hAnsi="Book Antiqua" w:cs="Book Antiqua"/>
          <w:color w:val="000000"/>
        </w:rPr>
        <w:t xml:space="preserve">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initial chemotherapy of HLH-2004 treatment protocol, the signs, symptoms and auxiliary examination results of the patient were close to normal. Because there was no suitable donor, the hematopoietic stem cell transplantation could not be completed, and the patient continued to receive maintenance chemotherapy for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achieved complete remission. To date, the patient has stopped taking drugs for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his condition is stable and under follow-up observation.</w:t>
      </w:r>
    </w:p>
    <w:p w14:paraId="3DFD9ADB" w14:textId="77777777" w:rsidR="007B6E23" w:rsidRDefault="007B6E23">
      <w:pPr>
        <w:spacing w:line="360" w:lineRule="auto"/>
        <w:ind w:firstLine="420"/>
        <w:jc w:val="both"/>
      </w:pPr>
    </w:p>
    <w:p w14:paraId="452AA245" w14:textId="77777777" w:rsidR="007B6E23" w:rsidRDefault="006A3E19">
      <w:pPr>
        <w:spacing w:line="360" w:lineRule="auto"/>
        <w:jc w:val="both"/>
      </w:pPr>
      <w:r>
        <w:rPr>
          <w:rFonts w:ascii="Book Antiqua" w:eastAsia="Book Antiqua" w:hAnsi="Book Antiqua" w:cs="Book Antiqua"/>
          <w:b/>
          <w:caps/>
          <w:color w:val="000000"/>
          <w:u w:val="single"/>
        </w:rPr>
        <w:t>DISCUSSION</w:t>
      </w:r>
    </w:p>
    <w:p w14:paraId="0F9FFB53" w14:textId="218ADFCF" w:rsidR="007B6E23" w:rsidRDefault="006A3E19">
      <w:pPr>
        <w:spacing w:line="360" w:lineRule="auto"/>
        <w:jc w:val="both"/>
      </w:pPr>
      <w:r>
        <w:rPr>
          <w:rFonts w:ascii="Book Antiqua" w:eastAsia="Book Antiqua" w:hAnsi="Book Antiqua" w:cs="Book Antiqua"/>
          <w:color w:val="000000"/>
        </w:rPr>
        <w:t xml:space="preserve">In this patient, the two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are both located in the MACPF/CDC domain and recorded in 460 single-nucleotide variants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 xml:space="preserve">reported by </w:t>
      </w:r>
      <w:proofErr w:type="spellStart"/>
      <w:r>
        <w:rPr>
          <w:rFonts w:ascii="Book Antiqua" w:eastAsia="Book Antiqua" w:hAnsi="Book Antiqua" w:cs="Book Antiqua"/>
          <w:color w:val="000000"/>
        </w:rPr>
        <w:t>Willenbring</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c.65delC mutation has been reported in both China and South </w:t>
      </w:r>
      <w:proofErr w:type="gramStart"/>
      <w:r>
        <w:rPr>
          <w:rFonts w:ascii="Book Antiqua" w:eastAsia="Book Antiqua" w:hAnsi="Book Antiqua" w:cs="Book Antiqua"/>
          <w:color w:val="000000"/>
        </w:rPr>
        <w:t>Korea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1,2,10]</w:t>
      </w:r>
      <w:r>
        <w:rPr>
          <w:rFonts w:ascii="Book Antiqua" w:eastAsia="Book Antiqua" w:hAnsi="Book Antiqua" w:cs="Book Antiqua"/>
          <w:color w:val="000000"/>
        </w:rPr>
        <w:t xml:space="preserve">. Except for only one case of FHL2 caused by single allele heterozygous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all others were caused by a compound heterozygous mutation. Among them, Korean cases mainly occur in infancy and Chinese cases are reported in both children and adults, which suggests that the c.65delC mutation might be ethnically and geographically specific and has no direct correlation with the onset time of FHL2. In the </w:t>
      </w:r>
      <w:proofErr w:type="spellStart"/>
      <w:r>
        <w:rPr>
          <w:rFonts w:ascii="Book Antiqua" w:eastAsia="Book Antiqua" w:hAnsi="Book Antiqua" w:cs="Book Antiqua"/>
          <w:color w:val="000000"/>
        </w:rPr>
        <w:t>Clinvar</w:t>
      </w:r>
      <w:proofErr w:type="spellEnd"/>
      <w:r>
        <w:rPr>
          <w:rFonts w:ascii="Book Antiqua" w:eastAsia="Book Antiqua" w:hAnsi="Book Antiqua" w:cs="Book Antiqua"/>
          <w:color w:val="000000"/>
        </w:rPr>
        <w:t xml:space="preserve"> database, there is only one record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 xml:space="preserve">c.163C&gt;T mutation in </w:t>
      </w:r>
      <w:proofErr w:type="gramStart"/>
      <w:r>
        <w:rPr>
          <w:rFonts w:ascii="Book Antiqua" w:eastAsia="Book Antiqua" w:hAnsi="Book Antiqua" w:cs="Book Antiqua"/>
          <w:color w:val="000000"/>
        </w:rPr>
        <w:t>FHL2,</w:t>
      </w:r>
      <w:proofErr w:type="gramEnd"/>
      <w:r>
        <w:rPr>
          <w:rFonts w:ascii="Book Antiqua" w:eastAsia="Book Antiqua" w:hAnsi="Book Antiqua" w:cs="Book Antiqua"/>
          <w:color w:val="000000"/>
        </w:rPr>
        <w:t xml:space="preserve"> and the specific clinical features have not been described in detail. </w:t>
      </w:r>
    </w:p>
    <w:p w14:paraId="077952DB" w14:textId="77777777" w:rsidR="007B6E23" w:rsidRDefault="006A3E19">
      <w:pPr>
        <w:spacing w:line="360" w:lineRule="auto"/>
        <w:ind w:firstLineChars="100" w:firstLine="240"/>
        <w:jc w:val="both"/>
      </w:pPr>
      <w:r>
        <w:rPr>
          <w:rFonts w:ascii="Book Antiqua" w:eastAsia="Book Antiqua" w:hAnsi="Book Antiqua" w:cs="Book Antiqua"/>
          <w:color w:val="000000"/>
        </w:rPr>
        <w:t xml:space="preserve">According to our literature review, the delayed onset of FHL2 may be related to the mutation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triggering factors</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and pathogenic variation pattern of </w:t>
      </w:r>
      <w:r>
        <w:rPr>
          <w:rFonts w:ascii="Book Antiqua" w:eastAsia="Book Antiqua" w:hAnsi="Book Antiqua" w:cs="Book Antiqua"/>
          <w:i/>
          <w:iCs/>
          <w:color w:val="000000"/>
        </w:rPr>
        <w:t>PRF1</w:t>
      </w:r>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Additionally, the temperature sensitivity of some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can also explain </w:t>
      </w:r>
      <w:proofErr w:type="gramStart"/>
      <w:r>
        <w:rPr>
          <w:rFonts w:ascii="Book Antiqua" w:eastAsia="Book Antiqua" w:hAnsi="Book Antiqua" w:cs="Book Antiqua"/>
          <w:color w:val="000000"/>
        </w:rPr>
        <w:t>this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546C5BC5" w14:textId="53A9BF54" w:rsidR="007B6E23" w:rsidRDefault="006A3E19">
      <w:pPr>
        <w:spacing w:line="360" w:lineRule="auto"/>
        <w:ind w:firstLineChars="100" w:firstLine="240"/>
        <w:jc w:val="both"/>
      </w:pPr>
      <w:r>
        <w:rPr>
          <w:rFonts w:ascii="Book Antiqua" w:eastAsia="Book Antiqua" w:hAnsi="Book Antiqua" w:cs="Book Antiqua"/>
          <w:color w:val="000000"/>
        </w:rPr>
        <w:t xml:space="preserve">There are mainly the following forms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w:t>
      </w:r>
      <w:r w:rsidR="006F4142">
        <w:rPr>
          <w:rFonts w:ascii="Book Antiqua" w:eastAsia="Book Antiqua" w:hAnsi="Book Antiqua" w:cs="Book Antiqua"/>
          <w:color w:val="000000"/>
        </w:rPr>
        <w:t>M</w:t>
      </w:r>
      <w:r>
        <w:rPr>
          <w:rFonts w:ascii="Book Antiqua" w:eastAsia="Book Antiqua" w:hAnsi="Book Antiqua" w:cs="Book Antiqua"/>
          <w:color w:val="000000"/>
        </w:rPr>
        <w:t xml:space="preserve">issense mutations, frameshift mutations, nonsense mutations and </w:t>
      </w:r>
      <w:proofErr w:type="spellStart"/>
      <w:r>
        <w:rPr>
          <w:rFonts w:ascii="Book Antiqua" w:eastAsia="Book Antiqua" w:hAnsi="Book Antiqua" w:cs="Book Antiqua"/>
          <w:color w:val="000000"/>
        </w:rPr>
        <w:t>inframe</w:t>
      </w:r>
      <w:proofErr w:type="spellEnd"/>
      <w:r>
        <w:rPr>
          <w:rFonts w:ascii="Book Antiqua" w:eastAsia="Book Antiqua" w:hAnsi="Book Antiqua" w:cs="Book Antiqua"/>
          <w:color w:val="000000"/>
        </w:rPr>
        <w:t xml:space="preserve"> insertion/deletion mutations, among which the first three are more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Through sequencing HLH-related </w:t>
      </w:r>
      <w:r>
        <w:rPr>
          <w:rFonts w:ascii="Book Antiqua" w:eastAsia="Book Antiqua" w:hAnsi="Book Antiqua" w:cs="Book Antiqua"/>
          <w:color w:val="000000"/>
        </w:rPr>
        <w:lastRenderedPageBreak/>
        <w:t xml:space="preserve">genes, Miao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most of the variants are nonsense mutations and frameshift mutations in pediatric HLH cases, which is different from that in adult cases, where missense mutations are much more prevalent and suggest that most gene mutations in adult HLH may partially damage rather than completely eliminate the function of the affected proteins. </w:t>
      </w:r>
      <w:proofErr w:type="spellStart"/>
      <w:r>
        <w:rPr>
          <w:rFonts w:ascii="Book Antiqua" w:eastAsia="Book Antiqua" w:hAnsi="Book Antiqua" w:cs="Book Antiqua"/>
          <w:color w:val="000000"/>
        </w:rPr>
        <w:t>Trizzino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the expression of PRF1 in NK cells decreases in almost all FHL2 with </w:t>
      </w:r>
      <w:proofErr w:type="spellStart"/>
      <w:r>
        <w:rPr>
          <w:rFonts w:ascii="Book Antiqua" w:eastAsia="Book Antiqua" w:hAnsi="Book Antiqua" w:cs="Book Antiqua"/>
          <w:color w:val="000000"/>
        </w:rPr>
        <w:t>biallelic</w:t>
      </w:r>
      <w:proofErr w:type="spellEnd"/>
      <w:r>
        <w:rPr>
          <w:rFonts w:ascii="Book Antiqua" w:eastAsia="Book Antiqua" w:hAnsi="Book Antiqua" w:cs="Book Antiqua"/>
          <w:color w:val="000000"/>
        </w:rPr>
        <w:t xml:space="preserve">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and the onset time of FHL2 might depend on the effect of different types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 xml:space="preserve">mutations on protein function. The onset age of patients with two destructive mutations (frameshift mutation or nonsense mutation) is significantly earlier than that of patients with a destructive mutation and a missense mutation. Using whole-exome sequencing (WES),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advanced that FHL2 patients with compound heterozygous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have delayed onset; a possible explanation for this phenomenon is that these patients carry a heterozygous missense mutation, which encodes part of the PRF1 activity. Ueda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an 11-year-old late-onset FHL2 with compound heterozygous missense mutations of </w:t>
      </w:r>
      <w:r>
        <w:rPr>
          <w:rFonts w:ascii="Book Antiqua" w:eastAsia="Book Antiqua" w:hAnsi="Book Antiqua" w:cs="Book Antiqua"/>
          <w:i/>
          <w:iCs/>
          <w:color w:val="000000"/>
        </w:rPr>
        <w:t>PRF1</w:t>
      </w:r>
      <w:r>
        <w:rPr>
          <w:rFonts w:ascii="Book Antiqua" w:eastAsia="Book Antiqua" w:hAnsi="Book Antiqua" w:cs="Book Antiqua"/>
          <w:color w:val="000000"/>
        </w:rPr>
        <w:t>. Two siblings of the patient died in early infancy because of fatal FHL, although they carried the same pathogenic gene mutations.</w:t>
      </w:r>
    </w:p>
    <w:p w14:paraId="5C0987F4" w14:textId="77777777" w:rsidR="007B6E23" w:rsidRDefault="006A3E19">
      <w:pPr>
        <w:spacing w:line="360" w:lineRule="auto"/>
        <w:ind w:firstLineChars="100" w:firstLine="240"/>
        <w:jc w:val="both"/>
      </w:pPr>
      <w:r>
        <w:rPr>
          <w:rFonts w:ascii="Book Antiqua" w:eastAsia="Book Antiqua" w:hAnsi="Book Antiqua" w:cs="Book Antiqua"/>
          <w:color w:val="000000"/>
          <w:szCs w:val="21"/>
        </w:rPr>
        <w:t xml:space="preserve">It is generally believed that </w:t>
      </w:r>
      <w:r>
        <w:rPr>
          <w:rFonts w:ascii="Book Antiqua" w:eastAsia="Book Antiqua" w:hAnsi="Book Antiqua" w:cs="Book Antiqua"/>
          <w:color w:val="000000"/>
        </w:rPr>
        <w:t xml:space="preserve">there is always a triggering factor in the onset of HLH. The most common triggering factors are infections and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While in FHL, the most prevalent trigger is the viral infection that cannot be eliminated by genetically defective CTLs. In terms of triggering factors, EBV or other herpesviruses are the most frequently reported, there are also some findings about arthritis driven inflammation, macrophage activation syndrome and </w:t>
      </w:r>
      <w:proofErr w:type="spellStart"/>
      <w:proofErr w:type="gramStart"/>
      <w:r>
        <w:rPr>
          <w:rFonts w:ascii="Book Antiqua" w:eastAsia="Book Antiqua" w:hAnsi="Book Antiqua" w:cs="Book Antiqua"/>
          <w:color w:val="000000"/>
        </w:rPr>
        <w:t>leishmaniasis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Our patient has a compound heterozygous state of frameshift mutation and missense mutation and developed FHL2 at the age of 27. The above inducing factors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excluded. Combined with the literature about c.65delC mutations, it is found that FHL2 with this kind of mutation occurs in both infants and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1,2,10]</w:t>
      </w:r>
      <w:r>
        <w:rPr>
          <w:rFonts w:ascii="Book Antiqua" w:eastAsia="Book Antiqua" w:hAnsi="Book Antiqua" w:cs="Book Antiqua"/>
          <w:color w:val="000000"/>
        </w:rPr>
        <w:t xml:space="preserve">. We propose that the mutation type of the pathogenic gene is not a single determinant of the age of onset. </w:t>
      </w:r>
    </w:p>
    <w:p w14:paraId="74B1915A" w14:textId="16483995" w:rsidR="007B6E23" w:rsidRDefault="006A3E19">
      <w:pPr>
        <w:spacing w:line="360" w:lineRule="auto"/>
        <w:ind w:firstLineChars="100" w:firstLine="240"/>
        <w:jc w:val="both"/>
      </w:pPr>
      <w:r>
        <w:rPr>
          <w:rFonts w:ascii="Book Antiqua" w:eastAsia="Book Antiqua" w:hAnsi="Book Antiqua" w:cs="Book Antiqua"/>
          <w:color w:val="000000"/>
        </w:rPr>
        <w:lastRenderedPageBreak/>
        <w:t xml:space="preserve">Gao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analyzed the potential "second-hit" mechanism of FHL2 by WES, suggesting that another gene mutation (homozygous missense mutation S1006L in </w:t>
      </w:r>
      <w:r>
        <w:rPr>
          <w:rFonts w:ascii="Book Antiqua" w:eastAsia="Book Antiqua" w:hAnsi="Book Antiqua" w:cs="Book Antiqua"/>
          <w:i/>
          <w:iCs/>
          <w:color w:val="000000"/>
        </w:rPr>
        <w:t>PCDH18</w:t>
      </w:r>
      <w:r>
        <w:rPr>
          <w:rFonts w:ascii="Book Antiqua" w:eastAsia="Book Antiqua" w:hAnsi="Book Antiqua" w:cs="Book Antiqua"/>
          <w:color w:val="000000"/>
        </w:rPr>
        <w:t xml:space="preserve">) destroyed the stability of the protein structure and cooperated with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to lessen the </w:t>
      </w:r>
      <w:r>
        <w:rPr>
          <w:rFonts w:ascii="Book Antiqua" w:eastAsia="Book Antiqua" w:hAnsi="Book Antiqua" w:cs="Book Antiqua"/>
          <w:i/>
          <w:iCs/>
          <w:color w:val="000000"/>
        </w:rPr>
        <w:t>PCDH18</w:t>
      </w:r>
      <w:r>
        <w:rPr>
          <w:rFonts w:ascii="Book Antiqua" w:eastAsia="Book Antiqua" w:hAnsi="Book Antiqua" w:cs="Book Antiqua"/>
          <w:color w:val="000000"/>
        </w:rPr>
        <w:t xml:space="preserve">-induced inhibition of CTLs activation and reduce their apoptosis, which resulted in the "second-hit" of FHL2. </w:t>
      </w:r>
      <w:r>
        <w:rPr>
          <w:rFonts w:ascii="Book Antiqua" w:eastAsia="Book Antiqua" w:hAnsi="Book Antiqua" w:cs="Book Antiqua"/>
          <w:color w:val="000000"/>
          <w:szCs w:val="21"/>
        </w:rPr>
        <w:t xml:space="preserve">By contrast, Zhang </w:t>
      </w:r>
      <w:r w:rsidRPr="001C6AB1">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t>
      </w:r>
      <w:r>
        <w:rPr>
          <w:rFonts w:ascii="Book Antiqua" w:eastAsia="Book Antiqua" w:hAnsi="Book Antiqua" w:cs="Book Antiqua"/>
          <w:color w:val="000000"/>
          <w:szCs w:val="21"/>
        </w:rPr>
        <w:t xml:space="preserve">found that the onset age of heterozygotes with variants in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and one gene involved in cytotoxic lymphocyte degranulation pathway (</w:t>
      </w:r>
      <w:r>
        <w:rPr>
          <w:rFonts w:ascii="Book Antiqua" w:eastAsia="Book Antiqua" w:hAnsi="Book Antiqua" w:cs="Book Antiqua"/>
          <w:i/>
          <w:iCs/>
          <w:color w:val="000000"/>
          <w:szCs w:val="21"/>
        </w:rPr>
        <w:t>UNC13D</w:t>
      </w:r>
      <w:r>
        <w:rPr>
          <w:rFonts w:ascii="Book Antiqua" w:eastAsia="Book Antiqua" w:hAnsi="Book Antiqua" w:cs="Book Antiqua"/>
          <w:color w:val="000000"/>
          <w:szCs w:val="21"/>
        </w:rPr>
        <w:t> (</w:t>
      </w:r>
      <w:r>
        <w:rPr>
          <w:rFonts w:ascii="Book Antiqua" w:eastAsia="Book Antiqua" w:hAnsi="Book Antiqua" w:cs="Book Antiqua"/>
          <w:i/>
          <w:iCs/>
          <w:color w:val="000000"/>
          <w:szCs w:val="21"/>
        </w:rPr>
        <w:t>MUNC13-4</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STX11</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STXBP2</w:t>
      </w:r>
      <w:r>
        <w:rPr>
          <w:rFonts w:ascii="Book Antiqua" w:eastAsia="Book Antiqua" w:hAnsi="Book Antiqua" w:cs="Book Antiqua"/>
          <w:color w:val="000000"/>
          <w:szCs w:val="21"/>
        </w:rPr>
        <w:t xml:space="preserve">, and </w:t>
      </w:r>
      <w:r>
        <w:rPr>
          <w:rFonts w:ascii="Book Antiqua" w:eastAsia="Book Antiqua" w:hAnsi="Book Antiqua" w:cs="Book Antiqua"/>
          <w:i/>
          <w:iCs/>
          <w:color w:val="000000"/>
          <w:szCs w:val="21"/>
        </w:rPr>
        <w:t>RAB27A</w:t>
      </w:r>
      <w:r>
        <w:rPr>
          <w:rFonts w:ascii="Book Antiqua" w:eastAsia="Book Antiqua" w:hAnsi="Book Antiqua" w:cs="Book Antiqua"/>
          <w:color w:val="000000"/>
          <w:szCs w:val="21"/>
        </w:rPr>
        <w:t xml:space="preserve">) was later than that of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single heterozygotes, and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homozygotes or compound heterozygotes. Heterozygous mutations of degranulation genes seemed to partially offset the adverse effects of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mutations and delay the onset time. These studies </w:t>
      </w:r>
      <w:r>
        <w:rPr>
          <w:rFonts w:ascii="Book Antiqua" w:eastAsia="Book Antiqua" w:hAnsi="Book Antiqua" w:cs="Book Antiqua"/>
          <w:color w:val="000000"/>
        </w:rPr>
        <w:t>revealed that more potential FHL-related susceptibility genes and their pathogenic mechanism could be found through in-depth study with advanced technologies.</w:t>
      </w:r>
    </w:p>
    <w:p w14:paraId="5B22113F" w14:textId="7F843C3C" w:rsidR="007B6E23" w:rsidRDefault="006A3E19">
      <w:pPr>
        <w:spacing w:line="360" w:lineRule="auto"/>
        <w:ind w:firstLine="420"/>
        <w:jc w:val="both"/>
      </w:pPr>
      <w:r>
        <w:rPr>
          <w:rFonts w:ascii="Book Antiqua" w:eastAsia="Book Antiqua" w:hAnsi="Book Antiqua" w:cs="Book Antiqua"/>
          <w:color w:val="000000"/>
        </w:rPr>
        <w:t xml:space="preserve">Flow cytometry analysis has confirmed that the decreased expression of PRF1 has a connection with </w:t>
      </w:r>
      <w:r>
        <w:rPr>
          <w:rFonts w:ascii="Book Antiqua" w:eastAsia="Book Antiqua" w:hAnsi="Book Antiqua" w:cs="Book Antiqua"/>
          <w:i/>
          <w:iCs/>
          <w:color w:val="000000"/>
        </w:rPr>
        <w:t>PRF1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t>
      </w:r>
      <w:proofErr w:type="spellStart"/>
      <w:r>
        <w:rPr>
          <w:rFonts w:ascii="Book Antiqua" w:eastAsia="Book Antiqua" w:hAnsi="Book Antiqua" w:cs="Book Antiqua"/>
          <w:color w:val="000000"/>
        </w:rPr>
        <w:t>Voskoboinik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found that the onset of FHL2 shows a bimodal phenomenon, patients carrying missense mutations with a complete loss of cytotoxicity generally develop FHL2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birth, while disease tends to occur after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in patients with missense mutations retaining partial cytotoxicity. Chia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put forward that there is a significant relationship between the onset age of FHL2 and the degree to which cytotoxicity can be recovered at 30°C.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with temperature sensitivity enable carriers to retain sufficient PRF1 activity, eventually preventing the early-onset of FHL2 in childhood.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also suggested that the discrepancy in the onset age of FHL2 is related to the degree of loss of PRF1-dependent cytotoxicity caused by various </w:t>
      </w:r>
      <w:r>
        <w:rPr>
          <w:rFonts w:ascii="Book Antiqua" w:eastAsia="Book Antiqua" w:hAnsi="Book Antiqua" w:cs="Book Antiqua"/>
          <w:i/>
          <w:iCs/>
          <w:color w:val="000000"/>
        </w:rPr>
        <w:t xml:space="preserve">PRF1 </w:t>
      </w:r>
      <w:r>
        <w:rPr>
          <w:rFonts w:ascii="Book Antiqua" w:eastAsia="Book Antiqua" w:hAnsi="Book Antiqua" w:cs="Book Antiqua"/>
          <w:color w:val="000000"/>
        </w:rPr>
        <w:t xml:space="preserve">mutations. In our patient, the two allele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are frameshift mutation and missense mutation, and the expression of PRF1 in NK cells is slightly lower than normal, suggesting that the activity of NK cells is slightly lower. It is speculated that these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may retain part of the cytotoxicity and delay the onset of the disease. However, there are also some cases in which NK cell activity is very low but clinical onset is late, and there are </w:t>
      </w:r>
      <w:r>
        <w:rPr>
          <w:rFonts w:ascii="Book Antiqua" w:eastAsia="Book Antiqua" w:hAnsi="Book Antiqua" w:cs="Book Antiqua"/>
          <w:color w:val="000000"/>
        </w:rPr>
        <w:lastRenderedPageBreak/>
        <w:t xml:space="preserve">some cases in which NK cell activity is normal, but the patient develops FHL2 within 1 year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44FC78ED" w14:textId="77777777" w:rsidR="007B6E23" w:rsidRDefault="007B6E23">
      <w:pPr>
        <w:spacing w:line="360" w:lineRule="auto"/>
        <w:ind w:firstLine="420"/>
        <w:jc w:val="both"/>
      </w:pPr>
    </w:p>
    <w:p w14:paraId="24B7EA2D" w14:textId="77777777" w:rsidR="007B6E23" w:rsidRDefault="006A3E19">
      <w:pPr>
        <w:spacing w:line="360" w:lineRule="auto"/>
        <w:jc w:val="both"/>
      </w:pPr>
      <w:r>
        <w:rPr>
          <w:rFonts w:ascii="Book Antiqua" w:eastAsia="Book Antiqua" w:hAnsi="Book Antiqua" w:cs="Book Antiqua"/>
          <w:b/>
          <w:caps/>
          <w:color w:val="000000"/>
          <w:u w:val="single"/>
        </w:rPr>
        <w:t>CONCLUSION</w:t>
      </w:r>
    </w:p>
    <w:p w14:paraId="3E9F7E2A" w14:textId="0F07D86D" w:rsidR="007B6E23" w:rsidRDefault="006A3E19">
      <w:pPr>
        <w:spacing w:line="360" w:lineRule="auto"/>
        <w:jc w:val="both"/>
      </w:pPr>
      <w:r>
        <w:rPr>
          <w:rFonts w:ascii="Book Antiqua" w:eastAsia="Book Antiqua" w:hAnsi="Book Antiqua" w:cs="Book Antiqua"/>
          <w:color w:val="000000"/>
        </w:rPr>
        <w:t xml:space="preserve">In this late-onset case of FHL2 with compound heterozygous </w:t>
      </w:r>
      <w:r>
        <w:rPr>
          <w:rFonts w:ascii="Book Antiqua" w:eastAsia="Book Antiqua" w:hAnsi="Book Antiqua" w:cs="Book Antiqua"/>
          <w:i/>
          <w:iCs/>
          <w:color w:val="000000"/>
        </w:rPr>
        <w:t>PRF1</w:t>
      </w:r>
      <w:r>
        <w:rPr>
          <w:rFonts w:ascii="Book Antiqua" w:eastAsia="Book Antiqua" w:hAnsi="Book Antiqua" w:cs="Book Antiqua"/>
          <w:color w:val="000000"/>
        </w:rPr>
        <w:t> defects, the c.163C&gt;T mutation is rare and there is no detailed description of this mutation till now. We conducted a predictive analysis of the two mutations’ effects on the function of PRF1 and onset of FHL2. However, the relationship between the changes of protein function caused by these mutations and the onset time of FHL needs to be verified by more advanced technology.</w:t>
      </w:r>
    </w:p>
    <w:p w14:paraId="07B7E57B" w14:textId="77777777" w:rsidR="007B6E23" w:rsidRDefault="007B6E23">
      <w:pPr>
        <w:spacing w:line="360" w:lineRule="auto"/>
        <w:ind w:firstLine="420"/>
        <w:jc w:val="both"/>
      </w:pPr>
    </w:p>
    <w:p w14:paraId="34EB5974" w14:textId="77777777" w:rsidR="007B6E23" w:rsidRDefault="006A3E19">
      <w:pPr>
        <w:spacing w:line="360" w:lineRule="auto"/>
        <w:jc w:val="both"/>
      </w:pPr>
      <w:r>
        <w:rPr>
          <w:rFonts w:ascii="Book Antiqua" w:eastAsia="Book Antiqua" w:hAnsi="Book Antiqua" w:cs="Book Antiqua"/>
          <w:b/>
          <w:color w:val="000000"/>
        </w:rPr>
        <w:t>REFERENCES</w:t>
      </w:r>
    </w:p>
    <w:p w14:paraId="43D392B4" w14:textId="77777777" w:rsidR="007B6E23" w:rsidRDefault="006A3E1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Z, Zhang J, Wei Q, Tang R, Qi J, Li L, Ye L, Wang J, Ye L. Genetic features of late onset primary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adolescence or adulthood.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e107386 [PMID: 25233452 DOI: 10.1371/journal.pone.0107386]</w:t>
      </w:r>
    </w:p>
    <w:p w14:paraId="26AFDBE2" w14:textId="77777777" w:rsidR="007B6E23" w:rsidRDefault="006A3E1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Wang F, Zhang Y,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W, Wang M,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D, Zhou X, Wang D, Zhao H, Zhu P, Liu H. Genetic variant spectrum in 265 Chinese patients with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Molecular analyses of PRF1, UNC13D, STX11, STXBP2, SH2D1A, and XIAP.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200-212 [PMID: 29665027 DOI: 10.1111/cge.13363]</w:t>
      </w:r>
    </w:p>
    <w:p w14:paraId="4393346F" w14:textId="77777777" w:rsidR="007B6E23" w:rsidRDefault="006A3E1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Wang Y, Wang J, Zhang J, Wu L, Gao Z, Lai W, Wang Z. Primary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adults: the utility of family surveys in a single-center study from China.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17 [PMID: 29357941 DOI: 10.1186/s13023-017-0753-7]</w:t>
      </w:r>
    </w:p>
    <w:p w14:paraId="014F5D2C" w14:textId="77777777" w:rsidR="007B6E23" w:rsidRDefault="006A3E1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Gholam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Grigoriadou</w:t>
      </w:r>
      <w:proofErr w:type="spellEnd"/>
      <w:r>
        <w:rPr>
          <w:rFonts w:ascii="Book Antiqua" w:eastAsia="Book Antiqua" w:hAnsi="Book Antiqua" w:cs="Book Antiqua"/>
          <w:color w:val="000000"/>
        </w:rPr>
        <w:t xml:space="preserve"> S, Gilmour KC, Gaspar HB. Familial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advances in the genetic basis, diagnosis and management.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163</w:t>
      </w:r>
      <w:r>
        <w:rPr>
          <w:rFonts w:ascii="Book Antiqua" w:eastAsia="Book Antiqua" w:hAnsi="Book Antiqua" w:cs="Book Antiqua"/>
          <w:color w:val="000000"/>
        </w:rPr>
        <w:t>: 271-283 [PMID: 21303357 DOI: 10.1111/j.1365-2249.2010.04302.x]</w:t>
      </w:r>
    </w:p>
    <w:p w14:paraId="5CB6021A" w14:textId="77777777" w:rsidR="007B6E23" w:rsidRDefault="006A3E19">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Willenbring</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Ikeda Y, Pease LR, Johnson AJ. Human perforin gene variation is geographically distributed.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 Genomic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44-55 [PMID: 29216683 DOI: 10.1002/mgg3.344]</w:t>
      </w:r>
    </w:p>
    <w:p w14:paraId="4D7B8439" w14:textId="77777777" w:rsidR="007B6E23" w:rsidRDefault="006A3E19">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Voskoboinik</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Smyth MJ, Trapani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Perforin-mediated target-cell death and immune homeostasis.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940-952 [PMID: 17124515 DOI: 10.1038/nri1983]</w:t>
      </w:r>
    </w:p>
    <w:p w14:paraId="168C6FC7" w14:textId="77777777" w:rsidR="007B6E23" w:rsidRDefault="006A3E1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Egeler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guidelines for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10.1002/pbc.21039]</w:t>
      </w:r>
    </w:p>
    <w:p w14:paraId="24A8DC71" w14:textId="77777777" w:rsidR="007B6E23" w:rsidRDefault="006A3E1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Richards S</w:t>
      </w:r>
      <w:r>
        <w:rPr>
          <w:rFonts w:ascii="Book Antiqua" w:eastAsia="Book Antiqua" w:hAnsi="Book Antiqua" w:cs="Book Antiqua"/>
          <w:color w:val="000000"/>
        </w:rPr>
        <w:t xml:space="preserve">, Aziz N, Bale S, Bick D, Das S, </w:t>
      </w:r>
      <w:proofErr w:type="spellStart"/>
      <w:r>
        <w:rPr>
          <w:rFonts w:ascii="Book Antiqua" w:eastAsia="Book Antiqua" w:hAnsi="Book Antiqua" w:cs="Book Antiqua"/>
          <w:color w:val="000000"/>
        </w:rPr>
        <w:t>Gastier</w:t>
      </w:r>
      <w:proofErr w:type="spellEnd"/>
      <w:r>
        <w:rPr>
          <w:rFonts w:ascii="Book Antiqua" w:eastAsia="Book Antiqua" w:hAnsi="Book Antiqua" w:cs="Book Antiqua"/>
          <w:color w:val="000000"/>
        </w:rPr>
        <w:t xml:space="preserve">-Foster J, </w:t>
      </w:r>
      <w:proofErr w:type="spellStart"/>
      <w:r>
        <w:rPr>
          <w:rFonts w:ascii="Book Antiqua" w:eastAsia="Book Antiqua" w:hAnsi="Book Antiqua" w:cs="Book Antiqua"/>
          <w:color w:val="000000"/>
        </w:rPr>
        <w:t>Grody</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M, Lyon E, Spector E, </w:t>
      </w:r>
      <w:proofErr w:type="spellStart"/>
      <w:r>
        <w:rPr>
          <w:rFonts w:ascii="Book Antiqua" w:eastAsia="Book Antiqua" w:hAnsi="Book Antiqua" w:cs="Book Antiqua"/>
          <w:color w:val="000000"/>
        </w:rPr>
        <w:t>Voelkerding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HL; ACMG Laboratory Quality Assurance Committee. Standards and guidelines for the interpretation of sequence variants: a joint consensus recommendation of the American College of Medical Genetics and Genomics and the Association for Molecular Pathology.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405-424 [PMID: 25741868 DOI: 10.1038/gim.2015.30]</w:t>
      </w:r>
    </w:p>
    <w:p w14:paraId="7D1DA8E6" w14:textId="77777777" w:rsidR="007B6E23" w:rsidRDefault="006A3E1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Tayoun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Pesaran</w:t>
      </w:r>
      <w:proofErr w:type="spellEnd"/>
      <w:r>
        <w:rPr>
          <w:rFonts w:ascii="Book Antiqua" w:eastAsia="Book Antiqua" w:hAnsi="Book Antiqua" w:cs="Book Antiqua"/>
          <w:color w:val="000000"/>
        </w:rPr>
        <w:t xml:space="preserve"> T, DiStefano MT, </w:t>
      </w:r>
      <w:proofErr w:type="spellStart"/>
      <w:r>
        <w:rPr>
          <w:rFonts w:ascii="Book Antiqua" w:eastAsia="Book Antiqua" w:hAnsi="Book Antiqua" w:cs="Book Antiqua"/>
          <w:color w:val="000000"/>
        </w:rPr>
        <w:t>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Biesecker</w:t>
      </w:r>
      <w:proofErr w:type="spellEnd"/>
      <w:r>
        <w:rPr>
          <w:rFonts w:ascii="Book Antiqua" w:eastAsia="Book Antiqua" w:hAnsi="Book Antiqua" w:cs="Book Antiqua"/>
          <w:color w:val="000000"/>
        </w:rPr>
        <w:t xml:space="preserve"> LG, Harrison SM; </w:t>
      </w:r>
      <w:proofErr w:type="spellStart"/>
      <w:r>
        <w:rPr>
          <w:rFonts w:ascii="Book Antiqua" w:eastAsia="Book Antiqua" w:hAnsi="Book Antiqua" w:cs="Book Antiqua"/>
          <w:color w:val="000000"/>
        </w:rPr>
        <w:t>ClinGen</w:t>
      </w:r>
      <w:proofErr w:type="spellEnd"/>
      <w:r>
        <w:rPr>
          <w:rFonts w:ascii="Book Antiqua" w:eastAsia="Book Antiqua" w:hAnsi="Book Antiqua" w:cs="Book Antiqua"/>
          <w:color w:val="000000"/>
        </w:rPr>
        <w:t xml:space="preserve"> Sequence Variant Interpretation Working Group (</w:t>
      </w:r>
      <w:proofErr w:type="spellStart"/>
      <w:r>
        <w:rPr>
          <w:rFonts w:ascii="Book Antiqua" w:eastAsia="Book Antiqua" w:hAnsi="Book Antiqua" w:cs="Book Antiqua"/>
          <w:color w:val="000000"/>
        </w:rPr>
        <w:t>ClinGen</w:t>
      </w:r>
      <w:proofErr w:type="spellEnd"/>
      <w:r>
        <w:rPr>
          <w:rFonts w:ascii="Book Antiqua" w:eastAsia="Book Antiqua" w:hAnsi="Book Antiqua" w:cs="Book Antiqua"/>
          <w:color w:val="000000"/>
        </w:rPr>
        <w:t xml:space="preserve"> SVI). Recommendations for interpreting the loss of </w:t>
      </w:r>
      <w:proofErr w:type="gramStart"/>
      <w:r>
        <w:rPr>
          <w:rFonts w:ascii="Book Antiqua" w:eastAsia="Book Antiqua" w:hAnsi="Book Antiqua" w:cs="Book Antiqua"/>
          <w:color w:val="000000"/>
        </w:rPr>
        <w:t>function</w:t>
      </w:r>
      <w:proofErr w:type="gramEnd"/>
      <w:r>
        <w:rPr>
          <w:rFonts w:ascii="Book Antiqua" w:eastAsia="Book Antiqua" w:hAnsi="Book Antiqua" w:cs="Book Antiqua"/>
          <w:color w:val="000000"/>
        </w:rPr>
        <w:t xml:space="preserve"> PVS1 ACMG/AMP variant criterion.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1517-1524 [PMID: 30192042 DOI: 10.1002/humu.23626]</w:t>
      </w:r>
    </w:p>
    <w:p w14:paraId="75E57530" w14:textId="77777777" w:rsidR="007B6E23" w:rsidRDefault="006A3E1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MS</w:t>
      </w:r>
      <w:r>
        <w:rPr>
          <w:rFonts w:ascii="Book Antiqua" w:eastAsia="Book Antiqua" w:hAnsi="Book Antiqua" w:cs="Book Antiqua"/>
          <w:color w:val="000000"/>
        </w:rPr>
        <w:t xml:space="preserve">, Cho YU, Jang 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HJ, Park CJ.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Type 2 in a Korean Infant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Compound Heterozygous PRF1 Defects Involving a PRF1 Mutation, c.1091T&gt;G.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162-165 [PMID: 28029005 DOI: 10.3343/alm.2017.37.2.162]</w:t>
      </w:r>
    </w:p>
    <w:p w14:paraId="7ECDB988" w14:textId="77777777" w:rsidR="007B6E23" w:rsidRDefault="006A3E1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Trizzino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Stadt</w:t>
      </w:r>
      <w:proofErr w:type="spellEnd"/>
      <w:r>
        <w:rPr>
          <w:rFonts w:ascii="Book Antiqua" w:eastAsia="Book Antiqua" w:hAnsi="Book Antiqua" w:cs="Book Antiqua"/>
          <w:color w:val="000000"/>
        </w:rPr>
        <w:t xml:space="preserve"> U, Ueda I, </w:t>
      </w:r>
      <w:proofErr w:type="spellStart"/>
      <w:r>
        <w:rPr>
          <w:rFonts w:ascii="Book Antiqua" w:eastAsia="Book Antiqua" w:hAnsi="Book Antiqua" w:cs="Book Antiqua"/>
          <w:color w:val="000000"/>
        </w:rPr>
        <w:t>Risma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Ishii E, </w:t>
      </w:r>
      <w:proofErr w:type="spellStart"/>
      <w:r>
        <w:rPr>
          <w:rFonts w:ascii="Book Antiqua" w:eastAsia="Book Antiqua" w:hAnsi="Book Antiqua" w:cs="Book Antiqua"/>
          <w:color w:val="000000"/>
        </w:rPr>
        <w:t>Beutel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Sumegi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Cannella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Pende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JI, Griffiths G, Santoro A,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Aricò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Histiocyte</w:t>
      </w:r>
      <w:proofErr w:type="spellEnd"/>
      <w:r>
        <w:rPr>
          <w:rFonts w:ascii="Book Antiqua" w:eastAsia="Book Antiqua" w:hAnsi="Book Antiqua" w:cs="Book Antiqua"/>
          <w:color w:val="000000"/>
        </w:rPr>
        <w:t xml:space="preserve"> Society HLH Study group. </w:t>
      </w:r>
      <w:proofErr w:type="gramStart"/>
      <w:r>
        <w:rPr>
          <w:rFonts w:ascii="Book Antiqua" w:eastAsia="Book Antiqua" w:hAnsi="Book Antiqua" w:cs="Book Antiqua"/>
          <w:color w:val="000000"/>
        </w:rPr>
        <w:t xml:space="preserve">Genotype-phenotype study of familial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due to perforin mutations.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45</w:t>
      </w:r>
      <w:r>
        <w:rPr>
          <w:rFonts w:ascii="Book Antiqua" w:eastAsia="Book Antiqua" w:hAnsi="Book Antiqua" w:cs="Book Antiqua"/>
          <w:color w:val="000000"/>
        </w:rPr>
        <w:t>: 15-21 [PMID: 17873118 DOI: 10.1136/jmg.2007.052670]</w:t>
      </w:r>
    </w:p>
    <w:p w14:paraId="3553836E" w14:textId="77777777" w:rsidR="007B6E23" w:rsidRDefault="006A3E19">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Miao Y</w:t>
      </w:r>
      <w:r>
        <w:rPr>
          <w:rFonts w:ascii="Book Antiqua" w:eastAsia="Book Antiqua" w:hAnsi="Book Antiqua" w:cs="Book Antiqua"/>
          <w:color w:val="000000"/>
        </w:rPr>
        <w:t xml:space="preserve">, Zhu HY,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C, Xia Y, Kong Y, Zou YX, Miao YQ, Chen X, Cao L, Wu W, Liang JH, Wu JZ, Wang L, Fan L, Xu W, Li JY. Pathogenic Gene Mutations or Variants Identified by Targeted Gene Sequencing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395 [PMID: 30899265 DOI: 10.3389/fimmu.2019.00395]</w:t>
      </w:r>
    </w:p>
    <w:p w14:paraId="5FE5D186" w14:textId="77777777" w:rsidR="007B6E23" w:rsidRDefault="006A3E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Feng WX</w:t>
      </w:r>
      <w:r>
        <w:rPr>
          <w:rFonts w:ascii="Book Antiqua" w:eastAsia="Book Antiqua" w:hAnsi="Book Antiqua" w:cs="Book Antiqua"/>
          <w:color w:val="000000"/>
        </w:rPr>
        <w:t xml:space="preserve">, Yang XY, Li JW, Gong S, Wu Y, Zhang WH, Han TL,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XW, Ding CH, Fang F. Neurologic Manifestations as Initial Clinical Presentation of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Type2 Due to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in Chinese Pediatric Patients.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126 [PMID: 32194620 DOI: 10.3389/fgene.2020.00126]</w:t>
      </w:r>
    </w:p>
    <w:p w14:paraId="0EA3F539" w14:textId="77777777" w:rsidR="007B6E23" w:rsidRDefault="006A3E1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Birndt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Schenk T, </w:t>
      </w:r>
      <w:proofErr w:type="spellStart"/>
      <w:r>
        <w:rPr>
          <w:rFonts w:ascii="Book Antiqua" w:eastAsia="Book Antiqua" w:hAnsi="Book Antiqua" w:cs="Book Antiqua"/>
          <w:color w:val="000000"/>
        </w:rPr>
        <w:t>Heinevetter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Maschmeyer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Rothmann</w:t>
      </w:r>
      <w:proofErr w:type="spellEnd"/>
      <w:r>
        <w:rPr>
          <w:rFonts w:ascii="Book Antiqua" w:eastAsia="Book Antiqua" w:hAnsi="Book Antiqua" w:cs="Book Antiqua"/>
          <w:color w:val="000000"/>
        </w:rPr>
        <w:t xml:space="preserve"> F, Weber T, Müller M, </w:t>
      </w:r>
      <w:proofErr w:type="spellStart"/>
      <w:r>
        <w:rPr>
          <w:rFonts w:ascii="Book Antiqua" w:eastAsia="Book Antiqua" w:hAnsi="Book Antiqua" w:cs="Book Antiqua"/>
          <w:color w:val="000000"/>
        </w:rPr>
        <w:t>Panse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Penack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Schroers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Braess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Frickhofen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Lehmberg K, </w:t>
      </w:r>
      <w:proofErr w:type="spellStart"/>
      <w:r>
        <w:rPr>
          <w:rFonts w:ascii="Book Antiqua" w:eastAsia="Book Antiqua" w:hAnsi="Book Antiqua" w:cs="Book Antiqua"/>
          <w:color w:val="000000"/>
        </w:rPr>
        <w:t>Pletz</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Ernst T, La </w:t>
      </w:r>
      <w:proofErr w:type="spellStart"/>
      <w:r>
        <w:rPr>
          <w:rFonts w:ascii="Book Antiqua" w:eastAsia="Book Antiqua" w:hAnsi="Book Antiqua" w:cs="Book Antiqua"/>
          <w:color w:val="000000"/>
        </w:rPr>
        <w:t>Rosée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adults: collaborative analysis of 137 cases of a nationwide German registry.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1065-1077 [PMID: 32076823 DOI: 10.1007/s00432-020-03139-4]</w:t>
      </w:r>
    </w:p>
    <w:p w14:paraId="430342A1" w14:textId="77777777" w:rsidR="007B6E23" w:rsidRDefault="006A3E1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Cetica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Pende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Danesino</w:t>
      </w:r>
      <w:proofErr w:type="spellEnd"/>
      <w:r>
        <w:rPr>
          <w:rFonts w:ascii="Book Antiqua" w:eastAsia="Book Antiqua" w:hAnsi="Book Antiqua" w:cs="Book Antiqua"/>
          <w:color w:val="000000"/>
        </w:rPr>
        <w:t xml:space="preserve"> C, De Fusco C, Locatelli F, </w:t>
      </w:r>
      <w:proofErr w:type="spellStart"/>
      <w:r>
        <w:rPr>
          <w:rFonts w:ascii="Book Antiqua" w:eastAsia="Book Antiqua" w:hAnsi="Book Antiqua" w:cs="Book Antiqua"/>
          <w:color w:val="000000"/>
        </w:rPr>
        <w:t>Micalizzi</w:t>
      </w:r>
      <w:proofErr w:type="spellEnd"/>
      <w:r>
        <w:rPr>
          <w:rFonts w:ascii="Book Antiqua" w:eastAsia="Book Antiqua" w:hAnsi="Book Antiqua" w:cs="Book Antiqua"/>
          <w:color w:val="000000"/>
        </w:rPr>
        <w:t xml:space="preserve"> C, Putti MC, Biondi A, </w:t>
      </w:r>
      <w:proofErr w:type="spellStart"/>
      <w:r>
        <w:rPr>
          <w:rFonts w:ascii="Book Antiqua" w:eastAsia="Book Antiqua" w:hAnsi="Book Antiqua" w:cs="Book Antiqua"/>
          <w:color w:val="000000"/>
        </w:rPr>
        <w:t>Fagioli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Moretta</w:t>
      </w:r>
      <w:proofErr w:type="spellEnd"/>
      <w:r>
        <w:rPr>
          <w:rFonts w:ascii="Book Antiqua" w:eastAsia="Book Antiqua" w:hAnsi="Book Antiqua" w:cs="Book Antiqua"/>
          <w:color w:val="000000"/>
        </w:rPr>
        <w:t xml:space="preserve"> L, Griffiths GM, </w:t>
      </w:r>
      <w:proofErr w:type="spellStart"/>
      <w:r>
        <w:rPr>
          <w:rFonts w:ascii="Book Antiqua" w:eastAsia="Book Antiqua" w:hAnsi="Book Antiqua" w:cs="Book Antiqua"/>
          <w:color w:val="000000"/>
        </w:rPr>
        <w:t>Luzzatto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Aricò</w:t>
      </w:r>
      <w:proofErr w:type="spellEnd"/>
      <w:r>
        <w:rPr>
          <w:rFonts w:ascii="Book Antiqua" w:eastAsia="Book Antiqua" w:hAnsi="Book Antiqua" w:cs="Book Antiqua"/>
          <w:color w:val="000000"/>
        </w:rPr>
        <w:t xml:space="preserve"> M. Genetic predisposition to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Report on 500 patients from the Italian registry. </w:t>
      </w:r>
      <w:r>
        <w:rPr>
          <w:rFonts w:ascii="Book Antiqua" w:eastAsia="Book Antiqua" w:hAnsi="Book Antiqua" w:cs="Book Antiqua"/>
          <w:i/>
          <w:iCs/>
          <w:color w:val="000000"/>
        </w:rPr>
        <w:t xml:space="preserve">J Allergy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137</w:t>
      </w:r>
      <w:r>
        <w:rPr>
          <w:rFonts w:ascii="Book Antiqua" w:eastAsia="Book Antiqua" w:hAnsi="Book Antiqua" w:cs="Book Antiqua"/>
          <w:color w:val="000000"/>
        </w:rPr>
        <w:t>: 188-196.e4 [PMID: 26342526 DOI: 10.1016/j.jaci.2015.06.048]</w:t>
      </w:r>
    </w:p>
    <w:p w14:paraId="6F1FF9CB" w14:textId="77777777" w:rsidR="007B6E23" w:rsidRDefault="006A3E1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Gao L</w:t>
      </w:r>
      <w:r>
        <w:rPr>
          <w:rFonts w:ascii="Book Antiqua" w:eastAsia="Book Antiqua" w:hAnsi="Book Antiqua" w:cs="Book Antiqua"/>
          <w:color w:val="000000"/>
        </w:rPr>
        <w:t xml:space="preserve">, Dang X, Huang L, Zhu L, Fang M, Zhang J, Xu X, Zhu L, Li T, Zhao L, Wei J, Zhou J. Search for the potential "second-hit" mechanism underlying the onset of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type 2 by whole-exome sequencing analysis.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26-39 [PMID: 26739415 DOI: 10.1016/j.trsl.2015.12.004]</w:t>
      </w:r>
    </w:p>
    <w:p w14:paraId="38BEE2BF" w14:textId="77777777" w:rsidR="007B6E23" w:rsidRDefault="006A3E1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Jordan MB, Marsh RA, Johnson JA, </w:t>
      </w:r>
      <w:proofErr w:type="spellStart"/>
      <w:r>
        <w:rPr>
          <w:rFonts w:ascii="Book Antiqua" w:eastAsia="Book Antiqua" w:hAnsi="Book Antiqua" w:cs="Book Antiqua"/>
          <w:color w:val="000000"/>
        </w:rPr>
        <w:t>Kissell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Meller</w:t>
      </w:r>
      <w:proofErr w:type="spellEnd"/>
      <w:r>
        <w:rPr>
          <w:rFonts w:ascii="Book Antiqua" w:eastAsia="Book Antiqua" w:hAnsi="Book Antiqua" w:cs="Book Antiqua"/>
          <w:color w:val="000000"/>
        </w:rPr>
        <w:t xml:space="preserve"> J, Villanueva J, </w:t>
      </w:r>
      <w:proofErr w:type="spellStart"/>
      <w:r>
        <w:rPr>
          <w:rFonts w:ascii="Book Antiqua" w:eastAsia="Book Antiqua" w:hAnsi="Book Antiqua" w:cs="Book Antiqua"/>
          <w:color w:val="000000"/>
        </w:rPr>
        <w:t>Risma</w:t>
      </w:r>
      <w:proofErr w:type="spellEnd"/>
      <w:r>
        <w:rPr>
          <w:rFonts w:ascii="Book Antiqua" w:eastAsia="Book Antiqua" w:hAnsi="Book Antiqua" w:cs="Book Antiqua"/>
          <w:color w:val="000000"/>
        </w:rPr>
        <w:t xml:space="preserve"> KA, Wei Q, Klein PS,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Hypomorphic</w:t>
      </w:r>
      <w:proofErr w:type="spellEnd"/>
      <w:r>
        <w:rPr>
          <w:rFonts w:ascii="Book Antiqua" w:eastAsia="Book Antiqua" w:hAnsi="Book Antiqua" w:cs="Book Antiqua"/>
          <w:color w:val="000000"/>
        </w:rPr>
        <w:t xml:space="preserve"> mutations in PRF1, MUNC13-4, and STXBP2 are associated with adult-onset familial HLH.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5794-5798 [PMID: 21881043 DOI: 10.1182/blood-2011-07-370148]</w:t>
      </w:r>
    </w:p>
    <w:p w14:paraId="0E0D98EC" w14:textId="77777777" w:rsidR="007B6E23" w:rsidRDefault="006A3E19">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Chandrakasan</w:t>
      </w:r>
      <w:proofErr w:type="spellEnd"/>
      <w:r>
        <w:rPr>
          <w:rFonts w:ascii="Book Antiqua" w:eastAsia="Book Antiqua" w:hAnsi="Book Antiqua" w:cs="Book Antiqua"/>
          <w:color w:val="000000"/>
        </w:rPr>
        <w:t xml:space="preserve"> S, Chapman H, Valencia CA, </w:t>
      </w:r>
      <w:proofErr w:type="spellStart"/>
      <w:r>
        <w:rPr>
          <w:rFonts w:ascii="Book Antiqua" w:eastAsia="Book Antiqua" w:hAnsi="Book Antiqua" w:cs="Book Antiqua"/>
          <w:color w:val="000000"/>
        </w:rPr>
        <w:t>Husami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Kissell</w:t>
      </w:r>
      <w:proofErr w:type="spellEnd"/>
      <w:r>
        <w:rPr>
          <w:rFonts w:ascii="Book Antiqua" w:eastAsia="Book Antiqua" w:hAnsi="Book Antiqua" w:cs="Book Antiqua"/>
          <w:color w:val="000000"/>
        </w:rPr>
        <w:t xml:space="preserve"> D, Johnson JA,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Synergistic defects of different molecules in the cytotoxic pathway lead to clinical familial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1331-1334 [PMID: 24916509 DOI: 10.1182/blood-2014-05-573105]</w:t>
      </w:r>
    </w:p>
    <w:p w14:paraId="3AB05FEA" w14:textId="77777777" w:rsidR="007B6E23" w:rsidRDefault="006A3E1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Chia J</w:t>
      </w:r>
      <w:r>
        <w:rPr>
          <w:rFonts w:ascii="Book Antiqua" w:eastAsia="Book Antiqua" w:hAnsi="Book Antiqua" w:cs="Book Antiqua"/>
          <w:color w:val="000000"/>
        </w:rPr>
        <w:t xml:space="preserve">, Yeo KP, </w:t>
      </w:r>
      <w:proofErr w:type="spellStart"/>
      <w:r>
        <w:rPr>
          <w:rFonts w:ascii="Book Antiqua" w:eastAsia="Book Antiqua" w:hAnsi="Book Antiqua" w:cs="Book Antiqua"/>
          <w:color w:val="000000"/>
        </w:rPr>
        <w:t>Whisstock</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Dunstone</w:t>
      </w:r>
      <w:proofErr w:type="spellEnd"/>
      <w:r>
        <w:rPr>
          <w:rFonts w:ascii="Book Antiqua" w:eastAsia="Book Antiqua" w:hAnsi="Book Antiqua" w:cs="Book Antiqua"/>
          <w:color w:val="000000"/>
        </w:rPr>
        <w:t xml:space="preserve"> MA, Trapani JA, </w:t>
      </w:r>
      <w:proofErr w:type="spellStart"/>
      <w:r>
        <w:rPr>
          <w:rFonts w:ascii="Book Antiqua" w:eastAsia="Book Antiqua" w:hAnsi="Book Antiqua" w:cs="Book Antiqua"/>
          <w:color w:val="000000"/>
        </w:rPr>
        <w:t>Voskoboinik</w:t>
      </w:r>
      <w:proofErr w:type="spellEnd"/>
      <w:r>
        <w:rPr>
          <w:rFonts w:ascii="Book Antiqua" w:eastAsia="Book Antiqua" w:hAnsi="Book Antiqua" w:cs="Book Antiqua"/>
          <w:color w:val="000000"/>
        </w:rPr>
        <w:t xml:space="preserve"> I. Temperature sensitivity of human perforin mutants unmasks subtotal loss of cytotoxicity, delayed FHL, and a predisposition to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9809-9814 [PMID: 19487666 DOI: 10.1073/pnas.0903815106]</w:t>
      </w:r>
    </w:p>
    <w:p w14:paraId="1B5C671B" w14:textId="77777777" w:rsidR="007B6E23" w:rsidRDefault="006A3E1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Ueda I</w:t>
      </w:r>
      <w:r>
        <w:rPr>
          <w:rFonts w:ascii="Book Antiqua" w:eastAsia="Book Antiqua" w:hAnsi="Book Antiqua" w:cs="Book Antiqua"/>
          <w:color w:val="000000"/>
        </w:rPr>
        <w:t xml:space="preserve">, Morimoto A,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T, Yagi T,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S, Sugimoto T, </w:t>
      </w:r>
      <w:proofErr w:type="spellStart"/>
      <w:r>
        <w:rPr>
          <w:rFonts w:ascii="Book Antiqua" w:eastAsia="Book Antiqua" w:hAnsi="Book Antiqua" w:cs="Book Antiqua"/>
          <w:color w:val="000000"/>
        </w:rPr>
        <w:t>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F, Fukushima T, Nakayama M, Ishii E,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Characteristic perforin gene mutations of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patients in Japan.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121</w:t>
      </w:r>
      <w:r>
        <w:rPr>
          <w:rFonts w:ascii="Book Antiqua" w:eastAsia="Book Antiqua" w:hAnsi="Book Antiqua" w:cs="Book Antiqua"/>
          <w:color w:val="000000"/>
        </w:rPr>
        <w:t>: 503-510 [PMID: 12716377 DOI: 10.1046/j.1365-2141.2003.04298.x]</w:t>
      </w:r>
    </w:p>
    <w:p w14:paraId="42EC3B25" w14:textId="77777777" w:rsidR="007B6E23" w:rsidRDefault="007B6E23">
      <w:pPr>
        <w:spacing w:line="360" w:lineRule="auto"/>
        <w:jc w:val="both"/>
        <w:sectPr w:rsidR="007B6E23">
          <w:pgSz w:w="12240" w:h="15840"/>
          <w:pgMar w:top="1440" w:right="1440" w:bottom="1440" w:left="1440" w:header="720" w:footer="720" w:gutter="0"/>
          <w:cols w:space="720"/>
          <w:docGrid w:linePitch="360"/>
        </w:sectPr>
      </w:pPr>
    </w:p>
    <w:p w14:paraId="7BA5C717" w14:textId="77777777" w:rsidR="007B6E23" w:rsidRDefault="006A3E19">
      <w:pPr>
        <w:spacing w:line="360" w:lineRule="auto"/>
        <w:jc w:val="both"/>
      </w:pPr>
      <w:r>
        <w:rPr>
          <w:rFonts w:ascii="Book Antiqua" w:eastAsia="Book Antiqua" w:hAnsi="Book Antiqua" w:cs="Book Antiqua"/>
          <w:b/>
          <w:color w:val="000000"/>
        </w:rPr>
        <w:lastRenderedPageBreak/>
        <w:t>Footnotes</w:t>
      </w:r>
    </w:p>
    <w:p w14:paraId="21D3B697" w14:textId="77777777" w:rsidR="007B6E23" w:rsidRDefault="006A3E19">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The patient and his parents provided informed written consent prior to study enrollment.</w:t>
      </w:r>
    </w:p>
    <w:p w14:paraId="521094CC" w14:textId="77777777" w:rsidR="007B6E23" w:rsidRDefault="007B6E23">
      <w:pPr>
        <w:spacing w:line="360" w:lineRule="auto"/>
        <w:jc w:val="both"/>
      </w:pPr>
    </w:p>
    <w:p w14:paraId="61293D0F" w14:textId="77777777" w:rsidR="007B6E23" w:rsidRDefault="006A3E1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 authors declare that they have no conflicting interests (including but not limited to commercial, personal, political, intellectual or religious interests) that are related to the work submitted for consideration of publication.</w:t>
      </w:r>
    </w:p>
    <w:p w14:paraId="06185852" w14:textId="77777777" w:rsidR="007B6E23" w:rsidRDefault="007B6E23">
      <w:pPr>
        <w:spacing w:line="360" w:lineRule="auto"/>
        <w:jc w:val="both"/>
      </w:pPr>
    </w:p>
    <w:p w14:paraId="6F00FC88" w14:textId="77777777" w:rsidR="007B6E23" w:rsidRDefault="006A3E19">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guidelines of the “CARE Checklist</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2016: Information for writing a case report” have been adopted.</w:t>
      </w:r>
    </w:p>
    <w:p w14:paraId="13E4D6D5" w14:textId="77777777" w:rsidR="007B6E23" w:rsidRDefault="007B6E23">
      <w:pPr>
        <w:spacing w:line="360" w:lineRule="auto"/>
        <w:jc w:val="both"/>
      </w:pPr>
    </w:p>
    <w:p w14:paraId="4D1272BC" w14:textId="77777777" w:rsidR="007B6E23" w:rsidRDefault="006A3E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86977" w14:textId="77777777" w:rsidR="007B6E23" w:rsidRDefault="007B6E23">
      <w:pPr>
        <w:spacing w:line="360" w:lineRule="auto"/>
        <w:jc w:val="both"/>
      </w:pPr>
    </w:p>
    <w:p w14:paraId="3E82EBE6" w14:textId="77777777" w:rsidR="007B6E23" w:rsidRDefault="006A3E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FA09F16" w14:textId="77777777" w:rsidR="007B6E23" w:rsidRDefault="007B6E23">
      <w:pPr>
        <w:spacing w:line="360" w:lineRule="auto"/>
        <w:jc w:val="both"/>
      </w:pPr>
    </w:p>
    <w:p w14:paraId="1003E23E" w14:textId="77777777" w:rsidR="007B6E23" w:rsidRDefault="006A3E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2020</w:t>
      </w:r>
    </w:p>
    <w:p w14:paraId="000B1070" w14:textId="77777777" w:rsidR="007B6E23" w:rsidRDefault="006A3E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438236BC" w14:textId="4B82BA93" w:rsidR="007B6E23" w:rsidRDefault="006A3E19">
      <w:pPr>
        <w:spacing w:line="360" w:lineRule="auto"/>
        <w:jc w:val="both"/>
      </w:pPr>
      <w:r>
        <w:rPr>
          <w:rFonts w:ascii="Book Antiqua" w:eastAsia="Book Antiqua" w:hAnsi="Book Antiqua" w:cs="Book Antiqua"/>
          <w:b/>
          <w:color w:val="000000"/>
        </w:rPr>
        <w:t xml:space="preserve">Article in press: </w:t>
      </w:r>
      <w:r w:rsidR="00C3691F">
        <w:rPr>
          <w:rFonts w:ascii="Book Antiqua" w:eastAsia="Book Antiqua" w:hAnsi="Book Antiqua" w:cs="Book Antiqua"/>
          <w:color w:val="000000"/>
        </w:rPr>
        <w:t>February 1, 2021</w:t>
      </w:r>
    </w:p>
    <w:p w14:paraId="757A9DEA" w14:textId="77777777" w:rsidR="007B6E23" w:rsidRDefault="007B6E23">
      <w:pPr>
        <w:spacing w:line="360" w:lineRule="auto"/>
        <w:jc w:val="both"/>
      </w:pPr>
    </w:p>
    <w:p w14:paraId="7C091CC1" w14:textId="77777777" w:rsidR="007B6E23" w:rsidRDefault="006A3E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04A116F9" w14:textId="77777777" w:rsidR="007B6E23" w:rsidRDefault="006A3E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FAEF80" w14:textId="77777777" w:rsidR="007B6E23" w:rsidRDefault="006A3E19">
      <w:pPr>
        <w:spacing w:line="360" w:lineRule="auto"/>
        <w:jc w:val="both"/>
      </w:pPr>
      <w:r>
        <w:rPr>
          <w:rFonts w:ascii="Book Antiqua" w:eastAsia="Book Antiqua" w:hAnsi="Book Antiqua" w:cs="Book Antiqua"/>
          <w:b/>
          <w:color w:val="000000"/>
        </w:rPr>
        <w:t>Peer-review report’s scientific quality classification</w:t>
      </w:r>
    </w:p>
    <w:p w14:paraId="5FC2DF4F" w14:textId="77777777" w:rsidR="007B6E23" w:rsidRDefault="006A3E19">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1FDC36C" w14:textId="77777777" w:rsidR="007B6E23" w:rsidRDefault="006A3E19">
      <w:pPr>
        <w:spacing w:line="360" w:lineRule="auto"/>
        <w:jc w:val="both"/>
      </w:pPr>
      <w:r>
        <w:rPr>
          <w:rFonts w:ascii="Book Antiqua" w:eastAsia="Book Antiqua" w:hAnsi="Book Antiqua" w:cs="Book Antiqua"/>
          <w:color w:val="000000"/>
        </w:rPr>
        <w:t>Grade B (Very good): B</w:t>
      </w:r>
    </w:p>
    <w:p w14:paraId="0F3EEB64" w14:textId="77777777" w:rsidR="007B6E23" w:rsidRDefault="006A3E19">
      <w:pPr>
        <w:spacing w:line="360" w:lineRule="auto"/>
        <w:jc w:val="both"/>
      </w:pPr>
      <w:r>
        <w:rPr>
          <w:rFonts w:ascii="Book Antiqua" w:eastAsia="Book Antiqua" w:hAnsi="Book Antiqua" w:cs="Book Antiqua"/>
          <w:color w:val="000000"/>
        </w:rPr>
        <w:t>Grade C (Good): C</w:t>
      </w:r>
    </w:p>
    <w:p w14:paraId="7BD9170B" w14:textId="77777777" w:rsidR="007B6E23" w:rsidRDefault="006A3E19">
      <w:pPr>
        <w:spacing w:line="360" w:lineRule="auto"/>
        <w:jc w:val="both"/>
      </w:pPr>
      <w:r>
        <w:rPr>
          <w:rFonts w:ascii="Book Antiqua" w:eastAsia="Book Antiqua" w:hAnsi="Book Antiqua" w:cs="Book Antiqua"/>
          <w:color w:val="000000"/>
        </w:rPr>
        <w:t>Grade D (Fair): 0</w:t>
      </w:r>
    </w:p>
    <w:p w14:paraId="5255F848" w14:textId="77777777" w:rsidR="007B6E23" w:rsidRDefault="006A3E19">
      <w:pPr>
        <w:spacing w:line="360" w:lineRule="auto"/>
        <w:jc w:val="both"/>
      </w:pPr>
      <w:r>
        <w:rPr>
          <w:rFonts w:ascii="Book Antiqua" w:eastAsia="Book Antiqua" w:hAnsi="Book Antiqua" w:cs="Book Antiqua"/>
          <w:color w:val="000000"/>
        </w:rPr>
        <w:t>Grade E (Poor): 0</w:t>
      </w:r>
    </w:p>
    <w:p w14:paraId="4722C297" w14:textId="77777777" w:rsidR="007B6E23" w:rsidRDefault="007B6E23">
      <w:pPr>
        <w:spacing w:line="360" w:lineRule="auto"/>
        <w:jc w:val="both"/>
      </w:pPr>
    </w:p>
    <w:p w14:paraId="1B8FEBEE" w14:textId="0A40ED92" w:rsidR="007B6E23" w:rsidRPr="00C3691F" w:rsidRDefault="006A3E1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Moschovi</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C3691F" w:rsidRPr="00C3691F">
        <w:rPr>
          <w:rFonts w:ascii="Book Antiqua" w:eastAsia="Book Antiqua" w:hAnsi="Book Antiqua" w:cs="Book Antiqua"/>
          <w:bCs/>
          <w:color w:val="000000"/>
        </w:rPr>
        <w:t>Li JH</w:t>
      </w:r>
    </w:p>
    <w:p w14:paraId="7B5AD177" w14:textId="77777777" w:rsidR="007B6E23" w:rsidRDefault="006A3E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622B16C"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5867BD70" wp14:editId="1EDB5B0A">
            <wp:extent cx="5898515" cy="313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99533" cy="3132350"/>
                    </a:xfrm>
                    <a:prstGeom prst="rect">
                      <a:avLst/>
                    </a:prstGeom>
                    <a:noFill/>
                  </pic:spPr>
                </pic:pic>
              </a:graphicData>
            </a:graphic>
          </wp:inline>
        </w:drawing>
      </w:r>
    </w:p>
    <w:p w14:paraId="5BFD6B5A" w14:textId="050836C4"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t>Figure 1 Schematic diagram</w:t>
      </w:r>
      <w:r>
        <w:rPr>
          <w:rFonts w:ascii="Book Antiqua" w:hAnsi="Book Antiqua" w:hint="eastAsia"/>
          <w:b/>
          <w:lang w:eastAsia="zh-CN"/>
        </w:rPr>
        <w:t>s</w:t>
      </w:r>
      <w:r>
        <w:rPr>
          <w:rFonts w:ascii="Book Antiqua" w:hAnsi="Book Antiqua"/>
          <w:b/>
          <w:lang w:eastAsia="zh-CN"/>
        </w:rPr>
        <w:t xml:space="preserve"> of the patient (</w:t>
      </w:r>
      <w:proofErr w:type="spellStart"/>
      <w:r>
        <w:rPr>
          <w:rFonts w:ascii="Book Antiqua" w:hAnsi="Book Antiqua"/>
          <w:b/>
          <w:lang w:eastAsia="zh-CN"/>
        </w:rPr>
        <w:t>proband</w:t>
      </w:r>
      <w:proofErr w:type="spellEnd"/>
      <w:r>
        <w:rPr>
          <w:rFonts w:ascii="Book Antiqua" w:hAnsi="Book Antiqua"/>
          <w:b/>
          <w:lang w:eastAsia="zh-CN"/>
        </w:rPr>
        <w:t>) and his parents' Sanger Sequences, in which the red arrow</w:t>
      </w:r>
      <w:r>
        <w:rPr>
          <w:rFonts w:ascii="Book Antiqua" w:hAnsi="Book Antiqua" w:hint="eastAsia"/>
          <w:b/>
          <w:lang w:eastAsia="zh-CN"/>
        </w:rPr>
        <w:t>s</w:t>
      </w:r>
      <w:r>
        <w:rPr>
          <w:rFonts w:ascii="Book Antiqua" w:hAnsi="Book Antiqua"/>
          <w:b/>
          <w:lang w:eastAsia="zh-CN"/>
        </w:rPr>
        <w:t xml:space="preserve"> </w:t>
      </w:r>
      <w:r>
        <w:rPr>
          <w:rFonts w:ascii="Book Antiqua" w:hAnsi="Book Antiqua" w:hint="eastAsia"/>
          <w:b/>
          <w:lang w:eastAsia="zh-CN"/>
        </w:rPr>
        <w:t>show</w:t>
      </w:r>
      <w:r>
        <w:rPr>
          <w:rFonts w:ascii="Book Antiqua" w:hAnsi="Book Antiqua"/>
          <w:b/>
          <w:lang w:eastAsia="zh-CN"/>
        </w:rPr>
        <w:t xml:space="preserve"> the mutation location</w:t>
      </w:r>
      <w:r>
        <w:rPr>
          <w:rFonts w:ascii="Book Antiqua" w:hAnsi="Book Antiqua" w:hint="eastAsia"/>
          <w:b/>
          <w:lang w:eastAsia="zh-CN"/>
        </w:rPr>
        <w:t>s</w:t>
      </w:r>
      <w:r>
        <w:rPr>
          <w:rFonts w:ascii="Book Antiqua" w:hAnsi="Book Antiqua"/>
          <w:b/>
          <w:lang w:eastAsia="zh-CN"/>
        </w:rPr>
        <w:t>.</w:t>
      </w:r>
    </w:p>
    <w:p w14:paraId="240C43D9" w14:textId="2729B194"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 xml:space="preserve">Table 1 </w:t>
      </w:r>
      <w:proofErr w:type="spellStart"/>
      <w:r>
        <w:rPr>
          <w:rFonts w:ascii="Book Antiqua" w:hAnsi="Book Antiqua" w:hint="eastAsia"/>
          <w:b/>
          <w:lang w:eastAsia="zh-CN"/>
        </w:rPr>
        <w:t>H</w:t>
      </w:r>
      <w:r>
        <w:rPr>
          <w:rFonts w:ascii="Book Antiqua" w:hAnsi="Book Antiqua"/>
          <w:b/>
          <w:lang w:eastAsia="zh-CN"/>
        </w:rPr>
        <w:t>emophagocytic</w:t>
      </w:r>
      <w:proofErr w:type="spellEnd"/>
      <w:r>
        <w:rPr>
          <w:rFonts w:ascii="Book Antiqua" w:hAnsi="Book Antiqua"/>
          <w:b/>
          <w:lang w:eastAsia="zh-CN"/>
        </w:rPr>
        <w:t xml:space="preserve"> </w:t>
      </w:r>
      <w:proofErr w:type="spellStart"/>
      <w:r>
        <w:rPr>
          <w:rFonts w:ascii="Book Antiqua" w:hAnsi="Book Antiqua"/>
          <w:b/>
          <w:lang w:eastAsia="zh-CN"/>
        </w:rPr>
        <w:t>lymphohistiocytosis</w:t>
      </w:r>
      <w:proofErr w:type="spellEnd"/>
      <w:r>
        <w:rPr>
          <w:rFonts w:ascii="Book Antiqua" w:hAnsi="Book Antiqua"/>
          <w:b/>
          <w:lang w:eastAsia="zh-CN"/>
        </w:rPr>
        <w:t>-related genes list</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B6E23" w14:paraId="0BB0BB8F" w14:textId="77777777">
        <w:trPr>
          <w:jc w:val="center"/>
        </w:trPr>
        <w:tc>
          <w:tcPr>
            <w:tcW w:w="5000" w:type="pct"/>
            <w:gridSpan w:val="5"/>
            <w:tcBorders>
              <w:top w:val="single" w:sz="4" w:space="0" w:color="auto"/>
              <w:bottom w:val="single" w:sz="4" w:space="0" w:color="auto"/>
            </w:tcBorders>
            <w:vAlign w:val="center"/>
          </w:tcPr>
          <w:p w14:paraId="0593A1BE" w14:textId="058E5356" w:rsidR="007B6E23" w:rsidRDefault="006A3E19">
            <w:pPr>
              <w:adjustRightInd w:val="0"/>
              <w:snapToGrid w:val="0"/>
              <w:spacing w:line="360" w:lineRule="auto"/>
              <w:rPr>
                <w:rFonts w:ascii="Book Antiqua" w:eastAsia="楷体" w:hAnsi="Book Antiqua"/>
                <w:i/>
                <w:iCs/>
                <w:kern w:val="2"/>
                <w:lang w:val="en-GB" w:eastAsia="zh-CN"/>
              </w:rPr>
            </w:pPr>
            <w:r>
              <w:rPr>
                <w:rFonts w:ascii="Book Antiqua" w:hAnsi="Book Antiqua"/>
                <w:b/>
                <w:lang w:eastAsia="zh-CN"/>
              </w:rPr>
              <w:t>HLH-related genes</w:t>
            </w:r>
          </w:p>
        </w:tc>
      </w:tr>
      <w:tr w:rsidR="007B6E23" w14:paraId="47D47B0B" w14:textId="77777777">
        <w:trPr>
          <w:jc w:val="center"/>
        </w:trPr>
        <w:tc>
          <w:tcPr>
            <w:tcW w:w="1000" w:type="pct"/>
            <w:tcBorders>
              <w:top w:val="single" w:sz="4" w:space="0" w:color="auto"/>
            </w:tcBorders>
            <w:vAlign w:val="center"/>
          </w:tcPr>
          <w:p w14:paraId="16182602"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AP3B1</w:t>
            </w:r>
          </w:p>
        </w:tc>
        <w:tc>
          <w:tcPr>
            <w:tcW w:w="1000" w:type="pct"/>
            <w:tcBorders>
              <w:top w:val="single" w:sz="4" w:space="0" w:color="auto"/>
            </w:tcBorders>
            <w:vAlign w:val="center"/>
          </w:tcPr>
          <w:p w14:paraId="3776D206"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BLOC1S6</w:t>
            </w:r>
          </w:p>
        </w:tc>
        <w:tc>
          <w:tcPr>
            <w:tcW w:w="1000" w:type="pct"/>
            <w:tcBorders>
              <w:top w:val="single" w:sz="4" w:space="0" w:color="auto"/>
            </w:tcBorders>
            <w:vAlign w:val="center"/>
          </w:tcPr>
          <w:p w14:paraId="64640BF7"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CD27</w:t>
            </w:r>
          </w:p>
        </w:tc>
        <w:tc>
          <w:tcPr>
            <w:tcW w:w="1000" w:type="pct"/>
            <w:tcBorders>
              <w:top w:val="single" w:sz="4" w:space="0" w:color="auto"/>
            </w:tcBorders>
            <w:vAlign w:val="center"/>
          </w:tcPr>
          <w:p w14:paraId="6D2BF020"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IL2RG</w:t>
            </w:r>
          </w:p>
        </w:tc>
        <w:tc>
          <w:tcPr>
            <w:tcW w:w="1000" w:type="pct"/>
            <w:tcBorders>
              <w:top w:val="single" w:sz="4" w:space="0" w:color="auto"/>
            </w:tcBorders>
            <w:vAlign w:val="center"/>
          </w:tcPr>
          <w:p w14:paraId="49A7DCF5"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ITK</w:t>
            </w:r>
          </w:p>
        </w:tc>
      </w:tr>
      <w:tr w:rsidR="007B6E23" w14:paraId="474B9594" w14:textId="77777777">
        <w:trPr>
          <w:jc w:val="center"/>
        </w:trPr>
        <w:tc>
          <w:tcPr>
            <w:tcW w:w="1000" w:type="pct"/>
            <w:vAlign w:val="center"/>
          </w:tcPr>
          <w:p w14:paraId="3D813F3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LYST</w:t>
            </w:r>
          </w:p>
        </w:tc>
        <w:tc>
          <w:tcPr>
            <w:tcW w:w="1000" w:type="pct"/>
            <w:vAlign w:val="center"/>
          </w:tcPr>
          <w:p w14:paraId="22641D18"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MAGT1</w:t>
            </w:r>
          </w:p>
        </w:tc>
        <w:tc>
          <w:tcPr>
            <w:tcW w:w="1000" w:type="pct"/>
            <w:vAlign w:val="center"/>
          </w:tcPr>
          <w:p w14:paraId="75BCE6F3"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PRF1</w:t>
            </w:r>
          </w:p>
        </w:tc>
        <w:tc>
          <w:tcPr>
            <w:tcW w:w="1000" w:type="pct"/>
            <w:vAlign w:val="center"/>
          </w:tcPr>
          <w:p w14:paraId="6AF4F22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RAB27A</w:t>
            </w:r>
          </w:p>
        </w:tc>
        <w:tc>
          <w:tcPr>
            <w:tcW w:w="1000" w:type="pct"/>
            <w:vAlign w:val="center"/>
          </w:tcPr>
          <w:p w14:paraId="51FBE34B"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SH2D1A</w:t>
            </w:r>
          </w:p>
        </w:tc>
      </w:tr>
      <w:tr w:rsidR="007B6E23" w14:paraId="732ED7D6" w14:textId="77777777">
        <w:trPr>
          <w:jc w:val="center"/>
        </w:trPr>
        <w:tc>
          <w:tcPr>
            <w:tcW w:w="1000" w:type="pct"/>
            <w:vAlign w:val="center"/>
          </w:tcPr>
          <w:p w14:paraId="39B626BB"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STX11</w:t>
            </w:r>
          </w:p>
        </w:tc>
        <w:tc>
          <w:tcPr>
            <w:tcW w:w="1000" w:type="pct"/>
            <w:vAlign w:val="center"/>
          </w:tcPr>
          <w:p w14:paraId="1BF8B737"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STXBP2</w:t>
            </w:r>
          </w:p>
        </w:tc>
        <w:tc>
          <w:tcPr>
            <w:tcW w:w="1000" w:type="pct"/>
            <w:vAlign w:val="center"/>
          </w:tcPr>
          <w:p w14:paraId="2F99864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TCN2</w:t>
            </w:r>
          </w:p>
        </w:tc>
        <w:tc>
          <w:tcPr>
            <w:tcW w:w="1000" w:type="pct"/>
            <w:vAlign w:val="center"/>
          </w:tcPr>
          <w:p w14:paraId="2FC2498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UNC13D</w:t>
            </w:r>
          </w:p>
        </w:tc>
        <w:tc>
          <w:tcPr>
            <w:tcW w:w="1000" w:type="pct"/>
            <w:vAlign w:val="center"/>
          </w:tcPr>
          <w:p w14:paraId="4B8CCA04"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XIAP</w:t>
            </w:r>
          </w:p>
        </w:tc>
      </w:tr>
    </w:tbl>
    <w:p w14:paraId="671B2B85" w14:textId="37629740" w:rsidR="007B6E23" w:rsidRDefault="006A3E19">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HLH: </w:t>
      </w:r>
      <w:proofErr w:type="spellStart"/>
      <w:r>
        <w:rPr>
          <w:rFonts w:ascii="Book Antiqua" w:hAnsi="Book Antiqua" w:hint="eastAsia"/>
          <w:lang w:eastAsia="zh-CN"/>
        </w:rPr>
        <w:t>H</w:t>
      </w:r>
      <w:r>
        <w:rPr>
          <w:rFonts w:ascii="Book Antiqua" w:hAnsi="Book Antiqua"/>
          <w:lang w:eastAsia="zh-CN"/>
        </w:rPr>
        <w:t>emophagocytic</w:t>
      </w:r>
      <w:proofErr w:type="spellEnd"/>
      <w:r>
        <w:rPr>
          <w:rFonts w:ascii="Book Antiqua" w:hAnsi="Book Antiqua"/>
          <w:lang w:eastAsia="zh-CN"/>
        </w:rPr>
        <w:t xml:space="preserve"> </w:t>
      </w:r>
      <w:proofErr w:type="spellStart"/>
      <w:r>
        <w:rPr>
          <w:rFonts w:ascii="Book Antiqua" w:hAnsi="Book Antiqua"/>
          <w:lang w:eastAsia="zh-CN"/>
        </w:rPr>
        <w:t>lymphohistiocytosis</w:t>
      </w:r>
      <w:proofErr w:type="spellEnd"/>
      <w:r>
        <w:rPr>
          <w:rFonts w:ascii="Book Antiqua" w:hAnsi="Book Antiqua" w:hint="eastAsia"/>
          <w:lang w:eastAsia="zh-CN"/>
        </w:rPr>
        <w:t>.</w:t>
      </w:r>
    </w:p>
    <w:p w14:paraId="5C5147D1" w14:textId="77777777" w:rsidR="008F4B5F" w:rsidRDefault="008F4B5F">
      <w:pPr>
        <w:adjustRightInd w:val="0"/>
        <w:snapToGrid w:val="0"/>
        <w:spacing w:line="360" w:lineRule="auto"/>
        <w:jc w:val="both"/>
        <w:rPr>
          <w:rFonts w:ascii="Book Antiqua" w:hAnsi="Book Antiqua"/>
          <w:lang w:eastAsia="zh-CN"/>
        </w:rPr>
      </w:pPr>
    </w:p>
    <w:p w14:paraId="1861740C" w14:textId="77777777" w:rsidR="007B6E23" w:rsidRDefault="007B6E23">
      <w:pPr>
        <w:adjustRightInd w:val="0"/>
        <w:snapToGrid w:val="0"/>
        <w:spacing w:line="360" w:lineRule="auto"/>
        <w:jc w:val="both"/>
        <w:rPr>
          <w:rFonts w:ascii="Book Antiqua" w:hAnsi="Book Antiqua"/>
          <w:lang w:eastAsia="zh-CN"/>
        </w:rPr>
        <w:sectPr w:rsidR="007B6E23">
          <w:pgSz w:w="12240" w:h="15840"/>
          <w:pgMar w:top="1440" w:right="1440" w:bottom="1440" w:left="1440" w:header="720" w:footer="720" w:gutter="0"/>
          <w:cols w:space="720"/>
          <w:docGrid w:linePitch="360"/>
        </w:sectPr>
      </w:pPr>
    </w:p>
    <w:p w14:paraId="6DADA4F5"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lastRenderedPageBreak/>
        <w:t xml:space="preserve">Table 2 Genetic test result </w:t>
      </w:r>
    </w:p>
    <w:tbl>
      <w:tblPr>
        <w:tblStyle w:val="a6"/>
        <w:tblW w:w="5567"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1276"/>
        <w:gridCol w:w="1420"/>
        <w:gridCol w:w="1273"/>
        <w:gridCol w:w="1420"/>
        <w:gridCol w:w="1558"/>
        <w:gridCol w:w="1534"/>
        <w:gridCol w:w="1869"/>
        <w:gridCol w:w="1417"/>
        <w:gridCol w:w="848"/>
        <w:gridCol w:w="1200"/>
      </w:tblGrid>
      <w:tr w:rsidR="007B6E23" w14:paraId="0DEAC0B4" w14:textId="77777777">
        <w:trPr>
          <w:trHeight w:val="702"/>
          <w:jc w:val="center"/>
        </w:trPr>
        <w:tc>
          <w:tcPr>
            <w:tcW w:w="291" w:type="pct"/>
            <w:tcBorders>
              <w:top w:val="single" w:sz="4" w:space="0" w:color="auto"/>
              <w:bottom w:val="single" w:sz="4" w:space="0" w:color="auto"/>
            </w:tcBorders>
            <w:vAlign w:val="center"/>
          </w:tcPr>
          <w:p w14:paraId="399E387A"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Gene</w:t>
            </w:r>
          </w:p>
        </w:tc>
        <w:tc>
          <w:tcPr>
            <w:tcW w:w="435" w:type="pct"/>
            <w:tcBorders>
              <w:top w:val="single" w:sz="4" w:space="0" w:color="auto"/>
              <w:bottom w:val="single" w:sz="4" w:space="0" w:color="auto"/>
            </w:tcBorders>
            <w:vAlign w:val="center"/>
          </w:tcPr>
          <w:p w14:paraId="05E96256"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Chromosome position</w:t>
            </w:r>
          </w:p>
        </w:tc>
        <w:tc>
          <w:tcPr>
            <w:tcW w:w="484" w:type="pct"/>
            <w:tcBorders>
              <w:top w:val="single" w:sz="4" w:space="0" w:color="auto"/>
              <w:bottom w:val="single" w:sz="4" w:space="0" w:color="auto"/>
            </w:tcBorders>
            <w:vAlign w:val="center"/>
          </w:tcPr>
          <w:p w14:paraId="656E31B1"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 xml:space="preserve">Transcript </w:t>
            </w:r>
          </w:p>
        </w:tc>
        <w:tc>
          <w:tcPr>
            <w:tcW w:w="434" w:type="pct"/>
            <w:tcBorders>
              <w:top w:val="single" w:sz="4" w:space="0" w:color="auto"/>
              <w:bottom w:val="single" w:sz="4" w:space="0" w:color="auto"/>
            </w:tcBorders>
            <w:vAlign w:val="center"/>
          </w:tcPr>
          <w:p w14:paraId="4F7532D5"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Mutation position</w:t>
            </w:r>
          </w:p>
        </w:tc>
        <w:tc>
          <w:tcPr>
            <w:tcW w:w="484" w:type="pct"/>
            <w:tcBorders>
              <w:top w:val="single" w:sz="4" w:space="0" w:color="auto"/>
              <w:bottom w:val="single" w:sz="4" w:space="0" w:color="auto"/>
            </w:tcBorders>
            <w:vAlign w:val="center"/>
          </w:tcPr>
          <w:p w14:paraId="5E2C05EB"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Nucleotide change</w:t>
            </w:r>
          </w:p>
        </w:tc>
        <w:tc>
          <w:tcPr>
            <w:tcW w:w="531" w:type="pct"/>
            <w:tcBorders>
              <w:top w:val="single" w:sz="4" w:space="0" w:color="auto"/>
              <w:bottom w:val="single" w:sz="4" w:space="0" w:color="auto"/>
            </w:tcBorders>
            <w:vAlign w:val="center"/>
          </w:tcPr>
          <w:p w14:paraId="59EC01D4"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Amino acid change</w:t>
            </w:r>
          </w:p>
        </w:tc>
        <w:tc>
          <w:tcPr>
            <w:tcW w:w="523" w:type="pct"/>
            <w:tcBorders>
              <w:top w:val="single" w:sz="4" w:space="0" w:color="auto"/>
              <w:bottom w:val="single" w:sz="4" w:space="0" w:color="auto"/>
            </w:tcBorders>
            <w:vAlign w:val="center"/>
          </w:tcPr>
          <w:p w14:paraId="4E0F0CB7" w14:textId="77777777" w:rsidR="007B6E23" w:rsidRDefault="006A3E19">
            <w:pPr>
              <w:adjustRightInd w:val="0"/>
              <w:snapToGrid w:val="0"/>
              <w:spacing w:line="360" w:lineRule="auto"/>
              <w:rPr>
                <w:rFonts w:ascii="Book Antiqua" w:eastAsia="楷体" w:hAnsi="Book Antiqua"/>
                <w:b/>
                <w:kern w:val="2"/>
                <w:lang w:val="en-GB" w:eastAsia="zh-CN"/>
              </w:rPr>
            </w:pPr>
            <w:proofErr w:type="spellStart"/>
            <w:r>
              <w:rPr>
                <w:rFonts w:ascii="Book Antiqua" w:eastAsia="楷体" w:hAnsi="Book Antiqua"/>
                <w:b/>
                <w:kern w:val="2"/>
                <w:lang w:val="en-GB" w:eastAsia="zh-CN"/>
              </w:rPr>
              <w:t>dbSNP</w:t>
            </w:r>
            <w:proofErr w:type="spellEnd"/>
          </w:p>
        </w:tc>
        <w:tc>
          <w:tcPr>
            <w:tcW w:w="637" w:type="pct"/>
            <w:tcBorders>
              <w:top w:val="single" w:sz="4" w:space="0" w:color="auto"/>
              <w:bottom w:val="single" w:sz="4" w:space="0" w:color="auto"/>
            </w:tcBorders>
            <w:vAlign w:val="center"/>
          </w:tcPr>
          <w:p w14:paraId="32679522"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Homozygous/Heterozygous</w:t>
            </w:r>
          </w:p>
        </w:tc>
        <w:tc>
          <w:tcPr>
            <w:tcW w:w="483" w:type="pct"/>
            <w:tcBorders>
              <w:top w:val="single" w:sz="4" w:space="0" w:color="auto"/>
              <w:bottom w:val="single" w:sz="4" w:space="0" w:color="auto"/>
            </w:tcBorders>
            <w:vAlign w:val="center"/>
          </w:tcPr>
          <w:p w14:paraId="4AD10C39"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Disease</w:t>
            </w:r>
            <w:r>
              <w:rPr>
                <w:rFonts w:ascii="Book Antiqua" w:eastAsia="楷体" w:hAnsi="Book Antiqua" w:hint="eastAsia"/>
                <w:b/>
                <w:kern w:val="2"/>
                <w:lang w:val="en-GB" w:eastAsia="zh-CN"/>
              </w:rPr>
              <w:t>/</w:t>
            </w:r>
            <w:r>
              <w:rPr>
                <w:rFonts w:ascii="Book Antiqua" w:eastAsia="楷体" w:hAnsi="Book Antiqua"/>
                <w:b/>
                <w:kern w:val="2"/>
                <w:lang w:val="en-GB" w:eastAsia="zh-CN"/>
              </w:rPr>
              <w:t>Phenotype</w:t>
            </w:r>
          </w:p>
        </w:tc>
        <w:tc>
          <w:tcPr>
            <w:tcW w:w="289" w:type="pct"/>
            <w:tcBorders>
              <w:top w:val="single" w:sz="4" w:space="0" w:color="auto"/>
              <w:bottom w:val="single" w:sz="4" w:space="0" w:color="auto"/>
            </w:tcBorders>
            <w:vAlign w:val="center"/>
          </w:tcPr>
          <w:p w14:paraId="50CEBC80"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Genetic mode</w:t>
            </w:r>
          </w:p>
        </w:tc>
        <w:tc>
          <w:tcPr>
            <w:tcW w:w="409" w:type="pct"/>
            <w:tcBorders>
              <w:top w:val="single" w:sz="4" w:space="0" w:color="auto"/>
              <w:bottom w:val="single" w:sz="4" w:space="0" w:color="auto"/>
            </w:tcBorders>
            <w:vAlign w:val="center"/>
          </w:tcPr>
          <w:p w14:paraId="26225384"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Source</w:t>
            </w:r>
          </w:p>
        </w:tc>
      </w:tr>
      <w:tr w:rsidR="007B6E23" w14:paraId="48E79333" w14:textId="77777777">
        <w:trPr>
          <w:jc w:val="center"/>
        </w:trPr>
        <w:tc>
          <w:tcPr>
            <w:tcW w:w="291" w:type="pct"/>
            <w:tcBorders>
              <w:top w:val="single" w:sz="4" w:space="0" w:color="auto"/>
            </w:tcBorders>
            <w:vAlign w:val="center"/>
          </w:tcPr>
          <w:p w14:paraId="01EF736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i/>
                <w:iCs/>
                <w:kern w:val="2"/>
                <w:lang w:val="en-GB" w:eastAsia="zh-CN"/>
              </w:rPr>
              <w:t>PRF1</w:t>
            </w:r>
          </w:p>
        </w:tc>
        <w:tc>
          <w:tcPr>
            <w:tcW w:w="435" w:type="pct"/>
            <w:tcBorders>
              <w:top w:val="single" w:sz="4" w:space="0" w:color="auto"/>
            </w:tcBorders>
            <w:vAlign w:val="center"/>
          </w:tcPr>
          <w:p w14:paraId="5A2A6711"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chr10:</w:t>
            </w:r>
          </w:p>
          <w:p w14:paraId="27C0E9AC"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72360593</w:t>
            </w:r>
          </w:p>
        </w:tc>
        <w:tc>
          <w:tcPr>
            <w:tcW w:w="484" w:type="pct"/>
            <w:tcBorders>
              <w:top w:val="single" w:sz="4" w:space="0" w:color="auto"/>
            </w:tcBorders>
            <w:vAlign w:val="center"/>
          </w:tcPr>
          <w:p w14:paraId="2ED12495"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NM_0010</w:t>
            </w:r>
          </w:p>
          <w:p w14:paraId="28752B57"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83116</w:t>
            </w:r>
          </w:p>
        </w:tc>
        <w:tc>
          <w:tcPr>
            <w:tcW w:w="434" w:type="pct"/>
            <w:tcBorders>
              <w:top w:val="single" w:sz="4" w:space="0" w:color="auto"/>
            </w:tcBorders>
            <w:vAlign w:val="center"/>
          </w:tcPr>
          <w:p w14:paraId="320C7FD3"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Exon2</w:t>
            </w:r>
          </w:p>
        </w:tc>
        <w:tc>
          <w:tcPr>
            <w:tcW w:w="484" w:type="pct"/>
            <w:tcBorders>
              <w:top w:val="single" w:sz="4" w:space="0" w:color="auto"/>
            </w:tcBorders>
            <w:vAlign w:val="center"/>
          </w:tcPr>
          <w:p w14:paraId="2490859D"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c.65delC</w:t>
            </w:r>
          </w:p>
        </w:tc>
        <w:tc>
          <w:tcPr>
            <w:tcW w:w="531" w:type="pct"/>
            <w:tcBorders>
              <w:top w:val="single" w:sz="4" w:space="0" w:color="auto"/>
            </w:tcBorders>
            <w:vAlign w:val="center"/>
          </w:tcPr>
          <w:p w14:paraId="5762A835"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p.P22Rfs*29</w:t>
            </w:r>
          </w:p>
        </w:tc>
        <w:tc>
          <w:tcPr>
            <w:tcW w:w="523" w:type="pct"/>
            <w:tcBorders>
              <w:top w:val="single" w:sz="4" w:space="0" w:color="auto"/>
            </w:tcBorders>
            <w:vAlign w:val="center"/>
          </w:tcPr>
          <w:p w14:paraId="7EDBE0B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w:t>
            </w:r>
          </w:p>
        </w:tc>
        <w:tc>
          <w:tcPr>
            <w:tcW w:w="637" w:type="pct"/>
            <w:tcBorders>
              <w:top w:val="single" w:sz="4" w:space="0" w:color="auto"/>
            </w:tcBorders>
            <w:vAlign w:val="center"/>
          </w:tcPr>
          <w:p w14:paraId="544939D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Heterozygous</w:t>
            </w:r>
          </w:p>
        </w:tc>
        <w:tc>
          <w:tcPr>
            <w:tcW w:w="483" w:type="pct"/>
            <w:tcBorders>
              <w:top w:val="single" w:sz="4" w:space="0" w:color="auto"/>
            </w:tcBorders>
            <w:vAlign w:val="center"/>
          </w:tcPr>
          <w:p w14:paraId="183D4AD2"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FHL2</w:t>
            </w:r>
          </w:p>
        </w:tc>
        <w:tc>
          <w:tcPr>
            <w:tcW w:w="289" w:type="pct"/>
            <w:tcBorders>
              <w:top w:val="single" w:sz="4" w:space="0" w:color="auto"/>
            </w:tcBorders>
            <w:vAlign w:val="center"/>
          </w:tcPr>
          <w:p w14:paraId="026C1FF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AR</w:t>
            </w:r>
          </w:p>
        </w:tc>
        <w:tc>
          <w:tcPr>
            <w:tcW w:w="409" w:type="pct"/>
            <w:tcBorders>
              <w:top w:val="single" w:sz="4" w:space="0" w:color="auto"/>
            </w:tcBorders>
            <w:vAlign w:val="center"/>
          </w:tcPr>
          <w:p w14:paraId="09136A7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hint="eastAsia"/>
                <w:kern w:val="2"/>
                <w:lang w:val="en-GB" w:eastAsia="zh-CN"/>
              </w:rPr>
              <w:t>F</w:t>
            </w:r>
            <w:r>
              <w:rPr>
                <w:rFonts w:ascii="Book Antiqua" w:eastAsia="楷体" w:hAnsi="Book Antiqua"/>
                <w:kern w:val="2"/>
                <w:lang w:val="en-GB" w:eastAsia="zh-CN"/>
              </w:rPr>
              <w:t>ather</w:t>
            </w:r>
          </w:p>
        </w:tc>
      </w:tr>
      <w:tr w:rsidR="007B6E23" w14:paraId="2F8E8C04" w14:textId="77777777">
        <w:trPr>
          <w:jc w:val="center"/>
        </w:trPr>
        <w:tc>
          <w:tcPr>
            <w:tcW w:w="291" w:type="pct"/>
            <w:vAlign w:val="center"/>
          </w:tcPr>
          <w:p w14:paraId="7706D8B1"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i/>
                <w:iCs/>
                <w:kern w:val="2"/>
                <w:lang w:val="en-GB" w:eastAsia="zh-CN"/>
              </w:rPr>
              <w:t>PRF1</w:t>
            </w:r>
          </w:p>
        </w:tc>
        <w:tc>
          <w:tcPr>
            <w:tcW w:w="435" w:type="pct"/>
            <w:vAlign w:val="center"/>
          </w:tcPr>
          <w:p w14:paraId="5CB3F2A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chr10:</w:t>
            </w:r>
          </w:p>
          <w:p w14:paraId="7E71410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72360496</w:t>
            </w:r>
          </w:p>
        </w:tc>
        <w:tc>
          <w:tcPr>
            <w:tcW w:w="484" w:type="pct"/>
            <w:vAlign w:val="center"/>
          </w:tcPr>
          <w:p w14:paraId="59D9224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NM_0010</w:t>
            </w:r>
          </w:p>
          <w:p w14:paraId="7A05E5F8"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83116</w:t>
            </w:r>
          </w:p>
        </w:tc>
        <w:tc>
          <w:tcPr>
            <w:tcW w:w="434" w:type="pct"/>
            <w:vAlign w:val="center"/>
          </w:tcPr>
          <w:p w14:paraId="4F5460E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Exon2</w:t>
            </w:r>
          </w:p>
        </w:tc>
        <w:tc>
          <w:tcPr>
            <w:tcW w:w="484" w:type="pct"/>
            <w:vAlign w:val="center"/>
          </w:tcPr>
          <w:p w14:paraId="7316DABB"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c.163C&gt;T</w:t>
            </w:r>
          </w:p>
        </w:tc>
        <w:tc>
          <w:tcPr>
            <w:tcW w:w="531" w:type="pct"/>
            <w:vAlign w:val="center"/>
          </w:tcPr>
          <w:p w14:paraId="4ED21D16"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p.R55C</w:t>
            </w:r>
          </w:p>
        </w:tc>
        <w:tc>
          <w:tcPr>
            <w:tcW w:w="523" w:type="pct"/>
            <w:vAlign w:val="center"/>
          </w:tcPr>
          <w:p w14:paraId="6DB2B739"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rs201032696</w:t>
            </w:r>
          </w:p>
        </w:tc>
        <w:tc>
          <w:tcPr>
            <w:tcW w:w="637" w:type="pct"/>
            <w:vAlign w:val="center"/>
          </w:tcPr>
          <w:p w14:paraId="7C2BE490"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Heterozygous</w:t>
            </w:r>
          </w:p>
        </w:tc>
        <w:tc>
          <w:tcPr>
            <w:tcW w:w="483" w:type="pct"/>
            <w:vAlign w:val="center"/>
          </w:tcPr>
          <w:p w14:paraId="3AEC670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FHL2</w:t>
            </w:r>
          </w:p>
        </w:tc>
        <w:tc>
          <w:tcPr>
            <w:tcW w:w="289" w:type="pct"/>
            <w:vAlign w:val="center"/>
          </w:tcPr>
          <w:p w14:paraId="1A38E44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AR</w:t>
            </w:r>
          </w:p>
        </w:tc>
        <w:tc>
          <w:tcPr>
            <w:tcW w:w="409" w:type="pct"/>
            <w:vAlign w:val="center"/>
          </w:tcPr>
          <w:p w14:paraId="139AAA93"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hint="eastAsia"/>
                <w:kern w:val="2"/>
                <w:lang w:val="en-GB" w:eastAsia="zh-CN"/>
              </w:rPr>
              <w:t>M</w:t>
            </w:r>
            <w:r>
              <w:rPr>
                <w:rFonts w:ascii="Book Antiqua" w:eastAsia="楷体" w:hAnsi="Book Antiqua"/>
                <w:kern w:val="2"/>
                <w:lang w:val="en-GB" w:eastAsia="zh-CN"/>
              </w:rPr>
              <w:t>other</w:t>
            </w:r>
          </w:p>
        </w:tc>
      </w:tr>
    </w:tbl>
    <w:p w14:paraId="0151B22B" w14:textId="77777777" w:rsidR="007B6E23" w:rsidRDefault="006A3E19">
      <w:pPr>
        <w:adjustRightInd w:val="0"/>
        <w:snapToGrid w:val="0"/>
        <w:spacing w:line="360" w:lineRule="auto"/>
        <w:jc w:val="both"/>
        <w:rPr>
          <w:rFonts w:ascii="Book Antiqua" w:hAnsi="Book Antiqua"/>
          <w:lang w:eastAsia="zh-CN"/>
        </w:rPr>
      </w:pPr>
      <w:r>
        <w:rPr>
          <w:rFonts w:ascii="Book Antiqua" w:hAnsi="Book Antiqua"/>
          <w:lang w:eastAsia="zh-CN"/>
        </w:rPr>
        <w:t xml:space="preserve">AR: </w:t>
      </w:r>
      <w:r>
        <w:rPr>
          <w:rFonts w:ascii="Book Antiqua" w:hAnsi="Book Antiqua" w:hint="eastAsia"/>
          <w:lang w:eastAsia="zh-CN"/>
        </w:rPr>
        <w:t>A</w:t>
      </w:r>
      <w:r>
        <w:rPr>
          <w:rFonts w:ascii="Book Antiqua" w:hAnsi="Book Antiqua"/>
          <w:lang w:eastAsia="zh-CN"/>
        </w:rPr>
        <w:t xml:space="preserve">utosomal recessive inheritance; FHL2: </w:t>
      </w:r>
      <w:r>
        <w:rPr>
          <w:rFonts w:ascii="Book Antiqua" w:eastAsia="Book Antiqua" w:hAnsi="Book Antiqua" w:cs="Book Antiqua"/>
          <w:color w:val="000000"/>
          <w:szCs w:val="21"/>
        </w:rPr>
        <w:t xml:space="preserve">Familial </w:t>
      </w:r>
      <w:proofErr w:type="spellStart"/>
      <w:r>
        <w:rPr>
          <w:rFonts w:ascii="Book Antiqua" w:eastAsia="Book Antiqua" w:hAnsi="Book Antiqua" w:cs="Book Antiqua"/>
          <w:color w:val="000000"/>
          <w:szCs w:val="21"/>
        </w:rPr>
        <w:t>hemophagocytic</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lymphohistiocytosis</w:t>
      </w:r>
      <w:proofErr w:type="spellEnd"/>
      <w:r>
        <w:rPr>
          <w:rFonts w:ascii="Book Antiqua" w:eastAsia="Book Antiqua" w:hAnsi="Book Antiqua" w:cs="Book Antiqua"/>
          <w:color w:val="000000"/>
          <w:szCs w:val="21"/>
        </w:rPr>
        <w:t xml:space="preserve">; </w:t>
      </w:r>
      <w:r>
        <w:rPr>
          <w:rFonts w:ascii="Book Antiqua" w:hAnsi="Book Antiqua"/>
          <w:lang w:eastAsia="zh-CN"/>
        </w:rPr>
        <w:t>PRF1: Perforin.</w:t>
      </w:r>
    </w:p>
    <w:p w14:paraId="785D7017" w14:textId="77777777" w:rsidR="008F4B5F" w:rsidRDefault="008F4B5F">
      <w:pPr>
        <w:adjustRightInd w:val="0"/>
        <w:snapToGrid w:val="0"/>
        <w:spacing w:line="360" w:lineRule="auto"/>
        <w:jc w:val="both"/>
        <w:rPr>
          <w:rFonts w:ascii="Book Antiqua" w:hAnsi="Book Antiqua"/>
          <w:lang w:eastAsia="zh-CN"/>
        </w:rPr>
      </w:pPr>
    </w:p>
    <w:p w14:paraId="73554472" w14:textId="70E0BA71" w:rsidR="008F4B5F" w:rsidRDefault="008F4B5F">
      <w:pPr>
        <w:adjustRightInd w:val="0"/>
        <w:snapToGrid w:val="0"/>
        <w:spacing w:line="360" w:lineRule="auto"/>
        <w:jc w:val="both"/>
        <w:rPr>
          <w:rFonts w:ascii="Book Antiqua" w:hAnsi="Book Antiqua"/>
          <w:lang w:eastAsia="zh-CN"/>
        </w:rPr>
        <w:sectPr w:rsidR="008F4B5F">
          <w:pgSz w:w="15840" w:h="12240" w:orient="landscape"/>
          <w:pgMar w:top="1440" w:right="1440" w:bottom="1440" w:left="1440" w:header="720" w:footer="720" w:gutter="0"/>
          <w:cols w:space="720"/>
          <w:docGrid w:linePitch="360"/>
        </w:sectPr>
      </w:pPr>
    </w:p>
    <w:p w14:paraId="292FBCF5"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lastRenderedPageBreak/>
        <w:t xml:space="preserve">Table 3 </w:t>
      </w:r>
      <w:r>
        <w:rPr>
          <w:rFonts w:ascii="Book Antiqua" w:hAnsi="Book Antiqua" w:hint="eastAsia"/>
          <w:b/>
          <w:lang w:eastAsia="zh-CN"/>
        </w:rPr>
        <w:t>E</w:t>
      </w:r>
      <w:r>
        <w:rPr>
          <w:rFonts w:ascii="Book Antiqua" w:hAnsi="Book Antiqua"/>
          <w:b/>
          <w:lang w:eastAsia="zh-CN"/>
        </w:rPr>
        <w:t xml:space="preserve">xpression of perforin and </w:t>
      </w:r>
      <w:proofErr w:type="spellStart"/>
      <w:r>
        <w:rPr>
          <w:rFonts w:ascii="Book Antiqua" w:hAnsi="Book Antiqua"/>
          <w:b/>
          <w:lang w:eastAsia="zh-CN"/>
        </w:rPr>
        <w:t>granzyme</w:t>
      </w:r>
      <w:proofErr w:type="spellEnd"/>
      <w:r>
        <w:rPr>
          <w:rFonts w:ascii="Book Antiqua" w:hAnsi="Book Antiqua"/>
          <w:b/>
          <w:lang w:eastAsia="zh-CN"/>
        </w:rPr>
        <w:t xml:space="preserve"> in the natural killer cells of our patient and his parents</w:t>
      </w:r>
    </w:p>
    <w:tbl>
      <w:tblPr>
        <w:tblStyle w:val="a6"/>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1477"/>
        <w:gridCol w:w="1446"/>
        <w:gridCol w:w="1494"/>
      </w:tblGrid>
      <w:tr w:rsidR="007B6E23" w14:paraId="7FCD27D3" w14:textId="77777777">
        <w:trPr>
          <w:jc w:val="center"/>
        </w:trPr>
        <w:tc>
          <w:tcPr>
            <w:tcW w:w="2693" w:type="pct"/>
            <w:tcBorders>
              <w:top w:val="single" w:sz="4" w:space="0" w:color="auto"/>
              <w:bottom w:val="single" w:sz="4" w:space="0" w:color="auto"/>
            </w:tcBorders>
          </w:tcPr>
          <w:p w14:paraId="2770BA14" w14:textId="77777777" w:rsidR="007B6E23" w:rsidRDefault="007B6E23">
            <w:pPr>
              <w:adjustRightInd w:val="0"/>
              <w:snapToGrid w:val="0"/>
              <w:spacing w:line="360" w:lineRule="auto"/>
              <w:rPr>
                <w:rFonts w:ascii="Book Antiqua" w:hAnsi="Book Antiqua"/>
                <w:lang w:eastAsia="zh-CN"/>
              </w:rPr>
            </w:pPr>
          </w:p>
        </w:tc>
        <w:tc>
          <w:tcPr>
            <w:tcW w:w="771" w:type="pct"/>
            <w:tcBorders>
              <w:top w:val="single" w:sz="4" w:space="0" w:color="auto"/>
              <w:bottom w:val="single" w:sz="4" w:space="0" w:color="auto"/>
            </w:tcBorders>
          </w:tcPr>
          <w:p w14:paraId="2A9F5826" w14:textId="77777777" w:rsidR="007B6E23" w:rsidRDefault="006A3E19">
            <w:pPr>
              <w:adjustRightInd w:val="0"/>
              <w:snapToGrid w:val="0"/>
              <w:spacing w:line="360" w:lineRule="auto"/>
              <w:rPr>
                <w:rFonts w:ascii="Book Antiqua" w:hAnsi="Book Antiqua"/>
                <w:b/>
                <w:spacing w:val="15"/>
                <w:lang w:val="en-GB" w:eastAsia="zh-CN" w:bidi="ar"/>
              </w:rPr>
            </w:pPr>
            <w:r>
              <w:rPr>
                <w:rFonts w:ascii="Book Antiqua" w:hAnsi="Book Antiqua"/>
                <w:b/>
                <w:spacing w:val="15"/>
                <w:lang w:val="en-GB" w:eastAsia="zh-CN" w:bidi="ar"/>
              </w:rPr>
              <w:t>Patient</w:t>
            </w:r>
          </w:p>
        </w:tc>
        <w:tc>
          <w:tcPr>
            <w:tcW w:w="755" w:type="pct"/>
            <w:tcBorders>
              <w:top w:val="single" w:sz="4" w:space="0" w:color="auto"/>
              <w:bottom w:val="single" w:sz="4" w:space="0" w:color="auto"/>
            </w:tcBorders>
          </w:tcPr>
          <w:p w14:paraId="3E057D33" w14:textId="77777777" w:rsidR="007B6E23" w:rsidRDefault="006A3E19">
            <w:pPr>
              <w:adjustRightInd w:val="0"/>
              <w:snapToGrid w:val="0"/>
              <w:spacing w:line="360" w:lineRule="auto"/>
              <w:rPr>
                <w:rFonts w:ascii="Book Antiqua" w:hAnsi="Book Antiqua"/>
                <w:b/>
                <w:spacing w:val="15"/>
                <w:lang w:val="en-GB" w:eastAsia="zh-CN" w:bidi="ar"/>
              </w:rPr>
            </w:pPr>
            <w:r>
              <w:rPr>
                <w:rFonts w:ascii="Book Antiqua" w:hAnsi="Book Antiqua"/>
                <w:b/>
                <w:spacing w:val="15"/>
                <w:lang w:val="en-GB" w:eastAsia="zh-CN" w:bidi="ar"/>
              </w:rPr>
              <w:t>Father</w:t>
            </w:r>
          </w:p>
        </w:tc>
        <w:tc>
          <w:tcPr>
            <w:tcW w:w="780" w:type="pct"/>
            <w:tcBorders>
              <w:top w:val="single" w:sz="4" w:space="0" w:color="auto"/>
              <w:bottom w:val="single" w:sz="4" w:space="0" w:color="auto"/>
            </w:tcBorders>
          </w:tcPr>
          <w:p w14:paraId="73A0EDBC" w14:textId="77777777" w:rsidR="007B6E23" w:rsidRDefault="006A3E19">
            <w:pPr>
              <w:adjustRightInd w:val="0"/>
              <w:snapToGrid w:val="0"/>
              <w:spacing w:line="360" w:lineRule="auto"/>
              <w:rPr>
                <w:rFonts w:ascii="Book Antiqua" w:hAnsi="Book Antiqua"/>
                <w:b/>
                <w:spacing w:val="15"/>
                <w:lang w:val="en-GB" w:eastAsia="zh-CN" w:bidi="ar"/>
              </w:rPr>
            </w:pPr>
            <w:r>
              <w:rPr>
                <w:rFonts w:ascii="Book Antiqua" w:hAnsi="Book Antiqua"/>
                <w:b/>
                <w:spacing w:val="15"/>
                <w:lang w:val="en-GB" w:eastAsia="zh-CN" w:bidi="ar"/>
              </w:rPr>
              <w:t>Mother</w:t>
            </w:r>
          </w:p>
        </w:tc>
      </w:tr>
      <w:tr w:rsidR="007B6E23" w14:paraId="24763EE4" w14:textId="77777777">
        <w:trPr>
          <w:jc w:val="center"/>
        </w:trPr>
        <w:tc>
          <w:tcPr>
            <w:tcW w:w="2693" w:type="pct"/>
            <w:tcBorders>
              <w:top w:val="single" w:sz="4" w:space="0" w:color="auto"/>
            </w:tcBorders>
          </w:tcPr>
          <w:p w14:paraId="7C7DC475" w14:textId="77777777" w:rsidR="007B6E23" w:rsidRDefault="006A3E19">
            <w:pPr>
              <w:adjustRightInd w:val="0"/>
              <w:snapToGrid w:val="0"/>
              <w:spacing w:line="360" w:lineRule="auto"/>
              <w:rPr>
                <w:rFonts w:ascii="Book Antiqua" w:hAnsi="Book Antiqua"/>
                <w:lang w:eastAsia="zh-CN"/>
              </w:rPr>
            </w:pPr>
            <w:r>
              <w:rPr>
                <w:rFonts w:ascii="Book Antiqua" w:hAnsi="Book Antiqua"/>
                <w:lang w:eastAsia="zh-CN"/>
              </w:rPr>
              <w:t>Perforin positive rate of NK cells</w:t>
            </w:r>
          </w:p>
        </w:tc>
        <w:tc>
          <w:tcPr>
            <w:tcW w:w="771" w:type="pct"/>
            <w:tcBorders>
              <w:top w:val="single" w:sz="4" w:space="0" w:color="auto"/>
            </w:tcBorders>
          </w:tcPr>
          <w:p w14:paraId="7FE6B19D"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80.44%</w:t>
            </w:r>
          </w:p>
        </w:tc>
        <w:tc>
          <w:tcPr>
            <w:tcW w:w="755" w:type="pct"/>
            <w:tcBorders>
              <w:top w:val="single" w:sz="4" w:space="0" w:color="auto"/>
            </w:tcBorders>
          </w:tcPr>
          <w:p w14:paraId="5038D0A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95.89%</w:t>
            </w:r>
          </w:p>
        </w:tc>
        <w:tc>
          <w:tcPr>
            <w:tcW w:w="780" w:type="pct"/>
            <w:tcBorders>
              <w:top w:val="single" w:sz="4" w:space="0" w:color="auto"/>
            </w:tcBorders>
          </w:tcPr>
          <w:p w14:paraId="2EA9001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94.61%</w:t>
            </w:r>
          </w:p>
        </w:tc>
      </w:tr>
      <w:tr w:rsidR="007B6E23" w14:paraId="43BCBD41" w14:textId="77777777">
        <w:trPr>
          <w:jc w:val="center"/>
        </w:trPr>
        <w:tc>
          <w:tcPr>
            <w:tcW w:w="2693" w:type="pct"/>
          </w:tcPr>
          <w:p w14:paraId="675768F3" w14:textId="77777777" w:rsidR="007B6E23" w:rsidRDefault="006A3E19">
            <w:pPr>
              <w:adjustRightInd w:val="0"/>
              <w:snapToGrid w:val="0"/>
              <w:spacing w:line="360" w:lineRule="auto"/>
              <w:rPr>
                <w:rFonts w:ascii="Book Antiqua" w:hAnsi="Book Antiqua"/>
                <w:lang w:eastAsia="zh-CN"/>
              </w:rPr>
            </w:pPr>
            <w:proofErr w:type="spellStart"/>
            <w:r>
              <w:rPr>
                <w:rFonts w:ascii="Book Antiqua" w:hAnsi="Book Antiqua"/>
                <w:lang w:eastAsia="zh-CN"/>
              </w:rPr>
              <w:t>Granzyme</w:t>
            </w:r>
            <w:proofErr w:type="spellEnd"/>
            <w:r>
              <w:rPr>
                <w:rFonts w:ascii="Book Antiqua" w:hAnsi="Book Antiqua"/>
                <w:lang w:eastAsia="zh-CN"/>
              </w:rPr>
              <w:t xml:space="preserve"> positive rate of NK cells</w:t>
            </w:r>
          </w:p>
        </w:tc>
        <w:tc>
          <w:tcPr>
            <w:tcW w:w="771" w:type="pct"/>
          </w:tcPr>
          <w:p w14:paraId="1F620DF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90.49%</w:t>
            </w:r>
          </w:p>
        </w:tc>
        <w:tc>
          <w:tcPr>
            <w:tcW w:w="755" w:type="pct"/>
          </w:tcPr>
          <w:p w14:paraId="0FBF8957"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75.45%</w:t>
            </w:r>
          </w:p>
        </w:tc>
        <w:tc>
          <w:tcPr>
            <w:tcW w:w="780" w:type="pct"/>
          </w:tcPr>
          <w:p w14:paraId="42048DB2"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84.07%</w:t>
            </w:r>
          </w:p>
        </w:tc>
      </w:tr>
    </w:tbl>
    <w:p w14:paraId="3AB54D6A" w14:textId="54C6A56F" w:rsidR="00312CDD" w:rsidRDefault="006A3E19">
      <w:pPr>
        <w:adjustRightInd w:val="0"/>
        <w:snapToGrid w:val="0"/>
        <w:spacing w:line="360" w:lineRule="auto"/>
        <w:jc w:val="both"/>
        <w:rPr>
          <w:rFonts w:ascii="Book Antiqua" w:hAnsi="Book Antiqua"/>
          <w:lang w:eastAsia="zh-CN"/>
        </w:rPr>
      </w:pPr>
      <w:r>
        <w:rPr>
          <w:rFonts w:ascii="Book Antiqua" w:hAnsi="Book Antiqua"/>
          <w:lang w:eastAsia="zh-CN"/>
        </w:rPr>
        <w:t xml:space="preserve">Biological reference range of perforin positive rate of natural killer </w:t>
      </w:r>
      <w:r>
        <w:rPr>
          <w:rFonts w:ascii="Book Antiqua" w:hAnsi="Book Antiqua" w:hint="eastAsia"/>
          <w:lang w:eastAsia="zh-CN"/>
        </w:rPr>
        <w:t>(</w:t>
      </w:r>
      <w:r>
        <w:rPr>
          <w:rFonts w:ascii="Book Antiqua" w:hAnsi="Book Antiqua"/>
          <w:lang w:eastAsia="zh-CN"/>
        </w:rPr>
        <w:t>NK</w:t>
      </w:r>
      <w:r>
        <w:rPr>
          <w:rFonts w:ascii="Book Antiqua" w:hAnsi="Book Antiqua" w:hint="eastAsia"/>
          <w:lang w:eastAsia="zh-CN"/>
        </w:rPr>
        <w:t>)</w:t>
      </w:r>
      <w:r>
        <w:rPr>
          <w:rFonts w:ascii="Book Antiqua" w:hAnsi="Book Antiqua"/>
          <w:lang w:eastAsia="zh-CN"/>
        </w:rPr>
        <w:t xml:space="preserve"> cells: &gt; 84%; Biological reference range of </w:t>
      </w:r>
      <w:proofErr w:type="spellStart"/>
      <w:r>
        <w:rPr>
          <w:rFonts w:ascii="Book Antiqua" w:hAnsi="Book Antiqua"/>
          <w:lang w:eastAsia="zh-CN"/>
        </w:rPr>
        <w:t>granzyme</w:t>
      </w:r>
      <w:proofErr w:type="spellEnd"/>
      <w:r>
        <w:rPr>
          <w:rFonts w:ascii="Book Antiqua" w:hAnsi="Book Antiqua"/>
          <w:lang w:eastAsia="zh-CN"/>
        </w:rPr>
        <w:t xml:space="preserve"> positive rate of NK cells: &gt; 78%.</w:t>
      </w:r>
      <w:r>
        <w:rPr>
          <w:rFonts w:ascii="Book Antiqua" w:hAnsi="Book Antiqua" w:hint="eastAsia"/>
          <w:lang w:eastAsia="zh-CN"/>
        </w:rPr>
        <w:t xml:space="preserve"> </w:t>
      </w:r>
    </w:p>
    <w:p w14:paraId="63C5727B" w14:textId="77777777" w:rsidR="00312CDD" w:rsidRDefault="00312CDD">
      <w:pPr>
        <w:rPr>
          <w:rFonts w:ascii="Book Antiqua" w:hAnsi="Book Antiqua"/>
          <w:lang w:eastAsia="zh-CN"/>
        </w:rPr>
      </w:pPr>
      <w:r>
        <w:rPr>
          <w:rFonts w:ascii="Book Antiqua" w:hAnsi="Book Antiqua"/>
          <w:lang w:eastAsia="zh-CN"/>
        </w:rPr>
        <w:br w:type="page"/>
      </w:r>
    </w:p>
    <w:p w14:paraId="5A3F4458" w14:textId="77777777" w:rsidR="00312CDD" w:rsidRDefault="00312CDD" w:rsidP="00312CDD">
      <w:pPr>
        <w:jc w:val="center"/>
        <w:rPr>
          <w:rFonts w:ascii="Book Antiqua" w:hAnsi="Book Antiqua"/>
        </w:rPr>
      </w:pPr>
    </w:p>
    <w:p w14:paraId="482DBB09" w14:textId="77777777" w:rsidR="00312CDD" w:rsidRDefault="00312CDD" w:rsidP="00312CDD">
      <w:pPr>
        <w:jc w:val="center"/>
        <w:rPr>
          <w:rFonts w:ascii="Book Antiqua" w:hAnsi="Book Antiqua"/>
        </w:rPr>
      </w:pPr>
    </w:p>
    <w:p w14:paraId="1D6D24A9" w14:textId="77777777" w:rsidR="00312CDD" w:rsidRDefault="00312CDD" w:rsidP="00312CDD">
      <w:pPr>
        <w:jc w:val="center"/>
        <w:rPr>
          <w:rFonts w:ascii="Book Antiqua" w:hAnsi="Book Antiqua"/>
        </w:rPr>
      </w:pPr>
    </w:p>
    <w:p w14:paraId="7F241971" w14:textId="77777777" w:rsidR="00312CDD" w:rsidRDefault="00312CDD" w:rsidP="00312CDD">
      <w:pPr>
        <w:jc w:val="center"/>
        <w:rPr>
          <w:rFonts w:ascii="Book Antiqua" w:hAnsi="Book Antiqua"/>
        </w:rPr>
      </w:pPr>
    </w:p>
    <w:p w14:paraId="26F11125" w14:textId="77777777" w:rsidR="00312CDD" w:rsidRDefault="00312CDD" w:rsidP="00312CDD">
      <w:pPr>
        <w:jc w:val="center"/>
        <w:rPr>
          <w:rFonts w:ascii="Book Antiqua" w:hAnsi="Book Antiqua"/>
        </w:rPr>
      </w:pPr>
    </w:p>
    <w:p w14:paraId="092B6D1F" w14:textId="4CDA1CC8" w:rsidR="00312CDD" w:rsidRDefault="00312CDD" w:rsidP="00312CDD">
      <w:pPr>
        <w:jc w:val="center"/>
        <w:rPr>
          <w:rFonts w:ascii="Book Antiqua" w:hAnsi="Book Antiqua"/>
        </w:rPr>
      </w:pPr>
      <w:r>
        <w:rPr>
          <w:rFonts w:ascii="Book Antiqua" w:hAnsi="Book Antiqua"/>
          <w:noProof/>
          <w:lang w:eastAsia="zh-CN"/>
        </w:rPr>
        <w:drawing>
          <wp:inline distT="0" distB="0" distL="0" distR="0" wp14:anchorId="1FA68C38" wp14:editId="35DBD07D">
            <wp:extent cx="2498090" cy="1442085"/>
            <wp:effectExtent l="0" t="0" r="0" b="571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6205E5F9" w14:textId="77777777" w:rsidR="00312CDD" w:rsidRDefault="00312CDD" w:rsidP="00312CDD">
      <w:pPr>
        <w:jc w:val="center"/>
        <w:rPr>
          <w:rFonts w:ascii="Book Antiqua" w:hAnsi="Book Antiqua"/>
        </w:rPr>
      </w:pPr>
    </w:p>
    <w:p w14:paraId="175465A4" w14:textId="77777777" w:rsidR="00312CDD" w:rsidRDefault="00312CDD" w:rsidP="00312C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BCBF270" w14:textId="77777777" w:rsidR="00312CDD" w:rsidRDefault="00312CDD" w:rsidP="00312C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206C74" w14:textId="77777777" w:rsidR="00312CDD" w:rsidRDefault="00312CDD" w:rsidP="00312C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EDA011" w14:textId="77777777" w:rsidR="00312CDD" w:rsidRDefault="00312CDD" w:rsidP="00312C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2284AA" w14:textId="77777777" w:rsidR="00312CDD" w:rsidRDefault="00312CDD" w:rsidP="00312C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485B74" w14:textId="77777777" w:rsidR="00312CDD" w:rsidRDefault="00312CDD" w:rsidP="00312CDD">
      <w:pPr>
        <w:jc w:val="center"/>
        <w:rPr>
          <w:rFonts w:ascii="Book Antiqua" w:hAnsi="Book Antiqua"/>
        </w:rPr>
      </w:pPr>
      <w:r>
        <w:rPr>
          <w:rFonts w:ascii="Book Antiqua" w:eastAsia="TimesNewRomanPSMT" w:hAnsi="Book Antiqua" w:cs="Garamond"/>
          <w:color w:val="D56400"/>
          <w:sz w:val="28"/>
          <w:szCs w:val="28"/>
        </w:rPr>
        <w:t>https://www.wjgnet.com</w:t>
      </w:r>
    </w:p>
    <w:p w14:paraId="54E947FB" w14:textId="77777777" w:rsidR="00312CDD" w:rsidRDefault="00312CDD" w:rsidP="00312CDD">
      <w:pPr>
        <w:jc w:val="center"/>
        <w:rPr>
          <w:rFonts w:ascii="Book Antiqua" w:hAnsi="Book Antiqua"/>
        </w:rPr>
      </w:pPr>
    </w:p>
    <w:p w14:paraId="147B5608" w14:textId="77777777" w:rsidR="00312CDD" w:rsidRDefault="00312CDD" w:rsidP="00312CDD">
      <w:pPr>
        <w:jc w:val="center"/>
        <w:rPr>
          <w:rFonts w:ascii="Book Antiqua" w:hAnsi="Book Antiqua"/>
        </w:rPr>
      </w:pPr>
    </w:p>
    <w:p w14:paraId="5AA02F52" w14:textId="77777777" w:rsidR="00312CDD" w:rsidRDefault="00312CDD" w:rsidP="00312CDD">
      <w:pPr>
        <w:jc w:val="center"/>
        <w:rPr>
          <w:rFonts w:ascii="Book Antiqua" w:hAnsi="Book Antiqua"/>
        </w:rPr>
      </w:pPr>
    </w:p>
    <w:p w14:paraId="4E444264" w14:textId="52833914" w:rsidR="00312CDD" w:rsidRDefault="00312CDD" w:rsidP="00312CDD">
      <w:pPr>
        <w:jc w:val="center"/>
        <w:rPr>
          <w:rFonts w:ascii="Book Antiqua" w:hAnsi="Book Antiqua"/>
        </w:rPr>
      </w:pPr>
      <w:r>
        <w:rPr>
          <w:rFonts w:ascii="Book Antiqua" w:hAnsi="Book Antiqua"/>
          <w:noProof/>
          <w:lang w:eastAsia="zh-CN"/>
        </w:rPr>
        <w:drawing>
          <wp:inline distT="0" distB="0" distL="0" distR="0" wp14:anchorId="535E0DAB" wp14:editId="62D2F80F">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BB3DBDC" w14:textId="77777777" w:rsidR="00312CDD" w:rsidRDefault="00312CDD" w:rsidP="00312CDD">
      <w:pPr>
        <w:jc w:val="center"/>
        <w:rPr>
          <w:rFonts w:ascii="Book Antiqua" w:hAnsi="Book Antiqua"/>
        </w:rPr>
      </w:pPr>
    </w:p>
    <w:p w14:paraId="2E063F1F" w14:textId="77777777" w:rsidR="00312CDD" w:rsidRDefault="00312CDD" w:rsidP="00312CDD">
      <w:pPr>
        <w:jc w:val="center"/>
        <w:rPr>
          <w:rFonts w:ascii="Book Antiqua" w:hAnsi="Book Antiqua"/>
        </w:rPr>
      </w:pPr>
    </w:p>
    <w:p w14:paraId="40B04494" w14:textId="77777777" w:rsidR="00312CDD" w:rsidRDefault="00312CDD" w:rsidP="00312CDD">
      <w:pPr>
        <w:jc w:val="center"/>
        <w:rPr>
          <w:rFonts w:ascii="Book Antiqua" w:hAnsi="Book Antiqua"/>
        </w:rPr>
      </w:pPr>
    </w:p>
    <w:p w14:paraId="4543C412" w14:textId="77777777" w:rsidR="00312CDD" w:rsidRDefault="00312CDD" w:rsidP="00312CDD">
      <w:pPr>
        <w:jc w:val="center"/>
        <w:rPr>
          <w:rFonts w:ascii="Book Antiqua" w:hAnsi="Book Antiqua"/>
        </w:rPr>
      </w:pPr>
    </w:p>
    <w:p w14:paraId="53C5CC5E" w14:textId="77777777" w:rsidR="00312CDD" w:rsidRDefault="00312CDD" w:rsidP="00312CDD">
      <w:pPr>
        <w:jc w:val="center"/>
        <w:rPr>
          <w:rFonts w:ascii="Book Antiqua" w:hAnsi="Book Antiqua"/>
        </w:rPr>
      </w:pPr>
    </w:p>
    <w:p w14:paraId="663E0637" w14:textId="77777777" w:rsidR="00312CDD" w:rsidRDefault="00312CDD" w:rsidP="00312CDD">
      <w:pPr>
        <w:jc w:val="right"/>
        <w:rPr>
          <w:rFonts w:ascii="Book Antiqua" w:hAnsi="Book Antiqua"/>
          <w:color w:val="000000" w:themeColor="text1"/>
        </w:rPr>
      </w:pPr>
    </w:p>
    <w:p w14:paraId="7481648A" w14:textId="77777777" w:rsidR="00312CDD" w:rsidRDefault="00312CDD" w:rsidP="00312CD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2FAE5F0" w14:textId="77777777" w:rsidR="00312CDD" w:rsidRDefault="00312CDD" w:rsidP="00312CDD">
      <w:pPr>
        <w:snapToGrid w:val="0"/>
        <w:spacing w:line="360" w:lineRule="auto"/>
        <w:rPr>
          <w:rFonts w:asciiTheme="minorEastAsia" w:hAnsiTheme="minorEastAsia"/>
          <w:b/>
        </w:rPr>
      </w:pPr>
    </w:p>
    <w:p w14:paraId="15A77881" w14:textId="77777777" w:rsidR="007B6E23" w:rsidRPr="00312CDD" w:rsidRDefault="007B6E23" w:rsidP="00312CDD">
      <w:pPr>
        <w:adjustRightInd w:val="0"/>
        <w:snapToGrid w:val="0"/>
        <w:spacing w:line="360" w:lineRule="auto"/>
        <w:jc w:val="both"/>
        <w:rPr>
          <w:rFonts w:ascii="Book Antiqua" w:hAnsi="Book Antiqua"/>
          <w:b/>
          <w:lang w:eastAsia="zh-CN"/>
        </w:rPr>
      </w:pPr>
      <w:bookmarkStart w:id="17" w:name="_GoBack"/>
      <w:bookmarkEnd w:id="17"/>
    </w:p>
    <w:sectPr w:rsidR="007B6E23" w:rsidRPr="00312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70D06" w14:textId="77777777" w:rsidR="0007717B" w:rsidRDefault="0007717B">
      <w:r>
        <w:separator/>
      </w:r>
    </w:p>
  </w:endnote>
  <w:endnote w:type="continuationSeparator" w:id="0">
    <w:p w14:paraId="462B8FEA" w14:textId="77777777" w:rsidR="0007717B" w:rsidRDefault="0007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7885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55E240" w14:textId="77777777" w:rsidR="007B6E23" w:rsidRPr="001C6AB1" w:rsidRDefault="006A3E19">
            <w:pPr>
              <w:pStyle w:val="a4"/>
              <w:jc w:val="right"/>
              <w:rPr>
                <w:rFonts w:ascii="Book Antiqua" w:hAnsi="Book Antiqua"/>
                <w:sz w:val="24"/>
                <w:szCs w:val="24"/>
              </w:rPr>
            </w:pPr>
            <w:r>
              <w:rPr>
                <w:lang w:val="zh-CN" w:eastAsia="zh-CN"/>
              </w:rPr>
              <w:t xml:space="preserve"> </w:t>
            </w:r>
            <w:r w:rsidRPr="001C6AB1">
              <w:rPr>
                <w:rFonts w:ascii="Book Antiqua" w:hAnsi="Book Antiqua"/>
                <w:sz w:val="24"/>
                <w:szCs w:val="24"/>
              </w:rPr>
              <w:fldChar w:fldCharType="begin"/>
            </w:r>
            <w:r w:rsidRPr="001C6AB1">
              <w:rPr>
                <w:rFonts w:ascii="Book Antiqua" w:hAnsi="Book Antiqua"/>
                <w:sz w:val="24"/>
                <w:szCs w:val="24"/>
              </w:rPr>
              <w:instrText>PAGE</w:instrText>
            </w:r>
            <w:r w:rsidRPr="001C6AB1">
              <w:rPr>
                <w:rFonts w:ascii="Book Antiqua" w:hAnsi="Book Antiqua"/>
                <w:sz w:val="24"/>
                <w:szCs w:val="24"/>
              </w:rPr>
              <w:fldChar w:fldCharType="separate"/>
            </w:r>
            <w:r w:rsidR="00312CDD">
              <w:rPr>
                <w:rFonts w:ascii="Book Antiqua" w:hAnsi="Book Antiqua"/>
                <w:noProof/>
                <w:sz w:val="24"/>
                <w:szCs w:val="24"/>
              </w:rPr>
              <w:t>21</w:t>
            </w:r>
            <w:r w:rsidRPr="001C6AB1">
              <w:rPr>
                <w:rFonts w:ascii="Book Antiqua" w:hAnsi="Book Antiqua"/>
                <w:sz w:val="24"/>
                <w:szCs w:val="24"/>
              </w:rPr>
              <w:fldChar w:fldCharType="end"/>
            </w:r>
            <w:r w:rsidRPr="001C6AB1">
              <w:rPr>
                <w:rFonts w:ascii="Book Antiqua" w:hAnsi="Book Antiqua"/>
                <w:sz w:val="24"/>
                <w:szCs w:val="24"/>
                <w:lang w:val="zh-CN" w:eastAsia="zh-CN"/>
              </w:rPr>
              <w:t xml:space="preserve"> / </w:t>
            </w:r>
            <w:r w:rsidRPr="001C6AB1">
              <w:rPr>
                <w:rFonts w:ascii="Book Antiqua" w:hAnsi="Book Antiqua"/>
                <w:sz w:val="24"/>
                <w:szCs w:val="24"/>
              </w:rPr>
              <w:fldChar w:fldCharType="begin"/>
            </w:r>
            <w:r w:rsidRPr="001C6AB1">
              <w:rPr>
                <w:rFonts w:ascii="Book Antiqua" w:hAnsi="Book Antiqua"/>
                <w:sz w:val="24"/>
                <w:szCs w:val="24"/>
              </w:rPr>
              <w:instrText>NUMPAGES</w:instrText>
            </w:r>
            <w:r w:rsidRPr="001C6AB1">
              <w:rPr>
                <w:rFonts w:ascii="Book Antiqua" w:hAnsi="Book Antiqua"/>
                <w:sz w:val="24"/>
                <w:szCs w:val="24"/>
              </w:rPr>
              <w:fldChar w:fldCharType="separate"/>
            </w:r>
            <w:r w:rsidR="00312CDD">
              <w:rPr>
                <w:rFonts w:ascii="Book Antiqua" w:hAnsi="Book Antiqua"/>
                <w:noProof/>
                <w:sz w:val="24"/>
                <w:szCs w:val="24"/>
              </w:rPr>
              <w:t>22</w:t>
            </w:r>
            <w:r w:rsidRPr="001C6AB1">
              <w:rPr>
                <w:rFonts w:ascii="Book Antiqua" w:hAnsi="Book Antiqua"/>
                <w:sz w:val="24"/>
                <w:szCs w:val="24"/>
              </w:rPr>
              <w:fldChar w:fldCharType="end"/>
            </w:r>
          </w:p>
        </w:sdtContent>
      </w:sdt>
    </w:sdtContent>
  </w:sdt>
  <w:p w14:paraId="2BD5A8C3" w14:textId="77777777" w:rsidR="007B6E23" w:rsidRDefault="007B6E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1FA5" w14:textId="77777777" w:rsidR="0007717B" w:rsidRDefault="0007717B">
      <w:r>
        <w:separator/>
      </w:r>
    </w:p>
  </w:footnote>
  <w:footnote w:type="continuationSeparator" w:id="0">
    <w:p w14:paraId="24FF7175" w14:textId="77777777" w:rsidR="0007717B" w:rsidRDefault="0007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CB"/>
    <w:rsid w:val="000072CC"/>
    <w:rsid w:val="0007717B"/>
    <w:rsid w:val="0009778F"/>
    <w:rsid w:val="000A1083"/>
    <w:rsid w:val="000A23AE"/>
    <w:rsid w:val="000B0CAC"/>
    <w:rsid w:val="000C2151"/>
    <w:rsid w:val="000C67C4"/>
    <w:rsid w:val="0010065B"/>
    <w:rsid w:val="0010635C"/>
    <w:rsid w:val="00157704"/>
    <w:rsid w:val="001C6AB1"/>
    <w:rsid w:val="001F21BA"/>
    <w:rsid w:val="00200217"/>
    <w:rsid w:val="0022288B"/>
    <w:rsid w:val="00223BBA"/>
    <w:rsid w:val="00246527"/>
    <w:rsid w:val="00266CA2"/>
    <w:rsid w:val="0028278E"/>
    <w:rsid w:val="00293166"/>
    <w:rsid w:val="002B03A8"/>
    <w:rsid w:val="002B638E"/>
    <w:rsid w:val="00301DE7"/>
    <w:rsid w:val="00312CDD"/>
    <w:rsid w:val="00334F10"/>
    <w:rsid w:val="00415CF3"/>
    <w:rsid w:val="00416C25"/>
    <w:rsid w:val="00437323"/>
    <w:rsid w:val="00441101"/>
    <w:rsid w:val="0045501E"/>
    <w:rsid w:val="0047324B"/>
    <w:rsid w:val="00496D47"/>
    <w:rsid w:val="004C1D40"/>
    <w:rsid w:val="005759A4"/>
    <w:rsid w:val="005801D2"/>
    <w:rsid w:val="0058367C"/>
    <w:rsid w:val="005B23B2"/>
    <w:rsid w:val="006161A4"/>
    <w:rsid w:val="00616A35"/>
    <w:rsid w:val="00644C2E"/>
    <w:rsid w:val="00677401"/>
    <w:rsid w:val="00690269"/>
    <w:rsid w:val="006A3E19"/>
    <w:rsid w:val="006C33B4"/>
    <w:rsid w:val="006C775D"/>
    <w:rsid w:val="006F2362"/>
    <w:rsid w:val="006F4142"/>
    <w:rsid w:val="00733B4D"/>
    <w:rsid w:val="007A3BDD"/>
    <w:rsid w:val="007B6E23"/>
    <w:rsid w:val="007E7FD7"/>
    <w:rsid w:val="008126D3"/>
    <w:rsid w:val="00816ECB"/>
    <w:rsid w:val="00844199"/>
    <w:rsid w:val="00863EB9"/>
    <w:rsid w:val="00864AF6"/>
    <w:rsid w:val="00865392"/>
    <w:rsid w:val="00896030"/>
    <w:rsid w:val="008E4E7E"/>
    <w:rsid w:val="008F1D18"/>
    <w:rsid w:val="008F3A3A"/>
    <w:rsid w:val="008F4B5F"/>
    <w:rsid w:val="009577E9"/>
    <w:rsid w:val="0096100B"/>
    <w:rsid w:val="009747B0"/>
    <w:rsid w:val="0099253C"/>
    <w:rsid w:val="009B26B0"/>
    <w:rsid w:val="009C6C43"/>
    <w:rsid w:val="009E7932"/>
    <w:rsid w:val="00A03B6E"/>
    <w:rsid w:val="00A15830"/>
    <w:rsid w:val="00A26480"/>
    <w:rsid w:val="00A56591"/>
    <w:rsid w:val="00A67BE9"/>
    <w:rsid w:val="00A77B3E"/>
    <w:rsid w:val="00A81A2E"/>
    <w:rsid w:val="00AD5AC2"/>
    <w:rsid w:val="00AE07C5"/>
    <w:rsid w:val="00AE36DF"/>
    <w:rsid w:val="00AF163F"/>
    <w:rsid w:val="00B147C4"/>
    <w:rsid w:val="00B3106C"/>
    <w:rsid w:val="00B35158"/>
    <w:rsid w:val="00B91145"/>
    <w:rsid w:val="00B97C64"/>
    <w:rsid w:val="00BD6D9C"/>
    <w:rsid w:val="00C07838"/>
    <w:rsid w:val="00C24F66"/>
    <w:rsid w:val="00C31789"/>
    <w:rsid w:val="00C3691F"/>
    <w:rsid w:val="00C46749"/>
    <w:rsid w:val="00C63B49"/>
    <w:rsid w:val="00C72A5D"/>
    <w:rsid w:val="00C85F7E"/>
    <w:rsid w:val="00CA2A55"/>
    <w:rsid w:val="00CB2223"/>
    <w:rsid w:val="00CC4F90"/>
    <w:rsid w:val="00D31143"/>
    <w:rsid w:val="00D759C2"/>
    <w:rsid w:val="00D80FD9"/>
    <w:rsid w:val="00D979D9"/>
    <w:rsid w:val="00DD7CDA"/>
    <w:rsid w:val="00DF3CC8"/>
    <w:rsid w:val="00DF7655"/>
    <w:rsid w:val="00E07085"/>
    <w:rsid w:val="00E91802"/>
    <w:rsid w:val="00ED3356"/>
    <w:rsid w:val="00EE3928"/>
    <w:rsid w:val="00EF048C"/>
    <w:rsid w:val="00F01445"/>
    <w:rsid w:val="00F04F31"/>
    <w:rsid w:val="00F43498"/>
    <w:rsid w:val="00F47B0D"/>
    <w:rsid w:val="00FC1DFD"/>
    <w:rsid w:val="00FF38A6"/>
    <w:rsid w:val="4EA97184"/>
    <w:rsid w:val="62C9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2990">
      <w:bodyDiv w:val="1"/>
      <w:marLeft w:val="0"/>
      <w:marRight w:val="0"/>
      <w:marTop w:val="0"/>
      <w:marBottom w:val="0"/>
      <w:divBdr>
        <w:top w:val="none" w:sz="0" w:space="0" w:color="auto"/>
        <w:left w:val="none" w:sz="0" w:space="0" w:color="auto"/>
        <w:bottom w:val="none" w:sz="0" w:space="0" w:color="auto"/>
        <w:right w:val="none" w:sz="0" w:space="0" w:color="auto"/>
      </w:divBdr>
    </w:div>
    <w:div w:id="144195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4168</Words>
  <Characters>23758</Characters>
  <Application>Microsoft Office Word</Application>
  <DocSecurity>0</DocSecurity>
  <Lines>197</Lines>
  <Paragraphs>55</Paragraphs>
  <ScaleCrop>false</ScaleCrop>
  <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小太阳LXY</dc:creator>
  <cp:lastModifiedBy>邢燕霞</cp:lastModifiedBy>
  <cp:revision>17</cp:revision>
  <dcterms:created xsi:type="dcterms:W3CDTF">2021-02-07T18:20:00Z</dcterms:created>
  <dcterms:modified xsi:type="dcterms:W3CDTF">2021-03-28T09:50:00Z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