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976D" w14:textId="7C67F32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6519F4B5" w14:textId="3871EA5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59732</w:t>
      </w:r>
    </w:p>
    <w:p w14:paraId="2FCDA1DD" w14:textId="57610D6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</w:p>
    <w:p w14:paraId="7EC77A84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B414FC" w14:textId="3414BE0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Successful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report</w:t>
      </w:r>
    </w:p>
    <w:p w14:paraId="2895EB47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6FD391" w14:textId="57BC182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Minimally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</w:p>
    <w:p w14:paraId="4F14342C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22554C" w14:textId="676D9559" w:rsidR="00A77B3E" w:rsidRPr="00276FCD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Tie-Hao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Ji-Chun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Jia-Rong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</w:p>
    <w:p w14:paraId="212F323B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A6D14F" w14:textId="01179F3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Tie-Hao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Ji-Chun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Zhao,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Bin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Jia-Rong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Ding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Yuan,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Department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University,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Chengdu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610000,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Province,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</w:p>
    <w:p w14:paraId="5CB88F4D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5E6161" w14:textId="139F4A7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performed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wrote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paper;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collected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information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paper;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162C">
        <w:rPr>
          <w:rFonts w:ascii="Book Antiqua" w:eastAsia="Book Antiqua" w:hAnsi="Book Antiqua" w:cs="Book Antiqua"/>
          <w:color w:val="000000" w:themeColor="text1"/>
        </w:rPr>
        <w:t>A</w:t>
      </w:r>
      <w:r w:rsidRPr="00E33E7F">
        <w:rPr>
          <w:rFonts w:ascii="Book Antiqua" w:eastAsia="Book Antiqua" w:hAnsi="Book Antiqua" w:cs="Book Antiqua"/>
          <w:color w:val="000000" w:themeColor="text1"/>
        </w:rPr>
        <w:t>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approved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52CA890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F698C5" w14:textId="49D9F7A6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Foundation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Science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Technology,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2019YJ0066.</w:t>
      </w:r>
    </w:p>
    <w:p w14:paraId="154F9A4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DD7D8A" w14:textId="22A6F9C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Ding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Yuan,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Assistant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Department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University,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37</w:t>
      </w:r>
      <w:r w:rsidR="00034F54" w:rsidRPr="00E33E7F">
        <w:rPr>
          <w:rFonts w:ascii="Book Antiqua" w:eastAsia="Book Antiqua" w:hAnsi="Book Antiqua" w:cs="Book Antiqua"/>
          <w:color w:val="000000" w:themeColor="text1"/>
        </w:rPr>
        <w:t xml:space="preserve"> Guoxue</w:t>
      </w:r>
      <w:r w:rsidR="00CF2B9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Xiang,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Chengdu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610000,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Province,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yuandingdoc09@163.com</w:t>
      </w:r>
    </w:p>
    <w:p w14:paraId="3125ED6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105857" w14:textId="19A62A7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September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27,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6919BAA0" w14:textId="4E2B58E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October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22,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1B196EBC" w14:textId="20EDA373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Accepted: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1B53" w:rsidRPr="00E33E7F">
        <w:rPr>
          <w:rFonts w:ascii="Book Antiqua" w:eastAsia="Book Antiqua" w:hAnsi="Book Antiqua" w:cs="Book Antiqua"/>
          <w:color w:val="000000" w:themeColor="text1"/>
        </w:rPr>
        <w:t>November 2, 2020</w:t>
      </w:r>
    </w:p>
    <w:p w14:paraId="39B9D746" w14:textId="609D08D4" w:rsidR="00A77B3E" w:rsidRPr="00DB7BEC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B7BEC" w:rsidRPr="00DB7BEC">
        <w:rPr>
          <w:rFonts w:ascii="Book Antiqua" w:hAnsi="Book Antiqua" w:cs="Book Antiqua" w:hint="eastAsia"/>
          <w:bCs/>
          <w:color w:val="000000" w:themeColor="text1"/>
          <w:lang w:eastAsia="zh-CN"/>
        </w:rPr>
        <w:t>December 26, 2020</w:t>
      </w:r>
    </w:p>
    <w:p w14:paraId="29845C04" w14:textId="77777777" w:rsidR="00422C02" w:rsidRPr="00E33E7F" w:rsidRDefault="00422C02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422C02" w:rsidRPr="00E33E7F" w:rsidSect="0063692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AD926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61F95C85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65F52BA" w14:textId="0799FD9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relatively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infrequent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but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life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threatening.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remains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controversial.</w:t>
      </w:r>
    </w:p>
    <w:p w14:paraId="01F57F7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26CBAC" w14:textId="086397B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SUMMARY</w:t>
      </w:r>
    </w:p>
    <w:p w14:paraId="6560531C" w14:textId="6B5375AA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79-year-old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3692F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63692F" w:rsidRPr="00E33E7F" w:rsidDel="0063692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who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pain.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005410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common femoral artery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underwent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(EVT)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etiology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confirmed.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3-mo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given.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One</w:t>
      </w:r>
      <w:r w:rsidR="00EF162C">
        <w:rPr>
          <w:rFonts w:ascii="Book Antiqua" w:eastAsia="Book Antiqua" w:hAnsi="Book Antiqua" w:cs="Book Antiqua"/>
          <w:color w:val="000000" w:themeColor="text1"/>
        </w:rPr>
        <w:t>-</w:t>
      </w:r>
      <w:r w:rsidRPr="00E33E7F">
        <w:rPr>
          <w:rFonts w:ascii="Book Antiqua" w:eastAsia="Book Antiqua" w:hAnsi="Book Antiqua" w:cs="Book Antiqua"/>
          <w:color w:val="000000" w:themeColor="text1"/>
        </w:rPr>
        <w:t>year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follow-up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complete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removal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surrounding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hematoma.</w:t>
      </w:r>
    </w:p>
    <w:p w14:paraId="3B6150E8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69B82A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35CADB9B" w14:textId="56C53242" w:rsidR="00A77B3E" w:rsidRPr="00E33E7F" w:rsidRDefault="0009179A" w:rsidP="00E33E7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3692F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095678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unusual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highlights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</w:p>
    <w:p w14:paraId="4257939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C4D561" w14:textId="0E351BD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I</w:t>
      </w:r>
      <w:r w:rsidRPr="00E33E7F">
        <w:rPr>
          <w:rFonts w:ascii="Book Antiqua" w:eastAsia="Book Antiqua" w:hAnsi="Book Antiqua" w:cs="Book Antiqua"/>
          <w:color w:val="000000" w:themeColor="text1"/>
        </w:rPr>
        <w:t>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C</w:t>
      </w:r>
      <w:r w:rsidRPr="00E33E7F">
        <w:rPr>
          <w:rFonts w:ascii="Book Antiqua" w:eastAsia="Book Antiqua" w:hAnsi="Book Antiqua" w:cs="Book Antiqua"/>
          <w:color w:val="000000" w:themeColor="text1"/>
        </w:rPr>
        <w:t>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A</w:t>
      </w:r>
      <w:r w:rsidRPr="00E33E7F">
        <w:rPr>
          <w:rFonts w:ascii="Book Antiqua" w:eastAsia="Book Antiqua" w:hAnsi="Book Antiqua" w:cs="Book Antiqua"/>
          <w:color w:val="000000" w:themeColor="text1"/>
        </w:rPr>
        <w:t>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E</w:t>
      </w:r>
      <w:r w:rsidRPr="00E33E7F">
        <w:rPr>
          <w:rFonts w:ascii="Book Antiqua" w:eastAsia="Book Antiqua" w:hAnsi="Book Antiqua" w:cs="Book Antiqua"/>
          <w:color w:val="000000" w:themeColor="text1"/>
        </w:rPr>
        <w:t>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C</w:t>
      </w:r>
      <w:r w:rsidRPr="00E33E7F">
        <w:rPr>
          <w:rFonts w:ascii="Book Antiqua" w:eastAsia="Book Antiqua" w:hAnsi="Book Antiqua" w:cs="Book Antiqua"/>
          <w:color w:val="000000" w:themeColor="text1"/>
        </w:rPr>
        <w:t>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</w:p>
    <w:p w14:paraId="7E3AAA73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706D85" w14:textId="2CA01E17" w:rsidR="007C1064" w:rsidRDefault="007C1064" w:rsidP="00E33E7F">
      <w:pPr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C1064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Citation: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TH,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JC,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Huang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B,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JR,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Successful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pneumoniae: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report.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79A" w:rsidRPr="00E33E7F">
        <w:rPr>
          <w:rFonts w:ascii="Book Antiqua" w:eastAsia="Book Antiqua" w:hAnsi="Book Antiqua" w:cs="Book Antiqua"/>
          <w:color w:val="000000" w:themeColor="text1"/>
        </w:rPr>
        <w:t>2020;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00" w:rsidRPr="00964900">
        <w:rPr>
          <w:rFonts w:ascii="Book Antiqua" w:eastAsia="Book Antiqua" w:hAnsi="Book Antiqua" w:cs="Book Antiqua"/>
          <w:color w:val="000000" w:themeColor="text1"/>
        </w:rPr>
        <w:t xml:space="preserve">8(24): </w:t>
      </w:r>
      <w:r w:rsidR="00276FCD" w:rsidRPr="00276FCD">
        <w:rPr>
          <w:rFonts w:ascii="Book Antiqua" w:eastAsia="Book Antiqua" w:hAnsi="Book Antiqua" w:cs="Book Antiqua"/>
          <w:color w:val="000000" w:themeColor="text1"/>
        </w:rPr>
        <w:t>6529-6536</w:t>
      </w:r>
      <w:r w:rsidR="00964900" w:rsidRPr="00964900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6C8749FC" w14:textId="7E26558A" w:rsidR="007C1064" w:rsidRDefault="00964900" w:rsidP="00E33E7F">
      <w:pPr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C1064">
        <w:rPr>
          <w:rFonts w:ascii="Book Antiqua" w:eastAsia="Book Antiqua" w:hAnsi="Book Antiqua" w:cs="Book Antiqua"/>
          <w:b/>
          <w:color w:val="000000" w:themeColor="text1"/>
        </w:rPr>
        <w:t>URL:</w:t>
      </w:r>
      <w:r w:rsidRPr="00964900">
        <w:rPr>
          <w:rFonts w:ascii="Book Antiqua" w:eastAsia="Book Antiqua" w:hAnsi="Book Antiqua" w:cs="Book Antiqua"/>
          <w:color w:val="000000" w:themeColor="text1"/>
        </w:rPr>
        <w:t xml:space="preserve"> https://www.wjgnet.com/2307-8960/full/v8/i24/</w:t>
      </w:r>
      <w:r w:rsidR="00DB18EC">
        <w:rPr>
          <w:rFonts w:ascii="Book Antiqua" w:hAnsi="Book Antiqua" w:cs="Book Antiqua" w:hint="eastAsia"/>
          <w:color w:val="000000" w:themeColor="text1"/>
          <w:lang w:eastAsia="zh-CN"/>
        </w:rPr>
        <w:t>6529</w:t>
      </w:r>
      <w:r w:rsidRPr="00964900">
        <w:rPr>
          <w:rFonts w:ascii="Book Antiqua" w:eastAsia="Book Antiqua" w:hAnsi="Book Antiqua" w:cs="Book Antiqua"/>
          <w:color w:val="000000" w:themeColor="text1"/>
        </w:rPr>
        <w:t xml:space="preserve">.htm  </w:t>
      </w:r>
    </w:p>
    <w:p w14:paraId="2BA9F12B" w14:textId="1D2E4096" w:rsidR="00A77B3E" w:rsidRPr="007A5E55" w:rsidRDefault="00964900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C1064">
        <w:rPr>
          <w:rFonts w:ascii="Book Antiqua" w:eastAsia="Book Antiqua" w:hAnsi="Book Antiqua" w:cs="Book Antiqua"/>
          <w:b/>
          <w:color w:val="000000" w:themeColor="text1"/>
        </w:rPr>
        <w:t>DOI:</w:t>
      </w:r>
      <w:r w:rsidRPr="00964900">
        <w:rPr>
          <w:rFonts w:ascii="Book Antiqua" w:eastAsia="Book Antiqua" w:hAnsi="Book Antiqua" w:cs="Book Antiqua"/>
          <w:color w:val="000000" w:themeColor="text1"/>
        </w:rPr>
        <w:t xml:space="preserve"> https://dx.doi.org/10.12998/wjcc.v8.i24.</w:t>
      </w:r>
      <w:r w:rsidR="007A5E55">
        <w:rPr>
          <w:rFonts w:ascii="Book Antiqua" w:hAnsi="Book Antiqua" w:cs="Book Antiqua" w:hint="eastAsia"/>
          <w:color w:val="000000" w:themeColor="text1"/>
          <w:lang w:eastAsia="zh-CN"/>
        </w:rPr>
        <w:t>6529</w:t>
      </w:r>
    </w:p>
    <w:p w14:paraId="3195CDF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0B8AA5" w14:textId="72FF9D9C" w:rsidR="00F9256F" w:rsidRPr="00E33E7F" w:rsidRDefault="0009179A" w:rsidP="00E33E7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</w:t>
      </w:r>
      <w:r w:rsidR="00CD24EE" w:rsidRPr="00E33E7F">
        <w:rPr>
          <w:rFonts w:ascii="Book Antiqua" w:eastAsia="Book Antiqua" w:hAnsi="Book Antiqua" w:cs="Book Antiqua"/>
          <w:color w:val="000000" w:themeColor="text1"/>
        </w:rPr>
        <w:t xml:space="preserve"> that 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life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threatening.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3F42" w:rsidRPr="00E33E7F">
        <w:rPr>
          <w:rFonts w:ascii="Book Antiqua" w:eastAsia="Book Antiqua" w:hAnsi="Book Antiqua" w:cs="Book Antiqua"/>
          <w:color w:val="000000" w:themeColor="text1"/>
        </w:rPr>
        <w:t>C</w:t>
      </w:r>
      <w:r w:rsidRPr="00E33E7F">
        <w:rPr>
          <w:rFonts w:ascii="Book Antiqua" w:eastAsia="Book Antiqua" w:hAnsi="Book Antiqua" w:cs="Book Antiqua"/>
          <w:color w:val="000000" w:themeColor="text1"/>
        </w:rPr>
        <w:t>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7F3F42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7F3F42" w:rsidRPr="00E33E7F">
        <w:rPr>
          <w:rFonts w:ascii="Book Antiqua" w:eastAsia="Book Antiqua" w:hAnsi="Book Antiqua" w:cs="Book Antiqua"/>
          <w:color w:val="000000" w:themeColor="text1"/>
        </w:rPr>
        <w:t>has not been reported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(EVT)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F162C">
        <w:rPr>
          <w:rFonts w:ascii="Book Antiqua" w:eastAsia="Book Antiqua" w:hAnsi="Book Antiqua" w:cs="Book Antiqua"/>
          <w:color w:val="000000" w:themeColor="text1"/>
        </w:rPr>
        <w:t>1-</w:t>
      </w:r>
      <w:r w:rsidRPr="00E33E7F">
        <w:rPr>
          <w:rFonts w:ascii="Book Antiqua" w:eastAsia="Book Antiqua" w:hAnsi="Book Antiqua" w:cs="Book Antiqua"/>
          <w:color w:val="000000" w:themeColor="text1"/>
        </w:rPr>
        <w:t>year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follow-up.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demonstrates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color w:val="000000" w:themeColor="text1"/>
        </w:rPr>
        <w:t>common femoral artery</w:t>
      </w:r>
      <w:r w:rsidR="00CD24EE" w:rsidRPr="00E33E7F" w:rsidDel="00CD24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CD24EE" w:rsidRPr="00E33E7F" w:rsidDel="00CD24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highlights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</w:p>
    <w:p w14:paraId="02BCC986" w14:textId="4BC6FAE2" w:rsidR="00A77B3E" w:rsidRPr="00E33E7F" w:rsidRDefault="00F9256F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br w:type="page"/>
      </w:r>
      <w:r w:rsidR="0009179A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1F8BB960" w14:textId="7F6C28B5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accounting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merely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0.8%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life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threatening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either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direct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commonly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 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hematogenous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spread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vessel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Streptococcus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pathogens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Excision,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debridement,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reconstruction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vessels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considered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standard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strategy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often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critical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both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acute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illness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remains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[1-3,6]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31B07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31B07" w:rsidRPr="00E33E7F">
        <w:rPr>
          <w:rFonts w:ascii="Book Antiqua" w:eastAsia="Book Antiqua" w:hAnsi="Book Antiqua" w:cs="Book Antiqua"/>
          <w:iCs/>
          <w:color w:val="000000" w:themeColor="text1"/>
        </w:rPr>
        <w:t>(</w:t>
      </w:r>
      <w:r w:rsidR="00331B07" w:rsidRPr="00E33E7F">
        <w:rPr>
          <w:rFonts w:ascii="Book Antiqua" w:eastAsia="Book Antiqua" w:hAnsi="Book Antiqua" w:cs="Book Antiqua"/>
          <w:i/>
          <w:iCs/>
          <w:color w:val="000000" w:themeColor="text1"/>
        </w:rPr>
        <w:t>K. pneumoniae</w:t>
      </w:r>
      <w:r w:rsidR="00331B07" w:rsidRPr="00E33E7F">
        <w:rPr>
          <w:rFonts w:ascii="Book Antiqua" w:eastAsia="Book Antiqua" w:hAnsi="Book Antiqua" w:cs="Book Antiqua"/>
          <w:iCs/>
          <w:color w:val="000000" w:themeColor="text1"/>
        </w:rPr>
        <w:t xml:space="preserve">)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acute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ischemia.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successfully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(EVT)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4E536B5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4A0D25" w14:textId="78ADAF8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40E74026" w14:textId="084726A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0294C774" w14:textId="614AC2E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79-year-old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emergency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department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sudden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E33E7F">
        <w:rPr>
          <w:rFonts w:ascii="Book Antiqua" w:eastAsia="Book Antiqua" w:hAnsi="Book Antiqua" w:cs="Book Antiqua"/>
          <w:color w:val="000000" w:themeColor="text1"/>
        </w:rPr>
        <w:t>occurred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pain.</w:t>
      </w:r>
    </w:p>
    <w:p w14:paraId="20B451DC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B5188D" w14:textId="58EF066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7E7BA978" w14:textId="67BFFFD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initially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chills,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dyspnea,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admitted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162C">
        <w:rPr>
          <w:rFonts w:ascii="Book Antiqua" w:eastAsia="Book Antiqua" w:hAnsi="Book Antiqua" w:cs="Book Antiqua"/>
          <w:color w:val="000000" w:themeColor="text1"/>
        </w:rPr>
        <w:t>1 mo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ago.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1A),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isolated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sputum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sensitive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ceftriaxone.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E1D" w:rsidRPr="00E33E7F">
        <w:rPr>
          <w:rFonts w:ascii="Book Antiqua" w:eastAsia="Book Antiqua" w:hAnsi="Book Antiqua" w:cs="Book Antiqua"/>
          <w:color w:val="000000" w:themeColor="text1"/>
        </w:rPr>
        <w:t xml:space="preserve">either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region,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ceftriaxone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administered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symptoms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rapidly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alleviated,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Two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weeks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trauma,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suddenly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occurred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pain.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Ultrasound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transferred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institution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immediately.</w:t>
      </w:r>
    </w:p>
    <w:p w14:paraId="69214F0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E20295" w14:textId="4D0667E8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2289E0B4" w14:textId="2C7B7A9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alcoholism,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heavy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smoker,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poorly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controlled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diabetes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mellitus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(DM)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hypertension.</w:t>
      </w:r>
    </w:p>
    <w:p w14:paraId="1E7E135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B7A732" w14:textId="6CF3CAD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Personal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51961FC6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Unremarkable.</w:t>
      </w:r>
    </w:p>
    <w:p w14:paraId="074DDD6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27BAC" w14:textId="061B691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18BF607C" w14:textId="77504A6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Upon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admission,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temperature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39.0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6F" w:rsidRPr="00E33E7F">
        <w:rPr>
          <w:rFonts w:ascii="Book Antiqua" w:eastAsia="宋体" w:hAnsi="Book Antiqua"/>
          <w:color w:val="000000" w:themeColor="text1"/>
          <w:lang w:eastAsia="zh-CN"/>
        </w:rPr>
        <w:t>ºC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heart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117/min,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pressure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165/95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mmHg,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respiratory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27/min.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Physical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examination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cyanosis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disappeared,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tenderness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calf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detected.</w:t>
      </w:r>
    </w:p>
    <w:p w14:paraId="00E53736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83D500" w14:textId="58E9A3B6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008F5EA9" w14:textId="10F5D36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laboratory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yielded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leukocyte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18.7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E33E7F">
        <w:rPr>
          <w:rFonts w:ascii="Book Antiqua" w:eastAsia="Book Antiqua" w:hAnsi="Book Antiqua" w:cs="Book Antiqua"/>
          <w:color w:val="000000" w:themeColor="text1"/>
        </w:rPr>
        <w:t>/L,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C-reactive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protein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186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mg/L,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procalcitonin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0.62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ng/mL,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myoglobin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2300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ng/mL,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glucose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16.5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mmol/L,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glycated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hemoglobin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9.2%,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mmHg,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PCO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mmHg.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Repeat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sputum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noncontributory.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partial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catheter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isolated,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sensitive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ceftazidime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levofloxacin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(Table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1).</w:t>
      </w:r>
    </w:p>
    <w:p w14:paraId="172F2994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5ABE61" w14:textId="448A76B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Imaging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3F464347" w14:textId="67EF63D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>c</w:t>
      </w:r>
      <w:r w:rsidRPr="00E33E7F">
        <w:rPr>
          <w:rFonts w:ascii="Book Antiqua" w:eastAsia="Book Antiqua" w:hAnsi="Book Antiqua" w:cs="Book Antiqua"/>
          <w:color w:val="000000" w:themeColor="text1"/>
        </w:rPr>
        <w:t>hest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hAnsi="Book Antiqua"/>
          <w:color w:val="000000" w:themeColor="text1"/>
        </w:rPr>
        <w:t>computed 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2C6D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significantly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improved;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inflammatory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infiltration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both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lungs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2C6D" w:rsidRPr="00E33E7F">
        <w:rPr>
          <w:rFonts w:ascii="Book Antiqua" w:eastAsia="Book Antiqua" w:hAnsi="Book Antiqua" w:cs="Book Antiqua"/>
          <w:color w:val="000000" w:themeColor="text1"/>
        </w:rPr>
        <w:t xml:space="preserve">still </w:t>
      </w:r>
      <w:r w:rsidRPr="00E33E7F">
        <w:rPr>
          <w:rFonts w:ascii="Book Antiqua" w:eastAsia="Book Antiqua" w:hAnsi="Book Antiqua" w:cs="Book Antiqua"/>
          <w:color w:val="000000" w:themeColor="text1"/>
        </w:rPr>
        <w:t>present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1B).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(CTA)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F55E1D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(SFA)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(DFA)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echocardiogram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unremarkable.</w:t>
      </w:r>
    </w:p>
    <w:p w14:paraId="058FC73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D923B2" w14:textId="6E59B2F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603B6AC2" w14:textId="65D65BAA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spontaneous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</w:p>
    <w:p w14:paraId="627B817F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23C9FE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7308DB7A" w14:textId="6B876ECF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Considering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cardiorespiratory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repair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(OSR)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suitable.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ischemia,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emergency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anesthesia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performed.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achieved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pre-close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technique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(ProGlide;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Abbott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Vascular,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States).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Intraoperative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2439BF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39BF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SFA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3A).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little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catheter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Unfortunately,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compression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39BF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guidewires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passing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Thus,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achieved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SFA,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V-18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guidewire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(Boston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Scientific)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passed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proximal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guidewire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manipulated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antegrade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catheter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>3</w:t>
      </w:r>
      <w:r w:rsidRPr="00E33E7F">
        <w:rPr>
          <w:rFonts w:ascii="Book Antiqua" w:eastAsia="Book Antiqua" w:hAnsi="Book Antiqua" w:cs="Book Antiqua"/>
          <w:color w:val="000000" w:themeColor="text1"/>
        </w:rPr>
        <w:t>C).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pathway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established,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two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Viabahn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(Gore,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Flagstaff,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United States</w:t>
      </w:r>
      <w:r w:rsidRPr="00E33E7F">
        <w:rPr>
          <w:rFonts w:ascii="Book Antiqua" w:eastAsia="Book Antiqua" w:hAnsi="Book Antiqua" w:cs="Book Antiqua"/>
          <w:color w:val="000000" w:themeColor="text1"/>
        </w:rPr>
        <w:t>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deployed.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endoleaks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3D).</w:t>
      </w:r>
    </w:p>
    <w:p w14:paraId="35D8DF17" w14:textId="0379CAD3" w:rsidR="00A77B3E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When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transferred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empirical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ceftriaxone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given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suspicious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switched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ceftazidime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ceftazidime,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switched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levofloxacin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(0.5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g/d)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mo.</w:t>
      </w:r>
    </w:p>
    <w:p w14:paraId="5BF3544A" w14:textId="77777777" w:rsidR="00A77B3E" w:rsidRPr="00E33E7F" w:rsidRDefault="00A77B3E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20F57A0B" w14:textId="1AB04631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0457C5B3" w14:textId="00D6E7A6" w:rsidR="00A77B3E" w:rsidRPr="00E33E7F" w:rsidRDefault="0009179A" w:rsidP="00E33E7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postoperative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uneventful.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Bilateral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dorsalis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pedis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palpated.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Repeat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negative,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occurred.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month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inguinal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disappeared.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CTA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F162C">
        <w:rPr>
          <w:rFonts w:ascii="Book Antiqua" w:eastAsia="Book Antiqua" w:hAnsi="Book Antiqua" w:cs="Book Antiqua"/>
          <w:color w:val="000000" w:themeColor="text1"/>
        </w:rPr>
        <w:t>1-</w:t>
      </w:r>
      <w:r w:rsidRPr="00E33E7F">
        <w:rPr>
          <w:rFonts w:ascii="Book Antiqua" w:eastAsia="Book Antiqua" w:hAnsi="Book Antiqua" w:cs="Book Antiqua"/>
          <w:color w:val="000000" w:themeColor="text1"/>
        </w:rPr>
        <w:t>year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follow-up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absorbed;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outflow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endoleaks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timeline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>’</w:t>
      </w:r>
      <w:r w:rsidRPr="00E33E7F">
        <w:rPr>
          <w:rFonts w:ascii="Book Antiqua" w:eastAsia="Book Antiqua" w:hAnsi="Book Antiqua" w:cs="Book Antiqua"/>
          <w:color w:val="000000" w:themeColor="text1"/>
        </w:rPr>
        <w:t>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 xml:space="preserve">is outlined in </w:t>
      </w:r>
      <w:r w:rsidRPr="00E33E7F">
        <w:rPr>
          <w:rFonts w:ascii="Book Antiqua" w:eastAsia="Book Antiqua" w:hAnsi="Book Antiqua" w:cs="Book Antiqua"/>
          <w:color w:val="000000" w:themeColor="text1"/>
        </w:rPr>
        <w:t>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5.</w:t>
      </w:r>
    </w:p>
    <w:p w14:paraId="3648255E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E499D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CEAC3EE" w14:textId="7AECBB93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characterized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significant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morbidity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etiology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changing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66B5" w:rsidRPr="00E33E7F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E33E7F">
        <w:rPr>
          <w:rFonts w:ascii="Book Antiqua" w:eastAsia="Book Antiqua" w:hAnsi="Book Antiqua" w:cs="Book Antiqua"/>
          <w:color w:val="000000" w:themeColor="text1"/>
        </w:rPr>
        <w:t>septic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emboli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endocarditis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7312"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trauma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post-antibiotic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period.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circulating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directly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risk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factors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underlying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pathologies,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atherosclerotic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endothelial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dysfunction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[3,7,8]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factors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disrupt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integrity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vessel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hasten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intima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media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layers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predisposing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malignancy,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DM,</w:t>
      </w:r>
      <w:r w:rsidR="00B17312" w:rsidRPr="00E33E7F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immune-compromised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state,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Although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aortic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7312" w:rsidRPr="00E33E7F">
        <w:rPr>
          <w:rFonts w:ascii="Book Antiqua" w:eastAsia="Book Antiqua" w:hAnsi="Book Antiqua" w:cs="Book Antiqua"/>
          <w:color w:val="000000" w:themeColor="text1"/>
        </w:rPr>
        <w:t xml:space="preserve">varied </w:t>
      </w:r>
      <w:r w:rsidRPr="00E33E7F">
        <w:rPr>
          <w:rFonts w:ascii="Book Antiqua" w:eastAsia="Book Antiqua" w:hAnsi="Book Antiqua" w:cs="Book Antiqua"/>
          <w:color w:val="000000" w:themeColor="text1"/>
        </w:rPr>
        <w:t>considerably.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hemodynamics,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bifurcation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invaded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circulating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Therefore,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circulating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certain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cases.</w:t>
      </w:r>
    </w:p>
    <w:p w14:paraId="056B6EA3" w14:textId="7328F288" w:rsidR="00A77B3E" w:rsidRPr="00E33E7F" w:rsidRDefault="0009179A" w:rsidP="00E33E7F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Numerous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DD6442" w:rsidRPr="00E33E7F">
        <w:rPr>
          <w:rFonts w:ascii="Book Antiqua" w:eastAsia="Book Antiqua" w:hAnsi="Book Antiqua" w:cs="Book Antiqua"/>
          <w:i/>
          <w:iCs/>
          <w:color w:val="000000" w:themeColor="text1"/>
        </w:rPr>
        <w:t>taphylococcus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(30%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other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Streptococcus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(14%),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Salmonella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(10%),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normal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flora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human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mouth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intestine.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various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manifestations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intra-abdominal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tissue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[9,10]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risk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factor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exists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color w:val="000000" w:themeColor="text1"/>
        </w:rPr>
        <w:t>-associated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thoracic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abdominal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aortic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color w:val="000000" w:themeColor="text1"/>
        </w:rPr>
        <w:t>-associated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[9,11]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atherosclerosis,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isolated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within</w:t>
      </w:r>
      <w:r w:rsidR="00DD6442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evidence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demonstrated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DD6442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infection.</w:t>
      </w:r>
    </w:p>
    <w:p w14:paraId="0580095B" w14:textId="72F934E8" w:rsidR="00A77B3E" w:rsidRPr="00E33E7F" w:rsidRDefault="0009179A" w:rsidP="00E33E7F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perpetual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radical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debridement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excision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segments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surrounding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tissues,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ligation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revascularization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synthetic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autologous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Given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possibility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ischemia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ligation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alone,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revascularization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universally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accepted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foundation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situ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reconstruction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synthetic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autologous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leaves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susceptible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new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extra-anatomic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reconstruction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complex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operations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restore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natural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direction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ﬂow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hemorrhage-associated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approach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increase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likelihood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Compared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covered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minimally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procedure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Obviously,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for EVT for a high-risk surgical candidate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made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general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Therefore,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reasonable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choice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patient.</w:t>
      </w:r>
    </w:p>
    <w:p w14:paraId="1BF3ACFF" w14:textId="5D6F9753" w:rsidR="00A77B3E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described,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especially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risky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bridge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until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definitive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[4,5,12]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placement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environment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appropriate.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>.0</w:t>
      </w:r>
      <w:r w:rsidRPr="00E33E7F">
        <w:rPr>
          <w:rFonts w:ascii="Book Antiqua" w:eastAsia="Book Antiqua" w:hAnsi="Book Antiqua" w:cs="Book Antiqua"/>
          <w:color w:val="000000" w:themeColor="text1"/>
        </w:rPr>
        <w:t>%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early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5.5%,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higher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incidence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early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also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bifurcated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lesion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>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persistent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bleeding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perfusion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described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coil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embolization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although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technically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feasible,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increases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possibility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subsequent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abscess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formation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Fortunately,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original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already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occluded,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additional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dispose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compression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outflow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distortion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make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challenging.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assist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establishing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pathway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technique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widely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peripheral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also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reasonable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choice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[12,13]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</w:p>
    <w:p w14:paraId="21BA072A" w14:textId="77777777" w:rsidR="003F5439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Empirical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initiated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immediately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Subsequently,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susceptibility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testing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Microbiological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crucial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specimen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5439" w:rsidRPr="00E33E7F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difficult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obtain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make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etiology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difficult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method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feasible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determining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specific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involved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E406A4E" w14:textId="1D706904" w:rsidR="00A77B3E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controversial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2-wk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primary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optimal.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inadequate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first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second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episode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5439" w:rsidRPr="00E33E7F">
        <w:rPr>
          <w:rFonts w:ascii="Book Antiqua" w:eastAsia="Book Antiqua" w:hAnsi="Book Antiqua" w:cs="Book Antiqua"/>
          <w:color w:val="000000" w:themeColor="text1"/>
        </w:rPr>
        <w:t>wa</w:t>
      </w:r>
      <w:r w:rsidRPr="00E33E7F">
        <w:rPr>
          <w:rFonts w:ascii="Book Antiqua" w:eastAsia="Book Antiqua" w:hAnsi="Book Antiqua" w:cs="Book Antiqua"/>
          <w:color w:val="000000" w:themeColor="text1"/>
        </w:rPr>
        <w:t>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recommended.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persistence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indicated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least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needed,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administration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undergoing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[3,5,6]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subsequent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continued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EVT.</w:t>
      </w:r>
    </w:p>
    <w:p w14:paraId="383B30F7" w14:textId="77777777" w:rsidR="00A77B3E" w:rsidRPr="00E33E7F" w:rsidRDefault="00A77B3E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51D24CAB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BD42D44" w14:textId="2785D4F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usually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demonstrates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solution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lethal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suitable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alternative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traditional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5439" w:rsidRPr="00E33E7F">
        <w:rPr>
          <w:rFonts w:ascii="Book Antiqua" w:eastAsia="Book Antiqua" w:hAnsi="Book Antiqua" w:cs="Book Antiqua"/>
          <w:color w:val="000000" w:themeColor="text1"/>
        </w:rPr>
        <w:t>P</w:t>
      </w:r>
      <w:r w:rsidRPr="00E33E7F">
        <w:rPr>
          <w:rFonts w:ascii="Book Antiqua" w:eastAsia="Book Antiqua" w:hAnsi="Book Antiqua" w:cs="Book Antiqua"/>
          <w:color w:val="000000" w:themeColor="text1"/>
        </w:rPr>
        <w:t>rompt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pathogen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continued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also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crucial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undergoing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EVT.</w:t>
      </w:r>
    </w:p>
    <w:p w14:paraId="65D947D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A50D04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5F14877" w14:textId="7349A30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Zheng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Zheng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evaluation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covered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drug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abusers.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2018;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4460-4466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29344667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10.3892/mmr.2018.8431]</w:t>
      </w:r>
    </w:p>
    <w:p w14:paraId="7475DA4A" w14:textId="347EF56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Inaraja-Pérez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GC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Adoración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RC,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Jose-Antonio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Maria-Isabel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Irene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SV.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Bail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Solution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Urgent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Situation: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Embolization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epub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ahead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print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32768535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10.1016/j.avsg.2020.07.018]</w:t>
      </w:r>
    </w:p>
    <w:p w14:paraId="684439A6" w14:textId="61D15746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Hussain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Roche-Nagle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Salmonella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enteritidis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2013;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e24-e25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24421797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10.1155/2013/715609]</w:t>
      </w:r>
    </w:p>
    <w:p w14:paraId="1C647D62" w14:textId="23E0281F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Gooneratne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TD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Sriskantha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Wijeyaratne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mixed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2011;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325-327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23555472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10.3400/avd.cr.11.00018]</w:t>
      </w:r>
    </w:p>
    <w:p w14:paraId="562AD78A" w14:textId="3507DB4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Beckerman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Luo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X,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HW,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KQ,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Prosthetic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Bypass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Drug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Users: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Manifestation,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Prognosis.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epub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ahead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print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32634568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10.1016/j.avsg.2020.06.058]</w:t>
      </w:r>
    </w:p>
    <w:p w14:paraId="449BB927" w14:textId="61CD17F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Wooster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MD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Shames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2013;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470-473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23709271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10.1177/1538574413490838]</w:t>
      </w:r>
    </w:p>
    <w:p w14:paraId="251AD5DA" w14:textId="7EDAA43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Kocovski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Butany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Nair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Candida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albicans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injection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drug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user.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Cardiovasc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2014;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50-53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24012013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10.1016/j.carpath.2013.07.003]</w:t>
      </w:r>
    </w:p>
    <w:p w14:paraId="118AC704" w14:textId="1401ED3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Bowden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DJ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Hayes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Sadat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Choon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Cushing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literature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review.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2009;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163-167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19476750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10.2310/6670.2008.00060]</w:t>
      </w:r>
    </w:p>
    <w:p w14:paraId="1401AE7C" w14:textId="05501C5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9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Chuang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YC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MF,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hypermucoviscous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serotype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K54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sequence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type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29: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emerging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2013;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1041-1044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23508461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10.1007/s15010-013-0447-6]</w:t>
      </w:r>
    </w:p>
    <w:p w14:paraId="1F8F9035" w14:textId="7CA886C5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Chao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CM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KK,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PJ,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Yeh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TC.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2011;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2011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498545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23326694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10.1155/2011/498545]</w:t>
      </w:r>
    </w:p>
    <w:p w14:paraId="619C0DD4" w14:textId="7C4FA50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Hybrid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repair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complex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aortic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continued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literature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review.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2019;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98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e14330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30732155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10.1097/MD.0000000000014330]</w:t>
      </w:r>
    </w:p>
    <w:p w14:paraId="3ACB7048" w14:textId="5E496D4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Mehta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Chaudhuri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Ilioprofunda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Endobypass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Successfully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Post-Operative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Pseudo-Aneurysm.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EJVES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Short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2017;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9-12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28856325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10.1016/j.ejvssr.2016.11.001]</w:t>
      </w:r>
    </w:p>
    <w:p w14:paraId="299F5412" w14:textId="6459629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Zhuang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KH.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"SAFARI"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technique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peroneal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Cardiovasc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Intervent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2012;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927-931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22131120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10.1007/s00270-011-0297-5]</w:t>
      </w:r>
    </w:p>
    <w:p w14:paraId="60690F2D" w14:textId="77777777" w:rsidR="00422C02" w:rsidRPr="00E33E7F" w:rsidRDefault="00422C02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422C02" w:rsidRPr="00E33E7F" w:rsidSect="006369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782CFB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Footnotes</w:t>
      </w:r>
    </w:p>
    <w:p w14:paraId="526267C8" w14:textId="52C31AF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Informed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written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consent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obtained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publication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accompanying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images.</w:t>
      </w:r>
    </w:p>
    <w:p w14:paraId="2434524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443EFD" w14:textId="4E937C0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declare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conflict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03312C4E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D6F40" w14:textId="1EBDA33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Checklist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(2016),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prepared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Checklist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(2016).</w:t>
      </w:r>
    </w:p>
    <w:p w14:paraId="3721A59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DAA3AB" w14:textId="6B7E596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article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open-access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article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selected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in-house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editor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fully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peer-reviewed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external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reviewers.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distributed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accordance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Creative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Attribution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NonCommercial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BY-NC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4.0)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license,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permits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others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distribute,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remix,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adapt,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build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upon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work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non-commercially,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license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works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different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terms,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provided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original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work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properly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non-commercial.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See: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7EC59CBA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1A81F4" w14:textId="36B7C60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Unsolicited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3776" w:rsidRPr="00E33E7F">
        <w:rPr>
          <w:rFonts w:ascii="Book Antiqua" w:eastAsia="Book Antiqua" w:hAnsi="Book Antiqua" w:cs="Book Antiqua"/>
          <w:color w:val="000000" w:themeColor="text1"/>
        </w:rPr>
        <w:t>m</w:t>
      </w:r>
      <w:r w:rsidRPr="00E33E7F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59F86D8B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8F49BC" w14:textId="6A78F01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September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25,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560C7BC6" w14:textId="048CA6A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October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18,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37F549E6" w14:textId="1DB7DA4F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F5ABE" w:rsidRPr="00E33E7F">
        <w:rPr>
          <w:rFonts w:ascii="Book Antiqua" w:eastAsia="Book Antiqua" w:hAnsi="Book Antiqua" w:cs="Book Antiqua"/>
          <w:color w:val="000000" w:themeColor="text1"/>
        </w:rPr>
        <w:t>November 2, 2020</w:t>
      </w:r>
    </w:p>
    <w:p w14:paraId="5820D6C4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DC11B7" w14:textId="3C8CF18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Peripheral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AE4" w:rsidRPr="00E33E7F">
        <w:rPr>
          <w:rFonts w:ascii="Book Antiqua" w:eastAsia="Book Antiqua" w:hAnsi="Book Antiqua" w:cs="Book Antiqua"/>
          <w:color w:val="000000" w:themeColor="text1"/>
        </w:rPr>
        <w:t>vascular disease</w:t>
      </w:r>
    </w:p>
    <w:p w14:paraId="5BA084A0" w14:textId="20EE6F3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</w:p>
    <w:p w14:paraId="380CE4BD" w14:textId="0CD298F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1AFEEBD" w14:textId="52521CE8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(Excellent):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3566BED3" w14:textId="660CD5FA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good):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</w:t>
      </w:r>
    </w:p>
    <w:p w14:paraId="41B36949" w14:textId="755F6771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(Good):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1ADAFE0C" w14:textId="6B7CF423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(Fair):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5E50D4BF" w14:textId="63D6F1D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(Poor):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5DFE7AAD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53025" w14:textId="74A94C12" w:rsidR="00422C02" w:rsidRDefault="0009179A" w:rsidP="00E33E7F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Tanabe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3C01" w:rsidRPr="00E33E7F">
        <w:rPr>
          <w:rFonts w:ascii="Book Antiqua" w:eastAsia="Book Antiqua" w:hAnsi="Book Antiqua" w:cs="Book Antiqua"/>
          <w:color w:val="000000" w:themeColor="text1"/>
        </w:rPr>
        <w:t>M</w:t>
      </w:r>
      <w:r w:rsidR="00674B46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92730" w:rsidRPr="00E33E7F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A454D" w:rsidRPr="008A454D">
        <w:rPr>
          <w:rFonts w:ascii="Book Antiqua" w:hAnsi="Book Antiqua" w:cs="Book Antiqua" w:hint="eastAsia"/>
          <w:color w:val="000000" w:themeColor="text1"/>
          <w:lang w:eastAsia="zh-CN"/>
        </w:rPr>
        <w:t>Li JH</w:t>
      </w:r>
    </w:p>
    <w:p w14:paraId="1DD8350B" w14:textId="77777777" w:rsidR="008A454D" w:rsidRPr="008A454D" w:rsidRDefault="008A454D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8A454D" w:rsidRPr="008A454D" w:rsidSect="006369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4A121" w14:textId="33AC9C02" w:rsidR="00A77B3E" w:rsidRPr="00E33E7F" w:rsidRDefault="0009179A" w:rsidP="00E33E7F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460C95D6" w14:textId="77777777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E33E7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1CC5C80E" wp14:editId="6A9890F5">
            <wp:extent cx="5274310" cy="2002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1B7D" w14:textId="30803B22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1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Findings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of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chest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computed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tomography.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2046F" w:rsidRPr="00E33E7F">
        <w:rPr>
          <w:rFonts w:ascii="Book Antiqua" w:hAnsi="Book Antiqua"/>
          <w:color w:val="000000" w:themeColor="text1"/>
        </w:rPr>
        <w:t>A: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Three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weeks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before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patient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transferred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our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hospital,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chest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computed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tomography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showed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pulmonary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consolidation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pleural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effusion</w:t>
      </w:r>
      <w:r w:rsidR="0012046F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12046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Upon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admission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our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hospital,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chest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0040CF" w:rsidRPr="00E33E7F">
        <w:rPr>
          <w:rFonts w:ascii="Book Antiqua" w:hAnsi="Book Antiqua"/>
          <w:color w:val="000000" w:themeColor="text1"/>
        </w:rPr>
        <w:t>computed tomography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showed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that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pulmonary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infection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had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alleviated,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but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some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inflammatory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infiltrations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present.</w:t>
      </w:r>
    </w:p>
    <w:p w14:paraId="1C748811" w14:textId="06F32B2D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  <w:r w:rsidRPr="00E33E7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9FDF8F7" wp14:editId="1F452680">
            <wp:extent cx="3699711" cy="4031673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54" cy="40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BF2E" w14:textId="00F5CAA4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12046F" w:rsidRPr="00E33E7F">
        <w:rPr>
          <w:rFonts w:ascii="Book Antiqua" w:hAnsi="Book Antiqua"/>
          <w:b/>
          <w:bCs/>
          <w:color w:val="000000" w:themeColor="text1"/>
        </w:rPr>
        <w:t>2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Preoperative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computed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tomography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angiography.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12046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pseudoaneurysm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of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common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compressed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distal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outflow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tract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(white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arrow)</w:t>
      </w:r>
      <w:r w:rsidR="0012046F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12046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Occlusion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of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superficial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deep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artery.</w:t>
      </w:r>
    </w:p>
    <w:p w14:paraId="0E771ABC" w14:textId="7A72F694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  <w:r w:rsidRPr="00E33E7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3AE2BF43" wp14:editId="27D0411D">
            <wp:extent cx="5274310" cy="29914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5BAB" w14:textId="49CD3ABB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3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Intraoperative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digital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subtraction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angiography.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BA6E5E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Guidewires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cannot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pass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through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occlusion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lesion</w:t>
      </w:r>
      <w:r w:rsidR="00BA6E5E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2439B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Retrograde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access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achieved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superficial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</w:t>
      </w:r>
      <w:r w:rsidR="00BA6E5E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</w:t>
      </w:r>
      <w:r w:rsidR="00BA6E5E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Pathway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established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i/>
          <w:iCs/>
          <w:color w:val="000000" w:themeColor="text1"/>
        </w:rPr>
        <w:t>via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“SAFARI”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technique</w:t>
      </w:r>
      <w:r w:rsidR="00BA6E5E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</w:t>
      </w:r>
      <w:r w:rsidR="00BA6E5E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After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stent–grafts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deployed,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stent–grafts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distal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outflow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tract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patent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without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endoleaks.</w:t>
      </w:r>
    </w:p>
    <w:p w14:paraId="3B4E5988" w14:textId="0B9895FC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  <w:r w:rsidRPr="00E33E7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B5EABDB" wp14:editId="79F3E4D8">
            <wp:extent cx="2667000" cy="3160201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88E7" w14:textId="3F5212D1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4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Computed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tomography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angiography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at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b/>
          <w:bCs/>
          <w:color w:val="000000" w:themeColor="text1"/>
        </w:rPr>
        <w:t xml:space="preserve">the </w:t>
      </w:r>
      <w:r w:rsidR="00EF162C">
        <w:rPr>
          <w:rFonts w:ascii="Book Antiqua" w:hAnsi="Book Antiqua"/>
          <w:b/>
          <w:bCs/>
          <w:color w:val="000000" w:themeColor="text1"/>
        </w:rPr>
        <w:t>1-</w:t>
      </w:r>
      <w:r w:rsidRPr="00E33E7F">
        <w:rPr>
          <w:rFonts w:ascii="Book Antiqua" w:hAnsi="Book Antiqua"/>
          <w:b/>
          <w:bCs/>
          <w:color w:val="000000" w:themeColor="text1"/>
        </w:rPr>
        <w:t>year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follow-up.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AA58AC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Stent–grafts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patent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without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endoleaks</w:t>
      </w:r>
      <w:r w:rsidR="00AA58AC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</w:t>
      </w:r>
      <w:r w:rsidR="00AA58AC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color w:val="000000" w:themeColor="text1"/>
        </w:rPr>
        <w:t>The p</w:t>
      </w:r>
      <w:r w:rsidRPr="00E33E7F">
        <w:rPr>
          <w:rFonts w:ascii="Book Antiqua" w:hAnsi="Book Antiqua"/>
          <w:color w:val="000000" w:themeColor="text1"/>
        </w:rPr>
        <w:t>revious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surrounding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hematoma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completely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absorbed.</w:t>
      </w:r>
    </w:p>
    <w:p w14:paraId="036DA650" w14:textId="77777777" w:rsidR="00A92292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</w:p>
    <w:p w14:paraId="371EC904" w14:textId="5EC836AC" w:rsidR="004D105B" w:rsidRPr="00E33E7F" w:rsidRDefault="00AA58AC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12A1BA0B" wp14:editId="41E63D80">
            <wp:extent cx="6169953" cy="149068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13" cy="150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9DF3C" w14:textId="1DE6608A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50"/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5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Timeline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of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the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treatment.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CFA: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color w:val="000000" w:themeColor="text1"/>
        </w:rPr>
        <w:t>C</w:t>
      </w:r>
      <w:r w:rsidRPr="00E33E7F">
        <w:rPr>
          <w:rFonts w:ascii="Book Antiqua" w:hAnsi="Book Antiqua"/>
          <w:color w:val="000000" w:themeColor="text1"/>
        </w:rPr>
        <w:t>ommon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CTA: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Computed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tomography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angiography.</w:t>
      </w:r>
      <w:bookmarkEnd w:id="0"/>
    </w:p>
    <w:p w14:paraId="7C3F6C39" w14:textId="7AB6E38C" w:rsidR="00A77B3E" w:rsidRDefault="00A77B3E" w:rsidP="00E33E7F">
      <w:pPr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</w:p>
    <w:p w14:paraId="66DB51AF" w14:textId="77777777" w:rsidR="00F24A14" w:rsidRPr="001F5689" w:rsidRDefault="00F24A14" w:rsidP="00F24A14">
      <w:pPr>
        <w:rPr>
          <w:rFonts w:ascii="Book Antiqua" w:hAnsi="Book Antiqua"/>
          <w:b/>
          <w:bCs/>
        </w:rPr>
      </w:pPr>
      <w:r w:rsidRPr="001F5689">
        <w:rPr>
          <w:rFonts w:ascii="Book Antiqua" w:hAnsi="Book Antiqua"/>
          <w:b/>
          <w:bCs/>
        </w:rPr>
        <w:t xml:space="preserve">Table 1 </w:t>
      </w:r>
      <w:bookmarkStart w:id="1" w:name="OLE_LINK9"/>
      <w:r w:rsidRPr="001F5689">
        <w:rPr>
          <w:rFonts w:ascii="Book Antiqua" w:hAnsi="Book Antiqua"/>
          <w:b/>
          <w:bCs/>
        </w:rPr>
        <w:t>Antimicrobial susceptibility test</w:t>
      </w:r>
      <w:bookmarkEnd w:id="1"/>
      <w:r w:rsidRPr="001F5689">
        <w:rPr>
          <w:rFonts w:ascii="Book Antiqua" w:hAnsi="Book Antiqua"/>
          <w:b/>
          <w:bCs/>
        </w:rPr>
        <w:t xml:space="preserve"> result of hematoma within the pseudoaneurysm</w:t>
      </w:r>
    </w:p>
    <w:tbl>
      <w:tblPr>
        <w:tblStyle w:val="a9"/>
        <w:tblW w:w="8298" w:type="dxa"/>
        <w:tblLayout w:type="fixed"/>
        <w:tblLook w:val="04A0" w:firstRow="1" w:lastRow="0" w:firstColumn="1" w:lastColumn="0" w:noHBand="0" w:noVBand="1"/>
      </w:tblPr>
      <w:tblGrid>
        <w:gridCol w:w="2517"/>
        <w:gridCol w:w="1186"/>
        <w:gridCol w:w="1186"/>
        <w:gridCol w:w="1036"/>
        <w:gridCol w:w="1186"/>
        <w:gridCol w:w="1187"/>
      </w:tblGrid>
      <w:tr w:rsidR="00F24A14" w:rsidRPr="001F5689" w14:paraId="0EE8C88B" w14:textId="77777777" w:rsidTr="004A5271">
        <w:trPr>
          <w:trHeight w:val="274"/>
        </w:trPr>
        <w:tc>
          <w:tcPr>
            <w:tcW w:w="25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D9968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Antibiotics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702E0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Result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A2A7D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Sensitivity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0DF97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Method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028F91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Breakpoint</w:t>
            </w:r>
          </w:p>
        </w:tc>
      </w:tr>
      <w:tr w:rsidR="00F24A14" w:rsidRPr="001F5689" w14:paraId="3A8470AC" w14:textId="77777777" w:rsidTr="004A5271">
        <w:trPr>
          <w:trHeight w:val="234"/>
        </w:trPr>
        <w:tc>
          <w:tcPr>
            <w:tcW w:w="25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2BA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1EC9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43A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9AFD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9483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  <w:b/>
              </w:rPr>
            </w:pPr>
            <w:r w:rsidRPr="001F5689">
              <w:rPr>
                <w:rFonts w:ascii="Book Antiqua" w:hAnsi="Book Antiqua" w:cs="Times New Roman"/>
                <w:b/>
              </w:rPr>
              <w:t>R</w:t>
            </w:r>
          </w:p>
        </w:tc>
      </w:tr>
      <w:tr w:rsidR="00F24A14" w:rsidRPr="001F5689" w14:paraId="2D67A17F" w14:textId="77777777" w:rsidTr="004A5271">
        <w:trPr>
          <w:trHeight w:val="245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358A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Ampicillin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C637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32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0CEE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E6BB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2" w:name="OLE_LINK17"/>
            <w:r w:rsidRPr="001F5689">
              <w:rPr>
                <w:rFonts w:ascii="Book Antiqua" w:hAnsi="Book Antiqua" w:cs="Times New Roman"/>
              </w:rPr>
              <w:t>MIC</w:t>
            </w:r>
            <w:bookmarkEnd w:id="2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7A96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B487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32</w:t>
            </w:r>
          </w:p>
        </w:tc>
      </w:tr>
      <w:tr w:rsidR="00F24A14" w:rsidRPr="001F5689" w14:paraId="6857B810" w14:textId="77777777" w:rsidTr="004A5271">
        <w:trPr>
          <w:trHeight w:val="24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BAB5BA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Ampicillin/sulbactam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7E8F42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EEC7DF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1A99DA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3114A6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961647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3" w:name="OLE_LINK14"/>
            <w:r w:rsidRPr="001F5689">
              <w:rPr>
                <w:rFonts w:ascii="Book Antiqua" w:hAnsi="Book Antiqua" w:cs="Times New Roman"/>
              </w:rPr>
              <w:t>≥ 32</w:t>
            </w:r>
            <w:bookmarkEnd w:id="3"/>
          </w:p>
        </w:tc>
      </w:tr>
      <w:tr w:rsidR="00F24A14" w:rsidRPr="001F5689" w14:paraId="7CCFD3DA" w14:textId="77777777" w:rsidTr="004A5271">
        <w:trPr>
          <w:trHeight w:val="24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83D3CA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Ticarcillin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04D337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4" w:name="OLE_LINK13"/>
            <w:r w:rsidRPr="001F5689">
              <w:rPr>
                <w:rFonts w:ascii="Book Antiqua" w:hAnsi="Book Antiqua" w:cs="Times New Roman"/>
              </w:rPr>
              <w:t>≥ 128</w:t>
            </w:r>
            <w:bookmarkEnd w:id="4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CBBBFF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9C0EE0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978675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B209A6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5" w:name="OLE_LINK21"/>
            <w:r w:rsidRPr="001F5689">
              <w:rPr>
                <w:rFonts w:ascii="Book Antiqua" w:hAnsi="Book Antiqua" w:cs="Times New Roman"/>
              </w:rPr>
              <w:t>≥ 128</w:t>
            </w:r>
            <w:bookmarkEnd w:id="5"/>
          </w:p>
        </w:tc>
      </w:tr>
      <w:tr w:rsidR="00F24A14" w:rsidRPr="001F5689" w14:paraId="6BCE3DEF" w14:textId="77777777" w:rsidTr="004A5271">
        <w:trPr>
          <w:trHeight w:val="24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BFF571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Ticacillin/clavulanic acid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DBDFC9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C8F9C1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C63445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7429E3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1BC9C8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128</w:t>
            </w:r>
          </w:p>
        </w:tc>
      </w:tr>
      <w:tr w:rsidR="00F24A14" w:rsidRPr="001F5689" w14:paraId="78EF6182" w14:textId="77777777" w:rsidTr="004A5271">
        <w:trPr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22AF7E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Piperacillin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57633E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2B2524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E0C39F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618014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1F6177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6" w:name="OLE_LINK11"/>
            <w:r w:rsidRPr="001F5689">
              <w:rPr>
                <w:rFonts w:ascii="Book Antiqua" w:hAnsi="Book Antiqua" w:cs="Times New Roman"/>
              </w:rPr>
              <w:t>≥ 128</w:t>
            </w:r>
            <w:bookmarkEnd w:id="6"/>
          </w:p>
        </w:tc>
      </w:tr>
      <w:tr w:rsidR="00F24A14" w:rsidRPr="001F5689" w14:paraId="69831B0C" w14:textId="77777777" w:rsidTr="004A5271">
        <w:trPr>
          <w:trHeight w:val="3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27CAF4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Piperacillin/tazobactam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45D757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7" w:name="OLE_LINK12"/>
            <w:r w:rsidRPr="001F5689">
              <w:rPr>
                <w:rFonts w:ascii="Book Antiqua" w:hAnsi="Book Antiqua" w:cs="Times New Roman"/>
              </w:rPr>
              <w:t>≥ 128</w:t>
            </w:r>
            <w:bookmarkEnd w:id="7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070FA7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44F6E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5C0CFB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0EC6F9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128</w:t>
            </w:r>
          </w:p>
        </w:tc>
      </w:tr>
      <w:tr w:rsidR="00F24A14" w:rsidRPr="001F5689" w14:paraId="6833FE1B" w14:textId="77777777" w:rsidTr="004A5271">
        <w:trPr>
          <w:trHeight w:val="3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5B197F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Cefuroxime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91FBB3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15D263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D8EBBA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7C2DD8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9BA394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32</w:t>
            </w:r>
          </w:p>
        </w:tc>
      </w:tr>
      <w:tr w:rsidR="00F24A14" w:rsidRPr="001F5689" w14:paraId="3AEBCF9A" w14:textId="77777777" w:rsidTr="004A5271">
        <w:trPr>
          <w:trHeight w:val="28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DA83D2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Cefazolin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A3FF2B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24F2A9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223154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6F4979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0676DC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8</w:t>
            </w:r>
          </w:p>
        </w:tc>
      </w:tr>
      <w:tr w:rsidR="00F24A14" w:rsidRPr="001F5689" w14:paraId="25BAA12B" w14:textId="77777777" w:rsidTr="004A5271">
        <w:trPr>
          <w:trHeight w:val="27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3880C0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Cefalotin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542548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CB11BF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18B1F5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13EE89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56D860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8" w:name="OLE_LINK15"/>
            <w:bookmarkStart w:id="9" w:name="OLE_LINK16"/>
            <w:r w:rsidRPr="001F5689">
              <w:rPr>
                <w:rFonts w:ascii="Book Antiqua" w:hAnsi="Book Antiqua" w:cs="Times New Roman"/>
              </w:rPr>
              <w:t>≥ 32</w:t>
            </w:r>
            <w:bookmarkEnd w:id="8"/>
            <w:bookmarkEnd w:id="9"/>
          </w:p>
        </w:tc>
      </w:tr>
      <w:tr w:rsidR="00F24A14" w:rsidRPr="001F5689" w14:paraId="775AFB0C" w14:textId="77777777" w:rsidTr="004A5271">
        <w:trPr>
          <w:trHeight w:val="31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3C5A91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Ceftazidime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0F3BEB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1E8BF5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90110F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8F3F16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181B07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</w:tr>
      <w:tr w:rsidR="00F24A14" w:rsidRPr="001F5689" w14:paraId="4F88417C" w14:textId="77777777" w:rsidTr="004A5271">
        <w:trPr>
          <w:trHeight w:val="23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85E024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Ceftazidime/avibatan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98B496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F8C7B0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B59216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K-B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564109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ADC467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20</w:t>
            </w:r>
          </w:p>
        </w:tc>
      </w:tr>
      <w:tr w:rsidR="00F24A14" w:rsidRPr="001F5689" w14:paraId="4BD56683" w14:textId="77777777" w:rsidTr="004A5271">
        <w:trPr>
          <w:trHeight w:val="33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9450E5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Cefotaxime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944B0D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B421F7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2BF25B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A171B3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37B4A1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10" w:name="OLE_LINK18"/>
            <w:r w:rsidRPr="001F5689">
              <w:rPr>
                <w:rFonts w:ascii="Book Antiqua" w:hAnsi="Book Antiqua" w:cs="Times New Roman"/>
              </w:rPr>
              <w:t>≥ 4</w:t>
            </w:r>
            <w:bookmarkEnd w:id="10"/>
          </w:p>
        </w:tc>
      </w:tr>
      <w:tr w:rsidR="00F24A14" w:rsidRPr="001F5689" w14:paraId="62E08DA3" w14:textId="77777777" w:rsidTr="004A5271">
        <w:trPr>
          <w:trHeight w:val="23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4CA7E7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Ceftriaxone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763658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B3A463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5A41D3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401CF8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482396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11" w:name="OLE_LINK19"/>
            <w:r w:rsidRPr="001F5689">
              <w:rPr>
                <w:rFonts w:ascii="Book Antiqua" w:hAnsi="Book Antiqua" w:cs="Times New Roman"/>
              </w:rPr>
              <w:t>≥ 4</w:t>
            </w:r>
            <w:bookmarkEnd w:id="11"/>
          </w:p>
        </w:tc>
      </w:tr>
      <w:tr w:rsidR="00F24A14" w:rsidRPr="001F5689" w14:paraId="66D32765" w14:textId="77777777" w:rsidTr="004A5271">
        <w:trPr>
          <w:trHeight w:val="33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BA69E0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Cefepime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209370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690E22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F3FFCF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12" w:name="OLE_LINK20"/>
            <w:r w:rsidRPr="001F5689">
              <w:rPr>
                <w:rFonts w:ascii="Book Antiqua" w:hAnsi="Book Antiqua" w:cs="Times New Roman"/>
              </w:rPr>
              <w:t>MIC</w:t>
            </w:r>
            <w:bookmarkEnd w:id="12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4D8FFB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D7548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</w:tr>
      <w:tr w:rsidR="00F24A14" w:rsidRPr="001F5689" w14:paraId="0621A395" w14:textId="77777777" w:rsidTr="004A5271">
        <w:trPr>
          <w:trHeight w:val="36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D9B31C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Cefpodoxime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5D22C5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AFCA9A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062D0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9FA8E5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C341BF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8</w:t>
            </w:r>
          </w:p>
        </w:tc>
      </w:tr>
      <w:tr w:rsidR="00F24A14" w:rsidRPr="001F5689" w14:paraId="3A9B549C" w14:textId="77777777" w:rsidTr="004A5271">
        <w:trPr>
          <w:trHeight w:val="30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38D3E3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Aztreonam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C9932A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C38121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E1BFB9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290936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F736FF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13" w:name="OLE_LINK25"/>
            <w:r w:rsidRPr="001F5689">
              <w:rPr>
                <w:rFonts w:ascii="Book Antiqua" w:hAnsi="Book Antiqua" w:cs="Times New Roman"/>
              </w:rPr>
              <w:t>≥ 16</w:t>
            </w:r>
            <w:bookmarkEnd w:id="13"/>
          </w:p>
        </w:tc>
      </w:tr>
      <w:tr w:rsidR="00F24A14" w:rsidRPr="001F5689" w14:paraId="401C1F65" w14:textId="77777777" w:rsidTr="004A5271">
        <w:trPr>
          <w:trHeight w:val="28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409C48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Meropenem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5C46EE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BDFEFF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9065C6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412DA2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24870CC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4</w:t>
            </w:r>
          </w:p>
        </w:tc>
      </w:tr>
      <w:tr w:rsidR="00F24A14" w:rsidRPr="001F5689" w14:paraId="2A2F87CE" w14:textId="77777777" w:rsidTr="004A5271">
        <w:trPr>
          <w:trHeight w:val="299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1ED450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Imipenem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67CECA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18F08A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74C980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0724EA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C40BA1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14" w:name="OLE_LINK22"/>
            <w:r w:rsidRPr="001F5689">
              <w:rPr>
                <w:rFonts w:ascii="Book Antiqua" w:hAnsi="Book Antiqua" w:cs="Times New Roman"/>
              </w:rPr>
              <w:t>≥ 4</w:t>
            </w:r>
            <w:bookmarkEnd w:id="14"/>
          </w:p>
        </w:tc>
      </w:tr>
      <w:tr w:rsidR="00F24A14" w:rsidRPr="001F5689" w14:paraId="1ED5012C" w14:textId="77777777" w:rsidTr="004A5271">
        <w:trPr>
          <w:trHeight w:val="34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C79AAF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Gentamicin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2A0003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F3468C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8A4D31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6420A2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E8CE90B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</w:tr>
      <w:tr w:rsidR="00F24A14" w:rsidRPr="001F5689" w14:paraId="4E458CEF" w14:textId="77777777" w:rsidTr="004A5271">
        <w:trPr>
          <w:trHeight w:val="22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C9AB4F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Amikacin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61D92F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79B035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DBE7A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F52398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07687D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64</w:t>
            </w:r>
          </w:p>
        </w:tc>
      </w:tr>
      <w:tr w:rsidR="00F24A14" w:rsidRPr="001F5689" w14:paraId="17EEF50E" w14:textId="77777777" w:rsidTr="004A5271">
        <w:trPr>
          <w:trHeight w:val="31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D3C7A2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Ciprofloxacin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426EF0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4ACB69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0E65B0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04026D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0.25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81FD304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</w:t>
            </w:r>
          </w:p>
        </w:tc>
      </w:tr>
      <w:tr w:rsidR="00F24A14" w:rsidRPr="001F5689" w14:paraId="08BEA3BA" w14:textId="77777777" w:rsidTr="004A5271">
        <w:trPr>
          <w:trHeight w:val="28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53BE13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Levofloxacin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53AFD1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0.25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30CA24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6BAD48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8787BEF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0.5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1377CE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2</w:t>
            </w:r>
          </w:p>
        </w:tc>
      </w:tr>
      <w:tr w:rsidR="00F24A14" w:rsidRPr="001F5689" w14:paraId="6D392A3D" w14:textId="77777777" w:rsidTr="004A5271">
        <w:trPr>
          <w:trHeight w:val="35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49BBDD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bookmarkStart w:id="15" w:name="_Hlk54085797"/>
            <w:r w:rsidRPr="001F5689">
              <w:rPr>
                <w:rFonts w:ascii="Book Antiqua" w:hAnsi="Book Antiqua" w:cs="Times New Roman"/>
              </w:rPr>
              <w:t>Moxifloxacin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5CE751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C6FA01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5E7CC8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0E5F559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102385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4</w:t>
            </w:r>
          </w:p>
        </w:tc>
      </w:tr>
      <w:bookmarkEnd w:id="15"/>
      <w:tr w:rsidR="00F24A14" w:rsidRPr="001F5689" w14:paraId="617140AB" w14:textId="77777777" w:rsidTr="004A5271">
        <w:trPr>
          <w:trHeight w:val="27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51659E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Cotrimoxazole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584A50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CBACAE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5074BA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3EDF492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ACC7A0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4</w:t>
            </w:r>
          </w:p>
        </w:tc>
      </w:tr>
      <w:tr w:rsidR="00F24A14" w:rsidRPr="001F5689" w14:paraId="108F316E" w14:textId="77777777" w:rsidTr="004A5271">
        <w:trPr>
          <w:trHeight w:val="19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0CAC4D3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Polymyxin 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DEDB14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2B7272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7667ACE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182171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6BD8B2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4</w:t>
            </w:r>
          </w:p>
        </w:tc>
      </w:tr>
      <w:tr w:rsidR="00F24A14" w:rsidRPr="001F5689" w14:paraId="6606BFDD" w14:textId="77777777" w:rsidTr="004A5271">
        <w:trPr>
          <w:trHeight w:val="36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068048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Tetracycline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182986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A1D1D0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EE7FB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DA551F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A472297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16</w:t>
            </w:r>
          </w:p>
        </w:tc>
      </w:tr>
      <w:tr w:rsidR="00F24A14" w:rsidRPr="001F5689" w14:paraId="2C1CC576" w14:textId="77777777" w:rsidTr="004A5271">
        <w:trPr>
          <w:trHeight w:val="312"/>
        </w:trPr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FB664A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Tigecycline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8FF906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515AB5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11B171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MIC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D0EDCD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≤ 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3FC2B0" w14:textId="77777777" w:rsidR="00F24A14" w:rsidRPr="001F5689" w:rsidRDefault="00F24A14" w:rsidP="004A5271">
            <w:pPr>
              <w:jc w:val="center"/>
              <w:rPr>
                <w:rFonts w:ascii="Book Antiqua" w:hAnsi="Book Antiqua" w:cs="Times New Roman"/>
              </w:rPr>
            </w:pPr>
            <w:r w:rsidRPr="001F5689">
              <w:rPr>
                <w:rFonts w:ascii="Book Antiqua" w:hAnsi="Book Antiqua" w:cs="Times New Roman"/>
              </w:rPr>
              <w:t>≥ 8</w:t>
            </w:r>
          </w:p>
        </w:tc>
      </w:tr>
    </w:tbl>
    <w:p w14:paraId="66D00C71" w14:textId="77777777" w:rsidR="00F24A14" w:rsidRPr="001F5689" w:rsidRDefault="00F24A14" w:rsidP="00F24A14">
      <w:pPr>
        <w:rPr>
          <w:rFonts w:ascii="Book Antiqua" w:hAnsi="Book Antiqua"/>
        </w:rPr>
      </w:pPr>
      <w:r w:rsidRPr="001F5689">
        <w:rPr>
          <w:rFonts w:ascii="Book Antiqua" w:hAnsi="Book Antiqua"/>
        </w:rPr>
        <w:t>K-B: Kirby-Bauer technique; MIC: Minimal inhibitory concentration; R: Resistant; S: Sensitive.</w:t>
      </w:r>
    </w:p>
    <w:p w14:paraId="55D8482E" w14:textId="77777777" w:rsidR="00F24A14" w:rsidRPr="00F24A14" w:rsidRDefault="00F24A14" w:rsidP="00E33E7F">
      <w:pPr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bookmarkStart w:id="16" w:name="_GoBack"/>
      <w:bookmarkEnd w:id="16"/>
    </w:p>
    <w:sectPr w:rsidR="00F24A14" w:rsidRPr="00F24A14" w:rsidSect="0063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305B" w14:textId="77777777" w:rsidR="003548B8" w:rsidRDefault="003548B8" w:rsidP="00F1105B">
      <w:r>
        <w:separator/>
      </w:r>
    </w:p>
  </w:endnote>
  <w:endnote w:type="continuationSeparator" w:id="0">
    <w:p w14:paraId="63C3B87F" w14:textId="77777777" w:rsidR="003548B8" w:rsidRDefault="003548B8" w:rsidP="00F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63030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A95310C" w14:textId="3D1F36EF" w:rsidR="004F0945" w:rsidRPr="0063692F" w:rsidRDefault="004F0945" w:rsidP="004F0945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F094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33E7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548B8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3692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33E7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548B8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2E880D0" w14:textId="77777777" w:rsidR="004F0945" w:rsidRDefault="004F09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94DD" w14:textId="77777777" w:rsidR="003548B8" w:rsidRDefault="003548B8" w:rsidP="00F1105B">
      <w:r>
        <w:separator/>
      </w:r>
    </w:p>
  </w:footnote>
  <w:footnote w:type="continuationSeparator" w:id="0">
    <w:p w14:paraId="558CF9E8" w14:textId="77777777" w:rsidR="003548B8" w:rsidRDefault="003548B8" w:rsidP="00F1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BA9E1DF-4BD8-4F04-AAE7-A4D0E45E55C9}"/>
    <w:docVar w:name="KY_MEDREF_VERSION" w:val="3"/>
  </w:docVars>
  <w:rsids>
    <w:rsidRoot w:val="00A77B3E"/>
    <w:rsid w:val="000040CF"/>
    <w:rsid w:val="00005410"/>
    <w:rsid w:val="000078D7"/>
    <w:rsid w:val="00024179"/>
    <w:rsid w:val="00034F54"/>
    <w:rsid w:val="00041376"/>
    <w:rsid w:val="00060AE4"/>
    <w:rsid w:val="0009179A"/>
    <w:rsid w:val="00095678"/>
    <w:rsid w:val="000C793D"/>
    <w:rsid w:val="0012046F"/>
    <w:rsid w:val="001460F1"/>
    <w:rsid w:val="00152D0D"/>
    <w:rsid w:val="002439BF"/>
    <w:rsid w:val="002456AB"/>
    <w:rsid w:val="00252434"/>
    <w:rsid w:val="00276FCD"/>
    <w:rsid w:val="002902AF"/>
    <w:rsid w:val="002A1C75"/>
    <w:rsid w:val="002C7B86"/>
    <w:rsid w:val="00305BAB"/>
    <w:rsid w:val="00331B07"/>
    <w:rsid w:val="00352D67"/>
    <w:rsid w:val="003548B8"/>
    <w:rsid w:val="00392730"/>
    <w:rsid w:val="003B4F13"/>
    <w:rsid w:val="003F5439"/>
    <w:rsid w:val="00422C02"/>
    <w:rsid w:val="00443776"/>
    <w:rsid w:val="00463C01"/>
    <w:rsid w:val="004D105B"/>
    <w:rsid w:val="004E0B54"/>
    <w:rsid w:val="004F0945"/>
    <w:rsid w:val="004F470F"/>
    <w:rsid w:val="0063692F"/>
    <w:rsid w:val="00672560"/>
    <w:rsid w:val="00674B46"/>
    <w:rsid w:val="006868AD"/>
    <w:rsid w:val="006B1CD1"/>
    <w:rsid w:val="006D6EC5"/>
    <w:rsid w:val="006F7060"/>
    <w:rsid w:val="00703E02"/>
    <w:rsid w:val="00714E2A"/>
    <w:rsid w:val="00764FE1"/>
    <w:rsid w:val="007A5E55"/>
    <w:rsid w:val="007C1064"/>
    <w:rsid w:val="007F3F42"/>
    <w:rsid w:val="008A454D"/>
    <w:rsid w:val="008C539C"/>
    <w:rsid w:val="008C5A14"/>
    <w:rsid w:val="008D0CE2"/>
    <w:rsid w:val="008D75DF"/>
    <w:rsid w:val="008E49CF"/>
    <w:rsid w:val="00963798"/>
    <w:rsid w:val="00964900"/>
    <w:rsid w:val="00975176"/>
    <w:rsid w:val="0097536E"/>
    <w:rsid w:val="009A60B7"/>
    <w:rsid w:val="009C6148"/>
    <w:rsid w:val="009E0921"/>
    <w:rsid w:val="00A20FB1"/>
    <w:rsid w:val="00A2227C"/>
    <w:rsid w:val="00A77B3E"/>
    <w:rsid w:val="00A92292"/>
    <w:rsid w:val="00AA58AC"/>
    <w:rsid w:val="00AA6698"/>
    <w:rsid w:val="00B01B53"/>
    <w:rsid w:val="00B17312"/>
    <w:rsid w:val="00B41A35"/>
    <w:rsid w:val="00B81020"/>
    <w:rsid w:val="00BA6E5E"/>
    <w:rsid w:val="00BB07D4"/>
    <w:rsid w:val="00BC0EE1"/>
    <w:rsid w:val="00BF1740"/>
    <w:rsid w:val="00C21E33"/>
    <w:rsid w:val="00CA2A55"/>
    <w:rsid w:val="00CD24EE"/>
    <w:rsid w:val="00CD3278"/>
    <w:rsid w:val="00CF2B9B"/>
    <w:rsid w:val="00D02C6D"/>
    <w:rsid w:val="00D23112"/>
    <w:rsid w:val="00DB18EC"/>
    <w:rsid w:val="00DB7BEC"/>
    <w:rsid w:val="00DC3128"/>
    <w:rsid w:val="00DD6442"/>
    <w:rsid w:val="00DF5ABE"/>
    <w:rsid w:val="00E33E7F"/>
    <w:rsid w:val="00EC1354"/>
    <w:rsid w:val="00EF162C"/>
    <w:rsid w:val="00F1105B"/>
    <w:rsid w:val="00F24A14"/>
    <w:rsid w:val="00F26DE0"/>
    <w:rsid w:val="00F55E1D"/>
    <w:rsid w:val="00F9256F"/>
    <w:rsid w:val="00FC66B5"/>
    <w:rsid w:val="00FD24E3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D105B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4D105B"/>
  </w:style>
  <w:style w:type="character" w:customStyle="1" w:styleId="Char">
    <w:name w:val="批注文字 Char"/>
    <w:basedOn w:val="a0"/>
    <w:link w:val="a4"/>
    <w:semiHidden/>
    <w:rsid w:val="004D105B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4D105B"/>
    <w:rPr>
      <w:b/>
      <w:bCs/>
    </w:rPr>
  </w:style>
  <w:style w:type="character" w:customStyle="1" w:styleId="Char0">
    <w:name w:val="批注主题 Char"/>
    <w:basedOn w:val="Char"/>
    <w:link w:val="a5"/>
    <w:semiHidden/>
    <w:rsid w:val="004D105B"/>
    <w:rPr>
      <w:b/>
      <w:bCs/>
      <w:sz w:val="24"/>
      <w:szCs w:val="24"/>
    </w:rPr>
  </w:style>
  <w:style w:type="paragraph" w:styleId="a6">
    <w:name w:val="Balloon Text"/>
    <w:basedOn w:val="a"/>
    <w:link w:val="Char1"/>
    <w:rsid w:val="004D105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D105B"/>
    <w:rPr>
      <w:sz w:val="18"/>
      <w:szCs w:val="18"/>
    </w:rPr>
  </w:style>
  <w:style w:type="paragraph" w:styleId="a7">
    <w:name w:val="header"/>
    <w:basedOn w:val="a"/>
    <w:link w:val="Char2"/>
    <w:unhideWhenUsed/>
    <w:rsid w:val="00F1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F1105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110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1105B"/>
    <w:rPr>
      <w:sz w:val="18"/>
      <w:szCs w:val="18"/>
    </w:rPr>
  </w:style>
  <w:style w:type="table" w:styleId="a9">
    <w:name w:val="Table Grid"/>
    <w:basedOn w:val="a1"/>
    <w:uiPriority w:val="39"/>
    <w:rsid w:val="00F24A14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D105B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4D105B"/>
  </w:style>
  <w:style w:type="character" w:customStyle="1" w:styleId="Char">
    <w:name w:val="批注文字 Char"/>
    <w:basedOn w:val="a0"/>
    <w:link w:val="a4"/>
    <w:semiHidden/>
    <w:rsid w:val="004D105B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4D105B"/>
    <w:rPr>
      <w:b/>
      <w:bCs/>
    </w:rPr>
  </w:style>
  <w:style w:type="character" w:customStyle="1" w:styleId="Char0">
    <w:name w:val="批注主题 Char"/>
    <w:basedOn w:val="Char"/>
    <w:link w:val="a5"/>
    <w:semiHidden/>
    <w:rsid w:val="004D105B"/>
    <w:rPr>
      <w:b/>
      <w:bCs/>
      <w:sz w:val="24"/>
      <w:szCs w:val="24"/>
    </w:rPr>
  </w:style>
  <w:style w:type="paragraph" w:styleId="a6">
    <w:name w:val="Balloon Text"/>
    <w:basedOn w:val="a"/>
    <w:link w:val="Char1"/>
    <w:rsid w:val="004D105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D105B"/>
    <w:rPr>
      <w:sz w:val="18"/>
      <w:szCs w:val="18"/>
    </w:rPr>
  </w:style>
  <w:style w:type="paragraph" w:styleId="a7">
    <w:name w:val="header"/>
    <w:basedOn w:val="a"/>
    <w:link w:val="Char2"/>
    <w:unhideWhenUsed/>
    <w:rsid w:val="00F1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F1105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110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1105B"/>
    <w:rPr>
      <w:sz w:val="18"/>
      <w:szCs w:val="18"/>
    </w:rPr>
  </w:style>
  <w:style w:type="table" w:styleId="a9">
    <w:name w:val="Table Grid"/>
    <w:basedOn w:val="a1"/>
    <w:uiPriority w:val="39"/>
    <w:rsid w:val="00F24A14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2020-11-02T04:03:00Z</dcterms:created>
  <dcterms:modified xsi:type="dcterms:W3CDTF">2020-12-24T12:59:00Z</dcterms:modified>
</cp:coreProperties>
</file>