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3CF7C" w14:textId="77777777" w:rsidR="00A77B3E" w:rsidRDefault="0029077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6FBB96B" w14:textId="77777777" w:rsidR="00A77B3E" w:rsidRDefault="0029077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59733</w:t>
      </w:r>
    </w:p>
    <w:p w14:paraId="5204EA9A" w14:textId="77777777" w:rsidR="00A77B3E" w:rsidRDefault="0029077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1A900A5" w14:textId="77777777" w:rsidR="00A77B3E" w:rsidRDefault="00A77B3E">
      <w:pPr>
        <w:spacing w:line="360" w:lineRule="auto"/>
        <w:jc w:val="both"/>
      </w:pPr>
    </w:p>
    <w:p w14:paraId="6B8A8697" w14:textId="4723FE7C" w:rsidR="00A77B3E" w:rsidRDefault="0029077E">
      <w:pPr>
        <w:spacing w:line="360" w:lineRule="auto"/>
        <w:jc w:val="both"/>
      </w:pPr>
      <w:r>
        <w:rPr>
          <w:rFonts w:ascii="Book Antiqua" w:eastAsia="Book Antiqua" w:hAnsi="Book Antiqua" w:cs="Book Antiqua"/>
          <w:b/>
          <w:color w:val="000000"/>
        </w:rPr>
        <w:t xml:space="preserve">Clinical cure and liver fibrosis reversal after postoperative antiviral combination therapy in </w:t>
      </w:r>
      <w:r w:rsidR="007D60EA" w:rsidRPr="007D60EA">
        <w:rPr>
          <w:rFonts w:ascii="Book Antiqua" w:eastAsia="Book Antiqua" w:hAnsi="Book Antiqua" w:cs="Book Antiqua"/>
          <w:b/>
          <w:color w:val="000000"/>
        </w:rPr>
        <w:t>hepatitis B</w:t>
      </w:r>
      <w:r>
        <w:rPr>
          <w:rFonts w:ascii="Book Antiqua" w:eastAsia="Book Antiqua" w:hAnsi="Book Antiqua" w:cs="Book Antiqua"/>
          <w:b/>
          <w:color w:val="000000"/>
        </w:rPr>
        <w:t xml:space="preserve">-associated non-cirrhotic hepatocellular carcinoma: </w:t>
      </w:r>
      <w:r w:rsidR="007D60EA">
        <w:rPr>
          <w:rFonts w:ascii="Book Antiqua" w:eastAsia="Book Antiqua" w:hAnsi="Book Antiqua" w:cs="Book Antiqua"/>
          <w:b/>
          <w:color w:val="000000"/>
        </w:rPr>
        <w:t xml:space="preserve">A </w:t>
      </w:r>
      <w:r>
        <w:rPr>
          <w:rFonts w:ascii="Book Antiqua" w:eastAsia="Book Antiqua" w:hAnsi="Book Antiqua" w:cs="Book Antiqua"/>
          <w:b/>
          <w:color w:val="000000"/>
        </w:rPr>
        <w:t>case report</w:t>
      </w:r>
    </w:p>
    <w:p w14:paraId="3C5A4817" w14:textId="77777777" w:rsidR="00A77B3E" w:rsidRDefault="00A77B3E">
      <w:pPr>
        <w:spacing w:line="360" w:lineRule="auto"/>
        <w:jc w:val="both"/>
      </w:pPr>
    </w:p>
    <w:p w14:paraId="6E8C704C" w14:textId="00F385F1" w:rsidR="00A77B3E" w:rsidRDefault="004560CD">
      <w:pPr>
        <w:spacing w:line="360" w:lineRule="auto"/>
        <w:jc w:val="both"/>
      </w:pPr>
      <w:r>
        <w:rPr>
          <w:rFonts w:ascii="Book Antiqua" w:eastAsia="Book Antiqua" w:hAnsi="Book Antiqua" w:cs="Book Antiqua"/>
          <w:color w:val="000000"/>
        </w:rPr>
        <w:t xml:space="preserve">Yu XP </w:t>
      </w:r>
      <w:r w:rsidRPr="004560C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9077E">
        <w:rPr>
          <w:rFonts w:ascii="Book Antiqua" w:eastAsia="Book Antiqua" w:hAnsi="Book Antiqua" w:cs="Book Antiqua"/>
          <w:color w:val="000000"/>
        </w:rPr>
        <w:t>Postoperative antiviral combination therapy</w:t>
      </w:r>
    </w:p>
    <w:p w14:paraId="1CBCFA90" w14:textId="77777777" w:rsidR="00A77B3E" w:rsidRDefault="00A77B3E">
      <w:pPr>
        <w:spacing w:line="360" w:lineRule="auto"/>
        <w:jc w:val="both"/>
      </w:pPr>
    </w:p>
    <w:p w14:paraId="18E52FF8" w14:textId="77777777" w:rsidR="00A77B3E" w:rsidRDefault="0029077E">
      <w:pPr>
        <w:spacing w:line="360" w:lineRule="auto"/>
        <w:jc w:val="both"/>
      </w:pPr>
      <w:r>
        <w:rPr>
          <w:rFonts w:ascii="Book Antiqua" w:eastAsia="Book Antiqua" w:hAnsi="Book Antiqua" w:cs="Book Antiqua"/>
          <w:color w:val="000000"/>
        </w:rPr>
        <w:t>Xue-Ping Yu, Qi Lin, Zhi-Peng Huang, Wei-Shan Chen, Ming-Hui Zheng, Yi-Juan Zheng, Ju-Lan Li, Zhi-Jun Su</w:t>
      </w:r>
    </w:p>
    <w:p w14:paraId="2B6E05C7" w14:textId="77777777" w:rsidR="00A77B3E" w:rsidRDefault="00A77B3E">
      <w:pPr>
        <w:spacing w:line="360" w:lineRule="auto"/>
        <w:jc w:val="both"/>
      </w:pPr>
    </w:p>
    <w:p w14:paraId="36E05E1D" w14:textId="123B9878" w:rsidR="00A77B3E" w:rsidRDefault="0029077E">
      <w:pPr>
        <w:spacing w:line="360" w:lineRule="auto"/>
        <w:jc w:val="both"/>
      </w:pPr>
      <w:r>
        <w:rPr>
          <w:rFonts w:ascii="Book Antiqua" w:eastAsia="Book Antiqua" w:hAnsi="Book Antiqua" w:cs="Book Antiqua"/>
          <w:b/>
          <w:bCs/>
          <w:color w:val="000000"/>
        </w:rPr>
        <w:t>Xue-Ping Yu, Qi Lin, Ming-Hui Zheng,</w:t>
      </w:r>
      <w:r w:rsidR="00B01F63" w:rsidRPr="00B01F63">
        <w:rPr>
          <w:rFonts w:ascii="Book Antiqua" w:eastAsia="Book Antiqua" w:hAnsi="Book Antiqua" w:cs="Book Antiqua"/>
          <w:b/>
          <w:bCs/>
          <w:color w:val="000000"/>
        </w:rPr>
        <w:t xml:space="preserve"> </w:t>
      </w:r>
      <w:r w:rsidR="00B01F63">
        <w:rPr>
          <w:rFonts w:ascii="Book Antiqua" w:eastAsia="Book Antiqua" w:hAnsi="Book Antiqua" w:cs="Book Antiqua"/>
          <w:b/>
          <w:bCs/>
          <w:color w:val="000000"/>
        </w:rPr>
        <w:t>Yi-Juan Zheng,</w:t>
      </w:r>
      <w:r>
        <w:rPr>
          <w:rFonts w:ascii="Book Antiqua" w:eastAsia="Book Antiqua" w:hAnsi="Book Antiqua" w:cs="Book Antiqua"/>
          <w:b/>
          <w:bCs/>
          <w:color w:val="000000"/>
        </w:rPr>
        <w:t xml:space="preserve"> Ju-Lan Li, </w:t>
      </w:r>
      <w:r w:rsidR="00B01F63">
        <w:rPr>
          <w:rFonts w:ascii="Book Antiqua" w:eastAsia="Book Antiqua" w:hAnsi="Book Antiqua" w:cs="Book Antiqua"/>
          <w:b/>
          <w:bCs/>
          <w:color w:val="000000"/>
        </w:rPr>
        <w:t xml:space="preserve">Zhi-Jun Su, </w:t>
      </w:r>
      <w:r>
        <w:rPr>
          <w:rFonts w:ascii="Book Antiqua" w:eastAsia="Book Antiqua" w:hAnsi="Book Antiqua" w:cs="Book Antiqua"/>
          <w:color w:val="000000"/>
        </w:rPr>
        <w:t>Department of Infection Disease</w:t>
      </w:r>
      <w:r w:rsidR="007F493C">
        <w:rPr>
          <w:rFonts w:ascii="Book Antiqua" w:eastAsia="Book Antiqua" w:hAnsi="Book Antiqua" w:cs="Book Antiqua"/>
          <w:color w:val="000000"/>
        </w:rPr>
        <w:t>s</w:t>
      </w:r>
      <w:r>
        <w:rPr>
          <w:rFonts w:ascii="Book Antiqua" w:eastAsia="Book Antiqua" w:hAnsi="Book Antiqua" w:cs="Book Antiqua"/>
          <w:color w:val="000000"/>
        </w:rPr>
        <w:t xml:space="preserve">, </w:t>
      </w:r>
      <w:r w:rsidR="00B801E4" w:rsidRPr="00B801E4">
        <w:rPr>
          <w:rFonts w:ascii="Book Antiqua" w:eastAsia="Book Antiqua" w:hAnsi="Book Antiqua" w:cs="Book Antiqua"/>
          <w:color w:val="000000"/>
        </w:rPr>
        <w:t>First Hospital of Quanzhou Affiliated to Fujian Medical University</w:t>
      </w:r>
      <w:r>
        <w:rPr>
          <w:rFonts w:ascii="Book Antiqua" w:eastAsia="Book Antiqua" w:hAnsi="Book Antiqua" w:cs="Book Antiqua"/>
          <w:color w:val="000000"/>
        </w:rPr>
        <w:t>, Quanzhou 362000, Fujian Province, China</w:t>
      </w:r>
    </w:p>
    <w:p w14:paraId="58874890" w14:textId="77777777" w:rsidR="00A77B3E" w:rsidRDefault="00A77B3E">
      <w:pPr>
        <w:spacing w:line="360" w:lineRule="auto"/>
        <w:jc w:val="both"/>
      </w:pPr>
    </w:p>
    <w:p w14:paraId="58F7A7D5" w14:textId="5A6D743D" w:rsidR="00A77B3E" w:rsidRDefault="0029077E">
      <w:pPr>
        <w:spacing w:line="360" w:lineRule="auto"/>
        <w:jc w:val="both"/>
      </w:pPr>
      <w:r>
        <w:rPr>
          <w:rFonts w:ascii="Book Antiqua" w:eastAsia="Book Antiqua" w:hAnsi="Book Antiqua" w:cs="Book Antiqua"/>
          <w:b/>
          <w:bCs/>
          <w:color w:val="000000"/>
        </w:rPr>
        <w:t xml:space="preserve">Zhi-Peng Huang, </w:t>
      </w:r>
      <w:r>
        <w:rPr>
          <w:rFonts w:ascii="Book Antiqua" w:eastAsia="Book Antiqua" w:hAnsi="Book Antiqua" w:cs="Book Antiqua"/>
          <w:color w:val="000000"/>
        </w:rPr>
        <w:t xml:space="preserve">Department of Gastroenterology, </w:t>
      </w:r>
      <w:r w:rsidR="00B801E4" w:rsidRPr="00B801E4">
        <w:rPr>
          <w:rFonts w:ascii="Book Antiqua" w:eastAsia="Book Antiqua" w:hAnsi="Book Antiqua" w:cs="Book Antiqua"/>
          <w:color w:val="000000"/>
        </w:rPr>
        <w:t>First Hospital of Quanzhou Affiliated to Fujian Medical University</w:t>
      </w:r>
      <w:r>
        <w:rPr>
          <w:rFonts w:ascii="Book Antiqua" w:eastAsia="Book Antiqua" w:hAnsi="Book Antiqua" w:cs="Book Antiqua"/>
          <w:color w:val="000000"/>
        </w:rPr>
        <w:t>, Quanzhou 362000, Fujian Province, China</w:t>
      </w:r>
    </w:p>
    <w:p w14:paraId="2FEE8952" w14:textId="77777777" w:rsidR="00A77B3E" w:rsidRDefault="00A77B3E">
      <w:pPr>
        <w:spacing w:line="360" w:lineRule="auto"/>
        <w:jc w:val="both"/>
      </w:pPr>
    </w:p>
    <w:p w14:paraId="6D16DAB0" w14:textId="61B4E9E2" w:rsidR="00A77B3E" w:rsidRDefault="0029077E">
      <w:pPr>
        <w:spacing w:line="360" w:lineRule="auto"/>
        <w:jc w:val="both"/>
      </w:pPr>
      <w:r>
        <w:rPr>
          <w:rFonts w:ascii="Book Antiqua" w:eastAsia="Book Antiqua" w:hAnsi="Book Antiqua" w:cs="Book Antiqua"/>
          <w:b/>
          <w:bCs/>
          <w:color w:val="000000"/>
        </w:rPr>
        <w:t xml:space="preserve">Wei-Shan Chen, </w:t>
      </w:r>
      <w:r>
        <w:rPr>
          <w:rFonts w:ascii="Book Antiqua" w:eastAsia="Book Antiqua" w:hAnsi="Book Antiqua" w:cs="Book Antiqua"/>
          <w:color w:val="000000"/>
        </w:rPr>
        <w:t xml:space="preserve">Department of Pathology, </w:t>
      </w:r>
      <w:r w:rsidR="00B801E4" w:rsidRPr="00B801E4">
        <w:rPr>
          <w:rFonts w:ascii="Book Antiqua" w:eastAsia="Book Antiqua" w:hAnsi="Book Antiqua" w:cs="Book Antiqua"/>
          <w:color w:val="000000"/>
        </w:rPr>
        <w:t>First Hospital of Quanzhou Affiliated to Fujian Medical University</w:t>
      </w:r>
      <w:r>
        <w:rPr>
          <w:rFonts w:ascii="Book Antiqua" w:eastAsia="Book Antiqua" w:hAnsi="Book Antiqua" w:cs="Book Antiqua"/>
          <w:color w:val="000000"/>
        </w:rPr>
        <w:t>, Quanzhou 362000, Fujian Province, China</w:t>
      </w:r>
    </w:p>
    <w:p w14:paraId="20D09238" w14:textId="77777777" w:rsidR="00A77B3E" w:rsidRDefault="00A77B3E">
      <w:pPr>
        <w:spacing w:line="360" w:lineRule="auto"/>
        <w:jc w:val="both"/>
      </w:pPr>
    </w:p>
    <w:p w14:paraId="136486A9" w14:textId="4094CA35" w:rsidR="00A77B3E" w:rsidRDefault="0029077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Yu XP, Lin Q, and Su ZJ performed the postoperative evaluation and diagnosis; Huang ZP and Chen WS pathologically diagnosed the tissue; Zheng MH collected the medical data; Yu XP and Su ZJ reviewed the literature and contributed to manuscript drafting; </w:t>
      </w:r>
      <w:r w:rsidR="00B96393" w:rsidRPr="00B96393">
        <w:rPr>
          <w:rFonts w:ascii="Book Antiqua" w:eastAsia="Book Antiqua" w:hAnsi="Book Antiqua" w:cs="Book Antiqua"/>
          <w:color w:val="000000"/>
        </w:rPr>
        <w:t>Yu XP and Huang ZP contributed equally to this article</w:t>
      </w:r>
      <w:r w:rsidR="00B96393">
        <w:rPr>
          <w:rFonts w:ascii="Book Antiqua" w:eastAsia="Book Antiqua" w:hAnsi="Book Antiqua" w:cs="Book Antiqua"/>
          <w:color w:val="000000"/>
        </w:rPr>
        <w:t xml:space="preserve">; </w:t>
      </w:r>
      <w:r w:rsidR="005C6216">
        <w:rPr>
          <w:rFonts w:ascii="Book Antiqua" w:eastAsia="Book Antiqua" w:hAnsi="Book Antiqua" w:cs="Book Antiqua"/>
          <w:color w:val="000000"/>
        </w:rPr>
        <w:t xml:space="preserve">and </w:t>
      </w:r>
      <w:r>
        <w:rPr>
          <w:rFonts w:ascii="Book Antiqua" w:eastAsia="Book Antiqua" w:hAnsi="Book Antiqua" w:cs="Book Antiqua"/>
          <w:color w:val="000000"/>
        </w:rPr>
        <w:t>all authors issued final approval for the submitted version</w:t>
      </w:r>
      <w:r w:rsidR="005C6216">
        <w:rPr>
          <w:rFonts w:ascii="Book Antiqua" w:eastAsia="Book Antiqua" w:hAnsi="Book Antiqua" w:cs="Book Antiqua"/>
          <w:color w:val="000000"/>
        </w:rPr>
        <w:t>.</w:t>
      </w:r>
    </w:p>
    <w:p w14:paraId="128EB134" w14:textId="77777777" w:rsidR="00A77B3E" w:rsidRDefault="00A77B3E">
      <w:pPr>
        <w:spacing w:line="360" w:lineRule="auto"/>
        <w:jc w:val="both"/>
      </w:pPr>
    </w:p>
    <w:p w14:paraId="0730C706" w14:textId="59DB4515" w:rsidR="00A77B3E" w:rsidRDefault="0029077E">
      <w:pPr>
        <w:spacing w:line="360" w:lineRule="auto"/>
        <w:jc w:val="both"/>
      </w:pPr>
      <w:r>
        <w:rPr>
          <w:rFonts w:ascii="Book Antiqua" w:eastAsia="Book Antiqua" w:hAnsi="Book Antiqua" w:cs="Book Antiqua"/>
          <w:b/>
          <w:bCs/>
          <w:color w:val="000000"/>
        </w:rPr>
        <w:lastRenderedPageBreak/>
        <w:t xml:space="preserve">Supported by </w:t>
      </w:r>
      <w:r w:rsidRPr="005B2CE6">
        <w:rPr>
          <w:rFonts w:ascii="Book Antiqua" w:eastAsia="Book Antiqua" w:hAnsi="Book Antiqua" w:cs="Book Antiqua"/>
          <w:color w:val="000000"/>
        </w:rPr>
        <w:t>Natural Science Foundation of Fujian Province</w:t>
      </w:r>
      <w:r w:rsidR="005B2CE6">
        <w:rPr>
          <w:rFonts w:ascii="Book Antiqua" w:eastAsia="Book Antiqua" w:hAnsi="Book Antiqua" w:cs="Book Antiqua"/>
          <w:color w:val="000000"/>
        </w:rPr>
        <w:t xml:space="preserve">, No. </w:t>
      </w:r>
      <w:r w:rsidRPr="005B2CE6">
        <w:rPr>
          <w:rFonts w:ascii="Book Antiqua" w:eastAsia="Book Antiqua" w:hAnsi="Book Antiqua" w:cs="Book Antiqua"/>
          <w:color w:val="000000"/>
        </w:rPr>
        <w:t>2019J01593</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High-Level Talent Innovation Project of Quanzhou</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w:t>
      </w:r>
      <w:r w:rsidR="005B2CE6">
        <w:rPr>
          <w:rFonts w:ascii="Book Antiqua" w:eastAsia="Book Antiqua" w:hAnsi="Book Antiqua" w:cs="Book Antiqua"/>
          <w:color w:val="000000"/>
        </w:rPr>
        <w:t xml:space="preserve">No. </w:t>
      </w:r>
      <w:r w:rsidRPr="005B2CE6">
        <w:rPr>
          <w:rFonts w:ascii="Book Antiqua" w:eastAsia="Book Antiqua" w:hAnsi="Book Antiqua" w:cs="Book Antiqua"/>
          <w:color w:val="000000"/>
        </w:rPr>
        <w:t>2018C067R</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Science and Technology Innovation Joint Project of Fujian Province</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w:t>
      </w:r>
      <w:r w:rsidR="005B2CE6">
        <w:rPr>
          <w:rFonts w:ascii="Book Antiqua" w:eastAsia="Book Antiqua" w:hAnsi="Book Antiqua" w:cs="Book Antiqua"/>
          <w:color w:val="000000"/>
        </w:rPr>
        <w:t xml:space="preserve">No. </w:t>
      </w:r>
      <w:r w:rsidRPr="005B2CE6">
        <w:rPr>
          <w:rFonts w:ascii="Book Antiqua" w:eastAsia="Book Antiqua" w:hAnsi="Book Antiqua" w:cs="Book Antiqua"/>
          <w:color w:val="000000"/>
        </w:rPr>
        <w:t>2019Y9048</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Youth Research Project of Fujian Provincial Health Commission</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w:t>
      </w:r>
      <w:r w:rsidR="005B2CE6">
        <w:rPr>
          <w:rFonts w:ascii="Book Antiqua" w:eastAsia="Book Antiqua" w:hAnsi="Book Antiqua" w:cs="Book Antiqua"/>
          <w:color w:val="000000"/>
        </w:rPr>
        <w:t xml:space="preserve">No. </w:t>
      </w:r>
      <w:r w:rsidRPr="005B2CE6">
        <w:rPr>
          <w:rFonts w:ascii="Book Antiqua" w:eastAsia="Book Antiqua" w:hAnsi="Book Antiqua" w:cs="Book Antiqua"/>
          <w:color w:val="000000"/>
        </w:rPr>
        <w:t>2018-1-94</w:t>
      </w:r>
      <w:r w:rsidR="005B2CE6">
        <w:rPr>
          <w:rFonts w:ascii="Book Antiqua" w:eastAsia="Book Antiqua" w:hAnsi="Book Antiqua" w:cs="Book Antiqua"/>
          <w:color w:val="000000"/>
        </w:rPr>
        <w:t xml:space="preserve"> and</w:t>
      </w:r>
      <w:r w:rsidRPr="005B2CE6">
        <w:rPr>
          <w:rFonts w:ascii="Book Antiqua" w:eastAsia="Book Antiqua" w:hAnsi="Book Antiqua" w:cs="Book Antiqua"/>
          <w:color w:val="000000"/>
        </w:rPr>
        <w:t xml:space="preserve"> </w:t>
      </w:r>
      <w:r w:rsidR="005B2CE6">
        <w:rPr>
          <w:rFonts w:ascii="Book Antiqua" w:eastAsia="Book Antiqua" w:hAnsi="Book Antiqua" w:cs="Book Antiqua"/>
          <w:color w:val="000000"/>
        </w:rPr>
        <w:t xml:space="preserve">No. </w:t>
      </w:r>
      <w:r w:rsidRPr="005B2CE6">
        <w:rPr>
          <w:rFonts w:ascii="Book Antiqua" w:eastAsia="Book Antiqua" w:hAnsi="Book Antiqua" w:cs="Book Antiqua"/>
          <w:color w:val="000000"/>
        </w:rPr>
        <w:t>2018-1-95</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Science and Technology Project of Quanzhou</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w:t>
      </w:r>
      <w:r w:rsidR="005B2CE6">
        <w:rPr>
          <w:rFonts w:ascii="Book Antiqua" w:eastAsia="Book Antiqua" w:hAnsi="Book Antiqua" w:cs="Book Antiqua"/>
          <w:color w:val="000000"/>
        </w:rPr>
        <w:t xml:space="preserve">No. </w:t>
      </w:r>
      <w:r w:rsidRPr="005B2CE6">
        <w:rPr>
          <w:rFonts w:ascii="Book Antiqua" w:eastAsia="Book Antiqua" w:hAnsi="Book Antiqua" w:cs="Book Antiqua"/>
          <w:color w:val="000000"/>
        </w:rPr>
        <w:t>2018Z074</w:t>
      </w:r>
      <w:r w:rsidR="005B2CE6">
        <w:rPr>
          <w:rFonts w:ascii="Book Antiqua" w:eastAsia="Book Antiqua" w:hAnsi="Book Antiqua" w:cs="Book Antiqua"/>
          <w:color w:val="000000"/>
        </w:rPr>
        <w:t xml:space="preserve"> and</w:t>
      </w:r>
      <w:r w:rsidRPr="005B2CE6">
        <w:rPr>
          <w:rFonts w:ascii="Book Antiqua" w:eastAsia="Book Antiqua" w:hAnsi="Book Antiqua" w:cs="Book Antiqua"/>
          <w:color w:val="000000"/>
        </w:rPr>
        <w:t xml:space="preserve"> </w:t>
      </w:r>
      <w:r w:rsidR="005B2CE6">
        <w:rPr>
          <w:rFonts w:ascii="Book Antiqua" w:eastAsia="Book Antiqua" w:hAnsi="Book Antiqua" w:cs="Book Antiqua"/>
          <w:color w:val="000000"/>
        </w:rPr>
        <w:t xml:space="preserve">No. </w:t>
      </w:r>
      <w:r w:rsidRPr="005B2CE6">
        <w:rPr>
          <w:rFonts w:ascii="Book Antiqua" w:eastAsia="Book Antiqua" w:hAnsi="Book Antiqua" w:cs="Book Antiqua"/>
          <w:color w:val="000000"/>
        </w:rPr>
        <w:t>2018Z069.</w:t>
      </w:r>
    </w:p>
    <w:p w14:paraId="754FEE51" w14:textId="77777777" w:rsidR="00A77B3E" w:rsidRDefault="00A77B3E">
      <w:pPr>
        <w:spacing w:line="360" w:lineRule="auto"/>
        <w:jc w:val="both"/>
      </w:pPr>
    </w:p>
    <w:p w14:paraId="1676A206" w14:textId="55CD1A75" w:rsidR="00A77B3E" w:rsidRDefault="0029077E">
      <w:pPr>
        <w:spacing w:line="360" w:lineRule="auto"/>
        <w:jc w:val="both"/>
      </w:pPr>
      <w:r>
        <w:rPr>
          <w:rFonts w:ascii="Book Antiqua" w:eastAsia="Book Antiqua" w:hAnsi="Book Antiqua" w:cs="Book Antiqua"/>
          <w:b/>
          <w:bCs/>
          <w:color w:val="000000"/>
        </w:rPr>
        <w:t xml:space="preserve">Corresponding author: Zhi-Jun Su, Chief Doctor, </w:t>
      </w:r>
      <w:r w:rsidR="00D75E3D">
        <w:rPr>
          <w:rFonts w:ascii="Book Antiqua" w:eastAsia="Book Antiqua" w:hAnsi="Book Antiqua" w:cs="Book Antiqua"/>
          <w:color w:val="000000"/>
        </w:rPr>
        <w:t xml:space="preserve">Department of Infection Disease, </w:t>
      </w:r>
      <w:r w:rsidR="00AB1047" w:rsidRPr="00B801E4">
        <w:rPr>
          <w:rFonts w:ascii="Book Antiqua" w:eastAsia="Book Antiqua" w:hAnsi="Book Antiqua" w:cs="Book Antiqua"/>
          <w:color w:val="000000"/>
        </w:rPr>
        <w:t>First Hospital of Quanzhou Affiliated to Fujian Medical University</w:t>
      </w:r>
      <w:r w:rsidR="00D75E3D">
        <w:rPr>
          <w:rFonts w:ascii="Book Antiqua" w:eastAsia="Book Antiqua" w:hAnsi="Book Antiqua" w:cs="Book Antiqua"/>
          <w:color w:val="000000"/>
        </w:rPr>
        <w:t>,</w:t>
      </w:r>
      <w:r>
        <w:rPr>
          <w:rFonts w:ascii="Book Antiqua" w:eastAsia="Book Antiqua" w:hAnsi="Book Antiqua" w:cs="Book Antiqua"/>
          <w:color w:val="000000"/>
        </w:rPr>
        <w:t xml:space="preserve"> No. 250 East Street, Licheng District, Quanzhou 362000, Fujian Province, China. su2366@sina.com</w:t>
      </w:r>
    </w:p>
    <w:p w14:paraId="603278C0" w14:textId="77777777" w:rsidR="00A77B3E" w:rsidRDefault="00A77B3E">
      <w:pPr>
        <w:spacing w:line="360" w:lineRule="auto"/>
        <w:jc w:val="both"/>
      </w:pPr>
    </w:p>
    <w:p w14:paraId="0B4F3CEA" w14:textId="77777777" w:rsidR="00A77B3E" w:rsidRDefault="0029077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28, 2020</w:t>
      </w:r>
    </w:p>
    <w:p w14:paraId="79E08458" w14:textId="77777777" w:rsidR="00A77B3E" w:rsidRDefault="0029077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20, 2020</w:t>
      </w:r>
    </w:p>
    <w:p w14:paraId="35420BAC" w14:textId="341F3783" w:rsidR="00A77B3E" w:rsidRDefault="0029077E">
      <w:pPr>
        <w:spacing w:line="360" w:lineRule="auto"/>
        <w:jc w:val="both"/>
      </w:pPr>
      <w:r>
        <w:rPr>
          <w:rFonts w:ascii="Book Antiqua" w:eastAsia="Book Antiqua" w:hAnsi="Book Antiqua" w:cs="Book Antiqua"/>
          <w:b/>
          <w:bCs/>
          <w:color w:val="000000"/>
        </w:rPr>
        <w:t xml:space="preserve">Accepted: </w:t>
      </w:r>
      <w:r w:rsidR="0097015A" w:rsidRPr="0097015A">
        <w:rPr>
          <w:rFonts w:ascii="Book Antiqua" w:eastAsia="Book Antiqua" w:hAnsi="Book Antiqua" w:cs="Book Antiqua"/>
          <w:color w:val="000000"/>
        </w:rPr>
        <w:t>December 11, 2020</w:t>
      </w:r>
    </w:p>
    <w:p w14:paraId="06AC0E65" w14:textId="77777777" w:rsidR="00665AD3" w:rsidRPr="00F64C38" w:rsidRDefault="0029077E" w:rsidP="00665AD3">
      <w:pPr>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665AD3" w:rsidRPr="00F64C38">
        <w:rPr>
          <w:rFonts w:ascii="Book Antiqua" w:eastAsia="Book Antiqua" w:hAnsi="Book Antiqua" w:cs="Book Antiqua"/>
          <w:bCs/>
          <w:color w:val="000000"/>
        </w:rPr>
        <w:t>January 26, 2021</w:t>
      </w:r>
    </w:p>
    <w:p w14:paraId="41C687F2" w14:textId="77777777" w:rsidR="00A77B3E" w:rsidRDefault="00A77B3E">
      <w:pPr>
        <w:spacing w:line="360" w:lineRule="auto"/>
        <w:jc w:val="both"/>
      </w:pPr>
    </w:p>
    <w:p w14:paraId="785A2D2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683DE28" w14:textId="77777777" w:rsidR="00A77B3E" w:rsidRDefault="0029077E">
      <w:pPr>
        <w:spacing w:line="360" w:lineRule="auto"/>
        <w:jc w:val="both"/>
      </w:pPr>
      <w:r>
        <w:rPr>
          <w:rFonts w:ascii="Book Antiqua" w:eastAsia="Book Antiqua" w:hAnsi="Book Antiqua" w:cs="Book Antiqua"/>
          <w:b/>
          <w:color w:val="000000"/>
        </w:rPr>
        <w:t>Abstract</w:t>
      </w:r>
    </w:p>
    <w:p w14:paraId="7BEE7108" w14:textId="77777777" w:rsidR="00A77B3E" w:rsidRDefault="0029077E">
      <w:pPr>
        <w:spacing w:line="360" w:lineRule="auto"/>
        <w:jc w:val="both"/>
      </w:pPr>
      <w:r>
        <w:rPr>
          <w:rFonts w:ascii="Book Antiqua" w:eastAsia="Book Antiqua" w:hAnsi="Book Antiqua" w:cs="Book Antiqua"/>
          <w:color w:val="000000"/>
        </w:rPr>
        <w:t>BACKGROUND</w:t>
      </w:r>
    </w:p>
    <w:p w14:paraId="05732B35" w14:textId="6AE27C0D" w:rsidR="00A77B3E" w:rsidRDefault="0029077E">
      <w:pPr>
        <w:spacing w:line="360" w:lineRule="auto"/>
        <w:jc w:val="both"/>
      </w:pPr>
      <w:r>
        <w:rPr>
          <w:rFonts w:ascii="Book Antiqua" w:eastAsia="Book Antiqua" w:hAnsi="Book Antiqua" w:cs="Book Antiqua"/>
          <w:color w:val="000000"/>
        </w:rPr>
        <w:t>The incidence of hepatocellular carcinoma (HCC) is high in China, and approximately 15%</w:t>
      </w:r>
      <w:r w:rsidR="00A30678">
        <w:rPr>
          <w:rFonts w:ascii="Book Antiqua" w:eastAsia="Book Antiqua" w:hAnsi="Book Antiqua" w:cs="Book Antiqua"/>
          <w:color w:val="000000"/>
        </w:rPr>
        <w:t>-</w:t>
      </w:r>
      <w:r>
        <w:rPr>
          <w:rFonts w:ascii="Book Antiqua" w:eastAsia="Book Antiqua" w:hAnsi="Book Antiqua" w:cs="Book Antiqua"/>
          <w:color w:val="000000"/>
        </w:rPr>
        <w:t>20% of HCC cases occur in the absence of cirrhosis. Compared with patients with cirrhotic HCC, those with non-cirrhotic HCC have longer postoperative tumor-free survival. However, the overall survival time is not significantly increased, and the risk of postoperative recurrence remains. Strategies to improve the postoperative survival rate in these patients are currently required.</w:t>
      </w:r>
    </w:p>
    <w:p w14:paraId="2E4D47ED" w14:textId="77777777" w:rsidR="00A77B3E" w:rsidRDefault="00A77B3E">
      <w:pPr>
        <w:spacing w:line="360" w:lineRule="auto"/>
        <w:jc w:val="both"/>
      </w:pPr>
    </w:p>
    <w:p w14:paraId="65CD275C" w14:textId="77777777" w:rsidR="00A77B3E" w:rsidRDefault="0029077E">
      <w:pPr>
        <w:spacing w:line="360" w:lineRule="auto"/>
        <w:jc w:val="both"/>
      </w:pPr>
      <w:r>
        <w:rPr>
          <w:rFonts w:ascii="Book Antiqua" w:eastAsia="Book Antiqua" w:hAnsi="Book Antiqua" w:cs="Book Antiqua"/>
          <w:color w:val="000000"/>
        </w:rPr>
        <w:t>CASE SUMMARY</w:t>
      </w:r>
    </w:p>
    <w:p w14:paraId="0A6BF394" w14:textId="2F3B3BF6" w:rsidR="00A77B3E" w:rsidRDefault="0029077E">
      <w:pPr>
        <w:spacing w:line="360" w:lineRule="auto"/>
        <w:jc w:val="both"/>
      </w:pPr>
      <w:r>
        <w:rPr>
          <w:rFonts w:ascii="Book Antiqua" w:eastAsia="Book Antiqua" w:hAnsi="Book Antiqua" w:cs="Book Antiqua"/>
          <w:color w:val="000000"/>
        </w:rPr>
        <w:t xml:space="preserve">A 47-year-old man with a family history of HCC was found to have </w:t>
      </w:r>
      <w:r w:rsidR="00A30678">
        <w:rPr>
          <w:rFonts w:ascii="Book Antiqua" w:eastAsia="Book Antiqua" w:hAnsi="Book Antiqua" w:cs="Book Antiqua"/>
          <w:color w:val="000000"/>
        </w:rPr>
        <w:t>hepatitis B virus (HBV)</w:t>
      </w:r>
      <w:r>
        <w:rPr>
          <w:rFonts w:ascii="Book Antiqua" w:eastAsia="Book Antiqua" w:hAnsi="Book Antiqua" w:cs="Book Antiqua"/>
          <w:color w:val="000000"/>
          <w:szCs w:val="21"/>
        </w:rPr>
        <w:t xml:space="preserve"> </w:t>
      </w:r>
      <w:r>
        <w:rPr>
          <w:rFonts w:ascii="Book Antiqua" w:eastAsia="Book Antiqua" w:hAnsi="Book Antiqua" w:cs="Book Antiqua"/>
          <w:color w:val="000000"/>
        </w:rPr>
        <w:t>infection 25 years ago. In 2000, he was administered lamivudine for 2 years, and entecavir (ETV 0.5</w:t>
      </w:r>
      <w:r w:rsidR="00A30678">
        <w:rPr>
          <w:rFonts w:ascii="Book Antiqua" w:eastAsia="Book Antiqua" w:hAnsi="Book Antiqua" w:cs="Book Antiqua"/>
          <w:color w:val="000000"/>
        </w:rPr>
        <w:t xml:space="preserve"> </w:t>
      </w:r>
      <w:r>
        <w:rPr>
          <w:rFonts w:ascii="Book Antiqua" w:eastAsia="Book Antiqua" w:hAnsi="Book Antiqua" w:cs="Book Antiqua"/>
          <w:color w:val="000000"/>
        </w:rPr>
        <w:t>mg) was administered in 2006. In October 2016, magnetic resonance imaging revealed a tumor in the liver (5.3</w:t>
      </w:r>
      <w:r w:rsidR="00A30678">
        <w:rPr>
          <w:rFonts w:ascii="Book Antiqua" w:eastAsia="Book Antiqua" w:hAnsi="Book Antiqua" w:cs="Book Antiqua"/>
          <w:color w:val="000000"/>
        </w:rPr>
        <w:t xml:space="preserve"> cm </w:t>
      </w:r>
      <w:r>
        <w:rPr>
          <w:rFonts w:ascii="Book Antiqua" w:eastAsia="Book Antiqua" w:hAnsi="Book Antiqua" w:cs="Book Antiqua"/>
          <w:color w:val="000000"/>
        </w:rPr>
        <w:t>×</w:t>
      </w:r>
      <w:r w:rsidR="00A30678">
        <w:rPr>
          <w:rFonts w:ascii="Book Antiqua" w:eastAsia="Book Antiqua" w:hAnsi="Book Antiqua" w:cs="Book Antiqua"/>
          <w:color w:val="000000"/>
        </w:rPr>
        <w:t xml:space="preserve"> </w:t>
      </w:r>
      <w:r>
        <w:rPr>
          <w:rFonts w:ascii="Book Antiqua" w:eastAsia="Book Antiqua" w:hAnsi="Book Antiqua" w:cs="Book Antiqua"/>
          <w:color w:val="000000"/>
        </w:rPr>
        <w:t>5</w:t>
      </w:r>
      <w:r w:rsidR="00A30678">
        <w:rPr>
          <w:rFonts w:ascii="Book Antiqua" w:eastAsia="Book Antiqua" w:hAnsi="Book Antiqua" w:cs="Book Antiqua"/>
          <w:color w:val="000000"/>
        </w:rPr>
        <w:t xml:space="preserve"> cm </w:t>
      </w:r>
      <w:r>
        <w:rPr>
          <w:rFonts w:ascii="Book Antiqua" w:eastAsia="Book Antiqua" w:hAnsi="Book Antiqua" w:cs="Book Antiqua"/>
          <w:color w:val="000000"/>
        </w:rPr>
        <w:t>×</w:t>
      </w:r>
      <w:r w:rsidR="00A30678">
        <w:rPr>
          <w:rFonts w:ascii="Book Antiqua" w:eastAsia="Book Antiqua" w:hAnsi="Book Antiqua" w:cs="Book Antiqua"/>
          <w:color w:val="000000"/>
        </w:rPr>
        <w:t xml:space="preserve"> </w:t>
      </w:r>
      <w:r>
        <w:rPr>
          <w:rFonts w:ascii="Book Antiqua" w:eastAsia="Book Antiqua" w:hAnsi="Book Antiqua" w:cs="Book Antiqua"/>
          <w:color w:val="000000"/>
        </w:rPr>
        <w:t>5</w:t>
      </w:r>
      <w:r w:rsidR="00A30678">
        <w:rPr>
          <w:rFonts w:ascii="Book Antiqua" w:eastAsia="Book Antiqua" w:hAnsi="Book Antiqua" w:cs="Book Antiqua"/>
          <w:color w:val="000000"/>
        </w:rPr>
        <w:t xml:space="preserve"> </w:t>
      </w:r>
      <w:r>
        <w:rPr>
          <w:rFonts w:ascii="Book Antiqua" w:eastAsia="Book Antiqua" w:hAnsi="Book Antiqua" w:cs="Book Antiqua"/>
          <w:color w:val="000000"/>
        </w:rPr>
        <w:t xml:space="preserve">cm); no intraoperative hepatic and portal vein and bile duct tumor thrombi were found; and postoperative pathological examination confirmed a grade II HCC with no nodular cirrhosis (G1S3). ETV was continued, and no significant changes were observed </w:t>
      </w:r>
      <w:r w:rsidR="007F493C">
        <w:rPr>
          <w:rFonts w:ascii="Book Antiqua" w:eastAsia="Book Antiqua" w:hAnsi="Book Antiqua" w:cs="Book Antiqua"/>
          <w:color w:val="000000"/>
        </w:rPr>
        <w:t xml:space="preserve">on </w:t>
      </w:r>
      <w:r>
        <w:rPr>
          <w:rFonts w:ascii="Book Antiqua" w:eastAsia="Book Antiqua" w:hAnsi="Book Antiqua" w:cs="Book Antiqua"/>
          <w:color w:val="000000"/>
        </w:rPr>
        <w:t>imaging. After receiving pegylated interferon alfa-2b (PEG IFNα-2b) (180</w:t>
      </w:r>
      <w:r w:rsidR="007137AD">
        <w:rPr>
          <w:rFonts w:ascii="Book Antiqua" w:eastAsia="Book Antiqua" w:hAnsi="Book Antiqua" w:cs="Book Antiqua"/>
          <w:color w:val="000000"/>
        </w:rPr>
        <w:t xml:space="preserve"> </w:t>
      </w:r>
      <w:r>
        <w:rPr>
          <w:rFonts w:ascii="Book Antiqua" w:eastAsia="Book Antiqua" w:hAnsi="Book Antiqua" w:cs="Book Antiqua"/>
          <w:color w:val="000000"/>
        </w:rPr>
        <w:t>μg)</w:t>
      </w:r>
      <w:r w:rsidR="007137AD">
        <w:rPr>
          <w:rFonts w:ascii="Book Antiqua" w:eastAsia="Book Antiqua" w:hAnsi="Book Antiqua" w:cs="Book Antiqua"/>
          <w:color w:val="000000"/>
        </w:rPr>
        <w:t xml:space="preserve"> </w:t>
      </w:r>
      <w:r>
        <w:rPr>
          <w:rFonts w:ascii="Book Antiqua" w:eastAsia="Book Antiqua" w:hAnsi="Book Antiqua" w:cs="Book Antiqua"/>
          <w:color w:val="000000"/>
        </w:rPr>
        <w:t>+</w:t>
      </w:r>
      <w:r w:rsidR="007137AD">
        <w:rPr>
          <w:rFonts w:ascii="Book Antiqua" w:eastAsia="Book Antiqua" w:hAnsi="Book Antiqua" w:cs="Book Antiqua"/>
          <w:color w:val="000000"/>
        </w:rPr>
        <w:t xml:space="preserve"> </w:t>
      </w:r>
      <w:r>
        <w:rPr>
          <w:rFonts w:ascii="Book Antiqua" w:eastAsia="Book Antiqua" w:hAnsi="Book Antiqua" w:cs="Book Antiqua"/>
          <w:color w:val="000000"/>
        </w:rPr>
        <w:t>ETV in February 2019, the HBsAg titer decreased significantly within 12 wk. After receiving hepatitis B vaccine (60</w:t>
      </w:r>
      <w:r w:rsidR="007137AD">
        <w:rPr>
          <w:rFonts w:ascii="Book Antiqua" w:eastAsia="Book Antiqua" w:hAnsi="Book Antiqua" w:cs="Book Antiqua"/>
          <w:color w:val="000000"/>
        </w:rPr>
        <w:t xml:space="preserve"> </w:t>
      </w:r>
      <w:r>
        <w:rPr>
          <w:rFonts w:ascii="Book Antiqua" w:eastAsia="Book Antiqua" w:hAnsi="Book Antiqua" w:cs="Book Antiqua"/>
          <w:color w:val="000000"/>
        </w:rPr>
        <w:t>μg) in 12 wk, HBsAg serological conversion was realized at 48 wk. During the treatment, no obvious adverse reactions were observed, except for</w:t>
      </w:r>
      <w:r w:rsidR="007F493C">
        <w:rPr>
          <w:rFonts w:ascii="Book Antiqua" w:eastAsia="Book Antiqua" w:hAnsi="Book Antiqua" w:cs="Book Antiqua"/>
          <w:color w:val="000000"/>
        </w:rPr>
        <w:t xml:space="preserve"> </w:t>
      </w:r>
      <w:r>
        <w:rPr>
          <w:rFonts w:ascii="Book Antiqua" w:eastAsia="Book Antiqua" w:hAnsi="Book Antiqua" w:cs="Book Antiqua"/>
          <w:color w:val="000000"/>
        </w:rPr>
        <w:t xml:space="preserve">early </w:t>
      </w:r>
      <w:r w:rsidR="007137AD">
        <w:rPr>
          <w:rFonts w:ascii="Book Antiqua" w:eastAsia="Book Antiqua" w:hAnsi="Book Antiqua" w:cs="Book Antiqua"/>
          <w:color w:val="000000"/>
        </w:rPr>
        <w:t>a</w:t>
      </w:r>
      <w:r w:rsidR="007137AD" w:rsidRPr="007137AD">
        <w:rPr>
          <w:rFonts w:ascii="Book Antiqua" w:eastAsia="Book Antiqua" w:hAnsi="Book Antiqua" w:cs="Book Antiqua"/>
          <w:color w:val="000000"/>
        </w:rPr>
        <w:t>lanine aminotransferase</w:t>
      </w:r>
      <w:r>
        <w:rPr>
          <w:rFonts w:ascii="Book Antiqua" w:eastAsia="Book Antiqua" w:hAnsi="Book Antiqua" w:cs="Book Antiqua"/>
          <w:color w:val="000000"/>
        </w:rPr>
        <w:t xml:space="preserve"> flares. The reexamination results of liver pathology were G2S1, and reversal of liver fibrosis was achieved.</w:t>
      </w:r>
    </w:p>
    <w:p w14:paraId="6A6C319B" w14:textId="77777777" w:rsidR="00A77B3E" w:rsidRDefault="00A77B3E">
      <w:pPr>
        <w:spacing w:line="360" w:lineRule="auto"/>
        <w:jc w:val="both"/>
      </w:pPr>
    </w:p>
    <w:p w14:paraId="53B7F407" w14:textId="77777777" w:rsidR="00A77B3E" w:rsidRDefault="0029077E">
      <w:pPr>
        <w:spacing w:line="360" w:lineRule="auto"/>
        <w:jc w:val="both"/>
      </w:pPr>
      <w:r>
        <w:rPr>
          <w:rFonts w:ascii="Book Antiqua" w:eastAsia="Book Antiqua" w:hAnsi="Book Antiqua" w:cs="Book Antiqua"/>
          <w:color w:val="000000"/>
        </w:rPr>
        <w:t>CONCLUSION</w:t>
      </w:r>
    </w:p>
    <w:p w14:paraId="53199FE3" w14:textId="0E782B4E" w:rsidR="00A77B3E" w:rsidRDefault="0029077E">
      <w:pPr>
        <w:spacing w:line="360" w:lineRule="auto"/>
        <w:jc w:val="both"/>
      </w:pPr>
      <w:r>
        <w:rPr>
          <w:rFonts w:ascii="Book Antiqua" w:eastAsia="Book Antiqua" w:hAnsi="Book Antiqua" w:cs="Book Antiqua"/>
          <w:color w:val="000000"/>
        </w:rPr>
        <w:t>The therapeutic regimen of ETV+ PEG IFNα-2b</w:t>
      </w:r>
      <w:r w:rsidR="007137AD">
        <w:rPr>
          <w:rFonts w:ascii="Book Antiqua" w:eastAsia="Book Antiqua" w:hAnsi="Book Antiqua" w:cs="Book Antiqua"/>
          <w:color w:val="000000"/>
        </w:rPr>
        <w:t xml:space="preserve"> </w:t>
      </w:r>
      <w:r>
        <w:rPr>
          <w:rFonts w:ascii="Book Antiqua" w:eastAsia="Book Antiqua" w:hAnsi="Book Antiqua" w:cs="Book Antiqua"/>
          <w:color w:val="000000"/>
        </w:rPr>
        <w:t>+ hepatitis B vaccine for patients with HBV-associated non-cirrhotic HCC following hepatectomy can achieve</w:t>
      </w:r>
      <w:r w:rsidR="007F493C">
        <w:rPr>
          <w:rFonts w:ascii="Book Antiqua" w:eastAsia="Book Antiqua" w:hAnsi="Book Antiqua" w:cs="Book Antiqua"/>
          <w:color w:val="000000"/>
        </w:rPr>
        <w:t xml:space="preserve"> an</w:t>
      </w:r>
      <w:r>
        <w:rPr>
          <w:rFonts w:ascii="Book Antiqua" w:eastAsia="Book Antiqua" w:hAnsi="Book Antiqua" w:cs="Book Antiqua"/>
          <w:color w:val="000000"/>
        </w:rPr>
        <w:t xml:space="preserve"> HBV clinical cure and prolong the recurrence-free survival.</w:t>
      </w:r>
    </w:p>
    <w:p w14:paraId="19179E29" w14:textId="77777777" w:rsidR="00A77B3E" w:rsidRDefault="00A77B3E">
      <w:pPr>
        <w:spacing w:line="360" w:lineRule="auto"/>
        <w:jc w:val="both"/>
      </w:pPr>
    </w:p>
    <w:p w14:paraId="3A1B4471" w14:textId="77777777" w:rsidR="00A77B3E" w:rsidRDefault="0029077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Hepatocellular carcinoma; Hepatitis B virus; Entecavir; Pegylated interferon alfa-2b; Clinical cure; Case report</w:t>
      </w:r>
    </w:p>
    <w:p w14:paraId="431D69B5" w14:textId="77777777" w:rsidR="00A77B3E" w:rsidRDefault="00A77B3E">
      <w:pPr>
        <w:spacing w:line="360" w:lineRule="auto"/>
        <w:jc w:val="both"/>
        <w:rPr>
          <w:rFonts w:hint="eastAsia"/>
          <w:lang w:eastAsia="zh-CN"/>
        </w:rPr>
      </w:pPr>
    </w:p>
    <w:p w14:paraId="70D3CD99" w14:textId="77777777" w:rsidR="00604666" w:rsidRPr="000C33F5" w:rsidRDefault="00604666" w:rsidP="00604666">
      <w:pPr>
        <w:spacing w:line="360" w:lineRule="auto"/>
        <w:rPr>
          <w:rFonts w:ascii="Book Antiqua" w:hAnsi="Book Antiqua" w:cs="Book Antiqua" w:hint="eastAsia"/>
          <w:color w:val="000000"/>
          <w:lang w:eastAsia="zh-CN"/>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05F818D" w14:textId="77777777" w:rsidR="00604666" w:rsidRDefault="00604666">
      <w:pPr>
        <w:spacing w:line="360" w:lineRule="auto"/>
        <w:jc w:val="both"/>
        <w:rPr>
          <w:rFonts w:hint="eastAsia"/>
          <w:lang w:eastAsia="zh-CN"/>
        </w:rPr>
      </w:pPr>
    </w:p>
    <w:p w14:paraId="3E3676EE" w14:textId="68C2BA24" w:rsidR="00CE27C7" w:rsidRDefault="00CE27C7" w:rsidP="00665AD3">
      <w:pPr>
        <w:snapToGrid w:val="0"/>
        <w:spacing w:line="360" w:lineRule="auto"/>
        <w:jc w:val="both"/>
        <w:rPr>
          <w:rFonts w:ascii="Book Antiqua" w:hAnsi="Book Antiqua" w:cs="Book Antiqua" w:hint="eastAsia"/>
          <w:color w:val="000000"/>
          <w:lang w:eastAsia="zh-CN"/>
        </w:rPr>
      </w:pPr>
      <w:r w:rsidRPr="00CE27C7">
        <w:rPr>
          <w:rFonts w:ascii="Book Antiqua" w:hAnsi="Book Antiqua" w:cs="Book Antiqua" w:hint="eastAsia"/>
          <w:b/>
          <w:color w:val="000000"/>
          <w:lang w:eastAsia="zh-CN"/>
        </w:rPr>
        <w:t xml:space="preserve">Citation: </w:t>
      </w:r>
      <w:r w:rsidR="0029077E">
        <w:rPr>
          <w:rFonts w:ascii="Book Antiqua" w:eastAsia="Book Antiqua" w:hAnsi="Book Antiqua" w:cs="Book Antiqua"/>
          <w:color w:val="000000"/>
        </w:rPr>
        <w:t xml:space="preserve">Yu XP, Lin Q, Huang ZP, Chen WS, Zheng MH, Zheng YJ, Li JL, Su ZJ. </w:t>
      </w:r>
      <w:r w:rsidR="007D60EA" w:rsidRPr="007D60EA">
        <w:rPr>
          <w:rFonts w:ascii="Book Antiqua" w:eastAsia="Book Antiqua" w:hAnsi="Book Antiqua" w:cs="Book Antiqua"/>
          <w:color w:val="000000"/>
        </w:rPr>
        <w:t>Clinical cure and liver fibrosis reversal after postoperative antiviral combination therapy in hepatitis B-associated non-cirrhotic hepatocellular carcinoma: A case report</w:t>
      </w:r>
      <w:r w:rsidR="0029077E">
        <w:rPr>
          <w:rFonts w:ascii="Book Antiqua" w:eastAsia="Book Antiqua" w:hAnsi="Book Antiqua" w:cs="Book Antiqua"/>
          <w:color w:val="000000"/>
        </w:rPr>
        <w:t xml:space="preserve">. </w:t>
      </w:r>
      <w:r w:rsidR="0029077E">
        <w:rPr>
          <w:rFonts w:ascii="Book Antiqua" w:eastAsia="Book Antiqua" w:hAnsi="Book Antiqua" w:cs="Book Antiqua"/>
          <w:i/>
          <w:iCs/>
          <w:color w:val="000000"/>
        </w:rPr>
        <w:t>World J Clin Cases</w:t>
      </w:r>
      <w:r w:rsidR="0029077E">
        <w:rPr>
          <w:rFonts w:ascii="Book Antiqua" w:eastAsia="Book Antiqua" w:hAnsi="Book Antiqua" w:cs="Book Antiqua"/>
          <w:color w:val="000000"/>
        </w:rPr>
        <w:t xml:space="preserve"> </w:t>
      </w:r>
      <w:r w:rsidR="00665AD3">
        <w:rPr>
          <w:rFonts w:ascii="Book Antiqua" w:eastAsia="Book Antiqua" w:hAnsi="Book Antiqua" w:cs="Book Antiqua"/>
          <w:color w:val="000000"/>
        </w:rPr>
        <w:t xml:space="preserve">2021; </w:t>
      </w:r>
      <w:r w:rsidR="00665AD3" w:rsidRPr="00F64C38">
        <w:rPr>
          <w:rFonts w:ascii="Book Antiqua" w:eastAsia="Book Antiqua" w:hAnsi="Book Antiqua" w:cs="Book Antiqua"/>
          <w:color w:val="000000"/>
        </w:rPr>
        <w:t xml:space="preserve">9(3): </w:t>
      </w:r>
      <w:r w:rsidR="00826FAF" w:rsidRPr="00826FAF">
        <w:rPr>
          <w:rFonts w:ascii="Book Antiqua" w:eastAsia="Book Antiqua" w:hAnsi="Book Antiqua" w:cs="Book Antiqua"/>
          <w:color w:val="000000"/>
        </w:rPr>
        <w:t>714-721</w:t>
      </w:r>
      <w:r w:rsidR="00665AD3" w:rsidRPr="00F64C38">
        <w:rPr>
          <w:rFonts w:ascii="Book Antiqua" w:eastAsia="Book Antiqua" w:hAnsi="Book Antiqua" w:cs="Book Antiqua"/>
          <w:color w:val="000000"/>
        </w:rPr>
        <w:t xml:space="preserve"> </w:t>
      </w:r>
    </w:p>
    <w:p w14:paraId="43A263B4" w14:textId="4A7D6B24" w:rsidR="00CE27C7" w:rsidRDefault="00665AD3" w:rsidP="00665AD3">
      <w:pPr>
        <w:snapToGrid w:val="0"/>
        <w:spacing w:line="360" w:lineRule="auto"/>
        <w:jc w:val="both"/>
        <w:rPr>
          <w:rFonts w:ascii="Book Antiqua" w:hAnsi="Book Antiqua" w:cs="Book Antiqua" w:hint="eastAsia"/>
          <w:color w:val="000000"/>
          <w:lang w:eastAsia="zh-CN"/>
        </w:rPr>
      </w:pPr>
      <w:r w:rsidRPr="00CE27C7">
        <w:rPr>
          <w:rFonts w:ascii="Book Antiqua" w:eastAsia="Book Antiqua" w:hAnsi="Book Antiqua" w:cs="Book Antiqua"/>
          <w:b/>
          <w:color w:val="000000"/>
        </w:rPr>
        <w:t>URL:</w:t>
      </w:r>
      <w:r w:rsidRPr="00F64C38">
        <w:rPr>
          <w:rFonts w:ascii="Book Antiqua" w:eastAsia="Book Antiqua" w:hAnsi="Book Antiqua" w:cs="Book Antiqua"/>
          <w:color w:val="000000"/>
        </w:rPr>
        <w:t xml:space="preserve"> https://www.wjgnet.com/2307-8960/full/v9/i3/</w:t>
      </w:r>
      <w:r w:rsidR="00194C1D">
        <w:rPr>
          <w:rFonts w:ascii="Book Antiqua" w:hAnsi="Book Antiqua" w:cs="Book Antiqua" w:hint="eastAsia"/>
          <w:color w:val="000000"/>
          <w:lang w:eastAsia="zh-CN"/>
        </w:rPr>
        <w:t>714</w:t>
      </w:r>
      <w:r w:rsidRPr="00F64C38">
        <w:rPr>
          <w:rFonts w:ascii="Book Antiqua" w:eastAsia="Book Antiqua" w:hAnsi="Book Antiqua" w:cs="Book Antiqua"/>
          <w:color w:val="000000"/>
        </w:rPr>
        <w:t xml:space="preserve">.htm </w:t>
      </w:r>
    </w:p>
    <w:p w14:paraId="3E83C186" w14:textId="47D7D5EB" w:rsidR="00665AD3" w:rsidRPr="00183607" w:rsidRDefault="00665AD3" w:rsidP="00665AD3">
      <w:pPr>
        <w:snapToGrid w:val="0"/>
        <w:spacing w:line="360" w:lineRule="auto"/>
        <w:jc w:val="both"/>
        <w:rPr>
          <w:rFonts w:ascii="Book Antiqua" w:hAnsi="Book Antiqua" w:cs="Book Antiqua" w:hint="eastAsia"/>
          <w:color w:val="000000"/>
          <w:lang w:eastAsia="zh-CN"/>
        </w:rPr>
      </w:pPr>
      <w:r w:rsidRPr="00CE27C7">
        <w:rPr>
          <w:rFonts w:ascii="Book Antiqua" w:eastAsia="Book Antiqua" w:hAnsi="Book Antiqua" w:cs="Book Antiqua"/>
          <w:b/>
          <w:color w:val="000000"/>
        </w:rPr>
        <w:t>DOI:</w:t>
      </w:r>
      <w:r w:rsidRPr="00F64C38">
        <w:rPr>
          <w:rFonts w:ascii="Book Antiqua" w:eastAsia="Book Antiqua" w:hAnsi="Book Antiqua" w:cs="Book Antiqua"/>
          <w:color w:val="000000"/>
        </w:rPr>
        <w:t xml:space="preserve"> https://dx.doi.org/10.12998/wjcc.v9.i3.</w:t>
      </w:r>
      <w:r w:rsidR="00183607">
        <w:rPr>
          <w:rFonts w:ascii="Book Antiqua" w:hAnsi="Book Antiqua" w:cs="Book Antiqua" w:hint="eastAsia"/>
          <w:color w:val="000000"/>
          <w:lang w:eastAsia="zh-CN"/>
        </w:rPr>
        <w:t>714</w:t>
      </w:r>
    </w:p>
    <w:p w14:paraId="28E20BE2" w14:textId="55B29179" w:rsidR="00A77B3E" w:rsidRDefault="00A77B3E">
      <w:pPr>
        <w:spacing w:line="360" w:lineRule="auto"/>
        <w:jc w:val="both"/>
      </w:pPr>
    </w:p>
    <w:p w14:paraId="164FA261" w14:textId="33220822" w:rsidR="00A77B3E" w:rsidRDefault="0029077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Patients with </w:t>
      </w:r>
      <w:r w:rsidR="00F164E3">
        <w:rPr>
          <w:rFonts w:ascii="Book Antiqua" w:eastAsia="Book Antiqua" w:hAnsi="Book Antiqua" w:cs="Book Antiqua"/>
          <w:color w:val="000000"/>
        </w:rPr>
        <w:t>hepatitis B virus</w:t>
      </w:r>
      <w:r>
        <w:rPr>
          <w:rFonts w:ascii="Book Antiqua" w:eastAsia="Book Antiqua" w:hAnsi="Book Antiqua" w:cs="Book Antiqua"/>
          <w:color w:val="000000"/>
        </w:rPr>
        <w:t xml:space="preserve"> infection can progress to liver failure, cirrhosis, and hepatocellular carcinoma (HCC); however, not all HCC</w:t>
      </w:r>
      <w:r w:rsidR="007F493C">
        <w:rPr>
          <w:rFonts w:ascii="Book Antiqua" w:eastAsia="Book Antiqua" w:hAnsi="Book Antiqua" w:cs="Book Antiqua"/>
          <w:color w:val="000000"/>
        </w:rPr>
        <w:t>s</w:t>
      </w:r>
      <w:r>
        <w:rPr>
          <w:rFonts w:ascii="Book Antiqua" w:eastAsia="Book Antiqua" w:hAnsi="Book Antiqua" w:cs="Book Antiqua"/>
          <w:color w:val="000000"/>
        </w:rPr>
        <w:t xml:space="preserve"> originate from cirrhosis, and approximately 15%</w:t>
      </w:r>
      <w:r w:rsidR="00F164E3">
        <w:rPr>
          <w:rFonts w:ascii="Book Antiqua" w:eastAsia="Book Antiqua" w:hAnsi="Book Antiqua" w:cs="Book Antiqua"/>
          <w:color w:val="000000"/>
        </w:rPr>
        <w:t>-</w:t>
      </w:r>
      <w:r>
        <w:rPr>
          <w:rFonts w:ascii="Book Antiqua" w:eastAsia="Book Antiqua" w:hAnsi="Book Antiqua" w:cs="Book Antiqua"/>
          <w:color w:val="000000"/>
        </w:rPr>
        <w:t xml:space="preserve">20% of HCC cases still occur without cirrhosis. Most importantly, the treatment of non-cirrhotic HCC after surgery and whether the risk of recurrence can be reduced by combining immunomodulators are the urgent problems that need to be solved at present. Therefore, we report a case in which HCC still occurred after 16 years of antiviral therapy, and the combination of immunoregulator therapy after HCC resection achieved </w:t>
      </w:r>
      <w:r w:rsidR="007F493C">
        <w:rPr>
          <w:rFonts w:ascii="Book Antiqua" w:eastAsia="Book Antiqua" w:hAnsi="Book Antiqua" w:cs="Book Antiqua"/>
          <w:color w:val="000000"/>
        </w:rPr>
        <w:t xml:space="preserve">a </w:t>
      </w:r>
      <w:r>
        <w:rPr>
          <w:rFonts w:ascii="Book Antiqua" w:eastAsia="Book Antiqua" w:hAnsi="Book Antiqua" w:cs="Book Antiqua"/>
          <w:color w:val="000000"/>
        </w:rPr>
        <w:t>clinical cure and liver fibrosis reversal.</w:t>
      </w:r>
    </w:p>
    <w:p w14:paraId="08151C0A" w14:textId="1BDAB3FF" w:rsidR="00A77B3E" w:rsidRDefault="00F164E3">
      <w:pPr>
        <w:spacing w:line="360" w:lineRule="auto"/>
        <w:jc w:val="both"/>
      </w:pPr>
      <w:r>
        <w:rPr>
          <w:rFonts w:ascii="Book Antiqua" w:eastAsia="Book Antiqua" w:hAnsi="Book Antiqua" w:cs="Book Antiqua"/>
          <w:b/>
          <w:caps/>
          <w:color w:val="000000"/>
          <w:u w:val="single"/>
        </w:rPr>
        <w:br w:type="page"/>
      </w:r>
      <w:r w:rsidR="0029077E">
        <w:rPr>
          <w:rFonts w:ascii="Book Antiqua" w:eastAsia="Book Antiqua" w:hAnsi="Book Antiqua" w:cs="Book Antiqua"/>
          <w:b/>
          <w:caps/>
          <w:color w:val="000000"/>
          <w:u w:val="single"/>
        </w:rPr>
        <w:t>INTRODUCTION</w:t>
      </w:r>
    </w:p>
    <w:p w14:paraId="2CE169FA" w14:textId="26D605B6" w:rsidR="00A77B3E" w:rsidRDefault="0029077E">
      <w:pPr>
        <w:spacing w:line="360" w:lineRule="auto"/>
        <w:jc w:val="both"/>
      </w:pPr>
      <w:r>
        <w:rPr>
          <w:rFonts w:ascii="Book Antiqua" w:eastAsia="Book Antiqua" w:hAnsi="Book Antiqua" w:cs="Book Antiqua"/>
          <w:color w:val="000000"/>
        </w:rPr>
        <w:t>Hepatocellular carcinoma (HCC) is the fifth most common tumor and the second leading cause of cancer mortality in China</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sidR="007F493C">
        <w:rPr>
          <w:rFonts w:ascii="Book Antiqua" w:eastAsia="Book Antiqua" w:hAnsi="Book Antiqua" w:cs="Book Antiqua"/>
          <w:color w:val="000000"/>
        </w:rPr>
        <w:t xml:space="preserve">with </w:t>
      </w:r>
      <w:r>
        <w:rPr>
          <w:rFonts w:ascii="Book Antiqua" w:eastAsia="Book Antiqua" w:hAnsi="Book Antiqua" w:cs="Book Antiqua"/>
          <w:color w:val="000000"/>
        </w:rPr>
        <w:t xml:space="preserve">92.05% of HCC cases </w:t>
      </w:r>
      <w:r w:rsidR="007F493C">
        <w:rPr>
          <w:rFonts w:ascii="Book Antiqua" w:eastAsia="Book Antiqua" w:hAnsi="Book Antiqua" w:cs="Book Antiqua"/>
          <w:color w:val="000000"/>
        </w:rPr>
        <w:t xml:space="preserve">being </w:t>
      </w:r>
      <w:r>
        <w:rPr>
          <w:rFonts w:ascii="Book Antiqua" w:eastAsia="Book Antiqua" w:hAnsi="Book Antiqua" w:cs="Book Antiqua"/>
          <w:color w:val="000000"/>
        </w:rPr>
        <w:t>caused by hepatitis B virus (HBV) infection</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Chinese population generally follow the trilogy of “chronic hepatitis B-liver cirrhosis-HCC”</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In this population, 75%</w:t>
      </w:r>
      <w:r w:rsidR="00601B8B">
        <w:rPr>
          <w:rFonts w:ascii="Book Antiqua" w:eastAsia="Book Antiqua" w:hAnsi="Book Antiqua" w:cs="Book Antiqua"/>
          <w:color w:val="000000"/>
        </w:rPr>
        <w:t>-</w:t>
      </w:r>
      <w:r>
        <w:rPr>
          <w:rFonts w:ascii="Book Antiqua" w:eastAsia="Book Antiqua" w:hAnsi="Book Antiqua" w:cs="Book Antiqua"/>
          <w:color w:val="000000"/>
        </w:rPr>
        <w:t>80% of HCC cases progressively originate from the regenerative or dysplastic nodules of liver cirrhosis, whereas 15%</w:t>
      </w:r>
      <w:r w:rsidR="00601B8B">
        <w:rPr>
          <w:rFonts w:ascii="Book Antiqua" w:eastAsia="Book Antiqua" w:hAnsi="Book Antiqua" w:cs="Book Antiqua"/>
          <w:color w:val="000000"/>
        </w:rPr>
        <w:t>-</w:t>
      </w:r>
      <w:r>
        <w:rPr>
          <w:rFonts w:ascii="Book Antiqua" w:eastAsia="Book Antiqua" w:hAnsi="Book Antiqua" w:cs="Book Antiqua"/>
          <w:color w:val="000000"/>
        </w:rPr>
        <w:t>20% occur without cirrhosis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Compared with patients with cirrhotic HCC, those with non-cirrhotic HCC have the following characteristics: </w:t>
      </w:r>
      <w:r w:rsidR="00601B8B">
        <w:rPr>
          <w:rFonts w:ascii="Book Antiqua" w:eastAsia="Book Antiqua" w:hAnsi="Book Antiqua" w:cs="Book Antiqua"/>
          <w:color w:val="000000"/>
        </w:rPr>
        <w:t>U</w:t>
      </w:r>
      <w:r>
        <w:rPr>
          <w:rFonts w:ascii="Book Antiqua" w:eastAsia="Book Antiqua" w:hAnsi="Book Antiqua" w:cs="Book Antiqua"/>
          <w:color w:val="000000"/>
        </w:rPr>
        <w:t xml:space="preserve">sually single and large tumors; less deletion and mutation of tumor suppressor genes such as </w:t>
      </w:r>
      <w:r w:rsidRPr="00601B8B">
        <w:rPr>
          <w:rFonts w:ascii="Book Antiqua" w:eastAsia="Book Antiqua" w:hAnsi="Book Antiqua" w:cs="Book Antiqua"/>
          <w:i/>
          <w:iCs/>
          <w:color w:val="000000"/>
        </w:rPr>
        <w:t>p53</w:t>
      </w:r>
      <w:r>
        <w:rPr>
          <w:rFonts w:ascii="Book Antiqua" w:eastAsia="Book Antiqua" w:hAnsi="Book Antiqua" w:cs="Book Antiqua"/>
          <w:color w:val="000000"/>
        </w:rPr>
        <w:t>; stronger DNA mismatch repair; milder liver injury; better liver compensatory function; and, generally, no significant interferon contraindications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Moreover, patients with non-cirrhotic HCC have a longer postoperative tumor-free survival, although the overall survival time does not significantly increase</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and there is still a risk of postoperative recurrence. Currently, it is unclear whether clinical cure can reduce the risk of postoperative recurrence and improve survival rate in these patients. Therefore, we report </w:t>
      </w:r>
      <w:r w:rsidR="007F493C">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patient with HBV-associated non-cirrhotic HCC who achieved </w:t>
      </w:r>
      <w:r w:rsidR="007F493C">
        <w:rPr>
          <w:rFonts w:ascii="Book Antiqua" w:eastAsia="Book Antiqua" w:hAnsi="Book Antiqua" w:cs="Book Antiqua"/>
          <w:color w:val="000000"/>
        </w:rPr>
        <w:t xml:space="preserve">a </w:t>
      </w:r>
      <w:r>
        <w:rPr>
          <w:rFonts w:ascii="Book Antiqua" w:eastAsia="Book Antiqua" w:hAnsi="Book Antiqua" w:cs="Book Antiqua"/>
          <w:color w:val="000000"/>
        </w:rPr>
        <w:t>clinical cure and liver fibrosis reversal following treatment with entecavir (ETV) in combination with pegylated interferon alfa-2b (PEG IFNα-2b) and hepatitis B vaccine after hepatectomy for HCC.</w:t>
      </w:r>
    </w:p>
    <w:p w14:paraId="5EAB5417" w14:textId="77777777" w:rsidR="00A77B3E" w:rsidRDefault="00A77B3E">
      <w:pPr>
        <w:spacing w:line="360" w:lineRule="auto"/>
        <w:jc w:val="both"/>
      </w:pPr>
    </w:p>
    <w:p w14:paraId="6DC5E000" w14:textId="77777777" w:rsidR="00A77B3E" w:rsidRDefault="0029077E">
      <w:pPr>
        <w:spacing w:line="360" w:lineRule="auto"/>
        <w:jc w:val="both"/>
      </w:pPr>
      <w:r>
        <w:rPr>
          <w:rFonts w:ascii="Book Antiqua" w:eastAsia="Book Antiqua" w:hAnsi="Book Antiqua" w:cs="Book Antiqua"/>
          <w:b/>
          <w:caps/>
          <w:color w:val="000000"/>
          <w:u w:val="single"/>
        </w:rPr>
        <w:t>CASE PRESENTATION</w:t>
      </w:r>
    </w:p>
    <w:p w14:paraId="5B2F648C" w14:textId="77777777" w:rsidR="00A77B3E" w:rsidRDefault="0029077E">
      <w:pPr>
        <w:spacing w:line="360" w:lineRule="auto"/>
        <w:jc w:val="both"/>
      </w:pPr>
      <w:r>
        <w:rPr>
          <w:rFonts w:ascii="Book Antiqua" w:eastAsia="Book Antiqua" w:hAnsi="Book Antiqua" w:cs="Book Antiqua"/>
          <w:b/>
          <w:i/>
          <w:color w:val="000000"/>
        </w:rPr>
        <w:t>Chief complaints</w:t>
      </w:r>
    </w:p>
    <w:p w14:paraId="44313523" w14:textId="7BA5DDEC" w:rsidR="00A77B3E" w:rsidRDefault="0029077E">
      <w:pPr>
        <w:spacing w:line="360" w:lineRule="auto"/>
        <w:jc w:val="both"/>
      </w:pPr>
      <w:r>
        <w:rPr>
          <w:rFonts w:ascii="Book Antiqua" w:eastAsia="Book Antiqua" w:hAnsi="Book Antiqua" w:cs="Book Antiqua"/>
          <w:color w:val="000000"/>
        </w:rPr>
        <w:t xml:space="preserve">A 47-year-old male patient who had HBV infection for 25 years and underwent hepatectomy for HCC 4 years ago was admitted </w:t>
      </w:r>
      <w:r w:rsidR="007F493C">
        <w:rPr>
          <w:rFonts w:ascii="Book Antiqua" w:eastAsia="Book Antiqua" w:hAnsi="Book Antiqua" w:cs="Book Antiqua"/>
          <w:color w:val="000000"/>
        </w:rPr>
        <w:t xml:space="preserve">to </w:t>
      </w:r>
      <w:r>
        <w:rPr>
          <w:rFonts w:ascii="Book Antiqua" w:eastAsia="Book Antiqua" w:hAnsi="Book Antiqua" w:cs="Book Antiqua"/>
          <w:color w:val="000000"/>
        </w:rPr>
        <w:t>our institution.</w:t>
      </w:r>
    </w:p>
    <w:p w14:paraId="2ED0573C" w14:textId="77777777" w:rsidR="00A77B3E" w:rsidRDefault="00A77B3E">
      <w:pPr>
        <w:spacing w:line="360" w:lineRule="auto"/>
        <w:jc w:val="both"/>
      </w:pPr>
    </w:p>
    <w:p w14:paraId="09AF5245" w14:textId="77777777" w:rsidR="00A77B3E" w:rsidRDefault="0029077E">
      <w:pPr>
        <w:spacing w:line="360" w:lineRule="auto"/>
        <w:jc w:val="both"/>
      </w:pPr>
      <w:r>
        <w:rPr>
          <w:rFonts w:ascii="Book Antiqua" w:eastAsia="Book Antiqua" w:hAnsi="Book Antiqua" w:cs="Book Antiqua"/>
          <w:b/>
          <w:i/>
          <w:color w:val="000000"/>
        </w:rPr>
        <w:t>History of present illness</w:t>
      </w:r>
    </w:p>
    <w:p w14:paraId="25F3E0C2" w14:textId="2C4A1D54" w:rsidR="00A77B3E" w:rsidRDefault="007F493C">
      <w:pPr>
        <w:spacing w:line="360" w:lineRule="auto"/>
        <w:jc w:val="both"/>
      </w:pPr>
      <w:r>
        <w:rPr>
          <w:rFonts w:ascii="Book Antiqua" w:eastAsia="Book Antiqua" w:hAnsi="Book Antiqua" w:cs="Book Antiqua"/>
          <w:color w:val="000000"/>
        </w:rPr>
        <w:t xml:space="preserve">The patient </w:t>
      </w:r>
      <w:r w:rsidR="0029077E">
        <w:rPr>
          <w:rFonts w:ascii="Book Antiqua" w:eastAsia="Book Antiqua" w:hAnsi="Book Antiqua" w:cs="Book Antiqua"/>
          <w:color w:val="000000"/>
        </w:rPr>
        <w:t>was found to have HBV infection 25 years ago with normal liver function during follow-up. In 2000, he developed abnormal liver function and was diagnosed with HBeAg-positive chronic hepatitis B, for which he was administered lamivudine</w:t>
      </w:r>
      <w:r w:rsidR="00EA0751">
        <w:rPr>
          <w:rFonts w:ascii="Book Antiqua" w:eastAsia="Book Antiqua" w:hAnsi="Book Antiqua" w:cs="Book Antiqua"/>
          <w:color w:val="000000"/>
        </w:rPr>
        <w:t xml:space="preserve"> (LAM)</w:t>
      </w:r>
      <w:r w:rsidR="0029077E">
        <w:rPr>
          <w:rFonts w:ascii="Book Antiqua" w:eastAsia="Book Antiqua" w:hAnsi="Book Antiqua" w:cs="Book Antiqua"/>
          <w:color w:val="000000"/>
        </w:rPr>
        <w:t xml:space="preserve"> antiviral therapy; however, he discontinued the antiviral therapy after 2 years. In 2006, he was administered ETV antiviral therapy. In 2009, HBeAg seroconversion was achieved, and HBV DNA (</w:t>
      </w:r>
      <w:r w:rsidR="00911B1E">
        <w:rPr>
          <w:rFonts w:ascii="Book Antiqua" w:eastAsia="Book Antiqua" w:hAnsi="Book Antiqua" w:cs="Book Antiqua"/>
          <w:color w:val="000000"/>
        </w:rPr>
        <w:t>C</w:t>
      </w:r>
      <w:r w:rsidR="0029077E">
        <w:rPr>
          <w:rFonts w:ascii="Book Antiqua" w:eastAsia="Book Antiqua" w:hAnsi="Book Antiqua" w:cs="Book Antiqua"/>
          <w:color w:val="000000"/>
        </w:rPr>
        <w:t>obas) was maintained at &lt;</w:t>
      </w:r>
      <w:r w:rsidR="00D4072F">
        <w:rPr>
          <w:rFonts w:ascii="Book Antiqua" w:eastAsia="Book Antiqua" w:hAnsi="Book Antiqua" w:cs="Book Antiqua"/>
          <w:color w:val="000000"/>
        </w:rPr>
        <w:t xml:space="preserve"> </w:t>
      </w:r>
      <w:r w:rsidR="0029077E">
        <w:rPr>
          <w:rFonts w:ascii="Book Antiqua" w:eastAsia="Book Antiqua" w:hAnsi="Book Antiqua" w:cs="Book Antiqua"/>
          <w:color w:val="000000"/>
        </w:rPr>
        <w:t xml:space="preserve">20 IU/mL. In October 2016, color Doppler ultrasonography showed a space-occupying hepatic lesion, and it was confirmed to be </w:t>
      </w:r>
      <w:r>
        <w:rPr>
          <w:rFonts w:ascii="Book Antiqua" w:eastAsia="Book Antiqua" w:hAnsi="Book Antiqua" w:cs="Book Antiqua"/>
          <w:color w:val="000000"/>
        </w:rPr>
        <w:t xml:space="preserve">an </w:t>
      </w:r>
      <w:r w:rsidR="0029077E">
        <w:rPr>
          <w:rFonts w:ascii="Book Antiqua" w:eastAsia="Book Antiqua" w:hAnsi="Book Antiqua" w:cs="Book Antiqua"/>
          <w:color w:val="000000"/>
        </w:rPr>
        <w:t>HCC (5.3</w:t>
      </w:r>
      <w:r w:rsidR="00D4072F">
        <w:rPr>
          <w:rFonts w:ascii="Book Antiqua" w:eastAsia="Book Antiqua" w:hAnsi="Book Antiqua" w:cs="Book Antiqua"/>
          <w:color w:val="000000"/>
        </w:rPr>
        <w:t xml:space="preserve"> cm </w:t>
      </w:r>
      <w:r w:rsidR="0029077E">
        <w:rPr>
          <w:rFonts w:ascii="Book Antiqua" w:eastAsia="Book Antiqua" w:hAnsi="Book Antiqua" w:cs="Book Antiqua"/>
          <w:color w:val="000000"/>
        </w:rPr>
        <w:t>×</w:t>
      </w:r>
      <w:r w:rsidR="00D4072F">
        <w:rPr>
          <w:rFonts w:ascii="Book Antiqua" w:eastAsia="Book Antiqua" w:hAnsi="Book Antiqua" w:cs="Book Antiqua"/>
          <w:color w:val="000000"/>
        </w:rPr>
        <w:t xml:space="preserve"> </w:t>
      </w:r>
      <w:r w:rsidR="0029077E">
        <w:rPr>
          <w:rFonts w:ascii="Book Antiqua" w:eastAsia="Book Antiqua" w:hAnsi="Book Antiqua" w:cs="Book Antiqua"/>
          <w:color w:val="000000"/>
        </w:rPr>
        <w:t>5</w:t>
      </w:r>
      <w:r w:rsidR="00D4072F">
        <w:rPr>
          <w:rFonts w:ascii="Book Antiqua" w:eastAsia="Book Antiqua" w:hAnsi="Book Antiqua" w:cs="Book Antiqua"/>
          <w:color w:val="000000"/>
        </w:rPr>
        <w:t xml:space="preserve"> cm </w:t>
      </w:r>
      <w:r w:rsidR="0029077E">
        <w:rPr>
          <w:rFonts w:ascii="Book Antiqua" w:eastAsia="Book Antiqua" w:hAnsi="Book Antiqua" w:cs="Book Antiqua"/>
          <w:color w:val="000000"/>
        </w:rPr>
        <w:t>×</w:t>
      </w:r>
      <w:r w:rsidR="00D4072F">
        <w:rPr>
          <w:rFonts w:ascii="Book Antiqua" w:eastAsia="Book Antiqua" w:hAnsi="Book Antiqua" w:cs="Book Antiqua"/>
          <w:color w:val="000000"/>
        </w:rPr>
        <w:t xml:space="preserve"> </w:t>
      </w:r>
      <w:r w:rsidR="0029077E">
        <w:rPr>
          <w:rFonts w:ascii="Book Antiqua" w:eastAsia="Book Antiqua" w:hAnsi="Book Antiqua" w:cs="Book Antiqua"/>
          <w:color w:val="000000"/>
        </w:rPr>
        <w:t>5</w:t>
      </w:r>
      <w:r w:rsidR="00D4072F">
        <w:rPr>
          <w:rFonts w:ascii="Book Antiqua" w:eastAsia="Book Antiqua" w:hAnsi="Book Antiqua" w:cs="Book Antiqua"/>
          <w:color w:val="000000"/>
        </w:rPr>
        <w:t xml:space="preserve"> </w:t>
      </w:r>
      <w:r w:rsidR="0029077E">
        <w:rPr>
          <w:rFonts w:ascii="Book Antiqua" w:eastAsia="Book Antiqua" w:hAnsi="Book Antiqua" w:cs="Book Antiqua"/>
          <w:color w:val="000000"/>
        </w:rPr>
        <w:t xml:space="preserve">cm) by enhanced magnetic resonance imaging (MRI) of the liver </w:t>
      </w:r>
      <w:r>
        <w:rPr>
          <w:rFonts w:ascii="Book Antiqua" w:eastAsia="Book Antiqua" w:hAnsi="Book Antiqua" w:cs="Book Antiqua"/>
          <w:color w:val="000000"/>
        </w:rPr>
        <w:t xml:space="preserve">at </w:t>
      </w:r>
      <w:r w:rsidR="0029077E">
        <w:rPr>
          <w:rFonts w:ascii="Book Antiqua" w:eastAsia="Book Antiqua" w:hAnsi="Book Antiqua" w:cs="Book Antiqua"/>
          <w:color w:val="000000"/>
        </w:rPr>
        <w:t xml:space="preserve">Zhongshan Hospital </w:t>
      </w:r>
      <w:r w:rsidR="00D4072F">
        <w:rPr>
          <w:rFonts w:ascii="Book Antiqua" w:eastAsia="Book Antiqua" w:hAnsi="Book Antiqua" w:cs="Book Antiqua"/>
          <w:color w:val="000000"/>
        </w:rPr>
        <w:t>A</w:t>
      </w:r>
      <w:r w:rsidR="0029077E">
        <w:rPr>
          <w:rFonts w:ascii="Book Antiqua" w:eastAsia="Book Antiqua" w:hAnsi="Book Antiqua" w:cs="Book Antiqua"/>
          <w:color w:val="000000"/>
        </w:rPr>
        <w:t>ffiliated to Fudan University (Figure 1). Subsequently, special segmental hepatectomy was performed. Intraoperatively, a tumor was found in segment V, with a complete capsule, clear boundary, and soft texture; moreover, no tumor thrombus was found in the hepatic and portal veins or bile ducts. Postoperative pathological examination confirmed a grade II HCC with no nodular cirrhosis (G1S3</w:t>
      </w:r>
      <w:r w:rsidR="00156D7E">
        <w:rPr>
          <w:rFonts w:ascii="Book Antiqua" w:eastAsia="Book Antiqua" w:hAnsi="Book Antiqua" w:cs="Book Antiqua"/>
          <w:color w:val="000000"/>
        </w:rPr>
        <w:t>, Figure 2A</w:t>
      </w:r>
      <w:r w:rsidR="0029077E">
        <w:rPr>
          <w:rFonts w:ascii="Book Antiqua" w:eastAsia="Book Antiqua" w:hAnsi="Book Antiqua" w:cs="Book Antiqua"/>
          <w:color w:val="000000"/>
        </w:rPr>
        <w:t>). Postoperatively, the patient continued taking ETV, regular follow-ups revealed normal liver function, and MRI findings did not change significantly.</w:t>
      </w:r>
    </w:p>
    <w:p w14:paraId="18023517" w14:textId="77777777" w:rsidR="00A77B3E" w:rsidRDefault="00A77B3E">
      <w:pPr>
        <w:spacing w:line="360" w:lineRule="auto"/>
        <w:jc w:val="both"/>
      </w:pPr>
    </w:p>
    <w:p w14:paraId="27BB7931" w14:textId="77777777" w:rsidR="00A77B3E" w:rsidRDefault="0029077E">
      <w:pPr>
        <w:spacing w:line="360" w:lineRule="auto"/>
        <w:jc w:val="both"/>
      </w:pPr>
      <w:r>
        <w:rPr>
          <w:rFonts w:ascii="Book Antiqua" w:eastAsia="Book Antiqua" w:hAnsi="Book Antiqua" w:cs="Book Antiqua"/>
          <w:b/>
          <w:i/>
          <w:color w:val="000000"/>
        </w:rPr>
        <w:t>History of past illness</w:t>
      </w:r>
    </w:p>
    <w:p w14:paraId="5E250B5D" w14:textId="77777777" w:rsidR="00A77B3E" w:rsidRDefault="0029077E">
      <w:pPr>
        <w:spacing w:line="360" w:lineRule="auto"/>
        <w:jc w:val="both"/>
      </w:pPr>
      <w:r>
        <w:rPr>
          <w:rFonts w:ascii="Book Antiqua" w:eastAsia="Book Antiqua" w:hAnsi="Book Antiqua" w:cs="Book Antiqua"/>
          <w:color w:val="000000"/>
        </w:rPr>
        <w:t>The patient had no previous noteworthy medical history.</w:t>
      </w:r>
    </w:p>
    <w:p w14:paraId="4E31E253" w14:textId="77777777" w:rsidR="00A77B3E" w:rsidRDefault="00A77B3E">
      <w:pPr>
        <w:spacing w:line="360" w:lineRule="auto"/>
        <w:jc w:val="both"/>
      </w:pPr>
    </w:p>
    <w:p w14:paraId="6AC46770" w14:textId="77777777" w:rsidR="00A77B3E" w:rsidRDefault="0029077E">
      <w:pPr>
        <w:spacing w:line="360" w:lineRule="auto"/>
        <w:jc w:val="both"/>
      </w:pPr>
      <w:r>
        <w:rPr>
          <w:rFonts w:ascii="Book Antiqua" w:eastAsia="Book Antiqua" w:hAnsi="Book Antiqua" w:cs="Book Antiqua"/>
          <w:b/>
          <w:i/>
          <w:color w:val="000000"/>
        </w:rPr>
        <w:t>Personal and family history</w:t>
      </w:r>
    </w:p>
    <w:p w14:paraId="0BC11300" w14:textId="77777777" w:rsidR="00A77B3E" w:rsidRDefault="0029077E">
      <w:pPr>
        <w:spacing w:line="360" w:lineRule="auto"/>
        <w:jc w:val="both"/>
      </w:pPr>
      <w:r>
        <w:rPr>
          <w:rFonts w:ascii="Book Antiqua" w:eastAsia="Book Antiqua" w:hAnsi="Book Antiqua" w:cs="Book Antiqua"/>
          <w:color w:val="000000"/>
        </w:rPr>
        <w:t>The patient did not smoke tobacco or consume alcohol. His father died of HCC in 1974.</w:t>
      </w:r>
    </w:p>
    <w:p w14:paraId="09029C47" w14:textId="77777777" w:rsidR="00A77B3E" w:rsidRDefault="00A77B3E">
      <w:pPr>
        <w:spacing w:line="360" w:lineRule="auto"/>
        <w:jc w:val="both"/>
      </w:pPr>
    </w:p>
    <w:p w14:paraId="443208E3" w14:textId="77777777" w:rsidR="00A77B3E" w:rsidRDefault="0029077E">
      <w:pPr>
        <w:spacing w:line="360" w:lineRule="auto"/>
        <w:jc w:val="both"/>
      </w:pPr>
      <w:r>
        <w:rPr>
          <w:rFonts w:ascii="Book Antiqua" w:eastAsia="Book Antiqua" w:hAnsi="Book Antiqua" w:cs="Book Antiqua"/>
          <w:b/>
          <w:i/>
          <w:color w:val="000000"/>
        </w:rPr>
        <w:t>Physical examination</w:t>
      </w:r>
    </w:p>
    <w:p w14:paraId="4E8BD60A" w14:textId="68AAF5EE" w:rsidR="00A77B3E" w:rsidRDefault="0029077E">
      <w:pPr>
        <w:spacing w:line="360" w:lineRule="auto"/>
        <w:jc w:val="both"/>
      </w:pPr>
      <w:r>
        <w:rPr>
          <w:rFonts w:ascii="Book Antiqua" w:eastAsia="Book Antiqua" w:hAnsi="Book Antiqua" w:cs="Book Antiqua"/>
          <w:color w:val="000000"/>
        </w:rPr>
        <w:t>The patient’s height and weight were 176</w:t>
      </w:r>
      <w:r w:rsidR="00D4072F">
        <w:rPr>
          <w:rFonts w:ascii="Book Antiqua" w:eastAsia="Book Antiqua" w:hAnsi="Book Antiqua" w:cs="Book Antiqua"/>
          <w:color w:val="000000"/>
        </w:rPr>
        <w:t xml:space="preserve"> </w:t>
      </w:r>
      <w:r>
        <w:rPr>
          <w:rFonts w:ascii="Book Antiqua" w:eastAsia="Book Antiqua" w:hAnsi="Book Antiqua" w:cs="Book Antiqua"/>
          <w:color w:val="000000"/>
        </w:rPr>
        <w:t>cm and 76</w:t>
      </w:r>
      <w:r w:rsidR="00D4072F">
        <w:rPr>
          <w:rFonts w:ascii="Book Antiqua" w:eastAsia="Book Antiqua" w:hAnsi="Book Antiqua" w:cs="Book Antiqua"/>
          <w:color w:val="000000"/>
        </w:rPr>
        <w:t xml:space="preserve"> </w:t>
      </w:r>
      <w:r>
        <w:rPr>
          <w:rFonts w:ascii="Book Antiqua" w:eastAsia="Book Antiqua" w:hAnsi="Book Antiqua" w:cs="Book Antiqua"/>
          <w:color w:val="000000"/>
        </w:rPr>
        <w:t>kg, respectively. The patient had a body temperature of 36.2</w:t>
      </w:r>
      <w:r w:rsidR="00D4072F">
        <w:rPr>
          <w:rFonts w:ascii="Book Antiqua" w:eastAsia="Book Antiqua" w:hAnsi="Book Antiqua" w:cs="Book Antiqua"/>
          <w:color w:val="000000"/>
        </w:rPr>
        <w:t xml:space="preserve"> </w:t>
      </w:r>
      <w:r>
        <w:rPr>
          <w:rFonts w:ascii="Book Antiqua" w:eastAsia="Book Antiqua" w:hAnsi="Book Antiqua" w:cs="Book Antiqua"/>
          <w:color w:val="000000"/>
        </w:rPr>
        <w:t>°C, blood pressure of 145/78</w:t>
      </w:r>
      <w:r w:rsidR="00D4072F">
        <w:rPr>
          <w:rFonts w:ascii="Book Antiqua" w:eastAsia="Book Antiqua" w:hAnsi="Book Antiqua" w:cs="Book Antiqua"/>
          <w:color w:val="000000"/>
        </w:rPr>
        <w:t xml:space="preserve"> </w:t>
      </w:r>
      <w:r>
        <w:rPr>
          <w:rFonts w:ascii="Book Antiqua" w:eastAsia="Book Antiqua" w:hAnsi="Book Antiqua" w:cs="Book Antiqua"/>
          <w:color w:val="000000"/>
        </w:rPr>
        <w:t>mmHg, and pulse rate of 76</w:t>
      </w:r>
      <w:r w:rsidR="00D4072F">
        <w:rPr>
          <w:rFonts w:ascii="Book Antiqua" w:eastAsia="Book Antiqua" w:hAnsi="Book Antiqua" w:cs="Book Antiqua"/>
          <w:color w:val="000000"/>
        </w:rPr>
        <w:t xml:space="preserve"> </w:t>
      </w:r>
      <w:r>
        <w:rPr>
          <w:rFonts w:ascii="Book Antiqua" w:eastAsia="Book Antiqua" w:hAnsi="Book Antiqua" w:cs="Book Antiqua"/>
          <w:color w:val="000000"/>
        </w:rPr>
        <w:t>beats/min. The abdomen was soft and flat, with no pain or tenderness. No edema of the lower extremities was observed.</w:t>
      </w:r>
    </w:p>
    <w:p w14:paraId="659F14D9" w14:textId="77777777" w:rsidR="00A77B3E" w:rsidRDefault="00A77B3E">
      <w:pPr>
        <w:spacing w:line="360" w:lineRule="auto"/>
        <w:jc w:val="both"/>
      </w:pPr>
    </w:p>
    <w:p w14:paraId="22EFB328" w14:textId="77777777" w:rsidR="00A77B3E" w:rsidRDefault="0029077E">
      <w:pPr>
        <w:spacing w:line="360" w:lineRule="auto"/>
        <w:jc w:val="both"/>
      </w:pPr>
      <w:r>
        <w:rPr>
          <w:rFonts w:ascii="Book Antiqua" w:eastAsia="Book Antiqua" w:hAnsi="Book Antiqua" w:cs="Book Antiqua"/>
          <w:b/>
          <w:i/>
          <w:color w:val="000000"/>
        </w:rPr>
        <w:t>Laboratory examinations</w:t>
      </w:r>
    </w:p>
    <w:p w14:paraId="60B8D5B4" w14:textId="544AE9FE" w:rsidR="00A77B3E" w:rsidRDefault="0029077E">
      <w:pPr>
        <w:spacing w:line="360" w:lineRule="auto"/>
        <w:jc w:val="both"/>
      </w:pPr>
      <w:r>
        <w:rPr>
          <w:rFonts w:ascii="Book Antiqua" w:eastAsia="Book Antiqua" w:hAnsi="Book Antiqua" w:cs="Book Antiqua"/>
          <w:color w:val="000000"/>
        </w:rPr>
        <w:t>The results of the analyses performed on February 27, 2019</w:t>
      </w:r>
      <w:r w:rsidR="00E247D6">
        <w:rPr>
          <w:rFonts w:ascii="Book Antiqua" w:eastAsia="Book Antiqua" w:hAnsi="Book Antiqua" w:cs="Book Antiqua"/>
          <w:color w:val="000000"/>
        </w:rPr>
        <w:t xml:space="preserve"> </w:t>
      </w:r>
      <w:r>
        <w:rPr>
          <w:rFonts w:ascii="Book Antiqua" w:eastAsia="Book Antiqua" w:hAnsi="Book Antiqua" w:cs="Book Antiqua"/>
          <w:color w:val="000000"/>
        </w:rPr>
        <w:t xml:space="preserve">before the initial treatment, were as follows: </w:t>
      </w:r>
      <w:r w:rsidR="00D4072F">
        <w:rPr>
          <w:rFonts w:ascii="Book Antiqua" w:eastAsia="Book Antiqua" w:hAnsi="Book Antiqua" w:cs="Book Antiqua"/>
          <w:color w:val="000000"/>
        </w:rPr>
        <w:t>F</w:t>
      </w:r>
      <w:r>
        <w:rPr>
          <w:rFonts w:ascii="Book Antiqua" w:eastAsia="Book Antiqua" w:hAnsi="Book Antiqua" w:cs="Book Antiqua"/>
          <w:color w:val="000000"/>
        </w:rPr>
        <w:t>or serology (Abbott), HBsAg, 572.03</w:t>
      </w:r>
      <w:r w:rsidR="00D4072F">
        <w:rPr>
          <w:rFonts w:ascii="Book Antiqua" w:eastAsia="Book Antiqua" w:hAnsi="Book Antiqua" w:cs="Book Antiqua"/>
          <w:color w:val="000000"/>
        </w:rPr>
        <w:t xml:space="preserve"> </w:t>
      </w:r>
      <w:r>
        <w:rPr>
          <w:rFonts w:ascii="Book Antiqua" w:eastAsia="Book Antiqua" w:hAnsi="Book Antiqua" w:cs="Book Antiqua"/>
          <w:color w:val="000000"/>
        </w:rPr>
        <w:t>IU/mL; HBeAb, 0.79</w:t>
      </w:r>
      <w:r w:rsidR="00D4072F">
        <w:rPr>
          <w:rFonts w:ascii="Book Antiqua" w:eastAsia="Book Antiqua" w:hAnsi="Book Antiqua" w:cs="Book Antiqua"/>
          <w:color w:val="000000"/>
        </w:rPr>
        <w:t xml:space="preserve"> </w:t>
      </w:r>
      <w:r>
        <w:rPr>
          <w:rFonts w:ascii="Book Antiqua" w:eastAsia="Book Antiqua" w:hAnsi="Book Antiqua" w:cs="Book Antiqua"/>
          <w:color w:val="000000"/>
        </w:rPr>
        <w:t>S/CO; HBcAb, 1.13</w:t>
      </w:r>
      <w:r w:rsidR="00D4072F">
        <w:rPr>
          <w:rFonts w:ascii="Book Antiqua" w:eastAsia="Book Antiqua" w:hAnsi="Book Antiqua" w:cs="Book Antiqua"/>
          <w:color w:val="000000"/>
        </w:rPr>
        <w:t xml:space="preserve"> </w:t>
      </w:r>
      <w:r>
        <w:rPr>
          <w:rFonts w:ascii="Book Antiqua" w:eastAsia="Book Antiqua" w:hAnsi="Book Antiqua" w:cs="Book Antiqua"/>
          <w:color w:val="000000"/>
        </w:rPr>
        <w:t>S/CO; and alpha-fetoprotein (AFP), 3.06</w:t>
      </w:r>
      <w:r w:rsidR="00D4072F">
        <w:rPr>
          <w:rFonts w:ascii="Book Antiqua" w:eastAsia="Book Antiqua" w:hAnsi="Book Antiqua" w:cs="Book Antiqua"/>
          <w:color w:val="000000"/>
        </w:rPr>
        <w:t xml:space="preserve"> </w:t>
      </w:r>
      <w:r>
        <w:rPr>
          <w:rFonts w:ascii="Book Antiqua" w:eastAsia="Book Antiqua" w:hAnsi="Book Antiqua" w:cs="Book Antiqua"/>
          <w:color w:val="000000"/>
        </w:rPr>
        <w:t xml:space="preserve">ng/mL; for biochemistry, </w:t>
      </w:r>
      <w:r w:rsidR="00D4072F">
        <w:rPr>
          <w:rFonts w:ascii="Book Antiqua" w:eastAsia="Book Antiqua" w:hAnsi="Book Antiqua" w:cs="Book Antiqua"/>
          <w:color w:val="000000"/>
        </w:rPr>
        <w:t>a</w:t>
      </w:r>
      <w:r w:rsidR="00D4072F" w:rsidRPr="00D4072F">
        <w:rPr>
          <w:rFonts w:ascii="Book Antiqua" w:eastAsia="Book Antiqua" w:hAnsi="Book Antiqua" w:cs="Book Antiqua"/>
          <w:color w:val="000000"/>
        </w:rPr>
        <w:t xml:space="preserve">lanine aminotransferase </w:t>
      </w:r>
      <w:r w:rsidR="00D4072F">
        <w:rPr>
          <w:rFonts w:ascii="Book Antiqua" w:eastAsia="Book Antiqua" w:hAnsi="Book Antiqua" w:cs="Book Antiqua"/>
          <w:color w:val="000000"/>
        </w:rPr>
        <w:t>(</w:t>
      </w:r>
      <w:r>
        <w:rPr>
          <w:rFonts w:ascii="Book Antiqua" w:eastAsia="Book Antiqua" w:hAnsi="Book Antiqua" w:cs="Book Antiqua"/>
          <w:color w:val="000000"/>
        </w:rPr>
        <w:t>ALT</w:t>
      </w:r>
      <w:r w:rsidR="00D4072F">
        <w:rPr>
          <w:rFonts w:ascii="Book Antiqua" w:eastAsia="Book Antiqua" w:hAnsi="Book Antiqua" w:cs="Book Antiqua"/>
          <w:color w:val="000000"/>
        </w:rPr>
        <w:t>)</w:t>
      </w:r>
      <w:r>
        <w:rPr>
          <w:rFonts w:ascii="Book Antiqua" w:eastAsia="Book Antiqua" w:hAnsi="Book Antiqua" w:cs="Book Antiqua"/>
          <w:color w:val="000000"/>
        </w:rPr>
        <w:t>, 22</w:t>
      </w:r>
      <w:r w:rsidR="00D4072F">
        <w:rPr>
          <w:rFonts w:ascii="Book Antiqua" w:eastAsia="Book Antiqua" w:hAnsi="Book Antiqua" w:cs="Book Antiqua"/>
          <w:color w:val="000000"/>
        </w:rPr>
        <w:t xml:space="preserve"> </w:t>
      </w:r>
      <w:r>
        <w:rPr>
          <w:rFonts w:ascii="Book Antiqua" w:eastAsia="Book Antiqua" w:hAnsi="Book Antiqua" w:cs="Book Antiqua"/>
          <w:color w:val="000000"/>
        </w:rPr>
        <w:t>U/L</w:t>
      </w:r>
      <w:r w:rsidR="00E247D6">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D4072F" w:rsidRPr="00D4072F">
        <w:rPr>
          <w:rFonts w:ascii="Book Antiqua" w:eastAsia="Book Antiqua" w:hAnsi="Book Antiqua" w:cs="Book Antiqua"/>
          <w:color w:val="000000"/>
        </w:rPr>
        <w:t xml:space="preserve">aspartate aminotransferase </w:t>
      </w:r>
      <w:r w:rsidR="00D4072F">
        <w:rPr>
          <w:rFonts w:ascii="Book Antiqua" w:eastAsia="Book Antiqua" w:hAnsi="Book Antiqua" w:cs="Book Antiqua"/>
          <w:color w:val="000000"/>
        </w:rPr>
        <w:t>(</w:t>
      </w:r>
      <w:r>
        <w:rPr>
          <w:rFonts w:ascii="Book Antiqua" w:eastAsia="Book Antiqua" w:hAnsi="Book Antiqua" w:cs="Book Antiqua"/>
          <w:color w:val="000000"/>
        </w:rPr>
        <w:t>AST</w:t>
      </w:r>
      <w:r w:rsidR="00D4072F">
        <w:rPr>
          <w:rFonts w:ascii="Book Antiqua" w:eastAsia="Book Antiqua" w:hAnsi="Book Antiqua" w:cs="Book Antiqua"/>
          <w:color w:val="000000"/>
        </w:rPr>
        <w:t>)</w:t>
      </w:r>
      <w:r>
        <w:rPr>
          <w:rFonts w:ascii="Book Antiqua" w:eastAsia="Book Antiqua" w:hAnsi="Book Antiqua" w:cs="Book Antiqua"/>
          <w:color w:val="000000"/>
        </w:rPr>
        <w:t>, 25</w:t>
      </w:r>
      <w:r w:rsidR="00D4072F">
        <w:rPr>
          <w:rFonts w:ascii="Book Antiqua" w:eastAsia="Book Antiqua" w:hAnsi="Book Antiqua" w:cs="Book Antiqua"/>
          <w:color w:val="000000"/>
        </w:rPr>
        <w:t xml:space="preserve"> </w:t>
      </w:r>
      <w:r>
        <w:rPr>
          <w:rFonts w:ascii="Book Antiqua" w:eastAsia="Book Antiqua" w:hAnsi="Book Antiqua" w:cs="Book Antiqua"/>
          <w:color w:val="000000"/>
        </w:rPr>
        <w:t>U/L; for virology, HBV DNA (cobas), &lt;</w:t>
      </w:r>
      <w:r w:rsidR="00D4072F">
        <w:rPr>
          <w:rFonts w:ascii="Book Antiqua" w:eastAsia="Book Antiqua" w:hAnsi="Book Antiqua" w:cs="Book Antiqua"/>
          <w:color w:val="000000"/>
        </w:rPr>
        <w:t xml:space="preserve"> </w:t>
      </w:r>
      <w:r>
        <w:rPr>
          <w:rFonts w:ascii="Book Antiqua" w:eastAsia="Book Antiqua" w:hAnsi="Book Antiqua" w:cs="Book Antiqua"/>
          <w:color w:val="000000"/>
        </w:rPr>
        <w:t>20</w:t>
      </w:r>
      <w:r w:rsidR="00D4072F">
        <w:rPr>
          <w:rFonts w:ascii="Book Antiqua" w:eastAsia="Book Antiqua" w:hAnsi="Book Antiqua" w:cs="Book Antiqua"/>
          <w:color w:val="000000"/>
        </w:rPr>
        <w:t xml:space="preserve"> </w:t>
      </w:r>
      <w:r>
        <w:rPr>
          <w:rFonts w:ascii="Book Antiqua" w:eastAsia="Book Antiqua" w:hAnsi="Book Antiqua" w:cs="Book Antiqua"/>
          <w:color w:val="000000"/>
        </w:rPr>
        <w:t xml:space="preserve">IU/mL; and for the blood routine test, </w:t>
      </w:r>
      <w:r w:rsidR="00D4072F" w:rsidRPr="00D4072F">
        <w:rPr>
          <w:rFonts w:ascii="Book Antiqua" w:eastAsia="Book Antiqua" w:hAnsi="Book Antiqua" w:cs="Book Antiqua"/>
          <w:color w:val="000000"/>
        </w:rPr>
        <w:t>white blood cell</w:t>
      </w:r>
      <w:r w:rsidR="00E247D6">
        <w:rPr>
          <w:rFonts w:ascii="Book Antiqua" w:eastAsia="Book Antiqua" w:hAnsi="Book Antiqua" w:cs="Book Antiqua"/>
          <w:color w:val="000000"/>
        </w:rPr>
        <w:t xml:space="preserve"> count</w:t>
      </w:r>
      <w:r>
        <w:rPr>
          <w:rFonts w:ascii="Book Antiqua" w:eastAsia="Book Antiqua" w:hAnsi="Book Antiqua" w:cs="Book Antiqua"/>
          <w:color w:val="000000"/>
        </w:rPr>
        <w:t>, 6.38</w:t>
      </w:r>
      <w:r w:rsidR="00D4072F">
        <w:rPr>
          <w:rFonts w:ascii="Book Antiqua" w:eastAsia="Book Antiqua" w:hAnsi="Book Antiqua" w:cs="Book Antiqua"/>
          <w:color w:val="000000"/>
        </w:rPr>
        <w:t xml:space="preserve"> </w:t>
      </w:r>
      <w:r>
        <w:rPr>
          <w:rFonts w:ascii="Book Antiqua" w:eastAsia="Book Antiqua" w:hAnsi="Book Antiqua" w:cs="Book Antiqua"/>
          <w:color w:val="000000"/>
        </w:rPr>
        <w:t>×</w:t>
      </w:r>
      <w:r w:rsidR="00D4072F">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neutrophil count, 2.21</w:t>
      </w:r>
      <w:r w:rsidR="00D4072F">
        <w:rPr>
          <w:rFonts w:ascii="Book Antiqua" w:eastAsia="Book Antiqua" w:hAnsi="Book Antiqua" w:cs="Book Antiqua"/>
          <w:color w:val="000000"/>
        </w:rPr>
        <w:t xml:space="preserve"> </w:t>
      </w:r>
      <w:r>
        <w:rPr>
          <w:rFonts w:ascii="Book Antiqua" w:eastAsia="Book Antiqua" w:hAnsi="Book Antiqua" w:cs="Book Antiqua"/>
          <w:color w:val="000000"/>
        </w:rPr>
        <w:t>×</w:t>
      </w:r>
      <w:r w:rsidR="00D4072F">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and platelet count, 156</w:t>
      </w:r>
      <w:r w:rsidR="00D4072F">
        <w:rPr>
          <w:rFonts w:ascii="Book Antiqua" w:eastAsia="Book Antiqua" w:hAnsi="Book Antiqua" w:cs="Book Antiqua"/>
          <w:color w:val="000000"/>
        </w:rPr>
        <w:t xml:space="preserve"> </w:t>
      </w:r>
      <w:r>
        <w:rPr>
          <w:rFonts w:ascii="Book Antiqua" w:eastAsia="Book Antiqua" w:hAnsi="Book Antiqua" w:cs="Book Antiqua"/>
          <w:color w:val="000000"/>
        </w:rPr>
        <w:t>×</w:t>
      </w:r>
      <w:r w:rsidR="00D4072F">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The results of the thyroid function tests (TSH, FT3, and FT4) were normal; autoimmune liver disease-related antibodies were all negative.</w:t>
      </w:r>
    </w:p>
    <w:p w14:paraId="2DEB41DE" w14:textId="77777777" w:rsidR="00A77B3E" w:rsidRDefault="00A77B3E">
      <w:pPr>
        <w:spacing w:line="360" w:lineRule="auto"/>
        <w:jc w:val="both"/>
      </w:pPr>
    </w:p>
    <w:p w14:paraId="354AB592" w14:textId="77777777" w:rsidR="00A77B3E" w:rsidRDefault="0029077E">
      <w:pPr>
        <w:spacing w:line="360" w:lineRule="auto"/>
        <w:jc w:val="both"/>
      </w:pPr>
      <w:r>
        <w:rPr>
          <w:rFonts w:ascii="Book Antiqua" w:eastAsia="Book Antiqua" w:hAnsi="Book Antiqua" w:cs="Book Antiqua"/>
          <w:b/>
          <w:i/>
          <w:color w:val="000000"/>
        </w:rPr>
        <w:t>Imaging examinations</w:t>
      </w:r>
    </w:p>
    <w:p w14:paraId="0E24664D" w14:textId="77777777" w:rsidR="00A77B3E" w:rsidRDefault="0029077E">
      <w:pPr>
        <w:spacing w:line="360" w:lineRule="auto"/>
        <w:jc w:val="both"/>
      </w:pPr>
      <w:r>
        <w:rPr>
          <w:rFonts w:ascii="Book Antiqua" w:eastAsia="Book Antiqua" w:hAnsi="Book Antiqua" w:cs="Book Antiqua"/>
          <w:color w:val="000000"/>
        </w:rPr>
        <w:t>Electrocardiography was normal, and abdominal color Doppler ultrasonography and liver ultrasound scans showed slightly coarse images, with no nodules or space-occupying lesions.</w:t>
      </w:r>
    </w:p>
    <w:p w14:paraId="25755DA8" w14:textId="77777777" w:rsidR="00A77B3E" w:rsidRDefault="00A77B3E">
      <w:pPr>
        <w:spacing w:line="360" w:lineRule="auto"/>
        <w:jc w:val="both"/>
      </w:pPr>
    </w:p>
    <w:p w14:paraId="2296CD06" w14:textId="77777777" w:rsidR="00A77B3E" w:rsidRDefault="0029077E">
      <w:pPr>
        <w:spacing w:line="360" w:lineRule="auto"/>
        <w:jc w:val="both"/>
      </w:pPr>
      <w:r>
        <w:rPr>
          <w:rFonts w:ascii="Book Antiqua" w:eastAsia="Book Antiqua" w:hAnsi="Book Antiqua" w:cs="Book Antiqua"/>
          <w:b/>
          <w:caps/>
          <w:color w:val="000000"/>
          <w:u w:val="single"/>
        </w:rPr>
        <w:t>FINAL DIAGNOSIS</w:t>
      </w:r>
    </w:p>
    <w:p w14:paraId="0E44349A" w14:textId="3F7242D1" w:rsidR="00A77B3E" w:rsidRDefault="0029077E">
      <w:pPr>
        <w:spacing w:line="360" w:lineRule="auto"/>
        <w:jc w:val="both"/>
      </w:pPr>
      <w:r>
        <w:rPr>
          <w:rFonts w:ascii="Book Antiqua" w:eastAsia="Book Antiqua" w:hAnsi="Book Antiqua" w:cs="Book Antiqua"/>
          <w:color w:val="000000"/>
        </w:rPr>
        <w:t>HBeAg negative chronic hepatitis B; non-cirrhotic HCC after hepatectomy</w:t>
      </w:r>
      <w:r w:rsidR="00D4072F">
        <w:rPr>
          <w:rFonts w:ascii="Book Antiqua" w:eastAsia="Book Antiqua" w:hAnsi="Book Antiqua" w:cs="Book Antiqua"/>
          <w:color w:val="000000"/>
        </w:rPr>
        <w:t>.</w:t>
      </w:r>
    </w:p>
    <w:p w14:paraId="69A2AE1E" w14:textId="77777777" w:rsidR="00A77B3E" w:rsidRDefault="00A77B3E">
      <w:pPr>
        <w:spacing w:line="360" w:lineRule="auto"/>
        <w:jc w:val="both"/>
      </w:pPr>
    </w:p>
    <w:p w14:paraId="20FE9B41" w14:textId="77777777" w:rsidR="00A77B3E" w:rsidRDefault="0029077E">
      <w:pPr>
        <w:spacing w:line="360" w:lineRule="auto"/>
        <w:jc w:val="both"/>
      </w:pPr>
      <w:r>
        <w:rPr>
          <w:rFonts w:ascii="Book Antiqua" w:eastAsia="Book Antiqua" w:hAnsi="Book Antiqua" w:cs="Book Antiqua"/>
          <w:b/>
          <w:caps/>
          <w:color w:val="000000"/>
          <w:u w:val="single"/>
        </w:rPr>
        <w:t>TREATMENT</w:t>
      </w:r>
    </w:p>
    <w:p w14:paraId="6296C4BC" w14:textId="3253F469" w:rsidR="00A77B3E" w:rsidRDefault="0029077E">
      <w:pPr>
        <w:spacing w:line="360" w:lineRule="auto"/>
        <w:jc w:val="both"/>
      </w:pPr>
      <w:r>
        <w:rPr>
          <w:rFonts w:ascii="Book Antiqua" w:eastAsia="Book Antiqua" w:hAnsi="Book Antiqua" w:cs="Book Antiqua"/>
          <w:color w:val="000000"/>
        </w:rPr>
        <w:t>The treatment regimen was PEG IFNα-2b (180</w:t>
      </w:r>
      <w:r w:rsidR="00EA0751">
        <w:rPr>
          <w:rFonts w:ascii="Book Antiqua" w:eastAsia="Book Antiqua" w:hAnsi="Book Antiqua" w:cs="Book Antiqua"/>
          <w:color w:val="000000"/>
        </w:rPr>
        <w:t xml:space="preserve"> </w:t>
      </w:r>
      <w:r>
        <w:rPr>
          <w:rFonts w:ascii="Book Antiqua" w:eastAsia="Book Antiqua" w:hAnsi="Book Antiqua" w:cs="Book Antiqua"/>
          <w:color w:val="000000"/>
        </w:rPr>
        <w:t xml:space="preserve">μg qw, </w:t>
      </w:r>
      <w:r w:rsidR="001A35BC" w:rsidRPr="001A35BC">
        <w:rPr>
          <w:rFonts w:ascii="Book Antiqua" w:eastAsia="Book Antiqua" w:hAnsi="Book Antiqua" w:cs="Book Antiqua"/>
          <w:color w:val="000000"/>
        </w:rPr>
        <w:t>Amoytop Biotech</w:t>
      </w:r>
      <w:r>
        <w:rPr>
          <w:rFonts w:ascii="Book Antiqua" w:eastAsia="Book Antiqua" w:hAnsi="Book Antiqua" w:cs="Book Antiqua"/>
          <w:color w:val="000000"/>
        </w:rPr>
        <w:t xml:space="preserve"> Co., LTD., Xiamen, China)</w:t>
      </w:r>
      <w:r w:rsidR="00EA0751">
        <w:rPr>
          <w:rFonts w:ascii="Book Antiqua" w:eastAsia="Book Antiqua" w:hAnsi="Book Antiqua" w:cs="Book Antiqua"/>
          <w:color w:val="000000"/>
        </w:rPr>
        <w:t xml:space="preserve"> </w:t>
      </w:r>
      <w:r>
        <w:rPr>
          <w:rFonts w:ascii="Book Antiqua" w:eastAsia="Book Antiqua" w:hAnsi="Book Antiqua" w:cs="Book Antiqua"/>
          <w:color w:val="000000"/>
        </w:rPr>
        <w:t>+</w:t>
      </w:r>
      <w:r w:rsidR="00EA0751">
        <w:rPr>
          <w:rFonts w:ascii="Book Antiqua" w:eastAsia="Book Antiqua" w:hAnsi="Book Antiqua" w:cs="Book Antiqua"/>
          <w:color w:val="000000"/>
        </w:rPr>
        <w:t xml:space="preserve"> </w:t>
      </w:r>
      <w:r>
        <w:rPr>
          <w:rFonts w:ascii="Book Antiqua" w:eastAsia="Book Antiqua" w:hAnsi="Book Antiqua" w:cs="Book Antiqua"/>
          <w:color w:val="000000"/>
        </w:rPr>
        <w:t>ETV (0.5</w:t>
      </w:r>
      <w:r w:rsidR="00EA0751">
        <w:rPr>
          <w:rFonts w:ascii="Book Antiqua" w:eastAsia="Book Antiqua" w:hAnsi="Book Antiqua" w:cs="Book Antiqua"/>
          <w:color w:val="000000"/>
        </w:rPr>
        <w:t xml:space="preserve"> </w:t>
      </w:r>
      <w:r>
        <w:rPr>
          <w:rFonts w:ascii="Book Antiqua" w:eastAsia="Book Antiqua" w:hAnsi="Book Antiqua" w:cs="Book Antiqua"/>
          <w:color w:val="000000"/>
        </w:rPr>
        <w:t>mg qd, Bristol Myers Squibb Co., NY, U</w:t>
      </w:r>
      <w:r w:rsidR="00EA0751">
        <w:rPr>
          <w:rFonts w:ascii="Book Antiqua" w:eastAsia="Book Antiqua" w:hAnsi="Book Antiqua" w:cs="Book Antiqua"/>
          <w:color w:val="000000"/>
        </w:rPr>
        <w:t>nited States</w:t>
      </w:r>
      <w:r>
        <w:rPr>
          <w:rFonts w:ascii="Book Antiqua" w:eastAsia="Book Antiqua" w:hAnsi="Book Antiqua" w:cs="Book Antiqua"/>
          <w:color w:val="000000"/>
        </w:rPr>
        <w:t>). After 12 wk, hepatitis B vaccine (60</w:t>
      </w:r>
      <w:r w:rsidR="00EA0751">
        <w:rPr>
          <w:rFonts w:ascii="Book Antiqua" w:eastAsia="Book Antiqua" w:hAnsi="Book Antiqua" w:cs="Book Antiqua"/>
          <w:color w:val="000000"/>
        </w:rPr>
        <w:t xml:space="preserve"> </w:t>
      </w:r>
      <w:r>
        <w:rPr>
          <w:rFonts w:ascii="Book Antiqua" w:eastAsia="Book Antiqua" w:hAnsi="Book Antiqua" w:cs="Book Antiqua"/>
          <w:color w:val="000000"/>
        </w:rPr>
        <w:t>μg qm, Shenzhen Kangtai Biological Products Co., Ltd., Shenzhen, China) was added.</w:t>
      </w:r>
    </w:p>
    <w:p w14:paraId="4D063C02" w14:textId="77777777" w:rsidR="00A77B3E" w:rsidRDefault="00A77B3E">
      <w:pPr>
        <w:spacing w:line="360" w:lineRule="auto"/>
        <w:jc w:val="both"/>
      </w:pPr>
    </w:p>
    <w:p w14:paraId="0338FF28" w14:textId="77777777" w:rsidR="00A77B3E" w:rsidRDefault="0029077E">
      <w:pPr>
        <w:spacing w:line="360" w:lineRule="auto"/>
        <w:jc w:val="both"/>
      </w:pPr>
      <w:r>
        <w:rPr>
          <w:rFonts w:ascii="Book Antiqua" w:eastAsia="Book Antiqua" w:hAnsi="Book Antiqua" w:cs="Book Antiqua"/>
          <w:b/>
          <w:caps/>
          <w:color w:val="000000"/>
          <w:u w:val="single"/>
        </w:rPr>
        <w:t>OUTCOME AND FOLLOW-UP</w:t>
      </w:r>
    </w:p>
    <w:p w14:paraId="3CA1609F" w14:textId="42237C15" w:rsidR="00A77B3E" w:rsidRDefault="0029077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Before the combined treatment, the scores of the FIB</w:t>
      </w:r>
      <w:r w:rsidR="00EA0751">
        <w:rPr>
          <w:rFonts w:ascii="Book Antiqua" w:eastAsia="Book Antiqua" w:hAnsi="Book Antiqua" w:cs="Book Antiqua"/>
          <w:color w:val="000000"/>
        </w:rPr>
        <w:t>-</w:t>
      </w:r>
      <w:r>
        <w:rPr>
          <w:rFonts w:ascii="Book Antiqua" w:eastAsia="Book Antiqua" w:hAnsi="Book Antiqua" w:cs="Book Antiqua"/>
          <w:color w:val="000000"/>
        </w:rPr>
        <w:t>4</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APRI</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two recognized indices for noninvasive liver fibrosis, were 2.39 and 24.36, respectively. No significant adverse reactions were found during the combined treatment, and the routine blood and biochemistry indices varied within the normal range. After 12 wk of treatment, HBsAg decreased (572.0</w:t>
      </w:r>
      <w:r w:rsidR="00EA0751">
        <w:rPr>
          <w:rFonts w:ascii="Book Antiqua" w:eastAsia="Book Antiqua" w:hAnsi="Book Antiqua" w:cs="Book Antiqua"/>
          <w:color w:val="000000"/>
        </w:rPr>
        <w:t xml:space="preserve"> to </w:t>
      </w:r>
      <w:r>
        <w:rPr>
          <w:rFonts w:ascii="Book Antiqua" w:eastAsia="Book Antiqua" w:hAnsi="Book Antiqua" w:cs="Book Antiqua"/>
          <w:color w:val="000000"/>
        </w:rPr>
        <w:t>19.79 IU/mL), ALT and AST levels increased (ALT/AST, 56/85</w:t>
      </w:r>
      <w:r w:rsidR="00EA0751">
        <w:rPr>
          <w:rFonts w:ascii="Book Antiqua" w:eastAsia="Book Antiqua" w:hAnsi="Book Antiqua" w:cs="Book Antiqua"/>
          <w:color w:val="000000"/>
        </w:rPr>
        <w:t xml:space="preserve"> </w:t>
      </w:r>
      <w:r>
        <w:rPr>
          <w:rFonts w:ascii="Book Antiqua" w:eastAsia="Book Antiqua" w:hAnsi="Book Antiqua" w:cs="Book Antiqua"/>
          <w:color w:val="000000"/>
        </w:rPr>
        <w:t>U/L), and hepatitis B vaccine was added as monthly treatment. After 16 wk of treatment, HBsAg further decreased, HBsAb increased, and ALT and AST levels peaked (ALT/AST, 83/131</w:t>
      </w:r>
      <w:r w:rsidR="00EA0751">
        <w:rPr>
          <w:rFonts w:ascii="Book Antiqua" w:eastAsia="Book Antiqua" w:hAnsi="Book Antiqua" w:cs="Book Antiqua"/>
          <w:color w:val="000000"/>
        </w:rPr>
        <w:t xml:space="preserve"> </w:t>
      </w:r>
      <w:r>
        <w:rPr>
          <w:rFonts w:ascii="Book Antiqua" w:eastAsia="Book Antiqua" w:hAnsi="Book Antiqua" w:cs="Book Antiqua"/>
          <w:color w:val="000000"/>
        </w:rPr>
        <w:t>U/L). After 28 wk of treatment, HBsAg and HBsAb further increased (2.38</w:t>
      </w:r>
      <w:r w:rsidR="00EA0751">
        <w:rPr>
          <w:rFonts w:ascii="Book Antiqua" w:eastAsia="Book Antiqua" w:hAnsi="Book Antiqua" w:cs="Book Antiqua"/>
          <w:color w:val="000000"/>
        </w:rPr>
        <w:t xml:space="preserve"> </w:t>
      </w:r>
      <w:r>
        <w:rPr>
          <w:rFonts w:ascii="Book Antiqua" w:eastAsia="Book Antiqua" w:hAnsi="Book Antiqua" w:cs="Book Antiqua"/>
          <w:color w:val="000000"/>
        </w:rPr>
        <w:t>mIU/mL), whereas ALT and AST levels decreased to normal levels. After 48 wk of treatment, HBsAb further increased (12.85</w:t>
      </w:r>
      <w:r w:rsidR="00EA0751">
        <w:rPr>
          <w:rFonts w:ascii="Book Antiqua" w:eastAsia="Book Antiqua" w:hAnsi="Book Antiqua" w:cs="Book Antiqua"/>
          <w:color w:val="000000"/>
        </w:rPr>
        <w:t xml:space="preserve"> </w:t>
      </w:r>
      <w:r>
        <w:rPr>
          <w:rFonts w:ascii="Book Antiqua" w:eastAsia="Book Antiqua" w:hAnsi="Book Antiqua" w:cs="Book Antiqua"/>
          <w:color w:val="000000"/>
        </w:rPr>
        <w:t>mIU/mL), and ALT and AST levels normalized. After 60 wk of treatment, HBsAg disappeared with seroconversion, whereas HBsAb further increased (129.69</w:t>
      </w:r>
      <w:r w:rsidR="00EA0751">
        <w:rPr>
          <w:rFonts w:ascii="Book Antiqua" w:eastAsia="Book Antiqua" w:hAnsi="Book Antiqua" w:cs="Book Antiqua"/>
          <w:color w:val="000000"/>
        </w:rPr>
        <w:t xml:space="preserve"> </w:t>
      </w:r>
      <w:r>
        <w:rPr>
          <w:rFonts w:ascii="Book Antiqua" w:eastAsia="Book Antiqua" w:hAnsi="Book Antiqua" w:cs="Book Antiqua"/>
          <w:color w:val="000000"/>
        </w:rPr>
        <w:t>mIU/mL). After 64 wk of treatment, the scores of the FIB</w:t>
      </w:r>
      <w:r w:rsidR="00EA0751">
        <w:rPr>
          <w:rFonts w:ascii="Book Antiqua" w:eastAsia="Book Antiqua" w:hAnsi="Book Antiqua" w:cs="Book Antiqua"/>
          <w:color w:val="000000"/>
        </w:rPr>
        <w:t>-</w:t>
      </w:r>
      <w:r>
        <w:rPr>
          <w:rFonts w:ascii="Book Antiqua" w:eastAsia="Book Antiqua" w:hAnsi="Book Antiqua" w:cs="Book Antiqua"/>
          <w:color w:val="000000"/>
        </w:rPr>
        <w:t>4 and APRI were significantly reduced (1.13 and 14.45, respectively), and HBsAb further increased to 446.02 mIU/mL, reaching the level of clinical cure (</w:t>
      </w:r>
      <w:r w:rsidR="00FC167B">
        <w:rPr>
          <w:rFonts w:ascii="Book Antiqua" w:eastAsia="Book Antiqua" w:hAnsi="Book Antiqua" w:cs="Book Antiqua"/>
          <w:color w:val="000000"/>
        </w:rPr>
        <w:t>Figure 3</w:t>
      </w:r>
      <w:r>
        <w:rPr>
          <w:rFonts w:ascii="Book Antiqua" w:eastAsia="Book Antiqua" w:hAnsi="Book Antiqua" w:cs="Book Antiqua"/>
          <w:color w:val="000000"/>
        </w:rPr>
        <w:t>).</w:t>
      </w:r>
    </w:p>
    <w:p w14:paraId="25085C76" w14:textId="77777777" w:rsidR="00EA0751" w:rsidRDefault="00EA0751">
      <w:pPr>
        <w:spacing w:line="360" w:lineRule="auto"/>
        <w:jc w:val="both"/>
      </w:pPr>
    </w:p>
    <w:p w14:paraId="16048B5C" w14:textId="77777777" w:rsidR="00A77B3E" w:rsidRDefault="0029077E">
      <w:pPr>
        <w:spacing w:line="360" w:lineRule="auto"/>
        <w:jc w:val="both"/>
      </w:pPr>
      <w:r>
        <w:rPr>
          <w:rFonts w:ascii="Book Antiqua" w:eastAsia="Book Antiqua" w:hAnsi="Book Antiqua" w:cs="Book Antiqua"/>
          <w:b/>
          <w:bCs/>
          <w:i/>
          <w:iCs/>
          <w:color w:val="000000"/>
        </w:rPr>
        <w:t>Pathological findings</w:t>
      </w:r>
    </w:p>
    <w:p w14:paraId="4762F980" w14:textId="58FF9195" w:rsidR="00A77B3E" w:rsidRDefault="0029077E">
      <w:pPr>
        <w:spacing w:line="360" w:lineRule="auto"/>
        <w:jc w:val="both"/>
      </w:pPr>
      <w:r>
        <w:rPr>
          <w:rFonts w:ascii="Book Antiqua" w:eastAsia="Book Antiqua" w:hAnsi="Book Antiqua" w:cs="Book Antiqua"/>
          <w:color w:val="000000"/>
        </w:rPr>
        <w:t>On July 12, 2020 (60</w:t>
      </w:r>
      <w:r w:rsidR="00EA0751">
        <w:rPr>
          <w:rFonts w:ascii="Book Antiqua" w:eastAsia="Book Antiqua" w:hAnsi="Book Antiqua" w:cs="Book Antiqua"/>
          <w:color w:val="000000"/>
        </w:rPr>
        <w:t xml:space="preserve"> </w:t>
      </w:r>
      <w:r>
        <w:rPr>
          <w:rFonts w:ascii="Book Antiqua" w:eastAsia="Book Antiqua" w:hAnsi="Book Antiqua" w:cs="Book Antiqua"/>
          <w:color w:val="000000"/>
        </w:rPr>
        <w:t xml:space="preserve">wk), </w:t>
      </w:r>
      <w:r w:rsidR="00E247D6">
        <w:rPr>
          <w:rFonts w:ascii="Book Antiqua" w:eastAsia="Book Antiqua" w:hAnsi="Book Antiqua" w:cs="Book Antiqua"/>
          <w:color w:val="000000"/>
        </w:rPr>
        <w:t xml:space="preserve">a </w:t>
      </w:r>
      <w:r>
        <w:rPr>
          <w:rFonts w:ascii="Book Antiqua" w:eastAsia="Book Antiqua" w:hAnsi="Book Antiqua" w:cs="Book Antiqua"/>
          <w:color w:val="000000"/>
        </w:rPr>
        <w:t>liver puncture biopsy was performed and assessed, showing slightly disordered arrangement of hepatic plates, swollen hepatocytes with some showing balloon-like changes, focal and narrow strip-like necrosis, a small amount of lymphocyte infiltration in the portal area, and mild interfacial inflammation, findings consistent with chronic hepatitis (G2S1, Figure 2B). Immunohistochemistry showed negative HBsAg and HBcAg results. Compared with the pathological results of HCC resection in October 2016 (Zhongshan Hospital, Shanghai, G1S3), the degree of fibrosis was significantly reversed.</w:t>
      </w:r>
    </w:p>
    <w:p w14:paraId="3B0A7C5E" w14:textId="77777777" w:rsidR="00A77B3E" w:rsidRDefault="00A77B3E">
      <w:pPr>
        <w:spacing w:line="360" w:lineRule="auto"/>
        <w:jc w:val="both"/>
      </w:pPr>
    </w:p>
    <w:p w14:paraId="1C51E5F6" w14:textId="77777777" w:rsidR="00A77B3E" w:rsidRDefault="0029077E">
      <w:pPr>
        <w:spacing w:line="360" w:lineRule="auto"/>
        <w:jc w:val="both"/>
      </w:pPr>
      <w:r>
        <w:rPr>
          <w:rFonts w:ascii="Book Antiqua" w:eastAsia="Book Antiqua" w:hAnsi="Book Antiqua" w:cs="Book Antiqua"/>
          <w:b/>
          <w:caps/>
          <w:color w:val="000000"/>
          <w:u w:val="single"/>
        </w:rPr>
        <w:t>DISCUSSION</w:t>
      </w:r>
    </w:p>
    <w:p w14:paraId="0CEFD09B" w14:textId="71DAFA08" w:rsidR="00A77B3E" w:rsidRDefault="0029077E">
      <w:pPr>
        <w:spacing w:line="360" w:lineRule="auto"/>
        <w:jc w:val="both"/>
      </w:pPr>
      <w:r>
        <w:rPr>
          <w:rFonts w:ascii="Book Antiqua" w:eastAsia="Book Antiqua" w:hAnsi="Book Antiqua" w:cs="Book Antiqua"/>
          <w:color w:val="000000"/>
        </w:rPr>
        <w:t xml:space="preserve">This </w:t>
      </w:r>
      <w:r w:rsidR="00E247D6">
        <w:rPr>
          <w:rFonts w:ascii="Book Antiqua" w:eastAsia="Book Antiqua" w:hAnsi="Book Antiqua" w:cs="Book Antiqua"/>
          <w:color w:val="000000"/>
        </w:rPr>
        <w:t>paper reports</w:t>
      </w:r>
      <w:r>
        <w:rPr>
          <w:rFonts w:ascii="Book Antiqua" w:eastAsia="Book Antiqua" w:hAnsi="Book Antiqua" w:cs="Book Antiqua"/>
          <w:color w:val="000000"/>
        </w:rPr>
        <w:t xml:space="preserve"> a patient with HBeAg-negative chronic hepatitis B who had been treated with long-term oral ETV antiviral therapy and was regularly followed</w:t>
      </w:r>
      <w:r w:rsidR="00E247D6">
        <w:rPr>
          <w:rFonts w:ascii="Book Antiqua" w:eastAsia="Book Antiqua" w:hAnsi="Book Antiqua" w:cs="Book Antiqua"/>
          <w:color w:val="000000"/>
        </w:rPr>
        <w:t xml:space="preserve"> in </w:t>
      </w:r>
      <w:r>
        <w:rPr>
          <w:rFonts w:ascii="Book Antiqua" w:eastAsia="Book Antiqua" w:hAnsi="Book Antiqua" w:cs="Book Antiqua"/>
          <w:color w:val="000000"/>
        </w:rPr>
        <w:t>the outpatient clinic. The AFP level was consistently normal. When HCC was found on color Doppler ultrasonography, there were no signs of clinical discomfort or metastasis, such as portal vein and bile duct tumor thrombi. After timely surgical treatment, survival was prolonged. Therefore, reexamination by AFP analysis and color Doppler ultrasonography or enhanced CT/MRI regularly every 3</w:t>
      </w:r>
      <w:r w:rsidR="00EA0751">
        <w:rPr>
          <w:rFonts w:ascii="Book Antiqua" w:eastAsia="Book Antiqua" w:hAnsi="Book Antiqua" w:cs="Book Antiqua"/>
          <w:color w:val="000000"/>
        </w:rPr>
        <w:t>-</w:t>
      </w:r>
      <w:r>
        <w:rPr>
          <w:rFonts w:ascii="Book Antiqua" w:eastAsia="Book Antiqua" w:hAnsi="Book Antiqua" w:cs="Book Antiqua"/>
          <w:color w:val="000000"/>
        </w:rPr>
        <w:t>6 mo to detect HCC at an early stage is particularly important for reducing HCC mortality.</w:t>
      </w:r>
    </w:p>
    <w:p w14:paraId="672293A9" w14:textId="0A62062B" w:rsidR="00A77B3E" w:rsidRDefault="0029077E" w:rsidP="00EA0751">
      <w:pPr>
        <w:spacing w:line="360" w:lineRule="auto"/>
        <w:ind w:firstLineChars="100" w:firstLine="240"/>
        <w:jc w:val="both"/>
      </w:pPr>
      <w:r>
        <w:rPr>
          <w:rFonts w:ascii="Book Antiqua" w:eastAsia="Book Antiqua" w:hAnsi="Book Antiqua" w:cs="Book Antiqua"/>
          <w:color w:val="000000"/>
        </w:rPr>
        <w:t>This patient had no discomfort, and his liver function was normal, with a single large tumor on imaging. Postoperative pathological analyses confirmed no cirrhosis or nodules; therefore, he was classified as a patient with non-cirrhotic HCC. Such patients have been shown to have a good prognosis after early surgical resection; however, the risk of postoperative HCC recurrence persists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Several factors can affect postoperative HCC recurrence, among which HBsAg is the main virus factor</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The higher the HBsAg level, the higher the long-term postoperative recurrence rate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During the seroconversion or disappearance of HBsAg, the long-term recurrence rate of HCC decreases significantly</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Interferon not only has antiviral, anti-fibrosis, and antitumor effects (or prevents HCC recurrence) but also inhibits HBsAg production and even eliminates HBsAg</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 2019, a study showed that when the HBsAg titers of patients treated with nucleos(t)ide analogs (NAs) were ≤</w:t>
      </w:r>
      <w:r w:rsidR="00EA0751">
        <w:rPr>
          <w:rFonts w:ascii="Book Antiqua" w:eastAsia="Book Antiqua" w:hAnsi="Book Antiqua" w:cs="Book Antiqua"/>
          <w:color w:val="000000"/>
        </w:rPr>
        <w:t xml:space="preserve"> </w:t>
      </w:r>
      <w:r>
        <w:rPr>
          <w:rFonts w:ascii="Book Antiqua" w:eastAsia="Book Antiqua" w:hAnsi="Book Antiqua" w:cs="Book Antiqua"/>
          <w:color w:val="000000"/>
        </w:rPr>
        <w:t>1500</w:t>
      </w:r>
      <w:r w:rsidR="00EA0751">
        <w:rPr>
          <w:rFonts w:ascii="Book Antiqua" w:eastAsia="Book Antiqua" w:hAnsi="Book Antiqua" w:cs="Book Antiqua"/>
          <w:color w:val="000000"/>
        </w:rPr>
        <w:t xml:space="preserve"> </w:t>
      </w:r>
      <w:r>
        <w:rPr>
          <w:rFonts w:ascii="Book Antiqua" w:eastAsia="Book Antiqua" w:hAnsi="Book Antiqua" w:cs="Book Antiqua"/>
          <w:color w:val="000000"/>
        </w:rPr>
        <w:t xml:space="preserve">IU/mL, NA sequential/combination therapy with PEG IFNα-2b is conducive to reducing or even eliminating HBsAg and achieving </w:t>
      </w:r>
      <w:r w:rsidR="00E247D6">
        <w:rPr>
          <w:rFonts w:ascii="Book Antiqua" w:eastAsia="Book Antiqua" w:hAnsi="Book Antiqua" w:cs="Book Antiqua"/>
          <w:color w:val="000000"/>
        </w:rPr>
        <w:t xml:space="preserve">a </w:t>
      </w:r>
      <w:r>
        <w:rPr>
          <w:rFonts w:ascii="Book Antiqua" w:eastAsia="Book Antiqua" w:hAnsi="Book Antiqua" w:cs="Book Antiqua"/>
          <w:color w:val="000000"/>
        </w:rPr>
        <w:t>clinical cure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However, there are still a small number of reports on PEG IFNα-2b combination therapy for postoperative treatment of patients with HCC, especially those without liver cirrhosis. The current patient was treated with a combination therapy of ETV</w:t>
      </w:r>
      <w:r w:rsidR="00EA0751">
        <w:rPr>
          <w:rFonts w:ascii="Book Antiqua" w:eastAsia="Book Antiqua" w:hAnsi="Book Antiqua" w:cs="Book Antiqua"/>
          <w:color w:val="000000"/>
        </w:rPr>
        <w:t xml:space="preserve"> </w:t>
      </w:r>
      <w:r>
        <w:rPr>
          <w:rFonts w:ascii="Book Antiqua" w:eastAsia="Book Antiqua" w:hAnsi="Book Antiqua" w:cs="Book Antiqua"/>
          <w:color w:val="000000"/>
        </w:rPr>
        <w:t>+</w:t>
      </w:r>
      <w:r w:rsidR="00EA0751">
        <w:rPr>
          <w:rFonts w:ascii="Book Antiqua" w:eastAsia="Book Antiqua" w:hAnsi="Book Antiqua" w:cs="Book Antiqua"/>
          <w:color w:val="000000"/>
        </w:rPr>
        <w:t xml:space="preserve"> </w:t>
      </w:r>
      <w:r>
        <w:rPr>
          <w:rFonts w:ascii="Book Antiqua" w:eastAsia="Book Antiqua" w:hAnsi="Book Antiqua" w:cs="Book Antiqua"/>
          <w:color w:val="000000"/>
        </w:rPr>
        <w:t>PEG IFNα-2b</w:t>
      </w:r>
      <w:r w:rsidR="00EA0751">
        <w:rPr>
          <w:rFonts w:ascii="Book Antiqua" w:eastAsia="Book Antiqua" w:hAnsi="Book Antiqua" w:cs="Book Antiqua"/>
          <w:color w:val="000000"/>
        </w:rPr>
        <w:t xml:space="preserve"> </w:t>
      </w:r>
      <w:r>
        <w:rPr>
          <w:rFonts w:ascii="Book Antiqua" w:eastAsia="Book Antiqua" w:hAnsi="Book Antiqua" w:cs="Book Antiqua"/>
          <w:color w:val="000000"/>
        </w:rPr>
        <w:t>+</w:t>
      </w:r>
      <w:r w:rsidR="00EA0751">
        <w:rPr>
          <w:rFonts w:ascii="Book Antiqua" w:eastAsia="Book Antiqua" w:hAnsi="Book Antiqua" w:cs="Book Antiqua"/>
          <w:color w:val="000000"/>
        </w:rPr>
        <w:t xml:space="preserve"> </w:t>
      </w:r>
      <w:r>
        <w:rPr>
          <w:rFonts w:ascii="Book Antiqua" w:eastAsia="Book Antiqua" w:hAnsi="Book Antiqua" w:cs="Book Antiqua"/>
          <w:color w:val="000000"/>
        </w:rPr>
        <w:t xml:space="preserve">hepatitis B vaccine. Currently, HBsAg seroconversion has been achieved, suggesting </w:t>
      </w:r>
      <w:r w:rsidR="00E247D6">
        <w:rPr>
          <w:rFonts w:ascii="Book Antiqua" w:eastAsia="Book Antiqua" w:hAnsi="Book Antiqua" w:cs="Book Antiqua"/>
          <w:color w:val="000000"/>
        </w:rPr>
        <w:t xml:space="preserve">a </w:t>
      </w:r>
      <w:r>
        <w:rPr>
          <w:rFonts w:ascii="Book Antiqua" w:eastAsia="Book Antiqua" w:hAnsi="Book Antiqua" w:cs="Book Antiqua"/>
          <w:color w:val="000000"/>
        </w:rPr>
        <w:t>clinical cure for HBV infection. Severe liver fibrosis is a risk factor for postoperative HCC recurrence</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moreover, the higher the degree of liver fibrosis, the higher the postoperative recurrence risk</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Previous studies have shown that the resolution of fibrosis occurred in HBV-infected patients after NAs or IFNα treatment</w:t>
      </w:r>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After 60 wk of a combination therapy of ETV</w:t>
      </w:r>
      <w:r w:rsidR="00EA0751">
        <w:rPr>
          <w:rFonts w:ascii="Book Antiqua" w:eastAsia="Book Antiqua" w:hAnsi="Book Antiqua" w:cs="Book Antiqua"/>
          <w:color w:val="000000"/>
        </w:rPr>
        <w:t xml:space="preserve"> </w:t>
      </w:r>
      <w:r>
        <w:rPr>
          <w:rFonts w:ascii="Book Antiqua" w:eastAsia="Book Antiqua" w:hAnsi="Book Antiqua" w:cs="Book Antiqua"/>
          <w:color w:val="000000"/>
        </w:rPr>
        <w:t>+</w:t>
      </w:r>
      <w:r w:rsidR="00EA0751">
        <w:rPr>
          <w:rFonts w:ascii="Book Antiqua" w:eastAsia="Book Antiqua" w:hAnsi="Book Antiqua" w:cs="Book Antiqua"/>
          <w:color w:val="000000"/>
        </w:rPr>
        <w:t xml:space="preserve"> </w:t>
      </w:r>
      <w:r>
        <w:rPr>
          <w:rFonts w:ascii="Book Antiqua" w:eastAsia="Book Antiqua" w:hAnsi="Book Antiqua" w:cs="Book Antiqua"/>
          <w:color w:val="000000"/>
        </w:rPr>
        <w:t>PEG IFNα-2b, the pathological reexamination results of the liver tissue showed that liver fibrosis was significantly reversed (S3</w:t>
      </w:r>
      <w:r w:rsidR="00EA0751">
        <w:rPr>
          <w:rFonts w:ascii="Book Antiqua" w:eastAsia="Book Antiqua" w:hAnsi="Book Antiqua" w:cs="Book Antiqua"/>
          <w:color w:val="000000"/>
        </w:rPr>
        <w:t xml:space="preserve"> to </w:t>
      </w:r>
      <w:r>
        <w:rPr>
          <w:rFonts w:ascii="Book Antiqua" w:eastAsia="Book Antiqua" w:hAnsi="Book Antiqua" w:cs="Book Antiqua"/>
          <w:color w:val="000000"/>
        </w:rPr>
        <w:t>S1). The noninvasive liver fibrosis indices also decreased significantly (FIB-4, 2.39</w:t>
      </w:r>
      <w:r w:rsidR="00EA0751">
        <w:rPr>
          <w:rFonts w:ascii="Book Antiqua" w:eastAsia="Book Antiqua" w:hAnsi="Book Antiqua" w:cs="Book Antiqua"/>
          <w:color w:val="000000"/>
        </w:rPr>
        <w:t xml:space="preserve"> to </w:t>
      </w:r>
      <w:r>
        <w:rPr>
          <w:rFonts w:ascii="Book Antiqua" w:eastAsia="Book Antiqua" w:hAnsi="Book Antiqua" w:cs="Book Antiqua"/>
          <w:color w:val="000000"/>
        </w:rPr>
        <w:t>1.13; APRI, 24.36</w:t>
      </w:r>
      <w:r w:rsidR="00EA0751">
        <w:rPr>
          <w:rFonts w:ascii="Book Antiqua" w:eastAsia="Book Antiqua" w:hAnsi="Book Antiqua" w:cs="Book Antiqua"/>
          <w:color w:val="000000"/>
        </w:rPr>
        <w:t xml:space="preserve"> to </w:t>
      </w:r>
      <w:r>
        <w:rPr>
          <w:rFonts w:ascii="Book Antiqua" w:eastAsia="Book Antiqua" w:hAnsi="Book Antiqua" w:cs="Book Antiqua"/>
          <w:color w:val="000000"/>
        </w:rPr>
        <w:t>14.45). Thus, the resolution of fibrosis indicated that the possibility of HCC recurrence was significantly reduced. However, due to the short follow-up period, further studies are required to clarify the risk of long-term HCC recurrence.</w:t>
      </w:r>
    </w:p>
    <w:p w14:paraId="3487B3EE" w14:textId="206893A1" w:rsidR="00A77B3E" w:rsidRDefault="0029077E" w:rsidP="00EA0751">
      <w:pPr>
        <w:spacing w:line="360" w:lineRule="auto"/>
        <w:ind w:firstLineChars="100" w:firstLine="240"/>
        <w:jc w:val="both"/>
      </w:pPr>
      <w:r>
        <w:rPr>
          <w:rFonts w:ascii="Book Antiqua" w:eastAsia="Book Antiqua" w:hAnsi="Book Antiqua" w:cs="Book Antiqua"/>
          <w:color w:val="000000"/>
        </w:rPr>
        <w:t xml:space="preserve">Hepatitis B vaccine can activate host immune cells and induce the expression of dendritic cells and specific cytotoxic T lymphocytes, thereby improving the response rate </w:t>
      </w:r>
      <w:r w:rsidR="00E247D6">
        <w:rPr>
          <w:rFonts w:ascii="Book Antiqua" w:eastAsia="Book Antiqua" w:hAnsi="Book Antiqua" w:cs="Book Antiqua"/>
          <w:color w:val="000000"/>
        </w:rPr>
        <w:t xml:space="preserve">to </w:t>
      </w:r>
      <w:r>
        <w:rPr>
          <w:rFonts w:ascii="Book Antiqua" w:eastAsia="Book Antiqua" w:hAnsi="Book Antiqua" w:cs="Book Antiqua"/>
          <w:color w:val="000000"/>
        </w:rPr>
        <w:t>PEG IFNα-2b, reducing the HBsAg level, and promoting the secretion of anti-HBs</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For immunocompromised or unresponsive adults, the vaccination dose (60</w:t>
      </w:r>
      <w:r w:rsidR="00EA0751">
        <w:rPr>
          <w:rFonts w:ascii="Book Antiqua" w:eastAsia="Book Antiqua" w:hAnsi="Book Antiqua" w:cs="Book Antiqua"/>
          <w:color w:val="000000"/>
        </w:rPr>
        <w:t xml:space="preserve"> </w:t>
      </w:r>
      <w:r>
        <w:rPr>
          <w:rFonts w:ascii="Book Antiqua" w:eastAsia="Book Antiqua" w:hAnsi="Book Antiqua" w:cs="Book Antiqua"/>
          <w:color w:val="000000"/>
        </w:rPr>
        <w:t>μg) or administration frequency should be increased</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hence, it is safe and effective to apply combination therapy with 60</w:t>
      </w:r>
      <w:r w:rsidR="00EA0751">
        <w:rPr>
          <w:rFonts w:ascii="Book Antiqua" w:eastAsia="Book Antiqua" w:hAnsi="Book Antiqua" w:cs="Book Antiqua"/>
          <w:color w:val="000000"/>
        </w:rPr>
        <w:t xml:space="preserve"> </w:t>
      </w:r>
      <w:r>
        <w:rPr>
          <w:rFonts w:ascii="Book Antiqua" w:eastAsia="Book Antiqua" w:hAnsi="Book Antiqua" w:cs="Book Antiqua"/>
          <w:color w:val="000000"/>
        </w:rPr>
        <w:t>μg of hepatitis B vaccine for this patient.</w:t>
      </w:r>
    </w:p>
    <w:p w14:paraId="550E7CC3" w14:textId="4316A0F0" w:rsidR="00A77B3E" w:rsidRDefault="0029077E" w:rsidP="00EA0751">
      <w:pPr>
        <w:spacing w:line="360" w:lineRule="auto"/>
        <w:ind w:firstLineChars="100" w:firstLine="240"/>
        <w:jc w:val="both"/>
      </w:pPr>
      <w:r>
        <w:rPr>
          <w:rFonts w:ascii="Book Antiqua" w:eastAsia="Book Antiqua" w:hAnsi="Book Antiqua" w:cs="Book Antiqua"/>
          <w:color w:val="000000"/>
        </w:rPr>
        <w:t>An acute elevation of ALT is mainly immune-mediated, which may mark the transition to inactive disease or infection clearance</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Patients, more commonly, experience an acute elevation of ALT during PEG IFNα-2b treatment, and such patients achieve better treatment outcomes. An open-label, multicenter study in South Korea included 740 patients with chronic hepatitis B who received tenofovir (TDF) or PEG IFNα alone</w:t>
      </w:r>
      <w:r w:rsidR="00E247D6">
        <w:rPr>
          <w:rFonts w:ascii="Book Antiqua" w:eastAsia="Book Antiqua" w:hAnsi="Book Antiqua" w:cs="Book Antiqua"/>
          <w:color w:val="000000"/>
        </w:rPr>
        <w:t xml:space="preserve"> </w:t>
      </w:r>
      <w:r>
        <w:rPr>
          <w:rFonts w:ascii="Book Antiqua" w:eastAsia="Book Antiqua" w:hAnsi="Book Antiqua" w:cs="Book Antiqua"/>
          <w:color w:val="000000"/>
        </w:rPr>
        <w:t>or in combination and were followed for 120 wk. The results showed that the acute elevation of ALT caused by PEG IFNα generally occurred in the first 4 wk of treatment, and TDF monotherapy rarely caused such elevation</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Another international, multicenter, randomized controlled study retrospectively analyzed the relationship between the acute elevation of ALT and clinical benefits in a PEG IFNα</w:t>
      </w:r>
      <w:r w:rsidR="00EA0751">
        <w:rPr>
          <w:rFonts w:ascii="Book Antiqua" w:eastAsia="Book Antiqua" w:hAnsi="Book Antiqua" w:cs="Book Antiqua"/>
          <w:color w:val="000000"/>
        </w:rPr>
        <w:t xml:space="preserve"> </w:t>
      </w:r>
      <w:r>
        <w:rPr>
          <w:rFonts w:ascii="Book Antiqua" w:eastAsia="Book Antiqua" w:hAnsi="Book Antiqua" w:cs="Book Antiqua"/>
          <w:color w:val="000000"/>
        </w:rPr>
        <w:t>+ LAM combination group and a placebo group (treatment for 48</w:t>
      </w:r>
      <w:r w:rsidR="00EA0751">
        <w:rPr>
          <w:rFonts w:ascii="Book Antiqua" w:eastAsia="Book Antiqua" w:hAnsi="Book Antiqua" w:cs="Book Antiqua"/>
          <w:color w:val="000000"/>
        </w:rPr>
        <w:t xml:space="preserve"> </w:t>
      </w:r>
      <w:r>
        <w:rPr>
          <w:rFonts w:ascii="Book Antiqua" w:eastAsia="Book Antiqua" w:hAnsi="Book Antiqua" w:cs="Book Antiqua"/>
          <w:color w:val="000000"/>
        </w:rPr>
        <w:t xml:space="preserve">wk and follow-up for 24 wk). The results showed that the acute elevation of ALT mediated by host immunity was higher than the virus-mediated clearance rate of HBeAg (58% </w:t>
      </w:r>
      <w:r w:rsidRPr="00EA0751">
        <w:rPr>
          <w:rFonts w:ascii="Book Antiqua" w:eastAsia="Book Antiqua" w:hAnsi="Book Antiqua" w:cs="Book Antiqua"/>
          <w:i/>
          <w:iCs/>
          <w:color w:val="000000"/>
        </w:rPr>
        <w:t>vs</w:t>
      </w:r>
      <w:r>
        <w:rPr>
          <w:rFonts w:ascii="Book Antiqua" w:eastAsia="Book Antiqua" w:hAnsi="Book Antiqua" w:cs="Book Antiqua"/>
          <w:color w:val="000000"/>
        </w:rPr>
        <w:t xml:space="preserve"> 20%,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and HBsAg clearance was achieved in eight patients with acute elevation of ALT mediated by host immunity</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27D533BC" w14:textId="3F7B5EA4" w:rsidR="00A77B3E" w:rsidRDefault="0029077E" w:rsidP="00EA0751">
      <w:pPr>
        <w:spacing w:line="360" w:lineRule="auto"/>
        <w:ind w:firstLineChars="100" w:firstLine="240"/>
        <w:jc w:val="both"/>
      </w:pPr>
      <w:r>
        <w:rPr>
          <w:rFonts w:ascii="Book Antiqua" w:eastAsia="Book Antiqua" w:hAnsi="Book Antiqua" w:cs="Book Antiqua"/>
          <w:color w:val="000000"/>
        </w:rPr>
        <w:t>It is suggested that PEG IFNα-2b therapy should be used earlier in the high-risk groups such as those with a family history of HCC. If combined PEG IFNα-2b is applied before HCC occurrence, the outcome may be different, and HCC may either not occur or its occurrence may be delayed. Even if HCC occurs, PEG IFNα-2b combination should be added postoperatively as early as possible to reduce the risk of HCC recurrence and prolong patient survival. It is important to determine whether this patient should continue the use of ETV antiviral therapy after using interferon for the maximum treatment course of 96 wk or discontinue it early. Patients with liver cirrhosis require long-term antiviral therapy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while those with HCC complicating HBV infection should be treated with oral antiviral therapy throughout the treatment process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Although this patient did not experience cirrhosis, he still developed HCC; therefore, he should be treated with long-term ETV antiviral therapy.</w:t>
      </w:r>
    </w:p>
    <w:p w14:paraId="392E868B" w14:textId="77777777" w:rsidR="00A77B3E" w:rsidRDefault="00A77B3E" w:rsidP="00EA0751">
      <w:pPr>
        <w:spacing w:line="360" w:lineRule="auto"/>
        <w:jc w:val="both"/>
      </w:pPr>
    </w:p>
    <w:p w14:paraId="48EC54C4" w14:textId="77777777" w:rsidR="00A77B3E" w:rsidRDefault="0029077E">
      <w:pPr>
        <w:spacing w:line="360" w:lineRule="auto"/>
        <w:jc w:val="both"/>
      </w:pPr>
      <w:r>
        <w:rPr>
          <w:rFonts w:ascii="Book Antiqua" w:eastAsia="Book Antiqua" w:hAnsi="Book Antiqua" w:cs="Book Antiqua"/>
          <w:b/>
          <w:caps/>
          <w:color w:val="000000"/>
          <w:u w:val="single"/>
        </w:rPr>
        <w:t>CONCLUSION</w:t>
      </w:r>
    </w:p>
    <w:p w14:paraId="2D7CCDFA" w14:textId="5628E257" w:rsidR="00A77B3E" w:rsidRDefault="0029077E">
      <w:pPr>
        <w:spacing w:line="360" w:lineRule="auto"/>
        <w:jc w:val="both"/>
      </w:pPr>
      <w:r>
        <w:rPr>
          <w:rFonts w:ascii="Book Antiqua" w:eastAsia="Book Antiqua" w:hAnsi="Book Antiqua" w:cs="Book Antiqua"/>
          <w:color w:val="000000"/>
        </w:rPr>
        <w:t>HCC may still occur after antiviral treatment with NAs; thus, it is necessary to check the AFP level and color Doppler ultrasound regularly for 3</w:t>
      </w:r>
      <w:r w:rsidR="00EA0751">
        <w:rPr>
          <w:rFonts w:ascii="Book Antiqua" w:eastAsia="Book Antiqua" w:hAnsi="Book Antiqua" w:cs="Book Antiqua"/>
          <w:color w:val="000000"/>
        </w:rPr>
        <w:t>-</w:t>
      </w:r>
      <w:r>
        <w:rPr>
          <w:rFonts w:ascii="Book Antiqua" w:eastAsia="Book Antiqua" w:hAnsi="Book Antiqua" w:cs="Book Antiqua"/>
          <w:color w:val="000000"/>
        </w:rPr>
        <w:t>6</w:t>
      </w:r>
      <w:r w:rsidR="00EA0751">
        <w:rPr>
          <w:rFonts w:ascii="Book Antiqua" w:eastAsia="Book Antiqua" w:hAnsi="Book Antiqua" w:cs="Book Antiqua"/>
          <w:color w:val="000000"/>
        </w:rPr>
        <w:t xml:space="preserve"> </w:t>
      </w:r>
      <w:r>
        <w:rPr>
          <w:rFonts w:ascii="Book Antiqua" w:eastAsia="Book Antiqua" w:hAnsi="Book Antiqua" w:cs="Book Antiqua"/>
          <w:color w:val="000000"/>
        </w:rPr>
        <w:t xml:space="preserve">mo. For patients with non-cirrhotic HCC, if there are no contraindications to interferon, the therapeutic regimen of NAs combined with PEG IFNα and hepatitis B vaccine following hepatectomy should be used as soon as possible to achieve </w:t>
      </w:r>
      <w:r w:rsidR="00E247D6">
        <w:rPr>
          <w:rFonts w:ascii="Book Antiqua" w:eastAsia="Book Antiqua" w:hAnsi="Book Antiqua" w:cs="Book Antiqua"/>
          <w:color w:val="000000"/>
        </w:rPr>
        <w:t xml:space="preserve">an </w:t>
      </w:r>
      <w:r>
        <w:rPr>
          <w:rFonts w:ascii="Book Antiqua" w:eastAsia="Book Antiqua" w:hAnsi="Book Antiqua" w:cs="Book Antiqua"/>
          <w:color w:val="000000"/>
        </w:rPr>
        <w:t>HBV clinical cure and improve the recurrence-free survival rate.</w:t>
      </w:r>
    </w:p>
    <w:p w14:paraId="27F6C371" w14:textId="77777777" w:rsidR="00A77B3E" w:rsidRDefault="00A77B3E">
      <w:pPr>
        <w:spacing w:line="360" w:lineRule="auto"/>
        <w:jc w:val="both"/>
      </w:pPr>
    </w:p>
    <w:p w14:paraId="40B494CD" w14:textId="77777777" w:rsidR="00A77B3E" w:rsidRDefault="0029077E">
      <w:pPr>
        <w:spacing w:line="360" w:lineRule="auto"/>
        <w:jc w:val="both"/>
      </w:pPr>
      <w:r>
        <w:rPr>
          <w:rFonts w:ascii="Book Antiqua" w:eastAsia="Book Antiqua" w:hAnsi="Book Antiqua" w:cs="Book Antiqua"/>
          <w:b/>
          <w:caps/>
          <w:color w:val="000000"/>
          <w:u w:val="single"/>
        </w:rPr>
        <w:t>ACKNOWLEDGEMENTS</w:t>
      </w:r>
    </w:p>
    <w:p w14:paraId="6ABD52A3" w14:textId="7980048F" w:rsidR="00A77B3E" w:rsidRDefault="0029077E">
      <w:pPr>
        <w:spacing w:line="360" w:lineRule="auto"/>
        <w:jc w:val="both"/>
      </w:pPr>
      <w:r>
        <w:rPr>
          <w:rFonts w:ascii="Book Antiqua" w:eastAsia="Book Antiqua" w:hAnsi="Book Antiqua" w:cs="Book Antiqua"/>
          <w:color w:val="000000"/>
        </w:rPr>
        <w:t xml:space="preserve">We gratefully thank all the medical staff at </w:t>
      </w:r>
      <w:r w:rsidR="00EA0751">
        <w:rPr>
          <w:rFonts w:ascii="Book Antiqua" w:eastAsia="Book Antiqua" w:hAnsi="Book Antiqua" w:cs="Book Antiqua"/>
          <w:color w:val="000000"/>
        </w:rPr>
        <w:t>T</w:t>
      </w:r>
      <w:r>
        <w:rPr>
          <w:rFonts w:ascii="Book Antiqua" w:eastAsia="Book Antiqua" w:hAnsi="Book Antiqua" w:cs="Book Antiqua"/>
          <w:color w:val="000000"/>
        </w:rPr>
        <w:t xml:space="preserve">he </w:t>
      </w:r>
      <w:r w:rsidR="00EA0751">
        <w:rPr>
          <w:rFonts w:ascii="Book Antiqua" w:eastAsia="Book Antiqua" w:hAnsi="Book Antiqua" w:cs="Book Antiqua"/>
          <w:color w:val="000000"/>
        </w:rPr>
        <w:t>D</w:t>
      </w:r>
      <w:r>
        <w:rPr>
          <w:rFonts w:ascii="Book Antiqua" w:eastAsia="Book Antiqua" w:hAnsi="Book Antiqua" w:cs="Book Antiqua"/>
          <w:color w:val="000000"/>
        </w:rPr>
        <w:t xml:space="preserve">epartment of </w:t>
      </w:r>
      <w:r w:rsidR="00EA0751">
        <w:rPr>
          <w:rFonts w:ascii="Book Antiqua" w:eastAsia="Book Antiqua" w:hAnsi="Book Antiqua" w:cs="Book Antiqua"/>
          <w:color w:val="000000"/>
        </w:rPr>
        <w:t>I</w:t>
      </w:r>
      <w:r>
        <w:rPr>
          <w:rFonts w:ascii="Book Antiqua" w:eastAsia="Book Antiqua" w:hAnsi="Book Antiqua" w:cs="Book Antiqua"/>
          <w:color w:val="000000"/>
        </w:rPr>
        <w:t xml:space="preserve">nfectious </w:t>
      </w:r>
      <w:r w:rsidR="00EA0751">
        <w:rPr>
          <w:rFonts w:ascii="Book Antiqua" w:eastAsia="Book Antiqua" w:hAnsi="Book Antiqua" w:cs="Book Antiqua"/>
          <w:color w:val="000000"/>
        </w:rPr>
        <w:t>D</w:t>
      </w:r>
      <w:r>
        <w:rPr>
          <w:rFonts w:ascii="Book Antiqua" w:eastAsia="Book Antiqua" w:hAnsi="Book Antiqua" w:cs="Book Antiqua"/>
          <w:color w:val="000000"/>
        </w:rPr>
        <w:t xml:space="preserve">iseases of </w:t>
      </w:r>
      <w:r w:rsidR="00EA0751">
        <w:rPr>
          <w:rFonts w:ascii="Book Antiqua" w:eastAsia="Book Antiqua" w:hAnsi="Book Antiqua" w:cs="Book Antiqua"/>
          <w:color w:val="000000"/>
        </w:rPr>
        <w:t>T</w:t>
      </w:r>
      <w:r>
        <w:rPr>
          <w:rFonts w:ascii="Book Antiqua" w:eastAsia="Book Antiqua" w:hAnsi="Book Antiqua" w:cs="Book Antiqua"/>
          <w:color w:val="000000"/>
        </w:rPr>
        <w:t xml:space="preserve">he </w:t>
      </w:r>
      <w:r w:rsidR="00EA0751">
        <w:rPr>
          <w:rFonts w:ascii="Book Antiqua" w:eastAsia="Book Antiqua" w:hAnsi="Book Antiqua" w:cs="Book Antiqua"/>
          <w:color w:val="000000"/>
        </w:rPr>
        <w:t>F</w:t>
      </w:r>
      <w:r>
        <w:rPr>
          <w:rFonts w:ascii="Book Antiqua" w:eastAsia="Book Antiqua" w:hAnsi="Book Antiqua" w:cs="Book Antiqua"/>
          <w:color w:val="000000"/>
        </w:rPr>
        <w:t xml:space="preserve">irst Hospital of Quanzhou </w:t>
      </w:r>
      <w:r w:rsidR="00EA0751">
        <w:rPr>
          <w:rFonts w:ascii="Book Antiqua" w:eastAsia="Book Antiqua" w:hAnsi="Book Antiqua" w:cs="Book Antiqua"/>
          <w:color w:val="000000"/>
        </w:rPr>
        <w:t>A</w:t>
      </w:r>
      <w:r>
        <w:rPr>
          <w:rFonts w:ascii="Book Antiqua" w:eastAsia="Book Antiqua" w:hAnsi="Book Antiqua" w:cs="Book Antiqua"/>
          <w:color w:val="000000"/>
        </w:rPr>
        <w:t xml:space="preserve">ffiliated </w:t>
      </w:r>
      <w:r w:rsidR="001821B1">
        <w:rPr>
          <w:rFonts w:ascii="Book Antiqua" w:eastAsia="Book Antiqua" w:hAnsi="Book Antiqua" w:cs="Book Antiqua"/>
          <w:color w:val="000000"/>
        </w:rPr>
        <w:t>to</w:t>
      </w:r>
      <w:r>
        <w:rPr>
          <w:rFonts w:ascii="Book Antiqua" w:eastAsia="Book Antiqua" w:hAnsi="Book Antiqua" w:cs="Book Antiqua"/>
          <w:color w:val="000000"/>
        </w:rPr>
        <w:t xml:space="preserve"> Fujian Medical University</w:t>
      </w:r>
      <w:r w:rsidR="00E247D6">
        <w:rPr>
          <w:rFonts w:ascii="Book Antiqua" w:eastAsia="Book Antiqua" w:hAnsi="Book Antiqua" w:cs="Book Antiqua"/>
          <w:color w:val="000000"/>
        </w:rPr>
        <w:t xml:space="preserve"> </w:t>
      </w:r>
      <w:r>
        <w:rPr>
          <w:rFonts w:ascii="Book Antiqua" w:eastAsia="Book Antiqua" w:hAnsi="Book Antiqua" w:cs="Book Antiqua"/>
          <w:color w:val="000000"/>
        </w:rPr>
        <w:t>for the collection of clinical specimens</w:t>
      </w:r>
      <w:r w:rsidR="00EA0751">
        <w:rPr>
          <w:rFonts w:ascii="Book Antiqua" w:eastAsia="Book Antiqua" w:hAnsi="Book Antiqua" w:cs="Book Antiqua"/>
          <w:color w:val="000000"/>
        </w:rPr>
        <w:t>.</w:t>
      </w:r>
    </w:p>
    <w:p w14:paraId="7C183311" w14:textId="77777777" w:rsidR="00A77B3E" w:rsidRDefault="00A77B3E">
      <w:pPr>
        <w:spacing w:line="360" w:lineRule="auto"/>
        <w:jc w:val="both"/>
      </w:pPr>
    </w:p>
    <w:p w14:paraId="476C1D0B" w14:textId="77777777" w:rsidR="00A77B3E" w:rsidRDefault="0029077E">
      <w:pPr>
        <w:spacing w:line="360" w:lineRule="auto"/>
        <w:jc w:val="both"/>
      </w:pPr>
      <w:r>
        <w:rPr>
          <w:rFonts w:ascii="Book Antiqua" w:eastAsia="Book Antiqua" w:hAnsi="Book Antiqua" w:cs="Book Antiqua"/>
          <w:b/>
          <w:color w:val="000000"/>
        </w:rPr>
        <w:t>REFERENCES</w:t>
      </w:r>
    </w:p>
    <w:p w14:paraId="19A3113B" w14:textId="77777777" w:rsidR="00A77B3E" w:rsidRDefault="0029077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Xiao J</w:t>
      </w:r>
      <w:r>
        <w:rPr>
          <w:rFonts w:ascii="Book Antiqua" w:eastAsia="Book Antiqua" w:hAnsi="Book Antiqua" w:cs="Book Antiqua"/>
          <w:color w:val="000000"/>
        </w:rPr>
        <w:t xml:space="preserve">, Wang F, Wong NK, He J, Zhang R, Sun R, Xu Y, Liu Y, Li W, Koike K, He W, You H, Miao Y, Liu X, Meng M, Gao B, Wang H, Li C. Global liver disease burdens and research trends: Analysis from a Chinese perspective.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212-221 [PMID: 30871980 DOI: 10.1016/j.jhep.2019.03.004]</w:t>
      </w:r>
    </w:p>
    <w:p w14:paraId="1FD8BCEF" w14:textId="3C143DCB" w:rsidR="00A77B3E" w:rsidRDefault="0029077E">
      <w:pPr>
        <w:spacing w:line="360" w:lineRule="auto"/>
        <w:jc w:val="both"/>
      </w:pPr>
      <w:r w:rsidRPr="00AD3973">
        <w:rPr>
          <w:rFonts w:ascii="Book Antiqua" w:eastAsia="Book Antiqua" w:hAnsi="Book Antiqua" w:cs="Book Antiqua"/>
          <w:color w:val="000000"/>
        </w:rPr>
        <w:t xml:space="preserve">2 </w:t>
      </w:r>
      <w:r w:rsidRPr="00AD3973">
        <w:rPr>
          <w:rFonts w:ascii="Book Antiqua" w:eastAsia="Book Antiqua" w:hAnsi="Book Antiqua" w:cs="Book Antiqua"/>
          <w:b/>
          <w:bCs/>
          <w:color w:val="000000"/>
        </w:rPr>
        <w:t>Qin S</w:t>
      </w:r>
      <w:r w:rsidRPr="00AD3973">
        <w:rPr>
          <w:rFonts w:ascii="Book Antiqua" w:eastAsia="Book Antiqua" w:hAnsi="Book Antiqua" w:cs="Book Antiqua"/>
          <w:color w:val="000000"/>
        </w:rPr>
        <w:t>.</w:t>
      </w:r>
      <w:r w:rsidRPr="00AD3973">
        <w:rPr>
          <w:rFonts w:ascii="Book Antiqua" w:eastAsia="Book Antiqua" w:hAnsi="Book Antiqua" w:cs="Book Antiqua"/>
          <w:b/>
          <w:bCs/>
          <w:color w:val="000000"/>
        </w:rPr>
        <w:t xml:space="preserve"> </w:t>
      </w:r>
      <w:r w:rsidRPr="00AD3973">
        <w:rPr>
          <w:rFonts w:ascii="Book Antiqua" w:eastAsia="Book Antiqua" w:hAnsi="Book Antiqua" w:cs="Book Antiqua"/>
          <w:color w:val="000000"/>
        </w:rPr>
        <w:t xml:space="preserve">Interim Report on primary Liver Cancer Clinical Registry survey (CLCS) in China. In: </w:t>
      </w:r>
      <w:r w:rsidR="0059720A" w:rsidRPr="00AD3973">
        <w:rPr>
          <w:rFonts w:ascii="Book Antiqua" w:eastAsia="Book Antiqua" w:hAnsi="Book Antiqua" w:cs="Book Antiqua"/>
          <w:color w:val="000000"/>
        </w:rPr>
        <w:t>Chinese Society of Clinical Oncology</w:t>
      </w:r>
      <w:r w:rsidRPr="00AD3973">
        <w:rPr>
          <w:rFonts w:ascii="Book Antiqua" w:eastAsia="Book Antiqua" w:hAnsi="Book Antiqua" w:cs="Book Antiqua"/>
          <w:color w:val="000000"/>
        </w:rPr>
        <w:t>, 2019</w:t>
      </w:r>
    </w:p>
    <w:p w14:paraId="58D4CEA6" w14:textId="07D1BFBE" w:rsidR="00A77B3E" w:rsidRDefault="0029077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Chinese Society of Infectious Diseases</w:t>
      </w:r>
      <w:r w:rsidRPr="005D4FD1">
        <w:rPr>
          <w:rFonts w:ascii="Book Antiqua" w:eastAsia="Book Antiqua" w:hAnsi="Book Antiqua" w:cs="Book Antiqua"/>
          <w:color w:val="000000"/>
        </w:rPr>
        <w:t>,</w:t>
      </w:r>
      <w:r w:rsidR="005D4FD1">
        <w:rPr>
          <w:rFonts w:ascii="Book Antiqua" w:eastAsia="Book Antiqua" w:hAnsi="Book Antiqua" w:cs="Book Antiqua"/>
          <w:color w:val="000000"/>
        </w:rPr>
        <w:t xml:space="preserve"> Chinese Medical Association, Chinese Society of Hepatology</w:t>
      </w:r>
      <w:r>
        <w:rPr>
          <w:rFonts w:ascii="Book Antiqua" w:eastAsia="Book Antiqua" w:hAnsi="Book Antiqua" w:cs="Book Antiqua"/>
          <w:color w:val="000000"/>
        </w:rPr>
        <w:t xml:space="preserve">. Guideline on prevention and treatment of chronic hepatitis B in China (2019 edition). </w:t>
      </w:r>
      <w:r w:rsidR="00011637" w:rsidRPr="00011637">
        <w:rPr>
          <w:rFonts w:ascii="Book Antiqua" w:eastAsia="Book Antiqua" w:hAnsi="Book Antiqua" w:cs="Book Antiqua"/>
          <w:i/>
          <w:iCs/>
          <w:color w:val="000000"/>
        </w:rPr>
        <w:t>Zhonghua Chuanran Bing Zazhi</w:t>
      </w:r>
      <w:r>
        <w:rPr>
          <w:rFonts w:ascii="Book Antiqua" w:eastAsia="Book Antiqua" w:hAnsi="Book Antiqua" w:cs="Book Antiqua"/>
          <w:color w:val="000000"/>
        </w:rPr>
        <w:t xml:space="preserve"> 2019; </w:t>
      </w:r>
      <w:r w:rsidRPr="00011637">
        <w:rPr>
          <w:rFonts w:ascii="Book Antiqua" w:eastAsia="Book Antiqua" w:hAnsi="Book Antiqua" w:cs="Book Antiqua"/>
          <w:b/>
          <w:bCs/>
          <w:color w:val="000000"/>
        </w:rPr>
        <w:t>37</w:t>
      </w:r>
      <w:r>
        <w:rPr>
          <w:rFonts w:ascii="Book Antiqua" w:eastAsia="Book Antiqua" w:hAnsi="Book Antiqua" w:cs="Book Antiqua"/>
          <w:color w:val="000000"/>
        </w:rPr>
        <w:t>: 711-736 [DOI: 10.3760/cma.j.issn.1000-6680.2019.12.003]</w:t>
      </w:r>
    </w:p>
    <w:p w14:paraId="7708AE7D" w14:textId="77777777" w:rsidR="00A77B3E" w:rsidRDefault="0029077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Yang SL</w:t>
      </w:r>
      <w:r>
        <w:rPr>
          <w:rFonts w:ascii="Book Antiqua" w:eastAsia="Book Antiqua" w:hAnsi="Book Antiqua" w:cs="Book Antiqua"/>
          <w:color w:val="000000"/>
        </w:rPr>
        <w:t xml:space="preserve">, Liu LP, Sun YF, Yang XR, Fan J, Ren JW, Chen GG, Lai PB. Distinguished prognosis after hepatectomy of HBV-related hepatocellular carcinoma with or without cirrhosis: a long-term follow-up analysis.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51</w:t>
      </w:r>
      <w:r>
        <w:rPr>
          <w:rFonts w:ascii="Book Antiqua" w:eastAsia="Book Antiqua" w:hAnsi="Book Antiqua" w:cs="Book Antiqua"/>
          <w:color w:val="000000"/>
        </w:rPr>
        <w:t>: 722-732 [PMID: 26607653 DOI: 10.1007/s00535-015-1146-0]</w:t>
      </w:r>
    </w:p>
    <w:p w14:paraId="231AD8BD" w14:textId="77777777" w:rsidR="00A77B3E" w:rsidRDefault="0029077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Gawrieh S</w:t>
      </w:r>
      <w:r>
        <w:rPr>
          <w:rFonts w:ascii="Book Antiqua" w:eastAsia="Book Antiqua" w:hAnsi="Book Antiqua" w:cs="Book Antiqua"/>
          <w:color w:val="000000"/>
        </w:rPr>
        <w:t xml:space="preserve">, Dakhoul L, Miller E, Scanga A, deLemos A, Kettler C, Burney H, Liu H, Abu-Sbeih H, Chalasani N, Wattacheril J. Characteristics, aetiologies and trends of hepatocellular carcinoma in patients without cirrhosis: a United States multicentre study.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809-821 [PMID: 31475372 DOI: 10.1111/apt.15464]</w:t>
      </w:r>
    </w:p>
    <w:p w14:paraId="57F990B8" w14:textId="77777777" w:rsidR="00A77B3E" w:rsidRDefault="0029077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JM</w:t>
      </w:r>
      <w:r>
        <w:rPr>
          <w:rFonts w:ascii="Book Antiqua" w:eastAsia="Book Antiqua" w:hAnsi="Book Antiqua" w:cs="Book Antiqua"/>
          <w:color w:val="000000"/>
        </w:rPr>
        <w:t xml:space="preserve">, Kwon CH, Joh JW, Park JB, Lee JH, Kim SJ, Paik SW, Park CK, Yoo BC. Differences between hepatocellular carcinoma and hepatitis B virus infection in patients with and without cirrhosis.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458-465 [PMID: 24132624 DOI: 10.1245/s10434-013-3302-1]</w:t>
      </w:r>
    </w:p>
    <w:p w14:paraId="1C31B651" w14:textId="77777777" w:rsidR="00A77B3E" w:rsidRDefault="0029077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Sterling RK</w:t>
      </w:r>
      <w:r>
        <w:rPr>
          <w:rFonts w:ascii="Book Antiqua" w:eastAsia="Book Antiqua" w:hAnsi="Book Antiqua" w:cs="Book Antiqua"/>
          <w:color w:val="000000"/>
        </w:rPr>
        <w:t xml:space="preserve">, Lissen E, Clumeck N, Sola R, Correa MC, Montaner J, S Sulkowski M, Torriani FJ, Dieterich DT, Thomas DL, Messinger D, Nelson M; APRICOT Clinical Investigators. Development of a simple noninvasive index to predict significant fibrosis in patients with HIV/HCV coinfection.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43</w:t>
      </w:r>
      <w:r>
        <w:rPr>
          <w:rFonts w:ascii="Book Antiqua" w:eastAsia="Book Antiqua" w:hAnsi="Book Antiqua" w:cs="Book Antiqua"/>
          <w:color w:val="000000"/>
        </w:rPr>
        <w:t>: 1317-1325 [PMID: 16729309 DOI: 10.1002/hep.21178]</w:t>
      </w:r>
    </w:p>
    <w:p w14:paraId="3A2C023D" w14:textId="77777777" w:rsidR="00A77B3E" w:rsidRDefault="0029077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Wai CT</w:t>
      </w:r>
      <w:r>
        <w:rPr>
          <w:rFonts w:ascii="Book Antiqua" w:eastAsia="Book Antiqua" w:hAnsi="Book Antiqua" w:cs="Book Antiqua"/>
          <w:color w:val="000000"/>
        </w:rPr>
        <w:t xml:space="preserve">, Greenson JK, Fontana RJ, Kalbfleisch JD, Marrero JA, Conjeevaram HS, Lok AS. A simple noninvasive index can predict both significant fibrosis and cirrhosis in patients with chronic hepatitis C.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518-526 [PMID: 12883497 DOI: 10.1053/jhep.2003.50346]</w:t>
      </w:r>
    </w:p>
    <w:p w14:paraId="455EBC92" w14:textId="77777777" w:rsidR="00A77B3E" w:rsidRDefault="0029077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Qi W</w:t>
      </w:r>
      <w:r>
        <w:rPr>
          <w:rFonts w:ascii="Book Antiqua" w:eastAsia="Book Antiqua" w:hAnsi="Book Antiqua" w:cs="Book Antiqua"/>
          <w:color w:val="000000"/>
        </w:rPr>
        <w:t xml:space="preserve">, Zhang Q, Xu Y, Wang X, Yu F, Zhang Y, Zhao P, Guo H, Zhou C, Wang Z, Sun Y, Liu L, Xuan W, Wang J. Peg-interferon and nucleos(t)ide analogue combination at inception of antiviral therapy improves both anti-HBV efficacy and long-term survival among HBV DNA-positive hepatocellular carcinoma patients after hepatectomy/ablation. </w:t>
      </w:r>
      <w:r>
        <w:rPr>
          <w:rFonts w:ascii="Book Antiqua" w:eastAsia="Book Antiqua" w:hAnsi="Book Antiqua" w:cs="Book Antiqua"/>
          <w:i/>
          <w:iCs/>
          <w:color w:val="000000"/>
        </w:rPr>
        <w:t>J Viral Hepat</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387-396 [PMID: 31755220 DOI: 10.1111/jvh.13236]</w:t>
      </w:r>
    </w:p>
    <w:p w14:paraId="5E7501C8" w14:textId="77777777" w:rsidR="00A77B3E" w:rsidRDefault="0029077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Xu XF</w:t>
      </w:r>
      <w:r>
        <w:rPr>
          <w:rFonts w:ascii="Book Antiqua" w:eastAsia="Book Antiqua" w:hAnsi="Book Antiqua" w:cs="Book Antiqua"/>
          <w:color w:val="000000"/>
        </w:rPr>
        <w:t xml:space="preserve">, Xing H, Han J, Li ZL, Lau WY, Zhou YH, Gu WM, Wang H, Chen TH, Zeng YY, Li C, Wu MC, Shen F, Yang T. Risk Factors, Patterns, and Outcomes of Late Recurrence After Liver Resection for Hepatocellular Carcinoma: A Multicenter Study From China.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154</w:t>
      </w:r>
      <w:r>
        <w:rPr>
          <w:rFonts w:ascii="Book Antiqua" w:eastAsia="Book Antiqua" w:hAnsi="Book Antiqua" w:cs="Book Antiqua"/>
          <w:color w:val="000000"/>
        </w:rPr>
        <w:t>: 209-217 [PMID: 30422241 DOI: 10.1001/jamasurg.2018.4334]</w:t>
      </w:r>
    </w:p>
    <w:p w14:paraId="49D24034" w14:textId="77777777" w:rsidR="00A77B3E" w:rsidRDefault="0029077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Qiu JF</w:t>
      </w:r>
      <w:r>
        <w:rPr>
          <w:rFonts w:ascii="Book Antiqua" w:eastAsia="Book Antiqua" w:hAnsi="Book Antiqua" w:cs="Book Antiqua"/>
          <w:color w:val="000000"/>
        </w:rPr>
        <w:t xml:space="preserve">, Ye JZ, Feng XZ, Qi YP, Ma L, Yuan WP, Zhong JH, Zhang ZM, Xiang BD, Li LQ. Pre- and post-operative HBsAg levels may predict recurrence and survival after curative resection in patients with HBV-associated hepatocellular carcinoma.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116</w:t>
      </w:r>
      <w:r>
        <w:rPr>
          <w:rFonts w:ascii="Book Antiqua" w:eastAsia="Book Antiqua" w:hAnsi="Book Antiqua" w:cs="Book Antiqua"/>
          <w:color w:val="000000"/>
        </w:rPr>
        <w:t>: 140-148 [PMID: 28628729 DOI: 10.1002/jso.24628]</w:t>
      </w:r>
    </w:p>
    <w:p w14:paraId="21F5EFF9" w14:textId="77777777" w:rsidR="00A77B3E" w:rsidRDefault="0029077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Zhou HB</w:t>
      </w:r>
      <w:r>
        <w:rPr>
          <w:rFonts w:ascii="Book Antiqua" w:eastAsia="Book Antiqua" w:hAnsi="Book Antiqua" w:cs="Book Antiqua"/>
          <w:color w:val="000000"/>
        </w:rPr>
        <w:t xml:space="preserve">, Li QM, Zhong ZR, Hu JY, Jiang XL, Wang H, Wang H, Yang B, Hu HP. Level of hepatitis B surface antigen might serve as a new marker to predict hepatocellular carcinoma recurrence following curative resection in patients with low viral load.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756-771 [PMID: 25973313]</w:t>
      </w:r>
    </w:p>
    <w:p w14:paraId="7303D834" w14:textId="77777777" w:rsidR="00A77B3E" w:rsidRDefault="0029077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Kubo S</w:t>
      </w:r>
      <w:r>
        <w:rPr>
          <w:rFonts w:ascii="Book Antiqua" w:eastAsia="Book Antiqua" w:hAnsi="Book Antiqua" w:cs="Book Antiqua"/>
          <w:color w:val="000000"/>
        </w:rPr>
        <w:t xml:space="preserve">, Hirohashi K, Tanaka H, Tsukamoto T, Shuto T, Higaki I, Takemura S, Yamamoto T, Nishiguchi S, Kinoshita H. Virologic and biochemical changes and prognosis after liver resection for hepatitis B virus-related hepatocellular carcinoma.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18</w:t>
      </w:r>
      <w:r>
        <w:rPr>
          <w:rFonts w:ascii="Book Antiqua" w:eastAsia="Book Antiqua" w:hAnsi="Book Antiqua" w:cs="Book Antiqua"/>
          <w:color w:val="000000"/>
        </w:rPr>
        <w:t>: 26-33 [PMID: 11244256 DOI: 10.1159/000050093]</w:t>
      </w:r>
    </w:p>
    <w:p w14:paraId="758A3E4B" w14:textId="77777777" w:rsidR="00A77B3E" w:rsidRDefault="0029077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Tian S</w:t>
      </w:r>
      <w:r>
        <w:rPr>
          <w:rFonts w:ascii="Book Antiqua" w:eastAsia="Book Antiqua" w:hAnsi="Book Antiqua" w:cs="Book Antiqua"/>
          <w:color w:val="000000"/>
        </w:rPr>
        <w:t xml:space="preserve">, Hui X, Fan Z, Li Q, Zhang J, Yang X, Ma X, Huang B, Chen D, Chen H. Suppression of hepatocellular carcinoma proliferation and hepatitis B surface antigen secretion with interferon-λ1 or PEG-interferon-λ1.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3528-3539 [PMID: 24769671 DOI: 10.1096/fj.14-250704]</w:t>
      </w:r>
    </w:p>
    <w:p w14:paraId="5384C9BE" w14:textId="77777777" w:rsidR="00A77B3E" w:rsidRDefault="0029077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Ning Q</w:t>
      </w:r>
      <w:r>
        <w:rPr>
          <w:rFonts w:ascii="Book Antiqua" w:eastAsia="Book Antiqua" w:hAnsi="Book Antiqua" w:cs="Book Antiqua"/>
          <w:color w:val="000000"/>
        </w:rPr>
        <w:t xml:space="preserve">, Wu D, Wang GQ, Ren H, Gao ZL, Hu P, Han MF, Wang Y, Zhang WH, Lu FM, Wang FS. Roadmap to functional cure of chronic hepatitis B: An expert consensus. </w:t>
      </w:r>
      <w:r>
        <w:rPr>
          <w:rFonts w:ascii="Book Antiqua" w:eastAsia="Book Antiqua" w:hAnsi="Book Antiqua" w:cs="Book Antiqua"/>
          <w:i/>
          <w:iCs/>
          <w:color w:val="000000"/>
        </w:rPr>
        <w:t>J Viral Hepat</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1146-1155 [PMID: 31087479 DOI: 10.1111/jvh.13126]</w:t>
      </w:r>
    </w:p>
    <w:p w14:paraId="283C59AA" w14:textId="77777777" w:rsidR="00A77B3E" w:rsidRDefault="0029077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Suh SW</w:t>
      </w:r>
      <w:r>
        <w:rPr>
          <w:rFonts w:ascii="Book Antiqua" w:eastAsia="Book Antiqua" w:hAnsi="Book Antiqua" w:cs="Book Antiqua"/>
          <w:color w:val="000000"/>
        </w:rPr>
        <w:t xml:space="preserve">, Choi YS. Influence of liver fibrosis on prognosis after surgical resection for resectable single hepatocellular carcinoma.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211-215 [PMID: 30117629 DOI: 10.1111/ans.14732]</w:t>
      </w:r>
    </w:p>
    <w:p w14:paraId="2E4887DB" w14:textId="77777777" w:rsidR="00A77B3E" w:rsidRDefault="0029077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Ko S</w:t>
      </w:r>
      <w:r>
        <w:rPr>
          <w:rFonts w:ascii="Book Antiqua" w:eastAsia="Book Antiqua" w:hAnsi="Book Antiqua" w:cs="Book Antiqua"/>
          <w:color w:val="000000"/>
        </w:rPr>
        <w:t xml:space="preserve">, Kanehiro H, Hisanaga M, Nagao M, Ikeda N, Nakajima Y. Liver fibrosis increases the risk of intrahepatic recurrence after hepatectomy for hepatocellular carcinoma.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89</w:t>
      </w:r>
      <w:r>
        <w:rPr>
          <w:rFonts w:ascii="Book Antiqua" w:eastAsia="Book Antiqua" w:hAnsi="Book Antiqua" w:cs="Book Antiqua"/>
          <w:color w:val="000000"/>
        </w:rPr>
        <w:t>: 57-62 [PMID: 11851664 DOI: 10.1046/j.0007-1323.2001.01969.x]</w:t>
      </w:r>
    </w:p>
    <w:p w14:paraId="2F909FC5" w14:textId="77777777" w:rsidR="00A77B3E" w:rsidRDefault="0029077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Chang TT</w:t>
      </w:r>
      <w:r>
        <w:rPr>
          <w:rFonts w:ascii="Book Antiqua" w:eastAsia="Book Antiqua" w:hAnsi="Book Antiqua" w:cs="Book Antiqua"/>
          <w:color w:val="000000"/>
        </w:rPr>
        <w:t xml:space="preserve">, Liaw YF, Wu SS, Schiff E, Han KH, Lai CL, Safadi R, Lee SS, Halota W, Goodman Z, Chi YC, Zhang H, Hindes R, Iloeje U, Beebe S, Kreter B. Long-term entecavir therapy results in the reversal of fibrosis/cirrhosis and continued histological improvement in patients with chronic hepatitis B.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52</w:t>
      </w:r>
      <w:r>
        <w:rPr>
          <w:rFonts w:ascii="Book Antiqua" w:eastAsia="Book Antiqua" w:hAnsi="Book Antiqua" w:cs="Book Antiqua"/>
          <w:color w:val="000000"/>
        </w:rPr>
        <w:t>: 886-893 [PMID: 20683932 DOI: 10.1002/hep.23785]</w:t>
      </w:r>
    </w:p>
    <w:p w14:paraId="5A4E1FC8" w14:textId="6E78C1F3" w:rsidR="00A77B3E" w:rsidRDefault="0029077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Marcellin P</w:t>
      </w:r>
      <w:r>
        <w:rPr>
          <w:rFonts w:ascii="Book Antiqua" w:eastAsia="Book Antiqua" w:hAnsi="Book Antiqua" w:cs="Book Antiqua"/>
          <w:color w:val="000000"/>
        </w:rPr>
        <w:t xml:space="preserve">, Gane E, Buti M, Afdhal N, Sievert W, Jacobson IM, Washington MK, Germanidis G, Flaherty JF, Aguilar Schall R, Bornstein JD, Kitrinos KM, Subramanian GM, McHutchison JG, Heathcote EJ. Regression of cirrhosis during treatment with tenofovir disoproxil fumarate for chronic hepatitis B: a 5-year open-label follow-up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2013; </w:t>
      </w:r>
      <w:r>
        <w:rPr>
          <w:rFonts w:ascii="Book Antiqua" w:eastAsia="Book Antiqua" w:hAnsi="Book Antiqua" w:cs="Book Antiqua"/>
          <w:b/>
          <w:bCs/>
          <w:color w:val="000000"/>
        </w:rPr>
        <w:t>381</w:t>
      </w:r>
      <w:r>
        <w:rPr>
          <w:rFonts w:ascii="Book Antiqua" w:eastAsia="Book Antiqua" w:hAnsi="Book Antiqua" w:cs="Book Antiqua"/>
          <w:color w:val="000000"/>
        </w:rPr>
        <w:t xml:space="preserve">: 468-475 [PMID: 23234725 </w:t>
      </w:r>
      <w:r w:rsidR="00011637" w:rsidRPr="00011637">
        <w:rPr>
          <w:rFonts w:ascii="Book Antiqua" w:eastAsia="Book Antiqua" w:hAnsi="Book Antiqua" w:cs="Book Antiqua"/>
          <w:color w:val="000000"/>
        </w:rPr>
        <w:t>DOI: 10.1016/S0140-6736(12)61425-1</w:t>
      </w:r>
      <w:r>
        <w:rPr>
          <w:rFonts w:ascii="Book Antiqua" w:eastAsia="Book Antiqua" w:hAnsi="Book Antiqua" w:cs="Book Antiqua"/>
          <w:color w:val="000000"/>
        </w:rPr>
        <w:t>]</w:t>
      </w:r>
    </w:p>
    <w:p w14:paraId="022625FC" w14:textId="69EE0EAD" w:rsidR="00A77B3E" w:rsidRDefault="0029077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Shaaban Hanafy A</w:t>
      </w:r>
      <w:r>
        <w:rPr>
          <w:rFonts w:ascii="Book Antiqua" w:eastAsia="Book Antiqua" w:hAnsi="Book Antiqua" w:cs="Book Antiqua"/>
          <w:color w:val="000000"/>
        </w:rPr>
        <w:t xml:space="preserve">. Impact of hepatitis B vaccination on HBsAg kinetics, interferon-inducible protein 10 </w:t>
      </w:r>
      <w:r w:rsidR="003122B2">
        <w:rPr>
          <w:rFonts w:ascii="Book Antiqua" w:eastAsia="Book Antiqua" w:hAnsi="Book Antiqua" w:cs="Book Antiqua"/>
          <w:color w:val="000000"/>
        </w:rPr>
        <w:t>l</w:t>
      </w:r>
      <w:r>
        <w:rPr>
          <w:rFonts w:ascii="Book Antiqua" w:eastAsia="Book Antiqua" w:hAnsi="Book Antiqua" w:cs="Book Antiqua"/>
          <w:color w:val="000000"/>
        </w:rPr>
        <w:t xml:space="preserve">evel and recurrence of viremia.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2017; </w:t>
      </w:r>
      <w:r>
        <w:rPr>
          <w:rFonts w:ascii="Book Antiqua" w:eastAsia="Book Antiqua" w:hAnsi="Book Antiqua" w:cs="Book Antiqua"/>
          <w:b/>
          <w:bCs/>
          <w:color w:val="000000"/>
        </w:rPr>
        <w:t>99</w:t>
      </w:r>
      <w:r>
        <w:rPr>
          <w:rFonts w:ascii="Book Antiqua" w:eastAsia="Book Antiqua" w:hAnsi="Book Antiqua" w:cs="Book Antiqua"/>
          <w:color w:val="000000"/>
        </w:rPr>
        <w:t>: 99-105 [PMID: 28802168 DOI: 10.1016/j.cyto.2017.08.002]</w:t>
      </w:r>
    </w:p>
    <w:p w14:paraId="0C8BDE5C" w14:textId="68F471EB" w:rsidR="00A77B3E" w:rsidRDefault="0029077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Lee JH</w:t>
      </w:r>
      <w:r>
        <w:rPr>
          <w:rFonts w:ascii="Book Antiqua" w:eastAsia="Book Antiqua" w:hAnsi="Book Antiqua" w:cs="Book Antiqua"/>
          <w:color w:val="000000"/>
        </w:rPr>
        <w:t xml:space="preserve">, Lee YB, Cho EJ, Yu SJ, Yoon JH, Kim YJ. Entecavir Plus Pegylated Interferon and Sequential HBV Vaccination Increases HBsAg Seroclearance: A Randomized Controlled Proof-of-Concept Study.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2020 [PMID: 32556157 DOI: 10.1093/cid/ciaa807]</w:t>
      </w:r>
    </w:p>
    <w:p w14:paraId="6CDE3089" w14:textId="2CEA2768" w:rsidR="00A77B3E" w:rsidRDefault="0029077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Ghany MG</w:t>
      </w:r>
      <w:r>
        <w:rPr>
          <w:rFonts w:ascii="Book Antiqua" w:eastAsia="Book Antiqua" w:hAnsi="Book Antiqua" w:cs="Book Antiqua"/>
          <w:color w:val="000000"/>
        </w:rPr>
        <w:t xml:space="preserve">, Feld JJ, Chang KM, Chan HLY, Lok ASF, Visvanathan K, Janssen HLA. Serum alanine aminotransferase flares in chronic hepatitis B infection: the good and the bad.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xml:space="preserve">: 406-417 [PMID: 32057301 </w:t>
      </w:r>
      <w:r w:rsidR="00CC689F" w:rsidRPr="00CC689F">
        <w:rPr>
          <w:rFonts w:ascii="Book Antiqua" w:eastAsia="Book Antiqua" w:hAnsi="Book Antiqua" w:cs="Book Antiqua"/>
          <w:color w:val="000000"/>
        </w:rPr>
        <w:t>DOI: 10.1016/S2468-1253(19)30344-9</w:t>
      </w:r>
      <w:r>
        <w:rPr>
          <w:rFonts w:ascii="Book Antiqua" w:eastAsia="Book Antiqua" w:hAnsi="Book Antiqua" w:cs="Book Antiqua"/>
          <w:color w:val="000000"/>
        </w:rPr>
        <w:t>]</w:t>
      </w:r>
    </w:p>
    <w:p w14:paraId="22F8E2AF" w14:textId="77777777" w:rsidR="00A77B3E" w:rsidRDefault="0029077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Ahn SH</w:t>
      </w:r>
      <w:r>
        <w:rPr>
          <w:rFonts w:ascii="Book Antiqua" w:eastAsia="Book Antiqua" w:hAnsi="Book Antiqua" w:cs="Book Antiqua"/>
          <w:color w:val="000000"/>
        </w:rPr>
        <w:t xml:space="preserve">, Marcellin P, Ma X, Caruntu FA, Tak WY, Elkhashab M, Chuang WL, Tabak F, Mehta R, Petersen J, Guyer W, Jump B, Chan A, Subramanian M, Crans G, Fung S, Buti M, Gaeta GB, Hui AJ, Papatheodoridis G, Flisiak R, Chan HLY. Correction to: Hepatitis B Surface Antigen Loss with Tenofovir Disoproxil Fumarate Plus Peginterferon Alfa-2a: Week 120 Analysis.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285-286 [PMID: 30324553 DOI: 10.1007/s10620-018-5294-y]</w:t>
      </w:r>
    </w:p>
    <w:p w14:paraId="411D25EC" w14:textId="77777777" w:rsidR="00A77B3E" w:rsidRDefault="0029077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Flink HJ</w:t>
      </w:r>
      <w:r>
        <w:rPr>
          <w:rFonts w:ascii="Book Antiqua" w:eastAsia="Book Antiqua" w:hAnsi="Book Antiqua" w:cs="Book Antiqua"/>
          <w:color w:val="000000"/>
        </w:rPr>
        <w:t xml:space="preserve">, Sprengers D, Hansen BE, van Zonneveld M, de Man RA, Schalm SW, Janssen HL; HBV 99-01 Study Group. Flares in chronic hepatitis B patients induced by the host or the virus? Relation to treatment response during Peg-interferon {alpha}-2b therapy. </w:t>
      </w:r>
      <w:r>
        <w:rPr>
          <w:rFonts w:ascii="Book Antiqua" w:eastAsia="Book Antiqua" w:hAnsi="Book Antiqua" w:cs="Book Antiqua"/>
          <w:i/>
          <w:iCs/>
          <w:color w:val="000000"/>
        </w:rPr>
        <w:t>Gut</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1604-1609 [PMID: 15923670 DOI: 10.1136/gut.2004.062208]</w:t>
      </w:r>
    </w:p>
    <w:p w14:paraId="16449A1D" w14:textId="4E27DBA3" w:rsidR="00A77B3E" w:rsidRDefault="0029077E">
      <w:pPr>
        <w:spacing w:line="360" w:lineRule="auto"/>
        <w:jc w:val="both"/>
      </w:pPr>
      <w:r>
        <w:rPr>
          <w:rFonts w:ascii="Book Antiqua" w:eastAsia="Book Antiqua" w:hAnsi="Book Antiqua" w:cs="Book Antiqua"/>
          <w:color w:val="000000"/>
        </w:rPr>
        <w:t xml:space="preserve">25 </w:t>
      </w:r>
      <w:r w:rsidR="00F26155" w:rsidRPr="00F26155">
        <w:rPr>
          <w:rFonts w:ascii="Book Antiqua" w:eastAsia="Book Antiqua" w:hAnsi="Book Antiqua" w:cs="Book Antiqua"/>
          <w:b/>
          <w:bCs/>
          <w:color w:val="000000"/>
        </w:rPr>
        <w:t>Department of Medical Administration, National Health and Health Commission of the People's Republic of China</w:t>
      </w:r>
      <w:r>
        <w:rPr>
          <w:rFonts w:ascii="Book Antiqua" w:eastAsia="Book Antiqua" w:hAnsi="Book Antiqua" w:cs="Book Antiqua"/>
          <w:color w:val="000000"/>
        </w:rPr>
        <w:t xml:space="preserve">. Guidelines for the diagnosis and treatment of primary Liver cancer (2019 edition). </w:t>
      </w:r>
      <w:r w:rsidR="00763B8C" w:rsidRPr="00763B8C">
        <w:rPr>
          <w:rFonts w:ascii="Book Antiqua" w:eastAsia="Book Antiqua" w:hAnsi="Book Antiqua" w:cs="Book Antiqua"/>
          <w:i/>
          <w:iCs/>
          <w:color w:val="000000"/>
        </w:rPr>
        <w:t>Zhonghua Ganzang Bing Zazhi</w:t>
      </w:r>
      <w:r>
        <w:rPr>
          <w:rFonts w:ascii="Book Antiqua" w:eastAsia="Book Antiqua" w:hAnsi="Book Antiqua" w:cs="Book Antiqua"/>
          <w:color w:val="000000"/>
        </w:rPr>
        <w:t xml:space="preserve"> 2020; </w:t>
      </w:r>
      <w:r w:rsidRPr="00763B8C">
        <w:rPr>
          <w:rFonts w:ascii="Book Antiqua" w:eastAsia="Book Antiqua" w:hAnsi="Book Antiqua" w:cs="Book Antiqua"/>
          <w:b/>
          <w:bCs/>
          <w:color w:val="000000"/>
        </w:rPr>
        <w:t>28</w:t>
      </w:r>
      <w:r>
        <w:rPr>
          <w:rFonts w:ascii="Book Antiqua" w:eastAsia="Book Antiqua" w:hAnsi="Book Antiqua" w:cs="Book Antiqua"/>
          <w:color w:val="000000"/>
        </w:rPr>
        <w:t>: 112-128 [DOI: 10.3760/cma.j.issn.1007-3418.2020.02.004]</w:t>
      </w:r>
    </w:p>
    <w:p w14:paraId="60D91A0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3C89A66" w14:textId="77777777" w:rsidR="00A77B3E" w:rsidRDefault="0029077E">
      <w:pPr>
        <w:spacing w:line="360" w:lineRule="auto"/>
        <w:jc w:val="both"/>
      </w:pPr>
      <w:r>
        <w:rPr>
          <w:rFonts w:ascii="Book Antiqua" w:eastAsia="Book Antiqua" w:hAnsi="Book Antiqua" w:cs="Book Antiqua"/>
          <w:b/>
          <w:color w:val="000000"/>
        </w:rPr>
        <w:t>Footnotes</w:t>
      </w:r>
    </w:p>
    <w:p w14:paraId="41D7E756" w14:textId="737EB5C0" w:rsidR="00A77B3E" w:rsidRDefault="0029077E">
      <w:pPr>
        <w:spacing w:line="360" w:lineRule="auto"/>
        <w:jc w:val="both"/>
      </w:pPr>
      <w:r>
        <w:rPr>
          <w:rFonts w:ascii="Book Antiqua" w:eastAsia="Book Antiqua" w:hAnsi="Book Antiqua" w:cs="Book Antiqua"/>
          <w:b/>
          <w:bCs/>
          <w:color w:val="000000"/>
        </w:rPr>
        <w:t xml:space="preserve">Informed consent statement: </w:t>
      </w:r>
      <w:r w:rsidR="004E25D9" w:rsidRPr="004E25D9">
        <w:rPr>
          <w:rFonts w:ascii="Book Antiqua" w:eastAsia="Book Antiqua" w:hAnsi="Book Antiqua" w:cs="Book Antiqua"/>
          <w:color w:val="000000"/>
        </w:rPr>
        <w:t>Informed written consent was obtained from the patient for publication of this report and any accompanying images.</w:t>
      </w:r>
    </w:p>
    <w:p w14:paraId="12D2B57F" w14:textId="77777777" w:rsidR="00A77B3E" w:rsidRDefault="00A77B3E">
      <w:pPr>
        <w:spacing w:line="360" w:lineRule="auto"/>
        <w:jc w:val="both"/>
      </w:pPr>
    </w:p>
    <w:p w14:paraId="38898827" w14:textId="5E2D1595" w:rsidR="00A77B3E" w:rsidRDefault="0029077E">
      <w:pPr>
        <w:spacing w:line="360" w:lineRule="auto"/>
        <w:jc w:val="both"/>
      </w:pPr>
      <w:r>
        <w:rPr>
          <w:rFonts w:ascii="Book Antiqua" w:eastAsia="Book Antiqua" w:hAnsi="Book Antiqua" w:cs="Book Antiqua"/>
          <w:b/>
          <w:bCs/>
          <w:color w:val="000000"/>
          <w:szCs w:val="21"/>
        </w:rPr>
        <w:t xml:space="preserve">Conflict-of-interest statement: </w:t>
      </w:r>
      <w:r w:rsidR="004E25D9" w:rsidRPr="004E25D9">
        <w:rPr>
          <w:rFonts w:ascii="Book Antiqua" w:eastAsia="Book Antiqua" w:hAnsi="Book Antiqua" w:cs="Book Antiqua"/>
          <w:color w:val="000000"/>
        </w:rPr>
        <w:t>The authors declare that they have no conflicts of interest related to this manuscript.</w:t>
      </w:r>
    </w:p>
    <w:p w14:paraId="0F3910CB" w14:textId="77777777" w:rsidR="00A77B3E" w:rsidRDefault="00A77B3E">
      <w:pPr>
        <w:spacing w:line="360" w:lineRule="auto"/>
        <w:jc w:val="both"/>
      </w:pPr>
    </w:p>
    <w:p w14:paraId="1B46004F" w14:textId="6C840A1F" w:rsidR="00A77B3E" w:rsidRDefault="0029077E">
      <w:pPr>
        <w:spacing w:line="360" w:lineRule="auto"/>
        <w:jc w:val="both"/>
      </w:pPr>
      <w:r>
        <w:rPr>
          <w:rFonts w:ascii="Book Antiqua" w:eastAsia="Book Antiqua" w:hAnsi="Book Antiqua" w:cs="Book Antiqua"/>
          <w:b/>
          <w:bCs/>
          <w:color w:val="000000"/>
          <w:szCs w:val="21"/>
        </w:rPr>
        <w:t xml:space="preserve">CARE Checklist (2016) statement: </w:t>
      </w:r>
      <w:r w:rsidR="004E25D9" w:rsidRPr="004E25D9">
        <w:rPr>
          <w:rFonts w:ascii="Book Antiqua" w:eastAsia="Book Antiqua" w:hAnsi="Book Antiqua" w:cs="Book Antiqua"/>
          <w:color w:val="000000"/>
        </w:rPr>
        <w:t>The authors have read the CARE Checklist (2016), and the manuscript was prepared and revised according to the CARE Checklist (2016).</w:t>
      </w:r>
    </w:p>
    <w:p w14:paraId="678691E4" w14:textId="77777777" w:rsidR="00A77B3E" w:rsidRDefault="00A77B3E">
      <w:pPr>
        <w:spacing w:line="360" w:lineRule="auto"/>
        <w:jc w:val="both"/>
      </w:pPr>
    </w:p>
    <w:p w14:paraId="3097C4B3" w14:textId="77777777" w:rsidR="00A77B3E" w:rsidRDefault="0029077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61DDF2" w14:textId="77777777" w:rsidR="00A77B3E" w:rsidRDefault="00A77B3E">
      <w:pPr>
        <w:spacing w:line="360" w:lineRule="auto"/>
        <w:jc w:val="both"/>
      </w:pPr>
    </w:p>
    <w:p w14:paraId="4A8C5B5D" w14:textId="2FE06259" w:rsidR="00A77B3E" w:rsidRDefault="0029077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E25D9">
        <w:rPr>
          <w:rFonts w:ascii="Book Antiqua" w:eastAsia="Book Antiqua" w:hAnsi="Book Antiqua" w:cs="Book Antiqua"/>
          <w:color w:val="000000"/>
        </w:rPr>
        <w:t>m</w:t>
      </w:r>
      <w:r>
        <w:rPr>
          <w:rFonts w:ascii="Book Antiqua" w:eastAsia="Book Antiqua" w:hAnsi="Book Antiqua" w:cs="Book Antiqua"/>
          <w:color w:val="000000"/>
        </w:rPr>
        <w:t>anuscript</w:t>
      </w:r>
    </w:p>
    <w:p w14:paraId="0599DF72" w14:textId="77777777" w:rsidR="00A77B3E" w:rsidRDefault="00A77B3E">
      <w:pPr>
        <w:spacing w:line="360" w:lineRule="auto"/>
        <w:jc w:val="both"/>
      </w:pPr>
    </w:p>
    <w:p w14:paraId="7B1DD806" w14:textId="77777777" w:rsidR="00A77B3E" w:rsidRDefault="0029077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28, 2020</w:t>
      </w:r>
    </w:p>
    <w:p w14:paraId="42F5668D" w14:textId="77777777" w:rsidR="00A77B3E" w:rsidRDefault="0029077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5B6BF92D" w14:textId="56BF32E9" w:rsidR="00A77B3E" w:rsidRDefault="0029077E">
      <w:pPr>
        <w:spacing w:line="360" w:lineRule="auto"/>
        <w:jc w:val="both"/>
      </w:pPr>
      <w:r>
        <w:rPr>
          <w:rFonts w:ascii="Book Antiqua" w:eastAsia="Book Antiqua" w:hAnsi="Book Antiqua" w:cs="Book Antiqua"/>
          <w:b/>
          <w:color w:val="000000"/>
        </w:rPr>
        <w:t xml:space="preserve">Article in press: </w:t>
      </w:r>
      <w:r w:rsidR="008F560E">
        <w:rPr>
          <w:rFonts w:ascii="Book Antiqua" w:eastAsia="Book Antiqua" w:hAnsi="Book Antiqua" w:cs="Book Antiqua"/>
          <w:color w:val="000000"/>
        </w:rPr>
        <w:t xml:space="preserve">November </w:t>
      </w:r>
      <w:r w:rsidR="008F560E">
        <w:rPr>
          <w:rFonts w:ascii="Book Antiqua" w:hAnsi="Book Antiqua" w:cs="Book Antiqua" w:hint="eastAsia"/>
          <w:color w:val="000000"/>
          <w:lang w:eastAsia="zh-CN"/>
        </w:rPr>
        <w:t>11</w:t>
      </w:r>
      <w:r w:rsidR="008F560E">
        <w:rPr>
          <w:rFonts w:ascii="Book Antiqua" w:eastAsia="Book Antiqua" w:hAnsi="Book Antiqua" w:cs="Book Antiqua"/>
          <w:color w:val="000000"/>
        </w:rPr>
        <w:t>, 2020</w:t>
      </w:r>
    </w:p>
    <w:p w14:paraId="584317E6" w14:textId="77777777" w:rsidR="00A77B3E" w:rsidRDefault="00A77B3E">
      <w:pPr>
        <w:spacing w:line="360" w:lineRule="auto"/>
        <w:jc w:val="both"/>
      </w:pPr>
    </w:p>
    <w:p w14:paraId="20F8C99E" w14:textId="33DB40B2" w:rsidR="00A77B3E" w:rsidRDefault="0029077E">
      <w:pPr>
        <w:spacing w:line="360" w:lineRule="auto"/>
        <w:jc w:val="both"/>
      </w:pPr>
      <w:r>
        <w:rPr>
          <w:rFonts w:ascii="Book Antiqua" w:eastAsia="Book Antiqua" w:hAnsi="Book Antiqua" w:cs="Book Antiqua"/>
          <w:b/>
          <w:color w:val="000000"/>
        </w:rPr>
        <w:t xml:space="preserve">Specialty type: </w:t>
      </w:r>
      <w:r w:rsidR="00C35DA5" w:rsidRPr="00C35DA5">
        <w:rPr>
          <w:rFonts w:ascii="Book Antiqua" w:eastAsia="Book Antiqua" w:hAnsi="Book Antiqua" w:cs="Book Antiqua"/>
          <w:color w:val="000000"/>
        </w:rPr>
        <w:t>Medicine, research and experimental</w:t>
      </w:r>
    </w:p>
    <w:p w14:paraId="035B7DEE" w14:textId="77777777" w:rsidR="00A77B3E" w:rsidRDefault="0029077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7FACA88" w14:textId="77777777" w:rsidR="00A77B3E" w:rsidRDefault="0029077E">
      <w:pPr>
        <w:spacing w:line="360" w:lineRule="auto"/>
        <w:jc w:val="both"/>
      </w:pPr>
      <w:r>
        <w:rPr>
          <w:rFonts w:ascii="Book Antiqua" w:eastAsia="Book Antiqua" w:hAnsi="Book Antiqua" w:cs="Book Antiqua"/>
          <w:b/>
          <w:color w:val="000000"/>
        </w:rPr>
        <w:t>Peer-review report’s scientific quality classification</w:t>
      </w:r>
    </w:p>
    <w:p w14:paraId="1B38B0A7" w14:textId="77777777" w:rsidR="00A77B3E" w:rsidRDefault="0029077E">
      <w:pPr>
        <w:spacing w:line="360" w:lineRule="auto"/>
        <w:jc w:val="both"/>
      </w:pPr>
      <w:r>
        <w:rPr>
          <w:rFonts w:ascii="Book Antiqua" w:eastAsia="Book Antiqua" w:hAnsi="Book Antiqua" w:cs="Book Antiqua"/>
          <w:color w:val="000000"/>
        </w:rPr>
        <w:t>Grade A (Excellent): 0</w:t>
      </w:r>
    </w:p>
    <w:p w14:paraId="68DDCA10" w14:textId="77777777" w:rsidR="00A77B3E" w:rsidRDefault="0029077E">
      <w:pPr>
        <w:spacing w:line="360" w:lineRule="auto"/>
        <w:jc w:val="both"/>
      </w:pPr>
      <w:r>
        <w:rPr>
          <w:rFonts w:ascii="Book Antiqua" w:eastAsia="Book Antiqua" w:hAnsi="Book Antiqua" w:cs="Book Antiqua"/>
          <w:color w:val="000000"/>
        </w:rPr>
        <w:t>Grade B (Very good): 0</w:t>
      </w:r>
    </w:p>
    <w:p w14:paraId="1F9DA806" w14:textId="77777777" w:rsidR="00A77B3E" w:rsidRDefault="0029077E">
      <w:pPr>
        <w:spacing w:line="360" w:lineRule="auto"/>
        <w:jc w:val="both"/>
      </w:pPr>
      <w:r>
        <w:rPr>
          <w:rFonts w:ascii="Book Antiqua" w:eastAsia="Book Antiqua" w:hAnsi="Book Antiqua" w:cs="Book Antiqua"/>
          <w:color w:val="000000"/>
        </w:rPr>
        <w:t>Grade C (Good): C, C</w:t>
      </w:r>
    </w:p>
    <w:p w14:paraId="7E43AA58" w14:textId="77777777" w:rsidR="00A77B3E" w:rsidRDefault="0029077E">
      <w:pPr>
        <w:spacing w:line="360" w:lineRule="auto"/>
        <w:jc w:val="both"/>
      </w:pPr>
      <w:r>
        <w:rPr>
          <w:rFonts w:ascii="Book Antiqua" w:eastAsia="Book Antiqua" w:hAnsi="Book Antiqua" w:cs="Book Antiqua"/>
          <w:color w:val="000000"/>
        </w:rPr>
        <w:t>Grade D (Fair): D</w:t>
      </w:r>
    </w:p>
    <w:p w14:paraId="04EAECB5" w14:textId="77777777" w:rsidR="00A77B3E" w:rsidRDefault="0029077E">
      <w:pPr>
        <w:spacing w:line="360" w:lineRule="auto"/>
        <w:jc w:val="both"/>
      </w:pPr>
      <w:r>
        <w:rPr>
          <w:rFonts w:ascii="Book Antiqua" w:eastAsia="Book Antiqua" w:hAnsi="Book Antiqua" w:cs="Book Antiqua"/>
          <w:color w:val="000000"/>
        </w:rPr>
        <w:t>Grade E (Poor): 0</w:t>
      </w:r>
    </w:p>
    <w:p w14:paraId="43877D3F" w14:textId="77777777" w:rsidR="00A77B3E" w:rsidRDefault="00A77B3E">
      <w:pPr>
        <w:spacing w:line="360" w:lineRule="auto"/>
        <w:jc w:val="both"/>
      </w:pPr>
    </w:p>
    <w:p w14:paraId="3FDCBB25" w14:textId="392CE177" w:rsidR="00A77B3E" w:rsidRPr="008F560E" w:rsidRDefault="0029077E" w:rsidP="008F560E">
      <w:pPr>
        <w:spacing w:line="360" w:lineRule="auto"/>
        <w:sectPr w:rsidR="00A77B3E" w:rsidRPr="008F560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Macias Rodriguez RU, Manautou JE, Ozaki I</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E247D6" w:rsidRPr="00220100">
        <w:rPr>
          <w:rFonts w:ascii="Book Antiqua" w:eastAsia="Book Antiqua" w:hAnsi="Book Antiqua" w:cs="Book Antiqua"/>
          <w:color w:val="000000"/>
        </w:rPr>
        <w:t>Wang TQ</w:t>
      </w:r>
      <w:r w:rsidR="00E247D6">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8F560E" w:rsidRPr="008F560E">
        <w:rPr>
          <w:rFonts w:ascii="Book Antiqua" w:eastAsia="Book Antiqua" w:hAnsi="Book Antiqua" w:cs="Book Antiqua"/>
          <w:color w:val="000000"/>
        </w:rPr>
        <w:t>Xing YX</w:t>
      </w:r>
    </w:p>
    <w:p w14:paraId="12044B71" w14:textId="1055F0E6" w:rsidR="00A77B3E" w:rsidRDefault="0029077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C0750EA" w14:textId="5DF1CD51" w:rsidR="00A512E5" w:rsidRDefault="00100A94">
      <w:pPr>
        <w:spacing w:line="360" w:lineRule="auto"/>
        <w:jc w:val="both"/>
      </w:pPr>
      <w:r>
        <w:rPr>
          <w:noProof/>
          <w:lang w:eastAsia="zh-CN"/>
        </w:rPr>
        <w:drawing>
          <wp:inline distT="0" distB="0" distL="0" distR="0" wp14:anchorId="3F2326CB" wp14:editId="1D06DF82">
            <wp:extent cx="3526302" cy="2865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3531992" cy="2869743"/>
                    </a:xfrm>
                    <a:prstGeom prst="rect">
                      <a:avLst/>
                    </a:prstGeom>
                  </pic:spPr>
                </pic:pic>
              </a:graphicData>
            </a:graphic>
          </wp:inline>
        </w:drawing>
      </w:r>
    </w:p>
    <w:p w14:paraId="49CEEF17" w14:textId="5A6B358A" w:rsidR="00100A94" w:rsidRDefault="002907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Location map of the liver tumor.</w:t>
      </w:r>
    </w:p>
    <w:p w14:paraId="2C267535" w14:textId="07A5F040" w:rsidR="00A77B3E" w:rsidRDefault="00100A94">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drawing>
          <wp:inline distT="0" distB="0" distL="0" distR="0" wp14:anchorId="3C47052C" wp14:editId="2BBCDE39">
            <wp:extent cx="5943600" cy="45554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55490"/>
                    </a:xfrm>
                    <a:prstGeom prst="rect">
                      <a:avLst/>
                    </a:prstGeom>
                  </pic:spPr>
                </pic:pic>
              </a:graphicData>
            </a:graphic>
          </wp:inline>
        </w:drawing>
      </w:r>
    </w:p>
    <w:p w14:paraId="22B7124F" w14:textId="4C016CB7" w:rsidR="00100A94" w:rsidRDefault="0029077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00A10403">
        <w:rPr>
          <w:rFonts w:ascii="Book Antiqua" w:eastAsia="Book Antiqua" w:hAnsi="Book Antiqua" w:cs="Book Antiqua"/>
          <w:b/>
          <w:bCs/>
          <w:color w:val="000000"/>
        </w:rPr>
        <w:t>Histology</w:t>
      </w:r>
      <w:r>
        <w:rPr>
          <w:rFonts w:ascii="Book Antiqua" w:eastAsia="Book Antiqua" w:hAnsi="Book Antiqua" w:cs="Book Antiqua"/>
          <w:b/>
          <w:bCs/>
          <w:color w:val="000000"/>
        </w:rPr>
        <w:t>.</w:t>
      </w:r>
      <w:r>
        <w:rPr>
          <w:rFonts w:ascii="Book Antiqua" w:eastAsia="Book Antiqua" w:hAnsi="Book Antiqua" w:cs="Book Antiqua"/>
          <w:color w:val="000000"/>
        </w:rPr>
        <w:t xml:space="preserve"> A: Pathological staining of the resected liver cancer tissue </w:t>
      </w:r>
      <w:r w:rsidR="00A10403">
        <w:rPr>
          <w:rFonts w:ascii="Book Antiqua" w:eastAsia="Book Antiqua" w:hAnsi="Book Antiqua" w:cs="Book Antiqua"/>
          <w:color w:val="000000"/>
        </w:rPr>
        <w:t xml:space="preserve">at </w:t>
      </w:r>
      <w:r>
        <w:rPr>
          <w:rFonts w:ascii="Book Antiqua" w:eastAsia="Book Antiqua" w:hAnsi="Book Antiqua" w:cs="Book Antiqua"/>
          <w:color w:val="000000"/>
        </w:rPr>
        <w:t>Zhongshan Hospital, Shanghai</w:t>
      </w:r>
      <w:r w:rsidR="00A10403">
        <w:rPr>
          <w:rFonts w:ascii="Book Antiqua" w:eastAsia="Book Antiqua" w:hAnsi="Book Antiqua" w:cs="Book Antiqua"/>
          <w:color w:val="000000"/>
        </w:rPr>
        <w:t xml:space="preserve"> </w:t>
      </w:r>
      <w:r>
        <w:rPr>
          <w:rFonts w:ascii="Book Antiqua" w:eastAsia="Book Antiqua" w:hAnsi="Book Antiqua" w:cs="Book Antiqua"/>
          <w:color w:val="000000"/>
        </w:rPr>
        <w:t xml:space="preserve">in October 2016 (G1S3); B: Liver puncture biopsy (G2S1) performed </w:t>
      </w:r>
      <w:r w:rsidR="00A10403">
        <w:rPr>
          <w:rFonts w:ascii="Book Antiqua" w:eastAsia="Book Antiqua" w:hAnsi="Book Antiqua" w:cs="Book Antiqua"/>
          <w:color w:val="000000"/>
        </w:rPr>
        <w:t xml:space="preserve">at </w:t>
      </w:r>
      <w:r>
        <w:rPr>
          <w:rFonts w:ascii="Book Antiqua" w:eastAsia="Book Antiqua" w:hAnsi="Book Antiqua" w:cs="Book Antiqua"/>
          <w:color w:val="000000"/>
        </w:rPr>
        <w:t>Quanzhou First Hospital in July 2020.</w:t>
      </w:r>
    </w:p>
    <w:p w14:paraId="706AD929" w14:textId="3D629C9B" w:rsidR="00A77B3E" w:rsidRDefault="00100A9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777F5F7E" w14:textId="77777777" w:rsidR="005159DE" w:rsidRDefault="005159DE">
      <w:pPr>
        <w:spacing w:line="360" w:lineRule="auto"/>
        <w:jc w:val="both"/>
        <w:rPr>
          <w:rFonts w:ascii="Book Antiqua" w:eastAsia="Book Antiqua" w:hAnsi="Book Antiqua" w:cs="Book Antiqua"/>
          <w:b/>
          <w:bCs/>
          <w:color w:val="000000"/>
        </w:rPr>
      </w:pPr>
      <w:r w:rsidRPr="005159DE">
        <w:rPr>
          <w:rFonts w:ascii="Book Antiqua" w:eastAsia="Book Antiqua" w:hAnsi="Book Antiqua" w:cs="Book Antiqua"/>
          <w:b/>
          <w:bCs/>
          <w:noProof/>
          <w:color w:val="000000"/>
          <w:lang w:eastAsia="zh-CN"/>
        </w:rPr>
        <w:drawing>
          <wp:inline distT="0" distB="0" distL="0" distR="0" wp14:anchorId="60A8BD39" wp14:editId="2BB839D5">
            <wp:extent cx="3037840" cy="3856990"/>
            <wp:effectExtent l="0" t="0" r="0" b="0"/>
            <wp:docPr id="4" name="图片 4" descr="D:\7 文献\1 科研成果（福建医科大学附属泉州第一医院--硕士）\2 工作期间发表的论文\8 演讲比赛及IFN+ETV+乙肝疫苗治疗HCC（个案报道）\Manusript\Figure\59733-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7 文献\1 科研成果（福建医科大学附属泉州第一医院--硕士）\2 工作期间发表的论文\8 演讲比赛及IFN+ETV+乙肝疫苗治疗HCC（个案报道）\Manusript\Figure\59733-Figure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7840" cy="3856990"/>
                    </a:xfrm>
                    <a:prstGeom prst="rect">
                      <a:avLst/>
                    </a:prstGeom>
                    <a:noFill/>
                    <a:ln>
                      <a:noFill/>
                    </a:ln>
                  </pic:spPr>
                </pic:pic>
              </a:graphicData>
            </a:graphic>
          </wp:inline>
        </w:drawing>
      </w:r>
    </w:p>
    <w:p w14:paraId="6FDA0A57" w14:textId="1D9D1207" w:rsidR="00492B45" w:rsidRDefault="0029077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Changes in the laboratory examination results during treatment.</w:t>
      </w:r>
      <w:r>
        <w:rPr>
          <w:rFonts w:ascii="Book Antiqua" w:eastAsia="Book Antiqua" w:hAnsi="Book Antiqua" w:cs="Book Antiqua"/>
          <w:color w:val="000000"/>
        </w:rPr>
        <w:t xml:space="preserve"> A: Changes in the </w:t>
      </w:r>
      <w:r w:rsidR="00100A94">
        <w:rPr>
          <w:rFonts w:ascii="Book Antiqua" w:eastAsia="Book Antiqua" w:hAnsi="Book Antiqua" w:cs="Book Antiqua"/>
          <w:color w:val="000000"/>
        </w:rPr>
        <w:t>hepatitis B</w:t>
      </w:r>
      <w:r>
        <w:rPr>
          <w:rFonts w:ascii="Book Antiqua" w:eastAsia="Book Antiqua" w:hAnsi="Book Antiqua" w:cs="Book Antiqua"/>
          <w:color w:val="000000"/>
        </w:rPr>
        <w:t xml:space="preserve"> virology indices HBsAg and HBsAb; B: Changes in </w:t>
      </w:r>
      <w:r w:rsidR="00100A94">
        <w:rPr>
          <w:rFonts w:ascii="Book Antiqua" w:eastAsia="Book Antiqua" w:hAnsi="Book Antiqua" w:cs="Book Antiqua"/>
          <w:color w:val="000000"/>
        </w:rPr>
        <w:t>a</w:t>
      </w:r>
      <w:r w:rsidR="00100A94" w:rsidRPr="00D4072F">
        <w:rPr>
          <w:rFonts w:ascii="Book Antiqua" w:eastAsia="Book Antiqua" w:hAnsi="Book Antiqua" w:cs="Book Antiqua"/>
          <w:color w:val="000000"/>
        </w:rPr>
        <w:t>lanine aminotransferase</w:t>
      </w:r>
      <w:r>
        <w:rPr>
          <w:rFonts w:ascii="Book Antiqua" w:eastAsia="Book Antiqua" w:hAnsi="Book Antiqua" w:cs="Book Antiqua"/>
          <w:color w:val="000000"/>
        </w:rPr>
        <w:t xml:space="preserve"> and </w:t>
      </w:r>
      <w:r w:rsidR="00100A94" w:rsidRPr="00D4072F">
        <w:rPr>
          <w:rFonts w:ascii="Book Antiqua" w:eastAsia="Book Antiqua" w:hAnsi="Book Antiqua" w:cs="Book Antiqua"/>
          <w:color w:val="000000"/>
        </w:rPr>
        <w:t>aspartate aminotransferase</w:t>
      </w:r>
      <w:r>
        <w:rPr>
          <w:rFonts w:ascii="Book Antiqua" w:eastAsia="Book Antiqua" w:hAnsi="Book Antiqua" w:cs="Book Antiqua"/>
          <w:color w:val="000000"/>
        </w:rPr>
        <w:t xml:space="preserve"> levels, and platelet count.</w:t>
      </w:r>
      <w:r w:rsidR="00100A94">
        <w:rPr>
          <w:rFonts w:ascii="Book Antiqua" w:eastAsia="Book Antiqua" w:hAnsi="Book Antiqua" w:cs="Book Antiqua"/>
          <w:color w:val="000000"/>
        </w:rPr>
        <w:t xml:space="preserve"> ETV: E</w:t>
      </w:r>
      <w:r w:rsidR="00100A94" w:rsidRPr="00100A94">
        <w:rPr>
          <w:rFonts w:ascii="Book Antiqua" w:eastAsia="Book Antiqua" w:hAnsi="Book Antiqua" w:cs="Book Antiqua"/>
          <w:color w:val="000000"/>
        </w:rPr>
        <w:t>ntecavir</w:t>
      </w:r>
      <w:r w:rsidR="00100A94">
        <w:rPr>
          <w:rFonts w:ascii="Book Antiqua" w:eastAsia="Book Antiqua" w:hAnsi="Book Antiqua" w:cs="Book Antiqua"/>
          <w:color w:val="000000"/>
        </w:rPr>
        <w:t>; Peg-IFN</w:t>
      </w:r>
      <w:r w:rsidR="00911B1E" w:rsidRPr="00911B1E">
        <w:rPr>
          <w:rFonts w:ascii="Book Antiqua" w:eastAsia="Book Antiqua" w:hAnsi="Book Antiqua" w:cs="Book Antiqua"/>
          <w:color w:val="000000"/>
        </w:rPr>
        <w:t>α</w:t>
      </w:r>
      <w:r w:rsidR="00100A94">
        <w:rPr>
          <w:rFonts w:ascii="Book Antiqua" w:eastAsia="Book Antiqua" w:hAnsi="Book Antiqua" w:cs="Book Antiqua"/>
          <w:color w:val="000000"/>
        </w:rPr>
        <w:t>: P</w:t>
      </w:r>
      <w:r w:rsidR="00100A94" w:rsidRPr="00100A94">
        <w:rPr>
          <w:rFonts w:ascii="Book Antiqua" w:eastAsia="Book Antiqua" w:hAnsi="Book Antiqua" w:cs="Book Antiqua"/>
          <w:color w:val="000000"/>
        </w:rPr>
        <w:t>egylated interferon al</w:t>
      </w:r>
      <w:r w:rsidR="00911B1E">
        <w:rPr>
          <w:rFonts w:ascii="Book Antiqua" w:eastAsia="Book Antiqua" w:hAnsi="Book Antiqua" w:cs="Book Antiqua"/>
          <w:color w:val="000000"/>
        </w:rPr>
        <w:t>ph</w:t>
      </w:r>
      <w:r w:rsidR="00100A94" w:rsidRPr="00100A94">
        <w:rPr>
          <w:rFonts w:ascii="Book Antiqua" w:eastAsia="Book Antiqua" w:hAnsi="Book Antiqua" w:cs="Book Antiqua"/>
          <w:color w:val="000000"/>
        </w:rPr>
        <w:t>a-2b</w:t>
      </w:r>
      <w:r w:rsidR="00100A94">
        <w:rPr>
          <w:rFonts w:ascii="Book Antiqua" w:eastAsia="Book Antiqua" w:hAnsi="Book Antiqua" w:cs="Book Antiqua"/>
          <w:color w:val="000000"/>
        </w:rPr>
        <w:t>; HBV: Hepatitis B virus; AST: A</w:t>
      </w:r>
      <w:r w:rsidR="00100A94" w:rsidRPr="00D4072F">
        <w:rPr>
          <w:rFonts w:ascii="Book Antiqua" w:eastAsia="Book Antiqua" w:hAnsi="Book Antiqua" w:cs="Book Antiqua"/>
          <w:color w:val="000000"/>
        </w:rPr>
        <w:t>lanine aminotransferase</w:t>
      </w:r>
      <w:r w:rsidR="00100A94">
        <w:rPr>
          <w:rFonts w:ascii="Book Antiqua" w:eastAsia="Book Antiqua" w:hAnsi="Book Antiqua" w:cs="Book Antiqua"/>
          <w:color w:val="000000"/>
        </w:rPr>
        <w:t>; ALT: A</w:t>
      </w:r>
      <w:r w:rsidR="00100A94" w:rsidRPr="00D4072F">
        <w:rPr>
          <w:rFonts w:ascii="Book Antiqua" w:eastAsia="Book Antiqua" w:hAnsi="Book Antiqua" w:cs="Book Antiqua"/>
          <w:color w:val="000000"/>
        </w:rPr>
        <w:t>spartate aminotransferase</w:t>
      </w:r>
      <w:r w:rsidR="00100A94">
        <w:rPr>
          <w:rFonts w:ascii="Book Antiqua" w:eastAsia="Book Antiqua" w:hAnsi="Book Antiqua" w:cs="Book Antiqua"/>
          <w:color w:val="000000"/>
        </w:rPr>
        <w:t>; PLT: P</w:t>
      </w:r>
      <w:r w:rsidR="00100A94" w:rsidRPr="00100A94">
        <w:rPr>
          <w:rFonts w:ascii="Book Antiqua" w:eastAsia="Book Antiqua" w:hAnsi="Book Antiqua" w:cs="Book Antiqua"/>
          <w:color w:val="000000"/>
        </w:rPr>
        <w:t>latelet count</w:t>
      </w:r>
      <w:r w:rsidR="00100A94">
        <w:rPr>
          <w:rFonts w:ascii="Book Antiqua" w:eastAsia="Book Antiqua" w:hAnsi="Book Antiqua" w:cs="Book Antiqua"/>
          <w:color w:val="000000"/>
        </w:rPr>
        <w:t>.</w:t>
      </w:r>
    </w:p>
    <w:p w14:paraId="2DC95256" w14:textId="77777777" w:rsidR="00492B45" w:rsidRDefault="00492B45">
      <w:pPr>
        <w:rPr>
          <w:rFonts w:ascii="Book Antiqua" w:eastAsia="Book Antiqua" w:hAnsi="Book Antiqua" w:cs="Book Antiqua"/>
          <w:color w:val="000000"/>
        </w:rPr>
      </w:pPr>
      <w:r>
        <w:rPr>
          <w:rFonts w:ascii="Book Antiqua" w:eastAsia="Book Antiqua" w:hAnsi="Book Antiqua" w:cs="Book Antiqua"/>
          <w:color w:val="000000"/>
        </w:rPr>
        <w:br w:type="page"/>
      </w:r>
    </w:p>
    <w:p w14:paraId="0E31F28D" w14:textId="77777777" w:rsidR="00492B45" w:rsidRDefault="00492B45" w:rsidP="00492B45">
      <w:pPr>
        <w:jc w:val="center"/>
        <w:rPr>
          <w:rFonts w:ascii="Book Antiqua" w:hAnsi="Book Antiqua"/>
        </w:rPr>
      </w:pPr>
      <w:bookmarkStart w:id="0" w:name="OLE_LINK3"/>
      <w:bookmarkStart w:id="1" w:name="OLE_LINK4"/>
    </w:p>
    <w:p w14:paraId="2D32B3D6" w14:textId="77777777" w:rsidR="00492B45" w:rsidRDefault="00492B45" w:rsidP="00492B45">
      <w:pPr>
        <w:jc w:val="center"/>
        <w:rPr>
          <w:rFonts w:ascii="Book Antiqua" w:hAnsi="Book Antiqua"/>
        </w:rPr>
      </w:pPr>
    </w:p>
    <w:p w14:paraId="0D29DD74" w14:textId="77777777" w:rsidR="00492B45" w:rsidRDefault="00492B45" w:rsidP="00492B45">
      <w:pPr>
        <w:jc w:val="center"/>
        <w:rPr>
          <w:rFonts w:ascii="Book Antiqua" w:hAnsi="Book Antiqua"/>
        </w:rPr>
      </w:pPr>
    </w:p>
    <w:p w14:paraId="1A217446" w14:textId="77777777" w:rsidR="00492B45" w:rsidRDefault="00492B45" w:rsidP="00492B45">
      <w:pPr>
        <w:jc w:val="center"/>
        <w:rPr>
          <w:rFonts w:ascii="Book Antiqua" w:hAnsi="Book Antiqua"/>
        </w:rPr>
      </w:pPr>
    </w:p>
    <w:p w14:paraId="10765FB3" w14:textId="77777777" w:rsidR="00492B45" w:rsidRDefault="00492B45" w:rsidP="00492B45">
      <w:pPr>
        <w:jc w:val="center"/>
        <w:rPr>
          <w:rFonts w:ascii="Book Antiqua" w:hAnsi="Book Antiqua"/>
        </w:rPr>
      </w:pPr>
    </w:p>
    <w:p w14:paraId="28420755" w14:textId="77777777" w:rsidR="00492B45" w:rsidRDefault="00492B45" w:rsidP="00492B45">
      <w:pPr>
        <w:jc w:val="center"/>
        <w:rPr>
          <w:rFonts w:ascii="Book Antiqua" w:hAnsi="Book Antiqua"/>
        </w:rPr>
      </w:pPr>
      <w:r>
        <w:rPr>
          <w:rFonts w:ascii="Book Antiqua" w:hAnsi="Book Antiqua"/>
          <w:noProof/>
          <w:lang w:eastAsia="zh-CN"/>
        </w:rPr>
        <w:drawing>
          <wp:inline distT="0" distB="0" distL="0" distR="0" wp14:anchorId="4C8A6FF2" wp14:editId="75F5767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8200F4A" w14:textId="77777777" w:rsidR="00492B45" w:rsidRDefault="00492B45" w:rsidP="00492B45">
      <w:pPr>
        <w:jc w:val="center"/>
        <w:rPr>
          <w:rFonts w:ascii="Book Antiqua" w:hAnsi="Book Antiqua"/>
        </w:rPr>
      </w:pPr>
    </w:p>
    <w:p w14:paraId="50F74154" w14:textId="77777777" w:rsidR="00492B45" w:rsidRPr="00763D22" w:rsidRDefault="00492B45" w:rsidP="00492B4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8921D3D" w14:textId="77777777" w:rsidR="00492B45" w:rsidRPr="00763D22" w:rsidRDefault="00492B45" w:rsidP="00492B4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8789250" w14:textId="77777777" w:rsidR="00492B45" w:rsidRPr="00763D22" w:rsidRDefault="00492B45" w:rsidP="00492B4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491E925" w14:textId="77777777" w:rsidR="00492B45" w:rsidRPr="00763D22" w:rsidRDefault="00492B45" w:rsidP="00492B4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CAA015E" w14:textId="77777777" w:rsidR="00492B45" w:rsidRPr="00763D22" w:rsidRDefault="00492B45" w:rsidP="00492B4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1032D37" w14:textId="77777777" w:rsidR="00492B45" w:rsidRPr="00763D22" w:rsidRDefault="00492B45" w:rsidP="00492B4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1EA8E6B" w14:textId="77777777" w:rsidR="00492B45" w:rsidRDefault="00492B45" w:rsidP="00492B45">
      <w:pPr>
        <w:jc w:val="center"/>
        <w:rPr>
          <w:rFonts w:ascii="Book Antiqua" w:hAnsi="Book Antiqua"/>
        </w:rPr>
      </w:pPr>
    </w:p>
    <w:p w14:paraId="3E6666E1" w14:textId="77777777" w:rsidR="00492B45" w:rsidRDefault="00492B45" w:rsidP="00492B45">
      <w:pPr>
        <w:jc w:val="center"/>
        <w:rPr>
          <w:rFonts w:ascii="Book Antiqua" w:hAnsi="Book Antiqua"/>
        </w:rPr>
      </w:pPr>
    </w:p>
    <w:p w14:paraId="79858E91" w14:textId="77777777" w:rsidR="00492B45" w:rsidRDefault="00492B45" w:rsidP="00492B45">
      <w:pPr>
        <w:jc w:val="center"/>
        <w:rPr>
          <w:rFonts w:ascii="Book Antiqua" w:hAnsi="Book Antiqua"/>
        </w:rPr>
      </w:pPr>
    </w:p>
    <w:p w14:paraId="13BB3FCC" w14:textId="77777777" w:rsidR="00492B45" w:rsidRDefault="00492B45" w:rsidP="00492B45">
      <w:pPr>
        <w:jc w:val="center"/>
        <w:rPr>
          <w:rFonts w:ascii="Book Antiqua" w:hAnsi="Book Antiqua"/>
        </w:rPr>
      </w:pPr>
      <w:r>
        <w:rPr>
          <w:rFonts w:ascii="Book Antiqua" w:hAnsi="Book Antiqua"/>
          <w:noProof/>
          <w:lang w:eastAsia="zh-CN"/>
        </w:rPr>
        <w:drawing>
          <wp:inline distT="0" distB="0" distL="0" distR="0" wp14:anchorId="64CDE3F4" wp14:editId="49AF011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18B36F9" w14:textId="77777777" w:rsidR="00492B45" w:rsidRDefault="00492B45" w:rsidP="00492B45">
      <w:pPr>
        <w:jc w:val="center"/>
        <w:rPr>
          <w:rFonts w:ascii="Book Antiqua" w:hAnsi="Book Antiqua"/>
        </w:rPr>
      </w:pPr>
    </w:p>
    <w:p w14:paraId="24C8BB56" w14:textId="77777777" w:rsidR="00492B45" w:rsidRDefault="00492B45" w:rsidP="00492B45">
      <w:pPr>
        <w:jc w:val="center"/>
        <w:rPr>
          <w:rFonts w:ascii="Book Antiqua" w:hAnsi="Book Antiqua"/>
        </w:rPr>
      </w:pPr>
    </w:p>
    <w:p w14:paraId="43C793A8" w14:textId="77777777" w:rsidR="00492B45" w:rsidRDefault="00492B45" w:rsidP="00492B45">
      <w:pPr>
        <w:jc w:val="center"/>
        <w:rPr>
          <w:rFonts w:ascii="Book Antiqua" w:hAnsi="Book Antiqua"/>
        </w:rPr>
      </w:pPr>
    </w:p>
    <w:p w14:paraId="5A785D76" w14:textId="77777777" w:rsidR="00492B45" w:rsidRDefault="00492B45" w:rsidP="00492B45">
      <w:pPr>
        <w:jc w:val="center"/>
        <w:rPr>
          <w:rFonts w:ascii="Book Antiqua" w:hAnsi="Book Antiqua"/>
        </w:rPr>
      </w:pPr>
    </w:p>
    <w:p w14:paraId="56A65201" w14:textId="77777777" w:rsidR="00492B45" w:rsidRDefault="00492B45" w:rsidP="00492B45">
      <w:pPr>
        <w:jc w:val="center"/>
        <w:rPr>
          <w:rFonts w:ascii="Book Antiqua" w:hAnsi="Book Antiqua"/>
        </w:rPr>
      </w:pPr>
    </w:p>
    <w:p w14:paraId="45A4DDE9" w14:textId="77777777" w:rsidR="00492B45" w:rsidRDefault="00492B45" w:rsidP="00492B45">
      <w:pPr>
        <w:jc w:val="center"/>
        <w:rPr>
          <w:rFonts w:ascii="Book Antiqua" w:hAnsi="Book Antiqua"/>
        </w:rPr>
      </w:pPr>
    </w:p>
    <w:p w14:paraId="60E1FC8C" w14:textId="77777777" w:rsidR="00492B45" w:rsidRDefault="00492B45" w:rsidP="00492B45">
      <w:pPr>
        <w:jc w:val="center"/>
        <w:rPr>
          <w:rFonts w:ascii="Book Antiqua" w:hAnsi="Book Antiqua"/>
        </w:rPr>
      </w:pPr>
    </w:p>
    <w:p w14:paraId="58A27CF2" w14:textId="77777777" w:rsidR="00492B45" w:rsidRDefault="00492B45" w:rsidP="00492B45">
      <w:pPr>
        <w:jc w:val="center"/>
        <w:rPr>
          <w:rFonts w:ascii="Book Antiqua" w:hAnsi="Book Antiqua"/>
        </w:rPr>
      </w:pPr>
    </w:p>
    <w:p w14:paraId="6CA033F1" w14:textId="77777777" w:rsidR="00492B45" w:rsidRDefault="00492B45" w:rsidP="00492B45">
      <w:pPr>
        <w:jc w:val="center"/>
        <w:rPr>
          <w:rFonts w:ascii="Book Antiqua" w:hAnsi="Book Antiqua"/>
        </w:rPr>
      </w:pPr>
    </w:p>
    <w:p w14:paraId="58F59132" w14:textId="77777777" w:rsidR="00492B45" w:rsidRPr="00763D22" w:rsidRDefault="00492B45" w:rsidP="00492B45">
      <w:pPr>
        <w:jc w:val="right"/>
        <w:rPr>
          <w:rFonts w:ascii="Book Antiqua" w:hAnsi="Book Antiqua"/>
          <w:color w:val="000000" w:themeColor="text1"/>
        </w:rPr>
      </w:pPr>
    </w:p>
    <w:p w14:paraId="5FD0138A" w14:textId="77777777" w:rsidR="00492B45" w:rsidRPr="00763D22" w:rsidRDefault="00492B45" w:rsidP="00492B4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AE0655A" w14:textId="77777777" w:rsidR="00100A94" w:rsidRPr="00100A94" w:rsidRDefault="00100A94">
      <w:pPr>
        <w:spacing w:line="360" w:lineRule="auto"/>
        <w:jc w:val="both"/>
        <w:rPr>
          <w:rFonts w:ascii="Book Antiqua" w:eastAsia="Book Antiqua" w:hAnsi="Book Antiqua" w:cs="Book Antiqua"/>
          <w:color w:val="000000"/>
        </w:rPr>
      </w:pPr>
      <w:bookmarkStart w:id="2" w:name="_GoBack"/>
      <w:bookmarkEnd w:id="0"/>
      <w:bookmarkEnd w:id="1"/>
      <w:bookmarkEnd w:id="2"/>
    </w:p>
    <w:sectPr w:rsidR="00100A94" w:rsidRPr="00100A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8B9B6" w14:textId="77777777" w:rsidR="00040239" w:rsidRDefault="00040239" w:rsidP="00D75E3D">
      <w:r>
        <w:separator/>
      </w:r>
    </w:p>
  </w:endnote>
  <w:endnote w:type="continuationSeparator" w:id="0">
    <w:p w14:paraId="55B3CF94" w14:textId="77777777" w:rsidR="00040239" w:rsidRDefault="00040239" w:rsidP="00D75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232078"/>
      <w:docPartObj>
        <w:docPartGallery w:val="Page Numbers (Bottom of Page)"/>
        <w:docPartUnique/>
      </w:docPartObj>
    </w:sdtPr>
    <w:sdtEndPr/>
    <w:sdtContent>
      <w:sdt>
        <w:sdtPr>
          <w:id w:val="-1705238520"/>
          <w:docPartObj>
            <w:docPartGallery w:val="Page Numbers (Top of Page)"/>
            <w:docPartUnique/>
          </w:docPartObj>
        </w:sdtPr>
        <w:sdtEndPr/>
        <w:sdtContent>
          <w:p w14:paraId="650FD5EC" w14:textId="1A8B398A" w:rsidR="00D75E3D" w:rsidRDefault="00D75E3D" w:rsidP="00D75E3D">
            <w:pPr>
              <w:pStyle w:val="a4"/>
              <w:jc w:val="right"/>
            </w:pPr>
            <w:r>
              <w:rPr>
                <w:lang w:val="zh-CN" w:eastAsia="zh-CN"/>
              </w:rPr>
              <w:t xml:space="preserve"> </w:t>
            </w:r>
            <w:r w:rsidRPr="00D75E3D">
              <w:rPr>
                <w:rFonts w:ascii="Book Antiqua" w:hAnsi="Book Antiqua"/>
                <w:sz w:val="21"/>
                <w:szCs w:val="21"/>
              </w:rPr>
              <w:fldChar w:fldCharType="begin"/>
            </w:r>
            <w:r w:rsidRPr="00D75E3D">
              <w:rPr>
                <w:rFonts w:ascii="Book Antiqua" w:hAnsi="Book Antiqua"/>
                <w:sz w:val="21"/>
                <w:szCs w:val="21"/>
              </w:rPr>
              <w:instrText>PAGE</w:instrText>
            </w:r>
            <w:r w:rsidRPr="00D75E3D">
              <w:rPr>
                <w:rFonts w:ascii="Book Antiqua" w:hAnsi="Book Antiqua"/>
                <w:sz w:val="21"/>
                <w:szCs w:val="21"/>
              </w:rPr>
              <w:fldChar w:fldCharType="separate"/>
            </w:r>
            <w:r w:rsidR="00040239">
              <w:rPr>
                <w:rFonts w:ascii="Book Antiqua" w:hAnsi="Book Antiqua"/>
                <w:noProof/>
                <w:sz w:val="21"/>
                <w:szCs w:val="21"/>
              </w:rPr>
              <w:t>1</w:t>
            </w:r>
            <w:r w:rsidRPr="00D75E3D">
              <w:rPr>
                <w:rFonts w:ascii="Book Antiqua" w:hAnsi="Book Antiqua"/>
                <w:sz w:val="21"/>
                <w:szCs w:val="21"/>
              </w:rPr>
              <w:fldChar w:fldCharType="end"/>
            </w:r>
            <w:r w:rsidRPr="00D75E3D">
              <w:rPr>
                <w:rFonts w:ascii="Book Antiqua" w:hAnsi="Book Antiqua"/>
                <w:sz w:val="21"/>
                <w:szCs w:val="21"/>
                <w:lang w:val="zh-CN" w:eastAsia="zh-CN"/>
              </w:rPr>
              <w:t xml:space="preserve"> / </w:t>
            </w:r>
            <w:r w:rsidRPr="00D75E3D">
              <w:rPr>
                <w:rFonts w:ascii="Book Antiqua" w:hAnsi="Book Antiqua"/>
                <w:sz w:val="21"/>
                <w:szCs w:val="21"/>
              </w:rPr>
              <w:fldChar w:fldCharType="begin"/>
            </w:r>
            <w:r w:rsidRPr="00D75E3D">
              <w:rPr>
                <w:rFonts w:ascii="Book Antiqua" w:hAnsi="Book Antiqua"/>
                <w:sz w:val="21"/>
                <w:szCs w:val="21"/>
              </w:rPr>
              <w:instrText>NUMPAGES</w:instrText>
            </w:r>
            <w:r w:rsidRPr="00D75E3D">
              <w:rPr>
                <w:rFonts w:ascii="Book Antiqua" w:hAnsi="Book Antiqua"/>
                <w:sz w:val="21"/>
                <w:szCs w:val="21"/>
              </w:rPr>
              <w:fldChar w:fldCharType="separate"/>
            </w:r>
            <w:r w:rsidR="00040239">
              <w:rPr>
                <w:rFonts w:ascii="Book Antiqua" w:hAnsi="Book Antiqua"/>
                <w:noProof/>
                <w:sz w:val="21"/>
                <w:szCs w:val="21"/>
              </w:rPr>
              <w:t>1</w:t>
            </w:r>
            <w:r w:rsidRPr="00D75E3D">
              <w:rPr>
                <w:rFonts w:ascii="Book Antiqua" w:hAnsi="Book Antiqua"/>
                <w:sz w:val="21"/>
                <w:szCs w:val="21"/>
              </w:rPr>
              <w:fldChar w:fldCharType="end"/>
            </w:r>
          </w:p>
        </w:sdtContent>
      </w:sdt>
    </w:sdtContent>
  </w:sdt>
  <w:p w14:paraId="05546591" w14:textId="77777777" w:rsidR="00D75E3D" w:rsidRDefault="00D75E3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B18EF" w14:textId="77777777" w:rsidR="00040239" w:rsidRDefault="00040239" w:rsidP="00D75E3D">
      <w:r>
        <w:separator/>
      </w:r>
    </w:p>
  </w:footnote>
  <w:footnote w:type="continuationSeparator" w:id="0">
    <w:p w14:paraId="50E074A7" w14:textId="77777777" w:rsidR="00040239" w:rsidRDefault="00040239" w:rsidP="00D75E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637"/>
    <w:rsid w:val="00040239"/>
    <w:rsid w:val="000E2913"/>
    <w:rsid w:val="00100A94"/>
    <w:rsid w:val="00156D7E"/>
    <w:rsid w:val="00171C45"/>
    <w:rsid w:val="001821B1"/>
    <w:rsid w:val="00183607"/>
    <w:rsid w:val="001903A5"/>
    <w:rsid w:val="00194C1D"/>
    <w:rsid w:val="001A35BC"/>
    <w:rsid w:val="00200EB1"/>
    <w:rsid w:val="00220100"/>
    <w:rsid w:val="00243719"/>
    <w:rsid w:val="0029077E"/>
    <w:rsid w:val="00291596"/>
    <w:rsid w:val="00293BB8"/>
    <w:rsid w:val="003122B2"/>
    <w:rsid w:val="003E4278"/>
    <w:rsid w:val="004067F2"/>
    <w:rsid w:val="0044177F"/>
    <w:rsid w:val="004560CD"/>
    <w:rsid w:val="00492B45"/>
    <w:rsid w:val="004D51B6"/>
    <w:rsid w:val="004D6B08"/>
    <w:rsid w:val="004E25D9"/>
    <w:rsid w:val="005159DE"/>
    <w:rsid w:val="00526E2A"/>
    <w:rsid w:val="005661FD"/>
    <w:rsid w:val="005676EB"/>
    <w:rsid w:val="00583959"/>
    <w:rsid w:val="0059720A"/>
    <w:rsid w:val="005A0552"/>
    <w:rsid w:val="005B2CE6"/>
    <w:rsid w:val="005C6216"/>
    <w:rsid w:val="005D4FD1"/>
    <w:rsid w:val="00601B8B"/>
    <w:rsid w:val="00604666"/>
    <w:rsid w:val="00611EC8"/>
    <w:rsid w:val="00654ED7"/>
    <w:rsid w:val="00665AD3"/>
    <w:rsid w:val="00682DE8"/>
    <w:rsid w:val="006B16C1"/>
    <w:rsid w:val="006F7212"/>
    <w:rsid w:val="007137AD"/>
    <w:rsid w:val="00745262"/>
    <w:rsid w:val="00763B8C"/>
    <w:rsid w:val="00790E78"/>
    <w:rsid w:val="00796988"/>
    <w:rsid w:val="007B2978"/>
    <w:rsid w:val="007D60EA"/>
    <w:rsid w:val="007F155D"/>
    <w:rsid w:val="007F493C"/>
    <w:rsid w:val="00814360"/>
    <w:rsid w:val="00815D0B"/>
    <w:rsid w:val="00826FAF"/>
    <w:rsid w:val="0083379C"/>
    <w:rsid w:val="00890419"/>
    <w:rsid w:val="008A416C"/>
    <w:rsid w:val="008E5972"/>
    <w:rsid w:val="008F560E"/>
    <w:rsid w:val="00911B1E"/>
    <w:rsid w:val="0092575B"/>
    <w:rsid w:val="00931ACD"/>
    <w:rsid w:val="0097015A"/>
    <w:rsid w:val="00983FAC"/>
    <w:rsid w:val="0099546B"/>
    <w:rsid w:val="00A10403"/>
    <w:rsid w:val="00A30678"/>
    <w:rsid w:val="00A512E5"/>
    <w:rsid w:val="00A65808"/>
    <w:rsid w:val="00A77B3E"/>
    <w:rsid w:val="00AB1047"/>
    <w:rsid w:val="00AC7B11"/>
    <w:rsid w:val="00AD3973"/>
    <w:rsid w:val="00B01F63"/>
    <w:rsid w:val="00B77728"/>
    <w:rsid w:val="00B801E4"/>
    <w:rsid w:val="00B96393"/>
    <w:rsid w:val="00BB1C12"/>
    <w:rsid w:val="00C04AF1"/>
    <w:rsid w:val="00C35DA5"/>
    <w:rsid w:val="00CA2A55"/>
    <w:rsid w:val="00CC689F"/>
    <w:rsid w:val="00CE27C7"/>
    <w:rsid w:val="00D067C6"/>
    <w:rsid w:val="00D10DD2"/>
    <w:rsid w:val="00D2505D"/>
    <w:rsid w:val="00D4072F"/>
    <w:rsid w:val="00D75E3D"/>
    <w:rsid w:val="00D823AE"/>
    <w:rsid w:val="00E10451"/>
    <w:rsid w:val="00E247D6"/>
    <w:rsid w:val="00EA0751"/>
    <w:rsid w:val="00EA4D4E"/>
    <w:rsid w:val="00EE0EF3"/>
    <w:rsid w:val="00F164E3"/>
    <w:rsid w:val="00F26155"/>
    <w:rsid w:val="00F44EBF"/>
    <w:rsid w:val="00FC167B"/>
    <w:rsid w:val="00FE07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100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75E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75E3D"/>
    <w:rPr>
      <w:sz w:val="18"/>
      <w:szCs w:val="18"/>
    </w:rPr>
  </w:style>
  <w:style w:type="paragraph" w:styleId="a4">
    <w:name w:val="footer"/>
    <w:basedOn w:val="a"/>
    <w:link w:val="Char0"/>
    <w:uiPriority w:val="99"/>
    <w:unhideWhenUsed/>
    <w:rsid w:val="00D75E3D"/>
    <w:pPr>
      <w:tabs>
        <w:tab w:val="center" w:pos="4153"/>
        <w:tab w:val="right" w:pos="8306"/>
      </w:tabs>
      <w:snapToGrid w:val="0"/>
    </w:pPr>
    <w:rPr>
      <w:sz w:val="18"/>
      <w:szCs w:val="18"/>
    </w:rPr>
  </w:style>
  <w:style w:type="character" w:customStyle="1" w:styleId="Char0">
    <w:name w:val="页脚 Char"/>
    <w:basedOn w:val="a0"/>
    <w:link w:val="a4"/>
    <w:uiPriority w:val="99"/>
    <w:rsid w:val="00D75E3D"/>
    <w:rPr>
      <w:sz w:val="18"/>
      <w:szCs w:val="18"/>
    </w:rPr>
  </w:style>
  <w:style w:type="character" w:styleId="a5">
    <w:name w:val="annotation reference"/>
    <w:basedOn w:val="a0"/>
    <w:semiHidden/>
    <w:unhideWhenUsed/>
    <w:rsid w:val="00D10DD2"/>
    <w:rPr>
      <w:sz w:val="21"/>
      <w:szCs w:val="21"/>
    </w:rPr>
  </w:style>
  <w:style w:type="paragraph" w:styleId="a6">
    <w:name w:val="annotation text"/>
    <w:basedOn w:val="a"/>
    <w:link w:val="Char1"/>
    <w:semiHidden/>
    <w:unhideWhenUsed/>
    <w:rsid w:val="00D10DD2"/>
  </w:style>
  <w:style w:type="character" w:customStyle="1" w:styleId="Char1">
    <w:name w:val="批注文字 Char"/>
    <w:basedOn w:val="a0"/>
    <w:link w:val="a6"/>
    <w:semiHidden/>
    <w:rsid w:val="00D10DD2"/>
    <w:rPr>
      <w:sz w:val="24"/>
      <w:szCs w:val="24"/>
    </w:rPr>
  </w:style>
  <w:style w:type="paragraph" w:styleId="a7">
    <w:name w:val="annotation subject"/>
    <w:basedOn w:val="a6"/>
    <w:next w:val="a6"/>
    <w:link w:val="Char2"/>
    <w:semiHidden/>
    <w:unhideWhenUsed/>
    <w:rsid w:val="00D10DD2"/>
    <w:rPr>
      <w:b/>
      <w:bCs/>
    </w:rPr>
  </w:style>
  <w:style w:type="character" w:customStyle="1" w:styleId="Char2">
    <w:name w:val="批注主题 Char"/>
    <w:basedOn w:val="Char1"/>
    <w:link w:val="a7"/>
    <w:semiHidden/>
    <w:rsid w:val="00D10DD2"/>
    <w:rPr>
      <w:b/>
      <w:bCs/>
      <w:sz w:val="24"/>
      <w:szCs w:val="24"/>
    </w:rPr>
  </w:style>
  <w:style w:type="paragraph" w:styleId="a8">
    <w:name w:val="Balloon Text"/>
    <w:basedOn w:val="a"/>
    <w:link w:val="Char3"/>
    <w:rsid w:val="00D10DD2"/>
    <w:rPr>
      <w:sz w:val="18"/>
      <w:szCs w:val="18"/>
    </w:rPr>
  </w:style>
  <w:style w:type="character" w:customStyle="1" w:styleId="Char3">
    <w:name w:val="批注框文本 Char"/>
    <w:basedOn w:val="a0"/>
    <w:link w:val="a8"/>
    <w:rsid w:val="00D10DD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75E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75E3D"/>
    <w:rPr>
      <w:sz w:val="18"/>
      <w:szCs w:val="18"/>
    </w:rPr>
  </w:style>
  <w:style w:type="paragraph" w:styleId="a4">
    <w:name w:val="footer"/>
    <w:basedOn w:val="a"/>
    <w:link w:val="Char0"/>
    <w:uiPriority w:val="99"/>
    <w:unhideWhenUsed/>
    <w:rsid w:val="00D75E3D"/>
    <w:pPr>
      <w:tabs>
        <w:tab w:val="center" w:pos="4153"/>
        <w:tab w:val="right" w:pos="8306"/>
      </w:tabs>
      <w:snapToGrid w:val="0"/>
    </w:pPr>
    <w:rPr>
      <w:sz w:val="18"/>
      <w:szCs w:val="18"/>
    </w:rPr>
  </w:style>
  <w:style w:type="character" w:customStyle="1" w:styleId="Char0">
    <w:name w:val="页脚 Char"/>
    <w:basedOn w:val="a0"/>
    <w:link w:val="a4"/>
    <w:uiPriority w:val="99"/>
    <w:rsid w:val="00D75E3D"/>
    <w:rPr>
      <w:sz w:val="18"/>
      <w:szCs w:val="18"/>
    </w:rPr>
  </w:style>
  <w:style w:type="character" w:styleId="a5">
    <w:name w:val="annotation reference"/>
    <w:basedOn w:val="a0"/>
    <w:semiHidden/>
    <w:unhideWhenUsed/>
    <w:rsid w:val="00D10DD2"/>
    <w:rPr>
      <w:sz w:val="21"/>
      <w:szCs w:val="21"/>
    </w:rPr>
  </w:style>
  <w:style w:type="paragraph" w:styleId="a6">
    <w:name w:val="annotation text"/>
    <w:basedOn w:val="a"/>
    <w:link w:val="Char1"/>
    <w:semiHidden/>
    <w:unhideWhenUsed/>
    <w:rsid w:val="00D10DD2"/>
  </w:style>
  <w:style w:type="character" w:customStyle="1" w:styleId="Char1">
    <w:name w:val="批注文字 Char"/>
    <w:basedOn w:val="a0"/>
    <w:link w:val="a6"/>
    <w:semiHidden/>
    <w:rsid w:val="00D10DD2"/>
    <w:rPr>
      <w:sz w:val="24"/>
      <w:szCs w:val="24"/>
    </w:rPr>
  </w:style>
  <w:style w:type="paragraph" w:styleId="a7">
    <w:name w:val="annotation subject"/>
    <w:basedOn w:val="a6"/>
    <w:next w:val="a6"/>
    <w:link w:val="Char2"/>
    <w:semiHidden/>
    <w:unhideWhenUsed/>
    <w:rsid w:val="00D10DD2"/>
    <w:rPr>
      <w:b/>
      <w:bCs/>
    </w:rPr>
  </w:style>
  <w:style w:type="character" w:customStyle="1" w:styleId="Char2">
    <w:name w:val="批注主题 Char"/>
    <w:basedOn w:val="Char1"/>
    <w:link w:val="a7"/>
    <w:semiHidden/>
    <w:rsid w:val="00D10DD2"/>
    <w:rPr>
      <w:b/>
      <w:bCs/>
      <w:sz w:val="24"/>
      <w:szCs w:val="24"/>
    </w:rPr>
  </w:style>
  <w:style w:type="paragraph" w:styleId="a8">
    <w:name w:val="Balloon Text"/>
    <w:basedOn w:val="a"/>
    <w:link w:val="Char3"/>
    <w:rsid w:val="00D10DD2"/>
    <w:rPr>
      <w:sz w:val="18"/>
      <w:szCs w:val="18"/>
    </w:rPr>
  </w:style>
  <w:style w:type="character" w:customStyle="1" w:styleId="Char3">
    <w:name w:val="批注框文本 Char"/>
    <w:basedOn w:val="a0"/>
    <w:link w:val="a8"/>
    <w:rsid w:val="00D10DD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21</Pages>
  <Words>4189</Words>
  <Characters>23881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11</cp:revision>
  <dcterms:created xsi:type="dcterms:W3CDTF">2020-12-17T01:06:00Z</dcterms:created>
  <dcterms:modified xsi:type="dcterms:W3CDTF">2021-01-15T08:27:00Z</dcterms:modified>
</cp:coreProperties>
</file>