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C3523" w14:textId="77777777" w:rsidR="00A77B3E" w:rsidRDefault="002849D0">
      <w:pPr>
        <w:spacing w:line="360" w:lineRule="auto"/>
        <w:jc w:val="both"/>
      </w:pPr>
      <w:r>
        <w:rPr>
          <w:rFonts w:ascii="Book Antiqua" w:eastAsia="Book Antiqua" w:hAnsi="Book Antiqua" w:cs="Book Antiqua"/>
          <w:b/>
          <w:color w:val="000000"/>
        </w:rPr>
        <w:t xml:space="preserve">Name of Journal: </w:t>
      </w:r>
      <w:bookmarkStart w:id="0" w:name="_Hlk56086810"/>
      <w:r>
        <w:rPr>
          <w:rFonts w:ascii="Book Antiqua" w:eastAsia="Book Antiqua" w:hAnsi="Book Antiqua" w:cs="Book Antiqua"/>
          <w:i/>
          <w:color w:val="000000"/>
        </w:rPr>
        <w:t>World Journal of Clinical Cases</w:t>
      </w:r>
      <w:bookmarkEnd w:id="0"/>
    </w:p>
    <w:p w14:paraId="4ACF4014" w14:textId="77777777" w:rsidR="00A77B3E" w:rsidRDefault="002849D0">
      <w:pPr>
        <w:spacing w:line="360" w:lineRule="auto"/>
        <w:jc w:val="both"/>
      </w:pPr>
      <w:r>
        <w:rPr>
          <w:rFonts w:ascii="Book Antiqua" w:eastAsia="Book Antiqua" w:hAnsi="Book Antiqua" w:cs="Book Antiqua"/>
          <w:b/>
          <w:color w:val="000000"/>
        </w:rPr>
        <w:t xml:space="preserve">Manuscript NO: </w:t>
      </w:r>
      <w:bookmarkStart w:id="1" w:name="_Hlk56086819"/>
      <w:r>
        <w:rPr>
          <w:rFonts w:ascii="Book Antiqua" w:eastAsia="Book Antiqua" w:hAnsi="Book Antiqua" w:cs="Book Antiqua"/>
          <w:color w:val="000000"/>
        </w:rPr>
        <w:t>59838</w:t>
      </w:r>
      <w:bookmarkEnd w:id="1"/>
    </w:p>
    <w:p w14:paraId="0BDA1A3B" w14:textId="77777777" w:rsidR="00A77B3E" w:rsidRDefault="002849D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92D108A" w14:textId="77777777" w:rsidR="00A77B3E" w:rsidRDefault="00A77B3E">
      <w:pPr>
        <w:spacing w:line="360" w:lineRule="auto"/>
        <w:jc w:val="both"/>
      </w:pPr>
    </w:p>
    <w:p w14:paraId="60E0666E" w14:textId="466C3916" w:rsidR="00A77B3E" w:rsidRDefault="002849D0">
      <w:pPr>
        <w:spacing w:line="360" w:lineRule="auto"/>
        <w:jc w:val="both"/>
      </w:pPr>
      <w:bookmarkStart w:id="2" w:name="_Hlk56086827"/>
      <w:r>
        <w:rPr>
          <w:rFonts w:ascii="Book Antiqua" w:eastAsia="Book Antiqua" w:hAnsi="Book Antiqua" w:cs="Book Antiqua"/>
          <w:b/>
          <w:color w:val="000000"/>
        </w:rPr>
        <w:t xml:space="preserve">Immunosuppressant </w:t>
      </w:r>
      <w:r w:rsidR="00287168">
        <w:rPr>
          <w:rFonts w:ascii="Book Antiqua" w:eastAsia="Book Antiqua" w:hAnsi="Book Antiqua" w:cs="Book Antiqua"/>
          <w:b/>
          <w:color w:val="000000"/>
        </w:rPr>
        <w:t>t</w:t>
      </w:r>
      <w:r>
        <w:rPr>
          <w:rFonts w:ascii="Book Antiqua" w:eastAsia="Book Antiqua" w:hAnsi="Book Antiqua" w:cs="Book Antiqua"/>
          <w:b/>
          <w:color w:val="000000"/>
        </w:rPr>
        <w:t>reatment for IgG4-</w:t>
      </w:r>
      <w:r w:rsidR="00287168">
        <w:rPr>
          <w:rFonts w:ascii="Book Antiqua" w:eastAsia="Book Antiqua" w:hAnsi="Book Antiqua" w:cs="Book Antiqua"/>
          <w:b/>
          <w:color w:val="000000"/>
        </w:rPr>
        <w:t>r</w:t>
      </w:r>
      <w:r>
        <w:rPr>
          <w:rFonts w:ascii="Book Antiqua" w:eastAsia="Book Antiqua" w:hAnsi="Book Antiqua" w:cs="Book Antiqua"/>
          <w:b/>
          <w:color w:val="000000"/>
        </w:rPr>
        <w:t xml:space="preserve">elated </w:t>
      </w:r>
      <w:r w:rsidR="00287168">
        <w:rPr>
          <w:rFonts w:ascii="Book Antiqua" w:eastAsia="Book Antiqua" w:hAnsi="Book Antiqua" w:cs="Book Antiqua"/>
          <w:b/>
          <w:color w:val="000000"/>
        </w:rPr>
        <w:t>s</w:t>
      </w:r>
      <w:r>
        <w:rPr>
          <w:rFonts w:ascii="Book Antiqua" w:eastAsia="Book Antiqua" w:hAnsi="Book Antiqua" w:cs="Book Antiqua"/>
          <w:b/>
          <w:color w:val="000000"/>
        </w:rPr>
        <w:t xml:space="preserve">clerosing </w:t>
      </w:r>
      <w:r w:rsidR="00287168">
        <w:rPr>
          <w:rFonts w:ascii="Book Antiqua" w:eastAsia="Book Antiqua" w:hAnsi="Book Antiqua" w:cs="Book Antiqua"/>
          <w:b/>
          <w:color w:val="000000"/>
        </w:rPr>
        <w:t>c</w:t>
      </w:r>
      <w:r>
        <w:rPr>
          <w:rFonts w:ascii="Book Antiqua" w:eastAsia="Book Antiqua" w:hAnsi="Book Antiqua" w:cs="Book Antiqua"/>
          <w:b/>
          <w:color w:val="000000"/>
        </w:rPr>
        <w:t xml:space="preserve">holangitis: A </w:t>
      </w:r>
      <w:r w:rsidR="00287168">
        <w:rPr>
          <w:rFonts w:ascii="Book Antiqua" w:eastAsia="Book Antiqua" w:hAnsi="Book Antiqua" w:cs="Book Antiqua"/>
          <w:b/>
          <w:color w:val="000000"/>
        </w:rPr>
        <w:t>c</w:t>
      </w:r>
      <w:r>
        <w:rPr>
          <w:rFonts w:ascii="Book Antiqua" w:eastAsia="Book Antiqua" w:hAnsi="Book Antiqua" w:cs="Book Antiqua"/>
          <w:b/>
          <w:color w:val="000000"/>
        </w:rPr>
        <w:t xml:space="preserve">ase </w:t>
      </w:r>
      <w:r w:rsidR="00287168">
        <w:rPr>
          <w:rFonts w:ascii="Book Antiqua" w:eastAsia="Book Antiqua" w:hAnsi="Book Antiqua" w:cs="Book Antiqua"/>
          <w:b/>
          <w:color w:val="000000"/>
        </w:rPr>
        <w:t>r</w:t>
      </w:r>
      <w:r>
        <w:rPr>
          <w:rFonts w:ascii="Book Antiqua" w:eastAsia="Book Antiqua" w:hAnsi="Book Antiqua" w:cs="Book Antiqua"/>
          <w:b/>
          <w:color w:val="000000"/>
        </w:rPr>
        <w:t>eport</w:t>
      </w:r>
    </w:p>
    <w:bookmarkEnd w:id="2"/>
    <w:p w14:paraId="1BC6842C" w14:textId="77777777" w:rsidR="00A77B3E" w:rsidRDefault="00A77B3E">
      <w:pPr>
        <w:spacing w:line="360" w:lineRule="auto"/>
        <w:jc w:val="both"/>
      </w:pPr>
    </w:p>
    <w:p w14:paraId="29C94947" w14:textId="5BB53496" w:rsidR="00A77B3E" w:rsidRDefault="00F555B4">
      <w:pPr>
        <w:spacing w:line="360" w:lineRule="auto"/>
        <w:jc w:val="both"/>
      </w:pPr>
      <w:r>
        <w:rPr>
          <w:rFonts w:ascii="Book Antiqua" w:eastAsia="Book Antiqua" w:hAnsi="Book Antiqua" w:cs="Book Antiqua"/>
          <w:color w:val="000000"/>
        </w:rPr>
        <w:t xml:space="preserve">Kim JS </w:t>
      </w:r>
      <w:r w:rsidRPr="00F555B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849D0">
        <w:rPr>
          <w:rFonts w:ascii="Book Antiqua" w:eastAsia="Book Antiqua" w:hAnsi="Book Antiqua" w:cs="Book Antiqua"/>
          <w:color w:val="000000"/>
        </w:rPr>
        <w:t xml:space="preserve">Immunosuppressant </w:t>
      </w:r>
      <w:r>
        <w:rPr>
          <w:rFonts w:ascii="Book Antiqua" w:eastAsia="Book Antiqua" w:hAnsi="Book Antiqua" w:cs="Book Antiqua"/>
          <w:color w:val="000000"/>
        </w:rPr>
        <w:t>t</w:t>
      </w:r>
      <w:r w:rsidR="002849D0">
        <w:rPr>
          <w:rFonts w:ascii="Book Antiqua" w:eastAsia="Book Antiqua" w:hAnsi="Book Antiqua" w:cs="Book Antiqua"/>
          <w:color w:val="000000"/>
        </w:rPr>
        <w:t>reatment for IgG4-SC</w:t>
      </w:r>
    </w:p>
    <w:p w14:paraId="2A0CF299" w14:textId="77777777" w:rsidR="00A77B3E" w:rsidRDefault="00A77B3E">
      <w:pPr>
        <w:spacing w:line="360" w:lineRule="auto"/>
        <w:jc w:val="both"/>
      </w:pPr>
    </w:p>
    <w:p w14:paraId="4DC3AE33" w14:textId="77777777" w:rsidR="00A77B3E" w:rsidRDefault="002849D0">
      <w:pPr>
        <w:spacing w:line="360" w:lineRule="auto"/>
        <w:jc w:val="both"/>
      </w:pPr>
      <w:bookmarkStart w:id="3" w:name="_Hlk56086836"/>
      <w:r>
        <w:rPr>
          <w:rFonts w:ascii="Book Antiqua" w:eastAsia="Book Antiqua" w:hAnsi="Book Antiqua" w:cs="Book Antiqua"/>
          <w:color w:val="000000"/>
        </w:rPr>
        <w:t>Jong-Sun Kim, Won Ho Choi, Kyung-Ann Lee, Hyun-Sook Kim</w:t>
      </w:r>
    </w:p>
    <w:bookmarkEnd w:id="3"/>
    <w:p w14:paraId="66FEB377" w14:textId="77777777" w:rsidR="00A77B3E" w:rsidRDefault="00A77B3E">
      <w:pPr>
        <w:spacing w:line="360" w:lineRule="auto"/>
        <w:jc w:val="both"/>
      </w:pPr>
    </w:p>
    <w:p w14:paraId="5437CD5F" w14:textId="4BD88BDF" w:rsidR="00A77B3E" w:rsidRDefault="002849D0">
      <w:pPr>
        <w:spacing w:line="360" w:lineRule="auto"/>
        <w:jc w:val="both"/>
      </w:pPr>
      <w:r>
        <w:rPr>
          <w:rFonts w:ascii="Book Antiqua" w:eastAsia="Book Antiqua" w:hAnsi="Book Antiqua" w:cs="Book Antiqua"/>
          <w:b/>
          <w:bCs/>
          <w:color w:val="000000"/>
        </w:rPr>
        <w:t xml:space="preserve">Jong-Sun Kim, Won Ho Choi, Kyung-Ann Lee, </w:t>
      </w:r>
      <w:r w:rsidR="00F555B4">
        <w:rPr>
          <w:rFonts w:ascii="Book Antiqua" w:eastAsia="Book Antiqua" w:hAnsi="Book Antiqua" w:cs="Book Antiqua"/>
          <w:b/>
          <w:bCs/>
          <w:color w:val="000000"/>
        </w:rPr>
        <w:t>Hyun-Sook Kim,</w:t>
      </w:r>
      <w:r w:rsidR="00F555B4" w:rsidRPr="00F555B4">
        <w:rPr>
          <w:rFonts w:ascii="Book Antiqua" w:eastAsia="Book Antiqua" w:hAnsi="Book Antiqua" w:cs="Book Antiqua"/>
          <w:color w:val="000000"/>
        </w:rPr>
        <w:t xml:space="preserve"> Department of </w:t>
      </w:r>
      <w:r>
        <w:rPr>
          <w:rFonts w:ascii="Book Antiqua" w:eastAsia="Book Antiqua" w:hAnsi="Book Antiqua" w:cs="Book Antiqua"/>
          <w:color w:val="000000"/>
        </w:rPr>
        <w:t xml:space="preserve">Internal </w:t>
      </w:r>
      <w:r w:rsidR="00F555B4">
        <w:rPr>
          <w:rFonts w:ascii="Book Antiqua" w:eastAsia="Book Antiqua" w:hAnsi="Book Antiqua" w:cs="Book Antiqua"/>
          <w:color w:val="000000"/>
        </w:rPr>
        <w:t>M</w:t>
      </w:r>
      <w:r>
        <w:rPr>
          <w:rFonts w:ascii="Book Antiqua" w:eastAsia="Book Antiqua" w:hAnsi="Book Antiqua" w:cs="Book Antiqua"/>
          <w:color w:val="000000"/>
        </w:rPr>
        <w:t xml:space="preserve">edicine, </w:t>
      </w:r>
      <w:proofErr w:type="spellStart"/>
      <w:r>
        <w:rPr>
          <w:rFonts w:ascii="Book Antiqua" w:eastAsia="Book Antiqua" w:hAnsi="Book Antiqua" w:cs="Book Antiqua"/>
          <w:color w:val="000000"/>
        </w:rPr>
        <w:t>Soonchunhyang</w:t>
      </w:r>
      <w:proofErr w:type="spellEnd"/>
      <w:r>
        <w:rPr>
          <w:rFonts w:ascii="Book Antiqua" w:eastAsia="Book Antiqua" w:hAnsi="Book Antiqua" w:cs="Book Antiqua"/>
          <w:color w:val="000000"/>
        </w:rPr>
        <w:t xml:space="preserve"> University Seoul Hospital, Seoul 04401, South Korea</w:t>
      </w:r>
    </w:p>
    <w:p w14:paraId="7BCE99FD" w14:textId="77777777" w:rsidR="00A77B3E" w:rsidRDefault="00A77B3E">
      <w:pPr>
        <w:spacing w:line="360" w:lineRule="auto"/>
        <w:jc w:val="both"/>
      </w:pPr>
    </w:p>
    <w:p w14:paraId="54B6D526" w14:textId="0BE3C135" w:rsidR="00A77B3E" w:rsidRDefault="002849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Kim</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JS</w:t>
      </w:r>
      <w:r>
        <w:rPr>
          <w:rFonts w:ascii="Book Antiqua" w:eastAsia="Book Antiqua" w:hAnsi="Book Antiqua" w:cs="Book Antiqua"/>
          <w:color w:val="000000"/>
        </w:rPr>
        <w:t>, Kim</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HS contributed to</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conceptualization</w:t>
      </w:r>
      <w:r>
        <w:rPr>
          <w:rFonts w:ascii="Book Antiqua" w:eastAsia="Book Antiqua" w:hAnsi="Book Antiqua" w:cs="Book Antiqua"/>
          <w:color w:val="000000"/>
        </w:rPr>
        <w:t>; Choi</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WH</w:t>
      </w:r>
      <w:r>
        <w:rPr>
          <w:rFonts w:ascii="Book Antiqua" w:eastAsia="Book Antiqua" w:hAnsi="Book Antiqua" w:cs="Book Antiqua"/>
          <w:color w:val="000000"/>
        </w:rPr>
        <w:t>, Lee</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KA contributed to data curation</w:t>
      </w:r>
      <w:r>
        <w:rPr>
          <w:rFonts w:ascii="Book Antiqua" w:eastAsia="Book Antiqua" w:hAnsi="Book Antiqua" w:cs="Book Antiqua"/>
          <w:color w:val="000000"/>
        </w:rPr>
        <w:t>; Kim</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JS</w:t>
      </w:r>
      <w:r>
        <w:rPr>
          <w:rFonts w:ascii="Book Antiqua" w:eastAsia="Book Antiqua" w:hAnsi="Book Antiqua" w:cs="Book Antiqua"/>
          <w:color w:val="000000"/>
        </w:rPr>
        <w:t>, Lee</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KA</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contributed to writing-original draft</w:t>
      </w:r>
      <w:r>
        <w:rPr>
          <w:rFonts w:ascii="Book Antiqua" w:eastAsia="Book Antiqua" w:hAnsi="Book Antiqua" w:cs="Book Antiqua"/>
          <w:color w:val="000000"/>
        </w:rPr>
        <w:t>; Kim</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JS</w:t>
      </w:r>
      <w:r>
        <w:rPr>
          <w:rFonts w:ascii="Book Antiqua" w:eastAsia="Book Antiqua" w:hAnsi="Book Antiqua" w:cs="Book Antiqua"/>
          <w:color w:val="000000"/>
        </w:rPr>
        <w:t>, Kim</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HS contributed to</w:t>
      </w:r>
      <w:r w:rsidR="00F555B4" w:rsidRPr="00F555B4">
        <w:rPr>
          <w:rFonts w:ascii="Book Antiqua" w:eastAsia="Book Antiqua" w:hAnsi="Book Antiqua" w:cs="Book Antiqua"/>
          <w:color w:val="000000"/>
        </w:rPr>
        <w:t xml:space="preserve"> </w:t>
      </w:r>
      <w:r w:rsidR="00F555B4">
        <w:rPr>
          <w:rFonts w:ascii="Book Antiqua" w:eastAsia="Book Antiqua" w:hAnsi="Book Antiqua" w:cs="Book Antiqua"/>
          <w:color w:val="000000"/>
        </w:rPr>
        <w:t>writing review and editing</w:t>
      </w:r>
      <w:r>
        <w:rPr>
          <w:rFonts w:ascii="Book Antiqua" w:eastAsia="Book Antiqua" w:hAnsi="Book Antiqua" w:cs="Book Antiqua"/>
          <w:color w:val="000000"/>
        </w:rPr>
        <w:t xml:space="preserve">; </w:t>
      </w:r>
      <w:r w:rsidR="00F555B4">
        <w:rPr>
          <w:rFonts w:ascii="Book Antiqua" w:eastAsia="Book Antiqua" w:hAnsi="Book Antiqua" w:cs="Book Antiqua"/>
          <w:color w:val="000000"/>
        </w:rPr>
        <w:t>and a</w:t>
      </w:r>
      <w:r>
        <w:rPr>
          <w:rFonts w:ascii="Book Antiqua" w:eastAsia="Book Antiqua" w:hAnsi="Book Antiqua" w:cs="Book Antiqua"/>
          <w:color w:val="000000"/>
        </w:rPr>
        <w:t>ll authors have read and approve the final manuscript.</w:t>
      </w:r>
    </w:p>
    <w:p w14:paraId="3B77B9F0" w14:textId="7B25020D" w:rsidR="006245D0" w:rsidRDefault="006245D0">
      <w:pPr>
        <w:spacing w:line="360" w:lineRule="auto"/>
        <w:jc w:val="both"/>
        <w:rPr>
          <w:rFonts w:ascii="Book Antiqua" w:eastAsia="Book Antiqua" w:hAnsi="Book Antiqua" w:cs="Book Antiqua"/>
          <w:color w:val="000000"/>
        </w:rPr>
      </w:pPr>
    </w:p>
    <w:p w14:paraId="55CCB311" w14:textId="72BF4178" w:rsidR="006245D0" w:rsidRDefault="006245D0">
      <w:pPr>
        <w:spacing w:line="360" w:lineRule="auto"/>
        <w:jc w:val="both"/>
      </w:pPr>
      <w:r w:rsidRPr="00593EAE">
        <w:rPr>
          <w:rFonts w:ascii="Book Antiqua" w:hAnsi="Book Antiqua" w:cs="等线"/>
          <w:b/>
        </w:rPr>
        <w:t>Supported by</w:t>
      </w:r>
      <w:r>
        <w:rPr>
          <w:rFonts w:ascii="Book Antiqua" w:hAnsi="Book Antiqua"/>
        </w:rPr>
        <w:t xml:space="preserve"> </w:t>
      </w:r>
      <w:proofErr w:type="spellStart"/>
      <w:r w:rsidRPr="006245D0">
        <w:rPr>
          <w:rFonts w:ascii="Book Antiqua" w:hAnsi="Book Antiqua"/>
        </w:rPr>
        <w:t>Soonchunhyang</w:t>
      </w:r>
      <w:proofErr w:type="spellEnd"/>
      <w:r w:rsidRPr="006245D0">
        <w:rPr>
          <w:rFonts w:ascii="Book Antiqua" w:hAnsi="Book Antiqua"/>
        </w:rPr>
        <w:t xml:space="preserve"> University.</w:t>
      </w:r>
    </w:p>
    <w:p w14:paraId="6B4991BF" w14:textId="77777777" w:rsidR="00A77B3E" w:rsidRDefault="00A77B3E">
      <w:pPr>
        <w:spacing w:line="360" w:lineRule="auto"/>
        <w:jc w:val="both"/>
      </w:pPr>
    </w:p>
    <w:p w14:paraId="00694147" w14:textId="6371058C" w:rsidR="00A77B3E" w:rsidRDefault="002849D0">
      <w:pPr>
        <w:spacing w:line="360" w:lineRule="auto"/>
        <w:jc w:val="both"/>
      </w:pPr>
      <w:r>
        <w:rPr>
          <w:rFonts w:ascii="Book Antiqua" w:eastAsia="Book Antiqua" w:hAnsi="Book Antiqua" w:cs="Book Antiqua"/>
          <w:b/>
          <w:bCs/>
          <w:color w:val="000000"/>
        </w:rPr>
        <w:t xml:space="preserve">Corresponding author: </w:t>
      </w:r>
      <w:bookmarkStart w:id="4" w:name="_Hlk56086882"/>
      <w:r>
        <w:rPr>
          <w:rFonts w:ascii="Book Antiqua" w:eastAsia="Book Antiqua" w:hAnsi="Book Antiqua" w:cs="Book Antiqua"/>
          <w:b/>
          <w:bCs/>
          <w:color w:val="000000"/>
        </w:rPr>
        <w:t xml:space="preserve">Hyun-Sook Kim, MD, PhD, Full Professor, </w:t>
      </w:r>
      <w:r w:rsidR="00D322E6" w:rsidRPr="00F555B4">
        <w:rPr>
          <w:rFonts w:ascii="Book Antiqua" w:eastAsia="Book Antiqua" w:hAnsi="Book Antiqua" w:cs="Book Antiqua"/>
          <w:color w:val="000000"/>
        </w:rPr>
        <w:t xml:space="preserve">Department of </w:t>
      </w:r>
      <w:r w:rsidR="00D322E6">
        <w:rPr>
          <w:rFonts w:ascii="Book Antiqua" w:eastAsia="Book Antiqua" w:hAnsi="Book Antiqua" w:cs="Book Antiqua"/>
          <w:color w:val="000000"/>
        </w:rPr>
        <w:t>Internal Medicine</w:t>
      </w:r>
      <w:r>
        <w:rPr>
          <w:rFonts w:ascii="Book Antiqua" w:eastAsia="Book Antiqua" w:hAnsi="Book Antiqua" w:cs="Book Antiqua"/>
          <w:color w:val="000000"/>
        </w:rPr>
        <w:t xml:space="preserve">, </w:t>
      </w:r>
      <w:proofErr w:type="spellStart"/>
      <w:r w:rsidR="00D322E6">
        <w:rPr>
          <w:rFonts w:ascii="Book Antiqua" w:eastAsia="Book Antiqua" w:hAnsi="Book Antiqua" w:cs="Book Antiqua"/>
          <w:color w:val="000000"/>
        </w:rPr>
        <w:t>Soonchunhyang</w:t>
      </w:r>
      <w:proofErr w:type="spellEnd"/>
      <w:r w:rsidR="00D322E6">
        <w:rPr>
          <w:rFonts w:ascii="Book Antiqua" w:eastAsia="Book Antiqua" w:hAnsi="Book Antiqua" w:cs="Book Antiqua"/>
          <w:color w:val="000000"/>
        </w:rPr>
        <w:t xml:space="preserve"> University Seoul Hospital</w:t>
      </w:r>
      <w:r>
        <w:rPr>
          <w:rFonts w:ascii="Book Antiqua" w:eastAsia="Book Antiqua" w:hAnsi="Book Antiqua" w:cs="Book Antiqua"/>
          <w:color w:val="000000"/>
        </w:rPr>
        <w:t xml:space="preserve">, 59 </w:t>
      </w:r>
      <w:proofErr w:type="spellStart"/>
      <w:r>
        <w:rPr>
          <w:rFonts w:ascii="Book Antiqua" w:eastAsia="Book Antiqua" w:hAnsi="Book Antiqua" w:cs="Book Antiqua"/>
          <w:color w:val="000000"/>
        </w:rPr>
        <w:t>Daesagwanro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Youngsangu</w:t>
      </w:r>
      <w:proofErr w:type="spellEnd"/>
      <w:r>
        <w:rPr>
          <w:rFonts w:ascii="Book Antiqua" w:eastAsia="Book Antiqua" w:hAnsi="Book Antiqua" w:cs="Book Antiqua"/>
          <w:color w:val="000000"/>
        </w:rPr>
        <w:t>, Seoul 04401, South Korea. healthyra@schmc.ac.kr</w:t>
      </w:r>
      <w:bookmarkEnd w:id="4"/>
    </w:p>
    <w:p w14:paraId="60FA020E" w14:textId="77777777" w:rsidR="00A77B3E" w:rsidRDefault="00A77B3E">
      <w:pPr>
        <w:spacing w:line="360" w:lineRule="auto"/>
        <w:jc w:val="both"/>
      </w:pPr>
    </w:p>
    <w:p w14:paraId="722DB4F1" w14:textId="77777777" w:rsidR="00A77B3E" w:rsidRDefault="002849D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 2020</w:t>
      </w:r>
    </w:p>
    <w:p w14:paraId="5E837251" w14:textId="77777777" w:rsidR="00A77B3E" w:rsidRDefault="002849D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9, 2020</w:t>
      </w:r>
    </w:p>
    <w:p w14:paraId="73C57580" w14:textId="0DF0107C" w:rsidR="00A77B3E" w:rsidRDefault="002849D0">
      <w:pPr>
        <w:spacing w:line="360" w:lineRule="auto"/>
        <w:jc w:val="both"/>
      </w:pPr>
      <w:r>
        <w:rPr>
          <w:rFonts w:ascii="Book Antiqua" w:eastAsia="Book Antiqua" w:hAnsi="Book Antiqua" w:cs="Book Antiqua"/>
          <w:b/>
          <w:bCs/>
          <w:color w:val="000000"/>
        </w:rPr>
        <w:t xml:space="preserve">Accepted: </w:t>
      </w:r>
      <w:r w:rsidR="002D5CF0" w:rsidRPr="002D5CF0">
        <w:rPr>
          <w:rFonts w:ascii="Book Antiqua" w:eastAsia="Book Antiqua" w:hAnsi="Book Antiqua" w:cs="Book Antiqua"/>
          <w:color w:val="000000"/>
        </w:rPr>
        <w:t>November 21, 2020</w:t>
      </w:r>
    </w:p>
    <w:p w14:paraId="793994CD" w14:textId="77777777" w:rsidR="00A77B3E" w:rsidRDefault="002849D0">
      <w:pPr>
        <w:spacing w:line="360" w:lineRule="auto"/>
        <w:jc w:val="both"/>
      </w:pPr>
      <w:r>
        <w:rPr>
          <w:rFonts w:ascii="Book Antiqua" w:eastAsia="Book Antiqua" w:hAnsi="Book Antiqua" w:cs="Book Antiqua"/>
          <w:b/>
          <w:bCs/>
          <w:color w:val="000000"/>
        </w:rPr>
        <w:t xml:space="preserve">Published online: </w:t>
      </w:r>
    </w:p>
    <w:p w14:paraId="310E6C7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164E688" w14:textId="77777777" w:rsidR="00A77B3E" w:rsidRDefault="002849D0">
      <w:pPr>
        <w:spacing w:line="360" w:lineRule="auto"/>
        <w:jc w:val="both"/>
      </w:pPr>
      <w:r>
        <w:rPr>
          <w:rFonts w:ascii="Book Antiqua" w:eastAsia="Book Antiqua" w:hAnsi="Book Antiqua" w:cs="Book Antiqua"/>
          <w:b/>
          <w:color w:val="000000"/>
        </w:rPr>
        <w:lastRenderedPageBreak/>
        <w:t>Abstract</w:t>
      </w:r>
    </w:p>
    <w:p w14:paraId="66ECB131" w14:textId="77777777" w:rsidR="00A77B3E" w:rsidRDefault="002849D0">
      <w:pPr>
        <w:spacing w:line="360" w:lineRule="auto"/>
        <w:jc w:val="both"/>
      </w:pPr>
      <w:r>
        <w:rPr>
          <w:rFonts w:ascii="Book Antiqua" w:eastAsia="Book Antiqua" w:hAnsi="Book Antiqua" w:cs="Book Antiqua"/>
          <w:color w:val="000000"/>
        </w:rPr>
        <w:t>BACKGROUND</w:t>
      </w:r>
    </w:p>
    <w:p w14:paraId="21569113" w14:textId="5B5B0452" w:rsidR="00A77B3E" w:rsidRDefault="002849D0" w:rsidP="00102FE9">
      <w:pPr>
        <w:spacing w:line="360" w:lineRule="auto"/>
        <w:jc w:val="both"/>
      </w:pPr>
      <w:r>
        <w:rPr>
          <w:rFonts w:ascii="Book Antiqua" w:eastAsia="Book Antiqua" w:hAnsi="Book Antiqua" w:cs="Book Antiqua"/>
          <w:color w:val="000000"/>
        </w:rPr>
        <w:t>Immunoglobulin G4-related disease (IgG4-RD)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 a multi-system fibroinflammatory disorder that can involve any organ, including the salivary glands, pancreas, and biliary tree. </w:t>
      </w:r>
      <w:r>
        <w:rPr>
          <w:rFonts w:ascii="Book Antiqua" w:eastAsia="Book Antiqua" w:hAnsi="Book Antiqua" w:cs="Book Antiqua"/>
          <w:color w:val="000000"/>
          <w:shd w:val="clear" w:color="auto" w:fill="FFFFFF"/>
        </w:rPr>
        <w:t xml:space="preserve">Treatment of </w:t>
      </w:r>
      <w:r w:rsidR="00102FE9">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mmunoglobulin G4-related sclerosing cholangitis (IgG4-SC) is similar to that for IgG4-RD, but progression is irreversible in some cases. We present a case of IgG4-SC in which an immunosuppressant induced marked clinical and radiologic improvement.</w:t>
      </w:r>
    </w:p>
    <w:p w14:paraId="11084B70" w14:textId="77777777" w:rsidR="00A77B3E" w:rsidRDefault="00A77B3E" w:rsidP="00102FE9">
      <w:pPr>
        <w:spacing w:line="360" w:lineRule="auto"/>
        <w:jc w:val="both"/>
      </w:pPr>
    </w:p>
    <w:p w14:paraId="0642D0BF" w14:textId="77777777" w:rsidR="00A77B3E" w:rsidRDefault="002849D0">
      <w:pPr>
        <w:spacing w:line="360" w:lineRule="auto"/>
        <w:jc w:val="both"/>
      </w:pPr>
      <w:r>
        <w:rPr>
          <w:rFonts w:ascii="Book Antiqua" w:eastAsia="Book Antiqua" w:hAnsi="Book Antiqua" w:cs="Book Antiqua"/>
          <w:color w:val="000000"/>
        </w:rPr>
        <w:t>CASE SUMMARY</w:t>
      </w:r>
    </w:p>
    <w:p w14:paraId="4C4EE6AF" w14:textId="28BAD9C5" w:rsidR="00A77B3E" w:rsidRDefault="002849D0" w:rsidP="00102FE9">
      <w:pPr>
        <w:spacing w:line="360" w:lineRule="auto"/>
        <w:jc w:val="both"/>
      </w:pPr>
      <w:r>
        <w:rPr>
          <w:rFonts w:ascii="Book Antiqua" w:eastAsia="Book Antiqua" w:hAnsi="Book Antiqua" w:cs="Book Antiqua"/>
          <w:color w:val="000000"/>
        </w:rPr>
        <w:t>A 63-year-old male presented with a prominent itching sensation and whole</w:t>
      </w:r>
      <w:r>
        <w:rPr>
          <w:rFonts w:ascii="Book Antiqua" w:eastAsia="Book Antiqua" w:hAnsi="Book Antiqua" w:cs="Book Antiqua"/>
          <w:color w:val="000000"/>
        </w:rPr>
        <w:noBreakHyphen/>
        <w:t xml:space="preserve">body jaundice. He showed obstructive-pattern jaundice, an elevated IgG4 </w:t>
      </w:r>
      <w:r w:rsidR="00102FE9">
        <w:rPr>
          <w:rFonts w:ascii="Book Antiqua" w:eastAsia="Book Antiqua" w:hAnsi="Book Antiqua" w:cs="Book Antiqua"/>
          <w:color w:val="000000"/>
        </w:rPr>
        <w:t>l</w:t>
      </w:r>
      <w:r>
        <w:rPr>
          <w:rFonts w:ascii="Book Antiqua" w:eastAsia="Book Antiqua" w:hAnsi="Book Antiqua" w:cs="Book Antiqua"/>
          <w:color w:val="000000"/>
        </w:rPr>
        <w:t xml:space="preserve">evel, and infiltration of a large number of IgG4-positive cells in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The imaging findings of </w:t>
      </w:r>
      <w:r>
        <w:rPr>
          <w:rFonts w:ascii="Book Antiqua" w:eastAsia="Book Antiqua" w:hAnsi="Book Antiqua" w:cs="Book Antiqua"/>
          <w:b/>
          <w:bCs/>
          <w:color w:val="000000"/>
        </w:rPr>
        <w:t>i</w:t>
      </w:r>
      <w:r>
        <w:rPr>
          <w:rFonts w:ascii="Book Antiqua" w:eastAsia="Book Antiqua" w:hAnsi="Book Antiqua" w:cs="Book Antiqua"/>
          <w:color w:val="000000"/>
          <w:shd w:val="clear" w:color="auto" w:fill="FFFFFF"/>
        </w:rPr>
        <w:t>ntrahepatic duct</w:t>
      </w:r>
      <w:r>
        <w:rPr>
          <w:rFonts w:ascii="Book Antiqua" w:eastAsia="Book Antiqua" w:hAnsi="Book Antiqua" w:cs="Book Antiqua"/>
          <w:color w:val="000000"/>
        </w:rPr>
        <w:t xml:space="preserve"> (IHD) and </w:t>
      </w:r>
      <w:r>
        <w:rPr>
          <w:rFonts w:ascii="Book Antiqua" w:eastAsia="Book Antiqua" w:hAnsi="Book Antiqua" w:cs="Book Antiqua"/>
          <w:color w:val="000000"/>
          <w:shd w:val="clear" w:color="auto" w:fill="FFFFFF"/>
        </w:rPr>
        <w:t>common bile duct</w:t>
      </w:r>
      <w:r>
        <w:rPr>
          <w:rFonts w:ascii="Book Antiqua" w:eastAsia="Book Antiqua" w:hAnsi="Book Antiqua" w:cs="Book Antiqua"/>
          <w:color w:val="000000"/>
        </w:rPr>
        <w:t xml:space="preserve"> dilation, an elevated serum IgG4 </w:t>
      </w:r>
      <w:r w:rsidR="00102FE9">
        <w:rPr>
          <w:rFonts w:ascii="Book Antiqua" w:eastAsia="Book Antiqua" w:hAnsi="Book Antiqua" w:cs="Book Antiqua"/>
          <w:color w:val="000000"/>
        </w:rPr>
        <w:t>l</w:t>
      </w:r>
      <w:r>
        <w:rPr>
          <w:rFonts w:ascii="Book Antiqua" w:eastAsia="Book Antiqua" w:hAnsi="Book Antiqua" w:cs="Book Antiqua"/>
          <w:color w:val="000000"/>
        </w:rPr>
        <w:t xml:space="preserve">evel, and characteristic histological findings led to diagnosis of IgG4-SC that compatible with </w:t>
      </w:r>
      <w:r>
        <w:rPr>
          <w:rFonts w:ascii="Book Antiqua" w:eastAsia="Book Antiqua" w:hAnsi="Book Antiqua" w:cs="Book Antiqua"/>
          <w:color w:val="000000"/>
          <w:shd w:val="clear" w:color="auto" w:fill="FFFFFF"/>
        </w:rPr>
        <w:t>the 2019 ACR/EULAR classification criteria.</w:t>
      </w:r>
      <w:r>
        <w:rPr>
          <w:rFonts w:ascii="Book Antiqua" w:eastAsia="Book Antiqua" w:hAnsi="Book Antiqua" w:cs="Book Antiqua"/>
          <w:color w:val="000000"/>
        </w:rPr>
        <w:t xml:space="preserve"> We planned to treat the patient with high-dose glucocorticoid (GC), followed by cyclophosphamide pulse therapy. After treatment with high-dose GC and an immunosuppressant, imaging studies showed that IHD dilatation had completely resolved.</w:t>
      </w:r>
    </w:p>
    <w:p w14:paraId="09F4A35D" w14:textId="77777777" w:rsidR="00A77B3E" w:rsidRDefault="00A77B3E" w:rsidP="00102FE9">
      <w:pPr>
        <w:spacing w:line="360" w:lineRule="auto"/>
        <w:jc w:val="both"/>
      </w:pPr>
    </w:p>
    <w:p w14:paraId="092BEDD2" w14:textId="77777777" w:rsidR="00A77B3E" w:rsidRDefault="002849D0">
      <w:pPr>
        <w:spacing w:line="360" w:lineRule="auto"/>
        <w:jc w:val="both"/>
      </w:pPr>
      <w:r>
        <w:rPr>
          <w:rFonts w:ascii="Book Antiqua" w:eastAsia="Book Antiqua" w:hAnsi="Book Antiqua" w:cs="Book Antiqua"/>
          <w:color w:val="000000"/>
        </w:rPr>
        <w:t>CONCLUSION</w:t>
      </w:r>
    </w:p>
    <w:p w14:paraId="754F4C41" w14:textId="3A22EDDF" w:rsidR="00A77B3E" w:rsidRDefault="002849D0" w:rsidP="00102FE9">
      <w:pPr>
        <w:spacing w:line="360" w:lineRule="auto"/>
        <w:jc w:val="both"/>
      </w:pPr>
      <w:r>
        <w:rPr>
          <w:rFonts w:ascii="Book Antiqua" w:eastAsia="Book Antiqua" w:hAnsi="Book Antiqua" w:cs="Book Antiqua"/>
          <w:color w:val="000000"/>
        </w:rPr>
        <w:t>Prompt diagnosis and appropriate treatment of IgG4</w:t>
      </w:r>
      <w:r w:rsidR="00102FE9">
        <w:rPr>
          <w:rFonts w:ascii="Book Antiqua" w:eastAsia="Book Antiqua" w:hAnsi="Book Antiqua" w:cs="Book Antiqua"/>
          <w:color w:val="000000"/>
        </w:rPr>
        <w:t>-</w:t>
      </w:r>
      <w:r>
        <w:rPr>
          <w:rFonts w:ascii="Book Antiqua" w:eastAsia="Book Antiqua" w:hAnsi="Book Antiqua" w:cs="Book Antiqua"/>
          <w:color w:val="000000"/>
        </w:rPr>
        <w:t>SC are important. Because there is a risk of relapse of IgG4</w:t>
      </w:r>
      <w:r w:rsidR="00102FE9">
        <w:rPr>
          <w:rFonts w:ascii="Book Antiqua" w:eastAsia="Book Antiqua" w:hAnsi="Book Antiqua" w:cs="Book Antiqua"/>
          <w:color w:val="000000"/>
        </w:rPr>
        <w:t>-</w:t>
      </w:r>
      <w:r>
        <w:rPr>
          <w:rFonts w:ascii="Book Antiqua" w:eastAsia="Book Antiqua" w:hAnsi="Book Antiqua" w:cs="Book Antiqua"/>
          <w:color w:val="000000"/>
        </w:rPr>
        <w:t>SC, the GC dose should be gradually reduced, and a maintenance immunosuppressant should be given.</w:t>
      </w:r>
    </w:p>
    <w:p w14:paraId="7E2D57F0" w14:textId="77777777" w:rsidR="00A77B3E" w:rsidRDefault="00A77B3E" w:rsidP="00102FE9">
      <w:pPr>
        <w:spacing w:line="360" w:lineRule="auto"/>
        <w:jc w:val="both"/>
      </w:pPr>
    </w:p>
    <w:p w14:paraId="2C939BFB" w14:textId="4D5F1ECD" w:rsidR="00A77B3E" w:rsidRDefault="002849D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Immunoglobulin G4-related disease; </w:t>
      </w:r>
      <w:r w:rsidR="00102FE9">
        <w:rPr>
          <w:rFonts w:ascii="Book Antiqua" w:eastAsia="Book Antiqua" w:hAnsi="Book Antiqua" w:cs="Book Antiqua"/>
          <w:color w:val="000000"/>
        </w:rPr>
        <w:t>I</w:t>
      </w:r>
      <w:r>
        <w:rPr>
          <w:rFonts w:ascii="Book Antiqua" w:eastAsia="Book Antiqua" w:hAnsi="Book Antiqua" w:cs="Book Antiqua"/>
          <w:color w:val="000000"/>
        </w:rPr>
        <w:t xml:space="preserve">mmunoglobulin G4-related sclerosing cholangitis; </w:t>
      </w:r>
      <w:r w:rsidR="00102FE9">
        <w:rPr>
          <w:rFonts w:ascii="Book Antiqua" w:eastAsia="Book Antiqua" w:hAnsi="Book Antiqua" w:cs="Book Antiqua"/>
          <w:color w:val="000000"/>
        </w:rPr>
        <w:t>G</w:t>
      </w:r>
      <w:r>
        <w:rPr>
          <w:rFonts w:ascii="Book Antiqua" w:eastAsia="Book Antiqua" w:hAnsi="Book Antiqua" w:cs="Book Antiqua"/>
          <w:color w:val="000000"/>
        </w:rPr>
        <w:t xml:space="preserve">lucocorticoid; </w:t>
      </w:r>
      <w:r w:rsidR="00102FE9">
        <w:rPr>
          <w:rFonts w:ascii="Book Antiqua" w:eastAsia="Book Antiqua" w:hAnsi="Book Antiqua" w:cs="Book Antiqua"/>
          <w:color w:val="000000"/>
        </w:rPr>
        <w:t>I</w:t>
      </w:r>
      <w:r>
        <w:rPr>
          <w:rFonts w:ascii="Book Antiqua" w:eastAsia="Book Antiqua" w:hAnsi="Book Antiqua" w:cs="Book Antiqua"/>
          <w:color w:val="000000"/>
        </w:rPr>
        <w:t xml:space="preserve">mmunosuppressant; </w:t>
      </w:r>
      <w:r w:rsidR="00102FE9">
        <w:rPr>
          <w:rFonts w:ascii="Book Antiqua" w:eastAsia="Book Antiqua" w:hAnsi="Book Antiqua" w:cs="Book Antiqua"/>
          <w:color w:val="000000"/>
        </w:rPr>
        <w:t>C</w:t>
      </w:r>
      <w:r>
        <w:rPr>
          <w:rFonts w:ascii="Book Antiqua" w:eastAsia="Book Antiqua" w:hAnsi="Book Antiqua" w:cs="Book Antiqua"/>
          <w:color w:val="000000"/>
        </w:rPr>
        <w:t>ase report; ACR/EULAR classification criteria</w:t>
      </w:r>
    </w:p>
    <w:p w14:paraId="35D3C786" w14:textId="77777777" w:rsidR="00A77B3E" w:rsidRDefault="00A77B3E">
      <w:pPr>
        <w:spacing w:line="360" w:lineRule="auto"/>
        <w:jc w:val="both"/>
      </w:pPr>
    </w:p>
    <w:p w14:paraId="189A2345" w14:textId="756351E5" w:rsidR="00A77B3E" w:rsidRDefault="002849D0">
      <w:pPr>
        <w:spacing w:line="360" w:lineRule="auto"/>
        <w:jc w:val="both"/>
      </w:pPr>
      <w:r>
        <w:rPr>
          <w:rFonts w:ascii="Book Antiqua" w:eastAsia="Book Antiqua" w:hAnsi="Book Antiqua" w:cs="Book Antiqua"/>
          <w:color w:val="000000"/>
        </w:rPr>
        <w:lastRenderedPageBreak/>
        <w:t xml:space="preserve">Kim JS, Choi WH, Lee KA, Kim HS. </w:t>
      </w:r>
      <w:r w:rsidR="00287168" w:rsidRPr="00287168">
        <w:rPr>
          <w:rFonts w:ascii="Book Antiqua" w:eastAsia="Book Antiqua" w:hAnsi="Book Antiqua" w:cs="Book Antiqua"/>
          <w:color w:val="000000"/>
        </w:rPr>
        <w:t>Immunosuppressant treatment for IgG4-related sclerosing cholangitis: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6C47BB65" w14:textId="77777777" w:rsidR="00A77B3E" w:rsidRDefault="00A77B3E">
      <w:pPr>
        <w:spacing w:line="360" w:lineRule="auto"/>
        <w:jc w:val="both"/>
      </w:pPr>
    </w:p>
    <w:p w14:paraId="1F3636FA" w14:textId="66DA33DA" w:rsidR="00A77B3E" w:rsidRDefault="002849D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paper, we presented </w:t>
      </w:r>
      <w:r w:rsidR="009566ED">
        <w:rPr>
          <w:rFonts w:ascii="Book Antiqua" w:eastAsia="Book Antiqua" w:hAnsi="Book Antiqua" w:cs="Book Antiqua"/>
          <w:color w:val="000000"/>
          <w:shd w:val="clear" w:color="auto" w:fill="FFFFFF"/>
        </w:rPr>
        <w:t>immunoglobulin G4-related sclerosing cholangitis (IgG4-SC)</w:t>
      </w:r>
      <w:r>
        <w:rPr>
          <w:rFonts w:ascii="Book Antiqua" w:eastAsia="Book Antiqua" w:hAnsi="Book Antiqua" w:cs="Book Antiqua"/>
          <w:color w:val="000000"/>
        </w:rPr>
        <w:t xml:space="preserve"> which was diagnosed by ACR/EULAR published new classification criteria and was successfully treated using a </w:t>
      </w:r>
      <w:r w:rsidR="009566ED">
        <w:rPr>
          <w:rFonts w:ascii="Book Antiqua" w:eastAsia="Book Antiqua" w:hAnsi="Book Antiqua" w:cs="Book Antiqua"/>
          <w:color w:val="000000"/>
        </w:rPr>
        <w:t>glucocorticoid</w:t>
      </w:r>
      <w:r>
        <w:rPr>
          <w:rFonts w:ascii="Book Antiqua" w:eastAsia="Book Antiqua" w:hAnsi="Book Antiqua" w:cs="Book Antiqua"/>
          <w:color w:val="000000"/>
        </w:rPr>
        <w:t xml:space="preserve"> with an immunosuppressant and made approved as imaging follow-up. Prompt diagnosis and appropriate treatment of IgG4</w:t>
      </w:r>
      <w:r w:rsidR="009566ED">
        <w:rPr>
          <w:rFonts w:ascii="Book Antiqua" w:eastAsia="Book Antiqua" w:hAnsi="Book Antiqua" w:cs="Book Antiqua"/>
          <w:color w:val="000000"/>
        </w:rPr>
        <w:t>-</w:t>
      </w:r>
      <w:r>
        <w:rPr>
          <w:rFonts w:ascii="Book Antiqua" w:eastAsia="Book Antiqua" w:hAnsi="Book Antiqua" w:cs="Book Antiqua"/>
          <w:color w:val="000000"/>
        </w:rPr>
        <w:t>SC are important to induce rapid regression and to prevent irreversible fibrosis and biliary stricture. This case emphasizes the proactive attitude to use immunosuppressants in treatment with IgG4</w:t>
      </w:r>
      <w:r w:rsidR="009566ED">
        <w:rPr>
          <w:rFonts w:ascii="Book Antiqua" w:eastAsia="Book Antiqua" w:hAnsi="Book Antiqua" w:cs="Book Antiqua"/>
          <w:color w:val="000000"/>
        </w:rPr>
        <w:t>-</w:t>
      </w:r>
      <w:r>
        <w:rPr>
          <w:rFonts w:ascii="Book Antiqua" w:eastAsia="Book Antiqua" w:hAnsi="Book Antiqua" w:cs="Book Antiqua"/>
          <w:color w:val="000000"/>
        </w:rPr>
        <w:t>SC.</w:t>
      </w:r>
    </w:p>
    <w:p w14:paraId="7DE7EAAF" w14:textId="4F8CC7CF" w:rsidR="00A77B3E" w:rsidRDefault="009566ED">
      <w:pPr>
        <w:spacing w:line="360" w:lineRule="auto"/>
        <w:jc w:val="both"/>
      </w:pPr>
      <w:r>
        <w:rPr>
          <w:rFonts w:ascii="Book Antiqua" w:eastAsia="Book Antiqua" w:hAnsi="Book Antiqua" w:cs="Book Antiqua"/>
          <w:b/>
          <w:caps/>
          <w:color w:val="000000"/>
          <w:u w:val="single"/>
        </w:rPr>
        <w:br w:type="page"/>
      </w:r>
      <w:r w:rsidR="002849D0">
        <w:rPr>
          <w:rFonts w:ascii="Book Antiqua" w:eastAsia="Book Antiqua" w:hAnsi="Book Antiqua" w:cs="Book Antiqua"/>
          <w:b/>
          <w:caps/>
          <w:color w:val="000000"/>
          <w:u w:val="single"/>
        </w:rPr>
        <w:lastRenderedPageBreak/>
        <w:t>INTRODUCTION</w:t>
      </w:r>
    </w:p>
    <w:p w14:paraId="452341EC" w14:textId="197A5440" w:rsidR="00A77B3E" w:rsidRDefault="002849D0" w:rsidP="009566ED">
      <w:pPr>
        <w:spacing w:line="360" w:lineRule="auto"/>
        <w:jc w:val="both"/>
      </w:pPr>
      <w:r>
        <w:rPr>
          <w:rFonts w:ascii="Book Antiqua" w:eastAsia="Book Antiqua" w:hAnsi="Book Antiqua" w:cs="Book Antiqua"/>
          <w:color w:val="000000"/>
        </w:rPr>
        <w:t xml:space="preserve">Immunoglobulin G4-related disease (IgG4-RD) is an immune-mediated disorder that can induce fibrosis in multiple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IgG4-related sclerosing cholangitis (IgG4-SC) is the most common </w:t>
      </w:r>
      <w:proofErr w:type="spellStart"/>
      <w:r>
        <w:rPr>
          <w:rFonts w:ascii="Book Antiqua" w:eastAsia="Book Antiqua" w:hAnsi="Book Antiqua" w:cs="Book Antiqua"/>
          <w:color w:val="000000"/>
          <w:shd w:val="clear" w:color="auto" w:fill="FFFFFF"/>
        </w:rPr>
        <w:t>extrapancreatic</w:t>
      </w:r>
      <w:proofErr w:type="spellEnd"/>
      <w:r>
        <w:rPr>
          <w:rFonts w:ascii="Book Antiqua" w:eastAsia="Book Antiqua" w:hAnsi="Book Antiqua" w:cs="Book Antiqua"/>
          <w:color w:val="000000"/>
          <w:shd w:val="clear" w:color="auto" w:fill="FFFFFF"/>
        </w:rPr>
        <w:t xml:space="preserve"> manifestation of IgG4-RD, and it is the third distinct entity of sclerosing </w:t>
      </w:r>
      <w:proofErr w:type="gramStart"/>
      <w:r>
        <w:rPr>
          <w:rFonts w:ascii="Book Antiqua" w:eastAsia="Book Antiqua" w:hAnsi="Book Antiqua" w:cs="Book Antiqua"/>
          <w:color w:val="000000"/>
          <w:shd w:val="clear" w:color="auto" w:fill="FFFFFF"/>
        </w:rPr>
        <w:t>cholangitis</w:t>
      </w:r>
      <w:r w:rsidR="00522EFD">
        <w:rPr>
          <w:rFonts w:ascii="Book Antiqua" w:eastAsia="Book Antiqua" w:hAnsi="Book Antiqua" w:cs="Book Antiqua"/>
          <w:color w:val="000000"/>
          <w:szCs w:val="30"/>
          <w:shd w:val="clear" w:color="auto" w:fill="FFFFFF"/>
          <w:vertAlign w:val="superscript"/>
        </w:rPr>
        <w:t>[</w:t>
      </w:r>
      <w:proofErr w:type="gramEnd"/>
      <w:r w:rsidR="00522EFD">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Treatment of IgG4-SC is similar to that for IgG4-RD involving autoimmune pancreatitis (AIP), but progression is irreversible in some cases. We demonstrate a case of IgG4-SC in which an immunosuppressant induced marked clinical and radiologic improvement.</w:t>
      </w:r>
    </w:p>
    <w:p w14:paraId="74A4C86F" w14:textId="77777777" w:rsidR="00A77B3E" w:rsidRDefault="00A77B3E" w:rsidP="00522EFD">
      <w:pPr>
        <w:spacing w:line="360" w:lineRule="auto"/>
        <w:jc w:val="both"/>
      </w:pPr>
    </w:p>
    <w:p w14:paraId="70AA3206" w14:textId="77777777" w:rsidR="00A77B3E" w:rsidRDefault="002849D0">
      <w:pPr>
        <w:spacing w:line="360" w:lineRule="auto"/>
        <w:jc w:val="both"/>
      </w:pPr>
      <w:r>
        <w:rPr>
          <w:rFonts w:ascii="Book Antiqua" w:eastAsia="Book Antiqua" w:hAnsi="Book Antiqua" w:cs="Book Antiqua"/>
          <w:b/>
          <w:caps/>
          <w:color w:val="000000"/>
          <w:u w:val="single"/>
        </w:rPr>
        <w:t>CASE PRESENTATION</w:t>
      </w:r>
    </w:p>
    <w:p w14:paraId="4C4DF901" w14:textId="77777777" w:rsidR="00A77B3E" w:rsidRDefault="002849D0">
      <w:pPr>
        <w:spacing w:line="360" w:lineRule="auto"/>
        <w:jc w:val="both"/>
      </w:pPr>
      <w:r>
        <w:rPr>
          <w:rFonts w:ascii="Book Antiqua" w:eastAsia="Book Antiqua" w:hAnsi="Book Antiqua" w:cs="Book Antiqua"/>
          <w:b/>
          <w:i/>
          <w:color w:val="000000"/>
        </w:rPr>
        <w:t>Chief complaints</w:t>
      </w:r>
    </w:p>
    <w:p w14:paraId="665679B2" w14:textId="04FEEA27" w:rsidR="00A77B3E" w:rsidRDefault="002849D0" w:rsidP="00522EFD">
      <w:pPr>
        <w:spacing w:line="360" w:lineRule="auto"/>
        <w:jc w:val="both"/>
      </w:pPr>
      <w:r>
        <w:rPr>
          <w:rFonts w:ascii="Book Antiqua" w:eastAsia="Book Antiqua" w:hAnsi="Book Antiqua" w:cs="Book Antiqua"/>
          <w:color w:val="000000"/>
        </w:rPr>
        <w:t>A 63-year-old male was admitted to our hospital with an uncontrolled itching sensation and whole body jaundice.</w:t>
      </w:r>
    </w:p>
    <w:p w14:paraId="1E8795CE" w14:textId="77777777" w:rsidR="00A77B3E" w:rsidRDefault="00A77B3E" w:rsidP="00522EFD">
      <w:pPr>
        <w:spacing w:line="360" w:lineRule="auto"/>
        <w:jc w:val="both"/>
      </w:pPr>
    </w:p>
    <w:p w14:paraId="528AC824" w14:textId="77777777" w:rsidR="00A77B3E" w:rsidRDefault="002849D0">
      <w:pPr>
        <w:spacing w:line="360" w:lineRule="auto"/>
        <w:jc w:val="both"/>
      </w:pPr>
      <w:r>
        <w:rPr>
          <w:rFonts w:ascii="Book Antiqua" w:eastAsia="Book Antiqua" w:hAnsi="Book Antiqua" w:cs="Book Antiqua"/>
          <w:b/>
          <w:i/>
          <w:color w:val="000000"/>
        </w:rPr>
        <w:t>History of present illness</w:t>
      </w:r>
    </w:p>
    <w:p w14:paraId="312CF1C8" w14:textId="57CDCB0D" w:rsidR="00A77B3E" w:rsidRDefault="002849D0">
      <w:pPr>
        <w:spacing w:line="360" w:lineRule="auto"/>
        <w:jc w:val="both"/>
      </w:pPr>
      <w:r>
        <w:rPr>
          <w:rFonts w:ascii="Book Antiqua" w:eastAsia="Book Antiqua" w:hAnsi="Book Antiqua" w:cs="Book Antiqua"/>
          <w:color w:val="000000"/>
        </w:rPr>
        <w:t>Six months prior he had experienced intractable itching, which led to suspicion of obstructive cholangitis. Despite endoscopic retrograde cholangiopancreatography (ERCP) and endoscopic retrograde biliary drainage, which ruled out malignancy, the itching became aggravated and obstructive-pattern jaundice developed.</w:t>
      </w:r>
    </w:p>
    <w:p w14:paraId="2444644B" w14:textId="77777777" w:rsidR="00A77B3E" w:rsidRDefault="00A77B3E">
      <w:pPr>
        <w:spacing w:line="360" w:lineRule="auto"/>
        <w:jc w:val="both"/>
      </w:pPr>
    </w:p>
    <w:p w14:paraId="6EC85487" w14:textId="77777777" w:rsidR="00A77B3E" w:rsidRDefault="002849D0">
      <w:pPr>
        <w:spacing w:line="360" w:lineRule="auto"/>
        <w:jc w:val="both"/>
      </w:pPr>
      <w:r>
        <w:rPr>
          <w:rFonts w:ascii="Book Antiqua" w:eastAsia="Book Antiqua" w:hAnsi="Book Antiqua" w:cs="Book Antiqua"/>
          <w:b/>
          <w:i/>
          <w:color w:val="000000"/>
        </w:rPr>
        <w:t>History of past illness</w:t>
      </w:r>
    </w:p>
    <w:p w14:paraId="165FC398" w14:textId="77777777" w:rsidR="00A77B3E" w:rsidRDefault="002849D0" w:rsidP="00747FDC">
      <w:pPr>
        <w:spacing w:line="360" w:lineRule="auto"/>
        <w:jc w:val="both"/>
      </w:pPr>
      <w:r>
        <w:rPr>
          <w:rFonts w:ascii="Book Antiqua" w:eastAsia="Book Antiqua" w:hAnsi="Book Antiqua" w:cs="Book Antiqua"/>
          <w:color w:val="000000"/>
        </w:rPr>
        <w:t>The patient’s medical history was non-specific with the exception of hypertension and diabetes mellitus, which were well controlled by medication. He was ex-smoker of ten years and a social drinker.</w:t>
      </w:r>
    </w:p>
    <w:p w14:paraId="72DF5E21" w14:textId="77777777" w:rsidR="00A77B3E" w:rsidRDefault="00A77B3E" w:rsidP="00747FDC">
      <w:pPr>
        <w:spacing w:line="360" w:lineRule="auto"/>
        <w:jc w:val="both"/>
      </w:pPr>
    </w:p>
    <w:p w14:paraId="7E2B15DD" w14:textId="77777777" w:rsidR="00A77B3E" w:rsidRDefault="002849D0">
      <w:pPr>
        <w:spacing w:line="360" w:lineRule="auto"/>
        <w:jc w:val="both"/>
      </w:pPr>
      <w:r>
        <w:rPr>
          <w:rFonts w:ascii="Book Antiqua" w:eastAsia="Book Antiqua" w:hAnsi="Book Antiqua" w:cs="Book Antiqua"/>
          <w:b/>
          <w:i/>
          <w:color w:val="000000"/>
        </w:rPr>
        <w:t>Personal and family history</w:t>
      </w:r>
    </w:p>
    <w:p w14:paraId="55F2C57B" w14:textId="77777777" w:rsidR="00A77B3E" w:rsidRDefault="002849D0">
      <w:pPr>
        <w:spacing w:line="360" w:lineRule="auto"/>
        <w:jc w:val="both"/>
      </w:pPr>
      <w:r>
        <w:rPr>
          <w:rFonts w:ascii="Book Antiqua" w:eastAsia="Book Antiqua" w:hAnsi="Book Antiqua" w:cs="Book Antiqua"/>
          <w:color w:val="000000"/>
        </w:rPr>
        <w:t>No previous illnesses were reported and there was no family history of oncologic and rheumatic diseases.</w:t>
      </w:r>
    </w:p>
    <w:p w14:paraId="5D8EE5CF" w14:textId="77777777" w:rsidR="00A77B3E" w:rsidRDefault="00A77B3E">
      <w:pPr>
        <w:spacing w:line="360" w:lineRule="auto"/>
        <w:jc w:val="both"/>
      </w:pPr>
    </w:p>
    <w:p w14:paraId="4E132624" w14:textId="77777777" w:rsidR="00A77B3E" w:rsidRDefault="002849D0">
      <w:pPr>
        <w:spacing w:line="360" w:lineRule="auto"/>
        <w:jc w:val="both"/>
      </w:pPr>
      <w:r>
        <w:rPr>
          <w:rFonts w:ascii="Book Antiqua" w:eastAsia="Book Antiqua" w:hAnsi="Book Antiqua" w:cs="Book Antiqua"/>
          <w:b/>
          <w:i/>
          <w:color w:val="000000"/>
        </w:rPr>
        <w:lastRenderedPageBreak/>
        <w:t>Physical examination</w:t>
      </w:r>
    </w:p>
    <w:p w14:paraId="4FAB1B27" w14:textId="77777777" w:rsidR="00A77B3E" w:rsidRDefault="002849D0" w:rsidP="00747FDC">
      <w:pPr>
        <w:spacing w:line="360" w:lineRule="auto"/>
        <w:jc w:val="both"/>
      </w:pPr>
      <w:r>
        <w:rPr>
          <w:rFonts w:ascii="Book Antiqua" w:eastAsia="Book Antiqua" w:hAnsi="Book Antiqua" w:cs="Book Antiqua"/>
          <w:color w:val="000000"/>
        </w:rPr>
        <w:t>The physical examination revealed icteric sclerae with multiple itching scratches on the skin.</w:t>
      </w:r>
    </w:p>
    <w:p w14:paraId="723D8C78" w14:textId="77777777" w:rsidR="00A77B3E" w:rsidRDefault="00A77B3E" w:rsidP="00747FDC">
      <w:pPr>
        <w:spacing w:line="360" w:lineRule="auto"/>
        <w:jc w:val="both"/>
      </w:pPr>
    </w:p>
    <w:p w14:paraId="3E42C79D" w14:textId="77777777" w:rsidR="00A77B3E" w:rsidRDefault="002849D0">
      <w:pPr>
        <w:spacing w:line="360" w:lineRule="auto"/>
        <w:jc w:val="both"/>
      </w:pPr>
      <w:r>
        <w:rPr>
          <w:rFonts w:ascii="Book Antiqua" w:eastAsia="Book Antiqua" w:hAnsi="Book Antiqua" w:cs="Book Antiqua"/>
          <w:b/>
          <w:i/>
          <w:color w:val="000000"/>
        </w:rPr>
        <w:t>Laboratory examinations</w:t>
      </w:r>
    </w:p>
    <w:p w14:paraId="22F09ACB" w14:textId="308182BD" w:rsidR="00A77B3E" w:rsidRDefault="002849D0" w:rsidP="00747FDC">
      <w:pPr>
        <w:spacing w:line="360" w:lineRule="auto"/>
        <w:jc w:val="both"/>
      </w:pPr>
      <w:r>
        <w:rPr>
          <w:rFonts w:ascii="Book Antiqua" w:eastAsia="Book Antiqua" w:hAnsi="Book Antiqua" w:cs="Book Antiqua"/>
          <w:color w:val="000000"/>
        </w:rPr>
        <w:t xml:space="preserve">The patient’s laboratory results were as follows: </w:t>
      </w:r>
      <w:r w:rsidR="00747FDC">
        <w:rPr>
          <w:rFonts w:ascii="Book Antiqua" w:eastAsia="Book Antiqua" w:hAnsi="Book Antiqua" w:cs="Book Antiqua"/>
          <w:color w:val="000000"/>
        </w:rPr>
        <w:t>H</w:t>
      </w:r>
      <w:r>
        <w:rPr>
          <w:rFonts w:ascii="Book Antiqua" w:eastAsia="Book Antiqua" w:hAnsi="Book Antiqua" w:cs="Book Antiqua"/>
          <w:color w:val="000000"/>
        </w:rPr>
        <w:t>emoglobin 10 g/dL (normal, 13</w:t>
      </w:r>
      <w:r w:rsidR="00747FDC">
        <w:rPr>
          <w:rFonts w:ascii="Book Antiqua" w:eastAsia="Book Antiqua" w:hAnsi="Book Antiqua" w:cs="Book Antiqua"/>
          <w:color w:val="000000"/>
        </w:rPr>
        <w:t>-</w:t>
      </w:r>
      <w:r>
        <w:rPr>
          <w:rFonts w:ascii="Book Antiqua" w:eastAsia="Book Antiqua" w:hAnsi="Book Antiqua" w:cs="Book Antiqua"/>
          <w:color w:val="000000"/>
        </w:rPr>
        <w:t>17 g/dL), hematocrit 30.6% (normal 39</w:t>
      </w:r>
      <w:r w:rsidR="00747FDC">
        <w:rPr>
          <w:rFonts w:ascii="Book Antiqua" w:eastAsia="Book Antiqua" w:hAnsi="Book Antiqua" w:cs="Book Antiqua"/>
          <w:color w:val="000000"/>
        </w:rPr>
        <w:t>%-</w:t>
      </w:r>
      <w:r>
        <w:rPr>
          <w:rFonts w:ascii="Book Antiqua" w:eastAsia="Book Antiqua" w:hAnsi="Book Antiqua" w:cs="Book Antiqua"/>
          <w:color w:val="000000"/>
        </w:rPr>
        <w:t>52%), platelet count 348000/L (normal, 130000</w:t>
      </w:r>
      <w:r w:rsidR="00747FDC">
        <w:rPr>
          <w:rFonts w:ascii="Book Antiqua" w:eastAsia="Book Antiqua" w:hAnsi="Book Antiqua" w:cs="Book Antiqua"/>
          <w:color w:val="000000"/>
        </w:rPr>
        <w:t>-</w:t>
      </w:r>
      <w:r>
        <w:rPr>
          <w:rFonts w:ascii="Book Antiqua" w:eastAsia="Book Antiqua" w:hAnsi="Book Antiqua" w:cs="Book Antiqua"/>
          <w:color w:val="000000"/>
        </w:rPr>
        <w:t>450000/L), aspartate aminotransferase 71 U/L (normal, 0</w:t>
      </w:r>
      <w:r w:rsidR="00747FDC">
        <w:rPr>
          <w:rFonts w:ascii="Book Antiqua" w:eastAsia="Book Antiqua" w:hAnsi="Book Antiqua" w:cs="Book Antiqua"/>
          <w:color w:val="000000"/>
        </w:rPr>
        <w:t>-</w:t>
      </w:r>
      <w:r>
        <w:rPr>
          <w:rFonts w:ascii="Book Antiqua" w:eastAsia="Book Antiqua" w:hAnsi="Book Antiqua" w:cs="Book Antiqua"/>
          <w:color w:val="000000"/>
        </w:rPr>
        <w:t>40 U/L), alanine aminotransferase level 44 U/L (normal, 0</w:t>
      </w:r>
      <w:r w:rsidR="00747FDC">
        <w:rPr>
          <w:rFonts w:ascii="Book Antiqua" w:eastAsia="Book Antiqua" w:hAnsi="Book Antiqua" w:cs="Book Antiqua"/>
          <w:color w:val="000000"/>
        </w:rPr>
        <w:t>-</w:t>
      </w:r>
      <w:r>
        <w:rPr>
          <w:rFonts w:ascii="Book Antiqua" w:eastAsia="Book Antiqua" w:hAnsi="Book Antiqua" w:cs="Book Antiqua"/>
          <w:color w:val="000000"/>
        </w:rPr>
        <w:t>41 U/L), gamma-glutamyl transferase level 233 U/L (normal, 5</w:t>
      </w:r>
      <w:r w:rsidR="00747FDC">
        <w:rPr>
          <w:rFonts w:ascii="Book Antiqua" w:eastAsia="Book Antiqua" w:hAnsi="Book Antiqua" w:cs="Book Antiqua"/>
          <w:color w:val="000000"/>
        </w:rPr>
        <w:t>-</w:t>
      </w:r>
      <w:r>
        <w:rPr>
          <w:rFonts w:ascii="Book Antiqua" w:eastAsia="Book Antiqua" w:hAnsi="Book Antiqua" w:cs="Book Antiqua"/>
          <w:color w:val="000000"/>
        </w:rPr>
        <w:t>61 U/L), alkaline phosphatase level 315 U/L (normal, 35</w:t>
      </w:r>
      <w:r w:rsidR="00747FDC">
        <w:rPr>
          <w:rFonts w:ascii="Book Antiqua" w:eastAsia="Book Antiqua" w:hAnsi="Book Antiqua" w:cs="Book Antiqua"/>
          <w:color w:val="000000"/>
        </w:rPr>
        <w:t>-</w:t>
      </w:r>
      <w:r>
        <w:rPr>
          <w:rFonts w:ascii="Book Antiqua" w:eastAsia="Book Antiqua" w:hAnsi="Book Antiqua" w:cs="Book Antiqua"/>
          <w:color w:val="000000"/>
        </w:rPr>
        <w:t>130 U/L), total bilirubin level 8.6 mg/dL (normal, 0</w:t>
      </w:r>
      <w:r w:rsidR="00747FDC">
        <w:rPr>
          <w:rFonts w:ascii="Book Antiqua" w:eastAsia="Book Antiqua" w:hAnsi="Book Antiqua" w:cs="Book Antiqua"/>
          <w:color w:val="000000"/>
        </w:rPr>
        <w:t>-</w:t>
      </w:r>
      <w:r>
        <w:rPr>
          <w:rFonts w:ascii="Book Antiqua" w:eastAsia="Book Antiqua" w:hAnsi="Book Antiqua" w:cs="Book Antiqua"/>
          <w:color w:val="000000"/>
        </w:rPr>
        <w:t>1.2 mg/dL), BUN level 26.7 mg/dL (normal, 6</w:t>
      </w:r>
      <w:r w:rsidR="00747FDC">
        <w:rPr>
          <w:rFonts w:ascii="Book Antiqua" w:eastAsia="Book Antiqua" w:hAnsi="Book Antiqua" w:cs="Book Antiqua"/>
          <w:color w:val="000000"/>
        </w:rPr>
        <w:t>-</w:t>
      </w:r>
      <w:r>
        <w:rPr>
          <w:rFonts w:ascii="Book Antiqua" w:eastAsia="Book Antiqua" w:hAnsi="Book Antiqua" w:cs="Book Antiqua"/>
          <w:color w:val="000000"/>
        </w:rPr>
        <w:t>20 mg/dL), creatinine level 1.37 mg/dL (normal, 0.5</w:t>
      </w:r>
      <w:r w:rsidR="00747FDC">
        <w:rPr>
          <w:rFonts w:ascii="Book Antiqua" w:eastAsia="Book Antiqua" w:hAnsi="Book Antiqua" w:cs="Book Antiqua"/>
          <w:color w:val="000000"/>
        </w:rPr>
        <w:t>-</w:t>
      </w:r>
      <w:r>
        <w:rPr>
          <w:rFonts w:ascii="Book Antiqua" w:eastAsia="Book Antiqua" w:hAnsi="Book Antiqua" w:cs="Book Antiqua"/>
          <w:color w:val="000000"/>
        </w:rPr>
        <w:t>1.2 mg/dL), erythrocyte sedimentation rate 120 mm/h (normal, 0</w:t>
      </w:r>
      <w:r w:rsidR="00747FDC">
        <w:rPr>
          <w:rFonts w:ascii="Book Antiqua" w:eastAsia="Book Antiqua" w:hAnsi="Book Antiqua" w:cs="Book Antiqua"/>
          <w:color w:val="000000"/>
        </w:rPr>
        <w:t>-</w:t>
      </w:r>
      <w:r>
        <w:rPr>
          <w:rFonts w:ascii="Book Antiqua" w:eastAsia="Book Antiqua" w:hAnsi="Book Antiqua" w:cs="Book Antiqua"/>
          <w:color w:val="000000"/>
        </w:rPr>
        <w:t>20 mm/h), C reactive protein (CRP) level 1.81 mg/dL (normal, 0</w:t>
      </w:r>
      <w:r w:rsidR="00747FDC">
        <w:rPr>
          <w:rFonts w:ascii="Book Antiqua" w:eastAsia="Book Antiqua" w:hAnsi="Book Antiqua" w:cs="Book Antiqua"/>
          <w:color w:val="000000"/>
        </w:rPr>
        <w:t>-</w:t>
      </w:r>
      <w:r>
        <w:rPr>
          <w:rFonts w:ascii="Book Antiqua" w:eastAsia="Book Antiqua" w:hAnsi="Book Antiqua" w:cs="Book Antiqua"/>
          <w:color w:val="000000"/>
        </w:rPr>
        <w:t>0.5 mg/dL), antinuclear antibody titer 1:2560 (nucleolar pattern), IgG level 2416 mg/dL (normal, 700</w:t>
      </w:r>
      <w:r w:rsidR="00747FDC">
        <w:rPr>
          <w:rFonts w:ascii="Book Antiqua" w:eastAsia="Book Antiqua" w:hAnsi="Book Antiqua" w:cs="Book Antiqua"/>
          <w:color w:val="000000"/>
        </w:rPr>
        <w:t>-</w:t>
      </w:r>
      <w:r>
        <w:rPr>
          <w:rFonts w:ascii="Book Antiqua" w:eastAsia="Book Antiqua" w:hAnsi="Book Antiqua" w:cs="Book Antiqua"/>
          <w:color w:val="000000"/>
        </w:rPr>
        <w:t xml:space="preserve">1600 mg/dL), and serum IgG4 </w:t>
      </w:r>
      <w:r w:rsidR="00747FDC">
        <w:rPr>
          <w:rFonts w:ascii="Book Antiqua" w:eastAsia="Book Antiqua" w:hAnsi="Book Antiqua" w:cs="Book Antiqua"/>
          <w:color w:val="000000"/>
        </w:rPr>
        <w:t>l</w:t>
      </w:r>
      <w:r>
        <w:rPr>
          <w:rFonts w:ascii="Book Antiqua" w:eastAsia="Book Antiqua" w:hAnsi="Book Antiqua" w:cs="Book Antiqua"/>
          <w:color w:val="000000"/>
        </w:rPr>
        <w:t>evel 465 mg/dL (normal, 0</w:t>
      </w:r>
      <w:r w:rsidR="00747FDC">
        <w:rPr>
          <w:rFonts w:ascii="Book Antiqua" w:eastAsia="Book Antiqua" w:hAnsi="Book Antiqua" w:cs="Book Antiqua"/>
          <w:color w:val="000000"/>
        </w:rPr>
        <w:t>-</w:t>
      </w:r>
      <w:r>
        <w:rPr>
          <w:rFonts w:ascii="Book Antiqua" w:eastAsia="Book Antiqua" w:hAnsi="Book Antiqua" w:cs="Book Antiqua"/>
          <w:color w:val="000000"/>
        </w:rPr>
        <w:t>135 mg/dL).</w:t>
      </w:r>
    </w:p>
    <w:p w14:paraId="036F1F8A" w14:textId="77777777" w:rsidR="00A77B3E" w:rsidRDefault="00A77B3E" w:rsidP="00747FDC">
      <w:pPr>
        <w:spacing w:line="360" w:lineRule="auto"/>
        <w:jc w:val="both"/>
      </w:pPr>
    </w:p>
    <w:p w14:paraId="591990AD" w14:textId="77777777" w:rsidR="00A77B3E" w:rsidRDefault="002849D0">
      <w:pPr>
        <w:spacing w:line="360" w:lineRule="auto"/>
        <w:jc w:val="both"/>
      </w:pPr>
      <w:r>
        <w:rPr>
          <w:rFonts w:ascii="Book Antiqua" w:eastAsia="Book Antiqua" w:hAnsi="Book Antiqua" w:cs="Book Antiqua"/>
          <w:b/>
          <w:i/>
          <w:color w:val="000000"/>
        </w:rPr>
        <w:t>Imaging examinations</w:t>
      </w:r>
    </w:p>
    <w:p w14:paraId="44D028BF" w14:textId="77777777" w:rsidR="00A77B3E" w:rsidRDefault="002849D0" w:rsidP="00747FDC">
      <w:pPr>
        <w:spacing w:line="360" w:lineRule="auto"/>
        <w:jc w:val="both"/>
      </w:pPr>
      <w:r>
        <w:rPr>
          <w:rFonts w:ascii="Book Antiqua" w:eastAsia="Book Antiqua" w:hAnsi="Book Antiqua" w:cs="Book Antiqua"/>
          <w:color w:val="000000"/>
        </w:rPr>
        <w:t>Abdominal computed tomography (CT) showed intrahepatic duct (IHD) dilatation with intraductal soft tissue attenuation and periductal enhancement (Figure 1A). The common bile duct (CBD) was dilated with mild luminal narrowing but without findings of AIP (Figure 1B). There was no definite obstructive lesion or suspected malignancy. CT also showed fibrotic enhancement around the infrarenal aorta.</w:t>
      </w:r>
    </w:p>
    <w:p w14:paraId="00B7F072" w14:textId="77777777" w:rsidR="00A77B3E" w:rsidRDefault="00A77B3E" w:rsidP="00FC4BFA">
      <w:pPr>
        <w:spacing w:line="360" w:lineRule="auto"/>
        <w:jc w:val="both"/>
      </w:pPr>
    </w:p>
    <w:p w14:paraId="2B8FFCB6" w14:textId="77777777" w:rsidR="00A77B3E" w:rsidRDefault="002849D0" w:rsidP="00FC4BFA">
      <w:pPr>
        <w:spacing w:line="360" w:lineRule="auto"/>
        <w:jc w:val="both"/>
      </w:pPr>
      <w:r>
        <w:rPr>
          <w:rFonts w:ascii="Book Antiqua" w:eastAsia="Book Antiqua" w:hAnsi="Book Antiqua" w:cs="Book Antiqua"/>
          <w:b/>
          <w:bCs/>
          <w:caps/>
          <w:color w:val="000000"/>
          <w:u w:val="single"/>
        </w:rPr>
        <w:t>Histological assessment of biopsy specimen</w:t>
      </w:r>
    </w:p>
    <w:p w14:paraId="4DDEADE8" w14:textId="7A0F78B5" w:rsidR="00A77B3E" w:rsidRDefault="002849D0">
      <w:pPr>
        <w:spacing w:line="360" w:lineRule="auto"/>
        <w:jc w:val="both"/>
      </w:pPr>
      <w:r>
        <w:rPr>
          <w:rFonts w:ascii="Book Antiqua" w:eastAsia="Book Antiqua" w:hAnsi="Book Antiqua" w:cs="Book Antiqua"/>
          <w:color w:val="000000"/>
        </w:rPr>
        <w:t xml:space="preserve">We performed ERCP to obtain an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AoV</w:t>
      </w:r>
      <w:proofErr w:type="spellEnd"/>
      <w:r>
        <w:rPr>
          <w:rFonts w:ascii="Book Antiqua" w:eastAsia="Book Antiqua" w:hAnsi="Book Antiqua" w:cs="Book Antiqua"/>
          <w:color w:val="000000"/>
        </w:rPr>
        <w:t xml:space="preserve">) biopsy for histologic analysis. The </w:t>
      </w:r>
      <w:proofErr w:type="spellStart"/>
      <w:r>
        <w:rPr>
          <w:rFonts w:ascii="Book Antiqua" w:eastAsia="Book Antiqua" w:hAnsi="Book Antiqua" w:cs="Book Antiqua"/>
          <w:color w:val="000000"/>
        </w:rPr>
        <w:t>AoV</w:t>
      </w:r>
      <w:proofErr w:type="spellEnd"/>
      <w:r>
        <w:rPr>
          <w:rFonts w:ascii="Book Antiqua" w:eastAsia="Book Antiqua" w:hAnsi="Book Antiqua" w:cs="Book Antiqua"/>
          <w:color w:val="000000"/>
        </w:rPr>
        <w:t xml:space="preserve"> biopsy revealed infiltration of inflammatory cells and granulation and many plasma cells in subepithelial stroma (Figure 2A</w:t>
      </w:r>
      <w:r w:rsidR="00FC4BFA">
        <w:rPr>
          <w:rFonts w:ascii="Book Antiqua" w:eastAsia="Book Antiqua" w:hAnsi="Book Antiqua" w:cs="Book Antiqua"/>
          <w:color w:val="000000"/>
        </w:rPr>
        <w:t xml:space="preserve"> and </w:t>
      </w:r>
      <w:r>
        <w:rPr>
          <w:rFonts w:ascii="Book Antiqua" w:eastAsia="Book Antiqua" w:hAnsi="Book Antiqua" w:cs="Book Antiqua"/>
          <w:color w:val="000000"/>
        </w:rPr>
        <w:t>B). Immunohistochemical staining revealed a large number of infiltrating IgG4-positive cells (Figure 2C).</w:t>
      </w:r>
    </w:p>
    <w:p w14:paraId="72C26FD0" w14:textId="77777777" w:rsidR="00A77B3E" w:rsidRDefault="00A77B3E">
      <w:pPr>
        <w:spacing w:line="360" w:lineRule="auto"/>
        <w:jc w:val="both"/>
      </w:pPr>
    </w:p>
    <w:p w14:paraId="28486E82" w14:textId="77777777" w:rsidR="00A77B3E" w:rsidRDefault="002849D0">
      <w:pPr>
        <w:spacing w:line="360" w:lineRule="auto"/>
        <w:jc w:val="both"/>
      </w:pPr>
      <w:r>
        <w:rPr>
          <w:rFonts w:ascii="Book Antiqua" w:eastAsia="Book Antiqua" w:hAnsi="Book Antiqua" w:cs="Book Antiqua"/>
          <w:b/>
          <w:caps/>
          <w:color w:val="000000"/>
          <w:u w:val="single"/>
        </w:rPr>
        <w:t>FINAL DIAGNOSIS</w:t>
      </w:r>
    </w:p>
    <w:p w14:paraId="7DC43316" w14:textId="60D290F1" w:rsidR="00A77B3E" w:rsidRDefault="002849D0" w:rsidP="00FC4BFA">
      <w:pPr>
        <w:spacing w:line="360" w:lineRule="auto"/>
        <w:jc w:val="both"/>
      </w:pPr>
      <w:r>
        <w:rPr>
          <w:rFonts w:ascii="Book Antiqua" w:eastAsia="Book Antiqua" w:hAnsi="Book Antiqua" w:cs="Book Antiqua"/>
          <w:color w:val="000000"/>
        </w:rPr>
        <w:t xml:space="preserve">The imaging findings of IHD and CBD dilation, an elevated serum IgG4 </w:t>
      </w:r>
      <w:r w:rsidR="00FC4BFA">
        <w:rPr>
          <w:rFonts w:ascii="Book Antiqua" w:eastAsia="Book Antiqua" w:hAnsi="Book Antiqua" w:cs="Book Antiqua"/>
          <w:color w:val="000000"/>
        </w:rPr>
        <w:t>l</w:t>
      </w:r>
      <w:r>
        <w:rPr>
          <w:rFonts w:ascii="Book Antiqua" w:eastAsia="Book Antiqua" w:hAnsi="Book Antiqua" w:cs="Book Antiqua"/>
          <w:color w:val="000000"/>
        </w:rPr>
        <w:t>evel, and characteristic histological findings led to diagnosis of IgG4-SC.</w:t>
      </w:r>
    </w:p>
    <w:p w14:paraId="6AE8C63B" w14:textId="77777777" w:rsidR="00A77B3E" w:rsidRDefault="00A77B3E" w:rsidP="00FC4BFA">
      <w:pPr>
        <w:spacing w:line="360" w:lineRule="auto"/>
        <w:jc w:val="both"/>
      </w:pPr>
    </w:p>
    <w:p w14:paraId="7F09AD5B" w14:textId="77777777" w:rsidR="00A77B3E" w:rsidRDefault="002849D0">
      <w:pPr>
        <w:spacing w:line="360" w:lineRule="auto"/>
        <w:jc w:val="both"/>
      </w:pPr>
      <w:r>
        <w:rPr>
          <w:rFonts w:ascii="Book Antiqua" w:eastAsia="Book Antiqua" w:hAnsi="Book Antiqua" w:cs="Book Antiqua"/>
          <w:b/>
          <w:caps/>
          <w:color w:val="000000"/>
          <w:u w:val="single"/>
        </w:rPr>
        <w:t>TREATMENT</w:t>
      </w:r>
    </w:p>
    <w:p w14:paraId="314C79DD" w14:textId="7E69A051" w:rsidR="00A77B3E" w:rsidRDefault="002849D0" w:rsidP="00FC4BFA">
      <w:pPr>
        <w:spacing w:line="360" w:lineRule="auto"/>
        <w:jc w:val="both"/>
      </w:pPr>
      <w:r>
        <w:rPr>
          <w:rFonts w:ascii="Book Antiqua" w:eastAsia="Book Antiqua" w:hAnsi="Book Antiqua" w:cs="Book Antiqua"/>
          <w:color w:val="000000"/>
        </w:rPr>
        <w:t>We planned to treat the patient with high-dose systemic glucocorticoid (GC, prednisolone 0.5 mg/kg/d), followed by cyclophosphamide pulse therapy (1000 mg/</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p>
    <w:p w14:paraId="5DEBEC39" w14:textId="77777777" w:rsidR="00A77B3E" w:rsidRDefault="00A77B3E" w:rsidP="00FC4BFA">
      <w:pPr>
        <w:spacing w:line="360" w:lineRule="auto"/>
        <w:jc w:val="both"/>
      </w:pPr>
    </w:p>
    <w:p w14:paraId="3ED237D9" w14:textId="77777777" w:rsidR="00A77B3E" w:rsidRDefault="002849D0">
      <w:pPr>
        <w:spacing w:line="360" w:lineRule="auto"/>
        <w:jc w:val="both"/>
      </w:pPr>
      <w:r>
        <w:rPr>
          <w:rFonts w:ascii="Book Antiqua" w:eastAsia="Book Antiqua" w:hAnsi="Book Antiqua" w:cs="Book Antiqua"/>
          <w:b/>
          <w:caps/>
          <w:color w:val="000000"/>
          <w:u w:val="single"/>
        </w:rPr>
        <w:t>OUTCOME AND FOLLOW-UP</w:t>
      </w:r>
    </w:p>
    <w:p w14:paraId="21B56450" w14:textId="00F54B43" w:rsidR="00A77B3E" w:rsidRDefault="002849D0" w:rsidP="00FC4BFA">
      <w:pPr>
        <w:spacing w:line="360" w:lineRule="auto"/>
        <w:jc w:val="both"/>
      </w:pPr>
      <w:r>
        <w:rPr>
          <w:rFonts w:ascii="Book Antiqua" w:eastAsia="Book Antiqua" w:hAnsi="Book Antiqua" w:cs="Book Antiqua"/>
          <w:color w:val="000000"/>
        </w:rPr>
        <w:t xml:space="preserve">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CT showed that the IHD dilatation with intraductal soft tissue attenuation was almost completely resolved (Figure 1C). CT also showed slight regression of the CBD dilatation with mild luminal narrowing (Figure 1D) and no significant change in the soft tissue attenuation along the infrarenal abdominal aorta. Moreover, the total bilirubin and CRP levels had returned to within the normal ranges. On this basis we tapered the GC to 10 mg/d and added mycophenolate </w:t>
      </w:r>
      <w:proofErr w:type="spellStart"/>
      <w:r>
        <w:rPr>
          <w:rFonts w:ascii="Book Antiqua" w:eastAsia="Book Antiqua" w:hAnsi="Book Antiqua" w:cs="Book Antiqua"/>
          <w:color w:val="000000"/>
        </w:rPr>
        <w:t>mofeltil</w:t>
      </w:r>
      <w:proofErr w:type="spellEnd"/>
      <w:r>
        <w:rPr>
          <w:rFonts w:ascii="Book Antiqua" w:eastAsia="Book Antiqua" w:hAnsi="Book Antiqua" w:cs="Book Antiqua"/>
          <w:color w:val="000000"/>
        </w:rPr>
        <w:t xml:space="preserve"> (1000 mg/d) for maintenance (Figure 3). There was no recurrence of itching or jaundice at the 1 year follow up. Patient has provided informed consent for publication of the clinical process and images.</w:t>
      </w:r>
    </w:p>
    <w:p w14:paraId="46D61ACB" w14:textId="77777777" w:rsidR="00A77B3E" w:rsidRDefault="00A77B3E" w:rsidP="00FC4BFA">
      <w:pPr>
        <w:spacing w:line="360" w:lineRule="auto"/>
        <w:jc w:val="both"/>
      </w:pPr>
    </w:p>
    <w:p w14:paraId="1ECEAD66" w14:textId="77777777" w:rsidR="00A77B3E" w:rsidRDefault="002849D0">
      <w:pPr>
        <w:spacing w:line="360" w:lineRule="auto"/>
        <w:jc w:val="both"/>
      </w:pPr>
      <w:r>
        <w:rPr>
          <w:rFonts w:ascii="Book Antiqua" w:eastAsia="Book Antiqua" w:hAnsi="Book Antiqua" w:cs="Book Antiqua"/>
          <w:b/>
          <w:caps/>
          <w:color w:val="000000"/>
          <w:u w:val="single"/>
        </w:rPr>
        <w:t>DISCUSSION</w:t>
      </w:r>
    </w:p>
    <w:p w14:paraId="79DED8C0" w14:textId="0B241525" w:rsidR="00A77B3E" w:rsidRDefault="002849D0" w:rsidP="00E23795">
      <w:pPr>
        <w:spacing w:line="360" w:lineRule="auto"/>
        <w:jc w:val="both"/>
      </w:pPr>
      <w:r>
        <w:rPr>
          <w:rFonts w:ascii="Book Antiqua" w:eastAsia="Book Antiqua" w:hAnsi="Book Antiqua" w:cs="Book Antiqua"/>
          <w:color w:val="000000"/>
        </w:rPr>
        <w:t xml:space="preserve">IgG4-RD has an immune-mediated fibrotic progression involving multiple organs and has myriad clinical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IgG4</w:t>
      </w:r>
      <w:r w:rsidR="00E23795">
        <w:rPr>
          <w:rFonts w:ascii="Book Antiqua" w:eastAsia="Book Antiqua" w:hAnsi="Book Antiqua" w:cs="Book Antiqua"/>
          <w:color w:val="000000"/>
        </w:rPr>
        <w:t>-</w:t>
      </w:r>
      <w:r>
        <w:rPr>
          <w:rFonts w:ascii="Book Antiqua" w:eastAsia="Book Antiqua" w:hAnsi="Book Antiqua" w:cs="Book Antiqua"/>
          <w:color w:val="000000"/>
        </w:rPr>
        <w:t>SC is a biliary manifestation of the systemic disorder IgG4</w:t>
      </w:r>
      <w:r w:rsidR="00E23795">
        <w:rPr>
          <w:rFonts w:ascii="Book Antiqua" w:eastAsia="Book Antiqua" w:hAnsi="Book Antiqua" w:cs="Book Antiqua"/>
          <w:color w:val="000000"/>
        </w:rPr>
        <w:t>-</w:t>
      </w:r>
      <w:r>
        <w:rPr>
          <w:rFonts w:ascii="Book Antiqua" w:eastAsia="Book Antiqua" w:hAnsi="Book Antiqua" w:cs="Book Antiqua"/>
          <w:color w:val="000000"/>
        </w:rPr>
        <w:t>RD. IgG4</w:t>
      </w:r>
      <w:r w:rsidR="00E23795">
        <w:rPr>
          <w:rFonts w:ascii="Book Antiqua" w:eastAsia="Book Antiqua" w:hAnsi="Book Antiqua" w:cs="Book Antiqua"/>
          <w:color w:val="000000"/>
        </w:rPr>
        <w:t>-</w:t>
      </w:r>
      <w:r>
        <w:rPr>
          <w:rFonts w:ascii="Book Antiqua" w:eastAsia="Book Antiqua" w:hAnsi="Book Antiqua" w:cs="Book Antiqua"/>
          <w:color w:val="000000"/>
        </w:rPr>
        <w:t xml:space="preserve">SC occurs in one-third of patients with type 1 </w:t>
      </w:r>
      <w:proofErr w:type="gramStart"/>
      <w:r>
        <w:rPr>
          <w:rFonts w:ascii="Book Antiqua" w:eastAsia="Book Antiqua" w:hAnsi="Book Antiqua" w:cs="Book Antiqua"/>
          <w:color w:val="000000"/>
        </w:rPr>
        <w:t>AIP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prevalence of isolated IgG4-SC is less than 10% that of IgG4-</w:t>
      </w:r>
      <w:proofErr w:type="gramStart"/>
      <w:r>
        <w:rPr>
          <w:rFonts w:ascii="Book Antiqua" w:eastAsia="Book Antiqua" w:hAnsi="Book Antiqua" w:cs="Book Antiqua"/>
          <w:color w:val="000000"/>
        </w:rPr>
        <w:t>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cholangiographic</w:t>
      </w:r>
      <w:proofErr w:type="spellEnd"/>
      <w:r>
        <w:rPr>
          <w:rFonts w:ascii="Book Antiqua" w:eastAsia="Book Antiqua" w:hAnsi="Book Antiqua" w:cs="Book Antiqua"/>
          <w:color w:val="000000"/>
        </w:rPr>
        <w:t xml:space="preserve"> findings of IgG4</w:t>
      </w:r>
      <w:r w:rsidR="00E23795">
        <w:rPr>
          <w:rFonts w:ascii="Book Antiqua" w:eastAsia="Book Antiqua" w:hAnsi="Book Antiqua" w:cs="Book Antiqua"/>
          <w:color w:val="000000"/>
        </w:rPr>
        <w:t>-</w:t>
      </w:r>
      <w:r>
        <w:rPr>
          <w:rFonts w:ascii="Book Antiqua" w:eastAsia="Book Antiqua" w:hAnsi="Book Antiqua" w:cs="Book Antiqua"/>
          <w:color w:val="000000"/>
        </w:rPr>
        <w:t>SC involving the hila and/or IHD are similar to those of hilar cholangiocarcinoma or primary sclerosing cholangitis (PSC). Therefore, it is important to differentiate IgG4</w:t>
      </w:r>
      <w:r w:rsidR="00E23795">
        <w:rPr>
          <w:rFonts w:ascii="Book Antiqua" w:eastAsia="Book Antiqua" w:hAnsi="Book Antiqua" w:cs="Book Antiqua"/>
          <w:color w:val="000000"/>
        </w:rPr>
        <w:t>-</w:t>
      </w:r>
      <w:r>
        <w:rPr>
          <w:rFonts w:ascii="Book Antiqua" w:eastAsia="Book Antiqua" w:hAnsi="Book Antiqua" w:cs="Book Antiqua"/>
          <w:color w:val="000000"/>
        </w:rPr>
        <w:t xml:space="preserve">SC from the latter two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PSC is a chronic progressive </w:t>
      </w:r>
      <w:r>
        <w:rPr>
          <w:rFonts w:ascii="Book Antiqua" w:eastAsia="Book Antiqua" w:hAnsi="Book Antiqua" w:cs="Book Antiqua"/>
          <w:color w:val="000000"/>
        </w:rPr>
        <w:lastRenderedPageBreak/>
        <w:t>disease with a poor prognosis and does not respond to GC therapy. In our case, IgG4</w:t>
      </w:r>
      <w:r w:rsidR="00E23795">
        <w:rPr>
          <w:rFonts w:ascii="Book Antiqua" w:eastAsia="Book Antiqua" w:hAnsi="Book Antiqua" w:cs="Book Antiqua"/>
          <w:color w:val="000000"/>
        </w:rPr>
        <w:t>-</w:t>
      </w:r>
      <w:r>
        <w:rPr>
          <w:rFonts w:ascii="Book Antiqua" w:eastAsia="Book Antiqua" w:hAnsi="Book Antiqua" w:cs="Book Antiqua"/>
          <w:color w:val="000000"/>
        </w:rPr>
        <w:t>SC was not accompanied by AIP and could be differentiated from cholangiocarcinoma and PSC.</w:t>
      </w:r>
    </w:p>
    <w:p w14:paraId="752E2E84" w14:textId="063E0F91" w:rsidR="00A77B3E" w:rsidRDefault="002849D0" w:rsidP="00E23795">
      <w:pPr>
        <w:spacing w:line="360" w:lineRule="auto"/>
        <w:ind w:firstLineChars="100" w:firstLine="240"/>
        <w:jc w:val="both"/>
      </w:pPr>
      <w:r>
        <w:rPr>
          <w:rFonts w:ascii="Book Antiqua" w:eastAsia="Book Antiqua" w:hAnsi="Book Antiqua" w:cs="Book Antiqua"/>
          <w:color w:val="000000"/>
        </w:rPr>
        <w:t>The Histology, Imaging, Serology, other Organ involvement and Response to therapy (</w:t>
      </w:r>
      <w:proofErr w:type="spellStart"/>
      <w:r>
        <w:rPr>
          <w:rFonts w:ascii="Book Antiqua" w:eastAsia="Book Antiqua" w:hAnsi="Book Antiqua" w:cs="Book Antiqua"/>
          <w:color w:val="000000"/>
        </w:rPr>
        <w:t>HISORt</w:t>
      </w:r>
      <w:proofErr w:type="spellEnd"/>
      <w:r>
        <w:rPr>
          <w:rFonts w:ascii="Book Antiqua" w:eastAsia="Book Antiqua" w:hAnsi="Book Antiqua" w:cs="Book Antiqua"/>
          <w:color w:val="000000"/>
        </w:rPr>
        <w:t xml:space="preserve">) criteria of the Mayo Clinic are widely used for diagnosis of IgG4-RD, including IgG4-SC. The </w:t>
      </w:r>
      <w:proofErr w:type="spellStart"/>
      <w:r>
        <w:rPr>
          <w:rFonts w:ascii="Book Antiqua" w:eastAsia="Book Antiqua" w:hAnsi="Book Antiqua" w:cs="Book Antiqua"/>
          <w:color w:val="000000"/>
        </w:rPr>
        <w:t>HISORt</w:t>
      </w:r>
      <w:proofErr w:type="spellEnd"/>
      <w:r>
        <w:rPr>
          <w:rFonts w:ascii="Book Antiqua" w:eastAsia="Book Antiqua" w:hAnsi="Book Antiqua" w:cs="Book Antiqua"/>
          <w:color w:val="000000"/>
        </w:rPr>
        <w:t xml:space="preserve"> criteria include positive imaging findings, characteristic histological presentations, elevated serum IgG4 </w:t>
      </w:r>
      <w:r w:rsidR="00E23795">
        <w:rPr>
          <w:rFonts w:ascii="Book Antiqua" w:eastAsia="Book Antiqua" w:hAnsi="Book Antiqua" w:cs="Book Antiqua"/>
          <w:color w:val="000000"/>
        </w:rPr>
        <w:t>l</w:t>
      </w:r>
      <w:r>
        <w:rPr>
          <w:rFonts w:ascii="Book Antiqua" w:eastAsia="Book Antiqua" w:hAnsi="Book Antiqua" w:cs="Book Antiqua"/>
          <w:color w:val="000000"/>
        </w:rPr>
        <w:t xml:space="preserve">evel, </w:t>
      </w:r>
      <w:proofErr w:type="spellStart"/>
      <w:r>
        <w:rPr>
          <w:rFonts w:ascii="Book Antiqua" w:eastAsia="Book Antiqua" w:hAnsi="Book Antiqua" w:cs="Book Antiqua"/>
          <w:color w:val="000000"/>
        </w:rPr>
        <w:t>extrabiliary</w:t>
      </w:r>
      <w:proofErr w:type="spellEnd"/>
      <w:r>
        <w:rPr>
          <w:rFonts w:ascii="Book Antiqua" w:eastAsia="Book Antiqua" w:hAnsi="Book Antiqua" w:cs="Book Antiqua"/>
          <w:color w:val="000000"/>
        </w:rPr>
        <w:t xml:space="preserve"> organ involvement, and a response to GC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ACR/EULAR published new classification criteria for confident decision into more homogeneous group</w:t>
      </w:r>
      <w:r>
        <w:rPr>
          <w:rFonts w:ascii="Book Antiqua" w:eastAsia="Book Antiqua" w:hAnsi="Book Antiqua" w:cs="Book Antiqua"/>
          <w:color w:val="000000"/>
          <w:shd w:val="clear" w:color="auto" w:fill="FFFFFF"/>
        </w:rPr>
        <w:t xml:space="preserve">. The classification process comprises three steps. First, a potential IgG4 RD case must show involvement of at least 1 of 11 possible organs. Second, the case must not meet any of the 32 clinical, serologic, radiologic, and pathologic exclusion criteria. Third, the case must meet eight weighted inclusion </w:t>
      </w:r>
      <w:proofErr w:type="gramStart"/>
      <w:r>
        <w:rPr>
          <w:rFonts w:ascii="Book Antiqua" w:eastAsia="Book Antiqua" w:hAnsi="Book Antiqua" w:cs="Book Antiqua"/>
          <w:color w:val="000000"/>
          <w:shd w:val="clear" w:color="auto" w:fill="FFFFFF"/>
        </w:rPr>
        <w:t>criteria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xml:space="preserve">. A threshold of 20 points has a specificity of 99.2% and a sensitivity of 85.5% for diagnosis of IgG4 RD; our patient’s score was 48 points. That score comprised the following: </w:t>
      </w:r>
      <w:r w:rsidR="00E23795">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rPr>
        <w:t>istopathology, 6 points (lymphocytic infiltrate and obliterative phlebitis); immunostaining, 15 points (IgG4:IgG ratio 41</w:t>
      </w:r>
      <w:r w:rsidR="00E2379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70% and &gt; 10 IgG4-positive cells/high power field); serum IgG4 concentration, 6 points (two- to five-fold the upper limit of normal); pancreas and biliary tree, 19 points (pancreas and biliary tree involvement); and retroperitoneal involvement, 4 points (diffuse thickening of the abdominal aortic wall). Thus, our patient met both the </w:t>
      </w:r>
      <w:proofErr w:type="spellStart"/>
      <w:r>
        <w:rPr>
          <w:rFonts w:ascii="Book Antiqua" w:eastAsia="Book Antiqua" w:hAnsi="Book Antiqua" w:cs="Book Antiqua"/>
          <w:color w:val="000000"/>
          <w:shd w:val="clear" w:color="auto" w:fill="FFFFFF"/>
        </w:rPr>
        <w:t>HISORt</w:t>
      </w:r>
      <w:proofErr w:type="spellEnd"/>
      <w:r>
        <w:rPr>
          <w:rFonts w:ascii="Book Antiqua" w:eastAsia="Book Antiqua" w:hAnsi="Book Antiqua" w:cs="Book Antiqua"/>
          <w:color w:val="000000"/>
          <w:shd w:val="clear" w:color="auto" w:fill="FFFFFF"/>
        </w:rPr>
        <w:t xml:space="preserve"> and the 2019 ACR/EULAR classification criteria.</w:t>
      </w:r>
    </w:p>
    <w:p w14:paraId="07BB6608" w14:textId="62250BD5" w:rsidR="00A77B3E" w:rsidRDefault="002849D0" w:rsidP="00E23795">
      <w:pPr>
        <w:spacing w:line="360" w:lineRule="auto"/>
        <w:ind w:firstLineChars="100" w:firstLine="240"/>
        <w:jc w:val="both"/>
      </w:pPr>
      <w:r>
        <w:rPr>
          <w:rFonts w:ascii="Book Antiqua" w:eastAsia="Book Antiqua" w:hAnsi="Book Antiqua" w:cs="Book Antiqua"/>
          <w:color w:val="000000"/>
        </w:rPr>
        <w:t xml:space="preserve">The goal of IgG4-SC treatment is to induce rapid regression and to prevent irreversible fibrosis and biliary stricture. The majority of IgG4-RD patients respond to GC therapy. In this case the initial dose was prednisolone 30 to 40 mg/d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followed by tapering over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then tapering of 5 mg/d for 3 to 4 mo. The final maintenance prednisolone dose was 5 mg/d. In some IgG4-SC case series, complete resolution of strictures and/or normalization of liver function were reported in up to 67% of the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Patients with IgG4-SC are at high risk of relapse; the relapse rate is around 57%. Proximal strictures and a high serum IgG4 </w:t>
      </w:r>
      <w:r w:rsidR="00E23795">
        <w:rPr>
          <w:rFonts w:ascii="Book Antiqua" w:eastAsia="Book Antiqua" w:hAnsi="Book Antiqua" w:cs="Book Antiqua"/>
          <w:color w:val="000000"/>
        </w:rPr>
        <w:t>l</w:t>
      </w:r>
      <w:r>
        <w:rPr>
          <w:rFonts w:ascii="Book Antiqua" w:eastAsia="Book Antiqua" w:hAnsi="Book Antiqua" w:cs="Book Antiqua"/>
          <w:color w:val="000000"/>
        </w:rPr>
        <w:t xml:space="preserve">evel are predictive of relapse. </w:t>
      </w:r>
      <w:r>
        <w:rPr>
          <w:rFonts w:ascii="Book Antiqua" w:eastAsia="Book Antiqua" w:hAnsi="Book Antiqua" w:cs="Book Antiqua"/>
          <w:color w:val="000000"/>
        </w:rPr>
        <w:lastRenderedPageBreak/>
        <w:t xml:space="preserve">The maintenance option is typically low-dose corticosteroid, with or without immunosuppressive therapy with azathioprine or mycophenolate </w:t>
      </w:r>
      <w:proofErr w:type="gramStart"/>
      <w:r>
        <w:rPr>
          <w:rFonts w:ascii="Book Antiqua" w:eastAsia="Book Antiqua" w:hAnsi="Book Antiqua" w:cs="Book Antiqua"/>
          <w:color w:val="000000"/>
        </w:rPr>
        <w:t>mofetil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sidR="00F13341" w:rsidRPr="00F13341">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treatment options for IgG4-SC relapse include increasing the dose of, or reintroducing, GC and addition of a second-line immunosuppressant; rituximab is an effective alternative and can lead to both substantial reduction of serum IgG4 concentration and clinical improvement. This agent works by depleting the pool of B cells that replenish the IgG4-secreting plasma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a prospective study of IgG4-RD, the rituximab response rate was 97%, and 77% and 46% of the patients were able to stop GC therapy and had not relapsed after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3B45FFEC" w14:textId="77777777" w:rsidR="00A77B3E" w:rsidRDefault="00A77B3E" w:rsidP="00F13341">
      <w:pPr>
        <w:spacing w:line="360" w:lineRule="auto"/>
        <w:jc w:val="both"/>
      </w:pPr>
    </w:p>
    <w:p w14:paraId="0777D15C" w14:textId="77777777" w:rsidR="00A77B3E" w:rsidRDefault="002849D0">
      <w:pPr>
        <w:spacing w:line="360" w:lineRule="auto"/>
        <w:jc w:val="both"/>
      </w:pPr>
      <w:r>
        <w:rPr>
          <w:rFonts w:ascii="Book Antiqua" w:eastAsia="Book Antiqua" w:hAnsi="Book Antiqua" w:cs="Book Antiqua"/>
          <w:b/>
          <w:caps/>
          <w:color w:val="000000"/>
          <w:u w:val="single"/>
        </w:rPr>
        <w:t>CONCLUSION</w:t>
      </w:r>
    </w:p>
    <w:p w14:paraId="1AA77AFC" w14:textId="77777777" w:rsidR="00A77B3E" w:rsidRDefault="002849D0" w:rsidP="00F13341">
      <w:pPr>
        <w:spacing w:line="360" w:lineRule="auto"/>
        <w:jc w:val="both"/>
      </w:pPr>
      <w:r>
        <w:rPr>
          <w:rFonts w:ascii="Book Antiqua" w:eastAsia="Book Antiqua" w:hAnsi="Book Antiqua" w:cs="Book Antiqua"/>
          <w:color w:val="000000"/>
        </w:rPr>
        <w:t>We report a case of IgG4-SC that met the 2019 ACR/EULAR IgG4-RD classification criteria and was successfully treated using a GC with an immunosuppressant and made approved as imaging follow-up.</w:t>
      </w:r>
    </w:p>
    <w:p w14:paraId="2625D0BE" w14:textId="77777777" w:rsidR="00A77B3E" w:rsidRDefault="00A77B3E" w:rsidP="00A46F8B">
      <w:pPr>
        <w:spacing w:line="360" w:lineRule="auto"/>
        <w:jc w:val="both"/>
      </w:pPr>
    </w:p>
    <w:p w14:paraId="13C5CF89" w14:textId="77777777" w:rsidR="00A77B3E" w:rsidRDefault="002849D0">
      <w:pPr>
        <w:spacing w:line="360" w:lineRule="auto"/>
        <w:jc w:val="both"/>
      </w:pPr>
      <w:r>
        <w:rPr>
          <w:rFonts w:ascii="Book Antiqua" w:eastAsia="Book Antiqua" w:hAnsi="Book Antiqua" w:cs="Book Antiqua"/>
          <w:b/>
          <w:caps/>
          <w:color w:val="000000"/>
          <w:u w:val="single"/>
        </w:rPr>
        <w:t>ACKNOWLEDGEMENTS</w:t>
      </w:r>
    </w:p>
    <w:p w14:paraId="26B76B53" w14:textId="77777777" w:rsidR="00A77B3E" w:rsidRDefault="002849D0">
      <w:pPr>
        <w:spacing w:line="360" w:lineRule="auto"/>
        <w:jc w:val="both"/>
      </w:pPr>
      <w:r>
        <w:rPr>
          <w:rFonts w:ascii="Book Antiqua" w:eastAsia="Book Antiqua" w:hAnsi="Book Antiqua" w:cs="Book Antiqua"/>
          <w:color w:val="000000"/>
        </w:rPr>
        <w:t>The authors thanks to all colleagues involved in the management of this case.</w:t>
      </w:r>
    </w:p>
    <w:p w14:paraId="659D1D9A" w14:textId="77777777" w:rsidR="00A77B3E" w:rsidRDefault="00A77B3E">
      <w:pPr>
        <w:spacing w:line="360" w:lineRule="auto"/>
        <w:jc w:val="both"/>
      </w:pPr>
    </w:p>
    <w:p w14:paraId="57857D9A" w14:textId="77777777" w:rsidR="00A77B3E" w:rsidRDefault="002849D0">
      <w:pPr>
        <w:spacing w:line="360" w:lineRule="auto"/>
        <w:jc w:val="both"/>
      </w:pPr>
      <w:r>
        <w:rPr>
          <w:rFonts w:ascii="Book Antiqua" w:eastAsia="Book Antiqua" w:hAnsi="Book Antiqua" w:cs="Book Antiqua"/>
          <w:b/>
          <w:color w:val="000000"/>
        </w:rPr>
        <w:t>REFERENCES</w:t>
      </w:r>
    </w:p>
    <w:p w14:paraId="373062EC" w14:textId="77777777" w:rsidR="00A77B3E" w:rsidRDefault="002849D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Goodchild G</w:t>
      </w:r>
      <w:r>
        <w:rPr>
          <w:rFonts w:ascii="Book Antiqua" w:eastAsia="Book Antiqua" w:hAnsi="Book Antiqua" w:cs="Book Antiqua"/>
          <w:color w:val="000000"/>
        </w:rPr>
        <w:t xml:space="preserve">, Pereira SP, Webster G. Immunoglobulin G4-related sclerosing cholangitis.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841-850 [PMID: 30045615 DOI: 10.3904/kjim.2018.018]</w:t>
      </w:r>
    </w:p>
    <w:p w14:paraId="564FD9BD" w14:textId="77777777" w:rsidR="00A77B3E" w:rsidRDefault="002849D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Stone JH</w:t>
      </w:r>
      <w:r>
        <w:rPr>
          <w:rFonts w:ascii="Book Antiqua" w:eastAsia="Book Antiqua" w:hAnsi="Book Antiqua" w:cs="Book Antiqua"/>
          <w:color w:val="000000"/>
        </w:rPr>
        <w:t xml:space="preserve">, Zen Y, Deshpande V. IgG4-related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539-551 [PMID: 22316447 DOI: 10.1056/NEJMra1104650]</w:t>
      </w:r>
    </w:p>
    <w:p w14:paraId="506117FA" w14:textId="77777777" w:rsidR="00A77B3E" w:rsidRDefault="002849D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Funata</w:t>
      </w:r>
      <w:proofErr w:type="spellEnd"/>
      <w:r>
        <w:rPr>
          <w:rFonts w:ascii="Book Antiqua" w:eastAsia="Book Antiqua" w:hAnsi="Book Antiqua" w:cs="Book Antiqua"/>
          <w:color w:val="000000"/>
        </w:rPr>
        <w:t xml:space="preserve"> N, Hayashi Y, </w:t>
      </w:r>
      <w:proofErr w:type="spellStart"/>
      <w:r>
        <w:rPr>
          <w:rFonts w:ascii="Book Antiqua" w:eastAsia="Book Antiqua" w:hAnsi="Book Antiqua" w:cs="Book Antiqua"/>
          <w:color w:val="000000"/>
        </w:rPr>
        <w:t>Eishi</w:t>
      </w:r>
      <w:proofErr w:type="spellEnd"/>
      <w:r>
        <w:rPr>
          <w:rFonts w:ascii="Book Antiqua" w:eastAsia="Book Antiqua" w:hAnsi="Book Antiqua" w:cs="Book Antiqua"/>
          <w:color w:val="000000"/>
        </w:rPr>
        <w:t xml:space="preserve"> Y, Koike M, Tsuruta K, Okamoto A,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N, Nakajima H. A new clinicopathological entity of IgG4-related autoimmune 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982-984 [PMID: 14614606 DOI: 10.1007/s00535-003-1175-y]</w:t>
      </w:r>
    </w:p>
    <w:p w14:paraId="37E1B660" w14:textId="77777777" w:rsidR="00A77B3E" w:rsidRDefault="002849D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Topazian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Witzig</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Pulido JS, Levy MJ, Kamath PS, Chari ST. Rituximab therapy for refractory biliary strictures in immunoglobulin G4-associated </w:t>
      </w:r>
      <w:r>
        <w:rPr>
          <w:rFonts w:ascii="Book Antiqua" w:eastAsia="Book Antiqua" w:hAnsi="Book Antiqua" w:cs="Book Antiqua"/>
          <w:color w:val="000000"/>
        </w:rPr>
        <w:lastRenderedPageBreak/>
        <w:t xml:space="preserve">cholangitis.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364-366 [PMID: 18328441 DOI: 10.1016/j.cgh.2007.12.020]</w:t>
      </w:r>
    </w:p>
    <w:p w14:paraId="691E5192" w14:textId="77777777" w:rsidR="00A77B3E" w:rsidRDefault="002849D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Huggett MT</w:t>
      </w:r>
      <w:r>
        <w:rPr>
          <w:rFonts w:ascii="Book Antiqua" w:eastAsia="Book Antiqua" w:hAnsi="Book Antiqua" w:cs="Book Antiqua"/>
          <w:color w:val="000000"/>
        </w:rPr>
        <w:t xml:space="preserve">, Culver EL, Kumar M, Hurst JM, Rodriguez-Justo M, Chapman MH, Johnson GJ, Pereira SP, Chapman RW, Webster GJM, Barnes E. Type 1 autoimmune pancreatitis and IgG4-related sclerosing cholangitis is associated with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organ failure, malignancy, and mortality in a prospective UK cohort.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1675-1683 [PMID: 25155229 DOI: 10.1038/ajg.2014.223]</w:t>
      </w:r>
    </w:p>
    <w:p w14:paraId="4B2C3FEE" w14:textId="77777777" w:rsidR="00A77B3E" w:rsidRDefault="002849D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Detlefsen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IgG4-related disease: with emphasis on the biopsy diagnosis of autoimmune pancreatitis and sclerosing cholangitis.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2018; </w:t>
      </w:r>
      <w:r>
        <w:rPr>
          <w:rFonts w:ascii="Book Antiqua" w:eastAsia="Book Antiqua" w:hAnsi="Book Antiqua" w:cs="Book Antiqua"/>
          <w:b/>
          <w:bCs/>
          <w:color w:val="000000"/>
        </w:rPr>
        <w:t>472</w:t>
      </w:r>
      <w:r>
        <w:rPr>
          <w:rFonts w:ascii="Book Antiqua" w:eastAsia="Book Antiqua" w:hAnsi="Book Antiqua" w:cs="Book Antiqua"/>
          <w:color w:val="000000"/>
        </w:rPr>
        <w:t>: 545-556 [PMID: 29196804 DOI: 10.1007/s00428-017-2275-z]</w:t>
      </w:r>
    </w:p>
    <w:p w14:paraId="7B9D6AE5" w14:textId="77777777" w:rsidR="00A77B3E" w:rsidRDefault="002849D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Wallace ZS</w:t>
      </w:r>
      <w:r>
        <w:rPr>
          <w:rFonts w:ascii="Book Antiqua" w:eastAsia="Book Antiqua" w:hAnsi="Book Antiqua" w:cs="Book Antiqua"/>
          <w:color w:val="000000"/>
        </w:rPr>
        <w:t xml:space="preserve">, Naden RP, Chari S, Choi HK, Della-Torre E, </w:t>
      </w:r>
      <w:proofErr w:type="spellStart"/>
      <w:r>
        <w:rPr>
          <w:rFonts w:ascii="Book Antiqua" w:eastAsia="Book Antiqua" w:hAnsi="Book Antiqua" w:cs="Book Antiqua"/>
          <w:color w:val="000000"/>
        </w:rPr>
        <w:t>Dicaire</w:t>
      </w:r>
      <w:proofErr w:type="spellEnd"/>
      <w:r>
        <w:rPr>
          <w:rFonts w:ascii="Book Antiqua" w:eastAsia="Book Antiqua" w:hAnsi="Book Antiqua" w:cs="Book Antiqua"/>
          <w:color w:val="000000"/>
        </w:rPr>
        <w:t xml:space="preserve"> JF, Hart PA, Inoue D, Kawano M, </w:t>
      </w:r>
      <w:proofErr w:type="spellStart"/>
      <w:r>
        <w:rPr>
          <w:rFonts w:ascii="Book Antiqua" w:eastAsia="Book Antiqua" w:hAnsi="Book Antiqua" w:cs="Book Antiqua"/>
          <w:color w:val="000000"/>
        </w:rPr>
        <w:t>Khosroshahi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Lanzillotta</w:t>
      </w:r>
      <w:proofErr w:type="spellEnd"/>
      <w:r>
        <w:rPr>
          <w:rFonts w:ascii="Book Antiqua" w:eastAsia="Book Antiqua" w:hAnsi="Book Antiqua" w:cs="Book Antiqua"/>
          <w:color w:val="000000"/>
        </w:rPr>
        <w:t xml:space="preserve"> M, Okazaki K, Perugino CA, Sharma A, Saeki T, </w:t>
      </w:r>
      <w:proofErr w:type="spellStart"/>
      <w:r>
        <w:rPr>
          <w:rFonts w:ascii="Book Antiqua" w:eastAsia="Book Antiqua" w:hAnsi="Book Antiqua" w:cs="Book Antiqua"/>
          <w:color w:val="000000"/>
        </w:rPr>
        <w:t>Schleinitz</w:t>
      </w:r>
      <w:proofErr w:type="spellEnd"/>
      <w:r>
        <w:rPr>
          <w:rFonts w:ascii="Book Antiqua" w:eastAsia="Book Antiqua" w:hAnsi="Book Antiqua" w:cs="Book Antiqua"/>
          <w:color w:val="000000"/>
        </w:rPr>
        <w:t xml:space="preserve"> N, Takahashi N, </w:t>
      </w:r>
      <w:proofErr w:type="spellStart"/>
      <w:r>
        <w:rPr>
          <w:rFonts w:ascii="Book Antiqua" w:eastAsia="Book Antiqua" w:hAnsi="Book Antiqua" w:cs="Book Antiqua"/>
          <w:color w:val="000000"/>
        </w:rPr>
        <w:t>Umehara</w:t>
      </w:r>
      <w:proofErr w:type="spellEnd"/>
      <w:r>
        <w:rPr>
          <w:rFonts w:ascii="Book Antiqua" w:eastAsia="Book Antiqua" w:hAnsi="Book Antiqua" w:cs="Book Antiqua"/>
          <w:color w:val="000000"/>
        </w:rPr>
        <w:t xml:space="preserve"> H, Zen Y, Stone JH; Members of the ACR/EULAR IgG4-RD Classification Criteria Working Group. The 2019 American College of Rheumatology/European League Against Rheumatism classification criteria for IgG4-related disease.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79</w:t>
      </w:r>
      <w:r>
        <w:rPr>
          <w:rFonts w:ascii="Book Antiqua" w:eastAsia="Book Antiqua" w:hAnsi="Book Antiqua" w:cs="Book Antiqua"/>
          <w:color w:val="000000"/>
        </w:rPr>
        <w:t>: 77-87 [PMID: 31796497 DOI: 10.1136/annrheumdis-2019-216561]</w:t>
      </w:r>
    </w:p>
    <w:p w14:paraId="611AC06F" w14:textId="77777777" w:rsidR="00A77B3E" w:rsidRDefault="002849D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Ghazale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Chari ST, Zhang L,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Takahashi N, Levy MJ,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Clain</w:t>
      </w:r>
      <w:proofErr w:type="spellEnd"/>
      <w:r>
        <w:rPr>
          <w:rFonts w:ascii="Book Antiqua" w:eastAsia="Book Antiqua" w:hAnsi="Book Antiqua" w:cs="Book Antiqua"/>
          <w:color w:val="000000"/>
        </w:rPr>
        <w:t xml:space="preserve"> JE, Pearson RK, Petersen BT, Vege SS, Lindor K, Farnell MB. Immunoglobulin G4-associated cholangitis: clinical profile and response to 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706-715 [PMID: 18222442 DOI: 10.1053/j.gastro.2007.12.009]</w:t>
      </w:r>
    </w:p>
    <w:p w14:paraId="5A555C3B" w14:textId="77777777" w:rsidR="00A77B3E" w:rsidRDefault="002849D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Sandanayake</w:t>
      </w:r>
      <w:proofErr w:type="spellEnd"/>
      <w:r>
        <w:rPr>
          <w:rFonts w:ascii="Book Antiqua" w:eastAsia="Book Antiqua" w:hAnsi="Book Antiqua" w:cs="Book Antiqua"/>
          <w:b/>
          <w:bCs/>
          <w:color w:val="000000"/>
        </w:rPr>
        <w:t xml:space="preserve"> NS</w:t>
      </w:r>
      <w:r>
        <w:rPr>
          <w:rFonts w:ascii="Book Antiqua" w:eastAsia="Book Antiqua" w:hAnsi="Book Antiqua" w:cs="Book Antiqua"/>
          <w:color w:val="000000"/>
        </w:rPr>
        <w:t xml:space="preserve">, Church NI, Chapman MH, Johnson GJ, Dhar DK, Amin Z, </w:t>
      </w:r>
      <w:proofErr w:type="spellStart"/>
      <w:r>
        <w:rPr>
          <w:rFonts w:ascii="Book Antiqua" w:eastAsia="Book Antiqua" w:hAnsi="Book Antiqua" w:cs="Book Antiqua"/>
          <w:color w:val="000000"/>
        </w:rPr>
        <w:t>Deheragoda</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 Winstanley A, Rodriguez-Justo M, Hatfield AR, Pereira SP, Webster GJ. Presentation and management of post-treatment relapse in autoimmune pancreatitis/immunoglobulin G4-associated cholangitis.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1089-1096 [PMID: 19345283 DOI: 10.1016/j.cgh.2009.03.021]</w:t>
      </w:r>
    </w:p>
    <w:p w14:paraId="17C03195" w14:textId="77777777" w:rsidR="00A77B3E" w:rsidRDefault="002849D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Zen Y, Pillai S, Stone JH. IgG4-related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2015; </w:t>
      </w:r>
      <w:r>
        <w:rPr>
          <w:rFonts w:ascii="Book Antiqua" w:eastAsia="Book Antiqua" w:hAnsi="Book Antiqua" w:cs="Book Antiqua"/>
          <w:b/>
          <w:bCs/>
          <w:color w:val="000000"/>
        </w:rPr>
        <w:t>385</w:t>
      </w:r>
      <w:r>
        <w:rPr>
          <w:rFonts w:ascii="Book Antiqua" w:eastAsia="Book Antiqua" w:hAnsi="Book Antiqua" w:cs="Book Antiqua"/>
          <w:color w:val="000000"/>
        </w:rPr>
        <w:t>: 1460-1471 [PMID: 25481618 DOI: 10.1016/S0140-6736(14)60720-0]</w:t>
      </w:r>
    </w:p>
    <w:p w14:paraId="433AD50E" w14:textId="3841EEBD" w:rsidR="00A77B3E" w:rsidRDefault="002849D0">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Khosroshahi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Bloch DB, Deshpande V, Stone JH. Rituximab therapy leads to rapid decline of serum IgG4 </w:t>
      </w:r>
      <w:r w:rsidR="009246C3">
        <w:rPr>
          <w:rFonts w:ascii="Book Antiqua" w:eastAsia="Book Antiqua" w:hAnsi="Book Antiqua" w:cs="Book Antiqua"/>
          <w:color w:val="000000"/>
        </w:rPr>
        <w:t>l</w:t>
      </w:r>
      <w:r>
        <w:rPr>
          <w:rFonts w:ascii="Book Antiqua" w:eastAsia="Book Antiqua" w:hAnsi="Book Antiqua" w:cs="Book Antiqua"/>
          <w:color w:val="000000"/>
        </w:rPr>
        <w:t xml:space="preserve">evels and prompt clinical improvement in IgG4-related systemic disease.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1755-1762 [PMID: 20191576 DOI: 10.1002/art.27435]</w:t>
      </w:r>
    </w:p>
    <w:p w14:paraId="430C4F34" w14:textId="77777777" w:rsidR="00A77B3E" w:rsidRDefault="002849D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Carruthers 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Topazian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Khosroshahi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Witzig</w:t>
      </w:r>
      <w:proofErr w:type="spellEnd"/>
      <w:r>
        <w:rPr>
          <w:rFonts w:ascii="Book Antiqua" w:eastAsia="Book Antiqua" w:hAnsi="Book Antiqua" w:cs="Book Antiqua"/>
          <w:color w:val="000000"/>
        </w:rPr>
        <w:t xml:space="preserve"> TE, Wallace ZS, Hart PA, Deshpande V,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Chari S, Stone JH. Rituximab for IgG4-related disease: a prospective, open-label trial.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74</w:t>
      </w:r>
      <w:r>
        <w:rPr>
          <w:rFonts w:ascii="Book Antiqua" w:eastAsia="Book Antiqua" w:hAnsi="Book Antiqua" w:cs="Book Antiqua"/>
          <w:color w:val="000000"/>
        </w:rPr>
        <w:t>: 1171-1177 [PMID: 25667206 DOI: 10.1136/annrheumdis-2014-206605]</w:t>
      </w:r>
    </w:p>
    <w:p w14:paraId="4A4764E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FF75BD8" w14:textId="77777777" w:rsidR="00A77B3E" w:rsidRDefault="002849D0">
      <w:pPr>
        <w:spacing w:line="360" w:lineRule="auto"/>
        <w:jc w:val="both"/>
      </w:pPr>
      <w:r>
        <w:rPr>
          <w:rFonts w:ascii="Book Antiqua" w:eastAsia="Book Antiqua" w:hAnsi="Book Antiqua" w:cs="Book Antiqua"/>
          <w:b/>
          <w:color w:val="000000"/>
        </w:rPr>
        <w:lastRenderedPageBreak/>
        <w:t>Footnotes</w:t>
      </w:r>
    </w:p>
    <w:p w14:paraId="3F8B4A75" w14:textId="77777777" w:rsidR="00A77B3E" w:rsidRDefault="002849D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We </w:t>
      </w:r>
      <w:r>
        <w:rPr>
          <w:rFonts w:ascii="Book Antiqua" w:eastAsia="Book Antiqua" w:hAnsi="Book Antiqua" w:cs="Book Antiqua"/>
          <w:color w:val="000000"/>
          <w:shd w:val="clear" w:color="auto" w:fill="FFFFFF"/>
        </w:rPr>
        <w:t>provided informed written consent prior to study enrollment.</w:t>
      </w:r>
    </w:p>
    <w:p w14:paraId="5DB42DF0" w14:textId="77777777" w:rsidR="00A77B3E" w:rsidRDefault="00A77B3E">
      <w:pPr>
        <w:spacing w:line="360" w:lineRule="auto"/>
        <w:jc w:val="both"/>
      </w:pPr>
    </w:p>
    <w:p w14:paraId="683D80A8" w14:textId="5606C112" w:rsidR="00A77B3E" w:rsidRDefault="002849D0">
      <w:pPr>
        <w:spacing w:line="360" w:lineRule="auto"/>
        <w:jc w:val="both"/>
      </w:pPr>
      <w:r>
        <w:rPr>
          <w:rFonts w:ascii="Book Antiqua" w:eastAsia="Book Antiqua" w:hAnsi="Book Antiqua" w:cs="Book Antiqua"/>
          <w:b/>
          <w:bCs/>
          <w:color w:val="000000"/>
          <w:szCs w:val="20"/>
        </w:rPr>
        <w:t xml:space="preserve">Conflict-of-interest statement: </w:t>
      </w:r>
      <w:r w:rsidR="00903939" w:rsidRPr="00903939">
        <w:rPr>
          <w:rFonts w:ascii="Book Antiqua" w:eastAsia="Book Antiqua" w:hAnsi="Book Antiqua" w:cs="Book Antiqua"/>
          <w:color w:val="000000"/>
          <w:szCs w:val="20"/>
        </w:rPr>
        <w:t xml:space="preserve">This study was supported by </w:t>
      </w:r>
      <w:proofErr w:type="spellStart"/>
      <w:r w:rsidR="00903939" w:rsidRPr="00903939">
        <w:rPr>
          <w:rFonts w:ascii="Book Antiqua" w:eastAsia="Book Antiqua" w:hAnsi="Book Antiqua" w:cs="Book Antiqua"/>
          <w:color w:val="000000"/>
          <w:szCs w:val="20"/>
        </w:rPr>
        <w:t>Soonchunhyang</w:t>
      </w:r>
      <w:proofErr w:type="spellEnd"/>
      <w:r w:rsidR="00903939" w:rsidRPr="00903939">
        <w:rPr>
          <w:rFonts w:ascii="Book Antiqua" w:eastAsia="Book Antiqua" w:hAnsi="Book Antiqua" w:cs="Book Antiqua"/>
          <w:color w:val="000000"/>
          <w:szCs w:val="20"/>
        </w:rPr>
        <w:t xml:space="preserve"> University.</w:t>
      </w:r>
      <w:r w:rsidR="00903939">
        <w:rPr>
          <w:rFonts w:ascii="Book Antiqua" w:eastAsia="Book Antiqua" w:hAnsi="Book Antiqua" w:cs="Book Antiqua"/>
          <w:b/>
          <w:bCs/>
          <w:color w:val="000000"/>
          <w:szCs w:val="20"/>
        </w:rPr>
        <w:t xml:space="preserve"> </w:t>
      </w:r>
      <w:r>
        <w:rPr>
          <w:rFonts w:ascii="Book Antiqua" w:eastAsia="Book Antiqua" w:hAnsi="Book Antiqua" w:cs="Book Antiqua"/>
          <w:color w:val="000000"/>
        </w:rPr>
        <w:t>There is no co</w:t>
      </w:r>
      <w:r w:rsidR="009246C3">
        <w:rPr>
          <w:rFonts w:ascii="Book Antiqua" w:eastAsia="Book Antiqua" w:hAnsi="Book Antiqua" w:cs="Book Antiqua"/>
          <w:color w:val="000000"/>
        </w:rPr>
        <w:t>n</w:t>
      </w:r>
      <w:r>
        <w:rPr>
          <w:rFonts w:ascii="Book Antiqua" w:eastAsia="Book Antiqua" w:hAnsi="Book Antiqua" w:cs="Book Antiqua"/>
          <w:color w:val="000000"/>
        </w:rPr>
        <w:t>flict-of-interest.</w:t>
      </w:r>
    </w:p>
    <w:p w14:paraId="1A7DA4B2" w14:textId="77777777" w:rsidR="00A77B3E" w:rsidRDefault="00A77B3E">
      <w:pPr>
        <w:spacing w:line="360" w:lineRule="auto"/>
        <w:jc w:val="both"/>
      </w:pPr>
    </w:p>
    <w:p w14:paraId="6123F736" w14:textId="778ED8D7" w:rsidR="00A77B3E" w:rsidRDefault="002849D0">
      <w:pPr>
        <w:spacing w:line="360" w:lineRule="auto"/>
        <w:jc w:val="both"/>
      </w:pPr>
      <w:r>
        <w:rPr>
          <w:rFonts w:ascii="Book Antiqua" w:eastAsia="Book Antiqua" w:hAnsi="Book Antiqua" w:cs="Book Antiqua"/>
          <w:b/>
          <w:bCs/>
          <w:color w:val="000000"/>
        </w:rPr>
        <w:t>CARE Checklist (2016) statement:</w:t>
      </w:r>
      <w:r w:rsidR="009A4176" w:rsidRPr="009A4176">
        <w:t xml:space="preserve"> </w:t>
      </w:r>
      <w:r w:rsidR="009A4176" w:rsidRPr="009A4176">
        <w:rPr>
          <w:rFonts w:ascii="Book Antiqua" w:eastAsia="Book Antiqua" w:hAnsi="Book Antiqua" w:cs="Book Antiqua"/>
          <w:color w:val="000000"/>
        </w:rPr>
        <w:t>The authors have read the CARE Checklist (2016), and the manuscript was prepared and revised according to the CARE Checklist (2016)</w:t>
      </w:r>
      <w:r w:rsidRPr="009A4176">
        <w:rPr>
          <w:rFonts w:ascii="Book Antiqua" w:eastAsia="Book Antiqua" w:hAnsi="Book Antiqua" w:cs="Book Antiqua"/>
          <w:color w:val="000000"/>
        </w:rPr>
        <w:t>.</w:t>
      </w:r>
    </w:p>
    <w:p w14:paraId="3BCFB573" w14:textId="77777777" w:rsidR="00A77B3E" w:rsidRDefault="00A77B3E">
      <w:pPr>
        <w:spacing w:line="360" w:lineRule="auto"/>
        <w:jc w:val="both"/>
      </w:pPr>
    </w:p>
    <w:p w14:paraId="2A70C6A9" w14:textId="77777777" w:rsidR="00A77B3E" w:rsidRDefault="002849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81F89E" w14:textId="77777777" w:rsidR="00A77B3E" w:rsidRDefault="00A77B3E">
      <w:pPr>
        <w:spacing w:line="360" w:lineRule="auto"/>
        <w:jc w:val="both"/>
      </w:pPr>
    </w:p>
    <w:p w14:paraId="6C2B9A37" w14:textId="2DD4741B" w:rsidR="00A77B3E" w:rsidRDefault="002849D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A4176">
        <w:rPr>
          <w:rFonts w:ascii="Book Antiqua" w:eastAsia="Book Antiqua" w:hAnsi="Book Antiqua" w:cs="Book Antiqua"/>
          <w:color w:val="000000"/>
        </w:rPr>
        <w:t>m</w:t>
      </w:r>
      <w:r>
        <w:rPr>
          <w:rFonts w:ascii="Book Antiqua" w:eastAsia="Book Antiqua" w:hAnsi="Book Antiqua" w:cs="Book Antiqua"/>
          <w:color w:val="000000"/>
        </w:rPr>
        <w:t>anuscript</w:t>
      </w:r>
    </w:p>
    <w:p w14:paraId="5FC8217F" w14:textId="77777777" w:rsidR="00A77B3E" w:rsidRDefault="00A77B3E">
      <w:pPr>
        <w:spacing w:line="360" w:lineRule="auto"/>
        <w:jc w:val="both"/>
      </w:pPr>
    </w:p>
    <w:p w14:paraId="1BB9E62C" w14:textId="77777777" w:rsidR="00A77B3E" w:rsidRDefault="002849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 2020</w:t>
      </w:r>
    </w:p>
    <w:p w14:paraId="45BFE214" w14:textId="77777777" w:rsidR="00A77B3E" w:rsidRDefault="002849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6D50E6AA" w14:textId="77777777" w:rsidR="00A77B3E" w:rsidRDefault="002849D0">
      <w:pPr>
        <w:spacing w:line="360" w:lineRule="auto"/>
        <w:jc w:val="both"/>
      </w:pPr>
      <w:r>
        <w:rPr>
          <w:rFonts w:ascii="Book Antiqua" w:eastAsia="Book Antiqua" w:hAnsi="Book Antiqua" w:cs="Book Antiqua"/>
          <w:b/>
          <w:color w:val="000000"/>
        </w:rPr>
        <w:t xml:space="preserve">Article in press: </w:t>
      </w:r>
    </w:p>
    <w:p w14:paraId="53ADF9F3" w14:textId="77777777" w:rsidR="00A77B3E" w:rsidRDefault="00A77B3E">
      <w:pPr>
        <w:spacing w:line="360" w:lineRule="auto"/>
        <w:jc w:val="both"/>
      </w:pPr>
    </w:p>
    <w:p w14:paraId="545AB239" w14:textId="67342339" w:rsidR="00A77B3E" w:rsidRDefault="002849D0">
      <w:pPr>
        <w:spacing w:line="360" w:lineRule="auto"/>
        <w:jc w:val="both"/>
      </w:pPr>
      <w:r>
        <w:rPr>
          <w:rFonts w:ascii="Book Antiqua" w:eastAsia="Book Antiqua" w:hAnsi="Book Antiqua" w:cs="Book Antiqua"/>
          <w:b/>
          <w:color w:val="000000"/>
        </w:rPr>
        <w:t xml:space="preserve">Specialty type: </w:t>
      </w:r>
      <w:r w:rsidR="00547BB1" w:rsidRPr="00547BB1">
        <w:rPr>
          <w:rFonts w:ascii="Book Antiqua" w:eastAsia="Book Antiqua" w:hAnsi="Book Antiqua" w:cs="Book Antiqua"/>
          <w:color w:val="000000"/>
        </w:rPr>
        <w:t>Medicine, research and experimental</w:t>
      </w:r>
    </w:p>
    <w:p w14:paraId="36741178" w14:textId="77777777" w:rsidR="00A77B3E" w:rsidRDefault="002849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1DCEFD7D" w14:textId="77777777" w:rsidR="00A77B3E" w:rsidRDefault="002849D0">
      <w:pPr>
        <w:spacing w:line="360" w:lineRule="auto"/>
        <w:jc w:val="both"/>
      </w:pPr>
      <w:r>
        <w:rPr>
          <w:rFonts w:ascii="Book Antiqua" w:eastAsia="Book Antiqua" w:hAnsi="Book Antiqua" w:cs="Book Antiqua"/>
          <w:b/>
          <w:color w:val="000000"/>
        </w:rPr>
        <w:t>Peer-review report’s scientific quality classification</w:t>
      </w:r>
    </w:p>
    <w:p w14:paraId="28DF7689" w14:textId="77777777" w:rsidR="00A77B3E" w:rsidRDefault="002849D0">
      <w:pPr>
        <w:spacing w:line="360" w:lineRule="auto"/>
        <w:jc w:val="both"/>
      </w:pPr>
      <w:r>
        <w:rPr>
          <w:rFonts w:ascii="Book Antiqua" w:eastAsia="Book Antiqua" w:hAnsi="Book Antiqua" w:cs="Book Antiqua"/>
          <w:color w:val="000000"/>
        </w:rPr>
        <w:t>Grade A (Excellent): 0</w:t>
      </w:r>
    </w:p>
    <w:p w14:paraId="1FD31C3F" w14:textId="77777777" w:rsidR="00A77B3E" w:rsidRDefault="002849D0">
      <w:pPr>
        <w:spacing w:line="360" w:lineRule="auto"/>
        <w:jc w:val="both"/>
      </w:pPr>
      <w:r>
        <w:rPr>
          <w:rFonts w:ascii="Book Antiqua" w:eastAsia="Book Antiqua" w:hAnsi="Book Antiqua" w:cs="Book Antiqua"/>
          <w:color w:val="000000"/>
        </w:rPr>
        <w:t>Grade B (Very good): B</w:t>
      </w:r>
    </w:p>
    <w:p w14:paraId="00EF5264" w14:textId="77777777" w:rsidR="00A77B3E" w:rsidRDefault="002849D0">
      <w:pPr>
        <w:spacing w:line="360" w:lineRule="auto"/>
        <w:jc w:val="both"/>
      </w:pPr>
      <w:r>
        <w:rPr>
          <w:rFonts w:ascii="Book Antiqua" w:eastAsia="Book Antiqua" w:hAnsi="Book Antiqua" w:cs="Book Antiqua"/>
          <w:color w:val="000000"/>
        </w:rPr>
        <w:lastRenderedPageBreak/>
        <w:t>Grade C (Good): 0</w:t>
      </w:r>
    </w:p>
    <w:p w14:paraId="78386DF6" w14:textId="77777777" w:rsidR="00A77B3E" w:rsidRDefault="002849D0">
      <w:pPr>
        <w:spacing w:line="360" w:lineRule="auto"/>
        <w:jc w:val="both"/>
      </w:pPr>
      <w:r>
        <w:rPr>
          <w:rFonts w:ascii="Book Antiqua" w:eastAsia="Book Antiqua" w:hAnsi="Book Antiqua" w:cs="Book Antiqua"/>
          <w:color w:val="000000"/>
        </w:rPr>
        <w:t>Grade D (Fair): 0</w:t>
      </w:r>
    </w:p>
    <w:p w14:paraId="27DF79F2" w14:textId="77777777" w:rsidR="00A77B3E" w:rsidRDefault="002849D0">
      <w:pPr>
        <w:spacing w:line="360" w:lineRule="auto"/>
        <w:jc w:val="both"/>
      </w:pPr>
      <w:r>
        <w:rPr>
          <w:rFonts w:ascii="Book Antiqua" w:eastAsia="Book Antiqua" w:hAnsi="Book Antiqua" w:cs="Book Antiqua"/>
          <w:color w:val="000000"/>
        </w:rPr>
        <w:t>Grade E (Poor): 0</w:t>
      </w:r>
    </w:p>
    <w:p w14:paraId="4355F66E" w14:textId="77777777" w:rsidR="00A77B3E" w:rsidRDefault="00A77B3E">
      <w:pPr>
        <w:spacing w:line="360" w:lineRule="auto"/>
        <w:jc w:val="both"/>
      </w:pPr>
    </w:p>
    <w:p w14:paraId="53DBB8AB" w14:textId="77777777" w:rsidR="00A77B3E" w:rsidRDefault="002849D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Salvadori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20CE3446" w14:textId="77777777" w:rsidR="002F4985" w:rsidRDefault="002F4985">
      <w:pPr>
        <w:spacing w:line="360" w:lineRule="auto"/>
        <w:jc w:val="both"/>
        <w:sectPr w:rsidR="002F4985">
          <w:pgSz w:w="12240" w:h="15840"/>
          <w:pgMar w:top="1440" w:right="1440" w:bottom="1440" w:left="1440" w:header="720" w:footer="720" w:gutter="0"/>
          <w:cols w:space="720"/>
          <w:docGrid w:linePitch="360"/>
        </w:sectPr>
      </w:pPr>
    </w:p>
    <w:p w14:paraId="2F4868BD" w14:textId="2C9EF76C" w:rsidR="00A77B3E" w:rsidRDefault="002849D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986B024" w14:textId="17C1F8A4" w:rsidR="00F2329B" w:rsidRDefault="00BE752A">
      <w:pPr>
        <w:spacing w:line="360" w:lineRule="auto"/>
        <w:jc w:val="both"/>
      </w:pPr>
      <w:r>
        <w:rPr>
          <w:noProof/>
          <w:lang w:eastAsia="zh-CN"/>
        </w:rPr>
        <w:drawing>
          <wp:inline distT="0" distB="0" distL="0" distR="0" wp14:anchorId="70D8F634" wp14:editId="7823FD86">
            <wp:extent cx="5943600" cy="4437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extLst>
                        <a:ext uri="{28A0092B-C50C-407E-A947-70E740481C1C}">
                          <a14:useLocalDpi xmlns:a14="http://schemas.microsoft.com/office/drawing/2010/main" val="0"/>
                        </a:ext>
                      </a:extLst>
                    </a:blip>
                    <a:stretch>
                      <a:fillRect/>
                    </a:stretch>
                  </pic:blipFill>
                  <pic:spPr>
                    <a:xfrm>
                      <a:off x="0" y="0"/>
                      <a:ext cx="5943600" cy="4437380"/>
                    </a:xfrm>
                    <a:prstGeom prst="rect">
                      <a:avLst/>
                    </a:prstGeom>
                  </pic:spPr>
                </pic:pic>
              </a:graphicData>
            </a:graphic>
          </wp:inline>
        </w:drawing>
      </w:r>
    </w:p>
    <w:p w14:paraId="07E6F4BA" w14:textId="164B725C" w:rsidR="00BE752A" w:rsidRDefault="002849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00BE752A" w:rsidRPr="00184685">
        <w:rPr>
          <w:rFonts w:ascii="Book Antiqua" w:eastAsia="Book Antiqua" w:hAnsi="Book Antiqua" w:cs="Book Antiqua"/>
          <w:b/>
          <w:bCs/>
          <w:color w:val="000000"/>
        </w:rPr>
        <w:t>Computed tomography</w:t>
      </w:r>
      <w:r w:rsidRPr="00184685">
        <w:rPr>
          <w:rFonts w:ascii="Book Antiqua" w:eastAsia="Book Antiqua" w:hAnsi="Book Antiqua" w:cs="Book Antiqua"/>
          <w:b/>
          <w:bCs/>
          <w:color w:val="000000"/>
        </w:rPr>
        <w:t xml:space="preserve"> </w:t>
      </w:r>
      <w:r w:rsidR="00184685" w:rsidRPr="00184685">
        <w:rPr>
          <w:rFonts w:ascii="Book Antiqua" w:eastAsia="Book Antiqua" w:hAnsi="Book Antiqua" w:cs="Book Antiqua"/>
          <w:b/>
          <w:bCs/>
          <w:color w:val="000000"/>
        </w:rPr>
        <w:t>r</w:t>
      </w:r>
      <w:r w:rsidR="009D3169">
        <w:rPr>
          <w:rFonts w:ascii="Book Antiqua" w:eastAsia="Book Antiqua" w:hAnsi="Book Antiqua" w:cs="Book Antiqua"/>
          <w:b/>
          <w:bCs/>
          <w:color w:val="000000"/>
        </w:rPr>
        <w:t>e</w:t>
      </w:r>
      <w:r w:rsidR="00184685" w:rsidRPr="00184685">
        <w:rPr>
          <w:rFonts w:ascii="Book Antiqua" w:eastAsia="Book Antiqua" w:hAnsi="Book Antiqua" w:cs="Book Antiqua"/>
          <w:b/>
          <w:bCs/>
          <w:color w:val="000000"/>
        </w:rPr>
        <w:t>sults.</w:t>
      </w:r>
      <w:r w:rsidRPr="00184685">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BE752A">
        <w:rPr>
          <w:rFonts w:ascii="Book Antiqua" w:eastAsia="Book Antiqua" w:hAnsi="Book Antiqua" w:cs="Book Antiqua"/>
          <w:color w:val="000000"/>
        </w:rPr>
        <w:t>:</w:t>
      </w:r>
      <w:r>
        <w:rPr>
          <w:rFonts w:ascii="Book Antiqua" w:eastAsia="Book Antiqua" w:hAnsi="Book Antiqua" w:cs="Book Antiqua"/>
          <w:color w:val="000000"/>
        </w:rPr>
        <w:t xml:space="preserve"> </w:t>
      </w:r>
      <w:r w:rsidR="00BE752A" w:rsidRPr="00BE752A">
        <w:rPr>
          <w:rFonts w:ascii="Book Antiqua" w:eastAsia="Book Antiqua" w:hAnsi="Book Antiqua" w:cs="Book Antiqua"/>
          <w:color w:val="000000"/>
        </w:rPr>
        <w:t>I</w:t>
      </w:r>
      <w:r w:rsidR="00BE752A">
        <w:rPr>
          <w:rFonts w:ascii="Book Antiqua" w:eastAsia="Book Antiqua" w:hAnsi="Book Antiqua" w:cs="Book Antiqua"/>
          <w:color w:val="000000"/>
          <w:shd w:val="clear" w:color="auto" w:fill="FFFFFF"/>
        </w:rPr>
        <w:t>ntrahepatic duct</w:t>
      </w:r>
      <w:r w:rsidR="00BE752A">
        <w:rPr>
          <w:rFonts w:ascii="Book Antiqua" w:eastAsia="Book Antiqua" w:hAnsi="Book Antiqua" w:cs="Book Antiqua"/>
          <w:color w:val="000000"/>
        </w:rPr>
        <w:t xml:space="preserve"> (IHD, </w:t>
      </w:r>
      <w:r>
        <w:rPr>
          <w:rFonts w:ascii="Book Antiqua" w:eastAsia="Book Antiqua" w:hAnsi="Book Antiqua" w:cs="Book Antiqua"/>
          <w:color w:val="000000"/>
        </w:rPr>
        <w:t>arrows)</w:t>
      </w:r>
      <w:r w:rsidR="00184685">
        <w:rPr>
          <w:rFonts w:ascii="Book Antiqua" w:eastAsia="Book Antiqua" w:hAnsi="Book Antiqua" w:cs="Book Antiqua"/>
          <w:color w:val="000000"/>
        </w:rPr>
        <w:t xml:space="preserve">; </w:t>
      </w:r>
      <w:r>
        <w:rPr>
          <w:rFonts w:ascii="Book Antiqua" w:eastAsia="Book Antiqua" w:hAnsi="Book Antiqua" w:cs="Book Antiqua"/>
          <w:color w:val="000000"/>
        </w:rPr>
        <w:t>B</w:t>
      </w:r>
      <w:r w:rsidR="00184685">
        <w:rPr>
          <w:rFonts w:ascii="Book Antiqua" w:eastAsia="Book Antiqua" w:hAnsi="Book Antiqua" w:cs="Book Antiqua"/>
          <w:color w:val="000000"/>
        </w:rPr>
        <w:t>:</w:t>
      </w:r>
      <w:r>
        <w:rPr>
          <w:rFonts w:ascii="Book Antiqua" w:eastAsia="Book Antiqua" w:hAnsi="Book Antiqua" w:cs="Book Antiqua"/>
          <w:color w:val="000000"/>
        </w:rPr>
        <w:t xml:space="preserve"> </w:t>
      </w:r>
      <w:r w:rsidR="00184685">
        <w:rPr>
          <w:rFonts w:ascii="Book Antiqua" w:eastAsia="Book Antiqua" w:hAnsi="Book Antiqua" w:cs="Book Antiqua"/>
          <w:color w:val="000000"/>
        </w:rPr>
        <w:t xml:space="preserve">Common bile duct (CBD) </w:t>
      </w:r>
      <w:r>
        <w:rPr>
          <w:rFonts w:ascii="Book Antiqua" w:eastAsia="Book Antiqua" w:hAnsi="Book Antiqua" w:cs="Book Antiqua"/>
          <w:color w:val="000000"/>
        </w:rPr>
        <w:t xml:space="preserve">dilatation without a definite obstructive lesion (arrows).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high-dose </w:t>
      </w:r>
      <w:r w:rsidR="00184685">
        <w:rPr>
          <w:rFonts w:ascii="Book Antiqua" w:eastAsia="Book Antiqua" w:hAnsi="Book Antiqua" w:cs="Book Antiqua"/>
          <w:color w:val="000000"/>
        </w:rPr>
        <w:t>glucocorticoid</w:t>
      </w:r>
      <w:r>
        <w:rPr>
          <w:rFonts w:ascii="Book Antiqua" w:eastAsia="Book Antiqua" w:hAnsi="Book Antiqua" w:cs="Book Antiqua"/>
          <w:color w:val="000000"/>
        </w:rPr>
        <w:t xml:space="preserve"> therapy</w:t>
      </w:r>
      <w:r w:rsidR="00184685">
        <w:rPr>
          <w:rFonts w:ascii="Book Antiqua" w:eastAsia="Book Antiqua" w:hAnsi="Book Antiqua" w:cs="Book Antiqua"/>
          <w:color w:val="000000"/>
        </w:rPr>
        <w:t>;</w:t>
      </w:r>
      <w:r>
        <w:rPr>
          <w:rFonts w:ascii="Book Antiqua" w:eastAsia="Book Antiqua" w:hAnsi="Book Antiqua" w:cs="Book Antiqua"/>
          <w:color w:val="000000"/>
        </w:rPr>
        <w:t xml:space="preserve"> C</w:t>
      </w:r>
      <w:r w:rsidR="00184685">
        <w:rPr>
          <w:rFonts w:ascii="Book Antiqua" w:eastAsia="Book Antiqua" w:hAnsi="Book Antiqua" w:cs="Book Antiqua"/>
          <w:color w:val="000000"/>
        </w:rPr>
        <w:t>:</w:t>
      </w:r>
      <w:r>
        <w:rPr>
          <w:rFonts w:ascii="Book Antiqua" w:eastAsia="Book Antiqua" w:hAnsi="Book Antiqua" w:cs="Book Antiqua"/>
          <w:color w:val="000000"/>
        </w:rPr>
        <w:t xml:space="preserve"> IHD dilatation with intraductal soft tissue attenuation had disappeared</w:t>
      </w:r>
      <w:r w:rsidR="00184685">
        <w:rPr>
          <w:rFonts w:ascii="Book Antiqua" w:eastAsia="Book Antiqua" w:hAnsi="Book Antiqua" w:cs="Book Antiqua"/>
          <w:color w:val="000000"/>
        </w:rPr>
        <w:t>;</w:t>
      </w:r>
      <w:r>
        <w:rPr>
          <w:rFonts w:ascii="Book Antiqua" w:eastAsia="Book Antiqua" w:hAnsi="Book Antiqua" w:cs="Book Antiqua"/>
          <w:color w:val="000000"/>
        </w:rPr>
        <w:t xml:space="preserve"> D</w:t>
      </w:r>
      <w:r w:rsidR="00184685">
        <w:rPr>
          <w:rFonts w:ascii="Book Antiqua" w:eastAsia="Book Antiqua" w:hAnsi="Book Antiqua" w:cs="Book Antiqua"/>
          <w:color w:val="000000"/>
        </w:rPr>
        <w:t>:</w:t>
      </w:r>
      <w:r>
        <w:rPr>
          <w:rFonts w:ascii="Book Antiqua" w:eastAsia="Book Antiqua" w:hAnsi="Book Antiqua" w:cs="Book Antiqua"/>
          <w:color w:val="000000"/>
        </w:rPr>
        <w:t xml:space="preserve"> CBD dilatation with mild luminal narrowing was reduced.</w:t>
      </w:r>
    </w:p>
    <w:p w14:paraId="3BFE3CB6" w14:textId="48040526" w:rsidR="00A77B3E" w:rsidRDefault="00BE752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F37538">
        <w:rPr>
          <w:rFonts w:eastAsiaTheme="majorHAnsi"/>
          <w:noProof/>
          <w:lang w:eastAsia="zh-CN"/>
        </w:rPr>
        <w:lastRenderedPageBreak/>
        <w:drawing>
          <wp:inline distT="0" distB="0" distL="0" distR="0" wp14:anchorId="5D466DF3" wp14:editId="31F49B0D">
            <wp:extent cx="5943600" cy="1550583"/>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300 dpi.TIF"/>
                    <pic:cNvPicPr/>
                  </pic:nvPicPr>
                  <pic:blipFill rotWithShape="1">
                    <a:blip r:embed="rId8" cstate="print">
                      <a:extLst>
                        <a:ext uri="{28A0092B-C50C-407E-A947-70E740481C1C}">
                          <a14:useLocalDpi xmlns:a14="http://schemas.microsoft.com/office/drawing/2010/main" val="0"/>
                        </a:ext>
                      </a:extLst>
                    </a:blip>
                    <a:srcRect b="65217"/>
                    <a:stretch/>
                  </pic:blipFill>
                  <pic:spPr bwMode="auto">
                    <a:xfrm>
                      <a:off x="0" y="0"/>
                      <a:ext cx="5943600" cy="1550583"/>
                    </a:xfrm>
                    <a:prstGeom prst="rect">
                      <a:avLst/>
                    </a:prstGeom>
                    <a:ln>
                      <a:noFill/>
                    </a:ln>
                    <a:extLst>
                      <a:ext uri="{53640926-AAD7-44D8-BBD7-CCE9431645EC}">
                        <a14:shadowObscured xmlns:a14="http://schemas.microsoft.com/office/drawing/2010/main"/>
                      </a:ext>
                    </a:extLst>
                  </pic:spPr>
                </pic:pic>
              </a:graphicData>
            </a:graphic>
          </wp:inline>
        </w:drawing>
      </w:r>
    </w:p>
    <w:p w14:paraId="424743C9" w14:textId="4F33D4A5" w:rsidR="00F2329B" w:rsidRDefault="002849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F37538" w:rsidRPr="00F37538">
        <w:rPr>
          <w:rFonts w:ascii="Book Antiqua" w:eastAsia="Book Antiqua" w:hAnsi="Book Antiqua" w:cs="Book Antiqua"/>
          <w:b/>
          <w:bCs/>
          <w:color w:val="000000"/>
        </w:rPr>
        <w:t>Histological assessment of biopsy specimen.</w:t>
      </w:r>
      <w:r w:rsidR="00F37538" w:rsidRPr="00F37538">
        <w:rPr>
          <w:rFonts w:ascii="Book Antiqua" w:eastAsia="Book Antiqua" w:hAnsi="Book Antiqua" w:cs="Book Antiqua"/>
          <w:color w:val="000000"/>
        </w:rPr>
        <w:t xml:space="preserve"> </w:t>
      </w:r>
      <w:r>
        <w:rPr>
          <w:rFonts w:ascii="Book Antiqua" w:eastAsia="Book Antiqua" w:hAnsi="Book Antiqua" w:cs="Book Antiqua"/>
          <w:color w:val="000000"/>
        </w:rPr>
        <w:t>A</w:t>
      </w:r>
      <w:r w:rsidR="00F37538">
        <w:rPr>
          <w:rFonts w:ascii="Book Antiqua" w:eastAsia="Book Antiqua" w:hAnsi="Book Antiqua" w:cs="Book Antiqua"/>
          <w:color w:val="000000"/>
        </w:rPr>
        <w:t>:</w:t>
      </w:r>
      <w:r>
        <w:rPr>
          <w:rFonts w:ascii="Book Antiqua" w:eastAsia="Book Antiqua" w:hAnsi="Book Antiqua" w:cs="Book Antiqua"/>
          <w:color w:val="000000"/>
        </w:rPr>
        <w:t xml:space="preserve"> Biopsy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showed inflammatory cell infiltration and granulation tissue </w:t>
      </w:r>
      <w:r w:rsidR="00F37538">
        <w:rPr>
          <w:rFonts w:ascii="Book Antiqua" w:eastAsia="Book Antiqua" w:hAnsi="Book Antiqua" w:cs="Book Antiqua"/>
          <w:color w:val="000000"/>
        </w:rPr>
        <w:t>[</w:t>
      </w:r>
      <w:r>
        <w:rPr>
          <w:rFonts w:ascii="Book Antiqua" w:eastAsia="Book Antiqua" w:hAnsi="Book Antiqua" w:cs="Book Antiqua"/>
          <w:color w:val="000000"/>
        </w:rPr>
        <w:t xml:space="preserve">hematoxylin and eosin </w:t>
      </w:r>
      <w:r w:rsidR="00F37538">
        <w:rPr>
          <w:rFonts w:ascii="Book Antiqua" w:eastAsia="Book Antiqua" w:hAnsi="Book Antiqua" w:cs="Book Antiqua"/>
          <w:color w:val="000000"/>
        </w:rPr>
        <w:t>(</w:t>
      </w:r>
      <w:r>
        <w:rPr>
          <w:rFonts w:ascii="Book Antiqua" w:eastAsia="Book Antiqua" w:hAnsi="Book Antiqua" w:cs="Book Antiqua"/>
          <w:color w:val="000000"/>
        </w:rPr>
        <w:t>H&amp;E</w:t>
      </w:r>
      <w:r w:rsidR="00F37538">
        <w:rPr>
          <w:rFonts w:ascii="Book Antiqua" w:eastAsia="Book Antiqua" w:hAnsi="Book Antiqua" w:cs="Book Antiqua"/>
          <w:color w:val="000000"/>
        </w:rPr>
        <w:t>)</w:t>
      </w:r>
      <w:r>
        <w:rPr>
          <w:rFonts w:ascii="Book Antiqua" w:eastAsia="Book Antiqua" w:hAnsi="Book Antiqua" w:cs="Book Antiqua"/>
          <w:color w:val="000000"/>
        </w:rPr>
        <w:t xml:space="preserve"> stain, </w:t>
      </w:r>
      <w:r w:rsidR="00F37538">
        <w:rPr>
          <w:rFonts w:ascii="Book Antiqua" w:eastAsia="Book Antiqua" w:hAnsi="Book Antiqua" w:cs="Book Antiqua"/>
          <w:color w:val="000000"/>
        </w:rPr>
        <w:t xml:space="preserve">× </w:t>
      </w:r>
      <w:r>
        <w:rPr>
          <w:rFonts w:ascii="Book Antiqua" w:eastAsia="Book Antiqua" w:hAnsi="Book Antiqua" w:cs="Book Antiqua"/>
          <w:color w:val="000000"/>
        </w:rPr>
        <w:t>100 magnification</w:t>
      </w:r>
      <w:r w:rsidR="00F37538">
        <w:rPr>
          <w:rFonts w:ascii="Book Antiqua" w:eastAsia="Book Antiqua" w:hAnsi="Book Antiqua" w:cs="Book Antiqua"/>
          <w:color w:val="000000"/>
        </w:rPr>
        <w:t>];</w:t>
      </w:r>
      <w:r>
        <w:rPr>
          <w:rFonts w:ascii="Book Antiqua" w:eastAsia="Book Antiqua" w:hAnsi="Book Antiqua" w:cs="Book Antiqua"/>
          <w:color w:val="000000"/>
        </w:rPr>
        <w:t xml:space="preserve"> B</w:t>
      </w:r>
      <w:r w:rsidR="00F37538">
        <w:rPr>
          <w:rFonts w:ascii="Book Antiqua" w:eastAsia="Book Antiqua" w:hAnsi="Book Antiqua" w:cs="Book Antiqua"/>
          <w:color w:val="000000"/>
        </w:rPr>
        <w:t>:</w:t>
      </w:r>
      <w:r>
        <w:rPr>
          <w:rFonts w:ascii="Book Antiqua" w:eastAsia="Book Antiqua" w:hAnsi="Book Antiqua" w:cs="Book Antiqua"/>
          <w:color w:val="000000"/>
        </w:rPr>
        <w:t xml:space="preserve"> Many plasma cells were observed in the subepithelial stroma (H&amp;E stain, </w:t>
      </w:r>
      <w:r w:rsidR="00F37538">
        <w:rPr>
          <w:rFonts w:ascii="Book Antiqua" w:eastAsia="Book Antiqua" w:hAnsi="Book Antiqua" w:cs="Book Antiqua"/>
          <w:color w:val="000000"/>
        </w:rPr>
        <w:t xml:space="preserve">× </w:t>
      </w:r>
      <w:r>
        <w:rPr>
          <w:rFonts w:ascii="Book Antiqua" w:eastAsia="Book Antiqua" w:hAnsi="Book Antiqua" w:cs="Book Antiqua"/>
          <w:color w:val="000000"/>
        </w:rPr>
        <w:t>400 magnification)</w:t>
      </w:r>
      <w:r w:rsidR="00F37538">
        <w:rPr>
          <w:rFonts w:ascii="Book Antiqua" w:eastAsia="Book Antiqua" w:hAnsi="Book Antiqua" w:cs="Book Antiqua"/>
          <w:color w:val="000000"/>
        </w:rPr>
        <w:t>;</w:t>
      </w:r>
      <w:r>
        <w:rPr>
          <w:rFonts w:ascii="Book Antiqua" w:eastAsia="Book Antiqua" w:hAnsi="Book Antiqua" w:cs="Book Antiqua"/>
          <w:color w:val="000000"/>
        </w:rPr>
        <w:t xml:space="preserve"> C</w:t>
      </w:r>
      <w:r w:rsidR="00F37538">
        <w:rPr>
          <w:rFonts w:ascii="Book Antiqua" w:eastAsia="Book Antiqua" w:hAnsi="Book Antiqua" w:cs="Book Antiqua"/>
          <w:color w:val="000000"/>
        </w:rPr>
        <w:t>:</w:t>
      </w:r>
      <w:r>
        <w:rPr>
          <w:rFonts w:ascii="Book Antiqua" w:eastAsia="Book Antiqua" w:hAnsi="Book Antiqua" w:cs="Book Antiqua"/>
          <w:color w:val="000000"/>
        </w:rPr>
        <w:t xml:space="preserve"> Immunohistochemical staining showed a large number of IgG4 positive cells (brown, </w:t>
      </w:r>
      <w:r w:rsidR="00F37538">
        <w:rPr>
          <w:rFonts w:ascii="Book Antiqua" w:eastAsia="Book Antiqua" w:hAnsi="Book Antiqua" w:cs="Book Antiqua"/>
          <w:color w:val="000000"/>
        </w:rPr>
        <w:t xml:space="preserve">× </w:t>
      </w:r>
      <w:r>
        <w:rPr>
          <w:rFonts w:ascii="Book Antiqua" w:eastAsia="Book Antiqua" w:hAnsi="Book Antiqua" w:cs="Book Antiqua"/>
          <w:color w:val="000000"/>
        </w:rPr>
        <w:t>400 magnification).</w:t>
      </w:r>
    </w:p>
    <w:p w14:paraId="7341D656" w14:textId="268112F2" w:rsidR="00A77B3E" w:rsidRDefault="00F2329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431F3715" wp14:editId="5F1BCD17">
            <wp:extent cx="5943600" cy="40100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10025"/>
                    </a:xfrm>
                    <a:prstGeom prst="rect">
                      <a:avLst/>
                    </a:prstGeom>
                  </pic:spPr>
                </pic:pic>
              </a:graphicData>
            </a:graphic>
          </wp:inline>
        </w:drawing>
      </w:r>
    </w:p>
    <w:p w14:paraId="4300430C" w14:textId="2C3E7D06" w:rsidR="00A77B3E" w:rsidRDefault="002849D0">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sidRPr="00F2329B">
        <w:rPr>
          <w:rFonts w:ascii="Book Antiqua" w:eastAsia="Book Antiqua" w:hAnsi="Book Antiqua" w:cs="Book Antiqua"/>
          <w:b/>
          <w:bCs/>
          <w:color w:val="000000"/>
        </w:rPr>
        <w:t xml:space="preserve">The initial laboratory findings indicated obstructive-pattern jaundice. </w:t>
      </w:r>
      <w:r>
        <w:rPr>
          <w:rFonts w:ascii="Book Antiqua" w:eastAsia="Book Antiqua" w:hAnsi="Book Antiqua" w:cs="Book Antiqua"/>
          <w:color w:val="000000"/>
        </w:rPr>
        <w:t xml:space="preserve">Bilirubinemia (8.6 mg/dL) and a high </w:t>
      </w:r>
      <w:r w:rsidR="00F2329B">
        <w:rPr>
          <w:rFonts w:ascii="Book Antiqua" w:eastAsia="Book Antiqua" w:hAnsi="Book Antiqua" w:cs="Book Antiqua"/>
          <w:color w:val="000000"/>
        </w:rPr>
        <w:t>C reactive protein (CRP)</w:t>
      </w:r>
      <w:r>
        <w:rPr>
          <w:rFonts w:ascii="Book Antiqua" w:eastAsia="Book Antiqua" w:hAnsi="Book Antiqua" w:cs="Book Antiqua"/>
          <w:color w:val="000000"/>
        </w:rPr>
        <w:t xml:space="preserve"> level (1.81 mg/dL) were noted. We applied high-dose systemic </w:t>
      </w:r>
      <w:r w:rsidR="00F2329B">
        <w:rPr>
          <w:rFonts w:ascii="Book Antiqua" w:eastAsia="Book Antiqua" w:hAnsi="Book Antiqua" w:cs="Book Antiqua"/>
          <w:color w:val="000000"/>
        </w:rPr>
        <w:t>glucocorticoid (GC)</w:t>
      </w:r>
      <w:r>
        <w:rPr>
          <w:rFonts w:ascii="Book Antiqua" w:eastAsia="Book Antiqua" w:hAnsi="Book Antiqua" w:cs="Book Antiqua"/>
          <w:color w:val="000000"/>
        </w:rPr>
        <w:t xml:space="preserve"> for 3 d (prednisolone 0.5 mg/kg/d). After GC pulse treatment, the bilirubinemia and elevated CRP level had improved so we decided to administer CYC pulse therapy (1000 mg/</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maintenance therapy was prednisolone (5 mg/d) and </w:t>
      </w:r>
      <w:r w:rsidR="00F2329B">
        <w:rPr>
          <w:rFonts w:ascii="Book Antiqua" w:eastAsia="Book Antiqua" w:hAnsi="Book Antiqua" w:cs="Book Antiqua"/>
          <w:color w:val="000000"/>
        </w:rPr>
        <w:t>mycophenolate mofetil</w:t>
      </w:r>
      <w:r>
        <w:rPr>
          <w:rFonts w:ascii="Book Antiqua" w:eastAsia="Book Antiqua" w:hAnsi="Book Antiqua" w:cs="Book Antiqua"/>
          <w:color w:val="000000"/>
        </w:rPr>
        <w:t xml:space="preserve"> (1000 mg/d).</w:t>
      </w:r>
      <w:r w:rsidR="00F2329B">
        <w:rPr>
          <w:rFonts w:ascii="Book Antiqua" w:eastAsia="Book Antiqua" w:hAnsi="Book Antiqua" w:cs="Book Antiqua"/>
          <w:color w:val="000000"/>
        </w:rPr>
        <w:t xml:space="preserve"> CRP: C reactive protein; MMF: Mycophenolate mofetil</w:t>
      </w:r>
      <w:r w:rsidR="00494C2E">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637C3" w14:textId="77777777" w:rsidR="000E4FF6" w:rsidRDefault="000E4FF6" w:rsidP="00D322E6">
      <w:r>
        <w:separator/>
      </w:r>
    </w:p>
  </w:endnote>
  <w:endnote w:type="continuationSeparator" w:id="0">
    <w:p w14:paraId="6BD5704D" w14:textId="77777777" w:rsidR="000E4FF6" w:rsidRDefault="000E4FF6" w:rsidP="00D3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467441"/>
      <w:docPartObj>
        <w:docPartGallery w:val="Page Numbers (Bottom of Page)"/>
        <w:docPartUnique/>
      </w:docPartObj>
    </w:sdtPr>
    <w:sdtEndPr/>
    <w:sdtContent>
      <w:sdt>
        <w:sdtPr>
          <w:id w:val="-1705238520"/>
          <w:docPartObj>
            <w:docPartGallery w:val="Page Numbers (Top of Page)"/>
            <w:docPartUnique/>
          </w:docPartObj>
        </w:sdtPr>
        <w:sdtEndPr/>
        <w:sdtContent>
          <w:p w14:paraId="0B6C2C3B" w14:textId="4C8A8E95" w:rsidR="00D322E6" w:rsidRDefault="00D322E6" w:rsidP="00D322E6">
            <w:pPr>
              <w:pStyle w:val="a5"/>
              <w:jc w:val="right"/>
            </w:pPr>
            <w:r w:rsidRPr="00D322E6">
              <w:rPr>
                <w:rFonts w:ascii="Book Antiqua" w:hAnsi="Book Antiqua"/>
                <w:b/>
                <w:bCs/>
                <w:sz w:val="21"/>
                <w:szCs w:val="21"/>
                <w:lang w:val="zh-CN" w:eastAsia="zh-CN"/>
              </w:rPr>
              <w:t xml:space="preserve"> </w:t>
            </w:r>
            <w:r w:rsidRPr="00D322E6">
              <w:rPr>
                <w:rFonts w:ascii="Book Antiqua" w:hAnsi="Book Antiqua"/>
                <w:b/>
                <w:bCs/>
                <w:sz w:val="21"/>
                <w:szCs w:val="21"/>
              </w:rPr>
              <w:fldChar w:fldCharType="begin"/>
            </w:r>
            <w:r w:rsidRPr="00D322E6">
              <w:rPr>
                <w:rFonts w:ascii="Book Antiqua" w:hAnsi="Book Antiqua"/>
                <w:b/>
                <w:bCs/>
                <w:sz w:val="21"/>
                <w:szCs w:val="21"/>
              </w:rPr>
              <w:instrText>PAGE</w:instrText>
            </w:r>
            <w:r w:rsidRPr="00D322E6">
              <w:rPr>
                <w:rFonts w:ascii="Book Antiqua" w:hAnsi="Book Antiqua"/>
                <w:b/>
                <w:bCs/>
                <w:sz w:val="21"/>
                <w:szCs w:val="21"/>
              </w:rPr>
              <w:fldChar w:fldCharType="separate"/>
            </w:r>
            <w:r w:rsidR="006E661A">
              <w:rPr>
                <w:rFonts w:ascii="Book Antiqua" w:hAnsi="Book Antiqua"/>
                <w:b/>
                <w:bCs/>
                <w:noProof/>
                <w:sz w:val="21"/>
                <w:szCs w:val="21"/>
              </w:rPr>
              <w:t>15</w:t>
            </w:r>
            <w:r w:rsidRPr="00D322E6">
              <w:rPr>
                <w:rFonts w:ascii="Book Antiqua" w:hAnsi="Book Antiqua"/>
                <w:b/>
                <w:bCs/>
                <w:sz w:val="21"/>
                <w:szCs w:val="21"/>
              </w:rPr>
              <w:fldChar w:fldCharType="end"/>
            </w:r>
            <w:r w:rsidRPr="00D322E6">
              <w:rPr>
                <w:rFonts w:ascii="Book Antiqua" w:hAnsi="Book Antiqua"/>
                <w:b/>
                <w:bCs/>
                <w:sz w:val="21"/>
                <w:szCs w:val="21"/>
                <w:lang w:val="zh-CN" w:eastAsia="zh-CN"/>
              </w:rPr>
              <w:t xml:space="preserve"> / </w:t>
            </w:r>
            <w:r w:rsidRPr="00D322E6">
              <w:rPr>
                <w:rFonts w:ascii="Book Antiqua" w:hAnsi="Book Antiqua"/>
                <w:b/>
                <w:bCs/>
                <w:sz w:val="21"/>
                <w:szCs w:val="21"/>
              </w:rPr>
              <w:fldChar w:fldCharType="begin"/>
            </w:r>
            <w:r w:rsidRPr="00D322E6">
              <w:rPr>
                <w:rFonts w:ascii="Book Antiqua" w:hAnsi="Book Antiqua"/>
                <w:b/>
                <w:bCs/>
                <w:sz w:val="21"/>
                <w:szCs w:val="21"/>
              </w:rPr>
              <w:instrText>NUMPAGES</w:instrText>
            </w:r>
            <w:r w:rsidRPr="00D322E6">
              <w:rPr>
                <w:rFonts w:ascii="Book Antiqua" w:hAnsi="Book Antiqua"/>
                <w:b/>
                <w:bCs/>
                <w:sz w:val="21"/>
                <w:szCs w:val="21"/>
              </w:rPr>
              <w:fldChar w:fldCharType="separate"/>
            </w:r>
            <w:r w:rsidR="006E661A">
              <w:rPr>
                <w:rFonts w:ascii="Book Antiqua" w:hAnsi="Book Antiqua"/>
                <w:b/>
                <w:bCs/>
                <w:noProof/>
                <w:sz w:val="21"/>
                <w:szCs w:val="21"/>
              </w:rPr>
              <w:t>15</w:t>
            </w:r>
            <w:r w:rsidRPr="00D322E6">
              <w:rPr>
                <w:rFonts w:ascii="Book Antiqua" w:hAnsi="Book Antiqua"/>
                <w:b/>
                <w:bCs/>
                <w:sz w:val="21"/>
                <w:szCs w:val="21"/>
              </w:rPr>
              <w:fldChar w:fldCharType="end"/>
            </w:r>
          </w:p>
        </w:sdtContent>
      </w:sdt>
    </w:sdtContent>
  </w:sdt>
  <w:p w14:paraId="1ECA1632" w14:textId="77777777" w:rsidR="00D322E6" w:rsidRDefault="00D322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06C2A" w14:textId="77777777" w:rsidR="000E4FF6" w:rsidRDefault="000E4FF6" w:rsidP="00D322E6">
      <w:r>
        <w:separator/>
      </w:r>
    </w:p>
  </w:footnote>
  <w:footnote w:type="continuationSeparator" w:id="0">
    <w:p w14:paraId="6E12C471" w14:textId="77777777" w:rsidR="000E4FF6" w:rsidRDefault="000E4FF6" w:rsidP="00D322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2C8"/>
    <w:rsid w:val="000E40CD"/>
    <w:rsid w:val="000E4FF6"/>
    <w:rsid w:val="00102FE9"/>
    <w:rsid w:val="001230C9"/>
    <w:rsid w:val="00155CDA"/>
    <w:rsid w:val="00164A58"/>
    <w:rsid w:val="00184685"/>
    <w:rsid w:val="0025544D"/>
    <w:rsid w:val="002849D0"/>
    <w:rsid w:val="00287168"/>
    <w:rsid w:val="002A1148"/>
    <w:rsid w:val="002D5CF0"/>
    <w:rsid w:val="002F4985"/>
    <w:rsid w:val="00362B43"/>
    <w:rsid w:val="003639A7"/>
    <w:rsid w:val="00414546"/>
    <w:rsid w:val="00470E51"/>
    <w:rsid w:val="00494C2E"/>
    <w:rsid w:val="00522EFD"/>
    <w:rsid w:val="00547BB1"/>
    <w:rsid w:val="005F1DBD"/>
    <w:rsid w:val="005F71BD"/>
    <w:rsid w:val="006245D0"/>
    <w:rsid w:val="006C7BDE"/>
    <w:rsid w:val="006E661A"/>
    <w:rsid w:val="006F0EAD"/>
    <w:rsid w:val="00711B77"/>
    <w:rsid w:val="00747FDC"/>
    <w:rsid w:val="00767379"/>
    <w:rsid w:val="00783DCF"/>
    <w:rsid w:val="00903939"/>
    <w:rsid w:val="009246C3"/>
    <w:rsid w:val="009566ED"/>
    <w:rsid w:val="009A4176"/>
    <w:rsid w:val="009B161A"/>
    <w:rsid w:val="009D3169"/>
    <w:rsid w:val="00A031EA"/>
    <w:rsid w:val="00A247B8"/>
    <w:rsid w:val="00A46F8B"/>
    <w:rsid w:val="00A77B3E"/>
    <w:rsid w:val="00BA2508"/>
    <w:rsid w:val="00BD5E79"/>
    <w:rsid w:val="00BE752A"/>
    <w:rsid w:val="00CA2A55"/>
    <w:rsid w:val="00CF42E6"/>
    <w:rsid w:val="00D322E6"/>
    <w:rsid w:val="00D37AEF"/>
    <w:rsid w:val="00D76BEA"/>
    <w:rsid w:val="00DF5925"/>
    <w:rsid w:val="00E23795"/>
    <w:rsid w:val="00E27052"/>
    <w:rsid w:val="00F10700"/>
    <w:rsid w:val="00F13341"/>
    <w:rsid w:val="00F2329B"/>
    <w:rsid w:val="00F37538"/>
    <w:rsid w:val="00F555B4"/>
    <w:rsid w:val="00FC05EF"/>
    <w:rsid w:val="00FC4BFA"/>
    <w:rsid w:val="00FE60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23F14E"/>
  <w15:docId w15:val="{F52B8FDB-006B-468C-851A-901916C7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322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322E6"/>
    <w:rPr>
      <w:sz w:val="18"/>
      <w:szCs w:val="18"/>
    </w:rPr>
  </w:style>
  <w:style w:type="paragraph" w:styleId="a5">
    <w:name w:val="footer"/>
    <w:basedOn w:val="a"/>
    <w:link w:val="a6"/>
    <w:uiPriority w:val="99"/>
    <w:unhideWhenUsed/>
    <w:rsid w:val="00D322E6"/>
    <w:pPr>
      <w:tabs>
        <w:tab w:val="center" w:pos="4153"/>
        <w:tab w:val="right" w:pos="8306"/>
      </w:tabs>
      <w:snapToGrid w:val="0"/>
    </w:pPr>
    <w:rPr>
      <w:sz w:val="18"/>
      <w:szCs w:val="18"/>
    </w:rPr>
  </w:style>
  <w:style w:type="character" w:customStyle="1" w:styleId="a6">
    <w:name w:val="页脚 字符"/>
    <w:basedOn w:val="a0"/>
    <w:link w:val="a5"/>
    <w:uiPriority w:val="99"/>
    <w:rsid w:val="00D322E6"/>
    <w:rPr>
      <w:sz w:val="18"/>
      <w:szCs w:val="18"/>
    </w:rPr>
  </w:style>
  <w:style w:type="character" w:styleId="a7">
    <w:name w:val="annotation reference"/>
    <w:basedOn w:val="a0"/>
    <w:semiHidden/>
    <w:unhideWhenUsed/>
    <w:rsid w:val="00F37538"/>
    <w:rPr>
      <w:sz w:val="21"/>
      <w:szCs w:val="21"/>
    </w:rPr>
  </w:style>
  <w:style w:type="paragraph" w:styleId="a8">
    <w:name w:val="annotation text"/>
    <w:basedOn w:val="a"/>
    <w:link w:val="a9"/>
    <w:semiHidden/>
    <w:unhideWhenUsed/>
    <w:rsid w:val="00F37538"/>
  </w:style>
  <w:style w:type="character" w:customStyle="1" w:styleId="a9">
    <w:name w:val="批注文字 字符"/>
    <w:basedOn w:val="a0"/>
    <w:link w:val="a8"/>
    <w:semiHidden/>
    <w:rsid w:val="00F37538"/>
    <w:rPr>
      <w:sz w:val="24"/>
      <w:szCs w:val="24"/>
    </w:rPr>
  </w:style>
  <w:style w:type="paragraph" w:styleId="aa">
    <w:name w:val="annotation subject"/>
    <w:basedOn w:val="a8"/>
    <w:next w:val="a8"/>
    <w:link w:val="ab"/>
    <w:semiHidden/>
    <w:unhideWhenUsed/>
    <w:rsid w:val="00F37538"/>
    <w:rPr>
      <w:b/>
      <w:bCs/>
    </w:rPr>
  </w:style>
  <w:style w:type="character" w:customStyle="1" w:styleId="ab">
    <w:name w:val="批注主题 字符"/>
    <w:basedOn w:val="a9"/>
    <w:link w:val="aa"/>
    <w:semiHidden/>
    <w:rsid w:val="00F37538"/>
    <w:rPr>
      <w:b/>
      <w:bCs/>
      <w:sz w:val="24"/>
      <w:szCs w:val="24"/>
    </w:rPr>
  </w:style>
  <w:style w:type="paragraph" w:styleId="ac">
    <w:name w:val="Balloon Text"/>
    <w:basedOn w:val="a"/>
    <w:link w:val="ad"/>
    <w:rsid w:val="00F37538"/>
    <w:rPr>
      <w:sz w:val="18"/>
      <w:szCs w:val="18"/>
    </w:rPr>
  </w:style>
  <w:style w:type="character" w:customStyle="1" w:styleId="ad">
    <w:name w:val="批注框文本 字符"/>
    <w:basedOn w:val="a0"/>
    <w:link w:val="ac"/>
    <w:rsid w:val="00F375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2625</Words>
  <Characters>14968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2020-11-21T04:59:00Z</dcterms:created>
  <dcterms:modified xsi:type="dcterms:W3CDTF">2020-11-21T04:59:00Z</dcterms:modified>
</cp:coreProperties>
</file>