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B5643" w14:textId="3E903AC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Name of Journal: </w:t>
      </w:r>
      <w:r w:rsidRPr="00722A2A">
        <w:rPr>
          <w:rFonts w:ascii="Book Antiqua" w:eastAsia="Book Antiqua" w:hAnsi="Book Antiqua" w:cs="Book Antiqua"/>
          <w:i/>
          <w:color w:val="000000"/>
        </w:rPr>
        <w:t>World Journal of Clinical Cases</w:t>
      </w:r>
    </w:p>
    <w:p w14:paraId="39B92507" w14:textId="54A77BF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Manuscript NO: </w:t>
      </w:r>
      <w:r w:rsidRPr="00722A2A">
        <w:rPr>
          <w:rFonts w:ascii="Book Antiqua" w:eastAsia="Book Antiqua" w:hAnsi="Book Antiqua" w:cs="Book Antiqua"/>
          <w:color w:val="000000"/>
        </w:rPr>
        <w:t>59928</w:t>
      </w:r>
    </w:p>
    <w:p w14:paraId="0ECE4B79" w14:textId="161268A6"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Manuscript Type: </w:t>
      </w:r>
      <w:r w:rsidRPr="00722A2A">
        <w:rPr>
          <w:rFonts w:ascii="Book Antiqua" w:eastAsia="Book Antiqua" w:hAnsi="Book Antiqua" w:cs="Book Antiqua"/>
          <w:color w:val="000000"/>
        </w:rPr>
        <w:t>CASE REPORT</w:t>
      </w:r>
    </w:p>
    <w:p w14:paraId="1B3210D7" w14:textId="77777777" w:rsidR="002664DB" w:rsidRPr="00722A2A" w:rsidRDefault="002664DB" w:rsidP="00722A2A">
      <w:pPr>
        <w:adjustRightInd w:val="0"/>
        <w:snapToGrid w:val="0"/>
        <w:spacing w:line="360" w:lineRule="auto"/>
        <w:jc w:val="both"/>
        <w:rPr>
          <w:rFonts w:ascii="Book Antiqua" w:hAnsi="Book Antiqua" w:cs="Book Antiqua"/>
        </w:rPr>
      </w:pPr>
    </w:p>
    <w:p w14:paraId="6ABCBE34" w14:textId="77F3F01B"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Postoperative pain due to an occult spinal infection: A case report</w:t>
      </w:r>
    </w:p>
    <w:p w14:paraId="65D9B046" w14:textId="77777777" w:rsidR="002664DB" w:rsidRPr="00722A2A" w:rsidRDefault="002664DB" w:rsidP="00722A2A">
      <w:pPr>
        <w:adjustRightInd w:val="0"/>
        <w:snapToGrid w:val="0"/>
        <w:spacing w:line="360" w:lineRule="auto"/>
        <w:jc w:val="both"/>
        <w:rPr>
          <w:rFonts w:ascii="Book Antiqua" w:hAnsi="Book Antiqua" w:cs="Book Antiqua"/>
        </w:rPr>
      </w:pPr>
    </w:p>
    <w:p w14:paraId="6B4C5008" w14:textId="324585C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Vande Kerckhove MF </w:t>
      </w:r>
      <w:r w:rsidRPr="00722A2A">
        <w:rPr>
          <w:rFonts w:ascii="Book Antiqua" w:eastAsia="Book Antiqua" w:hAnsi="Book Antiqua" w:cs="Book Antiqua"/>
          <w:i/>
          <w:iCs/>
          <w:color w:val="000000"/>
        </w:rPr>
        <w:t>et al.</w:t>
      </w:r>
      <w:r w:rsidRPr="00722A2A">
        <w:rPr>
          <w:rFonts w:ascii="Book Antiqua" w:eastAsia="Book Antiqua" w:hAnsi="Book Antiqua" w:cs="Book Antiqua"/>
          <w:color w:val="000000"/>
        </w:rPr>
        <w:t xml:space="preserve"> Occult spinal infection</w:t>
      </w:r>
    </w:p>
    <w:p w14:paraId="69A7449B" w14:textId="77777777" w:rsidR="002664DB" w:rsidRPr="00722A2A" w:rsidRDefault="002664DB" w:rsidP="00722A2A">
      <w:pPr>
        <w:adjustRightInd w:val="0"/>
        <w:snapToGrid w:val="0"/>
        <w:spacing w:line="360" w:lineRule="auto"/>
        <w:jc w:val="both"/>
        <w:rPr>
          <w:rFonts w:ascii="Book Antiqua" w:hAnsi="Book Antiqua" w:cs="Book Antiqua"/>
        </w:rPr>
      </w:pPr>
    </w:p>
    <w:p w14:paraId="50FFD855" w14:textId="467892A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Michiel Frederik Vande Kerckhove, Vincent Fiere, Thais Dutra Vieira, Sami Bahroun, Marc Szadkowski, Henri d'Astorg</w:t>
      </w:r>
    </w:p>
    <w:p w14:paraId="021B0F8C" w14:textId="77777777" w:rsidR="002664DB" w:rsidRPr="00722A2A" w:rsidRDefault="002664DB" w:rsidP="00722A2A">
      <w:pPr>
        <w:adjustRightInd w:val="0"/>
        <w:snapToGrid w:val="0"/>
        <w:spacing w:line="360" w:lineRule="auto"/>
        <w:jc w:val="both"/>
        <w:rPr>
          <w:rFonts w:ascii="Book Antiqua" w:hAnsi="Book Antiqua" w:cs="Book Antiqua"/>
        </w:rPr>
      </w:pPr>
    </w:p>
    <w:p w14:paraId="63301917" w14:textId="605FFE95"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Michiel Frederik Vande Kerckhove, Vincent Fiere, </w:t>
      </w:r>
      <w:r w:rsidR="00467641" w:rsidRPr="00467641">
        <w:rPr>
          <w:rFonts w:ascii="Book Antiqua" w:eastAsia="Book Antiqua" w:hAnsi="Book Antiqua" w:cs="Book Antiqua"/>
          <w:b/>
          <w:bCs/>
          <w:color w:val="000000"/>
        </w:rPr>
        <w:t xml:space="preserve">Thais Dutra Vieira, </w:t>
      </w:r>
      <w:r w:rsidRPr="00722A2A">
        <w:rPr>
          <w:rFonts w:ascii="Book Antiqua" w:eastAsia="Book Antiqua" w:hAnsi="Book Antiqua" w:cs="Book Antiqua"/>
          <w:b/>
          <w:bCs/>
          <w:color w:val="000000"/>
        </w:rPr>
        <w:t xml:space="preserve">Sami Bahroun, Marc Szadkowski, Henri d'Astorg, </w:t>
      </w:r>
      <w:r w:rsidR="00663F8F" w:rsidRPr="00663F8F">
        <w:rPr>
          <w:rFonts w:ascii="Book Antiqua" w:eastAsia="Book Antiqua" w:hAnsi="Book Antiqua" w:cs="Book Antiqua"/>
          <w:color w:val="000000"/>
        </w:rPr>
        <w:t>Centre Orthopédique Santy, Lyon, France; Hopital Privé Jean Mermoz, Ramsay-Générale de Santé, Lyon, France</w:t>
      </w:r>
    </w:p>
    <w:p w14:paraId="7AB31445" w14:textId="77777777" w:rsidR="002664DB" w:rsidRPr="00722A2A" w:rsidRDefault="002664DB" w:rsidP="00722A2A">
      <w:pPr>
        <w:adjustRightInd w:val="0"/>
        <w:snapToGrid w:val="0"/>
        <w:spacing w:line="360" w:lineRule="auto"/>
        <w:jc w:val="both"/>
        <w:rPr>
          <w:rFonts w:ascii="Book Antiqua" w:hAnsi="Book Antiqua" w:cs="Book Antiqua"/>
        </w:rPr>
      </w:pPr>
    </w:p>
    <w:p w14:paraId="431D91C1" w14:textId="26D86050"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Author contributions: </w:t>
      </w:r>
      <w:r w:rsidRPr="00722A2A">
        <w:rPr>
          <w:rFonts w:ascii="Book Antiqua" w:eastAsia="Book Antiqua" w:hAnsi="Book Antiqua" w:cs="Book Antiqua"/>
          <w:color w:val="000000"/>
        </w:rPr>
        <w:t>Vande Kerckhove MF, Fiere V, Vieira TD, Bahroun S, Szadkowski M, and d'Astorg H substantially contributed to the conception or design of the work; or the acquisition, analysis, or interpretation of data for the work; Vande Kerckhove MF, Vieira TD, Szadkowski M, and d’Astorg H drafted the work or revising it critically for important intellectual content; all authors agreed to be accountable for all aspects of the work in ensuring that questions related to the accuracy or integrity of any part of the work are appropriately investigated and resolved; and all authors made final approval of the version to be published.</w:t>
      </w:r>
    </w:p>
    <w:p w14:paraId="606D6829" w14:textId="77777777" w:rsidR="002664DB" w:rsidRPr="00722A2A" w:rsidRDefault="002664DB" w:rsidP="00722A2A">
      <w:pPr>
        <w:adjustRightInd w:val="0"/>
        <w:snapToGrid w:val="0"/>
        <w:spacing w:line="360" w:lineRule="auto"/>
        <w:jc w:val="both"/>
        <w:rPr>
          <w:rFonts w:ascii="Book Antiqua" w:hAnsi="Book Antiqua" w:cs="Book Antiqua"/>
        </w:rPr>
      </w:pPr>
    </w:p>
    <w:p w14:paraId="6041DEEF" w14:textId="0430D60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Corresponding author: Thais Dutra Vieira, MD, Research Scientist, Surgeon,</w:t>
      </w:r>
      <w:r w:rsidRPr="00722A2A">
        <w:rPr>
          <w:rFonts w:ascii="Book Antiqua" w:eastAsia="Book Antiqua" w:hAnsi="Book Antiqua" w:cs="Book Antiqua"/>
          <w:color w:val="000000"/>
        </w:rPr>
        <w:t xml:space="preserve"> Centre Orthopedique Santy, 24 Avenue Paul Santy, Lyon 69008, France. thaisdutravieira@hotmail.com</w:t>
      </w:r>
    </w:p>
    <w:p w14:paraId="5A126232" w14:textId="77777777" w:rsidR="002664DB" w:rsidRPr="00722A2A" w:rsidRDefault="002664DB" w:rsidP="00722A2A">
      <w:pPr>
        <w:adjustRightInd w:val="0"/>
        <w:snapToGrid w:val="0"/>
        <w:spacing w:line="360" w:lineRule="auto"/>
        <w:jc w:val="both"/>
        <w:rPr>
          <w:rFonts w:ascii="Book Antiqua" w:hAnsi="Book Antiqua" w:cs="Book Antiqua"/>
        </w:rPr>
      </w:pPr>
    </w:p>
    <w:p w14:paraId="0E4DFD2C" w14:textId="0088917A"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Received: </w:t>
      </w:r>
      <w:r w:rsidRPr="00722A2A">
        <w:rPr>
          <w:rFonts w:ascii="Book Antiqua" w:eastAsia="Book Antiqua" w:hAnsi="Book Antiqua" w:cs="Book Antiqua"/>
          <w:color w:val="000000"/>
        </w:rPr>
        <w:t>October 7, 2020</w:t>
      </w:r>
    </w:p>
    <w:p w14:paraId="60F62EC4" w14:textId="733E258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lastRenderedPageBreak/>
        <w:t xml:space="preserve">Revised: </w:t>
      </w:r>
      <w:r w:rsidRPr="00722A2A">
        <w:rPr>
          <w:rFonts w:ascii="Book Antiqua" w:eastAsia="Book Antiqua" w:hAnsi="Book Antiqua" w:cs="Book Antiqua"/>
          <w:color w:val="000000"/>
        </w:rPr>
        <w:t>December 28, 2020</w:t>
      </w:r>
    </w:p>
    <w:p w14:paraId="5F6CEE5E" w14:textId="551EC8C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Accepted: </w:t>
      </w:r>
      <w:r w:rsidR="005A62F6" w:rsidRPr="005A62F6">
        <w:rPr>
          <w:rFonts w:ascii="Book Antiqua" w:eastAsia="Book Antiqua" w:hAnsi="Book Antiqua" w:cs="Book Antiqua"/>
          <w:color w:val="000000"/>
        </w:rPr>
        <w:t>March 19, 2021</w:t>
      </w:r>
    </w:p>
    <w:p w14:paraId="71016BD4" w14:textId="6CB56D8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Published online: </w:t>
      </w:r>
      <w:r w:rsidR="00D04755" w:rsidRPr="00D04755">
        <w:rPr>
          <w:rFonts w:ascii="Book Antiqua" w:eastAsia="Book Antiqua" w:hAnsi="Book Antiqua" w:cs="Book Antiqua"/>
          <w:color w:val="000000"/>
        </w:rPr>
        <w:t xml:space="preserve">May </w:t>
      </w:r>
      <w:r w:rsidR="000E0DDF">
        <w:rPr>
          <w:rFonts w:ascii="Book Antiqua" w:eastAsia="Book Antiqua" w:hAnsi="Book Antiqua" w:cs="Book Antiqua"/>
          <w:color w:val="000000"/>
        </w:rPr>
        <w:t>2</w:t>
      </w:r>
      <w:r w:rsidR="00D04755" w:rsidRPr="00D04755">
        <w:rPr>
          <w:rFonts w:ascii="Book Antiqua" w:eastAsia="Book Antiqua" w:hAnsi="Book Antiqua" w:cs="Book Antiqua"/>
          <w:color w:val="000000"/>
        </w:rPr>
        <w:t>6</w:t>
      </w:r>
      <w:r w:rsidR="00D04755">
        <w:rPr>
          <w:rFonts w:ascii="Book Antiqua" w:eastAsia="Book Antiqua" w:hAnsi="Book Antiqua" w:cs="Book Antiqua"/>
          <w:color w:val="000000"/>
        </w:rPr>
        <w:t>, 2021</w:t>
      </w:r>
    </w:p>
    <w:p w14:paraId="5E92A27E" w14:textId="77777777" w:rsidR="002664DB" w:rsidRPr="00722A2A" w:rsidRDefault="002664DB" w:rsidP="00722A2A">
      <w:pPr>
        <w:adjustRightInd w:val="0"/>
        <w:snapToGrid w:val="0"/>
        <w:spacing w:line="360" w:lineRule="auto"/>
        <w:jc w:val="both"/>
        <w:rPr>
          <w:rFonts w:ascii="Book Antiqua" w:hAnsi="Book Antiqua" w:cs="Book Antiqua"/>
        </w:rPr>
        <w:sectPr w:rsidR="002664DB" w:rsidRPr="00722A2A">
          <w:footerReference w:type="default" r:id="rId8"/>
          <w:pgSz w:w="12240" w:h="15840"/>
          <w:pgMar w:top="1440" w:right="1440" w:bottom="1440" w:left="1440" w:header="720" w:footer="720" w:gutter="0"/>
          <w:cols w:space="720"/>
          <w:docGrid w:linePitch="360"/>
        </w:sectPr>
      </w:pPr>
    </w:p>
    <w:p w14:paraId="3A70ACFE"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Abstract</w:t>
      </w:r>
    </w:p>
    <w:p w14:paraId="0FA9515C"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BACKGROUND</w:t>
      </w:r>
    </w:p>
    <w:p w14:paraId="6DA2FC07" w14:textId="2D8EF07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A high degree of vigilance is warranted for a spinal infection, particularly in a patient who has undergone an invasive procedure such as a spinal injection. The average delay in diagnosing a spinal infection is 2</w:t>
      </w:r>
      <w:r w:rsidRPr="00722A2A">
        <w:rPr>
          <w:rFonts w:ascii="Book Antiqua" w:eastAsia="宋体" w:hAnsi="Book Antiqua" w:cs="Book Antiqua"/>
          <w:color w:val="000000"/>
          <w:lang w:eastAsia="zh-CN"/>
        </w:rPr>
        <w:t>-</w:t>
      </w:r>
      <w:r w:rsidRPr="00722A2A">
        <w:rPr>
          <w:rFonts w:ascii="Book Antiqua" w:eastAsia="Book Antiqua" w:hAnsi="Book Antiqua" w:cs="Book Antiqua"/>
          <w:color w:val="000000"/>
        </w:rPr>
        <w:t>4 mo. In our patient, the diagnosis of a spinal infection was delayed by 1.5 mo.</w:t>
      </w:r>
    </w:p>
    <w:p w14:paraId="20AB8EEF" w14:textId="77777777" w:rsidR="002664DB" w:rsidRPr="00722A2A" w:rsidRDefault="002664DB" w:rsidP="00722A2A">
      <w:pPr>
        <w:adjustRightInd w:val="0"/>
        <w:snapToGrid w:val="0"/>
        <w:spacing w:line="360" w:lineRule="auto"/>
        <w:jc w:val="both"/>
        <w:rPr>
          <w:rFonts w:ascii="Book Antiqua" w:hAnsi="Book Antiqua" w:cs="Book Antiqua"/>
        </w:rPr>
      </w:pPr>
    </w:p>
    <w:p w14:paraId="709719FF" w14:textId="0C6C82F2"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CASE SUMMARY</w:t>
      </w:r>
    </w:p>
    <w:p w14:paraId="6FCD4E29" w14:textId="06726CBD"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A 60-year-old male patient with a 1-year history of right-sided lumbar radicular pain failed conservative treatment. Six weeks to prior to surgery he received a spinal injection, which was followed by increasing lumbar radicular pain, weight loss and chills. This went unnoticed and surgery took place with right-sided L4-L5 combined microdiscectomy and foraminotomy </w:t>
      </w:r>
      <w:r w:rsidRPr="00722A2A">
        <w:rPr>
          <w:rFonts w:ascii="Book Antiqua" w:eastAsia="Book Antiqua" w:hAnsi="Book Antiqua" w:cs="Book Antiqua"/>
          <w:i/>
          <w:iCs/>
          <w:color w:val="000000"/>
        </w:rPr>
        <w:t>via</w:t>
      </w:r>
      <w:r w:rsidRPr="00722A2A">
        <w:rPr>
          <w:rFonts w:ascii="Book Antiqua" w:eastAsia="Book Antiqua" w:hAnsi="Book Antiqua" w:cs="Book Antiqua"/>
          <w:color w:val="000000"/>
        </w:rPr>
        <w:t xml:space="preserve"> a posterior approach. The day after surgery, the patient developed left-sided lumbar radicular pain. Blood cultures grew </w:t>
      </w:r>
      <w:r w:rsidRPr="00722A2A">
        <w:rPr>
          <w:rFonts w:ascii="Book Antiqua" w:eastAsia="Book Antiqua" w:hAnsi="Book Antiqua" w:cs="Book Antiqua"/>
          <w:i/>
          <w:iCs/>
          <w:color w:val="000000"/>
        </w:rPr>
        <w:t xml:space="preserve">Staphylococcus aureus </w:t>
      </w:r>
      <w:r w:rsidRPr="00722A2A">
        <w:rPr>
          <w:rFonts w:ascii="Book Antiqua" w:eastAsia="Book Antiqua" w:hAnsi="Book Antiqua" w:cs="Book Antiqua"/>
          <w:color w:val="000000"/>
        </w:rPr>
        <w:t>(</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xml:space="preserve">). Magnetic resonance imaging showed inflammatory aberrations, revealing septic arthritis of the left-sided L4/L5 facet joint as the probable cause. Revision surgery took place and </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xml:space="preserve"> was isolated from bacteriological samples. The patient received postoperative antibiotic treatment, which completely eradicated the infection.</w:t>
      </w:r>
    </w:p>
    <w:p w14:paraId="323C64EB" w14:textId="77777777" w:rsidR="002664DB" w:rsidRPr="00722A2A" w:rsidRDefault="002664DB" w:rsidP="00722A2A">
      <w:pPr>
        <w:adjustRightInd w:val="0"/>
        <w:snapToGrid w:val="0"/>
        <w:spacing w:line="360" w:lineRule="auto"/>
        <w:jc w:val="both"/>
        <w:rPr>
          <w:rFonts w:ascii="Book Antiqua" w:hAnsi="Book Antiqua" w:cs="Book Antiqua"/>
        </w:rPr>
      </w:pPr>
    </w:p>
    <w:p w14:paraId="51F8661C"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CONCLUSION</w:t>
      </w:r>
    </w:p>
    <w:p w14:paraId="417218BD" w14:textId="22E1C258" w:rsidR="002664DB" w:rsidRPr="00722A2A" w:rsidRDefault="00C619C0"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T</w:t>
      </w:r>
      <w:r w:rsidR="004C1FD8" w:rsidRPr="00722A2A">
        <w:rPr>
          <w:rFonts w:ascii="Book Antiqua" w:eastAsia="Book Antiqua" w:hAnsi="Book Antiqua" w:cs="Book Antiqua"/>
          <w:color w:val="000000"/>
        </w:rPr>
        <w:t>he development of postoperative lower back pain and/or lumbar radicular pain can be a sign of a spinal infection. A thorough clinical and laboratory work-up is essential in the preoperative evaluation of patients with spinal pain.</w:t>
      </w:r>
    </w:p>
    <w:p w14:paraId="512BD8F6" w14:textId="77777777" w:rsidR="002664DB" w:rsidRPr="00722A2A" w:rsidRDefault="002664DB" w:rsidP="00722A2A">
      <w:pPr>
        <w:adjustRightInd w:val="0"/>
        <w:snapToGrid w:val="0"/>
        <w:spacing w:line="360" w:lineRule="auto"/>
        <w:jc w:val="both"/>
        <w:rPr>
          <w:rFonts w:ascii="Book Antiqua" w:hAnsi="Book Antiqua" w:cs="Book Antiqua"/>
        </w:rPr>
      </w:pPr>
    </w:p>
    <w:p w14:paraId="1A2F2817" w14:textId="418EA00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Key Words: </w:t>
      </w:r>
      <w:r w:rsidRPr="00722A2A">
        <w:rPr>
          <w:rFonts w:ascii="Book Antiqua" w:eastAsia="Book Antiqua" w:hAnsi="Book Antiqua" w:cs="Book Antiqua"/>
          <w:color w:val="000000"/>
        </w:rPr>
        <w:t xml:space="preserve">Arthritis; Septic; Lumbar region; Disc </w:t>
      </w:r>
      <w:r w:rsidR="00C619C0" w:rsidRPr="00722A2A">
        <w:rPr>
          <w:rFonts w:ascii="Book Antiqua" w:eastAsia="Book Antiqua" w:hAnsi="Book Antiqua" w:cs="Book Antiqua"/>
          <w:color w:val="000000"/>
        </w:rPr>
        <w:t>h</w:t>
      </w:r>
      <w:r w:rsidRPr="00722A2A">
        <w:rPr>
          <w:rFonts w:ascii="Book Antiqua" w:eastAsia="Book Antiqua" w:hAnsi="Book Antiqua" w:cs="Book Antiqua"/>
          <w:color w:val="000000"/>
        </w:rPr>
        <w:t>erniated; Spinal injections; Case report</w:t>
      </w:r>
    </w:p>
    <w:p w14:paraId="5423134D" w14:textId="77777777" w:rsidR="00735599" w:rsidRDefault="00735599" w:rsidP="00735599">
      <w:pPr>
        <w:spacing w:line="360" w:lineRule="auto"/>
        <w:jc w:val="both"/>
        <w:rPr>
          <w:lang w:eastAsia="zh-CN"/>
        </w:rPr>
      </w:pPr>
    </w:p>
    <w:p w14:paraId="60A8542D" w14:textId="77777777" w:rsidR="00735599" w:rsidRPr="00026CB8" w:rsidRDefault="00735599" w:rsidP="0073559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E21C237" w14:textId="77777777" w:rsidR="002664DB" w:rsidRPr="00722A2A" w:rsidRDefault="002664DB" w:rsidP="00722A2A">
      <w:pPr>
        <w:adjustRightInd w:val="0"/>
        <w:snapToGrid w:val="0"/>
        <w:spacing w:line="360" w:lineRule="auto"/>
        <w:jc w:val="both"/>
        <w:rPr>
          <w:rFonts w:ascii="Book Antiqua" w:hAnsi="Book Antiqua" w:cs="Book Antiqua"/>
        </w:rPr>
      </w:pPr>
    </w:p>
    <w:p w14:paraId="6D3BD465" w14:textId="6A64BE18" w:rsidR="00A372CD" w:rsidRDefault="006A736A" w:rsidP="00722A2A">
      <w:pPr>
        <w:adjustRightInd w:val="0"/>
        <w:snapToGrid w:val="0"/>
        <w:spacing w:line="360" w:lineRule="auto"/>
        <w:jc w:val="both"/>
        <w:rPr>
          <w:rFonts w:ascii="Book Antiqua" w:eastAsiaTheme="minorEastAsia" w:hAnsi="Book Antiqua" w:cs="Book Antiqua" w:hint="eastAsia"/>
          <w:color w:val="000000"/>
          <w:lang w:eastAsia="zh-CN"/>
        </w:rPr>
      </w:pPr>
      <w:r w:rsidRPr="006A736A">
        <w:rPr>
          <w:rFonts w:ascii="Book Antiqua" w:eastAsiaTheme="minorEastAsia" w:hAnsi="Book Antiqua" w:cs="Book Antiqua" w:hint="eastAsia"/>
          <w:b/>
          <w:color w:val="000000"/>
          <w:lang w:eastAsia="zh-CN"/>
        </w:rPr>
        <w:t xml:space="preserve">Citation: </w:t>
      </w:r>
      <w:r w:rsidR="004C1FD8" w:rsidRPr="00722A2A">
        <w:rPr>
          <w:rFonts w:ascii="Book Antiqua" w:eastAsia="Book Antiqua" w:hAnsi="Book Antiqua" w:cs="Book Antiqua"/>
          <w:color w:val="000000"/>
        </w:rPr>
        <w:t xml:space="preserve">Vande Kerckhove MF, Fiere V, Vieira TD, Bahroun S, Szadkowski M, d'Astorg H. Postoperative pain due to an occult spinal infection: A case report. </w:t>
      </w:r>
      <w:r w:rsidR="004C1FD8" w:rsidRPr="00722A2A">
        <w:rPr>
          <w:rFonts w:ascii="Book Antiqua" w:eastAsia="Book Antiqua" w:hAnsi="Book Antiqua" w:cs="Book Antiqua"/>
          <w:i/>
          <w:iCs/>
          <w:color w:val="000000"/>
        </w:rPr>
        <w:t>World J Clin Cases</w:t>
      </w:r>
      <w:r w:rsidR="004C1FD8" w:rsidRPr="00722A2A">
        <w:rPr>
          <w:rFonts w:ascii="Book Antiqua" w:eastAsia="Book Antiqua" w:hAnsi="Book Antiqua" w:cs="Book Antiqua"/>
          <w:color w:val="000000"/>
        </w:rPr>
        <w:t xml:space="preserve"> </w:t>
      </w:r>
      <w:r w:rsidR="00C37B8A" w:rsidRPr="00C37B8A">
        <w:rPr>
          <w:rFonts w:ascii="Book Antiqua" w:eastAsia="Book Antiqua" w:hAnsi="Book Antiqua" w:cs="Book Antiqua"/>
          <w:color w:val="000000"/>
        </w:rPr>
        <w:t>2021; 9(1</w:t>
      </w:r>
      <w:r w:rsidR="000E0DDF">
        <w:rPr>
          <w:rFonts w:ascii="Book Antiqua" w:eastAsia="Book Antiqua" w:hAnsi="Book Antiqua" w:cs="Book Antiqua"/>
          <w:color w:val="000000"/>
        </w:rPr>
        <w:t>5</w:t>
      </w:r>
      <w:r w:rsidR="00C37B8A" w:rsidRPr="00C37B8A">
        <w:rPr>
          <w:rFonts w:ascii="Book Antiqua" w:eastAsia="Book Antiqua" w:hAnsi="Book Antiqua" w:cs="Book Antiqua"/>
          <w:color w:val="000000"/>
        </w:rPr>
        <w:t xml:space="preserve">): </w:t>
      </w:r>
      <w:r w:rsidR="00C37D4E" w:rsidRPr="00C37D4E">
        <w:rPr>
          <w:rFonts w:ascii="Book Antiqua" w:eastAsia="Book Antiqua" w:hAnsi="Book Antiqua" w:cs="Book Antiqua"/>
          <w:color w:val="000000"/>
        </w:rPr>
        <w:t>3637-3643</w:t>
      </w:r>
      <w:r w:rsidR="00C37B8A" w:rsidRPr="00C37B8A">
        <w:rPr>
          <w:rFonts w:ascii="Book Antiqua" w:eastAsia="Book Antiqua" w:hAnsi="Book Antiqua" w:cs="Book Antiqua"/>
          <w:color w:val="000000"/>
        </w:rPr>
        <w:t xml:space="preserve">  </w:t>
      </w:r>
    </w:p>
    <w:p w14:paraId="3AF707B3" w14:textId="77777777" w:rsidR="00A372CD" w:rsidRDefault="00C37B8A" w:rsidP="00722A2A">
      <w:pPr>
        <w:adjustRightInd w:val="0"/>
        <w:snapToGrid w:val="0"/>
        <w:spacing w:line="360" w:lineRule="auto"/>
        <w:jc w:val="both"/>
        <w:rPr>
          <w:rFonts w:ascii="Book Antiqua" w:eastAsiaTheme="minorEastAsia" w:hAnsi="Book Antiqua" w:cs="Book Antiqua" w:hint="eastAsia"/>
          <w:color w:val="000000"/>
          <w:lang w:eastAsia="zh-CN"/>
        </w:rPr>
      </w:pPr>
      <w:r w:rsidRPr="006A736A">
        <w:rPr>
          <w:rFonts w:ascii="Book Antiqua" w:eastAsia="Book Antiqua" w:hAnsi="Book Antiqua" w:cs="Book Antiqua"/>
          <w:b/>
          <w:color w:val="000000"/>
        </w:rPr>
        <w:t>URL:</w:t>
      </w:r>
      <w:r w:rsidRPr="00C37B8A">
        <w:rPr>
          <w:rFonts w:ascii="Book Antiqua" w:eastAsia="Book Antiqua" w:hAnsi="Book Antiqua" w:cs="Book Antiqua"/>
          <w:color w:val="000000"/>
        </w:rPr>
        <w:t xml:space="preserve"> https://www.wjgnet.com/2307-8960/full/v9/i1</w:t>
      </w:r>
      <w:r w:rsidR="000E0DDF">
        <w:rPr>
          <w:rFonts w:ascii="Book Antiqua" w:eastAsia="Book Antiqua" w:hAnsi="Book Antiqua" w:cs="Book Antiqua"/>
          <w:color w:val="000000"/>
        </w:rPr>
        <w:t>5</w:t>
      </w:r>
      <w:r w:rsidRPr="00C37B8A">
        <w:rPr>
          <w:rFonts w:ascii="Book Antiqua" w:eastAsia="Book Antiqua" w:hAnsi="Book Antiqua" w:cs="Book Antiqua"/>
          <w:color w:val="000000"/>
        </w:rPr>
        <w:t>/</w:t>
      </w:r>
      <w:r w:rsidR="00200472">
        <w:rPr>
          <w:rFonts w:ascii="Book Antiqua" w:eastAsiaTheme="minorEastAsia" w:hAnsi="Book Antiqua" w:cs="Book Antiqua" w:hint="eastAsia"/>
          <w:color w:val="000000"/>
          <w:lang w:eastAsia="zh-CN"/>
        </w:rPr>
        <w:t>3637</w:t>
      </w:r>
      <w:r w:rsidRPr="00C37B8A">
        <w:rPr>
          <w:rFonts w:ascii="Book Antiqua" w:eastAsia="Book Antiqua" w:hAnsi="Book Antiqua" w:cs="Book Antiqua"/>
          <w:color w:val="000000"/>
        </w:rPr>
        <w:t xml:space="preserve">.htm  </w:t>
      </w:r>
    </w:p>
    <w:p w14:paraId="102472E1" w14:textId="31EF3ACA" w:rsidR="002664DB" w:rsidRPr="00AC3603" w:rsidRDefault="00C37B8A" w:rsidP="00722A2A">
      <w:pPr>
        <w:adjustRightInd w:val="0"/>
        <w:snapToGrid w:val="0"/>
        <w:spacing w:line="360" w:lineRule="auto"/>
        <w:jc w:val="both"/>
        <w:rPr>
          <w:rFonts w:ascii="Book Antiqua" w:eastAsiaTheme="minorEastAsia" w:hAnsi="Book Antiqua" w:cs="Book Antiqua" w:hint="eastAsia"/>
          <w:lang w:eastAsia="zh-CN"/>
        </w:rPr>
      </w:pPr>
      <w:r w:rsidRPr="006A736A">
        <w:rPr>
          <w:rFonts w:ascii="Book Antiqua" w:eastAsia="Book Antiqua" w:hAnsi="Book Antiqua" w:cs="Book Antiqua"/>
          <w:b/>
          <w:color w:val="000000"/>
        </w:rPr>
        <w:t>DOI:</w:t>
      </w:r>
      <w:r w:rsidRPr="00C37B8A">
        <w:rPr>
          <w:rFonts w:ascii="Book Antiqua" w:eastAsia="Book Antiqua" w:hAnsi="Book Antiqua" w:cs="Book Antiqua"/>
          <w:color w:val="000000"/>
        </w:rPr>
        <w:t xml:space="preserve"> https://dx.doi.org/10.12998/wjcc.v9.i1</w:t>
      </w:r>
      <w:r w:rsidR="000E0DDF">
        <w:rPr>
          <w:rFonts w:ascii="Book Antiqua" w:eastAsia="Book Antiqua" w:hAnsi="Book Antiqua" w:cs="Book Antiqua"/>
          <w:color w:val="000000"/>
        </w:rPr>
        <w:t>5</w:t>
      </w:r>
      <w:r w:rsidRPr="00C37B8A">
        <w:rPr>
          <w:rFonts w:ascii="Book Antiqua" w:eastAsia="Book Antiqua" w:hAnsi="Book Antiqua" w:cs="Book Antiqua"/>
          <w:color w:val="000000"/>
        </w:rPr>
        <w:t>.</w:t>
      </w:r>
      <w:r w:rsidR="00AC3603">
        <w:rPr>
          <w:rFonts w:ascii="Book Antiqua" w:eastAsiaTheme="minorEastAsia" w:hAnsi="Book Antiqua" w:cs="Book Antiqua" w:hint="eastAsia"/>
          <w:color w:val="000000"/>
          <w:lang w:eastAsia="zh-CN"/>
        </w:rPr>
        <w:t>3637</w:t>
      </w:r>
    </w:p>
    <w:p w14:paraId="6157CC5F" w14:textId="77777777" w:rsidR="002664DB" w:rsidRPr="00722A2A" w:rsidRDefault="002664DB" w:rsidP="00722A2A">
      <w:pPr>
        <w:adjustRightInd w:val="0"/>
        <w:snapToGrid w:val="0"/>
        <w:spacing w:line="360" w:lineRule="auto"/>
        <w:jc w:val="both"/>
        <w:rPr>
          <w:rFonts w:ascii="Book Antiqua" w:hAnsi="Book Antiqua" w:cs="Book Antiqua"/>
        </w:rPr>
      </w:pPr>
    </w:p>
    <w:p w14:paraId="00483FEB" w14:textId="66C1E537" w:rsidR="002664DB" w:rsidRDefault="004C1FD8" w:rsidP="00722A2A">
      <w:pPr>
        <w:adjustRightInd w:val="0"/>
        <w:snapToGrid w:val="0"/>
        <w:spacing w:line="360" w:lineRule="auto"/>
        <w:jc w:val="both"/>
        <w:rPr>
          <w:rFonts w:ascii="Book Antiqua" w:eastAsia="Book Antiqua" w:hAnsi="Book Antiqua" w:cs="Book Antiqua"/>
          <w:color w:val="000000"/>
        </w:rPr>
      </w:pPr>
      <w:r w:rsidRPr="00722A2A">
        <w:rPr>
          <w:rFonts w:ascii="Book Antiqua" w:eastAsia="Book Antiqua" w:hAnsi="Book Antiqua" w:cs="Book Antiqua"/>
          <w:b/>
          <w:bCs/>
          <w:color w:val="000000"/>
        </w:rPr>
        <w:t xml:space="preserve">Core Tip: </w:t>
      </w:r>
      <w:r w:rsidRPr="00722A2A">
        <w:rPr>
          <w:rFonts w:ascii="Book Antiqua" w:eastAsia="Book Antiqua" w:hAnsi="Book Antiqua" w:cs="Book Antiqua"/>
          <w:color w:val="000000"/>
        </w:rPr>
        <w:t xml:space="preserve">This is the case report of a 60-year-old male patient with right-sided L4-L5 Lumbar disc herniation who underwent right-sided transforaminal injection with no improvement and a decision was made to carry out surgery. On day 1 postoperatively he developed excruciating left-sided lumbar radicular pain. Investigations and retrospective analyses demonstrated left-sided septic L4-L5 facet joint arthritis caused by </w:t>
      </w:r>
      <w:r w:rsidRPr="00722A2A">
        <w:rPr>
          <w:rFonts w:ascii="Book Antiqua" w:eastAsia="Book Antiqua" w:hAnsi="Book Antiqua" w:cs="Book Antiqua"/>
          <w:i/>
          <w:iCs/>
          <w:color w:val="000000"/>
        </w:rPr>
        <w:t>Staphylococcus aureus</w:t>
      </w:r>
      <w:r w:rsidRPr="00722A2A">
        <w:rPr>
          <w:rFonts w:ascii="Book Antiqua" w:eastAsia="Book Antiqua" w:hAnsi="Book Antiqua" w:cs="Book Antiqua"/>
          <w:color w:val="000000"/>
        </w:rPr>
        <w:t>, most probably as a result of the spinal injections 6 wk prior to surgery. The infection was successfully treated with revision surgery and antibiotic therapy.</w:t>
      </w:r>
    </w:p>
    <w:p w14:paraId="37834CDE" w14:textId="77777777" w:rsidR="00431F1F" w:rsidRPr="00722A2A" w:rsidRDefault="00431F1F" w:rsidP="00722A2A">
      <w:pPr>
        <w:adjustRightInd w:val="0"/>
        <w:snapToGrid w:val="0"/>
        <w:spacing w:line="360" w:lineRule="auto"/>
        <w:jc w:val="both"/>
        <w:rPr>
          <w:rFonts w:ascii="Book Antiqua" w:hAnsi="Book Antiqua" w:cs="Book Antiqua"/>
        </w:rPr>
      </w:pPr>
    </w:p>
    <w:p w14:paraId="53A401A9" w14:textId="77777777" w:rsidR="008A2256" w:rsidRDefault="008A2256" w:rsidP="00722A2A">
      <w:pPr>
        <w:adjustRightInd w:val="0"/>
        <w:snapToGrid w:val="0"/>
        <w:spacing w:line="360" w:lineRule="auto"/>
        <w:jc w:val="both"/>
        <w:rPr>
          <w:rFonts w:ascii="Book Antiqua" w:hAnsi="Book Antiqua" w:cs="Book Antiqua"/>
        </w:rPr>
        <w:sectPr w:rsidR="008A2256">
          <w:pgSz w:w="12240" w:h="15840"/>
          <w:pgMar w:top="1440" w:right="1440" w:bottom="1440" w:left="1440" w:header="720" w:footer="720" w:gutter="0"/>
          <w:cols w:space="720"/>
          <w:docGrid w:linePitch="360"/>
        </w:sectPr>
      </w:pPr>
    </w:p>
    <w:p w14:paraId="269F65C0"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INTRODUCTION</w:t>
      </w:r>
    </w:p>
    <w:p w14:paraId="4C0F4A72" w14:textId="10DE4240"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Lumbar disc herniation (LDH) is a common cause of lower back pain and lumbar radicular pain. Conservative treatment consisting of analgesic drugs, anti-inflammatory drugs and adapted movement is generally favourable in the general population, with complete recovery in 70%</w:t>
      </w:r>
      <w:r w:rsidR="008A2256">
        <w:rPr>
          <w:rFonts w:ascii="Book Antiqua" w:eastAsia="Book Antiqua" w:hAnsi="Book Antiqua" w:cs="Book Antiqua"/>
          <w:color w:val="000000"/>
        </w:rPr>
        <w:t>-</w:t>
      </w:r>
      <w:r w:rsidRPr="00722A2A">
        <w:rPr>
          <w:rFonts w:ascii="Book Antiqua" w:eastAsia="Book Antiqua" w:hAnsi="Book Antiqua" w:cs="Book Antiqua"/>
          <w:color w:val="000000"/>
        </w:rPr>
        <w:t>80% of cases</w:t>
      </w:r>
      <w:r w:rsidRPr="00722A2A">
        <w:rPr>
          <w:rFonts w:ascii="Book Antiqua" w:eastAsia="Book Antiqua" w:hAnsi="Book Antiqua" w:cs="Book Antiqua"/>
          <w:color w:val="000000"/>
          <w:vertAlign w:val="superscript"/>
        </w:rPr>
        <w:t>[1]</w:t>
      </w:r>
      <w:r w:rsidRPr="00722A2A">
        <w:rPr>
          <w:rFonts w:ascii="Book Antiqua" w:eastAsia="Book Antiqua" w:hAnsi="Book Antiqua" w:cs="Book Antiqua"/>
          <w:color w:val="000000"/>
        </w:rPr>
        <w:t xml:space="preserve">. Spinal injections are commonly used as an additional treatment.  One of the potential risks of spinal injection is infection. A review by Windsor </w:t>
      </w:r>
      <w:r w:rsidRPr="00722A2A">
        <w:rPr>
          <w:rFonts w:ascii="Book Antiqua" w:eastAsia="Book Antiqua" w:hAnsi="Book Antiqua" w:cs="Book Antiqua"/>
          <w:i/>
          <w:iCs/>
          <w:color w:val="000000"/>
        </w:rPr>
        <w:t>et al</w:t>
      </w:r>
      <w:r w:rsidRPr="00722A2A">
        <w:rPr>
          <w:rFonts w:ascii="Book Antiqua" w:eastAsia="Book Antiqua" w:hAnsi="Book Antiqua" w:cs="Book Antiqua"/>
          <w:color w:val="000000"/>
          <w:vertAlign w:val="superscript"/>
        </w:rPr>
        <w:t>[2]</w:t>
      </w:r>
      <w:r w:rsidRPr="00722A2A">
        <w:rPr>
          <w:rFonts w:ascii="Book Antiqua" w:eastAsia="Book Antiqua" w:hAnsi="Book Antiqua" w:cs="Book Antiqua"/>
          <w:color w:val="000000"/>
        </w:rPr>
        <w:t xml:space="preserve"> reported the occurrence of infections after 1%</w:t>
      </w:r>
      <w:r w:rsidR="008A2256">
        <w:rPr>
          <w:rFonts w:ascii="Book Antiqua" w:eastAsia="Book Antiqua" w:hAnsi="Book Antiqua" w:cs="Book Antiqua"/>
          <w:color w:val="000000"/>
        </w:rPr>
        <w:t>-</w:t>
      </w:r>
      <w:r w:rsidRPr="00722A2A">
        <w:rPr>
          <w:rFonts w:ascii="Book Antiqua" w:eastAsia="Book Antiqua" w:hAnsi="Book Antiqua" w:cs="Book Antiqua"/>
          <w:color w:val="000000"/>
        </w:rPr>
        <w:t xml:space="preserve">2% and severe infections after 0.01%-0.1% of all spinal injections. </w:t>
      </w:r>
      <w:r w:rsidRPr="00722A2A">
        <w:rPr>
          <w:rFonts w:ascii="Book Antiqua" w:eastAsia="Book Antiqua" w:hAnsi="Book Antiqua" w:cs="Book Antiqua"/>
          <w:i/>
          <w:iCs/>
          <w:color w:val="000000"/>
        </w:rPr>
        <w:t xml:space="preserve">Staphylococcus aureus </w:t>
      </w:r>
      <w:r w:rsidRPr="00722A2A">
        <w:rPr>
          <w:rFonts w:ascii="Book Antiqua" w:eastAsia="Book Antiqua" w:hAnsi="Book Antiqua" w:cs="Book Antiqua"/>
          <w:color w:val="000000"/>
        </w:rPr>
        <w:t>(</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is the most common organism isolated and is thought to be introduced through the skin by needle puncture</w:t>
      </w:r>
      <w:r w:rsidRPr="00722A2A">
        <w:rPr>
          <w:rFonts w:ascii="Book Antiqua" w:eastAsia="Book Antiqua" w:hAnsi="Book Antiqua" w:cs="Book Antiqua"/>
          <w:color w:val="000000"/>
          <w:vertAlign w:val="superscript"/>
        </w:rPr>
        <w:t>[3]</w:t>
      </w:r>
      <w:r w:rsidRPr="00722A2A">
        <w:rPr>
          <w:rFonts w:ascii="Book Antiqua" w:eastAsia="Book Antiqua" w:hAnsi="Book Antiqua" w:cs="Book Antiqua"/>
          <w:color w:val="000000"/>
        </w:rPr>
        <w:t>.</w:t>
      </w:r>
    </w:p>
    <w:p w14:paraId="01A7CD23" w14:textId="55E09087"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 xml:space="preserve">We report the case of a patient with right-sided L4-L5 LDH. During conservative treatment he underwent right-sided transforaminal injection. This did not lead to an improvement in his symptoms and a decision was made to carry out surgery. In the immediate postoperative period, he progressed favourably with temporary relief of pain, but on day 1 postoperatively he developed excruciating left-sided lumbar radicular pain. Investigations and retrospective analyses demonstrated left-sided septic L4-L5 facet joint arthritis caused by </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most probably as a result of the spinal injections 6 wk prior to surgery. The infection was successfully treated with revision surgery and antibiotic therapy.</w:t>
      </w:r>
    </w:p>
    <w:p w14:paraId="576093C3" w14:textId="77777777" w:rsidR="006771F8" w:rsidRDefault="006771F8" w:rsidP="00722A2A">
      <w:pPr>
        <w:adjustRightInd w:val="0"/>
        <w:snapToGrid w:val="0"/>
        <w:spacing w:line="360" w:lineRule="auto"/>
        <w:jc w:val="both"/>
        <w:rPr>
          <w:rFonts w:ascii="Book Antiqua" w:hAnsi="Book Antiqua" w:cs="Book Antiqua"/>
        </w:rPr>
      </w:pPr>
    </w:p>
    <w:p w14:paraId="3B7315ED" w14:textId="100CD55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i/>
          <w:iCs/>
          <w:color w:val="000000"/>
        </w:rPr>
        <w:t>Statement of informed consent</w:t>
      </w:r>
      <w:r w:rsidRPr="00722A2A">
        <w:rPr>
          <w:rFonts w:ascii="Book Antiqua" w:eastAsia="Book Antiqua" w:hAnsi="Book Antiqua" w:cs="Book Antiqua"/>
          <w:i/>
          <w:iCs/>
          <w:color w:val="000000"/>
        </w:rPr>
        <w:t xml:space="preserve"> </w:t>
      </w:r>
    </w:p>
    <w:p w14:paraId="491CEA38" w14:textId="520C083C"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The patient was informed that data concerning the case would be submitted for publication and gave his consent. The study received institutional review board approval (COS-RGDS-2020-04-002-DASTORG-H).</w:t>
      </w:r>
    </w:p>
    <w:p w14:paraId="755242A7" w14:textId="77777777" w:rsidR="002664DB" w:rsidRPr="00722A2A" w:rsidRDefault="002664DB" w:rsidP="00722A2A">
      <w:pPr>
        <w:adjustRightInd w:val="0"/>
        <w:snapToGrid w:val="0"/>
        <w:spacing w:line="360" w:lineRule="auto"/>
        <w:jc w:val="both"/>
        <w:rPr>
          <w:rFonts w:ascii="Book Antiqua" w:hAnsi="Book Antiqua" w:cs="Book Antiqua"/>
        </w:rPr>
      </w:pPr>
    </w:p>
    <w:p w14:paraId="6FD3F87A" w14:textId="2EAD2A08"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CASE PRESENTATION</w:t>
      </w:r>
    </w:p>
    <w:p w14:paraId="31F04B3F" w14:textId="55E4AB0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Chief complaints</w:t>
      </w:r>
    </w:p>
    <w:p w14:paraId="6A836B27" w14:textId="32A62FB8"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A 60-year-old male patient was admitted to hospital for treatment of right-sided lumbar radicular pain. </w:t>
      </w:r>
    </w:p>
    <w:p w14:paraId="4EB2AB02" w14:textId="77777777" w:rsidR="002664DB" w:rsidRPr="00722A2A" w:rsidRDefault="002664DB" w:rsidP="00722A2A">
      <w:pPr>
        <w:adjustRightInd w:val="0"/>
        <w:snapToGrid w:val="0"/>
        <w:spacing w:line="360" w:lineRule="auto"/>
        <w:jc w:val="both"/>
        <w:rPr>
          <w:rFonts w:ascii="Book Antiqua" w:hAnsi="Book Antiqua" w:cs="Book Antiqua"/>
        </w:rPr>
      </w:pPr>
    </w:p>
    <w:p w14:paraId="37573E86" w14:textId="2AE300E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History of present illness</w:t>
      </w:r>
    </w:p>
    <w:p w14:paraId="29066982" w14:textId="675CC842"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Clinically, there was irradiating right leg pain in the L4 dermatome. The patient had a 1-year history of this symptom. </w:t>
      </w:r>
    </w:p>
    <w:p w14:paraId="760A56FF" w14:textId="77777777" w:rsidR="002664DB" w:rsidRPr="00722A2A" w:rsidRDefault="002664DB" w:rsidP="00722A2A">
      <w:pPr>
        <w:adjustRightInd w:val="0"/>
        <w:snapToGrid w:val="0"/>
        <w:spacing w:line="360" w:lineRule="auto"/>
        <w:jc w:val="both"/>
        <w:rPr>
          <w:rFonts w:ascii="Book Antiqua" w:hAnsi="Book Antiqua" w:cs="Book Antiqua"/>
        </w:rPr>
      </w:pPr>
    </w:p>
    <w:p w14:paraId="05B86C60" w14:textId="4525D048"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History of past illness</w:t>
      </w:r>
    </w:p>
    <w:p w14:paraId="0F225C8B" w14:textId="42A318C2"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He did not have a past history of low back pain or LDH.</w:t>
      </w:r>
    </w:p>
    <w:p w14:paraId="344506C8" w14:textId="77777777" w:rsidR="002664DB" w:rsidRPr="00722A2A" w:rsidRDefault="002664DB" w:rsidP="00722A2A">
      <w:pPr>
        <w:adjustRightInd w:val="0"/>
        <w:snapToGrid w:val="0"/>
        <w:spacing w:line="360" w:lineRule="auto"/>
        <w:jc w:val="both"/>
        <w:rPr>
          <w:rFonts w:ascii="Book Antiqua" w:hAnsi="Book Antiqua" w:cs="Book Antiqua"/>
        </w:rPr>
      </w:pPr>
    </w:p>
    <w:p w14:paraId="5721E8AB" w14:textId="2D540405"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Personal and family history</w:t>
      </w:r>
    </w:p>
    <w:p w14:paraId="4AE7C2EF" w14:textId="550D7F8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The patient had no clinically relevant comorbidities, except for being overweight (body mass index of 27). The patient had no prior relevant medical history. He was a non-smoker, had no allergies and was not diabetic. The patient didn’t have any family history related to low back pain or LDH.</w:t>
      </w:r>
    </w:p>
    <w:p w14:paraId="382E2A5C" w14:textId="77777777" w:rsidR="002664DB" w:rsidRPr="00722A2A" w:rsidRDefault="002664DB" w:rsidP="00722A2A">
      <w:pPr>
        <w:adjustRightInd w:val="0"/>
        <w:snapToGrid w:val="0"/>
        <w:spacing w:line="360" w:lineRule="auto"/>
        <w:jc w:val="both"/>
        <w:rPr>
          <w:rFonts w:ascii="Book Antiqua" w:hAnsi="Book Antiqua" w:cs="Book Antiqua"/>
        </w:rPr>
      </w:pPr>
    </w:p>
    <w:p w14:paraId="5E1BD599" w14:textId="50C8491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Physical examination</w:t>
      </w:r>
    </w:p>
    <w:p w14:paraId="6CDE480A" w14:textId="4F9F649C" w:rsidR="002664DB" w:rsidRPr="00722A2A" w:rsidRDefault="004C1FD8" w:rsidP="00722A2A">
      <w:pPr>
        <w:adjustRightInd w:val="0"/>
        <w:snapToGrid w:val="0"/>
        <w:spacing w:line="360" w:lineRule="auto"/>
        <w:jc w:val="both"/>
        <w:rPr>
          <w:rFonts w:ascii="Book Antiqua" w:eastAsia="Book Antiqua" w:hAnsi="Book Antiqua" w:cs="Book Antiqua"/>
          <w:color w:val="000000"/>
        </w:rPr>
      </w:pPr>
      <w:r w:rsidRPr="00722A2A">
        <w:rPr>
          <w:rFonts w:ascii="Book Antiqua" w:eastAsia="Book Antiqua" w:hAnsi="Book Antiqua" w:cs="Book Antiqua"/>
          <w:color w:val="000000"/>
        </w:rPr>
        <w:t>Physical examination demonstrated a motor deficit of his right quadriceps, with 4/5 strength.</w:t>
      </w:r>
    </w:p>
    <w:p w14:paraId="3499C896" w14:textId="77777777" w:rsidR="002664DB" w:rsidRPr="00722A2A" w:rsidRDefault="002664DB" w:rsidP="00722A2A">
      <w:pPr>
        <w:adjustRightInd w:val="0"/>
        <w:snapToGrid w:val="0"/>
        <w:spacing w:line="360" w:lineRule="auto"/>
        <w:jc w:val="both"/>
        <w:rPr>
          <w:rFonts w:ascii="Book Antiqua" w:hAnsi="Book Antiqua" w:cs="Book Antiqua"/>
        </w:rPr>
      </w:pPr>
    </w:p>
    <w:p w14:paraId="0AB0FB83" w14:textId="4F35594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Laboratory examinations</w:t>
      </w:r>
    </w:p>
    <w:p w14:paraId="42AD7BF9" w14:textId="008F0F5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Preoperative laboratory tests showed a white blood cell (WBC) count of 11 000/µl, normal creatinine and normal haemostatic parameters. C-reactive protein (CRP) and erythrocyte sedimentation rate (ESR) were not measured preoperatively as this is not done routinely in our department for non-instrumented spinal surgery. </w:t>
      </w:r>
    </w:p>
    <w:p w14:paraId="1479DFD1" w14:textId="77777777" w:rsidR="002664DB" w:rsidRPr="00722A2A" w:rsidRDefault="002664DB" w:rsidP="00722A2A">
      <w:pPr>
        <w:adjustRightInd w:val="0"/>
        <w:snapToGrid w:val="0"/>
        <w:spacing w:line="360" w:lineRule="auto"/>
        <w:jc w:val="both"/>
        <w:rPr>
          <w:rFonts w:ascii="Book Antiqua" w:hAnsi="Book Antiqua" w:cs="Book Antiqua"/>
        </w:rPr>
      </w:pPr>
    </w:p>
    <w:p w14:paraId="228C1F08" w14:textId="66A9B600" w:rsidR="002664DB" w:rsidRPr="00722A2A" w:rsidRDefault="004C1FD8" w:rsidP="00722A2A">
      <w:pPr>
        <w:adjustRightInd w:val="0"/>
        <w:snapToGrid w:val="0"/>
        <w:spacing w:line="360" w:lineRule="auto"/>
        <w:jc w:val="both"/>
        <w:rPr>
          <w:rFonts w:ascii="Book Antiqua" w:eastAsia="Book Antiqua" w:hAnsi="Book Antiqua" w:cs="Book Antiqua"/>
          <w:b/>
          <w:i/>
          <w:color w:val="000000"/>
        </w:rPr>
      </w:pPr>
      <w:r w:rsidRPr="00722A2A">
        <w:rPr>
          <w:rFonts w:ascii="Book Antiqua" w:eastAsia="Book Antiqua" w:hAnsi="Book Antiqua" w:cs="Book Antiqua"/>
          <w:b/>
          <w:i/>
          <w:color w:val="000000"/>
        </w:rPr>
        <w:t>Imaging examinations</w:t>
      </w:r>
    </w:p>
    <w:p w14:paraId="0B381BEA" w14:textId="2AF2AEB2" w:rsidR="00BC6CFA" w:rsidRPr="00722A2A" w:rsidRDefault="00BC6CFA" w:rsidP="00722A2A">
      <w:pPr>
        <w:adjustRightInd w:val="0"/>
        <w:snapToGrid w:val="0"/>
        <w:spacing w:line="360" w:lineRule="auto"/>
        <w:jc w:val="both"/>
        <w:rPr>
          <w:rFonts w:ascii="Book Antiqua" w:eastAsiaTheme="minorEastAsia" w:hAnsi="Book Antiqua"/>
          <w:lang w:eastAsia="zh-CN"/>
        </w:rPr>
      </w:pPr>
      <w:r w:rsidRPr="00722A2A">
        <w:rPr>
          <w:rFonts w:ascii="Book Antiqua" w:eastAsia="Calibri" w:hAnsi="Book Antiqua"/>
        </w:rPr>
        <w:t xml:space="preserve">A magnetic resonance imaging (MRI) scan performed 2 d before the last infiltration, 1.5 mo prior to surgery, showed right-sided L4-L5 foraminal LDH, with compression of the right L4 nerve root. Intra-articular fluid collection was seen in the facet joints of L4-L5, without the presence of other inflammatory findings in the L4-L5 area (Figure 1). </w:t>
      </w:r>
    </w:p>
    <w:p w14:paraId="02939523" w14:textId="3B24A341" w:rsidR="00BC6CFA" w:rsidRPr="00722A2A" w:rsidRDefault="00BC6CFA" w:rsidP="00722A2A">
      <w:pPr>
        <w:adjustRightInd w:val="0"/>
        <w:snapToGrid w:val="0"/>
        <w:spacing w:line="360" w:lineRule="auto"/>
        <w:ind w:firstLineChars="200" w:firstLine="480"/>
        <w:jc w:val="both"/>
        <w:rPr>
          <w:rFonts w:ascii="Book Antiqua" w:eastAsia="Calibri" w:hAnsi="Book Antiqua"/>
        </w:rPr>
      </w:pPr>
      <w:r w:rsidRPr="00722A2A">
        <w:rPr>
          <w:rFonts w:ascii="Book Antiqua" w:eastAsia="Calibri" w:hAnsi="Book Antiqua"/>
        </w:rPr>
        <w:t>He underwent extensive but unsuccessful conservative treatment with oral analgesics (paracetamol 1 g (1-1-1-1) and ibuprofen 600 mg (1-1-1)), rest and two right-sided L4-L5 transforaminal injections over a period of 1 year, with no clinical improvement. Over the last 3 mo, his level of pain had increased significantly, with a combination of irradiating right-sided leg pain and lower back pain.</w:t>
      </w:r>
    </w:p>
    <w:p w14:paraId="72CD0ADF" w14:textId="14032053" w:rsidR="00BC6CFA" w:rsidRPr="00722A2A" w:rsidRDefault="00BC6CFA" w:rsidP="00722A2A">
      <w:pPr>
        <w:adjustRightInd w:val="0"/>
        <w:snapToGrid w:val="0"/>
        <w:spacing w:line="360" w:lineRule="auto"/>
        <w:ind w:firstLineChars="200" w:firstLine="480"/>
        <w:jc w:val="both"/>
        <w:rPr>
          <w:rFonts w:ascii="Book Antiqua" w:eastAsia="Calibri" w:hAnsi="Book Antiqua"/>
        </w:rPr>
      </w:pPr>
      <w:r w:rsidRPr="00722A2A">
        <w:rPr>
          <w:rFonts w:ascii="Book Antiqua" w:eastAsia="Calibri" w:hAnsi="Book Antiqua"/>
        </w:rPr>
        <w:t>Six weeks prior to surgery, our patient received a second right-sided transforaminal injection with cortisone. In the period following this injection, his pain level increased further, with a combination of irradiating right-sided leg pain and lower back pain. His treating physician subsequently increased his oral pain medication to level 3 analgesia with oxycodon 10 mg (1-1-1), but this failed to provide pain relief. In addition, cortisone-therapy with intramuscular solumedrol was instituted without success. This led to the consultation for surgery.</w:t>
      </w:r>
    </w:p>
    <w:p w14:paraId="726EC8D2" w14:textId="77777777" w:rsidR="00BC6CFA" w:rsidRPr="00722A2A" w:rsidRDefault="00BC6CFA" w:rsidP="00722A2A">
      <w:pPr>
        <w:adjustRightInd w:val="0"/>
        <w:snapToGrid w:val="0"/>
        <w:spacing w:line="360" w:lineRule="auto"/>
        <w:ind w:firstLineChars="200" w:firstLine="480"/>
        <w:jc w:val="both"/>
        <w:rPr>
          <w:rFonts w:ascii="Book Antiqua" w:eastAsia="Calibri" w:hAnsi="Book Antiqua"/>
          <w:lang w:eastAsia="zh-CN"/>
        </w:rPr>
      </w:pPr>
      <w:r w:rsidRPr="00722A2A">
        <w:rPr>
          <w:rFonts w:ascii="Book Antiqua" w:eastAsia="Calibri" w:hAnsi="Book Antiqua"/>
        </w:rPr>
        <w:t>Bilateral microdecompression and right-sided L4-L5 combined microdiscectomy and foraminotomy by the posterior approach were carried out successfully. Preoperative antibiotic prophylaxis consisted of 2 g intravenous (IV) cefazolin. There were no clear intra-operative findings suggestive of infection. In the immediate postoperative period, the patient had complete relief from right-sided irradiating leg pain and was very satisfied. On the first day after the operation, he developed an excruciating irradiating pain in his left leg, which was contralateral to the side of the original herniation. The pain persisted and an MRI scan was carried out on day 4 postoperatively. This was almost normal, with bilateral decompression of L4-L5 and a small fluid collection in the left-sided facet joint of L4-L5 (Figure 2). No recurrent LDH, haematoma, or middle- to high-grade compressive pathology that could explain the new pattern of irradiating pain in the left leg was noted.</w:t>
      </w:r>
    </w:p>
    <w:p w14:paraId="0046F919" w14:textId="6B9CBBF4" w:rsidR="00BC6CFA" w:rsidRPr="00722A2A" w:rsidRDefault="00BC6CFA" w:rsidP="00722A2A">
      <w:pPr>
        <w:adjustRightInd w:val="0"/>
        <w:snapToGrid w:val="0"/>
        <w:spacing w:line="360" w:lineRule="auto"/>
        <w:ind w:firstLineChars="200" w:firstLine="480"/>
        <w:jc w:val="both"/>
        <w:rPr>
          <w:rFonts w:ascii="Book Antiqua" w:eastAsia="Calibri" w:hAnsi="Book Antiqua"/>
        </w:rPr>
      </w:pPr>
      <w:r w:rsidRPr="00722A2A">
        <w:rPr>
          <w:rFonts w:ascii="Book Antiqua" w:eastAsia="Calibri" w:hAnsi="Book Antiqua"/>
        </w:rPr>
        <w:t>The patient remained in hospital for further observation. On day 5 post-surgery he developed a fever of 39</w:t>
      </w:r>
      <w:r w:rsidR="000D633C" w:rsidRPr="00722A2A">
        <w:rPr>
          <w:rFonts w:ascii="Book Antiqua" w:eastAsia="Calibri" w:hAnsi="Book Antiqua"/>
        </w:rPr>
        <w:t xml:space="preserve"> </w:t>
      </w:r>
      <w:r w:rsidRPr="00722A2A">
        <w:rPr>
          <w:rFonts w:ascii="Book Antiqua" w:eastAsia="Calibri" w:hAnsi="Book Antiqua"/>
        </w:rPr>
        <w:t>°C and chills. The clinical appearance of his wound was normal. As a standard measure in our hospital, with fever &gt;</w:t>
      </w:r>
      <w:r w:rsidR="000D633C" w:rsidRPr="00722A2A">
        <w:rPr>
          <w:rFonts w:ascii="Book Antiqua" w:eastAsia="Calibri" w:hAnsi="Book Antiqua"/>
        </w:rPr>
        <w:t xml:space="preserve"> </w:t>
      </w:r>
      <w:r w:rsidRPr="00722A2A">
        <w:rPr>
          <w:rFonts w:ascii="Book Antiqua" w:eastAsia="Calibri" w:hAnsi="Book Antiqua"/>
        </w:rPr>
        <w:t>38.5</w:t>
      </w:r>
      <w:r w:rsidR="000D633C" w:rsidRPr="00722A2A">
        <w:rPr>
          <w:rFonts w:ascii="Book Antiqua" w:eastAsia="Calibri" w:hAnsi="Book Antiqua"/>
        </w:rPr>
        <w:t xml:space="preserve"> </w:t>
      </w:r>
      <w:r w:rsidRPr="00722A2A">
        <w:rPr>
          <w:rFonts w:ascii="Book Antiqua" w:eastAsia="Calibri" w:hAnsi="Book Antiqua"/>
        </w:rPr>
        <w:t xml:space="preserve">°C, blood cultures were taken and these grew </w:t>
      </w:r>
      <w:r w:rsidRPr="00722A2A">
        <w:rPr>
          <w:rFonts w:ascii="Book Antiqua" w:eastAsia="Calibri" w:hAnsi="Book Antiqua"/>
          <w:i/>
          <w:iCs/>
        </w:rPr>
        <w:t>S. aureus</w:t>
      </w:r>
      <w:r w:rsidRPr="00722A2A">
        <w:rPr>
          <w:rFonts w:ascii="Book Antiqua" w:eastAsia="Calibri" w:hAnsi="Book Antiqua"/>
        </w:rPr>
        <w:t xml:space="preserve">. With the high-level of suspicion of an infection, a second MRI scan was carried out on day 6 postoperatively, showing an increase in fluid collection in the posterior spine and the presence of air collections and inflammatory changes around the left-sided facet joint of L4-L5 (Figure 3). </w:t>
      </w:r>
    </w:p>
    <w:p w14:paraId="6316B7FE" w14:textId="77777777" w:rsidR="002664DB" w:rsidRPr="00722A2A" w:rsidRDefault="002664DB" w:rsidP="00722A2A">
      <w:pPr>
        <w:adjustRightInd w:val="0"/>
        <w:snapToGrid w:val="0"/>
        <w:spacing w:line="360" w:lineRule="auto"/>
        <w:jc w:val="both"/>
        <w:rPr>
          <w:rFonts w:ascii="Book Antiqua" w:hAnsi="Book Antiqua" w:cs="Book Antiqua"/>
        </w:rPr>
      </w:pPr>
    </w:p>
    <w:p w14:paraId="799D8926" w14:textId="4A0ED10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FINAL DIAGNOSIS</w:t>
      </w:r>
    </w:p>
    <w:p w14:paraId="2BA37D01" w14:textId="17C1B66A"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Septic arthritis of the left-sided L4/L5 facet joint, with</w:t>
      </w:r>
      <w:r w:rsidRPr="00722A2A">
        <w:rPr>
          <w:rFonts w:ascii="Book Antiqua" w:eastAsia="Book Antiqua" w:hAnsi="Book Antiqua" w:cs="Book Antiqua"/>
          <w:i/>
          <w:iCs/>
          <w:color w:val="000000"/>
        </w:rPr>
        <w:t xml:space="preserve"> S. aureus</w:t>
      </w:r>
      <w:r w:rsidRPr="00722A2A">
        <w:rPr>
          <w:rFonts w:ascii="Book Antiqua" w:eastAsia="Book Antiqua" w:hAnsi="Book Antiqua" w:cs="Book Antiqua"/>
          <w:color w:val="000000"/>
        </w:rPr>
        <w:t>.</w:t>
      </w:r>
    </w:p>
    <w:p w14:paraId="39FF4F21" w14:textId="77777777" w:rsidR="002664DB" w:rsidRPr="00722A2A" w:rsidRDefault="002664DB" w:rsidP="00722A2A">
      <w:pPr>
        <w:adjustRightInd w:val="0"/>
        <w:snapToGrid w:val="0"/>
        <w:spacing w:line="360" w:lineRule="auto"/>
        <w:jc w:val="both"/>
        <w:rPr>
          <w:rFonts w:ascii="Book Antiqua" w:hAnsi="Book Antiqua" w:cs="Book Antiqua"/>
        </w:rPr>
      </w:pPr>
    </w:p>
    <w:p w14:paraId="128B6E92"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TREATMENT</w:t>
      </w:r>
    </w:p>
    <w:p w14:paraId="0A1D98C1" w14:textId="76B9E319" w:rsidR="002664DB" w:rsidRPr="00722A2A" w:rsidRDefault="004C1FD8" w:rsidP="008A2256">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Revision surgery was performed 6 d after the first operation, with evacuation of the fluid collection. Bacteriological samples were taken, drainage, debridement and lavage were performed. Antibiotic therapy was instituted, initially empirically with IV vancomycin 1 g (1-0-1) and IV cloxacillin 3 g (1-1-1-1) for 5 d. In view of the antibiogram (Table 1), his antibiotic therapy was switched to IV cefazolin (2 g; 1-1-1) for 23 d, at home, through a central catheter inserted peripherally. After this time, his antibiotic therapy was switched to oral ofloxacin (400 mg; 1-0-0) and rifampicin (600 mg; 1-0-0) for 2 wk. </w:t>
      </w:r>
    </w:p>
    <w:p w14:paraId="2C5B18D3" w14:textId="77777777" w:rsidR="00B76A82" w:rsidRDefault="00B76A82" w:rsidP="00722A2A">
      <w:pPr>
        <w:adjustRightInd w:val="0"/>
        <w:snapToGrid w:val="0"/>
        <w:spacing w:line="360" w:lineRule="auto"/>
        <w:jc w:val="both"/>
        <w:rPr>
          <w:rFonts w:ascii="Book Antiqua" w:hAnsi="Book Antiqua" w:cs="Book Antiqua"/>
        </w:rPr>
      </w:pPr>
    </w:p>
    <w:p w14:paraId="5B0859BD" w14:textId="53562F22"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OUTCOME AND FOLLOW-UP</w:t>
      </w:r>
    </w:p>
    <w:p w14:paraId="6A6796B4" w14:textId="0EC9E67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His inflammatory parameters returned to normal over a period of 3 wk. Three months after surgery, he was not taking any pain medication and had no leg pain, although there was a persisting motor deficit of the right quadriceps, with 4/5 strength, and he was easily fatigued. Through a rehabilitation program his physical condition improved significantly, so that at his 9-mo follow-up appointment he was already playing sport again, with a lot of walking and swimming.</w:t>
      </w:r>
    </w:p>
    <w:p w14:paraId="230D5893" w14:textId="2D60D436"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 xml:space="preserve">A detailed medical history was taken after his revision surgery and he stated that, during the 6 wk prior to surgery, he had lost 12 kg in weight, which he had attributed to the pain, and chills, which he had attributed to the use of opioids and which he had not reported to the medical staff. These cardinal symptoms of an infection, weight loss and chills, started 4 d after the last right-sided transforaminal L4-L5 injection. </w:t>
      </w:r>
    </w:p>
    <w:p w14:paraId="520BC96E" w14:textId="77777777" w:rsidR="002664DB" w:rsidRPr="00722A2A" w:rsidRDefault="002664DB" w:rsidP="00722A2A">
      <w:pPr>
        <w:adjustRightInd w:val="0"/>
        <w:snapToGrid w:val="0"/>
        <w:spacing w:line="360" w:lineRule="auto"/>
        <w:ind w:firstLine="708"/>
        <w:jc w:val="both"/>
        <w:rPr>
          <w:rFonts w:ascii="Book Antiqua" w:hAnsi="Book Antiqua" w:cs="Book Antiqua"/>
        </w:rPr>
      </w:pPr>
    </w:p>
    <w:p w14:paraId="293B6C7C"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DISCUSSION</w:t>
      </w:r>
    </w:p>
    <w:p w14:paraId="67BD9D9F" w14:textId="558D58D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In our patient, the diagnosis of a spinal infection was delayed by 6 wk. It should be noted that the average delay in diagnosing a spinal infection is 2</w:t>
      </w:r>
      <w:r w:rsidR="008A2256">
        <w:rPr>
          <w:rFonts w:ascii="Book Antiqua" w:eastAsia="Book Antiqua" w:hAnsi="Book Antiqua" w:cs="Book Antiqua"/>
          <w:color w:val="000000"/>
        </w:rPr>
        <w:t>-</w:t>
      </w:r>
      <w:r w:rsidRPr="00722A2A">
        <w:rPr>
          <w:rFonts w:ascii="Book Antiqua" w:eastAsia="Book Antiqua" w:hAnsi="Book Antiqua" w:cs="Book Antiqua"/>
          <w:color w:val="000000"/>
        </w:rPr>
        <w:t>4 mo</w:t>
      </w:r>
      <w:r w:rsidRPr="00722A2A">
        <w:rPr>
          <w:rFonts w:ascii="Book Antiqua" w:eastAsia="Book Antiqua" w:hAnsi="Book Antiqua" w:cs="Book Antiqua"/>
          <w:color w:val="000000"/>
          <w:vertAlign w:val="superscript"/>
        </w:rPr>
        <w:t>[4]</w:t>
      </w:r>
      <w:r w:rsidRPr="00722A2A">
        <w:rPr>
          <w:rFonts w:ascii="Book Antiqua" w:eastAsia="Book Antiqua" w:hAnsi="Book Antiqua" w:cs="Book Antiqua"/>
          <w:color w:val="000000"/>
        </w:rPr>
        <w:t xml:space="preserve">. This shows that a high level of vigilance for a spinal infection is warranted, especially in patients who are more susceptible to developing an infection, such as those who are immunocompromised, diabetic, dialysis-dependent, have permanent vascular access, or are </w:t>
      </w:r>
      <w:r w:rsidR="00BC6CFA" w:rsidRPr="00722A2A">
        <w:rPr>
          <w:rFonts w:ascii="Book Antiqua" w:eastAsia="Book Antiqua" w:hAnsi="Book Antiqua" w:cs="Book Antiqua"/>
          <w:color w:val="000000"/>
        </w:rPr>
        <w:t>IV</w:t>
      </w:r>
      <w:r w:rsidRPr="00722A2A">
        <w:rPr>
          <w:rFonts w:ascii="Book Antiqua" w:eastAsia="Book Antiqua" w:hAnsi="Book Antiqua" w:cs="Book Antiqua"/>
          <w:color w:val="000000"/>
        </w:rPr>
        <w:t xml:space="preserve"> drug abusers</w:t>
      </w:r>
      <w:r w:rsidRPr="00722A2A">
        <w:rPr>
          <w:rFonts w:ascii="Book Antiqua" w:eastAsia="Book Antiqua" w:hAnsi="Book Antiqua" w:cs="Book Antiqua"/>
          <w:color w:val="000000"/>
          <w:vertAlign w:val="superscript"/>
        </w:rPr>
        <w:t>[5]</w:t>
      </w:r>
      <w:r w:rsidRPr="00722A2A">
        <w:rPr>
          <w:rFonts w:ascii="Book Antiqua" w:eastAsia="Book Antiqua" w:hAnsi="Book Antiqua" w:cs="Book Antiqua"/>
          <w:color w:val="000000"/>
        </w:rPr>
        <w:t>. A high degree of vigilance is also necessary in patients undergoing invasive procedures such as spinal injections</w:t>
      </w:r>
      <w:r w:rsidRPr="00722A2A">
        <w:rPr>
          <w:rFonts w:ascii="Book Antiqua" w:eastAsia="Book Antiqua" w:hAnsi="Book Antiqua" w:cs="Book Antiqua"/>
          <w:color w:val="000000"/>
          <w:vertAlign w:val="superscript"/>
        </w:rPr>
        <w:t>[2]</w:t>
      </w:r>
      <w:r w:rsidRPr="00722A2A">
        <w:rPr>
          <w:rFonts w:ascii="Book Antiqua" w:eastAsia="Book Antiqua" w:hAnsi="Book Antiqua" w:cs="Book Antiqua"/>
          <w:color w:val="000000"/>
        </w:rPr>
        <w:t xml:space="preserve">. In this case, we presume that the first surgery resulted in a stress response, as proposed by </w:t>
      </w:r>
      <w:r w:rsidR="000D633C" w:rsidRPr="00722A2A">
        <w:rPr>
          <w:rFonts w:ascii="Book Antiqua" w:eastAsia="Book Antiqua" w:hAnsi="Book Antiqua" w:cs="Book Antiqua"/>
          <w:color w:val="000000"/>
        </w:rPr>
        <w:t>Bardram</w:t>
      </w:r>
      <w:r w:rsidRPr="00722A2A">
        <w:rPr>
          <w:rFonts w:ascii="Book Antiqua" w:eastAsia="Book Antiqua" w:hAnsi="Book Antiqua" w:cs="Book Antiqua"/>
          <w:color w:val="000000"/>
        </w:rPr>
        <w:t xml:space="preserve"> </w:t>
      </w:r>
      <w:r w:rsidRPr="00722A2A">
        <w:rPr>
          <w:rFonts w:ascii="Book Antiqua" w:eastAsia="Book Antiqua" w:hAnsi="Book Antiqua" w:cs="Book Antiqua"/>
          <w:i/>
          <w:iCs/>
          <w:color w:val="000000"/>
        </w:rPr>
        <w:t>et al</w:t>
      </w:r>
      <w:r w:rsidRPr="00722A2A">
        <w:rPr>
          <w:rFonts w:ascii="Book Antiqua" w:eastAsia="Book Antiqua" w:hAnsi="Book Antiqua" w:cs="Book Antiqua"/>
          <w:color w:val="000000"/>
          <w:vertAlign w:val="superscript"/>
        </w:rPr>
        <w:t>[6]</w:t>
      </w:r>
      <w:r w:rsidRPr="00722A2A">
        <w:rPr>
          <w:rFonts w:ascii="Book Antiqua" w:eastAsia="Book Antiqua" w:hAnsi="Book Antiqua" w:cs="Book Antiqua"/>
          <w:color w:val="000000"/>
        </w:rPr>
        <w:t>, which might have decreased the immune response to the infection and, as such,  might have led to an increase in the extent of the infection.</w:t>
      </w:r>
    </w:p>
    <w:p w14:paraId="7054CF06" w14:textId="3540DA19"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 xml:space="preserve">Monitoring for a possible spinal infection can be achieved by focusing on history taking, clinical examination and laboratory results. Typical signs of an infection are fever, night sweats, chills, night pain, pain resistant to analgesics and weight loss. In this case, these symptoms were not mentioned by the patient and were not discovered by the clinicians prior to surgery. Routine questioning about these symptoms could improve the sensitivity of detection of an underlying infection. </w:t>
      </w:r>
    </w:p>
    <w:p w14:paraId="00971976" w14:textId="3201A3E6" w:rsidR="002664DB" w:rsidRPr="00722A2A" w:rsidRDefault="004C1FD8" w:rsidP="008A2256">
      <w:pPr>
        <w:adjustRightInd w:val="0"/>
        <w:snapToGrid w:val="0"/>
        <w:spacing w:line="360" w:lineRule="auto"/>
        <w:ind w:firstLineChars="300" w:firstLine="720"/>
        <w:jc w:val="both"/>
        <w:rPr>
          <w:rFonts w:ascii="Book Antiqua" w:eastAsia="等线" w:hAnsi="Book Antiqua"/>
          <w:kern w:val="2"/>
          <w:lang w:eastAsia="zh-CN"/>
        </w:rPr>
      </w:pPr>
      <w:r w:rsidRPr="00722A2A">
        <w:rPr>
          <w:rFonts w:ascii="Book Antiqua" w:eastAsia="Book Antiqua" w:hAnsi="Book Antiqua" w:cs="Book Antiqua"/>
          <w:color w:val="000000"/>
        </w:rPr>
        <w:t xml:space="preserve">A literature review by Yoon </w:t>
      </w:r>
      <w:r w:rsidRPr="00722A2A">
        <w:rPr>
          <w:rFonts w:ascii="Book Antiqua" w:eastAsia="Book Antiqua" w:hAnsi="Book Antiqua" w:cs="Book Antiqua"/>
          <w:i/>
          <w:iCs/>
          <w:color w:val="000000"/>
        </w:rPr>
        <w:t>et al</w:t>
      </w:r>
      <w:r w:rsidR="000D633C" w:rsidRPr="00722A2A">
        <w:rPr>
          <w:rFonts w:ascii="Book Antiqua" w:eastAsia="Book Antiqua" w:hAnsi="Book Antiqua" w:cs="Book Antiqua"/>
          <w:color w:val="000000"/>
          <w:vertAlign w:val="superscript"/>
        </w:rPr>
        <w:t>[7]</w:t>
      </w:r>
      <w:r w:rsidRPr="00722A2A">
        <w:rPr>
          <w:rFonts w:ascii="Book Antiqua" w:eastAsia="Book Antiqua" w:hAnsi="Book Antiqua" w:cs="Book Antiqua"/>
          <w:color w:val="000000"/>
        </w:rPr>
        <w:t xml:space="preserve"> showed that approximately 50% of cases of septic arthritis of the facet joint have leukocytosis and all previous case reports (</w:t>
      </w:r>
      <w:r w:rsidRPr="00722A2A">
        <w:rPr>
          <w:rFonts w:ascii="Book Antiqua" w:eastAsia="Book Antiqua" w:hAnsi="Book Antiqua" w:cs="Book Antiqua"/>
          <w:i/>
          <w:iCs/>
          <w:color w:val="000000"/>
        </w:rPr>
        <w:t>n</w:t>
      </w:r>
      <w:r w:rsidRPr="00722A2A">
        <w:rPr>
          <w:rFonts w:ascii="Book Antiqua" w:eastAsia="Book Antiqua" w:hAnsi="Book Antiqua" w:cs="Book Antiqua"/>
          <w:color w:val="000000"/>
        </w:rPr>
        <w:t xml:space="preserve"> = 61) except for one, had an elevated ESR and/or CRP.</w:t>
      </w:r>
      <w:r w:rsidRPr="00722A2A">
        <w:rPr>
          <w:rFonts w:ascii="Book Antiqua" w:eastAsia="Book Antiqua" w:hAnsi="Book Antiqua" w:cs="Book Antiqua"/>
          <w:color w:val="000000"/>
          <w:vertAlign w:val="superscript"/>
        </w:rPr>
        <w:t xml:space="preserve"> </w:t>
      </w:r>
      <w:r w:rsidRPr="00722A2A">
        <w:rPr>
          <w:rFonts w:ascii="Book Antiqua" w:eastAsia="Book Antiqua" w:hAnsi="Book Antiqua" w:cs="Book Antiqua"/>
          <w:color w:val="000000"/>
        </w:rPr>
        <w:t>In our patient, ESR and CRP were not measured in the preoperative work-up as this is not done routinely in our hospital for non-instrumented spinal surgery. Our patient’s WBC count was at the upper limit of normal at 11000/</w:t>
      </w:r>
      <w:r w:rsidR="00722A2A" w:rsidRPr="00722A2A">
        <w:rPr>
          <w:rFonts w:ascii="Book Antiqua" w:eastAsia="微软雅黑" w:hAnsi="Book Antiqua"/>
          <w:color w:val="000000"/>
          <w:kern w:val="2"/>
          <w:lang w:eastAsia="zh-CN"/>
        </w:rPr>
        <w:t>μ</w:t>
      </w:r>
      <w:r w:rsidR="00722A2A" w:rsidRPr="00722A2A">
        <w:rPr>
          <w:rFonts w:ascii="Book Antiqua" w:eastAsia="微软雅黑" w:hAnsi="Book Antiqua" w:cs="微软雅黑"/>
          <w:color w:val="000000"/>
          <w:kern w:val="2"/>
          <w:lang w:eastAsia="zh-CN"/>
        </w:rPr>
        <w:t>L</w:t>
      </w:r>
      <w:r w:rsidRPr="00722A2A">
        <w:rPr>
          <w:rFonts w:ascii="Book Antiqua" w:eastAsia="Book Antiqua" w:hAnsi="Book Antiqua" w:cs="Book Antiqua"/>
          <w:color w:val="000000"/>
        </w:rPr>
        <w:t>. Routine measurement of ESR and CRP levels could improve the sensitivity of detection of an underlying infection. Moreover, patients with fever and back pain following an invasive procedure should have blood cultures performed routinely, as these are positive in around 60% of cases of bacterial spondylodiscitis</w:t>
      </w:r>
      <w:r w:rsidRPr="00722A2A">
        <w:rPr>
          <w:rFonts w:ascii="Book Antiqua" w:eastAsia="Book Antiqua" w:hAnsi="Book Antiqua" w:cs="Book Antiqua"/>
          <w:color w:val="000000"/>
          <w:vertAlign w:val="superscript"/>
        </w:rPr>
        <w:t>[8]</w:t>
      </w:r>
      <w:r w:rsidRPr="00722A2A">
        <w:rPr>
          <w:rFonts w:ascii="Book Antiqua" w:eastAsia="Book Antiqua" w:hAnsi="Book Antiqua" w:cs="Book Antiqua"/>
          <w:color w:val="000000"/>
        </w:rPr>
        <w:t>. In our hospital, sequential blood cultures are performed as a standard procedure in patients with fever &gt;</w:t>
      </w:r>
      <w:r w:rsidR="00BC6CFA" w:rsidRPr="00722A2A">
        <w:rPr>
          <w:rFonts w:ascii="Book Antiqua" w:eastAsia="Book Antiqua" w:hAnsi="Book Antiqua" w:cs="Book Antiqua"/>
          <w:color w:val="000000"/>
        </w:rPr>
        <w:t xml:space="preserve"> </w:t>
      </w:r>
      <w:r w:rsidRPr="00722A2A">
        <w:rPr>
          <w:rFonts w:ascii="Book Antiqua" w:eastAsia="Book Antiqua" w:hAnsi="Book Antiqua" w:cs="Book Antiqua"/>
          <w:color w:val="000000"/>
        </w:rPr>
        <w:t>38.5</w:t>
      </w:r>
      <w:r w:rsidR="00BC6CFA" w:rsidRPr="00722A2A">
        <w:rPr>
          <w:rFonts w:ascii="Book Antiqua" w:eastAsia="Book Antiqua" w:hAnsi="Book Antiqua" w:cs="Book Antiqua"/>
          <w:color w:val="000000"/>
        </w:rPr>
        <w:t xml:space="preserve"> </w:t>
      </w:r>
      <w:r w:rsidRPr="00722A2A">
        <w:rPr>
          <w:rFonts w:ascii="Book Antiqua" w:eastAsia="Book Antiqua" w:hAnsi="Book Antiqua" w:cs="Book Antiqua"/>
          <w:color w:val="000000"/>
        </w:rPr>
        <w:t xml:space="preserve">°C, and in the present case, they were positive for </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xml:space="preserve">. In the first few </w:t>
      </w:r>
      <w:r w:rsidR="000D633C" w:rsidRPr="00722A2A">
        <w:rPr>
          <w:rFonts w:ascii="Book Antiqua" w:eastAsia="Book Antiqua" w:hAnsi="Book Antiqua" w:cs="Book Antiqua"/>
          <w:color w:val="000000"/>
        </w:rPr>
        <w:t>day’s</w:t>
      </w:r>
      <w:r w:rsidRPr="00722A2A">
        <w:rPr>
          <w:rFonts w:ascii="Book Antiqua" w:eastAsia="Book Antiqua" w:hAnsi="Book Antiqua" w:cs="Book Antiqua"/>
          <w:color w:val="000000"/>
        </w:rPr>
        <w:t xml:space="preserve"> post-surgery, body temperature rises frequently as a result of the inflammatory reaction to surgical trauma, but in most of these cases blood cultures remain negative. In our patient, a positive blood culture was a milestone since his MRI scan showed no conclusive results.</w:t>
      </w:r>
    </w:p>
    <w:p w14:paraId="3FB87625" w14:textId="45EBF6B3"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There is no gold-standard treatment for septic arthritis of the facet joint and treatment is based on a retrospective evaluation of case series</w:t>
      </w:r>
      <w:r w:rsidRPr="00722A2A">
        <w:rPr>
          <w:rFonts w:ascii="Book Antiqua" w:eastAsia="Book Antiqua" w:hAnsi="Book Antiqua" w:cs="Book Antiqua"/>
          <w:color w:val="000000"/>
          <w:vertAlign w:val="superscript"/>
        </w:rPr>
        <w:t>[9]</w:t>
      </w:r>
      <w:r w:rsidRPr="00722A2A">
        <w:rPr>
          <w:rFonts w:ascii="Book Antiqua" w:eastAsia="Book Antiqua" w:hAnsi="Book Antiqua" w:cs="Book Antiqua"/>
          <w:color w:val="000000"/>
        </w:rPr>
        <w:t>. The majority of cases are treated conservatively with IV and oral antibiotics. The literature provides no clear guidance regarding the duration and route of administration of antibiotic therapy</w:t>
      </w:r>
      <w:r w:rsidRPr="00722A2A">
        <w:rPr>
          <w:rFonts w:ascii="Book Antiqua" w:eastAsia="Book Antiqua" w:hAnsi="Book Antiqua" w:cs="Book Antiqua"/>
          <w:color w:val="000000"/>
          <w:vertAlign w:val="superscript"/>
        </w:rPr>
        <w:t>[10]</w:t>
      </w:r>
      <w:r w:rsidRPr="00722A2A">
        <w:rPr>
          <w:rFonts w:ascii="Book Antiqua" w:eastAsia="Book Antiqua" w:hAnsi="Book Antiqua" w:cs="Book Antiqua"/>
          <w:color w:val="000000"/>
        </w:rPr>
        <w:t>. Generally, antibiotics are given for a period of 6</w:t>
      </w:r>
      <w:r w:rsidR="008A2256">
        <w:rPr>
          <w:rFonts w:ascii="Book Antiqua" w:eastAsia="Book Antiqua" w:hAnsi="Book Antiqua" w:cs="Book Antiqua"/>
          <w:color w:val="000000"/>
        </w:rPr>
        <w:t>-</w:t>
      </w:r>
      <w:r w:rsidRPr="00722A2A">
        <w:rPr>
          <w:rFonts w:ascii="Book Antiqua" w:eastAsia="Book Antiqua" w:hAnsi="Book Antiqua" w:cs="Book Antiqua"/>
          <w:color w:val="000000"/>
        </w:rPr>
        <w:t>8 wk</w:t>
      </w:r>
      <w:r w:rsidRPr="00722A2A">
        <w:rPr>
          <w:rFonts w:ascii="Book Antiqua" w:eastAsia="Book Antiqua" w:hAnsi="Book Antiqua" w:cs="Book Antiqua"/>
          <w:color w:val="000000"/>
          <w:vertAlign w:val="superscript"/>
        </w:rPr>
        <w:t>[11–14]</w:t>
      </w:r>
      <w:r w:rsidRPr="00722A2A">
        <w:rPr>
          <w:rFonts w:ascii="Book Antiqua" w:eastAsia="Book Antiqua" w:hAnsi="Book Antiqua" w:cs="Book Antiqua"/>
          <w:color w:val="000000"/>
        </w:rPr>
        <w:t>. Sometimes this treatment has to be accompanied by bed rest and an orthosis for pain management</w:t>
      </w:r>
      <w:r w:rsidRPr="00722A2A">
        <w:rPr>
          <w:rFonts w:ascii="Book Antiqua" w:eastAsia="Book Antiqua" w:hAnsi="Book Antiqua" w:cs="Book Antiqua"/>
          <w:color w:val="000000"/>
          <w:vertAlign w:val="superscript"/>
        </w:rPr>
        <w:t>[15]</w:t>
      </w:r>
      <w:r w:rsidRPr="00722A2A">
        <w:rPr>
          <w:rFonts w:ascii="Book Antiqua" w:eastAsia="Book Antiqua" w:hAnsi="Book Antiqua" w:cs="Book Antiqua"/>
          <w:color w:val="000000"/>
        </w:rPr>
        <w:t>. Surgery is not usually indicated and is reserved for patients with an infection that is refractory to antibiotics, or with the presence of neurological deficits</w:t>
      </w:r>
      <w:r w:rsidRPr="00722A2A">
        <w:rPr>
          <w:rFonts w:ascii="Book Antiqua" w:eastAsia="Book Antiqua" w:hAnsi="Book Antiqua" w:cs="Book Antiqua"/>
          <w:color w:val="000000"/>
          <w:vertAlign w:val="superscript"/>
        </w:rPr>
        <w:t>[12,16]</w:t>
      </w:r>
      <w:r w:rsidRPr="00722A2A">
        <w:rPr>
          <w:rFonts w:ascii="Book Antiqua" w:eastAsia="Book Antiqua" w:hAnsi="Book Antiqua" w:cs="Book Antiqua"/>
          <w:color w:val="000000"/>
        </w:rPr>
        <w:t>. In the present case, due to the pattern of excruciating left-sided lumbar radicular pain, surgery was performed and led to a quick and significant improvement in his pain levels. He was then treated with IV and oral antibiotics for a period of approximately 6 wk. We do not have a clear explanation as to why the signs and symptoms of infection developed on the contralateral side to the surgery. We presume that this could be due to direct spread from the infiltration to the contralateral side, or due to an infiltration of the wrong-side.</w:t>
      </w:r>
    </w:p>
    <w:p w14:paraId="22993EB7" w14:textId="1B042D0E"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The limitations of a case report design are well recognized, especially regarding external validity. However, g</w:t>
      </w:r>
      <w:r w:rsidRPr="00722A2A">
        <w:rPr>
          <w:rFonts w:ascii="Book Antiqua" w:eastAsia="Book Antiqua" w:hAnsi="Book Antiqua" w:cs="Book Antiqua"/>
          <w:color w:val="000000"/>
          <w:shd w:val="clear" w:color="auto" w:fill="FFFFFF"/>
        </w:rPr>
        <w:t>iven the rarity of this condition, the level of evidence for the optimal diagnosis of s</w:t>
      </w:r>
      <w:r w:rsidRPr="00722A2A">
        <w:rPr>
          <w:rFonts w:ascii="Book Antiqua" w:eastAsia="Book Antiqua" w:hAnsi="Book Antiqua" w:cs="Book Antiqua"/>
          <w:color w:val="000000"/>
        </w:rPr>
        <w:t>pine septic arthritis</w:t>
      </w:r>
      <w:r w:rsidRPr="00722A2A">
        <w:rPr>
          <w:rFonts w:ascii="Book Antiqua" w:eastAsia="Book Antiqua" w:hAnsi="Book Antiqua" w:cs="Book Antiqua"/>
          <w:color w:val="000000"/>
          <w:shd w:val="clear" w:color="auto" w:fill="FFFFFF"/>
        </w:rPr>
        <w:t xml:space="preserve"> is not well-established, therefore we consider this case report important.</w:t>
      </w:r>
    </w:p>
    <w:p w14:paraId="6C07A62E" w14:textId="77777777" w:rsidR="002664DB" w:rsidRPr="00722A2A" w:rsidRDefault="002664DB" w:rsidP="00722A2A">
      <w:pPr>
        <w:adjustRightInd w:val="0"/>
        <w:snapToGrid w:val="0"/>
        <w:spacing w:line="360" w:lineRule="auto"/>
        <w:ind w:firstLine="708"/>
        <w:jc w:val="both"/>
        <w:rPr>
          <w:rFonts w:ascii="Book Antiqua" w:hAnsi="Book Antiqua" w:cs="Book Antiqua"/>
        </w:rPr>
      </w:pPr>
    </w:p>
    <w:p w14:paraId="7C7F1949"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CONCLUSION</w:t>
      </w:r>
    </w:p>
    <w:p w14:paraId="32F9F8FC" w14:textId="7F1B7F3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The development of post-operative lower back pain and/or lumbar radicular pain can be a signal of a spinal infection. A thorough clinical and laboratory work-up (CRP, ESR, leukocyte count) is essential for the preoperative evaluation of spinal patients, to identify any underlying infection.</w:t>
      </w:r>
    </w:p>
    <w:p w14:paraId="3AD1B1F1" w14:textId="77777777" w:rsidR="002664DB" w:rsidRPr="00722A2A" w:rsidRDefault="002664DB" w:rsidP="00722A2A">
      <w:pPr>
        <w:adjustRightInd w:val="0"/>
        <w:snapToGrid w:val="0"/>
        <w:spacing w:line="360" w:lineRule="auto"/>
        <w:jc w:val="both"/>
        <w:rPr>
          <w:rFonts w:ascii="Book Antiqua" w:hAnsi="Book Antiqua" w:cs="Book Antiqua"/>
        </w:rPr>
      </w:pPr>
    </w:p>
    <w:p w14:paraId="19A42E97"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REFERENCES</w:t>
      </w:r>
    </w:p>
    <w:p w14:paraId="4A9C07A2" w14:textId="0B4FDDA2" w:rsidR="002664DB" w:rsidRPr="00722A2A" w:rsidRDefault="004C1FD8" w:rsidP="00722A2A">
      <w:pPr>
        <w:adjustRightInd w:val="0"/>
        <w:snapToGrid w:val="0"/>
        <w:spacing w:line="360" w:lineRule="auto"/>
        <w:jc w:val="both"/>
        <w:rPr>
          <w:rFonts w:ascii="Book Antiqua" w:hAnsi="Book Antiqua" w:cs="Book Antiqua"/>
        </w:rPr>
      </w:pPr>
      <w:r w:rsidRPr="008A2256">
        <w:rPr>
          <w:rFonts w:ascii="Book Antiqua" w:eastAsia="Book Antiqua" w:hAnsi="Book Antiqua" w:cs="Book Antiqua"/>
          <w:color w:val="000000"/>
          <w:highlight w:val="yellow"/>
        </w:rPr>
        <w:t xml:space="preserve">1 </w:t>
      </w:r>
      <w:r w:rsidRPr="008A2256">
        <w:rPr>
          <w:rFonts w:ascii="Book Antiqua" w:eastAsia="Book Antiqua" w:hAnsi="Book Antiqua" w:cs="Book Antiqua"/>
          <w:b/>
          <w:bCs/>
          <w:color w:val="000000"/>
          <w:highlight w:val="yellow"/>
        </w:rPr>
        <w:t>Boos N</w:t>
      </w:r>
      <w:r w:rsidRPr="008A2256">
        <w:rPr>
          <w:rFonts w:ascii="Book Antiqua" w:eastAsia="Book Antiqua" w:hAnsi="Book Antiqua" w:cs="Book Antiqua"/>
          <w:color w:val="000000"/>
          <w:highlight w:val="yellow"/>
        </w:rPr>
        <w:t>, Aebi M. Spinal Disorders: Fundamentals of Diagnosis and Treatment. 1</w:t>
      </w:r>
      <w:r w:rsidRPr="008A2256">
        <w:rPr>
          <w:rFonts w:ascii="Book Antiqua" w:eastAsia="Book Antiqua" w:hAnsi="Book Antiqua" w:cs="Book Antiqua"/>
          <w:color w:val="000000"/>
          <w:highlight w:val="yellow"/>
          <w:vertAlign w:val="superscript"/>
        </w:rPr>
        <w:t>st</w:t>
      </w:r>
      <w:r w:rsidRPr="008A2256">
        <w:rPr>
          <w:rFonts w:ascii="Book Antiqua" w:eastAsia="Book Antiqua" w:hAnsi="Book Antiqua" w:cs="Book Antiqua"/>
          <w:color w:val="000000"/>
          <w:highlight w:val="yellow"/>
        </w:rPr>
        <w:t xml:space="preserve"> ed. Springer-Verlag Berlin Heidelberg, 2008 [DOI: 10.1007/978-3-540-69091-7]</w:t>
      </w:r>
    </w:p>
    <w:p w14:paraId="5EDDB534" w14:textId="1AE730B5"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2 </w:t>
      </w:r>
      <w:r w:rsidRPr="00722A2A">
        <w:rPr>
          <w:rFonts w:ascii="Book Antiqua" w:eastAsia="Book Antiqua" w:hAnsi="Book Antiqua" w:cs="Book Antiqua"/>
          <w:b/>
          <w:bCs/>
          <w:color w:val="000000"/>
        </w:rPr>
        <w:t>Windsor RE</w:t>
      </w:r>
      <w:r w:rsidRPr="00722A2A">
        <w:rPr>
          <w:rFonts w:ascii="Book Antiqua" w:eastAsia="Book Antiqua" w:hAnsi="Book Antiqua" w:cs="Book Antiqua"/>
          <w:color w:val="000000"/>
        </w:rPr>
        <w:t xml:space="preserve">, Storm S, Sugar R. Prevention and management of complications resulting from common spinal injections. </w:t>
      </w:r>
      <w:r w:rsidRPr="00722A2A">
        <w:rPr>
          <w:rFonts w:ascii="Book Antiqua" w:eastAsia="Book Antiqua" w:hAnsi="Book Antiqua" w:cs="Book Antiqua"/>
          <w:i/>
          <w:iCs/>
          <w:color w:val="000000"/>
        </w:rPr>
        <w:t>Pain Physician</w:t>
      </w:r>
      <w:r w:rsidRPr="00722A2A">
        <w:rPr>
          <w:rFonts w:ascii="Book Antiqua" w:eastAsia="Book Antiqua" w:hAnsi="Book Antiqua" w:cs="Book Antiqua"/>
          <w:color w:val="000000"/>
        </w:rPr>
        <w:t xml:space="preserve"> 2003; </w:t>
      </w:r>
      <w:r w:rsidRPr="00722A2A">
        <w:rPr>
          <w:rFonts w:ascii="Book Antiqua" w:eastAsia="Book Antiqua" w:hAnsi="Book Antiqua" w:cs="Book Antiqua"/>
          <w:b/>
          <w:bCs/>
          <w:color w:val="000000"/>
        </w:rPr>
        <w:t>6</w:t>
      </w:r>
      <w:r w:rsidRPr="00722A2A">
        <w:rPr>
          <w:rFonts w:ascii="Book Antiqua" w:eastAsia="Book Antiqua" w:hAnsi="Book Antiqua" w:cs="Book Antiqua"/>
          <w:color w:val="000000"/>
        </w:rPr>
        <w:t>: 473-483 [PMID: 16871300]</w:t>
      </w:r>
    </w:p>
    <w:p w14:paraId="7A7D868C" w14:textId="5F0C7AB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3 </w:t>
      </w:r>
      <w:r w:rsidRPr="00722A2A">
        <w:rPr>
          <w:rFonts w:ascii="Book Antiqua" w:eastAsia="Book Antiqua" w:hAnsi="Book Antiqua" w:cs="Book Antiqua"/>
          <w:b/>
          <w:bCs/>
          <w:color w:val="000000"/>
        </w:rPr>
        <w:t>Goodman BS</w:t>
      </w:r>
      <w:r w:rsidRPr="00722A2A">
        <w:rPr>
          <w:rFonts w:ascii="Book Antiqua" w:eastAsia="Book Antiqua" w:hAnsi="Book Antiqua" w:cs="Book Antiqua"/>
          <w:color w:val="000000"/>
        </w:rPr>
        <w:t xml:space="preserve">, Posecion LW, Mallempati S, Bayazitoglu M. Complications and pitfalls of lumbar interlaminar and transforaminal epidural injections. </w:t>
      </w:r>
      <w:r w:rsidRPr="00722A2A">
        <w:rPr>
          <w:rFonts w:ascii="Book Antiqua" w:eastAsia="Book Antiqua" w:hAnsi="Book Antiqua" w:cs="Book Antiqua"/>
          <w:i/>
          <w:iCs/>
          <w:color w:val="000000"/>
        </w:rPr>
        <w:t>Curr Rev Musculoskelet Med</w:t>
      </w:r>
      <w:r w:rsidRPr="00722A2A">
        <w:rPr>
          <w:rFonts w:ascii="Book Antiqua" w:eastAsia="Book Antiqua" w:hAnsi="Book Antiqua" w:cs="Book Antiqua"/>
          <w:color w:val="000000"/>
        </w:rPr>
        <w:t xml:space="preserve"> 2008; </w:t>
      </w:r>
      <w:r w:rsidRPr="00722A2A">
        <w:rPr>
          <w:rFonts w:ascii="Book Antiqua" w:eastAsia="Book Antiqua" w:hAnsi="Book Antiqua" w:cs="Book Antiqua"/>
          <w:b/>
          <w:bCs/>
          <w:color w:val="000000"/>
        </w:rPr>
        <w:t>1</w:t>
      </w:r>
      <w:r w:rsidRPr="00722A2A">
        <w:rPr>
          <w:rFonts w:ascii="Book Antiqua" w:eastAsia="Book Antiqua" w:hAnsi="Book Antiqua" w:cs="Book Antiqua"/>
          <w:color w:val="000000"/>
        </w:rPr>
        <w:t>: 212-222 [PMID: 19468908 DOI: 10.1007/s12178-008-9035-2]</w:t>
      </w:r>
    </w:p>
    <w:p w14:paraId="3C9F8FF6" w14:textId="6255B0D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4 </w:t>
      </w:r>
      <w:r w:rsidRPr="00722A2A">
        <w:rPr>
          <w:rFonts w:ascii="Book Antiqua" w:eastAsia="Book Antiqua" w:hAnsi="Book Antiqua" w:cs="Book Antiqua"/>
          <w:b/>
          <w:bCs/>
          <w:color w:val="000000"/>
        </w:rPr>
        <w:t>Gasbarrini AL</w:t>
      </w:r>
      <w:r w:rsidRPr="00722A2A">
        <w:rPr>
          <w:rFonts w:ascii="Book Antiqua" w:eastAsia="Book Antiqua" w:hAnsi="Book Antiqua" w:cs="Book Antiqua"/>
          <w:color w:val="000000"/>
        </w:rPr>
        <w:t xml:space="preserve">, Bertoldi E, Mazzetti M, Fini L, Terzi S, Gonella F, Mirabile L, Barbanti Bròdano G, Furno A, Gasbarrini A, Boriani S. Clinical features, diagnostic and therapeutic approaches to haematogenous vertebral osteomyelitis. </w:t>
      </w:r>
      <w:r w:rsidRPr="00722A2A">
        <w:rPr>
          <w:rFonts w:ascii="Book Antiqua" w:eastAsia="Book Antiqua" w:hAnsi="Book Antiqua" w:cs="Book Antiqua"/>
          <w:i/>
          <w:iCs/>
          <w:color w:val="000000"/>
        </w:rPr>
        <w:t>Eur Rev Med Pharmacol Sci</w:t>
      </w:r>
      <w:r w:rsidRPr="00722A2A">
        <w:rPr>
          <w:rFonts w:ascii="Book Antiqua" w:eastAsia="Book Antiqua" w:hAnsi="Book Antiqua" w:cs="Book Antiqua"/>
          <w:color w:val="000000"/>
        </w:rPr>
        <w:t xml:space="preserve"> 2005; </w:t>
      </w:r>
      <w:r w:rsidRPr="00722A2A">
        <w:rPr>
          <w:rFonts w:ascii="Book Antiqua" w:eastAsia="Book Antiqua" w:hAnsi="Book Antiqua" w:cs="Book Antiqua"/>
          <w:b/>
          <w:bCs/>
          <w:color w:val="000000"/>
        </w:rPr>
        <w:t>9</w:t>
      </w:r>
      <w:r w:rsidRPr="00722A2A">
        <w:rPr>
          <w:rFonts w:ascii="Book Antiqua" w:eastAsia="Book Antiqua" w:hAnsi="Book Antiqua" w:cs="Book Antiqua"/>
          <w:color w:val="000000"/>
        </w:rPr>
        <w:t>: 53-66 [PMID: 15852519]</w:t>
      </w:r>
    </w:p>
    <w:p w14:paraId="5062A7CF" w14:textId="56E125C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5 </w:t>
      </w:r>
      <w:r w:rsidRPr="00722A2A">
        <w:rPr>
          <w:rFonts w:ascii="Book Antiqua" w:eastAsia="Book Antiqua" w:hAnsi="Book Antiqua" w:cs="Book Antiqua"/>
          <w:b/>
          <w:bCs/>
          <w:color w:val="000000"/>
        </w:rPr>
        <w:t>Babic M</w:t>
      </w:r>
      <w:r w:rsidRPr="00722A2A">
        <w:rPr>
          <w:rFonts w:ascii="Book Antiqua" w:eastAsia="Book Antiqua" w:hAnsi="Book Antiqua" w:cs="Book Antiqua"/>
          <w:color w:val="000000"/>
        </w:rPr>
        <w:t xml:space="preserve">, Simpfendorfer CS. Infections of the Spine. </w:t>
      </w:r>
      <w:r w:rsidRPr="00722A2A">
        <w:rPr>
          <w:rFonts w:ascii="Book Antiqua" w:eastAsia="Book Antiqua" w:hAnsi="Book Antiqua" w:cs="Book Antiqua"/>
          <w:i/>
          <w:iCs/>
          <w:color w:val="000000"/>
        </w:rPr>
        <w:t>Infect Dis Clin North Am</w:t>
      </w:r>
      <w:r w:rsidRPr="00722A2A">
        <w:rPr>
          <w:rFonts w:ascii="Book Antiqua" w:eastAsia="Book Antiqua" w:hAnsi="Book Antiqua" w:cs="Book Antiqua"/>
          <w:color w:val="000000"/>
        </w:rPr>
        <w:t xml:space="preserve"> 2017; </w:t>
      </w:r>
      <w:r w:rsidRPr="00722A2A">
        <w:rPr>
          <w:rFonts w:ascii="Book Antiqua" w:eastAsia="Book Antiqua" w:hAnsi="Book Antiqua" w:cs="Book Antiqua"/>
          <w:b/>
          <w:bCs/>
          <w:color w:val="000000"/>
        </w:rPr>
        <w:t>31</w:t>
      </w:r>
      <w:r w:rsidRPr="00722A2A">
        <w:rPr>
          <w:rFonts w:ascii="Book Antiqua" w:eastAsia="Book Antiqua" w:hAnsi="Book Antiqua" w:cs="Book Antiqua"/>
          <w:color w:val="000000"/>
        </w:rPr>
        <w:t>: 279-297 [PMID: 28366222 DOI: 10.1016/j.idc.2017.01.003]</w:t>
      </w:r>
    </w:p>
    <w:p w14:paraId="73CC8910" w14:textId="7ADE803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6 </w:t>
      </w:r>
      <w:r w:rsidRPr="00722A2A">
        <w:rPr>
          <w:rFonts w:ascii="Book Antiqua" w:eastAsia="Book Antiqua" w:hAnsi="Book Antiqua" w:cs="Book Antiqua"/>
          <w:b/>
          <w:bCs/>
          <w:color w:val="000000"/>
        </w:rPr>
        <w:t>Bardram L</w:t>
      </w:r>
      <w:r w:rsidRPr="00722A2A">
        <w:rPr>
          <w:rFonts w:ascii="Book Antiqua" w:eastAsia="Book Antiqua" w:hAnsi="Book Antiqua" w:cs="Book Antiqua"/>
          <w:color w:val="000000"/>
        </w:rPr>
        <w:t xml:space="preserve">, Funch-Jensen P, Jensen P, Crawford ME, Kehlet H. Recovery after laparoscopic colonic surgery with epidural analgesia, and early oral nutrition and mobilisation. </w:t>
      </w:r>
      <w:r w:rsidRPr="00722A2A">
        <w:rPr>
          <w:rFonts w:ascii="Book Antiqua" w:eastAsia="Book Antiqua" w:hAnsi="Book Antiqua" w:cs="Book Antiqua"/>
          <w:i/>
          <w:iCs/>
          <w:color w:val="000000"/>
        </w:rPr>
        <w:t>Lancet</w:t>
      </w:r>
      <w:r w:rsidRPr="00722A2A">
        <w:rPr>
          <w:rFonts w:ascii="Book Antiqua" w:eastAsia="Book Antiqua" w:hAnsi="Book Antiqua" w:cs="Book Antiqua"/>
          <w:color w:val="000000"/>
        </w:rPr>
        <w:t xml:space="preserve"> 1995; </w:t>
      </w:r>
      <w:r w:rsidRPr="00722A2A">
        <w:rPr>
          <w:rFonts w:ascii="Book Antiqua" w:eastAsia="Book Antiqua" w:hAnsi="Book Antiqua" w:cs="Book Antiqua"/>
          <w:b/>
          <w:bCs/>
          <w:color w:val="000000"/>
        </w:rPr>
        <w:t>345</w:t>
      </w:r>
      <w:r w:rsidRPr="00722A2A">
        <w:rPr>
          <w:rFonts w:ascii="Book Antiqua" w:eastAsia="Book Antiqua" w:hAnsi="Book Antiqua" w:cs="Book Antiqua"/>
          <w:color w:val="000000"/>
        </w:rPr>
        <w:t>: 763-764 [PMID: 7891489 DOI: 10.1016/s0140-6736(95)90643-6]</w:t>
      </w:r>
    </w:p>
    <w:p w14:paraId="08B314FD" w14:textId="000CD9EB"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7 </w:t>
      </w:r>
      <w:r w:rsidRPr="00722A2A">
        <w:rPr>
          <w:rFonts w:ascii="Book Antiqua" w:eastAsia="Book Antiqua" w:hAnsi="Book Antiqua" w:cs="Book Antiqua"/>
          <w:b/>
          <w:bCs/>
          <w:color w:val="000000"/>
        </w:rPr>
        <w:t>Yoon J</w:t>
      </w:r>
      <w:r w:rsidRPr="00722A2A">
        <w:rPr>
          <w:rFonts w:ascii="Book Antiqua" w:eastAsia="Book Antiqua" w:hAnsi="Book Antiqua" w:cs="Book Antiqua"/>
          <w:color w:val="000000"/>
        </w:rPr>
        <w:t xml:space="preserve">, Efendy J, Redmond MJ. Septic arthritis of the lumbar facet joint. Case and literature review. </w:t>
      </w:r>
      <w:r w:rsidRPr="00722A2A">
        <w:rPr>
          <w:rFonts w:ascii="Book Antiqua" w:eastAsia="Book Antiqua" w:hAnsi="Book Antiqua" w:cs="Book Antiqua"/>
          <w:i/>
          <w:iCs/>
          <w:color w:val="000000"/>
        </w:rPr>
        <w:t>J Clin Neurosci</w:t>
      </w:r>
      <w:r w:rsidRPr="00722A2A">
        <w:rPr>
          <w:rFonts w:ascii="Book Antiqua" w:eastAsia="Book Antiqua" w:hAnsi="Book Antiqua" w:cs="Book Antiqua"/>
          <w:color w:val="000000"/>
        </w:rPr>
        <w:t xml:space="preserve"> 2020; </w:t>
      </w:r>
      <w:r w:rsidRPr="00722A2A">
        <w:rPr>
          <w:rFonts w:ascii="Book Antiqua" w:eastAsia="Book Antiqua" w:hAnsi="Book Antiqua" w:cs="Book Antiqua"/>
          <w:b/>
          <w:bCs/>
          <w:color w:val="000000"/>
        </w:rPr>
        <w:t>71</w:t>
      </w:r>
      <w:r w:rsidRPr="00722A2A">
        <w:rPr>
          <w:rFonts w:ascii="Book Antiqua" w:eastAsia="Book Antiqua" w:hAnsi="Book Antiqua" w:cs="Book Antiqua"/>
          <w:color w:val="000000"/>
        </w:rPr>
        <w:t>: 299-303 [PMID: 31843439 DOI: 10.1016/j.jocn.2019.11.007]</w:t>
      </w:r>
    </w:p>
    <w:p w14:paraId="5938F038" w14:textId="2F0AE1DC"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8 </w:t>
      </w:r>
      <w:r w:rsidRPr="00722A2A">
        <w:rPr>
          <w:rFonts w:ascii="Book Antiqua" w:eastAsia="Book Antiqua" w:hAnsi="Book Antiqua" w:cs="Book Antiqua"/>
          <w:b/>
          <w:bCs/>
          <w:color w:val="000000"/>
        </w:rPr>
        <w:t>Mylona E</w:t>
      </w:r>
      <w:r w:rsidRPr="00722A2A">
        <w:rPr>
          <w:rFonts w:ascii="Book Antiqua" w:eastAsia="Book Antiqua" w:hAnsi="Book Antiqua" w:cs="Book Antiqua"/>
          <w:color w:val="000000"/>
        </w:rPr>
        <w:t xml:space="preserve">, Samarkos M, Kakalou E, Fanourgiakis P, Skoutelis A. Pyogenic vertebral osteomyelitis: a systematic review of clinical characteristics. </w:t>
      </w:r>
      <w:r w:rsidRPr="00722A2A">
        <w:rPr>
          <w:rFonts w:ascii="Book Antiqua" w:eastAsia="Book Antiqua" w:hAnsi="Book Antiqua" w:cs="Book Antiqua"/>
          <w:i/>
          <w:iCs/>
          <w:color w:val="000000"/>
        </w:rPr>
        <w:t>Semin Arthritis Rheum</w:t>
      </w:r>
      <w:r w:rsidRPr="00722A2A">
        <w:rPr>
          <w:rFonts w:ascii="Book Antiqua" w:eastAsia="Book Antiqua" w:hAnsi="Book Antiqua" w:cs="Book Antiqua"/>
          <w:color w:val="000000"/>
        </w:rPr>
        <w:t xml:space="preserve"> 2009; </w:t>
      </w:r>
      <w:r w:rsidRPr="00722A2A">
        <w:rPr>
          <w:rFonts w:ascii="Book Antiqua" w:eastAsia="Book Antiqua" w:hAnsi="Book Antiqua" w:cs="Book Antiqua"/>
          <w:b/>
          <w:bCs/>
          <w:color w:val="000000"/>
        </w:rPr>
        <w:t>39</w:t>
      </w:r>
      <w:r w:rsidRPr="00722A2A">
        <w:rPr>
          <w:rFonts w:ascii="Book Antiqua" w:eastAsia="Book Antiqua" w:hAnsi="Book Antiqua" w:cs="Book Antiqua"/>
          <w:color w:val="000000"/>
        </w:rPr>
        <w:t>: 10-17 [PMID: 18550153 DOI: 10.1016/j.semarthrit.2008.03.002]</w:t>
      </w:r>
    </w:p>
    <w:p w14:paraId="78648B07" w14:textId="039B28B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9 </w:t>
      </w:r>
      <w:r w:rsidRPr="00722A2A">
        <w:rPr>
          <w:rFonts w:ascii="Book Antiqua" w:eastAsia="Book Antiqua" w:hAnsi="Book Antiqua" w:cs="Book Antiqua"/>
          <w:b/>
          <w:bCs/>
          <w:color w:val="000000"/>
        </w:rPr>
        <w:t>André V</w:t>
      </w:r>
      <w:r w:rsidRPr="00722A2A">
        <w:rPr>
          <w:rFonts w:ascii="Book Antiqua" w:eastAsia="Book Antiqua" w:hAnsi="Book Antiqua" w:cs="Book Antiqua"/>
          <w:color w:val="000000"/>
        </w:rPr>
        <w:t xml:space="preserve">, Pot-Vaucel M, Cozic C, Visée E, Morrier M, Varin S, Cormier G. Septic arthritis of the facet joint. </w:t>
      </w:r>
      <w:r w:rsidRPr="00722A2A">
        <w:rPr>
          <w:rFonts w:ascii="Book Antiqua" w:eastAsia="Book Antiqua" w:hAnsi="Book Antiqua" w:cs="Book Antiqua"/>
          <w:i/>
          <w:iCs/>
          <w:color w:val="000000"/>
        </w:rPr>
        <w:t>Med Mal Infect</w:t>
      </w:r>
      <w:r w:rsidRPr="00722A2A">
        <w:rPr>
          <w:rFonts w:ascii="Book Antiqua" w:eastAsia="Book Antiqua" w:hAnsi="Book Antiqua" w:cs="Book Antiqua"/>
          <w:color w:val="000000"/>
        </w:rPr>
        <w:t xml:space="preserve"> 2015; </w:t>
      </w:r>
      <w:r w:rsidRPr="00722A2A">
        <w:rPr>
          <w:rFonts w:ascii="Book Antiqua" w:eastAsia="Book Antiqua" w:hAnsi="Book Antiqua" w:cs="Book Antiqua"/>
          <w:b/>
          <w:bCs/>
          <w:color w:val="000000"/>
        </w:rPr>
        <w:t>45</w:t>
      </w:r>
      <w:r w:rsidRPr="00722A2A">
        <w:rPr>
          <w:rFonts w:ascii="Book Antiqua" w:eastAsia="Book Antiqua" w:hAnsi="Book Antiqua" w:cs="Book Antiqua"/>
          <w:color w:val="000000"/>
        </w:rPr>
        <w:t>: 215-221 [PMID: 25958100 DOI: 10.1016/j.medmal.2015.04.001]</w:t>
      </w:r>
    </w:p>
    <w:p w14:paraId="443680F5" w14:textId="1860B8E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10 </w:t>
      </w:r>
      <w:r w:rsidRPr="00722A2A">
        <w:rPr>
          <w:rFonts w:ascii="Book Antiqua" w:eastAsia="Book Antiqua" w:hAnsi="Book Antiqua" w:cs="Book Antiqua"/>
          <w:b/>
          <w:bCs/>
          <w:color w:val="000000"/>
        </w:rPr>
        <w:t>Duarte RM</w:t>
      </w:r>
      <w:r w:rsidRPr="00722A2A">
        <w:rPr>
          <w:rFonts w:ascii="Book Antiqua" w:eastAsia="Book Antiqua" w:hAnsi="Book Antiqua" w:cs="Book Antiqua"/>
          <w:color w:val="000000"/>
        </w:rPr>
        <w:t xml:space="preserve">, Vaccaro AR. Spinal infection: state of the art and management algorithm. </w:t>
      </w:r>
      <w:r w:rsidRPr="00722A2A">
        <w:rPr>
          <w:rFonts w:ascii="Book Antiqua" w:eastAsia="Book Antiqua" w:hAnsi="Book Antiqua" w:cs="Book Antiqua"/>
          <w:i/>
          <w:iCs/>
          <w:color w:val="000000"/>
        </w:rPr>
        <w:t>Eur Spine J</w:t>
      </w:r>
      <w:r w:rsidRPr="00722A2A">
        <w:rPr>
          <w:rFonts w:ascii="Book Antiqua" w:eastAsia="Book Antiqua" w:hAnsi="Book Antiqua" w:cs="Book Antiqua"/>
          <w:color w:val="000000"/>
        </w:rPr>
        <w:t xml:space="preserve"> 2013; </w:t>
      </w:r>
      <w:r w:rsidRPr="00722A2A">
        <w:rPr>
          <w:rFonts w:ascii="Book Antiqua" w:eastAsia="Book Antiqua" w:hAnsi="Book Antiqua" w:cs="Book Antiqua"/>
          <w:b/>
          <w:bCs/>
          <w:color w:val="000000"/>
        </w:rPr>
        <w:t>22</w:t>
      </w:r>
      <w:r w:rsidRPr="00722A2A">
        <w:rPr>
          <w:rFonts w:ascii="Book Antiqua" w:eastAsia="Book Antiqua" w:hAnsi="Book Antiqua" w:cs="Book Antiqua"/>
          <w:color w:val="000000"/>
        </w:rPr>
        <w:t>: 2787-2799 [PMID: 23756630 DOI: 10.1007/s00586-013-2850-1]</w:t>
      </w:r>
    </w:p>
    <w:p w14:paraId="79FE02C1" w14:textId="5FB05F7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11 </w:t>
      </w:r>
      <w:r w:rsidRPr="00722A2A">
        <w:rPr>
          <w:rFonts w:ascii="Book Antiqua" w:eastAsia="Book Antiqua" w:hAnsi="Book Antiqua" w:cs="Book Antiqua"/>
          <w:b/>
          <w:bCs/>
          <w:color w:val="000000"/>
        </w:rPr>
        <w:t>Halpin DS</w:t>
      </w:r>
      <w:r w:rsidRPr="00722A2A">
        <w:rPr>
          <w:rFonts w:ascii="Book Antiqua" w:eastAsia="Book Antiqua" w:hAnsi="Book Antiqua" w:cs="Book Antiqua"/>
          <w:color w:val="000000"/>
        </w:rPr>
        <w:t xml:space="preserve">, Gibson RD. Septic arthritis of a lumbar facet joint. </w:t>
      </w:r>
      <w:r w:rsidRPr="00722A2A">
        <w:rPr>
          <w:rFonts w:ascii="Book Antiqua" w:eastAsia="Book Antiqua" w:hAnsi="Book Antiqua" w:cs="Book Antiqua"/>
          <w:i/>
          <w:iCs/>
          <w:color w:val="000000"/>
        </w:rPr>
        <w:t>J Bone Joint Surg Br</w:t>
      </w:r>
      <w:r w:rsidRPr="00722A2A">
        <w:rPr>
          <w:rFonts w:ascii="Book Antiqua" w:eastAsia="Book Antiqua" w:hAnsi="Book Antiqua" w:cs="Book Antiqua"/>
          <w:color w:val="000000"/>
        </w:rPr>
        <w:t xml:space="preserve"> 1987; </w:t>
      </w:r>
      <w:r w:rsidRPr="00722A2A">
        <w:rPr>
          <w:rFonts w:ascii="Book Antiqua" w:eastAsia="Book Antiqua" w:hAnsi="Book Antiqua" w:cs="Book Antiqua"/>
          <w:b/>
          <w:bCs/>
          <w:color w:val="000000"/>
        </w:rPr>
        <w:t>69</w:t>
      </w:r>
      <w:r w:rsidRPr="00722A2A">
        <w:rPr>
          <w:rFonts w:ascii="Book Antiqua" w:eastAsia="Book Antiqua" w:hAnsi="Book Antiqua" w:cs="Book Antiqua"/>
          <w:color w:val="000000"/>
        </w:rPr>
        <w:t>: 457-459 [PMID: 3584201 DOI: 10.1302/0301-620X.69B3.3584201]</w:t>
      </w:r>
    </w:p>
    <w:p w14:paraId="20BC9875" w14:textId="74E8E4D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12 </w:t>
      </w:r>
      <w:r w:rsidRPr="00722A2A">
        <w:rPr>
          <w:rFonts w:ascii="Book Antiqua" w:eastAsia="Book Antiqua" w:hAnsi="Book Antiqua" w:cs="Book Antiqua"/>
          <w:b/>
          <w:bCs/>
          <w:color w:val="000000"/>
        </w:rPr>
        <w:t>Muffoletto AJ</w:t>
      </w:r>
      <w:r w:rsidRPr="00722A2A">
        <w:rPr>
          <w:rFonts w:ascii="Book Antiqua" w:eastAsia="Book Antiqua" w:hAnsi="Book Antiqua" w:cs="Book Antiqua"/>
          <w:color w:val="000000"/>
        </w:rPr>
        <w:t xml:space="preserve">, Ketonen LM, Mader JT, Crow WN, Hadjipavlou AG. Hematogenous pyogenic facet joint infection. </w:t>
      </w:r>
      <w:r w:rsidRPr="00722A2A">
        <w:rPr>
          <w:rFonts w:ascii="Book Antiqua" w:eastAsia="Book Antiqua" w:hAnsi="Book Antiqua" w:cs="Book Antiqua"/>
          <w:i/>
          <w:iCs/>
          <w:color w:val="000000"/>
        </w:rPr>
        <w:t>Spine (Phila Pa 1976)</w:t>
      </w:r>
      <w:r w:rsidRPr="00722A2A">
        <w:rPr>
          <w:rFonts w:ascii="Book Antiqua" w:eastAsia="Book Antiqua" w:hAnsi="Book Antiqua" w:cs="Book Antiqua"/>
          <w:color w:val="000000"/>
        </w:rPr>
        <w:t xml:space="preserve"> 2001; </w:t>
      </w:r>
      <w:r w:rsidRPr="00722A2A">
        <w:rPr>
          <w:rFonts w:ascii="Book Antiqua" w:eastAsia="Book Antiqua" w:hAnsi="Book Antiqua" w:cs="Book Antiqua"/>
          <w:b/>
          <w:bCs/>
          <w:color w:val="000000"/>
        </w:rPr>
        <w:t>26</w:t>
      </w:r>
      <w:r w:rsidRPr="00722A2A">
        <w:rPr>
          <w:rFonts w:ascii="Book Antiqua" w:eastAsia="Book Antiqua" w:hAnsi="Book Antiqua" w:cs="Book Antiqua"/>
          <w:color w:val="000000"/>
        </w:rPr>
        <w:t>: 1570-1576 [PMID: 11462088 DOI: 10.1097/00007632-200107150-00014]</w:t>
      </w:r>
    </w:p>
    <w:p w14:paraId="7E317B2B" w14:textId="653420F8"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13 </w:t>
      </w:r>
      <w:r w:rsidRPr="00722A2A">
        <w:rPr>
          <w:rFonts w:ascii="Book Antiqua" w:eastAsia="Book Antiqua" w:hAnsi="Book Antiqua" w:cs="Book Antiqua"/>
          <w:b/>
          <w:bCs/>
          <w:color w:val="000000"/>
        </w:rPr>
        <w:t>Klekot D</w:t>
      </w:r>
      <w:r w:rsidRPr="00722A2A">
        <w:rPr>
          <w:rFonts w:ascii="Book Antiqua" w:eastAsia="Book Antiqua" w:hAnsi="Book Antiqua" w:cs="Book Antiqua"/>
          <w:color w:val="000000"/>
        </w:rPr>
        <w:t xml:space="preserve">, Zimny A, Czapiga B, Sąsiadek M. Isolated septic facet joint arthritis as a rare cause of acute and chronic low back pain - a case report and literature review. </w:t>
      </w:r>
      <w:r w:rsidRPr="00722A2A">
        <w:rPr>
          <w:rFonts w:ascii="Book Antiqua" w:eastAsia="Book Antiqua" w:hAnsi="Book Antiqua" w:cs="Book Antiqua"/>
          <w:i/>
          <w:iCs/>
          <w:color w:val="000000"/>
        </w:rPr>
        <w:t>Pol J Radiol</w:t>
      </w:r>
      <w:r w:rsidRPr="00722A2A">
        <w:rPr>
          <w:rFonts w:ascii="Book Antiqua" w:eastAsia="Book Antiqua" w:hAnsi="Book Antiqua" w:cs="Book Antiqua"/>
          <w:color w:val="000000"/>
        </w:rPr>
        <w:t xml:space="preserve"> 2012; </w:t>
      </w:r>
      <w:r w:rsidRPr="00722A2A">
        <w:rPr>
          <w:rFonts w:ascii="Book Antiqua" w:eastAsia="Book Antiqua" w:hAnsi="Book Antiqua" w:cs="Book Antiqua"/>
          <w:b/>
          <w:bCs/>
          <w:color w:val="000000"/>
        </w:rPr>
        <w:t>77</w:t>
      </w:r>
      <w:r w:rsidRPr="00722A2A">
        <w:rPr>
          <w:rFonts w:ascii="Book Antiqua" w:eastAsia="Book Antiqua" w:hAnsi="Book Antiqua" w:cs="Book Antiqua"/>
          <w:color w:val="000000"/>
        </w:rPr>
        <w:t>: 72-76 [PMID: 23269942 DOI: 10.12659/pjr.883634]</w:t>
      </w:r>
    </w:p>
    <w:p w14:paraId="4B4F2971" w14:textId="3BF4C9F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14 </w:t>
      </w:r>
      <w:r w:rsidRPr="00722A2A">
        <w:rPr>
          <w:rFonts w:ascii="Book Antiqua" w:eastAsia="Book Antiqua" w:hAnsi="Book Antiqua" w:cs="Book Antiqua"/>
          <w:b/>
          <w:bCs/>
          <w:color w:val="000000"/>
        </w:rPr>
        <w:t>Ergan M</w:t>
      </w:r>
      <w:r w:rsidRPr="00722A2A">
        <w:rPr>
          <w:rFonts w:ascii="Book Antiqua" w:eastAsia="Book Antiqua" w:hAnsi="Book Antiqua" w:cs="Book Antiqua"/>
          <w:color w:val="000000"/>
        </w:rPr>
        <w:t xml:space="preserve">, Macro M, Benhamou CL, Vandermarcq P, Colin T, L'Hirondel JL, Marcelli C. Septic arthritis of lumbar facet joints. A review of six cases. </w:t>
      </w:r>
      <w:r w:rsidRPr="00722A2A">
        <w:rPr>
          <w:rFonts w:ascii="Book Antiqua" w:eastAsia="Book Antiqua" w:hAnsi="Book Antiqua" w:cs="Book Antiqua"/>
          <w:i/>
          <w:iCs/>
          <w:color w:val="000000"/>
        </w:rPr>
        <w:t>Rev Rhum Engl Ed</w:t>
      </w:r>
      <w:r w:rsidRPr="00722A2A">
        <w:rPr>
          <w:rFonts w:ascii="Book Antiqua" w:eastAsia="Book Antiqua" w:hAnsi="Book Antiqua" w:cs="Book Antiqua"/>
          <w:color w:val="000000"/>
        </w:rPr>
        <w:t xml:space="preserve"> 1997; </w:t>
      </w:r>
      <w:r w:rsidRPr="00722A2A">
        <w:rPr>
          <w:rFonts w:ascii="Book Antiqua" w:eastAsia="Book Antiqua" w:hAnsi="Book Antiqua" w:cs="Book Antiqua"/>
          <w:b/>
          <w:bCs/>
          <w:color w:val="000000"/>
        </w:rPr>
        <w:t>64</w:t>
      </w:r>
      <w:r w:rsidRPr="00722A2A">
        <w:rPr>
          <w:rFonts w:ascii="Book Antiqua" w:eastAsia="Book Antiqua" w:hAnsi="Book Antiqua" w:cs="Book Antiqua"/>
          <w:color w:val="000000"/>
        </w:rPr>
        <w:t>: 386-395 [PMID: 9513611]</w:t>
      </w:r>
    </w:p>
    <w:p w14:paraId="36F5A19A" w14:textId="2F2F7E9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15 </w:t>
      </w:r>
      <w:r w:rsidRPr="00722A2A">
        <w:rPr>
          <w:rFonts w:ascii="Book Antiqua" w:eastAsia="Book Antiqua" w:hAnsi="Book Antiqua" w:cs="Book Antiqua"/>
          <w:b/>
          <w:bCs/>
          <w:color w:val="000000"/>
        </w:rPr>
        <w:t>Narváez J</w:t>
      </w:r>
      <w:r w:rsidRPr="00722A2A">
        <w:rPr>
          <w:rFonts w:ascii="Book Antiqua" w:eastAsia="Book Antiqua" w:hAnsi="Book Antiqua" w:cs="Book Antiqua"/>
          <w:color w:val="000000"/>
        </w:rPr>
        <w:t xml:space="preserve">, Nolla JM, Narváez JA, Martinez-Carnicero L, De Lama E, Gómez-Vaquero C, Murillo O, Valverde J, Ariza J. Spontaneous pyogenic facet joint infection. </w:t>
      </w:r>
      <w:r w:rsidRPr="00722A2A">
        <w:rPr>
          <w:rFonts w:ascii="Book Antiqua" w:eastAsia="Book Antiqua" w:hAnsi="Book Antiqua" w:cs="Book Antiqua"/>
          <w:i/>
          <w:iCs/>
          <w:color w:val="000000"/>
        </w:rPr>
        <w:t>Semin Arthritis Rheum</w:t>
      </w:r>
      <w:r w:rsidRPr="00722A2A">
        <w:rPr>
          <w:rFonts w:ascii="Book Antiqua" w:eastAsia="Book Antiqua" w:hAnsi="Book Antiqua" w:cs="Book Antiqua"/>
          <w:color w:val="000000"/>
        </w:rPr>
        <w:t xml:space="preserve"> 2006; </w:t>
      </w:r>
      <w:r w:rsidRPr="00722A2A">
        <w:rPr>
          <w:rFonts w:ascii="Book Antiqua" w:eastAsia="Book Antiqua" w:hAnsi="Book Antiqua" w:cs="Book Antiqua"/>
          <w:b/>
          <w:bCs/>
          <w:color w:val="000000"/>
        </w:rPr>
        <w:t>35</w:t>
      </w:r>
      <w:r w:rsidRPr="00722A2A">
        <w:rPr>
          <w:rFonts w:ascii="Book Antiqua" w:eastAsia="Book Antiqua" w:hAnsi="Book Antiqua" w:cs="Book Antiqua"/>
          <w:color w:val="000000"/>
        </w:rPr>
        <w:t>: 272-283 [PMID: 16616150 DOI: 10.1016/j.semarthrit.2005.09.003]</w:t>
      </w:r>
    </w:p>
    <w:p w14:paraId="08456AB7" w14:textId="28B70E06"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16 </w:t>
      </w:r>
      <w:r w:rsidRPr="00722A2A">
        <w:rPr>
          <w:rFonts w:ascii="Book Antiqua" w:eastAsia="Book Antiqua" w:hAnsi="Book Antiqua" w:cs="Book Antiqua"/>
          <w:b/>
          <w:bCs/>
          <w:color w:val="000000"/>
        </w:rPr>
        <w:t>Rajeev A</w:t>
      </w:r>
      <w:r w:rsidRPr="00722A2A">
        <w:rPr>
          <w:rFonts w:ascii="Book Antiqua" w:eastAsia="Book Antiqua" w:hAnsi="Book Antiqua" w:cs="Book Antiqua"/>
          <w:color w:val="000000"/>
        </w:rPr>
        <w:t xml:space="preserve">, Choudhry N, Shaikh M, Newby M. Lumbar facet joint septic arthritis presenting atypically as acute abdomen - A case report and review of the literature. </w:t>
      </w:r>
      <w:r w:rsidRPr="00722A2A">
        <w:rPr>
          <w:rFonts w:ascii="Book Antiqua" w:eastAsia="Book Antiqua" w:hAnsi="Book Antiqua" w:cs="Book Antiqua"/>
          <w:i/>
          <w:iCs/>
          <w:color w:val="000000"/>
        </w:rPr>
        <w:t>Int J Surg Case Rep</w:t>
      </w:r>
      <w:r w:rsidRPr="00722A2A">
        <w:rPr>
          <w:rFonts w:ascii="Book Antiqua" w:eastAsia="Book Antiqua" w:hAnsi="Book Antiqua" w:cs="Book Antiqua"/>
          <w:color w:val="000000"/>
        </w:rPr>
        <w:t xml:space="preserve"> 2016; </w:t>
      </w:r>
      <w:r w:rsidRPr="00722A2A">
        <w:rPr>
          <w:rFonts w:ascii="Book Antiqua" w:eastAsia="Book Antiqua" w:hAnsi="Book Antiqua" w:cs="Book Antiqua"/>
          <w:b/>
          <w:bCs/>
          <w:color w:val="000000"/>
        </w:rPr>
        <w:t>25</w:t>
      </w:r>
      <w:r w:rsidRPr="00722A2A">
        <w:rPr>
          <w:rFonts w:ascii="Book Antiqua" w:eastAsia="Book Antiqua" w:hAnsi="Book Antiqua" w:cs="Book Antiqua"/>
          <w:color w:val="000000"/>
        </w:rPr>
        <w:t>: 243-245 [PMID: 27414995 DOI: 10.1016/j.ijscr.2016.07.001]</w:t>
      </w:r>
    </w:p>
    <w:p w14:paraId="6A1B92D2" w14:textId="77777777" w:rsidR="002664DB" w:rsidRPr="00722A2A" w:rsidRDefault="002664DB" w:rsidP="00722A2A">
      <w:pPr>
        <w:adjustRightInd w:val="0"/>
        <w:snapToGrid w:val="0"/>
        <w:spacing w:line="360" w:lineRule="auto"/>
        <w:jc w:val="both"/>
        <w:rPr>
          <w:rFonts w:ascii="Book Antiqua" w:hAnsi="Book Antiqua" w:cs="Book Antiqua"/>
        </w:rPr>
        <w:sectPr w:rsidR="002664DB" w:rsidRPr="00722A2A">
          <w:pgSz w:w="12240" w:h="15840"/>
          <w:pgMar w:top="1440" w:right="1440" w:bottom="1440" w:left="1440" w:header="720" w:footer="720" w:gutter="0"/>
          <w:cols w:space="720"/>
          <w:docGrid w:linePitch="360"/>
        </w:sectPr>
      </w:pPr>
    </w:p>
    <w:p w14:paraId="3EDC5FCD"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Footnotes</w:t>
      </w:r>
    </w:p>
    <w:p w14:paraId="27540953" w14:textId="32A4DA50"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Informed consent statement: </w:t>
      </w:r>
      <w:r w:rsidRPr="00722A2A">
        <w:rPr>
          <w:rFonts w:ascii="Book Antiqua" w:eastAsia="Book Antiqua" w:hAnsi="Book Antiqua" w:cs="Book Antiqua"/>
          <w:color w:val="000000"/>
        </w:rPr>
        <w:t>The patient was informed that data concerning the case would be submitted for publication</w:t>
      </w:r>
      <w:r w:rsidRPr="00722A2A">
        <w:rPr>
          <w:rStyle w:val="Aucun"/>
          <w:rFonts w:ascii="Book Antiqua" w:eastAsia="Book Antiqua" w:hAnsi="Book Antiqua" w:cs="Book Antiqua"/>
          <w:color w:val="000000"/>
        </w:rPr>
        <w:t xml:space="preserve">: </w:t>
      </w:r>
      <w:r w:rsidRPr="00722A2A">
        <w:rPr>
          <w:rFonts w:ascii="Book Antiqua" w:eastAsia="Book Antiqua" w:hAnsi="Book Antiqua" w:cs="Book Antiqua"/>
          <w:color w:val="000000"/>
        </w:rPr>
        <w:t>COS-RGDS-2020-04-002)</w:t>
      </w:r>
      <w:r w:rsidRPr="00722A2A">
        <w:rPr>
          <w:rFonts w:ascii="Book Antiqua" w:eastAsia="Book Antiqua" w:hAnsi="Book Antiqua" w:cs="Book Antiqua"/>
          <w:b/>
          <w:bCs/>
          <w:color w:val="000000"/>
        </w:rPr>
        <w:t xml:space="preserve"> </w:t>
      </w:r>
      <w:r w:rsidRPr="00722A2A">
        <w:rPr>
          <w:rFonts w:ascii="Book Antiqua" w:eastAsia="Book Antiqua" w:hAnsi="Book Antiqua" w:cs="Book Antiqua"/>
          <w:color w:val="000000"/>
        </w:rPr>
        <w:t>and gave his consent.</w:t>
      </w:r>
    </w:p>
    <w:p w14:paraId="5DF6846D" w14:textId="77777777" w:rsidR="002664DB" w:rsidRPr="00722A2A" w:rsidRDefault="002664DB" w:rsidP="00722A2A">
      <w:pPr>
        <w:adjustRightInd w:val="0"/>
        <w:snapToGrid w:val="0"/>
        <w:spacing w:line="360" w:lineRule="auto"/>
        <w:jc w:val="both"/>
        <w:rPr>
          <w:rFonts w:ascii="Book Antiqua" w:hAnsi="Book Antiqua" w:cs="Book Antiqua"/>
        </w:rPr>
      </w:pPr>
    </w:p>
    <w:p w14:paraId="55432A2E" w14:textId="722A51F0"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Conflict-of-interest statement: </w:t>
      </w:r>
      <w:r w:rsidRPr="00722A2A">
        <w:rPr>
          <w:rFonts w:ascii="Book Antiqua" w:eastAsia="Book Antiqua" w:hAnsi="Book Antiqua" w:cs="Book Antiqua"/>
          <w:color w:val="000000"/>
        </w:rPr>
        <w:t>One or more of the authors has declared a potential conflict of interest: d'Astorg H reports personal fees from Clariance,</w:t>
      </w:r>
      <w:r w:rsidRPr="00722A2A">
        <w:rPr>
          <w:rStyle w:val="15"/>
          <w:rFonts w:ascii="Book Antiqua" w:eastAsia="Book Antiqua" w:hAnsi="Book Antiqua" w:cs="Book Antiqua"/>
          <w:color w:val="000000"/>
        </w:rPr>
        <w:t xml:space="preserve"> </w:t>
      </w:r>
      <w:r w:rsidRPr="00722A2A">
        <w:rPr>
          <w:rFonts w:ascii="Book Antiqua" w:eastAsia="Book Antiqua" w:hAnsi="Book Antiqua" w:cs="Book Antiqua"/>
          <w:color w:val="000000"/>
        </w:rPr>
        <w:t>outside the submitted work;</w:t>
      </w:r>
      <w:r w:rsidRPr="00722A2A">
        <w:rPr>
          <w:rStyle w:val="15"/>
          <w:rFonts w:ascii="Book Antiqua" w:eastAsia="Book Antiqua" w:hAnsi="Book Antiqua" w:cs="Book Antiqua"/>
          <w:color w:val="000000"/>
        </w:rPr>
        <w:t xml:space="preserve"> </w:t>
      </w:r>
      <w:r w:rsidRPr="00722A2A">
        <w:rPr>
          <w:rFonts w:ascii="Book Antiqua" w:eastAsia="Book Antiqua" w:hAnsi="Book Antiqua" w:cs="Book Antiqua"/>
          <w:color w:val="000000"/>
        </w:rPr>
        <w:t>Fiere V reports personal fees from Clariance, personal fees from Medicrea,</w:t>
      </w:r>
      <w:r w:rsidRPr="00722A2A">
        <w:rPr>
          <w:rStyle w:val="15"/>
          <w:rFonts w:ascii="Book Antiqua" w:eastAsia="Book Antiqua" w:hAnsi="Book Antiqua" w:cs="Book Antiqua"/>
          <w:color w:val="000000"/>
        </w:rPr>
        <w:t xml:space="preserve"> </w:t>
      </w:r>
      <w:r w:rsidRPr="00722A2A">
        <w:rPr>
          <w:rFonts w:ascii="Book Antiqua" w:eastAsia="Book Antiqua" w:hAnsi="Book Antiqua" w:cs="Book Antiqua"/>
          <w:color w:val="000000"/>
        </w:rPr>
        <w:t>outside the submitted work; Szadkowski M reports personal fees from Clariance,</w:t>
      </w:r>
      <w:r w:rsidRPr="00722A2A">
        <w:rPr>
          <w:rStyle w:val="15"/>
          <w:rFonts w:ascii="Book Antiqua" w:eastAsia="Book Antiqua" w:hAnsi="Book Antiqua" w:cs="Book Antiqua"/>
          <w:color w:val="000000"/>
        </w:rPr>
        <w:t xml:space="preserve"> </w:t>
      </w:r>
      <w:r w:rsidRPr="00722A2A">
        <w:rPr>
          <w:rFonts w:ascii="Book Antiqua" w:eastAsia="Book Antiqua" w:hAnsi="Book Antiqua" w:cs="Book Antiqua"/>
          <w:color w:val="000000"/>
        </w:rPr>
        <w:t>outside the submitted work.</w:t>
      </w:r>
    </w:p>
    <w:p w14:paraId="0CB605B9" w14:textId="77777777" w:rsidR="002664DB" w:rsidRPr="00722A2A" w:rsidRDefault="002664DB" w:rsidP="00722A2A">
      <w:pPr>
        <w:adjustRightInd w:val="0"/>
        <w:snapToGrid w:val="0"/>
        <w:spacing w:line="360" w:lineRule="auto"/>
        <w:jc w:val="both"/>
        <w:rPr>
          <w:rFonts w:ascii="Book Antiqua" w:hAnsi="Book Antiqua" w:cs="Book Antiqua"/>
        </w:rPr>
      </w:pPr>
    </w:p>
    <w:p w14:paraId="3E0649F9" w14:textId="10DF2FAD"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CARE Checklist (2016) statement: </w:t>
      </w:r>
      <w:r w:rsidRPr="00722A2A">
        <w:rPr>
          <w:rFonts w:ascii="Book Antiqua" w:eastAsia="Book Antiqua" w:hAnsi="Book Antiqua" w:cs="Book Antiqua"/>
          <w:color w:val="000000"/>
        </w:rPr>
        <w:t>The authors have read the CARE Checklist (2016), and the manuscript was prepared and revised according to the CARE Checklist (2016).</w:t>
      </w:r>
    </w:p>
    <w:p w14:paraId="12509F0A" w14:textId="77777777" w:rsidR="002664DB" w:rsidRPr="00722A2A" w:rsidRDefault="002664DB" w:rsidP="00722A2A">
      <w:pPr>
        <w:adjustRightInd w:val="0"/>
        <w:snapToGrid w:val="0"/>
        <w:spacing w:line="360" w:lineRule="auto"/>
        <w:jc w:val="both"/>
        <w:rPr>
          <w:rFonts w:ascii="Book Antiqua" w:hAnsi="Book Antiqua" w:cs="Book Antiqua"/>
        </w:rPr>
      </w:pPr>
    </w:p>
    <w:p w14:paraId="39F20458" w14:textId="5CDED4E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Open-Access: </w:t>
      </w:r>
      <w:r w:rsidRPr="00722A2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9D8946" w14:textId="77777777" w:rsidR="002664DB" w:rsidRPr="00722A2A" w:rsidRDefault="002664DB" w:rsidP="00722A2A">
      <w:pPr>
        <w:adjustRightInd w:val="0"/>
        <w:snapToGrid w:val="0"/>
        <w:spacing w:line="360" w:lineRule="auto"/>
        <w:jc w:val="both"/>
        <w:rPr>
          <w:rFonts w:ascii="Book Antiqua" w:hAnsi="Book Antiqua" w:cs="Book Antiqua"/>
        </w:rPr>
      </w:pPr>
    </w:p>
    <w:p w14:paraId="7AA80C15" w14:textId="3181682B"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Manuscript source: </w:t>
      </w:r>
      <w:r w:rsidRPr="00722A2A">
        <w:rPr>
          <w:rFonts w:ascii="Book Antiqua" w:eastAsia="Book Antiqua" w:hAnsi="Book Antiqua" w:cs="Book Antiqua"/>
          <w:color w:val="000000"/>
        </w:rPr>
        <w:t xml:space="preserve">Unsolicited </w:t>
      </w:r>
      <w:r w:rsidR="008A2256">
        <w:rPr>
          <w:rFonts w:ascii="Book Antiqua" w:eastAsia="Book Antiqua" w:hAnsi="Book Antiqua" w:cs="Book Antiqua"/>
          <w:color w:val="000000"/>
        </w:rPr>
        <w:t>m</w:t>
      </w:r>
      <w:r w:rsidRPr="00722A2A">
        <w:rPr>
          <w:rFonts w:ascii="Book Antiqua" w:eastAsia="Book Antiqua" w:hAnsi="Book Antiqua" w:cs="Book Antiqua"/>
          <w:color w:val="000000"/>
        </w:rPr>
        <w:t>anuscript</w:t>
      </w:r>
    </w:p>
    <w:p w14:paraId="1BE470AD" w14:textId="77777777" w:rsidR="002664DB" w:rsidRPr="00722A2A" w:rsidRDefault="002664DB" w:rsidP="00722A2A">
      <w:pPr>
        <w:adjustRightInd w:val="0"/>
        <w:snapToGrid w:val="0"/>
        <w:spacing w:line="360" w:lineRule="auto"/>
        <w:jc w:val="both"/>
        <w:rPr>
          <w:rFonts w:ascii="Book Antiqua" w:hAnsi="Book Antiqua" w:cs="Book Antiqua"/>
        </w:rPr>
      </w:pPr>
    </w:p>
    <w:p w14:paraId="25C357D1" w14:textId="3108192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Peer-review started: </w:t>
      </w:r>
      <w:r w:rsidRPr="00722A2A">
        <w:rPr>
          <w:rFonts w:ascii="Book Antiqua" w:eastAsia="Book Antiqua" w:hAnsi="Book Antiqua" w:cs="Book Antiqua"/>
          <w:color w:val="000000"/>
        </w:rPr>
        <w:t>October 7, 2020</w:t>
      </w:r>
    </w:p>
    <w:p w14:paraId="520CC4E4" w14:textId="2EF4E06A"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First decision: </w:t>
      </w:r>
      <w:r w:rsidRPr="00722A2A">
        <w:rPr>
          <w:rFonts w:ascii="Book Antiqua" w:eastAsia="Book Antiqua" w:hAnsi="Book Antiqua" w:cs="Book Antiqua"/>
          <w:color w:val="000000"/>
        </w:rPr>
        <w:t>November 14, 2020</w:t>
      </w:r>
    </w:p>
    <w:p w14:paraId="4EEA421C" w14:textId="4C818766"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Article in press: </w:t>
      </w:r>
      <w:r w:rsidR="00D04755" w:rsidRPr="005A62F6">
        <w:rPr>
          <w:rFonts w:ascii="Book Antiqua" w:eastAsia="Book Antiqua" w:hAnsi="Book Antiqua" w:cs="Book Antiqua"/>
          <w:color w:val="000000"/>
        </w:rPr>
        <w:t>March 19, 2021</w:t>
      </w:r>
    </w:p>
    <w:p w14:paraId="0BF6F980" w14:textId="77777777" w:rsidR="002664DB" w:rsidRPr="00722A2A" w:rsidRDefault="002664DB" w:rsidP="00722A2A">
      <w:pPr>
        <w:adjustRightInd w:val="0"/>
        <w:snapToGrid w:val="0"/>
        <w:spacing w:line="360" w:lineRule="auto"/>
        <w:jc w:val="both"/>
        <w:rPr>
          <w:rFonts w:ascii="Book Antiqua" w:hAnsi="Book Antiqua" w:cs="Book Antiqua"/>
        </w:rPr>
      </w:pPr>
    </w:p>
    <w:p w14:paraId="1CCE685D" w14:textId="5AF74AD6"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Specialty type: </w:t>
      </w:r>
      <w:r w:rsidRPr="00722A2A">
        <w:rPr>
          <w:rFonts w:ascii="Book Antiqua" w:eastAsia="Book Antiqua" w:hAnsi="Book Antiqua" w:cs="Book Antiqua"/>
          <w:color w:val="000000"/>
        </w:rPr>
        <w:t>Orthopedics</w:t>
      </w:r>
    </w:p>
    <w:p w14:paraId="3586687D" w14:textId="630CF69E"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Country/Territory of origin: </w:t>
      </w:r>
      <w:r w:rsidRPr="00722A2A">
        <w:rPr>
          <w:rFonts w:ascii="Book Antiqua" w:eastAsia="Book Antiqua" w:hAnsi="Book Antiqua" w:cs="Book Antiqua"/>
          <w:color w:val="000000"/>
        </w:rPr>
        <w:t>France</w:t>
      </w:r>
    </w:p>
    <w:p w14:paraId="00635FCD" w14:textId="0D5C4BFE"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Peer-review report’s scientific quality classification</w:t>
      </w:r>
    </w:p>
    <w:p w14:paraId="7F5EED85" w14:textId="3A4E2936"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Grade A (Excellent): 0</w:t>
      </w:r>
    </w:p>
    <w:p w14:paraId="77CB1468" w14:textId="6ED8E74E"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Grade B (Very good): 0</w:t>
      </w:r>
    </w:p>
    <w:p w14:paraId="44DAC335" w14:textId="2165EB3B"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Grade C (Good): </w:t>
      </w:r>
      <w:r w:rsidR="00722A2A">
        <w:rPr>
          <w:rFonts w:ascii="Book Antiqua" w:eastAsia="Book Antiqua" w:hAnsi="Book Antiqua" w:cs="Book Antiqua"/>
          <w:color w:val="000000"/>
        </w:rPr>
        <w:t>C, C</w:t>
      </w:r>
    </w:p>
    <w:p w14:paraId="177F919D" w14:textId="23F64ECD"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Grade D (Fair): 0</w:t>
      </w:r>
    </w:p>
    <w:p w14:paraId="1401E0D8" w14:textId="3298FE95"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Grade E (Poor): 0</w:t>
      </w:r>
    </w:p>
    <w:p w14:paraId="271B89C6" w14:textId="77777777" w:rsidR="002664DB" w:rsidRPr="00722A2A" w:rsidRDefault="002664DB" w:rsidP="00722A2A">
      <w:pPr>
        <w:adjustRightInd w:val="0"/>
        <w:snapToGrid w:val="0"/>
        <w:spacing w:line="360" w:lineRule="auto"/>
        <w:jc w:val="both"/>
        <w:rPr>
          <w:rFonts w:ascii="Book Antiqua" w:hAnsi="Book Antiqua" w:cs="Book Antiqua"/>
        </w:rPr>
      </w:pPr>
    </w:p>
    <w:p w14:paraId="66813975" w14:textId="5D988DC5" w:rsidR="002664DB" w:rsidRPr="00FE01C5" w:rsidRDefault="004C1FD8" w:rsidP="00722A2A">
      <w:pPr>
        <w:adjustRightInd w:val="0"/>
        <w:snapToGrid w:val="0"/>
        <w:spacing w:line="360" w:lineRule="auto"/>
        <w:jc w:val="both"/>
        <w:rPr>
          <w:rFonts w:ascii="Book Antiqua" w:hAnsi="Book Antiqua" w:cs="Book Antiqua"/>
          <w:bCs/>
        </w:rPr>
        <w:sectPr w:rsidR="002664DB" w:rsidRPr="00FE01C5">
          <w:pgSz w:w="12240" w:h="15840"/>
          <w:pgMar w:top="1440" w:right="1440" w:bottom="1440" w:left="1440" w:header="720" w:footer="720" w:gutter="0"/>
          <w:cols w:space="720"/>
          <w:docGrid w:linePitch="360"/>
        </w:sectPr>
      </w:pPr>
      <w:r w:rsidRPr="00722A2A">
        <w:rPr>
          <w:rFonts w:ascii="Book Antiqua" w:eastAsia="Book Antiqua" w:hAnsi="Book Antiqua" w:cs="Book Antiqua"/>
          <w:b/>
          <w:color w:val="000000"/>
        </w:rPr>
        <w:t xml:space="preserve">P-Reviewer: </w:t>
      </w:r>
      <w:r w:rsidRPr="00722A2A">
        <w:rPr>
          <w:rFonts w:ascii="Book Antiqua" w:eastAsia="Book Antiqua" w:hAnsi="Book Antiqua" w:cs="Book Antiqua"/>
          <w:color w:val="000000"/>
        </w:rPr>
        <w:t>Higa K</w:t>
      </w:r>
      <w:r w:rsidRPr="00722A2A">
        <w:rPr>
          <w:rFonts w:ascii="Book Antiqua" w:eastAsia="Book Antiqua" w:hAnsi="Book Antiqua" w:cs="Book Antiqua"/>
          <w:b/>
          <w:color w:val="000000"/>
        </w:rPr>
        <w:t xml:space="preserve"> S-Editor: </w:t>
      </w:r>
      <w:r w:rsidRPr="00722A2A">
        <w:rPr>
          <w:rFonts w:ascii="Book Antiqua" w:eastAsia="Book Antiqua" w:hAnsi="Book Antiqua" w:cs="Book Antiqua"/>
          <w:color w:val="000000"/>
        </w:rPr>
        <w:t>Liu M</w:t>
      </w:r>
      <w:r w:rsidRPr="00722A2A">
        <w:rPr>
          <w:rFonts w:ascii="Book Antiqua" w:eastAsia="Book Antiqua" w:hAnsi="Book Antiqua" w:cs="Book Antiqua"/>
          <w:b/>
          <w:color w:val="000000"/>
        </w:rPr>
        <w:t xml:space="preserve"> L-Editor: </w:t>
      </w:r>
      <w:r w:rsidR="00FE01C5" w:rsidRPr="00FE01C5">
        <w:rPr>
          <w:rFonts w:ascii="Book Antiqua" w:eastAsia="Book Antiqua" w:hAnsi="Book Antiqua" w:cs="Book Antiqua"/>
          <w:bCs/>
          <w:color w:val="000000"/>
        </w:rPr>
        <w:t>A</w:t>
      </w:r>
      <w:r w:rsidR="00FE01C5">
        <w:rPr>
          <w:rFonts w:ascii="Book Antiqua" w:eastAsia="Book Antiqua" w:hAnsi="Book Antiqua" w:cs="Book Antiqua"/>
          <w:b/>
          <w:color w:val="000000"/>
        </w:rPr>
        <w:t xml:space="preserve"> </w:t>
      </w:r>
      <w:r w:rsidRPr="00722A2A">
        <w:rPr>
          <w:rFonts w:ascii="Book Antiqua" w:eastAsia="Book Antiqua" w:hAnsi="Book Antiqua" w:cs="Book Antiqua"/>
          <w:b/>
          <w:color w:val="000000"/>
        </w:rPr>
        <w:t xml:space="preserve">P-Editor: </w:t>
      </w:r>
      <w:r w:rsidR="00FE01C5">
        <w:rPr>
          <w:rFonts w:ascii="Book Antiqua" w:eastAsia="Book Antiqua" w:hAnsi="Book Antiqua" w:cs="Book Antiqua"/>
          <w:bCs/>
          <w:color w:val="000000"/>
        </w:rPr>
        <w:t>Wu YXJ</w:t>
      </w:r>
    </w:p>
    <w:p w14:paraId="0686371E" w14:textId="367CF25B" w:rsidR="002664DB" w:rsidRPr="00722A2A" w:rsidRDefault="004C1FD8" w:rsidP="00722A2A">
      <w:pPr>
        <w:adjustRightInd w:val="0"/>
        <w:snapToGrid w:val="0"/>
        <w:spacing w:line="360" w:lineRule="auto"/>
        <w:jc w:val="both"/>
        <w:rPr>
          <w:rFonts w:ascii="Book Antiqua" w:eastAsia="Book Antiqua" w:hAnsi="Book Antiqua" w:cs="Book Antiqua"/>
          <w:b/>
          <w:color w:val="000000"/>
        </w:rPr>
      </w:pPr>
      <w:r w:rsidRPr="00722A2A">
        <w:rPr>
          <w:rFonts w:ascii="Book Antiqua" w:eastAsia="Book Antiqua" w:hAnsi="Book Antiqua" w:cs="Book Antiqua"/>
          <w:b/>
          <w:color w:val="000000"/>
        </w:rPr>
        <w:t>Figure Legends</w:t>
      </w:r>
    </w:p>
    <w:p w14:paraId="65FD25CE"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hAnsi="Book Antiqua" w:cs="Book Antiqua"/>
          <w:noProof/>
          <w:lang w:eastAsia="zh-CN"/>
        </w:rPr>
        <w:drawing>
          <wp:inline distT="0" distB="0" distL="0" distR="0" wp14:anchorId="00B1B333" wp14:editId="280F00D6">
            <wp:extent cx="4190194" cy="2097246"/>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190194" cy="2097246"/>
                    </a:xfrm>
                    <a:prstGeom prst="rect">
                      <a:avLst/>
                    </a:prstGeom>
                    <a:noFill/>
                  </pic:spPr>
                </pic:pic>
              </a:graphicData>
            </a:graphic>
          </wp:inline>
        </w:drawing>
      </w:r>
    </w:p>
    <w:p w14:paraId="3BA03A9C" w14:textId="1CAF361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Figure 1 Magnetic resonance imaging scan done 2 d before the last infiltration, 1.5 mo preoperatively.</w:t>
      </w:r>
      <w:r w:rsidRPr="00722A2A">
        <w:rPr>
          <w:rFonts w:ascii="Book Antiqua" w:eastAsia="Book Antiqua" w:hAnsi="Book Antiqua" w:cs="Book Antiqua"/>
          <w:color w:val="000000"/>
        </w:rPr>
        <w:t xml:space="preserve"> A: T2-weighted axial magnetic resonance imaging (MRI) image; B: T2-weighted right-sided sagittal MRI image showing right-sided foraminal lumbar disc herniation at L4-L5 (</w:t>
      </w:r>
      <w:r w:rsidR="00D801F1">
        <w:rPr>
          <w:rFonts w:ascii="Book Antiqua" w:eastAsia="Book Antiqua" w:hAnsi="Book Antiqua" w:cs="Book Antiqua"/>
          <w:color w:val="000000"/>
        </w:rPr>
        <w:t>orange</w:t>
      </w:r>
      <w:r w:rsidRPr="00722A2A">
        <w:rPr>
          <w:rFonts w:ascii="Book Antiqua" w:eastAsia="Book Antiqua" w:hAnsi="Book Antiqua" w:cs="Book Antiqua"/>
          <w:color w:val="000000"/>
        </w:rPr>
        <w:t xml:space="preserve"> arrows), with compression of the right-sided exiting L4-nerve root; C: T2-weighted left-sided sagittal MRI image showing a slight bulging of the L4-L5 disc, without compression of the exiting nerve root. In (A) and (C) fluid collections can be seen in both facet joints (yellow arrows), without visible signs of edema.</w:t>
      </w:r>
      <w:r w:rsidRPr="00722A2A">
        <w:rPr>
          <w:rFonts w:ascii="Book Antiqua" w:hAnsi="Book Antiqua" w:cs="Book Antiqua"/>
        </w:rPr>
        <w:br w:type="page"/>
      </w:r>
      <w:r w:rsidRPr="00722A2A">
        <w:rPr>
          <w:rFonts w:ascii="Book Antiqua" w:hAnsi="Book Antiqua" w:cs="Book Antiqua"/>
          <w:noProof/>
          <w:lang w:eastAsia="zh-CN"/>
        </w:rPr>
        <w:drawing>
          <wp:inline distT="0" distB="0" distL="0" distR="0" wp14:anchorId="3F08483A" wp14:editId="0899943B">
            <wp:extent cx="5237212" cy="1833024"/>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7212" cy="1833024"/>
                    </a:xfrm>
                    <a:prstGeom prst="rect">
                      <a:avLst/>
                    </a:prstGeom>
                    <a:noFill/>
                  </pic:spPr>
                </pic:pic>
              </a:graphicData>
            </a:graphic>
          </wp:inline>
        </w:drawing>
      </w:r>
    </w:p>
    <w:p w14:paraId="0CF5464C" w14:textId="6A52B629" w:rsidR="002664DB" w:rsidRPr="00722A2A" w:rsidRDefault="004C1FD8" w:rsidP="00722A2A">
      <w:pPr>
        <w:adjustRightInd w:val="0"/>
        <w:snapToGrid w:val="0"/>
        <w:spacing w:line="360" w:lineRule="auto"/>
        <w:jc w:val="both"/>
        <w:rPr>
          <w:rFonts w:ascii="Book Antiqua" w:eastAsia="Book Antiqua" w:hAnsi="Book Antiqua" w:cs="Book Antiqua"/>
          <w:color w:val="000000"/>
        </w:rPr>
      </w:pPr>
      <w:r w:rsidRPr="00722A2A">
        <w:rPr>
          <w:rFonts w:ascii="Book Antiqua" w:eastAsia="Book Antiqua" w:hAnsi="Book Antiqua" w:cs="Book Antiqua"/>
          <w:b/>
          <w:bCs/>
          <w:color w:val="000000"/>
          <w:lang w:val="en-GB"/>
        </w:rPr>
        <w:t xml:space="preserve">Figure 2 </w:t>
      </w:r>
      <w:r w:rsidRPr="00722A2A">
        <w:rPr>
          <w:rFonts w:ascii="Book Antiqua" w:eastAsia="Book Antiqua" w:hAnsi="Book Antiqua" w:cs="Book Antiqua"/>
          <w:b/>
          <w:bCs/>
          <w:color w:val="000000"/>
        </w:rPr>
        <w:t>Magnetic resonance imaging</w:t>
      </w:r>
      <w:r w:rsidRPr="00722A2A">
        <w:rPr>
          <w:rFonts w:ascii="Book Antiqua" w:eastAsia="Book Antiqua" w:hAnsi="Book Antiqua" w:cs="Book Antiqua"/>
          <w:b/>
          <w:bCs/>
          <w:color w:val="000000"/>
          <w:lang w:val="en-GB"/>
        </w:rPr>
        <w:t xml:space="preserve"> scan on day 4 postoperatively.</w:t>
      </w:r>
      <w:r w:rsidRPr="00722A2A">
        <w:rPr>
          <w:rFonts w:ascii="Book Antiqua" w:eastAsia="Book Antiqua" w:hAnsi="Book Antiqua" w:cs="Book Antiqua"/>
          <w:b/>
          <w:bCs/>
          <w:color w:val="000000"/>
        </w:rPr>
        <w:t xml:space="preserve"> </w:t>
      </w:r>
      <w:r w:rsidRPr="00722A2A">
        <w:rPr>
          <w:rFonts w:ascii="Book Antiqua" w:eastAsia="Book Antiqua" w:hAnsi="Book Antiqua" w:cs="Book Antiqua"/>
          <w:color w:val="000000"/>
          <w:lang w:val="en-GB"/>
        </w:rPr>
        <w:t>A: T2-weighted axial magnetic resonance imaging (MRI) image showing a central decompression on L4-L5, with removal of the right-sided foraminal herniation. A fluid collection can be seen in both L4-L5 facet joints (yellow arrows); B and C: Right-sided and left-sided T2-weighted sagittal MRI images showing removal of the right-sided foraminal disc herniation; D: T2-weighted central sagittal MRI image showing a fluid collection (blue arrow), with small air collections (</w:t>
      </w:r>
      <w:r w:rsidR="00AC6354">
        <w:rPr>
          <w:rFonts w:ascii="Book Antiqua" w:eastAsia="Book Antiqua" w:hAnsi="Book Antiqua" w:cs="Book Antiqua"/>
          <w:color w:val="000000"/>
          <w:lang w:val="en-GB"/>
        </w:rPr>
        <w:t>orange</w:t>
      </w:r>
      <w:r w:rsidRPr="00722A2A">
        <w:rPr>
          <w:rFonts w:ascii="Book Antiqua" w:eastAsia="Book Antiqua" w:hAnsi="Book Antiqua" w:cs="Book Antiqua"/>
          <w:color w:val="000000"/>
          <w:lang w:val="en-GB"/>
        </w:rPr>
        <w:t xml:space="preserve"> arrow) and a drain (purple arrow).</w:t>
      </w:r>
      <w:r w:rsidRPr="00722A2A">
        <w:rPr>
          <w:rFonts w:ascii="Book Antiqua" w:eastAsia="Book Antiqua" w:hAnsi="Book Antiqua" w:cs="Book Antiqua"/>
          <w:color w:val="000000"/>
          <w:lang w:val="nl-BE"/>
        </w:rPr>
        <w:t xml:space="preserve"> </w:t>
      </w:r>
    </w:p>
    <w:p w14:paraId="389679FF"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hAnsi="Book Antiqua" w:cs="Book Antiqua"/>
        </w:rPr>
        <w:br w:type="page"/>
      </w:r>
      <w:r w:rsidRPr="00722A2A">
        <w:rPr>
          <w:rFonts w:ascii="Book Antiqua" w:hAnsi="Book Antiqua" w:cs="Book Antiqua"/>
          <w:noProof/>
          <w:lang w:eastAsia="zh-CN"/>
        </w:rPr>
        <w:drawing>
          <wp:inline distT="0" distB="0" distL="0" distR="0" wp14:anchorId="788EB626" wp14:editId="32B9F96E">
            <wp:extent cx="5739966" cy="20455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739966" cy="2045515"/>
                    </a:xfrm>
                    <a:prstGeom prst="rect">
                      <a:avLst/>
                    </a:prstGeom>
                    <a:noFill/>
                  </pic:spPr>
                </pic:pic>
              </a:graphicData>
            </a:graphic>
          </wp:inline>
        </w:drawing>
      </w:r>
    </w:p>
    <w:p w14:paraId="7FD301CD" w14:textId="2FB1F2DB" w:rsidR="002664DB" w:rsidRPr="00722A2A" w:rsidRDefault="004C1FD8" w:rsidP="00722A2A">
      <w:pPr>
        <w:adjustRightInd w:val="0"/>
        <w:snapToGrid w:val="0"/>
        <w:spacing w:line="360" w:lineRule="auto"/>
        <w:jc w:val="both"/>
        <w:rPr>
          <w:rFonts w:ascii="Book Antiqua" w:eastAsia="Book Antiqua" w:hAnsi="Book Antiqua" w:cs="Book Antiqua"/>
          <w:color w:val="000000"/>
        </w:rPr>
      </w:pPr>
      <w:r w:rsidRPr="00722A2A">
        <w:rPr>
          <w:rFonts w:ascii="Book Antiqua" w:eastAsia="Book Antiqua" w:hAnsi="Book Antiqua" w:cs="Book Antiqua"/>
          <w:b/>
          <w:bCs/>
          <w:color w:val="000000"/>
          <w:lang w:val="en-GB"/>
        </w:rPr>
        <w:t>Figure 3 Magnetic resonance imaging scan on day 6 postoperatively.</w:t>
      </w:r>
      <w:r w:rsidRPr="00722A2A">
        <w:rPr>
          <w:rFonts w:ascii="Book Antiqua" w:eastAsia="Book Antiqua" w:hAnsi="Book Antiqua" w:cs="Book Antiqua"/>
          <w:color w:val="000000"/>
        </w:rPr>
        <w:t xml:space="preserve"> </w:t>
      </w:r>
      <w:r w:rsidRPr="00722A2A">
        <w:rPr>
          <w:rFonts w:ascii="Book Antiqua" w:eastAsia="Book Antiqua" w:hAnsi="Book Antiqua" w:cs="Book Antiqua"/>
          <w:color w:val="000000"/>
          <w:lang w:val="en-GB"/>
        </w:rPr>
        <w:t>A: Axial T1-TSE-FS-weighted magnetic resonance imaging (MRI) image at the level of L4-L5 showing a fluid collection in both facet joints; B and C: Right-sided and left-sided T1-TSE-weighted sagittal MRI image showing an increase in fluid collections, especially left-sided (blue arrows), and an increase in edema in the bone, facet joint and muscles surrounding the facet joints (</w:t>
      </w:r>
      <w:r w:rsidR="00827D57">
        <w:rPr>
          <w:rFonts w:ascii="Book Antiqua" w:eastAsia="Book Antiqua" w:hAnsi="Book Antiqua" w:cs="Book Antiqua"/>
          <w:color w:val="000000"/>
          <w:lang w:val="en-GB"/>
        </w:rPr>
        <w:t>light blue</w:t>
      </w:r>
      <w:r w:rsidRPr="00722A2A">
        <w:rPr>
          <w:rFonts w:ascii="Book Antiqua" w:eastAsia="Book Antiqua" w:hAnsi="Book Antiqua" w:cs="Book Antiqua"/>
          <w:color w:val="000000"/>
          <w:lang w:val="en-GB"/>
        </w:rPr>
        <w:t xml:space="preserve"> arrows); D: T1-TSE-weighted central sagittal MRI image showing an increase in fluid collection (blue arrow), with an increase in air collections (</w:t>
      </w:r>
      <w:r w:rsidR="00325D2F">
        <w:rPr>
          <w:rFonts w:ascii="Book Antiqua" w:eastAsia="Book Antiqua" w:hAnsi="Book Antiqua" w:cs="Book Antiqua"/>
          <w:color w:val="000000"/>
          <w:lang w:val="en-GB"/>
        </w:rPr>
        <w:t>orange</w:t>
      </w:r>
      <w:r w:rsidRPr="00722A2A">
        <w:rPr>
          <w:rFonts w:ascii="Book Antiqua" w:eastAsia="Book Antiqua" w:hAnsi="Book Antiqua" w:cs="Book Antiqua"/>
          <w:color w:val="000000"/>
          <w:lang w:val="en-GB"/>
        </w:rPr>
        <w:t xml:space="preserve"> arrow).</w:t>
      </w:r>
    </w:p>
    <w:p w14:paraId="5CF91154" w14:textId="08A32756" w:rsidR="002664DB" w:rsidRPr="00722A2A" w:rsidRDefault="004C1FD8" w:rsidP="00722A2A">
      <w:pPr>
        <w:adjustRightInd w:val="0"/>
        <w:snapToGrid w:val="0"/>
        <w:spacing w:line="360" w:lineRule="auto"/>
        <w:jc w:val="both"/>
        <w:rPr>
          <w:rFonts w:ascii="Book Antiqua" w:eastAsia="Book Antiqua" w:hAnsi="Book Antiqua" w:cs="Book Antiqua"/>
          <w:b/>
          <w:bCs/>
          <w:color w:val="000000"/>
        </w:rPr>
      </w:pPr>
      <w:r w:rsidRPr="00722A2A">
        <w:rPr>
          <w:rFonts w:ascii="Book Antiqua" w:eastAsia="Book Antiqua" w:hAnsi="Book Antiqua" w:cs="Book Antiqua"/>
          <w:color w:val="000000"/>
        </w:rPr>
        <w:br w:type="page"/>
      </w:r>
      <w:r w:rsidRPr="00722A2A">
        <w:rPr>
          <w:rFonts w:ascii="Book Antiqua" w:eastAsia="Book Antiqua" w:hAnsi="Book Antiqua" w:cs="Book Antiqua"/>
          <w:b/>
          <w:bCs/>
          <w:color w:val="000000"/>
        </w:rPr>
        <w:t xml:space="preserve">Table 1 Antibiogram: Sensitivity tests of the intra-operatively isolated </w:t>
      </w:r>
      <w:r w:rsidRPr="00722A2A">
        <w:rPr>
          <w:rFonts w:ascii="Book Antiqua" w:eastAsia="Book Antiqua" w:hAnsi="Book Antiqua" w:cs="Book Antiqua"/>
          <w:b/>
          <w:bCs/>
          <w:i/>
          <w:iCs/>
          <w:color w:val="000000"/>
        </w:rPr>
        <w:t>Staphylococcus aureus</w:t>
      </w:r>
      <w:r w:rsidRPr="00722A2A">
        <w:rPr>
          <w:rFonts w:ascii="Book Antiqua" w:eastAsia="Book Antiqua" w:hAnsi="Book Antiqua" w:cs="Book Antiqua"/>
          <w:b/>
          <w:bCs/>
          <w:color w:val="000000"/>
        </w:rPr>
        <w:t xml:space="preserve"> to different antibiotics</w:t>
      </w:r>
    </w:p>
    <w:tbl>
      <w:tblPr>
        <w:tblW w:w="803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211"/>
        <w:gridCol w:w="3827"/>
      </w:tblGrid>
      <w:tr w:rsidR="002664DB" w:rsidRPr="00722A2A" w14:paraId="688D0E1B" w14:textId="77777777" w:rsidTr="009C6F62">
        <w:trPr>
          <w:trHeight w:val="361"/>
        </w:trPr>
        <w:tc>
          <w:tcPr>
            <w:tcW w:w="4211" w:type="dxa"/>
            <w:tcBorders>
              <w:top w:val="single" w:sz="4" w:space="0" w:color="auto"/>
              <w:bottom w:val="single" w:sz="4" w:space="0" w:color="auto"/>
            </w:tcBorders>
            <w:shd w:val="clear" w:color="auto" w:fill="auto"/>
            <w:tcMar>
              <w:top w:w="15" w:type="dxa"/>
              <w:left w:w="100" w:type="dxa"/>
              <w:bottom w:w="0" w:type="dxa"/>
              <w:right w:w="100" w:type="dxa"/>
            </w:tcMar>
          </w:tcPr>
          <w:p w14:paraId="5A1AA718" w14:textId="4629CD5A"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b/>
                <w:bCs/>
                <w:kern w:val="24"/>
                <w:lang w:val="en-GB" w:eastAsia="zh-CN"/>
              </w:rPr>
              <w:t>Antibiotic</w:t>
            </w:r>
          </w:p>
        </w:tc>
        <w:tc>
          <w:tcPr>
            <w:tcW w:w="3827" w:type="dxa"/>
            <w:tcBorders>
              <w:top w:val="single" w:sz="4" w:space="0" w:color="auto"/>
              <w:bottom w:val="single" w:sz="4" w:space="0" w:color="auto"/>
            </w:tcBorders>
            <w:shd w:val="clear" w:color="auto" w:fill="auto"/>
            <w:tcMar>
              <w:top w:w="15" w:type="dxa"/>
              <w:left w:w="100" w:type="dxa"/>
              <w:bottom w:w="0" w:type="dxa"/>
              <w:right w:w="100" w:type="dxa"/>
            </w:tcMar>
          </w:tcPr>
          <w:p w14:paraId="4B892CEB" w14:textId="1779808A"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b/>
                <w:bCs/>
                <w:kern w:val="24"/>
                <w:lang w:val="en-GB" w:eastAsia="zh-CN"/>
              </w:rPr>
              <w:t xml:space="preserve"> </w:t>
            </w:r>
          </w:p>
        </w:tc>
      </w:tr>
      <w:tr w:rsidR="002664DB" w:rsidRPr="00722A2A" w14:paraId="26567017" w14:textId="77777777" w:rsidTr="009C6F62">
        <w:trPr>
          <w:trHeight w:val="361"/>
        </w:trPr>
        <w:tc>
          <w:tcPr>
            <w:tcW w:w="4211" w:type="dxa"/>
            <w:tcBorders>
              <w:top w:val="single" w:sz="4" w:space="0" w:color="auto"/>
            </w:tcBorders>
            <w:shd w:val="clear" w:color="auto" w:fill="auto"/>
            <w:tcMar>
              <w:top w:w="15" w:type="dxa"/>
              <w:left w:w="100" w:type="dxa"/>
              <w:bottom w:w="0" w:type="dxa"/>
              <w:right w:w="100" w:type="dxa"/>
            </w:tcMar>
          </w:tcPr>
          <w:p w14:paraId="066320BE" w14:textId="0FFF87C6"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Penicillin G</w:t>
            </w:r>
          </w:p>
        </w:tc>
        <w:tc>
          <w:tcPr>
            <w:tcW w:w="3827" w:type="dxa"/>
            <w:tcBorders>
              <w:top w:val="single" w:sz="4" w:space="0" w:color="auto"/>
            </w:tcBorders>
            <w:shd w:val="clear" w:color="auto" w:fill="auto"/>
            <w:tcMar>
              <w:top w:w="15" w:type="dxa"/>
              <w:left w:w="100" w:type="dxa"/>
              <w:bottom w:w="0" w:type="dxa"/>
              <w:right w:w="100" w:type="dxa"/>
            </w:tcMar>
          </w:tcPr>
          <w:p w14:paraId="23EBC0F6"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Resistant</w:t>
            </w:r>
          </w:p>
        </w:tc>
      </w:tr>
      <w:tr w:rsidR="002664DB" w:rsidRPr="00722A2A" w14:paraId="265C3460" w14:textId="77777777" w:rsidTr="009C6F62">
        <w:trPr>
          <w:trHeight w:val="361"/>
        </w:trPr>
        <w:tc>
          <w:tcPr>
            <w:tcW w:w="4211" w:type="dxa"/>
            <w:shd w:val="clear" w:color="auto" w:fill="auto"/>
            <w:tcMar>
              <w:top w:w="15" w:type="dxa"/>
              <w:left w:w="100" w:type="dxa"/>
              <w:bottom w:w="0" w:type="dxa"/>
              <w:right w:w="100" w:type="dxa"/>
            </w:tcMar>
          </w:tcPr>
          <w:p w14:paraId="5D16EA36"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Oxacillin</w:t>
            </w:r>
          </w:p>
        </w:tc>
        <w:tc>
          <w:tcPr>
            <w:tcW w:w="3827" w:type="dxa"/>
            <w:shd w:val="clear" w:color="auto" w:fill="auto"/>
            <w:tcMar>
              <w:top w:w="15" w:type="dxa"/>
              <w:left w:w="100" w:type="dxa"/>
              <w:bottom w:w="0" w:type="dxa"/>
              <w:right w:w="100" w:type="dxa"/>
            </w:tcMar>
          </w:tcPr>
          <w:p w14:paraId="5323FAE0"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8F56DC0" w14:textId="77777777" w:rsidTr="009C6F62">
        <w:trPr>
          <w:trHeight w:val="361"/>
        </w:trPr>
        <w:tc>
          <w:tcPr>
            <w:tcW w:w="4211" w:type="dxa"/>
            <w:shd w:val="clear" w:color="auto" w:fill="auto"/>
            <w:tcMar>
              <w:top w:w="15" w:type="dxa"/>
              <w:left w:w="100" w:type="dxa"/>
              <w:bottom w:w="0" w:type="dxa"/>
              <w:right w:w="100" w:type="dxa"/>
            </w:tcMar>
          </w:tcPr>
          <w:p w14:paraId="3A5207EA"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Gentamicin</w:t>
            </w:r>
          </w:p>
        </w:tc>
        <w:tc>
          <w:tcPr>
            <w:tcW w:w="3827" w:type="dxa"/>
            <w:shd w:val="clear" w:color="auto" w:fill="auto"/>
            <w:tcMar>
              <w:top w:w="15" w:type="dxa"/>
              <w:left w:w="100" w:type="dxa"/>
              <w:bottom w:w="0" w:type="dxa"/>
              <w:right w:w="100" w:type="dxa"/>
            </w:tcMar>
          </w:tcPr>
          <w:p w14:paraId="780668F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1F20F42D" w14:textId="77777777" w:rsidTr="009C6F62">
        <w:trPr>
          <w:trHeight w:val="361"/>
        </w:trPr>
        <w:tc>
          <w:tcPr>
            <w:tcW w:w="4211" w:type="dxa"/>
            <w:shd w:val="clear" w:color="auto" w:fill="auto"/>
            <w:tcMar>
              <w:top w:w="15" w:type="dxa"/>
              <w:left w:w="100" w:type="dxa"/>
              <w:bottom w:w="0" w:type="dxa"/>
              <w:right w:w="100" w:type="dxa"/>
            </w:tcMar>
          </w:tcPr>
          <w:p w14:paraId="6A80243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Kanamycin</w:t>
            </w:r>
          </w:p>
        </w:tc>
        <w:tc>
          <w:tcPr>
            <w:tcW w:w="3827" w:type="dxa"/>
            <w:shd w:val="clear" w:color="auto" w:fill="auto"/>
            <w:tcMar>
              <w:top w:w="15" w:type="dxa"/>
              <w:left w:w="100" w:type="dxa"/>
              <w:bottom w:w="0" w:type="dxa"/>
              <w:right w:w="100" w:type="dxa"/>
            </w:tcMar>
          </w:tcPr>
          <w:p w14:paraId="50F9EDB4"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009A2640" w14:textId="77777777" w:rsidTr="009C6F62">
        <w:trPr>
          <w:trHeight w:val="361"/>
        </w:trPr>
        <w:tc>
          <w:tcPr>
            <w:tcW w:w="4211" w:type="dxa"/>
            <w:shd w:val="clear" w:color="auto" w:fill="auto"/>
            <w:tcMar>
              <w:top w:w="15" w:type="dxa"/>
              <w:left w:w="100" w:type="dxa"/>
              <w:bottom w:w="0" w:type="dxa"/>
              <w:right w:w="100" w:type="dxa"/>
            </w:tcMar>
          </w:tcPr>
          <w:p w14:paraId="4E44176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Tobramycin</w:t>
            </w:r>
          </w:p>
        </w:tc>
        <w:tc>
          <w:tcPr>
            <w:tcW w:w="3827" w:type="dxa"/>
            <w:shd w:val="clear" w:color="auto" w:fill="auto"/>
            <w:tcMar>
              <w:top w:w="15" w:type="dxa"/>
              <w:left w:w="100" w:type="dxa"/>
              <w:bottom w:w="0" w:type="dxa"/>
              <w:right w:w="100" w:type="dxa"/>
            </w:tcMar>
          </w:tcPr>
          <w:p w14:paraId="25426E9C"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B38A5E2" w14:textId="77777777" w:rsidTr="009C6F62">
        <w:trPr>
          <w:trHeight w:val="361"/>
        </w:trPr>
        <w:tc>
          <w:tcPr>
            <w:tcW w:w="4211" w:type="dxa"/>
            <w:shd w:val="clear" w:color="auto" w:fill="auto"/>
            <w:tcMar>
              <w:top w:w="15" w:type="dxa"/>
              <w:left w:w="100" w:type="dxa"/>
              <w:bottom w:w="0" w:type="dxa"/>
              <w:right w:w="100" w:type="dxa"/>
            </w:tcMar>
          </w:tcPr>
          <w:p w14:paraId="34BA14FB"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Ofloxacin</w:t>
            </w:r>
          </w:p>
        </w:tc>
        <w:tc>
          <w:tcPr>
            <w:tcW w:w="3827" w:type="dxa"/>
            <w:shd w:val="clear" w:color="auto" w:fill="auto"/>
            <w:tcMar>
              <w:top w:w="15" w:type="dxa"/>
              <w:left w:w="100" w:type="dxa"/>
              <w:bottom w:w="0" w:type="dxa"/>
              <w:right w:w="100" w:type="dxa"/>
            </w:tcMar>
          </w:tcPr>
          <w:p w14:paraId="61C3AFB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DA5ABF3" w14:textId="77777777" w:rsidTr="009C6F62">
        <w:trPr>
          <w:trHeight w:val="361"/>
        </w:trPr>
        <w:tc>
          <w:tcPr>
            <w:tcW w:w="4211" w:type="dxa"/>
            <w:shd w:val="clear" w:color="auto" w:fill="auto"/>
            <w:tcMar>
              <w:top w:w="15" w:type="dxa"/>
              <w:left w:w="100" w:type="dxa"/>
              <w:bottom w:w="0" w:type="dxa"/>
              <w:right w:w="100" w:type="dxa"/>
            </w:tcMar>
          </w:tcPr>
          <w:p w14:paraId="37409948"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Erythromycin</w:t>
            </w:r>
          </w:p>
        </w:tc>
        <w:tc>
          <w:tcPr>
            <w:tcW w:w="3827" w:type="dxa"/>
            <w:shd w:val="clear" w:color="auto" w:fill="auto"/>
            <w:tcMar>
              <w:top w:w="15" w:type="dxa"/>
              <w:left w:w="100" w:type="dxa"/>
              <w:bottom w:w="0" w:type="dxa"/>
              <w:right w:w="100" w:type="dxa"/>
            </w:tcMar>
          </w:tcPr>
          <w:p w14:paraId="44453240"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699AB8AB" w14:textId="77777777" w:rsidTr="009C6F62">
        <w:trPr>
          <w:trHeight w:val="361"/>
        </w:trPr>
        <w:tc>
          <w:tcPr>
            <w:tcW w:w="4211" w:type="dxa"/>
            <w:shd w:val="clear" w:color="auto" w:fill="auto"/>
            <w:tcMar>
              <w:top w:w="15" w:type="dxa"/>
              <w:left w:w="100" w:type="dxa"/>
              <w:bottom w:w="0" w:type="dxa"/>
              <w:right w:w="100" w:type="dxa"/>
            </w:tcMar>
          </w:tcPr>
          <w:p w14:paraId="47C255EE"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Lincomycin</w:t>
            </w:r>
          </w:p>
        </w:tc>
        <w:tc>
          <w:tcPr>
            <w:tcW w:w="3827" w:type="dxa"/>
            <w:shd w:val="clear" w:color="auto" w:fill="auto"/>
            <w:tcMar>
              <w:top w:w="15" w:type="dxa"/>
              <w:left w:w="100" w:type="dxa"/>
              <w:bottom w:w="0" w:type="dxa"/>
              <w:right w:w="100" w:type="dxa"/>
            </w:tcMar>
          </w:tcPr>
          <w:p w14:paraId="05675E56"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4331C052" w14:textId="77777777" w:rsidTr="009C6F62">
        <w:trPr>
          <w:trHeight w:val="361"/>
        </w:trPr>
        <w:tc>
          <w:tcPr>
            <w:tcW w:w="4211" w:type="dxa"/>
            <w:shd w:val="clear" w:color="auto" w:fill="auto"/>
            <w:tcMar>
              <w:top w:w="15" w:type="dxa"/>
              <w:left w:w="100" w:type="dxa"/>
              <w:bottom w:w="0" w:type="dxa"/>
              <w:right w:w="100" w:type="dxa"/>
            </w:tcMar>
          </w:tcPr>
          <w:p w14:paraId="6FAB777F"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Pristinamycin</w:t>
            </w:r>
          </w:p>
        </w:tc>
        <w:tc>
          <w:tcPr>
            <w:tcW w:w="3827" w:type="dxa"/>
            <w:shd w:val="clear" w:color="auto" w:fill="auto"/>
            <w:tcMar>
              <w:top w:w="15" w:type="dxa"/>
              <w:left w:w="100" w:type="dxa"/>
              <w:bottom w:w="0" w:type="dxa"/>
              <w:right w:w="100" w:type="dxa"/>
            </w:tcMar>
          </w:tcPr>
          <w:p w14:paraId="20143B40"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6DC8BE13" w14:textId="77777777" w:rsidTr="009C6F62">
        <w:trPr>
          <w:trHeight w:val="361"/>
        </w:trPr>
        <w:tc>
          <w:tcPr>
            <w:tcW w:w="4211" w:type="dxa"/>
            <w:shd w:val="clear" w:color="auto" w:fill="auto"/>
            <w:tcMar>
              <w:top w:w="15" w:type="dxa"/>
              <w:left w:w="100" w:type="dxa"/>
              <w:bottom w:w="0" w:type="dxa"/>
              <w:right w:w="100" w:type="dxa"/>
            </w:tcMar>
          </w:tcPr>
          <w:p w14:paraId="66ABDADC"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Linezolid</w:t>
            </w:r>
          </w:p>
        </w:tc>
        <w:tc>
          <w:tcPr>
            <w:tcW w:w="3827" w:type="dxa"/>
            <w:shd w:val="clear" w:color="auto" w:fill="auto"/>
            <w:tcMar>
              <w:top w:w="15" w:type="dxa"/>
              <w:left w:w="100" w:type="dxa"/>
              <w:bottom w:w="0" w:type="dxa"/>
              <w:right w:w="100" w:type="dxa"/>
            </w:tcMar>
          </w:tcPr>
          <w:p w14:paraId="69F8184A"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75C38E0" w14:textId="77777777" w:rsidTr="009C6F62">
        <w:trPr>
          <w:trHeight w:val="361"/>
        </w:trPr>
        <w:tc>
          <w:tcPr>
            <w:tcW w:w="4211" w:type="dxa"/>
            <w:shd w:val="clear" w:color="auto" w:fill="auto"/>
            <w:tcMar>
              <w:top w:w="15" w:type="dxa"/>
              <w:left w:w="100" w:type="dxa"/>
              <w:bottom w:w="0" w:type="dxa"/>
              <w:right w:w="100" w:type="dxa"/>
            </w:tcMar>
          </w:tcPr>
          <w:p w14:paraId="4930CE0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Teicoplanin</w:t>
            </w:r>
          </w:p>
        </w:tc>
        <w:tc>
          <w:tcPr>
            <w:tcW w:w="3827" w:type="dxa"/>
            <w:shd w:val="clear" w:color="auto" w:fill="auto"/>
            <w:tcMar>
              <w:top w:w="15" w:type="dxa"/>
              <w:left w:w="100" w:type="dxa"/>
              <w:bottom w:w="0" w:type="dxa"/>
              <w:right w:w="100" w:type="dxa"/>
            </w:tcMar>
          </w:tcPr>
          <w:p w14:paraId="705C7E0A"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6AE6697B" w14:textId="77777777" w:rsidTr="009C6F62">
        <w:trPr>
          <w:trHeight w:val="361"/>
        </w:trPr>
        <w:tc>
          <w:tcPr>
            <w:tcW w:w="4211" w:type="dxa"/>
            <w:shd w:val="clear" w:color="auto" w:fill="auto"/>
            <w:tcMar>
              <w:top w:w="15" w:type="dxa"/>
              <w:left w:w="100" w:type="dxa"/>
              <w:bottom w:w="0" w:type="dxa"/>
              <w:right w:w="100" w:type="dxa"/>
            </w:tcMar>
          </w:tcPr>
          <w:p w14:paraId="17FEAAF1"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Vancomycin</w:t>
            </w:r>
          </w:p>
        </w:tc>
        <w:tc>
          <w:tcPr>
            <w:tcW w:w="3827" w:type="dxa"/>
            <w:shd w:val="clear" w:color="auto" w:fill="auto"/>
            <w:tcMar>
              <w:top w:w="15" w:type="dxa"/>
              <w:left w:w="100" w:type="dxa"/>
              <w:bottom w:w="0" w:type="dxa"/>
              <w:right w:w="100" w:type="dxa"/>
            </w:tcMar>
          </w:tcPr>
          <w:p w14:paraId="1FF0908E"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3088653D" w14:textId="77777777" w:rsidTr="009C6F62">
        <w:trPr>
          <w:trHeight w:val="361"/>
        </w:trPr>
        <w:tc>
          <w:tcPr>
            <w:tcW w:w="4211" w:type="dxa"/>
            <w:shd w:val="clear" w:color="auto" w:fill="auto"/>
            <w:tcMar>
              <w:top w:w="15" w:type="dxa"/>
              <w:left w:w="100" w:type="dxa"/>
              <w:bottom w:w="0" w:type="dxa"/>
              <w:right w:w="100" w:type="dxa"/>
            </w:tcMar>
          </w:tcPr>
          <w:p w14:paraId="246981FB"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Tetracycline</w:t>
            </w:r>
          </w:p>
        </w:tc>
        <w:tc>
          <w:tcPr>
            <w:tcW w:w="3827" w:type="dxa"/>
            <w:shd w:val="clear" w:color="auto" w:fill="auto"/>
            <w:tcMar>
              <w:top w:w="15" w:type="dxa"/>
              <w:left w:w="100" w:type="dxa"/>
              <w:bottom w:w="0" w:type="dxa"/>
              <w:right w:w="100" w:type="dxa"/>
            </w:tcMar>
          </w:tcPr>
          <w:p w14:paraId="7EAC3C0B"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0812EF74" w14:textId="77777777" w:rsidTr="009C6F62">
        <w:trPr>
          <w:trHeight w:val="361"/>
        </w:trPr>
        <w:tc>
          <w:tcPr>
            <w:tcW w:w="4211" w:type="dxa"/>
            <w:shd w:val="clear" w:color="auto" w:fill="auto"/>
            <w:tcMar>
              <w:top w:w="15" w:type="dxa"/>
              <w:left w:w="100" w:type="dxa"/>
              <w:bottom w:w="0" w:type="dxa"/>
              <w:right w:w="100" w:type="dxa"/>
            </w:tcMar>
          </w:tcPr>
          <w:p w14:paraId="7BA096B8"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Fosfomycin</w:t>
            </w:r>
          </w:p>
        </w:tc>
        <w:tc>
          <w:tcPr>
            <w:tcW w:w="3827" w:type="dxa"/>
            <w:shd w:val="clear" w:color="auto" w:fill="auto"/>
            <w:tcMar>
              <w:top w:w="15" w:type="dxa"/>
              <w:left w:w="100" w:type="dxa"/>
              <w:bottom w:w="0" w:type="dxa"/>
              <w:right w:w="100" w:type="dxa"/>
            </w:tcMar>
          </w:tcPr>
          <w:p w14:paraId="5AC30E92"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8CDEABA" w14:textId="77777777" w:rsidTr="009C6F62">
        <w:trPr>
          <w:trHeight w:val="361"/>
        </w:trPr>
        <w:tc>
          <w:tcPr>
            <w:tcW w:w="4211" w:type="dxa"/>
            <w:shd w:val="clear" w:color="auto" w:fill="auto"/>
            <w:tcMar>
              <w:top w:w="15" w:type="dxa"/>
              <w:left w:w="100" w:type="dxa"/>
              <w:bottom w:w="0" w:type="dxa"/>
              <w:right w:w="100" w:type="dxa"/>
            </w:tcMar>
          </w:tcPr>
          <w:p w14:paraId="5978E4A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Nitrofurantoin</w:t>
            </w:r>
          </w:p>
        </w:tc>
        <w:tc>
          <w:tcPr>
            <w:tcW w:w="3827" w:type="dxa"/>
            <w:shd w:val="clear" w:color="auto" w:fill="auto"/>
            <w:tcMar>
              <w:top w:w="15" w:type="dxa"/>
              <w:left w:w="100" w:type="dxa"/>
              <w:bottom w:w="0" w:type="dxa"/>
              <w:right w:w="100" w:type="dxa"/>
            </w:tcMar>
          </w:tcPr>
          <w:p w14:paraId="0DE86DEE"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39577D63" w14:textId="77777777" w:rsidTr="009C6F62">
        <w:trPr>
          <w:trHeight w:val="361"/>
        </w:trPr>
        <w:tc>
          <w:tcPr>
            <w:tcW w:w="4211" w:type="dxa"/>
            <w:shd w:val="clear" w:color="auto" w:fill="auto"/>
            <w:tcMar>
              <w:top w:w="15" w:type="dxa"/>
              <w:left w:w="100" w:type="dxa"/>
              <w:bottom w:w="0" w:type="dxa"/>
              <w:right w:w="100" w:type="dxa"/>
            </w:tcMar>
          </w:tcPr>
          <w:p w14:paraId="7EB29BF0" w14:textId="339361B2"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Fusidic acid</w:t>
            </w:r>
          </w:p>
        </w:tc>
        <w:tc>
          <w:tcPr>
            <w:tcW w:w="3827" w:type="dxa"/>
            <w:shd w:val="clear" w:color="auto" w:fill="auto"/>
            <w:tcMar>
              <w:top w:w="15" w:type="dxa"/>
              <w:left w:w="100" w:type="dxa"/>
              <w:bottom w:w="0" w:type="dxa"/>
              <w:right w:w="100" w:type="dxa"/>
            </w:tcMar>
          </w:tcPr>
          <w:p w14:paraId="25153323"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33A56CFD" w14:textId="77777777" w:rsidTr="009C6F62">
        <w:trPr>
          <w:trHeight w:val="361"/>
        </w:trPr>
        <w:tc>
          <w:tcPr>
            <w:tcW w:w="4211" w:type="dxa"/>
            <w:shd w:val="clear" w:color="auto" w:fill="auto"/>
            <w:tcMar>
              <w:top w:w="15" w:type="dxa"/>
              <w:left w:w="100" w:type="dxa"/>
              <w:bottom w:w="0" w:type="dxa"/>
              <w:right w:w="100" w:type="dxa"/>
            </w:tcMar>
          </w:tcPr>
          <w:p w14:paraId="6C72173A"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Rifampicin</w:t>
            </w:r>
          </w:p>
        </w:tc>
        <w:tc>
          <w:tcPr>
            <w:tcW w:w="3827" w:type="dxa"/>
            <w:shd w:val="clear" w:color="auto" w:fill="auto"/>
            <w:tcMar>
              <w:top w:w="15" w:type="dxa"/>
              <w:left w:w="100" w:type="dxa"/>
              <w:bottom w:w="0" w:type="dxa"/>
              <w:right w:w="100" w:type="dxa"/>
            </w:tcMar>
          </w:tcPr>
          <w:p w14:paraId="6FF20B39"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386770C6" w14:textId="77777777" w:rsidTr="009C6F62">
        <w:trPr>
          <w:trHeight w:val="361"/>
        </w:trPr>
        <w:tc>
          <w:tcPr>
            <w:tcW w:w="4211" w:type="dxa"/>
            <w:shd w:val="clear" w:color="auto" w:fill="auto"/>
            <w:tcMar>
              <w:top w:w="15" w:type="dxa"/>
              <w:left w:w="100" w:type="dxa"/>
              <w:bottom w:w="0" w:type="dxa"/>
              <w:right w:w="100" w:type="dxa"/>
            </w:tcMar>
          </w:tcPr>
          <w:p w14:paraId="6C52F34F" w14:textId="00135BCD"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Trimetoprim sulfametoxazol</w:t>
            </w:r>
          </w:p>
        </w:tc>
        <w:tc>
          <w:tcPr>
            <w:tcW w:w="3827" w:type="dxa"/>
            <w:shd w:val="clear" w:color="auto" w:fill="auto"/>
            <w:tcMar>
              <w:top w:w="15" w:type="dxa"/>
              <w:left w:w="100" w:type="dxa"/>
              <w:bottom w:w="0" w:type="dxa"/>
              <w:right w:w="100" w:type="dxa"/>
            </w:tcMar>
          </w:tcPr>
          <w:p w14:paraId="454D0FE4"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bl>
    <w:p w14:paraId="735E38B0" w14:textId="78F71512" w:rsidR="002B07A9" w:rsidRDefault="002B07A9" w:rsidP="00722A2A">
      <w:pPr>
        <w:adjustRightInd w:val="0"/>
        <w:snapToGrid w:val="0"/>
        <w:spacing w:line="360" w:lineRule="auto"/>
        <w:jc w:val="both"/>
        <w:rPr>
          <w:rFonts w:ascii="Book Antiqua" w:hAnsi="Book Antiqua" w:cs="Book Antiqua"/>
        </w:rPr>
      </w:pPr>
    </w:p>
    <w:p w14:paraId="39F05D7C" w14:textId="77777777" w:rsidR="002B07A9" w:rsidRDefault="002B07A9">
      <w:pPr>
        <w:rPr>
          <w:rFonts w:ascii="Book Antiqua" w:hAnsi="Book Antiqua" w:cs="Book Antiqua"/>
        </w:rPr>
      </w:pPr>
      <w:r>
        <w:rPr>
          <w:rFonts w:ascii="Book Antiqua" w:hAnsi="Book Antiqua" w:cs="Book Antiqua"/>
        </w:rPr>
        <w:br w:type="page"/>
      </w:r>
    </w:p>
    <w:p w14:paraId="316C13B6" w14:textId="77777777" w:rsidR="002B07A9" w:rsidRDefault="002B07A9" w:rsidP="002B07A9">
      <w:pPr>
        <w:jc w:val="center"/>
        <w:rPr>
          <w:rFonts w:ascii="Book Antiqua" w:hAnsi="Book Antiqua"/>
          <w:lang w:eastAsia="zh-CN"/>
        </w:rPr>
      </w:pPr>
      <w:bookmarkStart w:id="0" w:name="OLE_LINK1"/>
      <w:bookmarkStart w:id="1" w:name="OLE_LINK2"/>
    </w:p>
    <w:p w14:paraId="1A3CFB6B" w14:textId="77777777" w:rsidR="002B07A9" w:rsidRDefault="002B07A9" w:rsidP="002B07A9">
      <w:pPr>
        <w:jc w:val="center"/>
        <w:rPr>
          <w:rFonts w:ascii="Book Antiqua" w:hAnsi="Book Antiqua"/>
          <w:lang w:eastAsia="zh-CN"/>
        </w:rPr>
      </w:pPr>
    </w:p>
    <w:p w14:paraId="30860A98" w14:textId="77777777" w:rsidR="002B07A9" w:rsidRDefault="002B07A9" w:rsidP="002B07A9">
      <w:pPr>
        <w:jc w:val="center"/>
        <w:rPr>
          <w:rFonts w:ascii="Book Antiqua" w:hAnsi="Book Antiqua"/>
          <w:lang w:eastAsia="zh-CN"/>
        </w:rPr>
      </w:pPr>
    </w:p>
    <w:p w14:paraId="21513114" w14:textId="77777777" w:rsidR="002B07A9" w:rsidRDefault="002B07A9" w:rsidP="002B07A9">
      <w:pPr>
        <w:jc w:val="center"/>
        <w:rPr>
          <w:rFonts w:ascii="Book Antiqua" w:hAnsi="Book Antiqua"/>
          <w:lang w:eastAsia="zh-CN"/>
        </w:rPr>
      </w:pPr>
    </w:p>
    <w:p w14:paraId="42D48729" w14:textId="77777777" w:rsidR="002B07A9" w:rsidRDefault="002B07A9" w:rsidP="002B07A9">
      <w:pPr>
        <w:jc w:val="center"/>
        <w:rPr>
          <w:rFonts w:ascii="Book Antiqua" w:hAnsi="Book Antiqua"/>
          <w:lang w:eastAsia="zh-CN"/>
        </w:rPr>
      </w:pPr>
    </w:p>
    <w:p w14:paraId="6E5200E4" w14:textId="77777777" w:rsidR="002B07A9" w:rsidRDefault="002B07A9" w:rsidP="002B07A9">
      <w:pPr>
        <w:jc w:val="center"/>
        <w:rPr>
          <w:rFonts w:ascii="Book Antiqua" w:hAnsi="Book Antiqua"/>
          <w:lang w:eastAsia="zh-CN"/>
        </w:rPr>
      </w:pPr>
      <w:r>
        <w:rPr>
          <w:rFonts w:ascii="Book Antiqua" w:hAnsi="Book Antiqua"/>
          <w:noProof/>
          <w:lang w:eastAsia="zh-CN"/>
        </w:rPr>
        <w:drawing>
          <wp:inline distT="0" distB="0" distL="0" distR="0" wp14:anchorId="25F0A85B" wp14:editId="1C776AA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F9123A" w14:textId="77777777" w:rsidR="002B07A9" w:rsidRDefault="002B07A9" w:rsidP="002B07A9">
      <w:pPr>
        <w:jc w:val="center"/>
        <w:rPr>
          <w:rFonts w:ascii="Book Antiqua" w:hAnsi="Book Antiqua"/>
          <w:lang w:eastAsia="zh-CN"/>
        </w:rPr>
      </w:pPr>
    </w:p>
    <w:p w14:paraId="203D2E63" w14:textId="77777777" w:rsidR="002B07A9" w:rsidRPr="00763D22" w:rsidRDefault="002B07A9" w:rsidP="002B07A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6295458" w14:textId="77777777" w:rsidR="002B07A9" w:rsidRPr="00763D22" w:rsidRDefault="002B07A9" w:rsidP="002B07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959FA4" w14:textId="77777777" w:rsidR="002B07A9" w:rsidRPr="00763D22" w:rsidRDefault="002B07A9" w:rsidP="002B07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91A3118" w14:textId="77777777" w:rsidR="002B07A9" w:rsidRPr="00763D22" w:rsidRDefault="002B07A9" w:rsidP="002B07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CDA2961" w14:textId="77777777" w:rsidR="002B07A9" w:rsidRPr="00763D22" w:rsidRDefault="002B07A9" w:rsidP="002B07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7248E7" w14:textId="77777777" w:rsidR="002B07A9" w:rsidRPr="00763D22" w:rsidRDefault="002B07A9" w:rsidP="002B07A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3639783" w14:textId="77777777" w:rsidR="002B07A9" w:rsidRDefault="002B07A9" w:rsidP="002B07A9">
      <w:pPr>
        <w:jc w:val="center"/>
        <w:rPr>
          <w:rFonts w:ascii="Book Antiqua" w:hAnsi="Book Antiqua"/>
          <w:lang w:eastAsia="zh-CN"/>
        </w:rPr>
      </w:pPr>
    </w:p>
    <w:p w14:paraId="4EB87560" w14:textId="77777777" w:rsidR="002B07A9" w:rsidRDefault="002B07A9" w:rsidP="002B07A9">
      <w:pPr>
        <w:jc w:val="center"/>
        <w:rPr>
          <w:rFonts w:ascii="Book Antiqua" w:hAnsi="Book Antiqua"/>
          <w:lang w:eastAsia="zh-CN"/>
        </w:rPr>
      </w:pPr>
    </w:p>
    <w:p w14:paraId="157BB639" w14:textId="77777777" w:rsidR="002B07A9" w:rsidRDefault="002B07A9" w:rsidP="002B07A9">
      <w:pPr>
        <w:jc w:val="center"/>
        <w:rPr>
          <w:rFonts w:ascii="Book Antiqua" w:hAnsi="Book Antiqua"/>
          <w:lang w:eastAsia="zh-CN"/>
        </w:rPr>
      </w:pPr>
    </w:p>
    <w:p w14:paraId="460A7416" w14:textId="77777777" w:rsidR="002B07A9" w:rsidRDefault="002B07A9" w:rsidP="002B07A9">
      <w:pPr>
        <w:jc w:val="center"/>
        <w:rPr>
          <w:rFonts w:ascii="Book Antiqua" w:hAnsi="Book Antiqua"/>
          <w:lang w:eastAsia="zh-CN"/>
        </w:rPr>
      </w:pPr>
      <w:r>
        <w:rPr>
          <w:rFonts w:ascii="Book Antiqua" w:hAnsi="Book Antiqua"/>
          <w:noProof/>
          <w:lang w:eastAsia="zh-CN"/>
        </w:rPr>
        <w:drawing>
          <wp:inline distT="0" distB="0" distL="0" distR="0" wp14:anchorId="2C442A7E" wp14:editId="4E1EEDB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143F7E" w14:textId="77777777" w:rsidR="002B07A9" w:rsidRDefault="002B07A9" w:rsidP="002B07A9">
      <w:pPr>
        <w:jc w:val="center"/>
        <w:rPr>
          <w:rFonts w:ascii="Book Antiqua" w:hAnsi="Book Antiqua"/>
          <w:lang w:eastAsia="zh-CN"/>
        </w:rPr>
      </w:pPr>
    </w:p>
    <w:p w14:paraId="15D493E7" w14:textId="77777777" w:rsidR="002B07A9" w:rsidRDefault="002B07A9" w:rsidP="002B07A9">
      <w:pPr>
        <w:jc w:val="center"/>
        <w:rPr>
          <w:rFonts w:ascii="Book Antiqua" w:hAnsi="Book Antiqua"/>
          <w:lang w:eastAsia="zh-CN"/>
        </w:rPr>
      </w:pPr>
    </w:p>
    <w:p w14:paraId="173AB134" w14:textId="77777777" w:rsidR="002B07A9" w:rsidRDefault="002B07A9" w:rsidP="002B07A9">
      <w:pPr>
        <w:jc w:val="center"/>
        <w:rPr>
          <w:rFonts w:ascii="Book Antiqua" w:hAnsi="Book Antiqua"/>
          <w:lang w:eastAsia="zh-CN"/>
        </w:rPr>
      </w:pPr>
    </w:p>
    <w:p w14:paraId="41ACD8C7" w14:textId="77777777" w:rsidR="002B07A9" w:rsidRDefault="002B07A9" w:rsidP="002B07A9">
      <w:pPr>
        <w:jc w:val="center"/>
        <w:rPr>
          <w:rFonts w:ascii="Book Antiqua" w:hAnsi="Book Antiqua"/>
          <w:lang w:eastAsia="zh-CN"/>
        </w:rPr>
      </w:pPr>
    </w:p>
    <w:p w14:paraId="1F052FAC" w14:textId="77777777" w:rsidR="002B07A9" w:rsidRDefault="002B07A9" w:rsidP="002B07A9">
      <w:pPr>
        <w:jc w:val="center"/>
        <w:rPr>
          <w:rFonts w:ascii="Book Antiqua" w:hAnsi="Book Antiqua"/>
          <w:lang w:eastAsia="zh-CN"/>
        </w:rPr>
      </w:pPr>
    </w:p>
    <w:p w14:paraId="2502AA1C" w14:textId="77777777" w:rsidR="002B07A9" w:rsidRDefault="002B07A9" w:rsidP="002B07A9">
      <w:pPr>
        <w:jc w:val="center"/>
        <w:rPr>
          <w:rFonts w:ascii="Book Antiqua" w:hAnsi="Book Antiqua"/>
          <w:lang w:eastAsia="zh-CN"/>
        </w:rPr>
      </w:pPr>
    </w:p>
    <w:p w14:paraId="7244B8BB" w14:textId="77777777" w:rsidR="002B07A9" w:rsidRDefault="002B07A9" w:rsidP="002B07A9">
      <w:pPr>
        <w:jc w:val="center"/>
        <w:rPr>
          <w:rFonts w:ascii="Book Antiqua" w:hAnsi="Book Antiqua"/>
          <w:lang w:eastAsia="zh-CN"/>
        </w:rPr>
      </w:pPr>
    </w:p>
    <w:p w14:paraId="516FBF7D" w14:textId="77777777" w:rsidR="002B07A9" w:rsidRDefault="002B07A9" w:rsidP="002B07A9">
      <w:pPr>
        <w:jc w:val="center"/>
        <w:rPr>
          <w:rFonts w:ascii="Book Antiqua" w:hAnsi="Book Antiqua"/>
          <w:lang w:eastAsia="zh-CN"/>
        </w:rPr>
      </w:pPr>
    </w:p>
    <w:p w14:paraId="47120B48" w14:textId="77777777" w:rsidR="002B07A9" w:rsidRDefault="002B07A9" w:rsidP="002B07A9">
      <w:pPr>
        <w:jc w:val="center"/>
        <w:rPr>
          <w:rFonts w:ascii="Book Antiqua" w:hAnsi="Book Antiqua"/>
          <w:lang w:eastAsia="zh-CN"/>
        </w:rPr>
      </w:pPr>
    </w:p>
    <w:p w14:paraId="1A47A013" w14:textId="77777777" w:rsidR="002B07A9" w:rsidRPr="00763D22" w:rsidRDefault="002B07A9" w:rsidP="002B07A9">
      <w:pPr>
        <w:jc w:val="right"/>
        <w:rPr>
          <w:rFonts w:ascii="Book Antiqua" w:hAnsi="Book Antiqua"/>
          <w:color w:val="000000" w:themeColor="text1"/>
          <w:lang w:eastAsia="zh-CN"/>
        </w:rPr>
      </w:pPr>
    </w:p>
    <w:p w14:paraId="48D4C75A" w14:textId="77777777" w:rsidR="002B07A9" w:rsidRPr="00763D22" w:rsidRDefault="002B07A9" w:rsidP="002B07A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6E316B87" w14:textId="77777777" w:rsidR="002664DB" w:rsidRPr="00722A2A" w:rsidRDefault="002664DB" w:rsidP="00722A2A">
      <w:pPr>
        <w:adjustRightInd w:val="0"/>
        <w:snapToGrid w:val="0"/>
        <w:spacing w:line="360" w:lineRule="auto"/>
        <w:jc w:val="both"/>
        <w:rPr>
          <w:rFonts w:ascii="Book Antiqua" w:hAnsi="Book Antiqua" w:cs="Book Antiqua"/>
        </w:rPr>
      </w:pPr>
      <w:bookmarkStart w:id="2" w:name="_GoBack"/>
      <w:bookmarkEnd w:id="2"/>
    </w:p>
    <w:sectPr w:rsidR="002664DB" w:rsidRPr="00722A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BFAC8" w14:textId="77777777" w:rsidR="00526C4A" w:rsidRDefault="00526C4A" w:rsidP="00C67095">
      <w:r>
        <w:separator/>
      </w:r>
    </w:p>
  </w:endnote>
  <w:endnote w:type="continuationSeparator" w:id="0">
    <w:p w14:paraId="40CC6ED8" w14:textId="77777777" w:rsidR="00526C4A" w:rsidRDefault="00526C4A" w:rsidP="00C6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96681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7F1995E" w14:textId="2B348982" w:rsidR="00C67095" w:rsidRPr="00C67095" w:rsidRDefault="00C67095" w:rsidP="00C67095">
            <w:pPr>
              <w:pStyle w:val="a4"/>
              <w:jc w:val="right"/>
              <w:rPr>
                <w:rFonts w:ascii="Book Antiqua" w:hAnsi="Book Antiqua"/>
                <w:sz w:val="24"/>
                <w:szCs w:val="24"/>
              </w:rPr>
            </w:pPr>
            <w:r w:rsidRPr="00C67095">
              <w:rPr>
                <w:rFonts w:ascii="Book Antiqua" w:hAnsi="Book Antiqua"/>
                <w:sz w:val="24"/>
                <w:szCs w:val="24"/>
                <w:lang w:val="zh-CN" w:eastAsia="zh-CN"/>
              </w:rPr>
              <w:t xml:space="preserve"> </w:t>
            </w:r>
            <w:r w:rsidRPr="00C67095">
              <w:rPr>
                <w:rFonts w:ascii="Book Antiqua" w:hAnsi="Book Antiqua"/>
                <w:b/>
                <w:bCs/>
                <w:sz w:val="24"/>
                <w:szCs w:val="24"/>
              </w:rPr>
              <w:fldChar w:fldCharType="begin"/>
            </w:r>
            <w:r w:rsidRPr="00C67095">
              <w:rPr>
                <w:rFonts w:ascii="Book Antiqua" w:hAnsi="Book Antiqua"/>
                <w:b/>
                <w:bCs/>
                <w:sz w:val="24"/>
                <w:szCs w:val="24"/>
              </w:rPr>
              <w:instrText>PAGE</w:instrText>
            </w:r>
            <w:r w:rsidRPr="00C67095">
              <w:rPr>
                <w:rFonts w:ascii="Book Antiqua" w:hAnsi="Book Antiqua"/>
                <w:b/>
                <w:bCs/>
                <w:sz w:val="24"/>
                <w:szCs w:val="24"/>
              </w:rPr>
              <w:fldChar w:fldCharType="separate"/>
            </w:r>
            <w:r w:rsidR="00526C4A">
              <w:rPr>
                <w:rFonts w:ascii="Book Antiqua" w:hAnsi="Book Antiqua"/>
                <w:b/>
                <w:bCs/>
                <w:noProof/>
                <w:sz w:val="24"/>
                <w:szCs w:val="24"/>
              </w:rPr>
              <w:t>1</w:t>
            </w:r>
            <w:r w:rsidRPr="00C67095">
              <w:rPr>
                <w:rFonts w:ascii="Book Antiqua" w:hAnsi="Book Antiqua"/>
                <w:b/>
                <w:bCs/>
                <w:sz w:val="24"/>
                <w:szCs w:val="24"/>
              </w:rPr>
              <w:fldChar w:fldCharType="end"/>
            </w:r>
            <w:r w:rsidRPr="00C67095">
              <w:rPr>
                <w:rFonts w:ascii="Book Antiqua" w:hAnsi="Book Antiqua"/>
                <w:sz w:val="24"/>
                <w:szCs w:val="24"/>
                <w:lang w:val="zh-CN" w:eastAsia="zh-CN"/>
              </w:rPr>
              <w:t xml:space="preserve"> / </w:t>
            </w:r>
            <w:r w:rsidRPr="00C67095">
              <w:rPr>
                <w:rFonts w:ascii="Book Antiqua" w:hAnsi="Book Antiqua"/>
                <w:b/>
                <w:bCs/>
                <w:sz w:val="24"/>
                <w:szCs w:val="24"/>
              </w:rPr>
              <w:fldChar w:fldCharType="begin"/>
            </w:r>
            <w:r w:rsidRPr="00C67095">
              <w:rPr>
                <w:rFonts w:ascii="Book Antiqua" w:hAnsi="Book Antiqua"/>
                <w:b/>
                <w:bCs/>
                <w:sz w:val="24"/>
                <w:szCs w:val="24"/>
              </w:rPr>
              <w:instrText>NUMPAGES</w:instrText>
            </w:r>
            <w:r w:rsidRPr="00C67095">
              <w:rPr>
                <w:rFonts w:ascii="Book Antiqua" w:hAnsi="Book Antiqua"/>
                <w:b/>
                <w:bCs/>
                <w:sz w:val="24"/>
                <w:szCs w:val="24"/>
              </w:rPr>
              <w:fldChar w:fldCharType="separate"/>
            </w:r>
            <w:r w:rsidR="00526C4A">
              <w:rPr>
                <w:rFonts w:ascii="Book Antiqua" w:hAnsi="Book Antiqua"/>
                <w:b/>
                <w:bCs/>
                <w:noProof/>
                <w:sz w:val="24"/>
                <w:szCs w:val="24"/>
              </w:rPr>
              <w:t>1</w:t>
            </w:r>
            <w:r w:rsidRPr="00C67095">
              <w:rPr>
                <w:rFonts w:ascii="Book Antiqua" w:hAnsi="Book Antiqua"/>
                <w:b/>
                <w:bCs/>
                <w:sz w:val="24"/>
                <w:szCs w:val="24"/>
              </w:rPr>
              <w:fldChar w:fldCharType="end"/>
            </w:r>
          </w:p>
        </w:sdtContent>
      </w:sdt>
    </w:sdtContent>
  </w:sdt>
  <w:p w14:paraId="10AE0504" w14:textId="77777777" w:rsidR="00C67095" w:rsidRDefault="00C6709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33A97" w14:textId="77777777" w:rsidR="00526C4A" w:rsidRDefault="00526C4A" w:rsidP="00C67095">
      <w:r>
        <w:separator/>
      </w:r>
    </w:p>
  </w:footnote>
  <w:footnote w:type="continuationSeparator" w:id="0">
    <w:p w14:paraId="184F0D8D" w14:textId="77777777" w:rsidR="00526C4A" w:rsidRDefault="00526C4A" w:rsidP="00C670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9CA"/>
    <w:rsid w:val="0008419D"/>
    <w:rsid w:val="000D633C"/>
    <w:rsid w:val="000E0DDF"/>
    <w:rsid w:val="0014123C"/>
    <w:rsid w:val="00200472"/>
    <w:rsid w:val="00246E11"/>
    <w:rsid w:val="002664DB"/>
    <w:rsid w:val="0029287B"/>
    <w:rsid w:val="002B07A9"/>
    <w:rsid w:val="00325D2F"/>
    <w:rsid w:val="00431F1F"/>
    <w:rsid w:val="004628BB"/>
    <w:rsid w:val="00467641"/>
    <w:rsid w:val="004C1FD8"/>
    <w:rsid w:val="00526C4A"/>
    <w:rsid w:val="005A62F6"/>
    <w:rsid w:val="00606663"/>
    <w:rsid w:val="0063308B"/>
    <w:rsid w:val="00652A9F"/>
    <w:rsid w:val="00663F8F"/>
    <w:rsid w:val="006771F8"/>
    <w:rsid w:val="0068115C"/>
    <w:rsid w:val="006A4969"/>
    <w:rsid w:val="006A736A"/>
    <w:rsid w:val="00704689"/>
    <w:rsid w:val="00722A2A"/>
    <w:rsid w:val="00730688"/>
    <w:rsid w:val="00735599"/>
    <w:rsid w:val="007D0CF9"/>
    <w:rsid w:val="00827D57"/>
    <w:rsid w:val="00885BB6"/>
    <w:rsid w:val="008A2256"/>
    <w:rsid w:val="009132A2"/>
    <w:rsid w:val="009C6F62"/>
    <w:rsid w:val="00A372CD"/>
    <w:rsid w:val="00A520D0"/>
    <w:rsid w:val="00A74F2C"/>
    <w:rsid w:val="00A77B3E"/>
    <w:rsid w:val="00A92BC0"/>
    <w:rsid w:val="00AA6AC9"/>
    <w:rsid w:val="00AC3603"/>
    <w:rsid w:val="00AC6354"/>
    <w:rsid w:val="00AD7DC4"/>
    <w:rsid w:val="00AE6649"/>
    <w:rsid w:val="00B76A82"/>
    <w:rsid w:val="00BC5976"/>
    <w:rsid w:val="00BC6CFA"/>
    <w:rsid w:val="00C055CA"/>
    <w:rsid w:val="00C37B8A"/>
    <w:rsid w:val="00C37D4E"/>
    <w:rsid w:val="00C619C0"/>
    <w:rsid w:val="00C65D4C"/>
    <w:rsid w:val="00C67095"/>
    <w:rsid w:val="00CA2A55"/>
    <w:rsid w:val="00CD3AE6"/>
    <w:rsid w:val="00D04755"/>
    <w:rsid w:val="00D801F1"/>
    <w:rsid w:val="00FE01C5"/>
    <w:rsid w:val="00FF0B03"/>
    <w:rsid w:val="17F42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88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ucun">
    <w:name w:val="Aucun"/>
    <w:basedOn w:val="a0"/>
  </w:style>
  <w:style w:type="character" w:customStyle="1" w:styleId="15">
    <w:name w:val="15"/>
    <w:basedOn w:val="a0"/>
  </w:style>
  <w:style w:type="paragraph" w:styleId="a3">
    <w:name w:val="header"/>
    <w:basedOn w:val="a"/>
    <w:link w:val="Char"/>
    <w:rsid w:val="00C6709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67095"/>
    <w:rPr>
      <w:rFonts w:eastAsia="Times New Roman"/>
      <w:sz w:val="18"/>
      <w:szCs w:val="18"/>
      <w:lang w:eastAsia="en-US"/>
    </w:rPr>
  </w:style>
  <w:style w:type="paragraph" w:styleId="a4">
    <w:name w:val="footer"/>
    <w:basedOn w:val="a"/>
    <w:link w:val="Char0"/>
    <w:uiPriority w:val="99"/>
    <w:rsid w:val="00C67095"/>
    <w:pPr>
      <w:tabs>
        <w:tab w:val="center" w:pos="4153"/>
        <w:tab w:val="right" w:pos="8306"/>
      </w:tabs>
      <w:snapToGrid w:val="0"/>
    </w:pPr>
    <w:rPr>
      <w:sz w:val="18"/>
      <w:szCs w:val="18"/>
    </w:rPr>
  </w:style>
  <w:style w:type="character" w:customStyle="1" w:styleId="Char0">
    <w:name w:val="页脚 Char"/>
    <w:basedOn w:val="a0"/>
    <w:link w:val="a4"/>
    <w:uiPriority w:val="99"/>
    <w:rsid w:val="00C67095"/>
    <w:rPr>
      <w:rFonts w:eastAsia="Times New Roman"/>
      <w:sz w:val="18"/>
      <w:szCs w:val="18"/>
      <w:lang w:eastAsia="en-US"/>
    </w:rPr>
  </w:style>
  <w:style w:type="paragraph" w:styleId="a5">
    <w:name w:val="Balloon Text"/>
    <w:basedOn w:val="a"/>
    <w:link w:val="Char1"/>
    <w:rsid w:val="002B07A9"/>
    <w:rPr>
      <w:sz w:val="18"/>
      <w:szCs w:val="18"/>
    </w:rPr>
  </w:style>
  <w:style w:type="character" w:customStyle="1" w:styleId="Char1">
    <w:name w:val="批注框文本 Char"/>
    <w:basedOn w:val="a0"/>
    <w:link w:val="a5"/>
    <w:rsid w:val="002B07A9"/>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ucun">
    <w:name w:val="Aucun"/>
    <w:basedOn w:val="a0"/>
  </w:style>
  <w:style w:type="character" w:customStyle="1" w:styleId="15">
    <w:name w:val="15"/>
    <w:basedOn w:val="a0"/>
  </w:style>
  <w:style w:type="paragraph" w:styleId="a3">
    <w:name w:val="header"/>
    <w:basedOn w:val="a"/>
    <w:link w:val="Char"/>
    <w:rsid w:val="00C6709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67095"/>
    <w:rPr>
      <w:rFonts w:eastAsia="Times New Roman"/>
      <w:sz w:val="18"/>
      <w:szCs w:val="18"/>
      <w:lang w:eastAsia="en-US"/>
    </w:rPr>
  </w:style>
  <w:style w:type="paragraph" w:styleId="a4">
    <w:name w:val="footer"/>
    <w:basedOn w:val="a"/>
    <w:link w:val="Char0"/>
    <w:uiPriority w:val="99"/>
    <w:rsid w:val="00C67095"/>
    <w:pPr>
      <w:tabs>
        <w:tab w:val="center" w:pos="4153"/>
        <w:tab w:val="right" w:pos="8306"/>
      </w:tabs>
      <w:snapToGrid w:val="0"/>
    </w:pPr>
    <w:rPr>
      <w:sz w:val="18"/>
      <w:szCs w:val="18"/>
    </w:rPr>
  </w:style>
  <w:style w:type="character" w:customStyle="1" w:styleId="Char0">
    <w:name w:val="页脚 Char"/>
    <w:basedOn w:val="a0"/>
    <w:link w:val="a4"/>
    <w:uiPriority w:val="99"/>
    <w:rsid w:val="00C67095"/>
    <w:rPr>
      <w:rFonts w:eastAsia="Times New Roman"/>
      <w:sz w:val="18"/>
      <w:szCs w:val="18"/>
      <w:lang w:eastAsia="en-US"/>
    </w:rPr>
  </w:style>
  <w:style w:type="paragraph" w:styleId="a5">
    <w:name w:val="Balloon Text"/>
    <w:basedOn w:val="a"/>
    <w:link w:val="Char1"/>
    <w:rsid w:val="002B07A9"/>
    <w:rPr>
      <w:sz w:val="18"/>
      <w:szCs w:val="18"/>
    </w:rPr>
  </w:style>
  <w:style w:type="character" w:customStyle="1" w:styleId="Char1">
    <w:name w:val="批注框文本 Char"/>
    <w:basedOn w:val="a0"/>
    <w:link w:val="a5"/>
    <w:rsid w:val="002B07A9"/>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467814">
      <w:bodyDiv w:val="1"/>
      <w:marLeft w:val="0"/>
      <w:marRight w:val="0"/>
      <w:marTop w:val="0"/>
      <w:marBottom w:val="0"/>
      <w:divBdr>
        <w:top w:val="none" w:sz="0" w:space="0" w:color="auto"/>
        <w:left w:val="none" w:sz="0" w:space="0" w:color="auto"/>
        <w:bottom w:val="none" w:sz="0" w:space="0" w:color="auto"/>
        <w:right w:val="none" w:sz="0" w:space="0" w:color="auto"/>
      </w:divBdr>
    </w:div>
    <w:div w:id="467631306">
      <w:bodyDiv w:val="1"/>
      <w:marLeft w:val="0"/>
      <w:marRight w:val="0"/>
      <w:marTop w:val="0"/>
      <w:marBottom w:val="0"/>
      <w:divBdr>
        <w:top w:val="none" w:sz="0" w:space="0" w:color="auto"/>
        <w:left w:val="none" w:sz="0" w:space="0" w:color="auto"/>
        <w:bottom w:val="none" w:sz="0" w:space="0" w:color="auto"/>
        <w:right w:val="none" w:sz="0" w:space="0" w:color="auto"/>
      </w:divBdr>
    </w:div>
    <w:div w:id="821701314">
      <w:bodyDiv w:val="1"/>
      <w:marLeft w:val="0"/>
      <w:marRight w:val="0"/>
      <w:marTop w:val="0"/>
      <w:marBottom w:val="0"/>
      <w:divBdr>
        <w:top w:val="none" w:sz="0" w:space="0" w:color="auto"/>
        <w:left w:val="none" w:sz="0" w:space="0" w:color="auto"/>
        <w:bottom w:val="none" w:sz="0" w:space="0" w:color="auto"/>
        <w:right w:val="none" w:sz="0" w:space="0" w:color="auto"/>
      </w:divBdr>
    </w:div>
    <w:div w:id="1056851237">
      <w:bodyDiv w:val="1"/>
      <w:marLeft w:val="0"/>
      <w:marRight w:val="0"/>
      <w:marTop w:val="0"/>
      <w:marBottom w:val="0"/>
      <w:divBdr>
        <w:top w:val="none" w:sz="0" w:space="0" w:color="auto"/>
        <w:left w:val="none" w:sz="0" w:space="0" w:color="auto"/>
        <w:bottom w:val="none" w:sz="0" w:space="0" w:color="auto"/>
        <w:right w:val="none" w:sz="0" w:space="0" w:color="auto"/>
      </w:divBdr>
    </w:div>
    <w:div w:id="1420325579">
      <w:bodyDiv w:val="1"/>
      <w:marLeft w:val="0"/>
      <w:marRight w:val="0"/>
      <w:marTop w:val="0"/>
      <w:marBottom w:val="0"/>
      <w:divBdr>
        <w:top w:val="none" w:sz="0" w:space="0" w:color="auto"/>
        <w:left w:val="none" w:sz="0" w:space="0" w:color="auto"/>
        <w:bottom w:val="none" w:sz="0" w:space="0" w:color="auto"/>
        <w:right w:val="none" w:sz="0" w:space="0" w:color="auto"/>
      </w:divBdr>
    </w:div>
    <w:div w:id="1444837467">
      <w:bodyDiv w:val="1"/>
      <w:marLeft w:val="0"/>
      <w:marRight w:val="0"/>
      <w:marTop w:val="0"/>
      <w:marBottom w:val="0"/>
      <w:divBdr>
        <w:top w:val="none" w:sz="0" w:space="0" w:color="auto"/>
        <w:left w:val="none" w:sz="0" w:space="0" w:color="auto"/>
        <w:bottom w:val="none" w:sz="0" w:space="0" w:color="auto"/>
        <w:right w:val="none" w:sz="0" w:space="0" w:color="auto"/>
      </w:divBdr>
    </w:div>
    <w:div w:id="1643460469">
      <w:bodyDiv w:val="1"/>
      <w:marLeft w:val="0"/>
      <w:marRight w:val="0"/>
      <w:marTop w:val="0"/>
      <w:marBottom w:val="0"/>
      <w:divBdr>
        <w:top w:val="none" w:sz="0" w:space="0" w:color="auto"/>
        <w:left w:val="none" w:sz="0" w:space="0" w:color="auto"/>
        <w:bottom w:val="none" w:sz="0" w:space="0" w:color="auto"/>
        <w:right w:val="none" w:sz="0" w:space="0" w:color="auto"/>
      </w:divBdr>
    </w:div>
    <w:div w:id="1873379319">
      <w:bodyDiv w:val="1"/>
      <w:marLeft w:val="0"/>
      <w:marRight w:val="0"/>
      <w:marTop w:val="0"/>
      <w:marBottom w:val="0"/>
      <w:divBdr>
        <w:top w:val="none" w:sz="0" w:space="0" w:color="auto"/>
        <w:left w:val="none" w:sz="0" w:space="0" w:color="auto"/>
        <w:bottom w:val="none" w:sz="0" w:space="0" w:color="auto"/>
        <w:right w:val="none" w:sz="0" w:space="0" w:color="auto"/>
      </w:divBdr>
    </w:div>
    <w:div w:id="199676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3504</Words>
  <Characters>19975</Characters>
  <Application>Microsoft Office Word</Application>
  <DocSecurity>0</DocSecurity>
  <Lines>166</Lines>
  <Paragraphs>46</Paragraphs>
  <ScaleCrop>false</ScaleCrop>
  <Company/>
  <LinksUpToDate>false</LinksUpToDate>
  <CharactersWithSpaces>23433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liujihong2008@qq.con</cp:lastModifiedBy>
  <cp:revision>44</cp:revision>
  <dcterms:created xsi:type="dcterms:W3CDTF">2021-03-18T23:01:00Z</dcterms:created>
  <dcterms:modified xsi:type="dcterms:W3CDTF">2021-05-07T06:57:00Z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