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66B2A"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color w:val="000000"/>
        </w:rPr>
        <w:t xml:space="preserve">Name of Journal: </w:t>
      </w:r>
      <w:r w:rsidRPr="00B079AC">
        <w:rPr>
          <w:rFonts w:ascii="Book Antiqua" w:eastAsia="Book Antiqua" w:hAnsi="Book Antiqua" w:cs="Book Antiqua"/>
          <w:i/>
          <w:color w:val="000000"/>
        </w:rPr>
        <w:t>World Journal of Gastroenterology</w:t>
      </w:r>
    </w:p>
    <w:p w14:paraId="04F9FA0F"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color w:val="000000"/>
        </w:rPr>
        <w:t xml:space="preserve">Manuscript NO: </w:t>
      </w:r>
      <w:r w:rsidRPr="00B079AC">
        <w:rPr>
          <w:rFonts w:ascii="Book Antiqua" w:eastAsia="Book Antiqua" w:hAnsi="Book Antiqua" w:cs="Book Antiqua"/>
          <w:color w:val="000000"/>
        </w:rPr>
        <w:t>59941</w:t>
      </w:r>
    </w:p>
    <w:p w14:paraId="04FAD616"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color w:val="000000"/>
        </w:rPr>
        <w:t xml:space="preserve">Manuscript Type: </w:t>
      </w:r>
      <w:r w:rsidRPr="00B079AC">
        <w:rPr>
          <w:rFonts w:ascii="Book Antiqua" w:eastAsia="Book Antiqua" w:hAnsi="Book Antiqua" w:cs="Book Antiqua"/>
          <w:color w:val="000000"/>
        </w:rPr>
        <w:t>ORIGINAL ARTICLE</w:t>
      </w:r>
    </w:p>
    <w:p w14:paraId="25F3CC28" w14:textId="77777777" w:rsidR="00A77B3E" w:rsidRPr="00B079AC" w:rsidRDefault="00A77B3E">
      <w:pPr>
        <w:spacing w:line="360" w:lineRule="auto"/>
        <w:jc w:val="both"/>
        <w:rPr>
          <w:rFonts w:ascii="Book Antiqua" w:hAnsi="Book Antiqua"/>
        </w:rPr>
      </w:pPr>
    </w:p>
    <w:p w14:paraId="345EB3A2" w14:textId="78680130" w:rsidR="006B0DD2" w:rsidRPr="00B079AC" w:rsidRDefault="00E36496">
      <w:pPr>
        <w:spacing w:line="360" w:lineRule="auto"/>
        <w:jc w:val="both"/>
        <w:rPr>
          <w:rFonts w:ascii="Book Antiqua" w:hAnsi="Book Antiqua"/>
        </w:rPr>
      </w:pPr>
      <w:r w:rsidRPr="00B079AC">
        <w:rPr>
          <w:rFonts w:ascii="Book Antiqua" w:eastAsia="Book Antiqua" w:hAnsi="Book Antiqua" w:cs="Book Antiqua"/>
          <w:b/>
          <w:i/>
          <w:color w:val="000000"/>
        </w:rPr>
        <w:t>Clinical Trials Study</w:t>
      </w:r>
    </w:p>
    <w:p w14:paraId="0DE5D9FF" w14:textId="408EC224" w:rsidR="006B0DD2" w:rsidRPr="00B079AC" w:rsidRDefault="006B0DD2">
      <w:pPr>
        <w:spacing w:line="360" w:lineRule="auto"/>
        <w:jc w:val="both"/>
        <w:rPr>
          <w:rFonts w:ascii="Book Antiqua" w:hAnsi="Book Antiqua"/>
          <w:b/>
          <w:bCs/>
        </w:rPr>
      </w:pPr>
      <w:r w:rsidRPr="00B079AC">
        <w:rPr>
          <w:rFonts w:ascii="Book Antiqua" w:hAnsi="Book Antiqua"/>
          <w:b/>
          <w:bCs/>
        </w:rPr>
        <w:t xml:space="preserve">Noninferiority </w:t>
      </w:r>
      <w:r w:rsidR="004F7D16" w:rsidRPr="00B079AC">
        <w:rPr>
          <w:rFonts w:ascii="Book Antiqua" w:hAnsi="Book Antiqua"/>
          <w:b/>
          <w:bCs/>
        </w:rPr>
        <w:t>clinical trial comparing the bowel cleansing efficacy of s</w:t>
      </w:r>
      <w:r w:rsidRPr="00B079AC">
        <w:rPr>
          <w:rFonts w:ascii="Book Antiqua" w:hAnsi="Book Antiqua"/>
          <w:b/>
          <w:bCs/>
        </w:rPr>
        <w:t xml:space="preserve">odium </w:t>
      </w:r>
      <w:r w:rsidR="004F7D16" w:rsidRPr="00B079AC">
        <w:rPr>
          <w:rFonts w:ascii="Book Antiqua" w:hAnsi="Book Antiqua"/>
          <w:b/>
          <w:bCs/>
        </w:rPr>
        <w:t>phosphate tabl</w:t>
      </w:r>
      <w:r w:rsidRPr="00B079AC">
        <w:rPr>
          <w:rFonts w:ascii="Book Antiqua" w:hAnsi="Book Antiqua"/>
          <w:b/>
          <w:bCs/>
        </w:rPr>
        <w:t>ets (Quiklean</w:t>
      </w:r>
      <w:r w:rsidRPr="00B079AC">
        <w:rPr>
          <w:rFonts w:ascii="Book Antiqua" w:hAnsi="Book Antiqua"/>
          <w:b/>
          <w:bCs/>
          <w:vertAlign w:val="superscript"/>
        </w:rPr>
        <w:t>®</w:t>
      </w:r>
      <w:r w:rsidRPr="00B079AC">
        <w:rPr>
          <w:rFonts w:ascii="Book Antiqua" w:hAnsi="Book Antiqua"/>
          <w:b/>
          <w:bCs/>
        </w:rPr>
        <w:t xml:space="preserve">) with a </w:t>
      </w:r>
      <w:r w:rsidR="004F7D16" w:rsidRPr="00B079AC">
        <w:rPr>
          <w:rFonts w:ascii="Book Antiqua" w:hAnsi="Book Antiqua"/>
          <w:b/>
          <w:bCs/>
        </w:rPr>
        <w:t>polyethylene gly</w:t>
      </w:r>
      <w:r w:rsidRPr="00B079AC">
        <w:rPr>
          <w:rFonts w:ascii="Book Antiqua" w:hAnsi="Book Antiqua"/>
          <w:b/>
          <w:bCs/>
        </w:rPr>
        <w:t>col/</w:t>
      </w:r>
      <w:r w:rsidR="00127B90">
        <w:rPr>
          <w:rFonts w:ascii="Book Antiqua" w:hAnsi="Book Antiqua"/>
          <w:b/>
          <w:bCs/>
        </w:rPr>
        <w:t>b</w:t>
      </w:r>
      <w:r w:rsidRPr="00B079AC">
        <w:rPr>
          <w:rFonts w:ascii="Book Antiqua" w:hAnsi="Book Antiqua"/>
          <w:b/>
          <w:bCs/>
        </w:rPr>
        <w:t xml:space="preserve">isacodyl </w:t>
      </w:r>
      <w:r w:rsidR="004F7D16" w:rsidRPr="00B079AC">
        <w:rPr>
          <w:rFonts w:ascii="Book Antiqua" w:hAnsi="Book Antiqua"/>
          <w:b/>
          <w:bCs/>
        </w:rPr>
        <w:t>k</w:t>
      </w:r>
      <w:r w:rsidRPr="00B079AC">
        <w:rPr>
          <w:rFonts w:ascii="Book Antiqua" w:hAnsi="Book Antiqua"/>
          <w:b/>
          <w:bCs/>
        </w:rPr>
        <w:t>it</w:t>
      </w:r>
    </w:p>
    <w:p w14:paraId="504B16AF" w14:textId="77777777" w:rsidR="00A77B3E" w:rsidRPr="00B079AC" w:rsidRDefault="00A77B3E">
      <w:pPr>
        <w:spacing w:line="360" w:lineRule="auto"/>
        <w:jc w:val="both"/>
        <w:rPr>
          <w:rFonts w:ascii="Book Antiqua" w:hAnsi="Book Antiqua"/>
        </w:rPr>
      </w:pPr>
    </w:p>
    <w:p w14:paraId="6BB229FD" w14:textId="3E0DE8E6" w:rsidR="00A77B3E" w:rsidRPr="00B079AC" w:rsidRDefault="00800685">
      <w:pPr>
        <w:spacing w:line="360" w:lineRule="auto"/>
        <w:jc w:val="both"/>
        <w:rPr>
          <w:rFonts w:ascii="Book Antiqua" w:hAnsi="Book Antiqua"/>
        </w:rPr>
      </w:pPr>
      <w:r w:rsidRPr="00B079AC">
        <w:rPr>
          <w:rFonts w:ascii="Book Antiqua" w:eastAsia="Book Antiqua" w:hAnsi="Book Antiqua" w:cs="Book Antiqua"/>
          <w:color w:val="000000"/>
        </w:rPr>
        <w:t xml:space="preserve">Hung SY </w:t>
      </w:r>
      <w:r w:rsidRPr="00B079AC">
        <w:rPr>
          <w:rFonts w:ascii="Book Antiqua" w:eastAsia="Book Antiqua" w:hAnsi="Book Antiqua" w:cs="Book Antiqua"/>
          <w:i/>
          <w:iCs/>
          <w:color w:val="000000"/>
        </w:rPr>
        <w:t>et al</w:t>
      </w:r>
      <w:r w:rsidRPr="00B079AC">
        <w:rPr>
          <w:rFonts w:ascii="Book Antiqua" w:eastAsia="Book Antiqua" w:hAnsi="Book Antiqua" w:cs="Book Antiqua"/>
          <w:color w:val="000000"/>
        </w:rPr>
        <w:t xml:space="preserve">. </w:t>
      </w:r>
      <w:r w:rsidR="00E36496" w:rsidRPr="00B079AC">
        <w:rPr>
          <w:rFonts w:ascii="Book Antiqua" w:eastAsia="Book Antiqua" w:hAnsi="Book Antiqua" w:cs="Book Antiqua"/>
          <w:color w:val="000000"/>
        </w:rPr>
        <w:t>Quiklean</w:t>
      </w:r>
      <w:r w:rsidR="001F7462" w:rsidRPr="00B079AC">
        <w:rPr>
          <w:rFonts w:ascii="Book Antiqua" w:eastAsia="Book Antiqua" w:hAnsi="Book Antiqua" w:cs="Book Antiqua"/>
          <w:color w:val="000000"/>
          <w:vertAlign w:val="superscript"/>
        </w:rPr>
        <w:t>®</w:t>
      </w:r>
      <w:r w:rsidR="00E36496" w:rsidRPr="00B079AC">
        <w:rPr>
          <w:rFonts w:ascii="Book Antiqua" w:eastAsia="Book Antiqua" w:hAnsi="Book Antiqua" w:cs="Book Antiqua"/>
          <w:color w:val="000000"/>
        </w:rPr>
        <w:t xml:space="preserve"> effective for bowel preparation</w:t>
      </w:r>
    </w:p>
    <w:p w14:paraId="2D01B6C3" w14:textId="77777777" w:rsidR="00A77B3E" w:rsidRPr="00B079AC" w:rsidRDefault="00A77B3E">
      <w:pPr>
        <w:spacing w:line="360" w:lineRule="auto"/>
        <w:jc w:val="both"/>
        <w:rPr>
          <w:rFonts w:ascii="Book Antiqua" w:hAnsi="Book Antiqua"/>
        </w:rPr>
      </w:pPr>
    </w:p>
    <w:p w14:paraId="35CD2764" w14:textId="77777777" w:rsidR="00A77B3E" w:rsidRPr="00B079AC" w:rsidRDefault="00E36496">
      <w:pPr>
        <w:spacing w:line="360" w:lineRule="auto"/>
        <w:jc w:val="both"/>
        <w:rPr>
          <w:rFonts w:ascii="Book Antiqua" w:hAnsi="Book Antiqua"/>
        </w:rPr>
      </w:pPr>
      <w:bookmarkStart w:id="0" w:name="_Hlk60588881"/>
      <w:r w:rsidRPr="00B079AC">
        <w:rPr>
          <w:rFonts w:ascii="Book Antiqua" w:eastAsia="Book Antiqua" w:hAnsi="Book Antiqua" w:cs="Book Antiqua"/>
          <w:color w:val="000000"/>
        </w:rPr>
        <w:t>Shih-Ya Hung, Hung-Chang Chen, Tao-Wei Ke, Jiann-Hwa Chen, Koung-Hung Hsiao, Hwei-Ming Wang, Hua-Che Chiang, Sheng-Chi Chang, Yi-Chang Chen, Ming-Hao Hsieh, Yuan-Yao Tsai, Yo-Wen Hsieh, William Tzu-Liang Chen</w:t>
      </w:r>
    </w:p>
    <w:bookmarkEnd w:id="0"/>
    <w:p w14:paraId="1A6CE4EC" w14:textId="77777777" w:rsidR="00A77B3E" w:rsidRPr="00B079AC" w:rsidRDefault="00A77B3E">
      <w:pPr>
        <w:spacing w:line="360" w:lineRule="auto"/>
        <w:jc w:val="both"/>
        <w:rPr>
          <w:rFonts w:ascii="Book Antiqua" w:hAnsi="Book Antiqua"/>
        </w:rPr>
      </w:pPr>
    </w:p>
    <w:p w14:paraId="5E96F10C"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Shih-Ya Hung, </w:t>
      </w:r>
      <w:r w:rsidRPr="00B079AC">
        <w:rPr>
          <w:rFonts w:ascii="Book Antiqua" w:eastAsia="Book Antiqua" w:hAnsi="Book Antiqua" w:cs="Book Antiqua"/>
          <w:color w:val="000000"/>
        </w:rPr>
        <w:t>Graduate Institute of Acupuncture Science, China Medical University, Taichung 40402, Taiwan</w:t>
      </w:r>
    </w:p>
    <w:p w14:paraId="5FAA45DB" w14:textId="77777777" w:rsidR="00A77B3E" w:rsidRPr="00B079AC" w:rsidRDefault="00A77B3E">
      <w:pPr>
        <w:spacing w:line="360" w:lineRule="auto"/>
        <w:jc w:val="both"/>
        <w:rPr>
          <w:rFonts w:ascii="Book Antiqua" w:hAnsi="Book Antiqua"/>
        </w:rPr>
      </w:pPr>
    </w:p>
    <w:p w14:paraId="2246BD00"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Shih-Ya Hung, </w:t>
      </w:r>
      <w:r w:rsidRPr="00B079AC">
        <w:rPr>
          <w:rFonts w:ascii="Book Antiqua" w:eastAsia="Book Antiqua" w:hAnsi="Book Antiqua" w:cs="Book Antiqua"/>
          <w:color w:val="000000"/>
        </w:rPr>
        <w:t>Department of Medical Research, China Medical University Hospital, Taichung 40447, Taiwan</w:t>
      </w:r>
    </w:p>
    <w:p w14:paraId="0ECD65B2" w14:textId="77777777" w:rsidR="00A77B3E" w:rsidRPr="00B079AC" w:rsidRDefault="00A77B3E">
      <w:pPr>
        <w:spacing w:line="360" w:lineRule="auto"/>
        <w:jc w:val="both"/>
        <w:rPr>
          <w:rFonts w:ascii="Book Antiqua" w:hAnsi="Book Antiqua"/>
        </w:rPr>
      </w:pPr>
    </w:p>
    <w:p w14:paraId="78C31615"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Hung-Chang Chen, Tao-Wei Ke, Hwei-Ming Wang, Hua-Che Chiang, Sheng-Chi Chang, Yi-Chang Chen, Ming-Hao Hsieh, Yuan-Yao Tsai, </w:t>
      </w:r>
      <w:r w:rsidRPr="00B079AC">
        <w:rPr>
          <w:rFonts w:ascii="Book Antiqua" w:eastAsia="Book Antiqua" w:hAnsi="Book Antiqua" w:cs="Book Antiqua"/>
          <w:color w:val="000000"/>
        </w:rPr>
        <w:t>Division of Colorectal Surgery, Department of Surgery, China Medical University Hospital, Taichung 40447, Taiwan</w:t>
      </w:r>
    </w:p>
    <w:p w14:paraId="6F331B36" w14:textId="77777777" w:rsidR="00A77B3E" w:rsidRPr="00B079AC" w:rsidRDefault="00A77B3E">
      <w:pPr>
        <w:spacing w:line="360" w:lineRule="auto"/>
        <w:jc w:val="both"/>
        <w:rPr>
          <w:rFonts w:ascii="Book Antiqua" w:hAnsi="Book Antiqua"/>
        </w:rPr>
      </w:pPr>
    </w:p>
    <w:p w14:paraId="16A7E2ED"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Jiann-Hwa Chen, </w:t>
      </w:r>
      <w:r w:rsidRPr="00B079AC">
        <w:rPr>
          <w:rFonts w:ascii="Book Antiqua" w:eastAsia="Book Antiqua" w:hAnsi="Book Antiqua" w:cs="Book Antiqua"/>
          <w:color w:val="000000"/>
        </w:rPr>
        <w:t>Division of Gastroenterology, Taipei Tzu Chi Hospital, Taipei 23142, Taiwan</w:t>
      </w:r>
    </w:p>
    <w:p w14:paraId="41B95EC3" w14:textId="77777777" w:rsidR="00A77B3E" w:rsidRPr="00B079AC" w:rsidRDefault="00A77B3E">
      <w:pPr>
        <w:spacing w:line="360" w:lineRule="auto"/>
        <w:jc w:val="both"/>
        <w:rPr>
          <w:rFonts w:ascii="Book Antiqua" w:hAnsi="Book Antiqua"/>
        </w:rPr>
      </w:pPr>
    </w:p>
    <w:p w14:paraId="7F752F4F"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Koung-Hung Hsiao, </w:t>
      </w:r>
      <w:r w:rsidRPr="00B079AC">
        <w:rPr>
          <w:rFonts w:ascii="Book Antiqua" w:eastAsia="Book Antiqua" w:hAnsi="Book Antiqua" w:cs="Book Antiqua"/>
          <w:color w:val="000000"/>
        </w:rPr>
        <w:t>Division of Colorectal Surgery, Taipei Tzu Chi Hospital, Taipei 23142, Taiwan</w:t>
      </w:r>
    </w:p>
    <w:p w14:paraId="4DA4ED0C" w14:textId="77777777" w:rsidR="00A77B3E" w:rsidRPr="00B079AC" w:rsidRDefault="00A77B3E">
      <w:pPr>
        <w:spacing w:line="360" w:lineRule="auto"/>
        <w:jc w:val="both"/>
        <w:rPr>
          <w:rFonts w:ascii="Book Antiqua" w:hAnsi="Book Antiqua"/>
        </w:rPr>
      </w:pPr>
    </w:p>
    <w:p w14:paraId="4B26CF3C"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Yo-Wen Hsieh, </w:t>
      </w:r>
      <w:r w:rsidRPr="00B079AC">
        <w:rPr>
          <w:rFonts w:ascii="Book Antiqua" w:eastAsia="Book Antiqua" w:hAnsi="Book Antiqua" w:cs="Book Antiqua"/>
          <w:color w:val="000000"/>
        </w:rPr>
        <w:t>Department of Pharmacy, China Medical University Hospital, Taichung 40447, Taiwan</w:t>
      </w:r>
    </w:p>
    <w:p w14:paraId="2AE8FD86" w14:textId="77777777" w:rsidR="00A77B3E" w:rsidRPr="00B079AC" w:rsidRDefault="00A77B3E">
      <w:pPr>
        <w:spacing w:line="360" w:lineRule="auto"/>
        <w:jc w:val="both"/>
        <w:rPr>
          <w:rFonts w:ascii="Book Antiqua" w:hAnsi="Book Antiqua"/>
        </w:rPr>
      </w:pPr>
    </w:p>
    <w:p w14:paraId="4752D785"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William Tzu-Liang Chen, </w:t>
      </w:r>
      <w:r w:rsidRPr="00B079AC">
        <w:rPr>
          <w:rFonts w:ascii="Book Antiqua" w:eastAsia="Book Antiqua" w:hAnsi="Book Antiqua" w:cs="Book Antiqua"/>
          <w:color w:val="000000"/>
        </w:rPr>
        <w:t>Department of Colorectal Surgery, China Medical University Hsinchu Hospital, Zhubei 30272, Taiwan</w:t>
      </w:r>
    </w:p>
    <w:p w14:paraId="5022DAFD" w14:textId="77777777" w:rsidR="00A77B3E" w:rsidRPr="00B079AC" w:rsidRDefault="00A77B3E">
      <w:pPr>
        <w:spacing w:line="360" w:lineRule="auto"/>
        <w:jc w:val="both"/>
        <w:rPr>
          <w:rFonts w:ascii="Book Antiqua" w:hAnsi="Book Antiqua"/>
        </w:rPr>
      </w:pPr>
    </w:p>
    <w:p w14:paraId="6437F54C"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William Tzu-Liang Chen, </w:t>
      </w:r>
      <w:r w:rsidRPr="00B079AC">
        <w:rPr>
          <w:rFonts w:ascii="Book Antiqua" w:eastAsia="Book Antiqua" w:hAnsi="Book Antiqua" w:cs="Book Antiqua"/>
          <w:color w:val="000000"/>
        </w:rPr>
        <w:t>School of Medicine, China Medical University, Taichung 40402, Taiwan</w:t>
      </w:r>
    </w:p>
    <w:p w14:paraId="51CA5932" w14:textId="77777777" w:rsidR="00A77B3E" w:rsidRPr="00B079AC" w:rsidRDefault="00A77B3E">
      <w:pPr>
        <w:spacing w:line="360" w:lineRule="auto"/>
        <w:jc w:val="both"/>
        <w:rPr>
          <w:rFonts w:ascii="Book Antiqua" w:hAnsi="Book Antiqua"/>
        </w:rPr>
      </w:pPr>
    </w:p>
    <w:p w14:paraId="5ACCC547" w14:textId="74A3A8AD"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Author contributions: </w:t>
      </w:r>
      <w:r w:rsidRPr="00B079AC">
        <w:rPr>
          <w:rFonts w:ascii="Book Antiqua" w:eastAsia="Book Antiqua" w:hAnsi="Book Antiqua" w:cs="Book Antiqua"/>
          <w:color w:val="000000"/>
        </w:rPr>
        <w:t>Chen WT</w:t>
      </w:r>
      <w:r w:rsidR="00E5584A" w:rsidRPr="00B079AC">
        <w:rPr>
          <w:rFonts w:ascii="Book Antiqua" w:eastAsia="Book Antiqua" w:hAnsi="Book Antiqua" w:cs="Book Antiqua"/>
          <w:color w:val="000000"/>
        </w:rPr>
        <w:t>L</w:t>
      </w:r>
      <w:r w:rsidRPr="00B079AC">
        <w:rPr>
          <w:rFonts w:ascii="Book Antiqua" w:eastAsia="Book Antiqua" w:hAnsi="Book Antiqua" w:cs="Book Antiqua"/>
          <w:color w:val="000000"/>
        </w:rPr>
        <w:t xml:space="preserve"> and Chen HC work</w:t>
      </w:r>
      <w:r w:rsidR="000C3F6E">
        <w:rPr>
          <w:rFonts w:ascii="Book Antiqua" w:eastAsia="Book Antiqua" w:hAnsi="Book Antiqua" w:cs="Book Antiqua"/>
          <w:color w:val="000000"/>
        </w:rPr>
        <w:t>ed</w:t>
      </w:r>
      <w:r w:rsidRPr="00B079AC">
        <w:rPr>
          <w:rFonts w:ascii="Book Antiqua" w:eastAsia="Book Antiqua" w:hAnsi="Book Antiqua" w:cs="Book Antiqua"/>
          <w:color w:val="000000"/>
        </w:rPr>
        <w:t xml:space="preserve"> on conceptualization, methodology, and project administration; Chen WT</w:t>
      </w:r>
      <w:r w:rsidR="00E5584A" w:rsidRPr="00B079AC">
        <w:rPr>
          <w:rFonts w:ascii="Book Antiqua" w:eastAsia="Book Antiqua" w:hAnsi="Book Antiqua" w:cs="Book Antiqua"/>
          <w:color w:val="000000"/>
        </w:rPr>
        <w:t>L</w:t>
      </w:r>
      <w:r w:rsidRPr="00B079AC">
        <w:rPr>
          <w:rFonts w:ascii="Book Antiqua" w:eastAsia="Book Antiqua" w:hAnsi="Book Antiqua" w:cs="Book Antiqua"/>
          <w:color w:val="000000"/>
        </w:rPr>
        <w:t xml:space="preserve"> and Hung SY work</w:t>
      </w:r>
      <w:r w:rsidR="000C3F6E">
        <w:rPr>
          <w:rFonts w:ascii="Book Antiqua" w:eastAsia="Book Antiqua" w:hAnsi="Book Antiqua" w:cs="Book Antiqua"/>
          <w:color w:val="000000"/>
        </w:rPr>
        <w:t>ed</w:t>
      </w:r>
      <w:r w:rsidRPr="00B079AC">
        <w:rPr>
          <w:rFonts w:ascii="Book Antiqua" w:eastAsia="Book Antiqua" w:hAnsi="Book Antiqua" w:cs="Book Antiqua"/>
          <w:color w:val="000000"/>
        </w:rPr>
        <w:t xml:space="preserve"> on original draft preparation and manuscript editing; Chen HC, Ke TW, Chen JH, Hsiao KH, Wang HM, Chiang HC, Chang SC, Chen YC, Hsieh MH, Tsai YY</w:t>
      </w:r>
      <w:r w:rsidR="00C30C10">
        <w:rPr>
          <w:rFonts w:ascii="Book Antiqua" w:eastAsia="Book Antiqua" w:hAnsi="Book Antiqua" w:cs="Book Antiqua"/>
          <w:color w:val="000000"/>
        </w:rPr>
        <w:t>,</w:t>
      </w:r>
      <w:r w:rsidRPr="00B079AC">
        <w:rPr>
          <w:rFonts w:ascii="Book Antiqua" w:eastAsia="Book Antiqua" w:hAnsi="Book Antiqua" w:cs="Book Antiqua"/>
          <w:color w:val="000000"/>
        </w:rPr>
        <w:t xml:space="preserve"> and Chen WT</w:t>
      </w:r>
      <w:r w:rsidR="00E5584A" w:rsidRPr="00B079AC">
        <w:rPr>
          <w:rFonts w:ascii="Book Antiqua" w:eastAsia="Book Antiqua" w:hAnsi="Book Antiqua" w:cs="Book Antiqua"/>
          <w:color w:val="000000"/>
        </w:rPr>
        <w:t>L</w:t>
      </w:r>
      <w:r w:rsidRPr="00B079AC">
        <w:rPr>
          <w:rFonts w:ascii="Book Antiqua" w:eastAsia="Book Antiqua" w:hAnsi="Book Antiqua" w:cs="Book Antiqua"/>
          <w:color w:val="000000"/>
        </w:rPr>
        <w:t xml:space="preserve"> performed colonoscopy, data collection, and data curation</w:t>
      </w:r>
      <w:r w:rsidR="000C3F6E">
        <w:rPr>
          <w:rFonts w:ascii="Book Antiqua" w:eastAsia="Book Antiqua" w:hAnsi="Book Antiqua" w:cs="Book Antiqua"/>
          <w:color w:val="000000"/>
        </w:rPr>
        <w:t xml:space="preserve">; </w:t>
      </w:r>
      <w:r w:rsidR="000C3F6E" w:rsidRPr="00D64B4F">
        <w:rPr>
          <w:rFonts w:ascii="Book Antiqua" w:eastAsia="Book Antiqua" w:hAnsi="Book Antiqua" w:cs="Book Antiqua"/>
          <w:color w:val="000000"/>
        </w:rPr>
        <w:t>Hsieh YW work</w:t>
      </w:r>
      <w:r w:rsidR="000C3F6E">
        <w:rPr>
          <w:rFonts w:ascii="Book Antiqua" w:eastAsia="Book Antiqua" w:hAnsi="Book Antiqua" w:cs="Book Antiqua"/>
          <w:color w:val="000000"/>
        </w:rPr>
        <w:t>ed</w:t>
      </w:r>
      <w:r w:rsidR="000C3F6E" w:rsidRPr="00D64B4F">
        <w:rPr>
          <w:rFonts w:ascii="Book Antiqua" w:eastAsia="Book Antiqua" w:hAnsi="Book Antiqua" w:cs="Book Antiqua"/>
          <w:color w:val="000000"/>
        </w:rPr>
        <w:t xml:space="preserve"> on drug dispensing and pharmaceutical care.</w:t>
      </w:r>
    </w:p>
    <w:p w14:paraId="7CB92721" w14:textId="77777777" w:rsidR="00A77B3E" w:rsidRPr="00B079AC" w:rsidRDefault="00A77B3E">
      <w:pPr>
        <w:spacing w:line="360" w:lineRule="auto"/>
        <w:jc w:val="both"/>
        <w:rPr>
          <w:rFonts w:ascii="Book Antiqua" w:hAnsi="Book Antiqua"/>
        </w:rPr>
      </w:pPr>
    </w:p>
    <w:p w14:paraId="661F243B" w14:textId="484375D9"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Supported by</w:t>
      </w:r>
      <w:r w:rsidRPr="00B079AC">
        <w:rPr>
          <w:rFonts w:ascii="Book Antiqua" w:eastAsia="Book Antiqua" w:hAnsi="Book Antiqua" w:cs="Book Antiqua"/>
          <w:color w:val="000000"/>
        </w:rPr>
        <w:t xml:space="preserve"> </w:t>
      </w:r>
      <w:r w:rsidR="00851B45" w:rsidRPr="00B079AC">
        <w:rPr>
          <w:rFonts w:ascii="Book Antiqua" w:eastAsia="Book Antiqua" w:hAnsi="Book Antiqua" w:cs="Book Antiqua"/>
          <w:color w:val="000000"/>
        </w:rPr>
        <w:t xml:space="preserve">the </w:t>
      </w:r>
      <w:r w:rsidRPr="00B079AC">
        <w:rPr>
          <w:rFonts w:ascii="Book Antiqua" w:eastAsia="Book Antiqua" w:hAnsi="Book Antiqua" w:cs="Book Antiqua"/>
          <w:color w:val="000000"/>
        </w:rPr>
        <w:t>China Medical University Hospital</w:t>
      </w:r>
      <w:r w:rsidR="00851B45" w:rsidRPr="00B079AC">
        <w:rPr>
          <w:rFonts w:ascii="Book Antiqua" w:eastAsia="Book Antiqua" w:hAnsi="Book Antiqua" w:cs="Book Antiqua"/>
          <w:color w:val="000000"/>
        </w:rPr>
        <w:t>, No. DMR-108-125</w:t>
      </w:r>
      <w:r w:rsidRPr="00B079AC">
        <w:rPr>
          <w:rFonts w:ascii="Book Antiqua" w:eastAsia="Book Antiqua" w:hAnsi="Book Antiqua" w:cs="Book Antiqua"/>
          <w:color w:val="000000"/>
        </w:rPr>
        <w:t>.</w:t>
      </w:r>
    </w:p>
    <w:p w14:paraId="53BDE664" w14:textId="77777777" w:rsidR="00A77B3E" w:rsidRPr="00B079AC" w:rsidRDefault="00A77B3E">
      <w:pPr>
        <w:spacing w:line="360" w:lineRule="auto"/>
        <w:jc w:val="both"/>
        <w:rPr>
          <w:rFonts w:ascii="Book Antiqua" w:hAnsi="Book Antiqua"/>
        </w:rPr>
      </w:pPr>
    </w:p>
    <w:p w14:paraId="373C66F1" w14:textId="444C9494"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Corresponding author: </w:t>
      </w:r>
      <w:bookmarkStart w:id="1" w:name="_Hlk60048274"/>
      <w:r w:rsidRPr="00B079AC">
        <w:rPr>
          <w:rFonts w:ascii="Book Antiqua" w:eastAsia="Book Antiqua" w:hAnsi="Book Antiqua" w:cs="Book Antiqua"/>
          <w:b/>
          <w:bCs/>
          <w:color w:val="000000"/>
        </w:rPr>
        <w:t xml:space="preserve">William Tzu-Liang Chen, MD, </w:t>
      </w:r>
      <w:r w:rsidR="006D0E76" w:rsidRPr="006D0E76">
        <w:rPr>
          <w:rFonts w:ascii="Book Antiqua" w:eastAsia="Book Antiqua" w:hAnsi="Book Antiqua" w:cs="Book Antiqua"/>
          <w:b/>
          <w:bCs/>
          <w:color w:val="000000"/>
        </w:rPr>
        <w:t>Superintendent</w:t>
      </w:r>
      <w:r w:rsidRPr="00B079AC">
        <w:rPr>
          <w:rFonts w:ascii="Book Antiqua" w:eastAsia="Book Antiqua" w:hAnsi="Book Antiqua" w:cs="Book Antiqua"/>
          <w:b/>
          <w:bCs/>
          <w:color w:val="000000"/>
        </w:rPr>
        <w:t xml:space="preserve">, </w:t>
      </w:r>
      <w:r w:rsidRPr="00B079AC">
        <w:rPr>
          <w:rFonts w:ascii="Book Antiqua" w:eastAsia="Book Antiqua" w:hAnsi="Book Antiqua" w:cs="Book Antiqua"/>
          <w:color w:val="000000"/>
        </w:rPr>
        <w:t>Department of Colorectal Surgery, China Medical University Hsinchu Hospital, No. 199 Sec.</w:t>
      </w:r>
      <w:r w:rsidR="00FA6303" w:rsidRPr="00B079AC">
        <w:rPr>
          <w:rFonts w:ascii="Book Antiqua" w:eastAsia="Book Antiqua" w:hAnsi="Book Antiqua" w:cs="Book Antiqua"/>
          <w:color w:val="000000"/>
        </w:rPr>
        <w:t xml:space="preserve"> </w:t>
      </w:r>
      <w:r w:rsidRPr="00B079AC">
        <w:rPr>
          <w:rFonts w:ascii="Book Antiqua" w:eastAsia="Book Antiqua" w:hAnsi="Book Antiqua" w:cs="Book Antiqua"/>
          <w:color w:val="000000"/>
        </w:rPr>
        <w:t>1, Xinglong R</w:t>
      </w:r>
      <w:r w:rsidR="00DB1DE7">
        <w:rPr>
          <w:rFonts w:ascii="Book Antiqua" w:eastAsia="Book Antiqua" w:hAnsi="Book Antiqua" w:cs="Book Antiqua"/>
          <w:color w:val="000000"/>
        </w:rPr>
        <w:t>oad</w:t>
      </w:r>
      <w:r w:rsidRPr="00B079AC">
        <w:rPr>
          <w:rFonts w:ascii="Book Antiqua" w:eastAsia="Book Antiqua" w:hAnsi="Book Antiqua" w:cs="Book Antiqua"/>
          <w:color w:val="000000"/>
        </w:rPr>
        <w:t>, Zhubei 30272, Taiwan. wtchen@mail.cmuh.org.tw</w:t>
      </w:r>
    </w:p>
    <w:bookmarkEnd w:id="1"/>
    <w:p w14:paraId="2345F283" w14:textId="77777777" w:rsidR="00A77B3E" w:rsidRPr="00B079AC" w:rsidRDefault="00A77B3E">
      <w:pPr>
        <w:spacing w:line="360" w:lineRule="auto"/>
        <w:jc w:val="both"/>
        <w:rPr>
          <w:rFonts w:ascii="Book Antiqua" w:hAnsi="Book Antiqua"/>
        </w:rPr>
      </w:pPr>
    </w:p>
    <w:p w14:paraId="4D753F97"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Received: </w:t>
      </w:r>
      <w:r w:rsidRPr="00B079AC">
        <w:rPr>
          <w:rFonts w:ascii="Book Antiqua" w:eastAsia="Book Antiqua" w:hAnsi="Book Antiqua" w:cs="Book Antiqua"/>
          <w:color w:val="000000"/>
        </w:rPr>
        <w:t>November 5, 2020</w:t>
      </w:r>
    </w:p>
    <w:p w14:paraId="26155FF2"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Revised: </w:t>
      </w:r>
      <w:r w:rsidRPr="00B079AC">
        <w:rPr>
          <w:rFonts w:ascii="Book Antiqua" w:eastAsia="Book Antiqua" w:hAnsi="Book Antiqua" w:cs="Book Antiqua"/>
          <w:color w:val="000000"/>
        </w:rPr>
        <w:t>December 24, 2020</w:t>
      </w:r>
    </w:p>
    <w:p w14:paraId="1D0E8375" w14:textId="58DAA7E9"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Accepted: </w:t>
      </w:r>
      <w:r w:rsidR="0001458F" w:rsidRPr="0001458F">
        <w:rPr>
          <w:rFonts w:ascii="Book Antiqua" w:eastAsia="Book Antiqua" w:hAnsi="Book Antiqua" w:cs="Book Antiqua"/>
          <w:color w:val="000000"/>
        </w:rPr>
        <w:t>January 6, 2021</w:t>
      </w:r>
    </w:p>
    <w:p w14:paraId="50D5F05A"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Published online: </w:t>
      </w:r>
    </w:p>
    <w:p w14:paraId="3A728629"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691A816" w14:textId="77777777" w:rsidR="00A77B3E" w:rsidRDefault="00E36496">
      <w:pPr>
        <w:spacing w:line="360" w:lineRule="auto"/>
        <w:jc w:val="both"/>
      </w:pPr>
      <w:r>
        <w:rPr>
          <w:rFonts w:ascii="Book Antiqua" w:eastAsia="Book Antiqua" w:hAnsi="Book Antiqua" w:cs="Book Antiqua"/>
          <w:b/>
          <w:color w:val="000000"/>
        </w:rPr>
        <w:lastRenderedPageBreak/>
        <w:t>Abstract</w:t>
      </w:r>
    </w:p>
    <w:p w14:paraId="2CEA41FD" w14:textId="77777777" w:rsidR="00A77B3E" w:rsidRDefault="00E36496">
      <w:pPr>
        <w:spacing w:line="360" w:lineRule="auto"/>
        <w:jc w:val="both"/>
      </w:pPr>
      <w:r>
        <w:rPr>
          <w:rFonts w:ascii="Book Antiqua" w:eastAsia="Book Antiqua" w:hAnsi="Book Antiqua" w:cs="Book Antiqua"/>
          <w:color w:val="000000"/>
        </w:rPr>
        <w:t>BACKGROUND</w:t>
      </w:r>
    </w:p>
    <w:p w14:paraId="31F25343" w14:textId="77777777" w:rsidR="00A77B3E" w:rsidRDefault="00E36496">
      <w:pPr>
        <w:spacing w:line="360" w:lineRule="auto"/>
        <w:jc w:val="both"/>
      </w:pPr>
      <w:r>
        <w:rPr>
          <w:rFonts w:ascii="Book Antiqua" w:eastAsia="Book Antiqua" w:hAnsi="Book Antiqua" w:cs="Book Antiqua"/>
          <w:color w:val="000000"/>
        </w:rPr>
        <w:t>Efficient bowel cleansing is essential for a successful colonoscopy, but the ideal cleansing agent, volume, and pharmaceutical dosage form have yet to be determined. Small-volume cleansers enhance patient compliance.</w:t>
      </w:r>
    </w:p>
    <w:p w14:paraId="38710EB4" w14:textId="77777777" w:rsidR="00A77B3E" w:rsidRDefault="00A77B3E">
      <w:pPr>
        <w:spacing w:line="360" w:lineRule="auto"/>
        <w:jc w:val="both"/>
      </w:pPr>
    </w:p>
    <w:p w14:paraId="644DCF4D" w14:textId="77777777" w:rsidR="00A77B3E" w:rsidRDefault="00E36496">
      <w:pPr>
        <w:spacing w:line="360" w:lineRule="auto"/>
        <w:jc w:val="both"/>
      </w:pPr>
      <w:r>
        <w:rPr>
          <w:rFonts w:ascii="Book Antiqua" w:eastAsia="Book Antiqua" w:hAnsi="Book Antiqua" w:cs="Book Antiqua"/>
          <w:color w:val="000000"/>
        </w:rPr>
        <w:t>AIM</w:t>
      </w:r>
    </w:p>
    <w:p w14:paraId="1816BADB" w14:textId="4D66F457" w:rsidR="00A77B3E" w:rsidRDefault="00E36496">
      <w:pPr>
        <w:spacing w:line="360" w:lineRule="auto"/>
        <w:jc w:val="both"/>
      </w:pPr>
      <w:r>
        <w:rPr>
          <w:rFonts w:ascii="Book Antiqua" w:eastAsia="Book Antiqua" w:hAnsi="Book Antiqua" w:cs="Book Antiqua"/>
          <w:color w:val="000000"/>
        </w:rPr>
        <w:t>To compar</w:t>
      </w:r>
      <w:r w:rsidR="004247BE">
        <w:rPr>
          <w:rFonts w:ascii="Book Antiqua" w:eastAsia="Book Antiqua" w:hAnsi="Book Antiqua" w:cs="Book Antiqua"/>
          <w:color w:val="000000"/>
        </w:rPr>
        <w:t>e</w:t>
      </w:r>
      <w:r>
        <w:rPr>
          <w:rFonts w:ascii="Book Antiqua" w:eastAsia="Book Antiqua" w:hAnsi="Book Antiqua" w:cs="Book Antiqua"/>
          <w:color w:val="000000"/>
        </w:rPr>
        <w:t xml:space="preserve"> the bowel cleansing efficacy of 32-tablet sodium phosphate (Quiklean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2-L polyethylene glycol (PEG)/bisacodyl (Klean-Prep/Dulcolax</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under identical dietary recommendations.</w:t>
      </w:r>
    </w:p>
    <w:p w14:paraId="3B0B1D07" w14:textId="77777777" w:rsidR="00A77B3E" w:rsidRDefault="00A77B3E">
      <w:pPr>
        <w:spacing w:line="360" w:lineRule="auto"/>
        <w:jc w:val="both"/>
      </w:pPr>
    </w:p>
    <w:p w14:paraId="34657B99" w14:textId="77777777" w:rsidR="00A77B3E" w:rsidRDefault="00E36496">
      <w:pPr>
        <w:spacing w:line="360" w:lineRule="auto"/>
        <w:jc w:val="both"/>
      </w:pPr>
      <w:r>
        <w:rPr>
          <w:rFonts w:ascii="Book Antiqua" w:eastAsia="Book Antiqua" w:hAnsi="Book Antiqua" w:cs="Book Antiqua"/>
          <w:color w:val="000000"/>
        </w:rPr>
        <w:t>METHODS</w:t>
      </w:r>
    </w:p>
    <w:p w14:paraId="34435F32" w14:textId="67732C0C" w:rsidR="00A77B3E" w:rsidRDefault="00E36496">
      <w:pPr>
        <w:spacing w:line="360" w:lineRule="auto"/>
        <w:jc w:val="both"/>
      </w:pPr>
      <w:r>
        <w:rPr>
          <w:rFonts w:ascii="Book Antiqua" w:eastAsia="Book Antiqua" w:hAnsi="Book Antiqua" w:cs="Book Antiqua"/>
          <w:color w:val="000000"/>
        </w:rPr>
        <w:t>This multicenter, randomized, parallel-group, noninferiority clinical trial enrolled 472 outpatients, randomized 456 subjects, and scheduled 442 subjects to undergo colonoscopy (Quiklean</w:t>
      </w:r>
      <w:r w:rsidR="00A3533A" w:rsidRPr="00A3533A">
        <w:rPr>
          <w:rFonts w:ascii="Book Antiqua" w:eastAsia="Book Antiqua" w:hAnsi="Book Antiqua" w:cs="Book Antiqua" w:hint="eastAsia"/>
          <w:color w:val="000000"/>
          <w:vertAlign w:val="superscript"/>
        </w:rPr>
        <w: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222 and Klean-Prep/Dulcolax</w:t>
      </w:r>
      <w:r w:rsidR="00A3533A" w:rsidRPr="00A3533A">
        <w:rPr>
          <w:rFonts w:ascii="Book Antiqua" w:eastAsia="Book Antiqua" w:hAnsi="Book Antiqua" w:cs="Book Antiqua" w:hint="eastAsia"/>
          <w:color w:val="000000"/>
          <w:vertAlign w:val="superscript"/>
        </w:rPr>
        <w: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 xml:space="preserve">220). After bowel preparation, a colonoscopist performed the colonoscopy with video recorded for rating. The primary efficacy endpoint was the bowel cleansing quality using the Aronchick Scale. The secondary endpoints were the bowel cleansing efficacy of three colon segments, tolerability and acceptability, safety using the Ottawa </w:t>
      </w:r>
      <w:r w:rsidR="00B04199">
        <w:rPr>
          <w:rFonts w:ascii="Book Antiqua" w:eastAsia="Book Antiqua" w:hAnsi="Book Antiqua" w:cs="Book Antiqua"/>
          <w:color w:val="000000"/>
        </w:rPr>
        <w:t>bowel preparation scale</w:t>
      </w:r>
      <w:r>
        <w:rPr>
          <w:rFonts w:ascii="Book Antiqua" w:eastAsia="Book Antiqua" w:hAnsi="Book Antiqua" w:cs="Book Antiqua"/>
          <w:color w:val="000000"/>
        </w:rPr>
        <w:t>, questionnaires by subjects, and monitoring of adverse events.</w:t>
      </w:r>
    </w:p>
    <w:p w14:paraId="17A7C700" w14:textId="77777777" w:rsidR="00A77B3E" w:rsidRDefault="00A77B3E">
      <w:pPr>
        <w:spacing w:line="360" w:lineRule="auto"/>
        <w:jc w:val="both"/>
      </w:pPr>
    </w:p>
    <w:p w14:paraId="1A8A0991" w14:textId="77777777" w:rsidR="00A77B3E" w:rsidRDefault="00E36496">
      <w:pPr>
        <w:spacing w:line="360" w:lineRule="auto"/>
        <w:jc w:val="both"/>
      </w:pPr>
      <w:r>
        <w:rPr>
          <w:rFonts w:ascii="Book Antiqua" w:eastAsia="Book Antiqua" w:hAnsi="Book Antiqua" w:cs="Book Antiqua"/>
          <w:color w:val="000000"/>
        </w:rPr>
        <w:t>RESULTS</w:t>
      </w:r>
    </w:p>
    <w:p w14:paraId="3C9DCCDA" w14:textId="486DB5FB" w:rsidR="00A77B3E" w:rsidRDefault="00E36496">
      <w:pPr>
        <w:spacing w:line="360" w:lineRule="auto"/>
        <w:jc w:val="both"/>
      </w:pPr>
      <w:r>
        <w:rPr>
          <w:rFonts w:ascii="Book Antiqua" w:eastAsia="Book Antiqua" w:hAnsi="Book Antiqua" w:cs="Book Antiqua"/>
          <w:color w:val="000000"/>
        </w:rPr>
        <w:t>Success rates (Excellent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Good) of the bowel cleansing quality by Aronchick Scale were 98.6% (</w:t>
      </w:r>
      <w:r>
        <w:rPr>
          <w:rFonts w:ascii="Book Antiqua" w:eastAsia="Book Antiqua" w:hAnsi="Book Antiqua" w:cs="Book Antiqua"/>
          <w:i/>
          <w:iCs/>
          <w:color w:val="000000"/>
        </w:rPr>
        <w:t>n</w:t>
      </w:r>
      <w:r>
        <w:rPr>
          <w:rFonts w:ascii="Book Antiqua" w:eastAsia="Book Antiqua" w:hAnsi="Book Antiqua" w:cs="Book Antiqua"/>
          <w:color w:val="000000"/>
        </w:rPr>
        <w:t xml:space="preserve"> = 205) and 97.6% (</w:t>
      </w:r>
      <w:r>
        <w:rPr>
          <w:rFonts w:ascii="Book Antiqua" w:eastAsia="Book Antiqua" w:hAnsi="Book Antiqua" w:cs="Book Antiqua"/>
          <w:i/>
          <w:iCs/>
          <w:color w:val="000000"/>
        </w:rPr>
        <w:t>n</w:t>
      </w:r>
      <w:r>
        <w:rPr>
          <w:rFonts w:ascii="Book Antiqua" w:eastAsia="Book Antiqua" w:hAnsi="Book Antiqua" w:cs="Book Antiqua"/>
          <w:color w:val="000000"/>
        </w:rPr>
        <w:t xml:space="preserve"> = 204) in the Quiklean</w:t>
      </w:r>
      <w:r w:rsidR="00052D6F" w:rsidRPr="00052D6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Klean-Prep/Dulcolax</w:t>
      </w:r>
      <w:r w:rsidR="00052D6F" w:rsidRPr="00052D6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groups, respectively. Quiklean</w:t>
      </w:r>
      <w:r w:rsidR="00A8023F" w:rsidRPr="00A8023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demonstrated noninferiority over Klean-Prep/Dulcolax</w:t>
      </w:r>
      <w:r w:rsidR="00A8023F" w:rsidRPr="00A8023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in colon cleansing efficacy. Quicken showed better tolerability and acceptability in the overall experience (was rated as excellent; 24.0% </w:t>
      </w:r>
      <w:r w:rsidRPr="00C23DE5">
        <w:rPr>
          <w:rFonts w:ascii="Book Antiqua" w:eastAsia="Book Antiqua" w:hAnsi="Book Antiqua" w:cs="Book Antiqua"/>
          <w:i/>
          <w:iCs/>
          <w:color w:val="000000"/>
        </w:rPr>
        <w:t>vs</w:t>
      </w:r>
      <w:r>
        <w:rPr>
          <w:rFonts w:ascii="Book Antiqua" w:eastAsia="Book Antiqua" w:hAnsi="Book Antiqua" w:cs="Book Antiqua"/>
          <w:color w:val="000000"/>
        </w:rPr>
        <w:t xml:space="preserve"> 17.2%; </w:t>
      </w:r>
      <w:r>
        <w:rPr>
          <w:rFonts w:ascii="Book Antiqua" w:eastAsia="Book Antiqua" w:hAnsi="Book Antiqua" w:cs="Book Antiqua"/>
          <w:i/>
          <w:iCs/>
          <w:color w:val="000000"/>
        </w:rPr>
        <w:t>P</w:t>
      </w:r>
      <w:r w:rsidR="00C23DE5" w:rsidRPr="00C23DE5">
        <w:rPr>
          <w:rFonts w:ascii="Book Antiqua" w:eastAsia="Book Antiqua" w:hAnsi="Book Antiqua" w:cs="Book Antiqua"/>
          <w:color w:val="000000"/>
        </w:rPr>
        <w:t xml:space="preserve"> </w:t>
      </w:r>
      <w:r>
        <w:rPr>
          <w:rFonts w:ascii="Book Antiqua" w:eastAsia="Book Antiqua" w:hAnsi="Book Antiqua" w:cs="Book Antiqua"/>
          <w:color w:val="000000"/>
        </w:rPr>
        <w: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 xml:space="preserve">0.0016) and the taste of the study preparation (was rated as excellent, 23.1% </w:t>
      </w:r>
      <w:r w:rsidRPr="00C23DE5">
        <w:rPr>
          <w:rFonts w:ascii="Book Antiqua" w:eastAsia="Book Antiqua" w:hAnsi="Book Antiqua" w:cs="Book Antiqua"/>
          <w:i/>
          <w:iCs/>
          <w:color w:val="000000"/>
        </w:rPr>
        <w:t>vs</w:t>
      </w:r>
      <w:r>
        <w:rPr>
          <w:rFonts w:ascii="Book Antiqua" w:eastAsia="Book Antiqua" w:hAnsi="Book Antiqua" w:cs="Book Antiqua"/>
          <w:color w:val="000000"/>
        </w:rPr>
        <w:t xml:space="preserve"> 13.4%; </w:t>
      </w:r>
      <w:r>
        <w:rPr>
          <w:rFonts w:ascii="Book Antiqua" w:eastAsia="Book Antiqua" w:hAnsi="Book Antiqua" w:cs="Book Antiqua"/>
          <w:i/>
          <w:iCs/>
          <w:color w:val="000000"/>
        </w:rPr>
        <w:t>P</w:t>
      </w:r>
      <w:r w:rsidR="00C23DE5" w:rsidRPr="00C23DE5">
        <w:rPr>
          <w:rFonts w:ascii="Book Antiqua" w:eastAsia="Book Antiqua" w:hAnsi="Book Antiqua" w:cs="Book Antiqua"/>
          <w:color w:val="000000"/>
        </w:rPr>
        <w:t xml:space="preserve"> </w:t>
      </w:r>
      <w:r>
        <w:rPr>
          <w:rFonts w:ascii="Book Antiqua" w:eastAsia="Book Antiqua" w:hAnsi="Book Antiqua" w:cs="Book Antiqua"/>
          <w:color w:val="000000"/>
        </w:rPr>
        <w:t>&lt;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0.0001) than Klean-Prep/Dulcolax</w:t>
      </w:r>
      <w:r w:rsidR="00A8023F" w:rsidRPr="00A8023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Safety profiles did not differ between the two groups. Our data indicate </w:t>
      </w:r>
      <w:r>
        <w:rPr>
          <w:rFonts w:ascii="Book Antiqua" w:eastAsia="Book Antiqua" w:hAnsi="Book Antiqua" w:cs="Book Antiqua"/>
          <w:color w:val="000000"/>
        </w:rPr>
        <w:lastRenderedPageBreak/>
        <w:t>that Quiklean</w:t>
      </w:r>
      <w:r w:rsidR="00E5584A" w:rsidRPr="00E5584A">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is an adequate, well-tolerated bowel cleansing preparation compared with the standard comparator Klean-Prep/Dulcolax</w:t>
      </w:r>
      <w:r w:rsidR="00E5584A" w:rsidRPr="00E5584A">
        <w:rPr>
          <w:rFonts w:ascii="Book Antiqua" w:eastAsia="Book Antiqua" w:hAnsi="Book Antiqua" w:cs="Book Antiqua" w:hint="eastAsia"/>
          <w:color w:val="000000"/>
          <w:vertAlign w:val="superscript"/>
        </w:rPr>
        <w:t>®</w:t>
      </w:r>
      <w:r>
        <w:rPr>
          <w:rFonts w:ascii="Book Antiqua" w:eastAsia="Book Antiqua" w:hAnsi="Book Antiqua" w:cs="Book Antiqua"/>
          <w:color w:val="000000"/>
        </w:rPr>
        <w:t>.</w:t>
      </w:r>
    </w:p>
    <w:p w14:paraId="0CC8A47C" w14:textId="77777777" w:rsidR="00A77B3E" w:rsidRDefault="00A77B3E">
      <w:pPr>
        <w:spacing w:line="360" w:lineRule="auto"/>
        <w:jc w:val="both"/>
      </w:pPr>
    </w:p>
    <w:p w14:paraId="085AE1FF" w14:textId="77777777" w:rsidR="00A77B3E" w:rsidRDefault="00E36496">
      <w:pPr>
        <w:spacing w:line="360" w:lineRule="auto"/>
        <w:jc w:val="both"/>
      </w:pPr>
      <w:r>
        <w:rPr>
          <w:rFonts w:ascii="Book Antiqua" w:eastAsia="Book Antiqua" w:hAnsi="Book Antiqua" w:cs="Book Antiqua"/>
          <w:color w:val="000000"/>
        </w:rPr>
        <w:t>CONCLUSION</w:t>
      </w:r>
    </w:p>
    <w:p w14:paraId="219CA8EA" w14:textId="55D4DBF2" w:rsidR="00A77B3E" w:rsidRDefault="00E36496">
      <w:pPr>
        <w:spacing w:line="360" w:lineRule="auto"/>
        <w:jc w:val="both"/>
      </w:pPr>
      <w:r>
        <w:rPr>
          <w:rFonts w:ascii="Book Antiqua" w:eastAsia="Book Antiqua" w:hAnsi="Book Antiqua" w:cs="Book Antiqua"/>
          <w:color w:val="000000"/>
        </w:rPr>
        <w:t>Quiklean</w:t>
      </w:r>
      <w:r w:rsidR="00E5584A" w:rsidRPr="00E5584A">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is the only sodium phosphate tablet available on Taiwan’s market for bowel preparation; it potentially offers patients an alternative to standard large-volume bowel preparation regimens and may, therefore, increase positive attitudes toward colonoscopies and participation rates.</w:t>
      </w:r>
    </w:p>
    <w:p w14:paraId="1208D21B" w14:textId="77777777" w:rsidR="00A77B3E" w:rsidRDefault="00A77B3E">
      <w:pPr>
        <w:spacing w:line="360" w:lineRule="auto"/>
        <w:jc w:val="both"/>
      </w:pPr>
    </w:p>
    <w:p w14:paraId="77711904" w14:textId="77777777" w:rsidR="00A77B3E" w:rsidRDefault="00E3649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Bowel preparation; Clinical trial; Colonoscopy; Polyethylene glycol; Sodium phosphate</w:t>
      </w:r>
    </w:p>
    <w:p w14:paraId="22ED032E" w14:textId="77777777" w:rsidR="00E5584A" w:rsidRDefault="00E5584A">
      <w:pPr>
        <w:spacing w:line="360" w:lineRule="auto"/>
        <w:jc w:val="both"/>
      </w:pPr>
    </w:p>
    <w:p w14:paraId="61A9993A" w14:textId="33EB2E0F" w:rsidR="00A77B3E" w:rsidRDefault="00E36496">
      <w:pPr>
        <w:spacing w:line="360" w:lineRule="auto"/>
        <w:jc w:val="both"/>
      </w:pPr>
      <w:r>
        <w:rPr>
          <w:rFonts w:ascii="Book Antiqua" w:eastAsia="Book Antiqua" w:hAnsi="Book Antiqua" w:cs="Book Antiqua"/>
          <w:color w:val="000000"/>
        </w:rPr>
        <w:t xml:space="preserve">Hung SY, Chen HC, Ke TW, Chen JH, Hsiao KH, Wang HM, Chiang HC, Chang SC, Chen YC, Hsieh MH, Tsai YY, Hsieh YW, Chen WTL. </w:t>
      </w:r>
      <w:r w:rsidR="00E5584A" w:rsidRPr="00E5584A">
        <w:rPr>
          <w:rFonts w:ascii="Book Antiqua" w:eastAsia="Book Antiqua" w:hAnsi="Book Antiqua" w:cs="Book Antiqua"/>
          <w:color w:val="000000"/>
        </w:rPr>
        <w:t>Noninferiority clinical trial comparing the bowel cleansing efficacy of sodium phosphate tablets (Quiklean</w:t>
      </w:r>
      <w:r w:rsidR="00E5584A" w:rsidRPr="00E5584A">
        <w:rPr>
          <w:rFonts w:ascii="Book Antiqua" w:eastAsia="Book Antiqua" w:hAnsi="Book Antiqua" w:cs="Book Antiqua"/>
          <w:color w:val="000000"/>
          <w:vertAlign w:val="superscript"/>
        </w:rPr>
        <w:t>®</w:t>
      </w:r>
      <w:r w:rsidR="00E5584A" w:rsidRPr="00E5584A">
        <w:rPr>
          <w:rFonts w:ascii="Book Antiqua" w:eastAsia="Book Antiqua" w:hAnsi="Book Antiqua" w:cs="Book Antiqua"/>
          <w:color w:val="000000"/>
        </w:rPr>
        <w:t>) with a polyethylene glycol/</w:t>
      </w:r>
      <w:r w:rsidR="00127B90">
        <w:rPr>
          <w:rFonts w:ascii="Book Antiqua" w:eastAsia="Book Antiqua" w:hAnsi="Book Antiqua" w:cs="Book Antiqua"/>
          <w:color w:val="000000"/>
        </w:rPr>
        <w:t>b</w:t>
      </w:r>
      <w:r w:rsidR="00E5584A" w:rsidRPr="00E5584A">
        <w:rPr>
          <w:rFonts w:ascii="Book Antiqua" w:eastAsia="Book Antiqua" w:hAnsi="Book Antiqua" w:cs="Book Antiqua"/>
          <w:color w:val="000000"/>
        </w:rPr>
        <w:t>isacodyl kit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w:t>
      </w:r>
      <w:r w:rsidR="00C43D86">
        <w:rPr>
          <w:rFonts w:ascii="Book Antiqua" w:eastAsia="Book Antiqua" w:hAnsi="Book Antiqua" w:cs="Book Antiqua"/>
          <w:color w:val="000000"/>
        </w:rPr>
        <w:t>1</w:t>
      </w:r>
      <w:r>
        <w:rPr>
          <w:rFonts w:ascii="Book Antiqua" w:eastAsia="Book Antiqua" w:hAnsi="Book Antiqua" w:cs="Book Antiqua"/>
          <w:color w:val="000000"/>
        </w:rPr>
        <w:t>; In press</w:t>
      </w:r>
    </w:p>
    <w:p w14:paraId="42683C9B" w14:textId="77777777" w:rsidR="00A77B3E" w:rsidRDefault="00A77B3E">
      <w:pPr>
        <w:spacing w:line="360" w:lineRule="auto"/>
        <w:jc w:val="both"/>
      </w:pPr>
    </w:p>
    <w:p w14:paraId="30540BF1" w14:textId="61C4F420" w:rsidR="00A77B3E" w:rsidRDefault="00E3649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bowel cleanser 32-tablet sodium phosphate (Quiklean</w:t>
      </w:r>
      <w:r w:rsidRPr="004D6B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an adequate bowel cleansing preparation with better tolerability and acceptability </w:t>
      </w:r>
      <w:r w:rsidR="00127B90">
        <w:rPr>
          <w:rFonts w:ascii="Book Antiqua" w:eastAsia="Book Antiqua" w:hAnsi="Book Antiqua" w:cs="Book Antiqua"/>
          <w:color w:val="000000"/>
        </w:rPr>
        <w:t>than</w:t>
      </w:r>
      <w:r>
        <w:rPr>
          <w:rFonts w:ascii="Book Antiqua" w:eastAsia="Book Antiqua" w:hAnsi="Book Antiqua" w:cs="Book Antiqua"/>
          <w:color w:val="000000"/>
        </w:rPr>
        <w:t xml:space="preserve"> the standard comparator 2-L polyethylene glycol/bisacodyl (Klean-Prep/Dulcolax</w:t>
      </w:r>
      <w:r w:rsidRPr="009F480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D5D5A9" w14:textId="77777777" w:rsidR="009F4806" w:rsidRDefault="009F4806">
      <w:pPr>
        <w:spacing w:line="360" w:lineRule="auto"/>
        <w:jc w:val="both"/>
        <w:rPr>
          <w:rFonts w:ascii="Book Antiqua" w:eastAsia="Book Antiqua" w:hAnsi="Book Antiqua" w:cs="Book Antiqua"/>
          <w:b/>
          <w:caps/>
          <w:color w:val="000000"/>
          <w:u w:val="single"/>
        </w:rPr>
        <w:sectPr w:rsidR="009F4806">
          <w:pgSz w:w="12240" w:h="15840"/>
          <w:pgMar w:top="1440" w:right="1440" w:bottom="1440" w:left="1440" w:header="720" w:footer="720" w:gutter="0"/>
          <w:cols w:space="720"/>
          <w:docGrid w:linePitch="360"/>
        </w:sectPr>
      </w:pPr>
    </w:p>
    <w:p w14:paraId="235AE0D0" w14:textId="257BA781" w:rsidR="00A77B3E" w:rsidRDefault="00E36496">
      <w:pPr>
        <w:spacing w:line="360" w:lineRule="auto"/>
        <w:jc w:val="both"/>
      </w:pPr>
      <w:r>
        <w:rPr>
          <w:rFonts w:ascii="Book Antiqua" w:eastAsia="Book Antiqua" w:hAnsi="Book Antiqua" w:cs="Book Antiqua"/>
          <w:b/>
          <w:caps/>
          <w:color w:val="000000"/>
          <w:u w:val="single"/>
        </w:rPr>
        <w:lastRenderedPageBreak/>
        <w:t>INTRODUCTION</w:t>
      </w:r>
    </w:p>
    <w:p w14:paraId="2636AC32" w14:textId="77777777" w:rsidR="007A5E68" w:rsidRDefault="00E36496" w:rsidP="007A5E68">
      <w:pPr>
        <w:spacing w:line="360" w:lineRule="auto"/>
        <w:jc w:val="both"/>
      </w:pPr>
      <w:r>
        <w:rPr>
          <w:rFonts w:ascii="Book Antiqua" w:eastAsia="Book Antiqua" w:hAnsi="Book Antiqua" w:cs="Book Antiqua"/>
          <w:color w:val="000000"/>
        </w:rPr>
        <w:t>Optimal bowel cleansing is essential before a colonoscopy, which is the most commonly used and cost-effective method in screening for various diseases, such as colorectal cancer</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Bowel preparation is a complex undertaking, involving dietary modifications and laxatives tailored to the individual patient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Several agents are currently available to clean the colon, including sodium picosulfate/magnesium citrate (PSMC), polyethylene glycol (PEG), magnesium citrate, and sodium phosphate products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 adequate bowel preparation that uses effective cleanser results in a high-quality colonoscopy, but the ideal clearing agent, the volume, and the pharmaceutical dosage form have yet to be determined.</w:t>
      </w:r>
    </w:p>
    <w:p w14:paraId="1F625642" w14:textId="2C60C920" w:rsidR="00A323FE" w:rsidRDefault="00E36496" w:rsidP="00A323FE">
      <w:pPr>
        <w:spacing w:line="360" w:lineRule="auto"/>
        <w:ind w:firstLineChars="100" w:firstLine="240"/>
        <w:jc w:val="both"/>
      </w:pPr>
      <w:r>
        <w:rPr>
          <w:rFonts w:ascii="Book Antiqua" w:eastAsia="Book Antiqua" w:hAnsi="Book Antiqua" w:cs="Book Antiqua"/>
          <w:color w:val="000000"/>
        </w:rPr>
        <w:t>The ideal bowel-cleansing agent should be well-tolerated, easily administered, inexpensive, and produce adequate clearance without allowing explosive gases to form</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Bowel preparation quality by different agents is assessed based on their efficacy, safety, and tolerability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Most bowel preparations are either PEG-based or hyperosmotic; many of these regimens are perceived as unpalatable or unpleasant by patients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PEG-containing preparations (</w:t>
      </w:r>
      <w:r w:rsidRPr="0001197E">
        <w:rPr>
          <w:rFonts w:ascii="Book Antiqua" w:eastAsia="Book Antiqua" w:hAnsi="Book Antiqua" w:cs="Book Antiqua"/>
          <w:i/>
          <w:iCs/>
          <w:color w:val="000000"/>
        </w:rPr>
        <w:t>e.g.</w:t>
      </w:r>
      <w:r>
        <w:rPr>
          <w:rFonts w:ascii="Book Antiqua" w:eastAsia="Book Antiqua" w:hAnsi="Book Antiqua" w:cs="Book Antiqua"/>
          <w:color w:val="000000"/>
        </w:rPr>
        <w:t>, Klean-Prep, GoLYTELY) are large-volume (2</w:t>
      </w:r>
      <w:r w:rsidR="007A5E68">
        <w:rPr>
          <w:rFonts w:ascii="Book Antiqua" w:eastAsia="Book Antiqua" w:hAnsi="Book Antiqua" w:cs="Book Antiqua"/>
          <w:color w:val="000000"/>
        </w:rPr>
        <w:t>-</w:t>
      </w:r>
      <w:r>
        <w:rPr>
          <w:rFonts w:ascii="Book Antiqua" w:eastAsia="Book Antiqua" w:hAnsi="Book Antiqua" w:cs="Book Antiqua"/>
          <w:color w:val="000000"/>
        </w:rPr>
        <w:softHyphen/>
        <w:t>4 L), osmotically-balanced nonabsorbable solutions that act as purgatives to evacuate the intestine; 2</w:t>
      </w:r>
      <w:r w:rsidR="00127B90">
        <w:rPr>
          <w:rFonts w:ascii="Book Antiqua" w:eastAsia="Book Antiqua" w:hAnsi="Book Antiqua" w:cs="Book Antiqua"/>
          <w:color w:val="000000"/>
        </w:rPr>
        <w:t>-</w:t>
      </w:r>
      <w:r>
        <w:rPr>
          <w:rFonts w:ascii="Book Antiqua" w:eastAsia="Book Antiqua" w:hAnsi="Book Antiqua" w:cs="Book Antiqua"/>
          <w:color w:val="000000"/>
        </w:rPr>
        <w:t>L split-dose PEG preparations are better tolerated than 4</w:t>
      </w:r>
      <w:r w:rsidR="00ED6A72">
        <w:rPr>
          <w:rFonts w:ascii="Book Antiqua" w:eastAsia="Book Antiqua" w:hAnsi="Book Antiqua" w:cs="Book Antiqua"/>
          <w:color w:val="000000"/>
        </w:rPr>
        <w:t>-</w:t>
      </w:r>
      <w:r>
        <w:rPr>
          <w:rFonts w:ascii="Book Antiqua" w:eastAsia="Book Antiqua" w:hAnsi="Book Antiqua" w:cs="Book Antiqua"/>
          <w:color w:val="000000"/>
        </w:rPr>
        <w:t>L PEG preparations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Similarly, 2</w:t>
      </w:r>
      <w:r w:rsidR="00127B90">
        <w:rPr>
          <w:rFonts w:ascii="Book Antiqua" w:eastAsia="Book Antiqua" w:hAnsi="Book Antiqua" w:cs="Book Antiqua"/>
          <w:color w:val="000000"/>
        </w:rPr>
        <w:t>-</w:t>
      </w:r>
      <w:r>
        <w:rPr>
          <w:rFonts w:ascii="Book Antiqua" w:eastAsia="Book Antiqua" w:hAnsi="Book Antiqua" w:cs="Book Antiqua"/>
          <w:color w:val="000000"/>
        </w:rPr>
        <w:t>L PEG/bisacodyl preparations are as effective as the standard 4</w:t>
      </w:r>
      <w:r w:rsidR="00ED6A72">
        <w:rPr>
          <w:rFonts w:ascii="Book Antiqua" w:eastAsia="Book Antiqua" w:hAnsi="Book Antiqua" w:cs="Book Antiqua"/>
          <w:color w:val="000000"/>
        </w:rPr>
        <w:t>-</w:t>
      </w:r>
      <w:r>
        <w:rPr>
          <w:rFonts w:ascii="Book Antiqua" w:eastAsia="Book Antiqua" w:hAnsi="Book Antiqua" w:cs="Book Antiqua"/>
          <w:color w:val="000000"/>
        </w:rPr>
        <w:t>L PEG regimens but are better tolerated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Sodium phosphate tablets were developed to improve patient acceptability of the bowel preparation regimen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Sodium phosphate acts as an osmotic purgative, drawing water into the bowel lumen and stimulating peristalsis and evacuation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Sodium phosphate has two oral dosage forms, solution and tablet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Visicol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OsmoPrep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are sodium phosphate tablets that are used for bowel cleansing before a colonoscopy in the United States</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However, although sodium phosphate provides excellent cleansing results and is well tolerated by most patients, concerns have been expressed about its safety regarding the osmotic action</w:t>
      </w:r>
      <w:r>
        <w:rPr>
          <w:rFonts w:ascii="Book Antiqua" w:eastAsia="Book Antiqua" w:hAnsi="Book Antiqua" w:cs="Book Antiqua"/>
          <w:color w:val="000000"/>
          <w:szCs w:val="30"/>
          <w:vertAlign w:val="superscript"/>
        </w:rPr>
        <w:t>[8,12]</w:t>
      </w:r>
      <w:r>
        <w:rPr>
          <w:rFonts w:ascii="Book Antiqua" w:eastAsia="Book Antiqua" w:hAnsi="Book Antiqua" w:cs="Book Antiqua"/>
          <w:color w:val="000000"/>
        </w:rPr>
        <w:t>. Moreover, sodium phosphate is not recommended for patients with renal or cardiac disorders or those on diuretic medications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0E149E65" w14:textId="52CD0460" w:rsidR="00A323FE" w:rsidRDefault="00E36496" w:rsidP="00A323FE">
      <w:pPr>
        <w:spacing w:line="360" w:lineRule="auto"/>
        <w:ind w:firstLineChars="100" w:firstLine="240"/>
        <w:jc w:val="both"/>
      </w:pPr>
      <w:r>
        <w:rPr>
          <w:rFonts w:ascii="Book Antiqua" w:eastAsia="Book Antiqua" w:hAnsi="Book Antiqua" w:cs="Book Antiqua"/>
          <w:color w:val="000000"/>
        </w:rPr>
        <w:lastRenderedPageBreak/>
        <w:t>Colonoscopy is an important screening and therapeutic procedure for colon-related diseases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quality of bowel preparation impacts the success of colonoscopy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Of the various agents available to clean the colon, small-volume cleansers are associated with improved patient compliance (tolerance), which affects bowel-clearing efficacy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the efficacy of different small-volume bowel preparation agents has not been clearly defined. Our previous clinical trial found that a small-volume preparation (PSMC 300 mL) had better tolerability, higher acceptability, and compliance than a 2-L PEG/bisacodyl (5 mg)-Klean-Prep/Dulcolax preparation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Tjandra </w:t>
      </w:r>
      <w:r>
        <w:rPr>
          <w:rFonts w:ascii="Book Antiqua" w:eastAsia="Book Antiqua" w:hAnsi="Book Antiqua" w:cs="Book Antiqua"/>
          <w:i/>
          <w:iCs/>
          <w:color w:val="000000"/>
        </w:rPr>
        <w:t>et al</w:t>
      </w:r>
      <w:r w:rsidR="00FB6BD5">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have shown that a 45-mL sodium phosphate solution was more effective in bowel cleansing than a PSMC preparation. Although these two agents were both accepted well by subjects, the PSMC preparation tasted significantly better than the 45 mL sodium phosphate preparation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comparison with the 4</w:t>
      </w:r>
      <w:r w:rsidR="008232AF">
        <w:rPr>
          <w:rFonts w:ascii="Book Antiqua" w:eastAsia="Book Antiqua" w:hAnsi="Book Antiqua" w:cs="Book Antiqua"/>
          <w:color w:val="000000"/>
        </w:rPr>
        <w:t>-</w:t>
      </w:r>
      <w:r>
        <w:rPr>
          <w:rFonts w:ascii="Book Antiqua" w:eastAsia="Book Antiqua" w:hAnsi="Book Antiqua" w:cs="Book Antiqua"/>
          <w:color w:val="000000"/>
        </w:rPr>
        <w:t xml:space="preserve">L PEG solution, Jung </w:t>
      </w:r>
      <w:r>
        <w:rPr>
          <w:rFonts w:ascii="Book Antiqua" w:eastAsia="Book Antiqua" w:hAnsi="Book Antiqua" w:cs="Book Antiqua"/>
          <w:i/>
          <w:iCs/>
          <w:color w:val="000000"/>
        </w:rPr>
        <w:t>et al</w:t>
      </w:r>
      <w:r w:rsidR="00FB6BD5">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have shown that sodium phosphate tablets produced equivalent colon cleansing, did not cause more side effects, and had better patient acceptability and satisfaction in relatively young (aged &lt;</w:t>
      </w:r>
      <w:r w:rsidR="00FB6BD5">
        <w:rPr>
          <w:rFonts w:ascii="Book Antiqua" w:eastAsia="Book Antiqua" w:hAnsi="Book Antiqua" w:cs="Book Antiqua"/>
          <w:color w:val="000000"/>
        </w:rPr>
        <w:t xml:space="preserve"> </w:t>
      </w:r>
      <w:r>
        <w:rPr>
          <w:rFonts w:ascii="Book Antiqua" w:eastAsia="Book Antiqua" w:hAnsi="Book Antiqua" w:cs="Book Antiqua"/>
          <w:color w:val="000000"/>
        </w:rPr>
        <w:t>60 years), healthy individuals without comorbidities. In 2011, the United States Food and Drug Administration (FDA) withdrew the 2-L PEG bowel cleansing kit HalfLytely containing bisacodyl 10 mg tablets due to safety concerns of ischemic colitis and abdominal cramping compared with the same kit using only bisacodyl 5</w:t>
      </w:r>
      <w:r w:rsidR="00BB5D61">
        <w:rPr>
          <w:rFonts w:ascii="Book Antiqua" w:eastAsia="Book Antiqua" w:hAnsi="Book Antiqua" w:cs="Book Antiqua"/>
          <w:color w:val="000000"/>
        </w:rPr>
        <w:t xml:space="preserve"> </w:t>
      </w:r>
      <w:r>
        <w:rPr>
          <w:rFonts w:ascii="Book Antiqua" w:eastAsia="Book Antiqua" w:hAnsi="Book Antiqua" w:cs="Book Antiqua"/>
          <w:color w:val="000000"/>
        </w:rPr>
        <w:t>mg</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w:t>
      </w:r>
    </w:p>
    <w:p w14:paraId="004A4804" w14:textId="5B317F05" w:rsidR="00A77B3E" w:rsidRDefault="00E36496" w:rsidP="00A323FE">
      <w:pPr>
        <w:spacing w:line="360" w:lineRule="auto"/>
        <w:ind w:firstLineChars="100" w:firstLine="240"/>
        <w:jc w:val="both"/>
      </w:pPr>
      <w:r>
        <w:rPr>
          <w:rFonts w:ascii="Book Antiqua" w:eastAsia="Book Antiqua" w:hAnsi="Book Antiqua" w:cs="Book Antiqua"/>
          <w:color w:val="000000"/>
        </w:rPr>
        <w:t>In Taiwan, 2</w:t>
      </w:r>
      <w:r w:rsidR="00127B90">
        <w:rPr>
          <w:rFonts w:ascii="Book Antiqua" w:eastAsia="Book Antiqua" w:hAnsi="Book Antiqua" w:cs="Book Antiqua"/>
          <w:color w:val="000000"/>
        </w:rPr>
        <w:t>-</w:t>
      </w:r>
      <w:r>
        <w:rPr>
          <w:rFonts w:ascii="Book Antiqua" w:eastAsia="Book Antiqua" w:hAnsi="Book Antiqua" w:cs="Book Antiqua"/>
          <w:color w:val="000000"/>
        </w:rPr>
        <w:t>L Klean-Prep/bisacodyl (5 mg) is mo</w:t>
      </w:r>
      <w:r w:rsidR="00FB48D6">
        <w:rPr>
          <w:rFonts w:ascii="Book Antiqua" w:eastAsia="Book Antiqua" w:hAnsi="Book Antiqua" w:cs="Book Antiqua"/>
          <w:color w:val="000000"/>
        </w:rPr>
        <w:t>re</w:t>
      </w:r>
      <w:r>
        <w:rPr>
          <w:rFonts w:ascii="Book Antiqua" w:eastAsia="Book Antiqua" w:hAnsi="Book Antiqua" w:cs="Book Antiqua"/>
          <w:color w:val="000000"/>
        </w:rPr>
        <w:t xml:space="preserve"> commonly used</w:t>
      </w:r>
      <w:r w:rsidR="00BB5D61">
        <w:rPr>
          <w:rFonts w:ascii="Book Antiqua" w:eastAsia="Book Antiqua" w:hAnsi="Book Antiqua" w:cs="Book Antiqua"/>
          <w:color w:val="000000"/>
        </w:rPr>
        <w:t xml:space="preserve"> than </w:t>
      </w:r>
      <w:r>
        <w:rPr>
          <w:rFonts w:ascii="Book Antiqua" w:eastAsia="Book Antiqua" w:hAnsi="Book Antiqua" w:cs="Book Antiqua"/>
          <w:color w:val="000000"/>
        </w:rPr>
        <w:t>sodium phosphate table</w:t>
      </w:r>
      <w:r w:rsidR="00BB5D61">
        <w:rPr>
          <w:rFonts w:ascii="Book Antiqua" w:eastAsia="Book Antiqua" w:hAnsi="Book Antiqua" w:cs="Book Antiqua"/>
          <w:color w:val="000000"/>
        </w:rPr>
        <w:t>t</w:t>
      </w:r>
      <w:r>
        <w:rPr>
          <w:rFonts w:ascii="Book Antiqua" w:eastAsia="Book Antiqua" w:hAnsi="Book Antiqua" w:cs="Book Antiqua"/>
          <w:color w:val="000000"/>
        </w:rPr>
        <w:t>s. The introduction of the 32-tablet sodium phosphate preparation Quiklean</w:t>
      </w:r>
      <w:r w:rsidR="00A323FE" w:rsidRPr="00A323FE">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(Universal Integrated Corporation, Taiwan) prompted us to conduct a multicenter, randomized, parallel-group, pre-specified noninferiority study to compare the bowel cleansing efficacy, acceptability, tolerability, and safety of Quiklean</w:t>
      </w:r>
      <w:r w:rsidR="00E427BA" w:rsidRPr="00E427BA">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to a 2-L PEG solution Klean-Prep (Helsinn-Birex Pharmaceuticals Limited, Ireland) combined with bisacodyl 5 mg (Dulcolax</w:t>
      </w:r>
      <w:bookmarkStart w:id="2" w:name="_Hlk60595047"/>
      <w:r w:rsidR="006563A6" w:rsidRPr="006563A6">
        <w:rPr>
          <w:rFonts w:ascii="Book Antiqua" w:eastAsia="Book Antiqua" w:hAnsi="Book Antiqua" w:cs="Book Antiqua" w:hint="eastAsia"/>
          <w:color w:val="000000"/>
          <w:vertAlign w:val="superscript"/>
        </w:rPr>
        <w:t>®</w:t>
      </w:r>
      <w:bookmarkEnd w:id="2"/>
      <w:r>
        <w:rPr>
          <w:rFonts w:ascii="Book Antiqua" w:eastAsia="Book Antiqua" w:hAnsi="Book Antiqua" w:cs="Book Antiqua"/>
          <w:color w:val="000000"/>
        </w:rPr>
        <w:t>, Boehringer Ingelheim, Germany) before the colonoscopy in 422 outpatients of Taiwanese populations. The objective was to compare the bowel cleansing efficacy, acceptability</w:t>
      </w:r>
      <w:r w:rsidR="00BB5D61">
        <w:rPr>
          <w:rFonts w:ascii="Book Antiqua" w:eastAsia="Book Antiqua" w:hAnsi="Book Antiqua" w:cs="Book Antiqua"/>
          <w:color w:val="000000"/>
        </w:rPr>
        <w:t xml:space="preserve"> and </w:t>
      </w:r>
      <w:r>
        <w:rPr>
          <w:rFonts w:ascii="Book Antiqua" w:eastAsia="Book Antiqua" w:hAnsi="Book Antiqua" w:cs="Book Antiqua"/>
          <w:color w:val="000000"/>
        </w:rPr>
        <w:t>tolerability, and safety of Quiklean</w:t>
      </w:r>
      <w:r w:rsidR="00E427BA" w:rsidRPr="00E427BA">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to Klean-Prep/Dulcolax</w:t>
      </w:r>
      <w:r w:rsidR="00F9406C" w:rsidRPr="00F9406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for bowel preparation.</w:t>
      </w:r>
    </w:p>
    <w:p w14:paraId="3CB9844A" w14:textId="77777777" w:rsidR="00A77B3E" w:rsidRDefault="00A77B3E">
      <w:pPr>
        <w:spacing w:line="360" w:lineRule="auto"/>
        <w:jc w:val="both"/>
      </w:pPr>
    </w:p>
    <w:p w14:paraId="3414E5A0" w14:textId="77777777" w:rsidR="00A77B3E" w:rsidRDefault="00E36496">
      <w:pPr>
        <w:spacing w:line="360" w:lineRule="auto"/>
        <w:jc w:val="both"/>
      </w:pPr>
      <w:r>
        <w:rPr>
          <w:rFonts w:ascii="Book Antiqua" w:eastAsia="Book Antiqua" w:hAnsi="Book Antiqua" w:cs="Book Antiqua"/>
          <w:b/>
          <w:caps/>
          <w:color w:val="000000"/>
          <w:u w:val="single"/>
        </w:rPr>
        <w:t>MATERIALS AND METHODS</w:t>
      </w:r>
    </w:p>
    <w:p w14:paraId="20B9EBB7" w14:textId="77777777" w:rsidR="00A77B3E" w:rsidRDefault="00E36496">
      <w:pPr>
        <w:spacing w:line="360" w:lineRule="auto"/>
        <w:jc w:val="both"/>
      </w:pPr>
      <w:r>
        <w:rPr>
          <w:rFonts w:ascii="Book Antiqua" w:eastAsia="Book Antiqua" w:hAnsi="Book Antiqua" w:cs="Book Antiqua"/>
          <w:b/>
          <w:bCs/>
          <w:i/>
          <w:iCs/>
          <w:color w:val="000000"/>
        </w:rPr>
        <w:lastRenderedPageBreak/>
        <w:t>Study design and trial information</w:t>
      </w:r>
    </w:p>
    <w:p w14:paraId="074F5684" w14:textId="77777777" w:rsidR="00F56454" w:rsidRDefault="00E3649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randomized, active-controlled, evaluator-blinded, noninferiority, parallel, multicenter phase III clinical trial (ClinicalTrials.gov Identifier: NCT03992365; first posted date: June 20, 2019) was conducted in China Medical University Hospital (Taiwan) and Taipei Tzu Chi Hospital (Taiwan).</w:t>
      </w:r>
    </w:p>
    <w:p w14:paraId="179494FD" w14:textId="14E2CCC5" w:rsidR="00A77B3E" w:rsidRPr="00F56454" w:rsidRDefault="00E36496" w:rsidP="00F5645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Before trial initiation and subject enrollment, the </w:t>
      </w:r>
      <w:bookmarkStart w:id="3" w:name="_Hlk60589859"/>
      <w:r>
        <w:rPr>
          <w:rFonts w:ascii="Book Antiqua" w:eastAsia="Book Antiqua" w:hAnsi="Book Antiqua" w:cs="Book Antiqua"/>
          <w:color w:val="000000"/>
        </w:rPr>
        <w:t>Institutional Review Boards</w:t>
      </w:r>
      <w:bookmarkEnd w:id="3"/>
      <w:r>
        <w:rPr>
          <w:rFonts w:ascii="Book Antiqua" w:eastAsia="Book Antiqua" w:hAnsi="Book Antiqua" w:cs="Book Antiqua"/>
          <w:color w:val="000000"/>
        </w:rPr>
        <w:t xml:space="preserve"> of China Medical University Hospital (CMUH107-REC2-151) and Taipei Tzu Chi Hospital (08-FS-030) approved the study, and Taiwan’s FDA approved the study protocol on 2019-01-17 (version: v2.0).</w:t>
      </w:r>
    </w:p>
    <w:p w14:paraId="3A2468A8" w14:textId="77777777" w:rsidR="00A77B3E" w:rsidRDefault="00A77B3E">
      <w:pPr>
        <w:spacing w:line="360" w:lineRule="auto"/>
        <w:jc w:val="both"/>
      </w:pPr>
    </w:p>
    <w:p w14:paraId="21CFB818" w14:textId="77777777" w:rsidR="00A77B3E" w:rsidRDefault="00E36496">
      <w:pPr>
        <w:spacing w:line="360" w:lineRule="auto"/>
        <w:jc w:val="both"/>
      </w:pPr>
      <w:r>
        <w:rPr>
          <w:rFonts w:ascii="Book Antiqua" w:eastAsia="Book Antiqua" w:hAnsi="Book Antiqua" w:cs="Book Antiqua"/>
          <w:b/>
          <w:bCs/>
          <w:i/>
          <w:iCs/>
          <w:color w:val="000000"/>
        </w:rPr>
        <w:t>Sample size calculation, subject information, and selection of study participants</w:t>
      </w:r>
    </w:p>
    <w:p w14:paraId="38D63A00" w14:textId="479DA346" w:rsidR="00A77B3E" w:rsidRDefault="00E36496">
      <w:pPr>
        <w:spacing w:line="360" w:lineRule="auto"/>
        <w:jc w:val="both"/>
      </w:pPr>
      <w:r>
        <w:rPr>
          <w:rFonts w:ascii="Book Antiqua" w:eastAsia="Book Antiqua" w:hAnsi="Book Antiqua" w:cs="Book Antiqua"/>
          <w:color w:val="000000"/>
        </w:rPr>
        <w:t>For sample size estimation, we assumed a conservative, successful cleaning response rate of 85% with Quiklean</w:t>
      </w:r>
      <w:r w:rsidR="00B44725" w:rsidRPr="00B447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that the true difference in response rates between the Quiklean</w:t>
      </w:r>
      <w:r w:rsidR="00B44725" w:rsidRPr="00B44725">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Klean-Prep/Dulcolax</w:t>
      </w:r>
      <w:r w:rsidR="006563A6" w:rsidRPr="006563A6">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groups would be zero. The sample size calculation was determined by assuming a 10% noninferiority margin, at least 80% power, and a one-sided significance level of 0.025. Based on these assumptions, this trial required 205 subjects per group to verify the noninferiority of Quiklean</w:t>
      </w:r>
      <w:r w:rsidR="006563A6" w:rsidRPr="006563A6">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over Klean-Prep/Dulcolax</w:t>
      </w:r>
      <w:r w:rsidR="006563A6" w:rsidRPr="006563A6">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r w:rsidR="008D7B63">
        <w:rPr>
          <w:rFonts w:ascii="Book Antiqua" w:eastAsia="Book Antiqua" w:hAnsi="Book Antiqua" w:cs="Book Antiqua"/>
          <w:color w:val="000000"/>
        </w:rPr>
        <w:t>I</w:t>
      </w:r>
      <w:r>
        <w:rPr>
          <w:rFonts w:ascii="Book Antiqua" w:eastAsia="Book Antiqua" w:hAnsi="Book Antiqua" w:cs="Book Antiqua"/>
          <w:color w:val="000000"/>
        </w:rPr>
        <w:t>t was anticipated that up to 10% of randomized subjects were ineligible for the per-protocol population. Approximately 456 subjects were therefore recruited to provide 410 evaluable subjects. After the trial was started, a total number of 472 subjects were enrolled between June 10, 2019 and October 15, 2019; 456 subjects were subsequently randomized to receive either the Quiklean</w:t>
      </w:r>
      <w:r w:rsidR="00BA06D7" w:rsidRPr="00BA06D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228) or Klean-Prep/Dulcolax</w:t>
      </w:r>
      <w:r w:rsidR="00BA06D7" w:rsidRPr="00BA06D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228) regimen. A flow chart detailing the study design and timetable of </w:t>
      </w:r>
      <w:r w:rsidR="00FB48D6">
        <w:rPr>
          <w:rFonts w:ascii="Book Antiqua" w:eastAsia="Book Antiqua" w:hAnsi="Book Antiqua" w:cs="Book Antiqua"/>
          <w:color w:val="000000"/>
        </w:rPr>
        <w:t>four</w:t>
      </w:r>
      <w:r>
        <w:rPr>
          <w:rFonts w:ascii="Book Antiqua" w:eastAsia="Book Antiqua" w:hAnsi="Book Antiqua" w:cs="Book Antiqua"/>
          <w:color w:val="000000"/>
        </w:rPr>
        <w:t xml:space="preserve"> visits (screening, randomization, colonoscopy, and post-colonoscopy follow-up) is depicted in Figure 1A. The study event schedule performed during each visit is detailed in Table 1. After undergoing screening for inclusion and exclusion criteria in Visit 1, patients completed informed written consent forms and underwent physical examinations that assessed vital signs, signs of pregnancy, liver and renal functions, and serum electrolyte levels. The inclusion and exclusion criteria of this study are presented in Supplementary Table 1. An </w:t>
      </w:r>
      <w:r>
        <w:rPr>
          <w:rFonts w:ascii="Book Antiqua" w:eastAsia="Book Antiqua" w:hAnsi="Book Antiqua" w:cs="Book Antiqua"/>
          <w:color w:val="000000"/>
        </w:rPr>
        <w:lastRenderedPageBreak/>
        <w:t>overview of subject disposition (enrollment, randomization, study withdrawals, colonoscopy, and post-colonoscopy follow-up) is provided in Figure 1B.</w:t>
      </w:r>
    </w:p>
    <w:p w14:paraId="0D7BDE35" w14:textId="77777777" w:rsidR="00A77B3E" w:rsidRDefault="00A77B3E">
      <w:pPr>
        <w:spacing w:line="360" w:lineRule="auto"/>
        <w:jc w:val="both"/>
      </w:pPr>
    </w:p>
    <w:p w14:paraId="64084050" w14:textId="77777777" w:rsidR="00A77B3E" w:rsidRDefault="00E36496">
      <w:pPr>
        <w:spacing w:line="360" w:lineRule="auto"/>
        <w:jc w:val="both"/>
      </w:pPr>
      <w:r>
        <w:rPr>
          <w:rFonts w:ascii="Book Antiqua" w:eastAsia="Book Antiqua" w:hAnsi="Book Antiqua" w:cs="Book Antiqua"/>
          <w:b/>
          <w:bCs/>
          <w:i/>
          <w:iCs/>
          <w:color w:val="000000"/>
        </w:rPr>
        <w:t>Dietary advice</w:t>
      </w:r>
    </w:p>
    <w:p w14:paraId="2B982B95" w14:textId="36394BB1" w:rsidR="00A77B3E" w:rsidRDefault="00E36496">
      <w:pPr>
        <w:spacing w:line="360" w:lineRule="auto"/>
        <w:jc w:val="both"/>
      </w:pPr>
      <w:r>
        <w:rPr>
          <w:rFonts w:ascii="Book Antiqua" w:eastAsia="Book Antiqua" w:hAnsi="Book Antiqua" w:cs="Book Antiqua"/>
          <w:color w:val="000000"/>
        </w:rPr>
        <w:t>At the time of randomization, each study subject received standardized dietary advice with a dietary card containing detailed instructions about dietary measures to be taken and Quiklean</w:t>
      </w:r>
      <w:r w:rsidR="00240D2F" w:rsidRPr="00240D2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or Klean-Prep/Dulcolax</w:t>
      </w:r>
      <w:r w:rsidR="00240D2F" w:rsidRPr="00240D2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consumption. Subjects were instructed to give the completed dietary card and the empty bag or any remaining package of study regimen on the day of colonoscopy to the unblinded study coordinator, who recorded the following information: (</w:t>
      </w:r>
      <w:r w:rsidR="00FB6BD5">
        <w:rPr>
          <w:rFonts w:ascii="Book Antiqua" w:eastAsia="Book Antiqua" w:hAnsi="Book Antiqua" w:cs="Book Antiqua"/>
          <w:color w:val="000000"/>
        </w:rPr>
        <w:t>1</w:t>
      </w:r>
      <w:r>
        <w:rPr>
          <w:rFonts w:ascii="Book Antiqua" w:eastAsia="Book Antiqua" w:hAnsi="Book Antiqua" w:cs="Book Antiqua"/>
          <w:color w:val="000000"/>
        </w:rPr>
        <w:t xml:space="preserve">) </w:t>
      </w:r>
      <w:r w:rsidR="00FB6BD5">
        <w:rPr>
          <w:rFonts w:ascii="Book Antiqua" w:eastAsia="Book Antiqua" w:hAnsi="Book Antiqua" w:cs="Book Antiqua"/>
          <w:color w:val="000000"/>
        </w:rPr>
        <w:t>S</w:t>
      </w:r>
      <w:r>
        <w:rPr>
          <w:rFonts w:ascii="Book Antiqua" w:eastAsia="Book Antiqua" w:hAnsi="Book Antiqua" w:cs="Book Antiqua"/>
          <w:color w:val="000000"/>
        </w:rPr>
        <w:t>tandard dietary advice; (</w:t>
      </w:r>
      <w:r w:rsidR="00FB6BD5">
        <w:rPr>
          <w:rFonts w:ascii="Book Antiqua" w:eastAsia="Book Antiqua" w:hAnsi="Book Antiqua" w:cs="Book Antiqua"/>
          <w:color w:val="000000"/>
        </w:rPr>
        <w:t>2</w:t>
      </w:r>
      <w:r>
        <w:rPr>
          <w:rFonts w:ascii="Book Antiqua" w:eastAsia="Book Antiqua" w:hAnsi="Book Antiqua" w:cs="Book Antiqua"/>
          <w:color w:val="000000"/>
        </w:rPr>
        <w:t>) the start time, the end time, and the number of bowel movements after the first regimen of the study product before colonoscopy; (</w:t>
      </w:r>
      <w:r w:rsidR="00FB6BD5">
        <w:rPr>
          <w:rFonts w:ascii="Book Antiqua" w:eastAsia="Book Antiqua" w:hAnsi="Book Antiqua" w:cs="Book Antiqua"/>
          <w:color w:val="000000"/>
        </w:rPr>
        <w:t>3</w:t>
      </w:r>
      <w:r>
        <w:rPr>
          <w:rFonts w:ascii="Book Antiqua" w:eastAsia="Book Antiqua" w:hAnsi="Book Antiqua" w:cs="Book Antiqua"/>
          <w:color w:val="000000"/>
        </w:rPr>
        <w:t xml:space="preserve">) the number of cups of clear water consumed; </w:t>
      </w:r>
      <w:r w:rsidR="00FB6BD5">
        <w:rPr>
          <w:rFonts w:ascii="Book Antiqua" w:eastAsia="Book Antiqua" w:hAnsi="Book Antiqua" w:cs="Book Antiqua"/>
          <w:color w:val="000000"/>
        </w:rPr>
        <w:t xml:space="preserve">and </w:t>
      </w:r>
      <w:r>
        <w:rPr>
          <w:rFonts w:ascii="Book Antiqua" w:eastAsia="Book Antiqua" w:hAnsi="Book Antiqua" w:cs="Book Antiqua"/>
          <w:color w:val="000000"/>
        </w:rPr>
        <w:t>(</w:t>
      </w:r>
      <w:r w:rsidR="00FB6BD5">
        <w:rPr>
          <w:rFonts w:ascii="Book Antiqua" w:eastAsia="Book Antiqua" w:hAnsi="Book Antiqua" w:cs="Book Antiqua"/>
          <w:color w:val="000000"/>
        </w:rPr>
        <w:t>4</w:t>
      </w:r>
      <w:r>
        <w:rPr>
          <w:rFonts w:ascii="Book Antiqua" w:eastAsia="Book Antiqua" w:hAnsi="Book Antiqua" w:cs="Book Antiqua"/>
          <w:color w:val="000000"/>
        </w:rPr>
        <w:t>) adverse events experienced during consumption of the bowel preparation.</w:t>
      </w:r>
    </w:p>
    <w:p w14:paraId="07CCC9E6" w14:textId="77777777" w:rsidR="00A77B3E" w:rsidRDefault="00A77B3E">
      <w:pPr>
        <w:spacing w:line="360" w:lineRule="auto"/>
        <w:jc w:val="both"/>
      </w:pPr>
    </w:p>
    <w:p w14:paraId="566A3D11" w14:textId="77777777" w:rsidR="00A77B3E" w:rsidRDefault="00E36496">
      <w:pPr>
        <w:spacing w:line="360" w:lineRule="auto"/>
        <w:jc w:val="both"/>
      </w:pPr>
      <w:r>
        <w:rPr>
          <w:rFonts w:ascii="Book Antiqua" w:eastAsia="Book Antiqua" w:hAnsi="Book Antiqua" w:cs="Book Antiqua"/>
          <w:b/>
          <w:bCs/>
          <w:i/>
          <w:iCs/>
          <w:color w:val="000000"/>
        </w:rPr>
        <w:t>Drug administration and compliance of the study regimen</w:t>
      </w:r>
    </w:p>
    <w:p w14:paraId="44B59E13" w14:textId="66D9C443" w:rsidR="00A77B3E" w:rsidRDefault="00E36496">
      <w:pPr>
        <w:spacing w:line="360" w:lineRule="auto"/>
        <w:jc w:val="both"/>
      </w:pPr>
      <w:r>
        <w:rPr>
          <w:rFonts w:ascii="Book Antiqua" w:eastAsia="Book Antiqua" w:hAnsi="Book Antiqua" w:cs="Book Antiqua"/>
          <w:color w:val="000000"/>
        </w:rPr>
        <w:t>The Quiklean</w:t>
      </w:r>
      <w:r w:rsidR="00352D67" w:rsidRPr="00352D6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regimen contained 32 tablets, each table</w:t>
      </w:r>
      <w:r w:rsidR="00FB48D6">
        <w:rPr>
          <w:rFonts w:ascii="Book Antiqua" w:eastAsia="Book Antiqua" w:hAnsi="Book Antiqua" w:cs="Book Antiqua"/>
          <w:color w:val="000000"/>
        </w:rPr>
        <w:t>t</w:t>
      </w:r>
      <w:r>
        <w:rPr>
          <w:rFonts w:ascii="Book Antiqua" w:eastAsia="Book Antiqua" w:hAnsi="Book Antiqua" w:cs="Book Antiqua"/>
          <w:color w:val="000000"/>
        </w:rPr>
        <w:t xml:space="preserve"> containing 1.102 g of sodium phosphate monobasic monohydrate (United States Pharmacopoeia grade) and 0.398 g of sodium phosphate dibasic anhydrous (United States Pharmacopoeia grade), for a total of 1.5 g of sodium phosphate per tablet. Subjects were instructed to undertake the following procedures: (</w:t>
      </w:r>
      <w:r w:rsidR="00FB6BD5">
        <w:rPr>
          <w:rFonts w:ascii="Book Antiqua" w:eastAsia="Book Antiqua" w:hAnsi="Book Antiqua" w:cs="Book Antiqua"/>
          <w:color w:val="000000"/>
        </w:rPr>
        <w:t>1</w:t>
      </w:r>
      <w:r>
        <w:rPr>
          <w:rFonts w:ascii="Book Antiqua" w:eastAsia="Book Antiqua" w:hAnsi="Book Antiqua" w:cs="Book Antiqua"/>
          <w:color w:val="000000"/>
        </w:rPr>
        <w:t xml:space="preserve">) </w:t>
      </w:r>
      <w:r w:rsidR="00FB6BD5">
        <w:rPr>
          <w:rFonts w:ascii="Book Antiqua" w:eastAsia="Book Antiqua" w:hAnsi="Book Antiqua" w:cs="Book Antiqua"/>
          <w:color w:val="000000"/>
        </w:rPr>
        <w:t>T</w:t>
      </w:r>
      <w:r>
        <w:rPr>
          <w:rFonts w:ascii="Book Antiqua" w:eastAsia="Book Antiqua" w:hAnsi="Book Antiqua" w:cs="Book Antiqua"/>
          <w:color w:val="000000"/>
        </w:rPr>
        <w:t xml:space="preserve">he evening before the colonoscopy: </w:t>
      </w:r>
      <w:r w:rsidR="00352D67">
        <w:rPr>
          <w:rFonts w:ascii="Book Antiqua" w:eastAsia="Book Antiqua" w:hAnsi="Book Antiqua" w:cs="Book Antiqua"/>
          <w:color w:val="000000"/>
        </w:rPr>
        <w:t>I</w:t>
      </w:r>
      <w:r>
        <w:rPr>
          <w:rFonts w:ascii="Book Antiqua" w:eastAsia="Book Antiqua" w:hAnsi="Book Antiqua" w:cs="Book Antiqua"/>
          <w:color w:val="000000"/>
        </w:rPr>
        <w:t xml:space="preserve">ngest four tablets with 250 mL of clear liquids every 15 min, for a total of 20 tablets; </w:t>
      </w:r>
      <w:r w:rsidR="00FB6BD5">
        <w:rPr>
          <w:rFonts w:ascii="Book Antiqua" w:eastAsia="Book Antiqua" w:hAnsi="Book Antiqua" w:cs="Book Antiqua"/>
          <w:color w:val="000000"/>
        </w:rPr>
        <w:t xml:space="preserve">and </w:t>
      </w:r>
      <w:r>
        <w:rPr>
          <w:rFonts w:ascii="Book Antiqua" w:eastAsia="Book Antiqua" w:hAnsi="Book Antiqua" w:cs="Book Antiqua"/>
          <w:color w:val="000000"/>
        </w:rPr>
        <w:t>(</w:t>
      </w:r>
      <w:r w:rsidR="00FB6BD5">
        <w:rPr>
          <w:rFonts w:ascii="Book Antiqua" w:eastAsia="Book Antiqua" w:hAnsi="Book Antiqua" w:cs="Book Antiqua"/>
          <w:color w:val="000000"/>
        </w:rPr>
        <w:t>2</w:t>
      </w:r>
      <w:r>
        <w:rPr>
          <w:rFonts w:ascii="Book Antiqua" w:eastAsia="Book Antiqua" w:hAnsi="Book Antiqua" w:cs="Book Antiqua"/>
          <w:color w:val="000000"/>
        </w:rPr>
        <w:t xml:space="preserve">) on the day of the colonoscopy: </w:t>
      </w:r>
      <w:r w:rsidR="00352D67">
        <w:rPr>
          <w:rFonts w:ascii="Book Antiqua" w:eastAsia="Book Antiqua" w:hAnsi="Book Antiqua" w:cs="Book Antiqua"/>
          <w:color w:val="000000"/>
        </w:rPr>
        <w:t>S</w:t>
      </w:r>
      <w:r>
        <w:rPr>
          <w:rFonts w:ascii="Book Antiqua" w:eastAsia="Book Antiqua" w:hAnsi="Book Antiqua" w:cs="Book Antiqua"/>
          <w:color w:val="000000"/>
        </w:rPr>
        <w:t>tarting 3</w:t>
      </w:r>
      <w:r w:rsidR="00FB6BD5">
        <w:rPr>
          <w:rFonts w:ascii="Book Antiqua" w:eastAsia="Book Antiqua" w:hAnsi="Book Antiqua" w:cs="Book Antiqua"/>
          <w:color w:val="000000"/>
        </w:rPr>
        <w:t>-</w:t>
      </w:r>
      <w:r>
        <w:rPr>
          <w:rFonts w:ascii="Book Antiqua" w:eastAsia="Book Antiqua" w:hAnsi="Book Antiqua" w:cs="Book Antiqua"/>
          <w:color w:val="000000"/>
        </w:rPr>
        <w:t>5 h before the procedure, ingest four tablets with 250 mL of clear liquids every 15 min, for a total of 12 tablets. The Klean-Prep/Dulcolax</w:t>
      </w:r>
      <w:r w:rsidR="00352D67" w:rsidRPr="00352D6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procedure (two sachets of Klean-Prep with one tablet of Dulcolax</w:t>
      </w:r>
      <w:r w:rsidR="00352D67" w:rsidRPr="00352D6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required subjects to prepare Klean-Prep (ingredients per sachet: 59 g </w:t>
      </w:r>
      <w:r w:rsidR="00246D86">
        <w:rPr>
          <w:rFonts w:ascii="Book Antiqua" w:eastAsia="Book Antiqua" w:hAnsi="Book Antiqua" w:cs="Book Antiqua"/>
          <w:color w:val="000000"/>
        </w:rPr>
        <w:t>PEG</w:t>
      </w:r>
      <w:r>
        <w:rPr>
          <w:rFonts w:ascii="Book Antiqua" w:eastAsia="Book Antiqua" w:hAnsi="Book Antiqua" w:cs="Book Antiqua"/>
          <w:color w:val="000000"/>
        </w:rPr>
        <w:t xml:space="preserve"> 3350, 5.685 g anhydrous sodium sulfate, 1.685 g sodium bicarbonate, 1.465 g sodium chloride, 0.7425 g potassium chloride, and 0.0494 g aspartame) immediately before each administration, by mixing one sachet of Klean-Prep with 1000 mL of cold water at room temperature, stirring thoroughly until the solution became clear as previously described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 Klean-Prep/Dulcolax</w:t>
      </w:r>
      <w:r w:rsidR="002D504C" w:rsidRPr="002D504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administration was as follows: (</w:t>
      </w:r>
      <w:r w:rsidR="00770768">
        <w:rPr>
          <w:rFonts w:ascii="Book Antiqua" w:eastAsia="Book Antiqua" w:hAnsi="Book Antiqua" w:cs="Book Antiqua"/>
          <w:color w:val="000000"/>
        </w:rPr>
        <w:t>1</w:t>
      </w:r>
      <w:r>
        <w:rPr>
          <w:rFonts w:ascii="Book Antiqua" w:eastAsia="Book Antiqua" w:hAnsi="Book Antiqua" w:cs="Book Antiqua"/>
          <w:color w:val="000000"/>
        </w:rPr>
        <w:t xml:space="preserve">) </w:t>
      </w:r>
      <w:r w:rsidR="00770768">
        <w:rPr>
          <w:rFonts w:ascii="Book Antiqua" w:eastAsia="Book Antiqua" w:hAnsi="Book Antiqua" w:cs="Book Antiqua"/>
          <w:color w:val="000000"/>
        </w:rPr>
        <w:t>I</w:t>
      </w:r>
      <w:r>
        <w:rPr>
          <w:rFonts w:ascii="Book Antiqua" w:eastAsia="Book Antiqua" w:hAnsi="Book Antiqua" w:cs="Book Antiqua"/>
          <w:color w:val="000000"/>
        </w:rPr>
        <w:t xml:space="preserve">n the afternoon before the day of colonoscopy: </w:t>
      </w:r>
      <w:r w:rsidR="002D504C">
        <w:rPr>
          <w:rFonts w:ascii="Book Antiqua" w:eastAsia="Book Antiqua" w:hAnsi="Book Antiqua" w:cs="Book Antiqua"/>
          <w:color w:val="000000"/>
        </w:rPr>
        <w:t>I</w:t>
      </w:r>
      <w:r>
        <w:rPr>
          <w:rFonts w:ascii="Book Antiqua" w:eastAsia="Book Antiqua" w:hAnsi="Book Antiqua" w:cs="Book Antiqua"/>
          <w:color w:val="000000"/>
        </w:rPr>
        <w:t xml:space="preserve">ngest one 5 mg tablet of </w:t>
      </w:r>
      <w:r>
        <w:rPr>
          <w:rFonts w:ascii="Book Antiqua" w:eastAsia="Book Antiqua" w:hAnsi="Book Antiqua" w:cs="Book Antiqua"/>
          <w:color w:val="000000"/>
        </w:rPr>
        <w:lastRenderedPageBreak/>
        <w:t>Dulcolax</w:t>
      </w:r>
      <w:r w:rsidR="002D504C" w:rsidRPr="002D504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(without chewing or crushing the tablet); (</w:t>
      </w:r>
      <w:r w:rsidR="00770768">
        <w:rPr>
          <w:rFonts w:ascii="Book Antiqua" w:eastAsia="Book Antiqua" w:hAnsi="Book Antiqua" w:cs="Book Antiqua"/>
          <w:color w:val="000000"/>
        </w:rPr>
        <w:t>2</w:t>
      </w:r>
      <w:r>
        <w:rPr>
          <w:rFonts w:ascii="Book Antiqua" w:eastAsia="Book Antiqua" w:hAnsi="Book Antiqua" w:cs="Book Antiqua"/>
          <w:color w:val="000000"/>
        </w:rPr>
        <w:t>) about 4 h after taking Dulcolax</w:t>
      </w:r>
      <w:r w:rsidR="00F9406C" w:rsidRPr="00F9406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subjects were instructed to drink 1000 mL of Klean-Prep solution over a 2-h period or approximately 250 mL every 15 min; </w:t>
      </w:r>
      <w:r w:rsidR="00770768">
        <w:rPr>
          <w:rFonts w:ascii="Book Antiqua" w:eastAsia="Book Antiqua" w:hAnsi="Book Antiqua" w:cs="Book Antiqua"/>
          <w:color w:val="000000"/>
        </w:rPr>
        <w:t xml:space="preserve">and </w:t>
      </w:r>
      <w:r>
        <w:rPr>
          <w:rFonts w:ascii="Book Antiqua" w:eastAsia="Book Antiqua" w:hAnsi="Book Antiqua" w:cs="Book Antiqua"/>
          <w:color w:val="000000"/>
        </w:rPr>
        <w:t>(</w:t>
      </w:r>
      <w:r w:rsidR="00770768">
        <w:rPr>
          <w:rFonts w:ascii="Book Antiqua" w:eastAsia="Book Antiqua" w:hAnsi="Book Antiqua" w:cs="Book Antiqua"/>
          <w:color w:val="000000"/>
        </w:rPr>
        <w:t>3</w:t>
      </w:r>
      <w:r>
        <w:rPr>
          <w:rFonts w:ascii="Book Antiqua" w:eastAsia="Book Antiqua" w:hAnsi="Book Antiqua" w:cs="Book Antiqua"/>
          <w:color w:val="000000"/>
        </w:rPr>
        <w:t>) on the day of the colonoscopy: 3</w:t>
      </w:r>
      <w:r w:rsidR="00770768">
        <w:rPr>
          <w:rFonts w:ascii="Book Antiqua" w:eastAsia="Book Antiqua" w:hAnsi="Book Antiqua" w:cs="Book Antiqua"/>
          <w:color w:val="000000"/>
        </w:rPr>
        <w:t>-</w:t>
      </w:r>
      <w:r>
        <w:rPr>
          <w:rFonts w:ascii="Book Antiqua" w:eastAsia="Book Antiqua" w:hAnsi="Book Antiqua" w:cs="Book Antiqua"/>
          <w:color w:val="000000"/>
        </w:rPr>
        <w:t>5 h before the procedure, subjects were instructed to drink the other 1000 mL Klean-Prep solution at a rate of 250 mL every 15 min. The subject’s self-completed dietary card supplied details on compliance with Quiklean</w:t>
      </w:r>
      <w:r w:rsidR="002D504C" w:rsidRPr="002D504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or Klean-Prep/Dulcolax</w:t>
      </w:r>
      <w:r w:rsidR="002D504C" w:rsidRPr="002D504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as to whether the subject drank the required amount of water or solution, as follows: (</w:t>
      </w:r>
      <w:r w:rsidR="001B3788">
        <w:rPr>
          <w:rFonts w:ascii="Book Antiqua" w:eastAsia="Book Antiqua" w:hAnsi="Book Antiqua" w:cs="Book Antiqua"/>
          <w:color w:val="000000"/>
        </w:rPr>
        <w:t>1</w:t>
      </w:r>
      <w:r>
        <w:rPr>
          <w:rFonts w:ascii="Book Antiqua" w:eastAsia="Book Antiqua" w:hAnsi="Book Antiqua" w:cs="Book Antiqua"/>
          <w:color w:val="000000"/>
        </w:rPr>
        <w:t xml:space="preserve">) </w:t>
      </w:r>
      <w:r w:rsidR="001B3788">
        <w:rPr>
          <w:rFonts w:ascii="Book Antiqua" w:eastAsia="Book Antiqua" w:hAnsi="Book Antiqua" w:cs="Book Antiqua"/>
          <w:color w:val="000000"/>
        </w:rPr>
        <w:t>E</w:t>
      </w:r>
      <w:r>
        <w:rPr>
          <w:rFonts w:ascii="Book Antiqua" w:eastAsia="Book Antiqua" w:hAnsi="Book Antiqua" w:cs="Book Antiqua"/>
          <w:color w:val="000000"/>
        </w:rPr>
        <w:t>xcellent compliance, claiming ingestion of at least 8 cups of clear water/solution (one cup is equivalent to 250 mL); (</w:t>
      </w:r>
      <w:r w:rsidR="001B3788">
        <w:rPr>
          <w:rFonts w:ascii="Book Antiqua" w:eastAsia="Book Antiqua" w:hAnsi="Book Antiqua" w:cs="Book Antiqua"/>
          <w:color w:val="000000"/>
        </w:rPr>
        <w:t>2</w:t>
      </w:r>
      <w:r>
        <w:rPr>
          <w:rFonts w:ascii="Book Antiqua" w:eastAsia="Book Antiqua" w:hAnsi="Book Antiqua" w:cs="Book Antiqua"/>
          <w:color w:val="000000"/>
        </w:rPr>
        <w:t>) good compliance, claiming ingestion of at least 6 cups and fewer than 8 cups of clear water/solution; (</w:t>
      </w:r>
      <w:r w:rsidR="001B3788">
        <w:rPr>
          <w:rFonts w:ascii="Book Antiqua" w:eastAsia="Book Antiqua" w:hAnsi="Book Antiqua" w:cs="Book Antiqua"/>
          <w:color w:val="000000"/>
        </w:rPr>
        <w:t>3</w:t>
      </w:r>
      <w:r>
        <w:rPr>
          <w:rFonts w:ascii="Book Antiqua" w:eastAsia="Book Antiqua" w:hAnsi="Book Antiqua" w:cs="Book Antiqua"/>
          <w:color w:val="000000"/>
        </w:rPr>
        <w:t>) medium compliance, claiming ingestion of at least 4 cups and fewer than 6 cups of clear water/solution; (</w:t>
      </w:r>
      <w:r w:rsidR="001B3788">
        <w:rPr>
          <w:rFonts w:ascii="Book Antiqua" w:eastAsia="Book Antiqua" w:hAnsi="Book Antiqua" w:cs="Book Antiqua"/>
          <w:color w:val="000000"/>
        </w:rPr>
        <w:t>4</w:t>
      </w:r>
      <w:r>
        <w:rPr>
          <w:rFonts w:ascii="Book Antiqua" w:eastAsia="Book Antiqua" w:hAnsi="Book Antiqua" w:cs="Book Antiqua"/>
          <w:color w:val="000000"/>
        </w:rPr>
        <w:t xml:space="preserve">) poor compliance, claiming ingestion of fewer than 4 cups of clear water/solution; </w:t>
      </w:r>
      <w:r w:rsidR="00770768">
        <w:rPr>
          <w:rFonts w:ascii="Book Antiqua" w:eastAsia="Book Antiqua" w:hAnsi="Book Antiqua" w:cs="Book Antiqua"/>
          <w:color w:val="000000"/>
        </w:rPr>
        <w:t xml:space="preserve">and </w:t>
      </w:r>
      <w:r>
        <w:rPr>
          <w:rFonts w:ascii="Book Antiqua" w:eastAsia="Book Antiqua" w:hAnsi="Book Antiqua" w:cs="Book Antiqua"/>
          <w:color w:val="000000"/>
        </w:rPr>
        <w:t>(</w:t>
      </w:r>
      <w:r w:rsidR="001B3788">
        <w:rPr>
          <w:rFonts w:ascii="Book Antiqua" w:eastAsia="Book Antiqua" w:hAnsi="Book Antiqua" w:cs="Book Antiqua"/>
          <w:color w:val="000000"/>
        </w:rPr>
        <w:t>5</w:t>
      </w:r>
      <w:r>
        <w:rPr>
          <w:rFonts w:ascii="Book Antiqua" w:eastAsia="Book Antiqua" w:hAnsi="Book Antiqua" w:cs="Book Antiqua"/>
          <w:color w:val="000000"/>
        </w:rPr>
        <w:t>) non-compliance, claiming ingestion of 0 cups of clear water/solution.</w:t>
      </w:r>
    </w:p>
    <w:p w14:paraId="067E2422" w14:textId="77777777" w:rsidR="00A77B3E" w:rsidRDefault="00A77B3E">
      <w:pPr>
        <w:spacing w:line="360" w:lineRule="auto"/>
        <w:jc w:val="both"/>
      </w:pPr>
    </w:p>
    <w:p w14:paraId="303CEF0A" w14:textId="77777777" w:rsidR="00A77B3E" w:rsidRDefault="00E36496">
      <w:pPr>
        <w:spacing w:line="360" w:lineRule="auto"/>
        <w:jc w:val="both"/>
      </w:pPr>
      <w:r>
        <w:rPr>
          <w:rFonts w:ascii="Book Antiqua" w:eastAsia="Book Antiqua" w:hAnsi="Book Antiqua" w:cs="Book Antiqua"/>
          <w:b/>
          <w:bCs/>
          <w:i/>
          <w:iCs/>
          <w:color w:val="000000"/>
        </w:rPr>
        <w:t>Subjects and treatment</w:t>
      </w:r>
    </w:p>
    <w:p w14:paraId="2CAB1F70" w14:textId="65E22D6B" w:rsidR="00A77B3E" w:rsidRDefault="00E36496">
      <w:pPr>
        <w:spacing w:line="360" w:lineRule="auto"/>
        <w:jc w:val="both"/>
      </w:pPr>
      <w:r>
        <w:rPr>
          <w:rFonts w:ascii="Book Antiqua" w:eastAsia="Book Antiqua" w:hAnsi="Book Antiqua" w:cs="Book Antiqua"/>
          <w:color w:val="000000"/>
        </w:rPr>
        <w:t xml:space="preserve">The study consisted of </w:t>
      </w:r>
      <w:r w:rsidR="00271830">
        <w:rPr>
          <w:rFonts w:ascii="Book Antiqua" w:eastAsia="Book Antiqua" w:hAnsi="Book Antiqua" w:cs="Book Antiqua"/>
          <w:color w:val="000000"/>
        </w:rPr>
        <w:t>four</w:t>
      </w:r>
      <w:r>
        <w:rPr>
          <w:rFonts w:ascii="Book Antiqua" w:eastAsia="Book Antiqua" w:hAnsi="Book Antiqua" w:cs="Book Antiqua"/>
          <w:color w:val="000000"/>
        </w:rPr>
        <w:t xml:space="preserve"> clinical visits, according to a predefined schedule. Subjects were screened on Visit 1 and randomized into the study on Visit 2. Colonoscopy was performed on Visit 3, and post-colonoscopy follow-up was conducted on Visit 4 (Figure 1A). After obtaining informed consent from the subject, the designated assessment was performed. If the eligibility criteria were satisfied, the subjects were randomly assigned (1:1) to either the Quiklean</w:t>
      </w:r>
      <w:r w:rsidR="00532EAE" w:rsidRPr="00532EAE">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or Klean-Prep/Dulcolax</w:t>
      </w:r>
      <w:r w:rsidR="00532EAE" w:rsidRPr="00532EAE">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regimen and scheduled to undergo colonoscopy. The colonoscopy visit was arranged within </w:t>
      </w:r>
      <w:r w:rsidR="003B0C44">
        <w:rPr>
          <w:rFonts w:ascii="Book Antiqua" w:eastAsia="Book Antiqua" w:hAnsi="Book Antiqua" w:cs="Book Antiqua"/>
          <w:color w:val="000000"/>
        </w:rPr>
        <w:t>10</w:t>
      </w:r>
      <w:r>
        <w:rPr>
          <w:rFonts w:ascii="Book Antiqua" w:eastAsia="Book Antiqua" w:hAnsi="Book Antiqua" w:cs="Book Antiqua"/>
          <w:color w:val="000000"/>
        </w:rPr>
        <w:t xml:space="preserve"> d of screening</w:t>
      </w:r>
      <w:r w:rsidR="00344D3F">
        <w:rPr>
          <w:rFonts w:ascii="Book Antiqua" w:eastAsia="Book Antiqua" w:hAnsi="Book Antiqua" w:cs="Book Antiqua"/>
          <w:color w:val="000000"/>
        </w:rPr>
        <w:t xml:space="preserve"> (Figure 1A)</w:t>
      </w:r>
      <w:r>
        <w:rPr>
          <w:rFonts w:ascii="Book Antiqua" w:eastAsia="Book Antiqua" w:hAnsi="Book Antiqua" w:cs="Book Antiqua"/>
          <w:color w:val="000000"/>
        </w:rPr>
        <w:t>. Subjects were instructed on how to take the study medication, and each study group was issued with identical standard dietary instructions. After undergoing bowel-clearing preparation, the colonoscopy was performed in the morning by the experienced colonoscopist, with the entire colonoscopy recorded by video. After the completion of colonoscopy, the quality of bowel cleansing in the video recording was rated by independent colonoscopists blinded to treatment allocation. The colonoscopists jointly evaluated the scoring system before the study commenced in order to minimize interobserver variability.</w:t>
      </w:r>
    </w:p>
    <w:p w14:paraId="3BE1C622" w14:textId="77777777" w:rsidR="00A77B3E" w:rsidRDefault="00A77B3E">
      <w:pPr>
        <w:spacing w:line="360" w:lineRule="auto"/>
        <w:jc w:val="both"/>
      </w:pPr>
    </w:p>
    <w:p w14:paraId="5F7AD3E7" w14:textId="77777777" w:rsidR="00A77B3E" w:rsidRDefault="00E36496">
      <w:pPr>
        <w:spacing w:line="360" w:lineRule="auto"/>
        <w:jc w:val="both"/>
      </w:pPr>
      <w:r>
        <w:rPr>
          <w:rFonts w:ascii="Book Antiqua" w:eastAsia="Book Antiqua" w:hAnsi="Book Antiqua" w:cs="Book Antiqua"/>
          <w:b/>
          <w:bCs/>
          <w:i/>
          <w:iCs/>
          <w:color w:val="000000"/>
        </w:rPr>
        <w:t>Efficacy and safety outcome</w:t>
      </w:r>
      <w:r>
        <w:rPr>
          <w:rFonts w:ascii="Book Antiqua" w:eastAsia="Book Antiqua" w:hAnsi="Book Antiqua" w:cs="Book Antiqua"/>
          <w:color w:val="000000"/>
        </w:rPr>
        <w:t xml:space="preserve"> </w:t>
      </w:r>
      <w:r>
        <w:rPr>
          <w:rFonts w:ascii="Book Antiqua" w:eastAsia="Book Antiqua" w:hAnsi="Book Antiqua" w:cs="Book Antiqua"/>
          <w:b/>
          <w:bCs/>
          <w:i/>
          <w:iCs/>
          <w:color w:val="000000"/>
        </w:rPr>
        <w:t>variables</w:t>
      </w:r>
    </w:p>
    <w:p w14:paraId="06201EB0" w14:textId="5B64F80E" w:rsidR="00A77B3E" w:rsidRDefault="00E36496">
      <w:pPr>
        <w:spacing w:line="360" w:lineRule="auto"/>
        <w:jc w:val="both"/>
      </w:pPr>
      <w:r>
        <w:rPr>
          <w:rFonts w:ascii="Book Antiqua" w:eastAsia="Book Antiqua" w:hAnsi="Book Antiqua" w:cs="Book Antiqua"/>
          <w:color w:val="000000"/>
        </w:rPr>
        <w:t xml:space="preserve">Aronchick Scale and Ottawa </w:t>
      </w:r>
      <w:r w:rsidR="00B04199">
        <w:rPr>
          <w:rFonts w:ascii="Book Antiqua" w:eastAsia="Book Antiqua" w:hAnsi="Book Antiqua" w:cs="Book Antiqua"/>
          <w:color w:val="000000"/>
        </w:rPr>
        <w:t>bowel preparation scal</w:t>
      </w:r>
      <w:r>
        <w:rPr>
          <w:rFonts w:ascii="Book Antiqua" w:eastAsia="Book Antiqua" w:hAnsi="Book Antiqua" w:cs="Book Antiqua"/>
          <w:color w:val="000000"/>
        </w:rPr>
        <w:t>e (OBPS) scores graded colon cleanliness</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The primary endpoint of this study was the efficiency of colon cleansing according to the modified Aronchick Scale, as follows: Excellent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only a small volume of clear liquid or &gt;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95% of the surface was observed; Good</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a large volume of clear liquid covered 5</w:t>
      </w:r>
      <w:r w:rsidR="001B3788">
        <w:rPr>
          <w:rFonts w:ascii="Book Antiqua" w:eastAsia="Book Antiqua" w:hAnsi="Book Antiqua" w:cs="Book Antiqua"/>
          <w:color w:val="000000"/>
        </w:rPr>
        <w:t>%-</w:t>
      </w:r>
      <w:r>
        <w:rPr>
          <w:rFonts w:ascii="Book Antiqua" w:eastAsia="Book Antiqua" w:hAnsi="Book Antiqua" w:cs="Book Antiqua"/>
          <w:color w:val="000000"/>
        </w:rPr>
        <w:t>25% of the surface, but &gt;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90% of the surface was observed; Fair</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some semi-solid stools were found, but these could be suctioned or washed away and &gt;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90% of the surface was observed; Poor</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semi-solid stools were found that could not be suctioned or washed away and &lt;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 xml:space="preserve">90% of the surface was observed; </w:t>
      </w:r>
      <w:r w:rsidR="007F6830">
        <w:rPr>
          <w:rFonts w:ascii="Book Antiqua" w:eastAsia="Book Antiqua" w:hAnsi="Book Antiqua" w:cs="Book Antiqua"/>
          <w:color w:val="000000"/>
        </w:rPr>
        <w:t xml:space="preserve">and </w:t>
      </w:r>
      <w:r>
        <w:rPr>
          <w:rFonts w:ascii="Book Antiqua" w:eastAsia="Book Antiqua" w:hAnsi="Book Antiqua" w:cs="Book Antiqua"/>
          <w:color w:val="000000"/>
        </w:rPr>
        <w:t>Inadequate</w:t>
      </w:r>
      <w:r w:rsidR="007F6830">
        <w:rPr>
          <w:rFonts w:ascii="Book Antiqua" w:eastAsia="Book Antiqua" w:hAnsi="Book Antiqua" w:cs="Book Antiqua"/>
          <w:color w:val="000000"/>
        </w:rPr>
        <w:t xml:space="preserve"> </w:t>
      </w:r>
      <w:r>
        <w:rPr>
          <w:rFonts w:ascii="Book Antiqua" w:eastAsia="Book Antiqua" w:hAnsi="Book Antiqua" w:cs="Book Antiqua"/>
          <w:color w:val="000000"/>
        </w:rPr>
        <w:t>=</w:t>
      </w:r>
      <w:r w:rsidR="007F6830">
        <w:rPr>
          <w:rFonts w:ascii="Book Antiqua" w:eastAsia="Book Antiqua" w:hAnsi="Book Antiqua" w:cs="Book Antiqua"/>
          <w:color w:val="000000"/>
        </w:rPr>
        <w:t xml:space="preserve"> </w:t>
      </w:r>
      <w:r>
        <w:rPr>
          <w:rFonts w:ascii="Book Antiqua" w:eastAsia="Book Antiqua" w:hAnsi="Book Antiqua" w:cs="Book Antiqua"/>
          <w:color w:val="000000"/>
        </w:rPr>
        <w:t>the subject was required to undergo a repeat preparation process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Successful and unsuccessful bowel preparations were defined as “Excellent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Good” and “Fair</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Poor</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Inadequate”, respectively. For the secondary endpoint, the OBPS evaluated subjects’ acceptance and tolerance of the preparation, as well as cleansing efficacy in the ascending, mid- (transverse and descending), and rectosigmoid segments of the colon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OBPS scores for each colon segment were graded on a 5-point scale, as follows: Excellent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0; Good</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1; Fair</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2; Poor</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3; and Inadequate</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4</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OBPS scores ranged from 0 to 14 (fluid scores, 0</w:t>
      </w:r>
      <w:r w:rsidR="007F6830">
        <w:rPr>
          <w:rFonts w:ascii="Book Antiqua" w:eastAsia="Book Antiqua" w:hAnsi="Book Antiqua" w:cs="Book Antiqua"/>
          <w:color w:val="000000"/>
        </w:rPr>
        <w:t>-</w:t>
      </w:r>
      <w:r>
        <w:rPr>
          <w:rFonts w:ascii="Book Antiqua" w:eastAsia="Book Antiqua" w:hAnsi="Book Antiqua" w:cs="Book Antiqua"/>
          <w:color w:val="000000"/>
        </w:rPr>
        <w:t>2; scores of ascending</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mid</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rectosigmoid segments, 0</w:t>
      </w:r>
      <w:r w:rsidR="001B3788">
        <w:rPr>
          <w:rFonts w:ascii="Book Antiqua" w:eastAsia="Book Antiqua" w:hAnsi="Book Antiqua" w:cs="Book Antiqua"/>
          <w:color w:val="000000"/>
        </w:rPr>
        <w:t>-</w:t>
      </w:r>
      <w:r>
        <w:rPr>
          <w:rFonts w:ascii="Book Antiqua" w:eastAsia="Book Antiqua" w:hAnsi="Book Antiqua" w:cs="Book Antiqua"/>
          <w:color w:val="000000"/>
        </w:rPr>
        <w:t>12)</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colonoscopist rated the overall fluid amount on a 3-point scale (where 0</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mild; 1</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moderate; 2</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large)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Safety was assessed by monitoring adverse events and laboratory examinations. All adverse events were coded using MedDRA Preferred Terms. All study procedures, including efficacy and safety measurements, were performed according to the schedule described in Table 1.</w:t>
      </w:r>
    </w:p>
    <w:p w14:paraId="1945EA48" w14:textId="77777777" w:rsidR="00A77B3E" w:rsidRDefault="00A77B3E">
      <w:pPr>
        <w:spacing w:line="360" w:lineRule="auto"/>
        <w:jc w:val="both"/>
      </w:pPr>
    </w:p>
    <w:p w14:paraId="2A39834E" w14:textId="77777777" w:rsidR="00A77B3E" w:rsidRDefault="00E36496">
      <w:pPr>
        <w:spacing w:line="360" w:lineRule="auto"/>
        <w:jc w:val="both"/>
      </w:pPr>
      <w:r>
        <w:rPr>
          <w:rFonts w:ascii="Book Antiqua" w:eastAsia="Book Antiqua" w:hAnsi="Book Antiqua" w:cs="Book Antiqua"/>
          <w:b/>
          <w:bCs/>
          <w:i/>
          <w:iCs/>
          <w:color w:val="000000"/>
        </w:rPr>
        <w:t>Analysis sets</w:t>
      </w:r>
    </w:p>
    <w:p w14:paraId="7B6F152F" w14:textId="09AF42FD" w:rsidR="00A77B3E" w:rsidRDefault="00E36496">
      <w:pPr>
        <w:spacing w:line="360" w:lineRule="auto"/>
        <w:jc w:val="both"/>
      </w:pPr>
      <w:r>
        <w:rPr>
          <w:rFonts w:ascii="Book Antiqua" w:eastAsia="Book Antiqua" w:hAnsi="Book Antiqua" w:cs="Book Antiqua"/>
          <w:color w:val="000000"/>
        </w:rPr>
        <w:t>Our analysis used the International Council for Harmonisation of Technical Requirements for Registration of Pharmaceuticals for Human Use recommendations in guidelines E3 and E9 regarding intent-to-treat, per-protocol, and safety analysis sets. Among 456 randomized subjects, 442 (Quiklean</w:t>
      </w:r>
      <w:bookmarkStart w:id="4" w:name="_Hlk60593061"/>
      <w:r w:rsidR="007F6830" w:rsidRPr="007F6830">
        <w:rPr>
          <w:rFonts w:ascii="Book Antiqua" w:eastAsia="Book Antiqua" w:hAnsi="Book Antiqua" w:cs="Book Antiqua"/>
          <w:color w:val="000000"/>
          <w:vertAlign w:val="superscript"/>
        </w:rPr>
        <w:t>®</w:t>
      </w:r>
      <w:bookmarkEnd w:id="4"/>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222 and Klean-Prep/Dulcolax</w:t>
      </w:r>
      <w:r w:rsidR="007F6830" w:rsidRPr="007F6830">
        <w:rPr>
          <w:rFonts w:ascii="Book Antiqua" w:eastAsia="Book Antiqua" w:hAnsi="Book Antiqua" w:cs="Book Antiqua" w:hint="eastAsia"/>
          <w:color w:val="000000"/>
          <w:vertAlign w:val="superscript"/>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 xml:space="preserve">220) who received study medications and underwent colonoscopy were included in the </w:t>
      </w:r>
      <w:r>
        <w:rPr>
          <w:rFonts w:ascii="Book Antiqua" w:eastAsia="Book Antiqua" w:hAnsi="Book Antiqua" w:cs="Book Antiqua"/>
          <w:color w:val="000000"/>
        </w:rPr>
        <w:lastRenderedPageBreak/>
        <w:t>intent-to-treat analysis set and safety analysis set. After excluding 25 subjects from the intent-to-treat analysis set, 417 subjects (Quiklean</w:t>
      </w:r>
      <w:r w:rsidR="007F6830" w:rsidRPr="007F6830">
        <w:rPr>
          <w:rFonts w:ascii="Book Antiqua" w:eastAsia="Book Antiqua" w:hAnsi="Book Antiqua" w:cs="Book Antiqua" w:hint="eastAsia"/>
          <w:color w:val="000000"/>
          <w:vertAlign w:val="superscript"/>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208 and Klean-Prep/Dulcolax</w:t>
      </w:r>
      <w:r w:rsidR="007F6830" w:rsidRPr="007F6830">
        <w:rPr>
          <w:rFonts w:ascii="Book Antiqua" w:eastAsia="Book Antiqua" w:hAnsi="Book Antiqua" w:cs="Book Antiqua" w:hint="eastAsia"/>
          <w:color w:val="000000"/>
          <w:vertAlign w:val="superscript"/>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 xml:space="preserve">209) were included in the per-protocol analysis set. Supplementary Table 2 (lower) lists the reasons concerning exclusions from the per-protocol analysis set; Supplementary Table 3 </w:t>
      </w:r>
      <w:r w:rsidR="007F6830">
        <w:rPr>
          <w:rFonts w:ascii="Book Antiqua" w:eastAsia="Book Antiqua" w:hAnsi="Book Antiqua" w:cs="Book Antiqua"/>
          <w:color w:val="000000"/>
        </w:rPr>
        <w:t>l</w:t>
      </w:r>
      <w:r>
        <w:rPr>
          <w:rFonts w:ascii="Book Antiqua" w:eastAsia="Book Antiqua" w:hAnsi="Book Antiqua" w:cs="Book Antiqua"/>
          <w:color w:val="000000"/>
        </w:rPr>
        <w:t>ists subjects in the intent-to-treat set who were excluded from the per-protocol analysis set. Supplementary Table 2 also details patient disposition data for each group, each analysis set, and reasons for study withdrawals. No significant between-group differences were identified for baseline characteristics, including sex, age, body weight, height, and body mass index in the per-protocol analysis set (Supplementary Table 4).</w:t>
      </w:r>
    </w:p>
    <w:p w14:paraId="6F8CA1B6" w14:textId="77777777" w:rsidR="00A77B3E" w:rsidRDefault="00A77B3E">
      <w:pPr>
        <w:spacing w:line="360" w:lineRule="auto"/>
        <w:jc w:val="both"/>
      </w:pPr>
    </w:p>
    <w:p w14:paraId="0124A3DB" w14:textId="77777777" w:rsidR="00A77B3E" w:rsidRDefault="00E36496">
      <w:pPr>
        <w:spacing w:line="360" w:lineRule="auto"/>
        <w:jc w:val="both"/>
      </w:pPr>
      <w:r>
        <w:rPr>
          <w:rFonts w:ascii="Book Antiqua" w:eastAsia="Book Antiqua" w:hAnsi="Book Antiqua" w:cs="Book Antiqua"/>
          <w:b/>
          <w:bCs/>
          <w:i/>
          <w:iCs/>
          <w:color w:val="000000"/>
        </w:rPr>
        <w:t>Statistical analysis</w:t>
      </w:r>
    </w:p>
    <w:p w14:paraId="75AEA8DA" w14:textId="4EEBB9A7" w:rsidR="00A77B3E" w:rsidRDefault="00E36496">
      <w:pPr>
        <w:spacing w:line="360" w:lineRule="auto"/>
        <w:jc w:val="both"/>
      </w:pPr>
      <w:r>
        <w:rPr>
          <w:rFonts w:ascii="Book Antiqua" w:eastAsia="Book Antiqua" w:hAnsi="Book Antiqua" w:cs="Book Antiqua"/>
          <w:color w:val="000000"/>
        </w:rPr>
        <w:t>The statistical analysis in this study was implemented by a contract research organization, StatPlus Inc., which used SAS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Version 9.4</w:t>
      </w:r>
      <w:r w:rsidR="00295749">
        <w:rPr>
          <w:rFonts w:ascii="Book Antiqua" w:eastAsia="Book Antiqua" w:hAnsi="Book Antiqua" w:cs="Book Antiqua"/>
          <w:color w:val="000000"/>
        </w:rPr>
        <w:t xml:space="preserve"> (Cary, NC, United States</w:t>
      </w:r>
      <w:r>
        <w:rPr>
          <w:rFonts w:ascii="Book Antiqua" w:eastAsia="Book Antiqua" w:hAnsi="Book Antiqua" w:cs="Book Antiqua"/>
          <w:color w:val="000000"/>
        </w:rPr>
        <w:t xml:space="preserve">; the Taiwan </w:t>
      </w:r>
      <w:r w:rsidR="008E50C0">
        <w:rPr>
          <w:rFonts w:ascii="Book Antiqua" w:eastAsia="Book Antiqua" w:hAnsi="Book Antiqua" w:cs="Book Antiqua"/>
          <w:color w:val="000000"/>
        </w:rPr>
        <w:t>FDA</w:t>
      </w:r>
      <w:r w:rsidR="000466FD" w:rsidRPr="000466FD">
        <w:rPr>
          <w:rFonts w:ascii="Book Antiqua" w:eastAsia="Book Antiqua" w:hAnsi="Book Antiqua" w:cs="Book Antiqua"/>
          <w:color w:val="000000"/>
        </w:rPr>
        <w:t xml:space="preserve"> </w:t>
      </w:r>
      <w:r w:rsidR="000466FD">
        <w:rPr>
          <w:rFonts w:ascii="Book Antiqua" w:eastAsia="Book Antiqua" w:hAnsi="Book Antiqua" w:cs="Book Antiqua"/>
          <w:color w:val="000000"/>
        </w:rPr>
        <w:t>approved the results</w:t>
      </w:r>
      <w:r>
        <w:rPr>
          <w:rFonts w:ascii="Book Antiqua" w:eastAsia="Book Antiqua" w:hAnsi="Book Antiqua" w:cs="Book Antiqua"/>
          <w:color w:val="000000"/>
        </w:rPr>
        <w:t>. The primary efficacy variable was the percentage of subjects who achieved “success rate” (Excellent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Good) in overall colon cleansing, based on the Aronchick Scale in both the intent-to-treat and per-protocol analysis sets. The differences in success rates (Excellent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Good) were calculated using Fisher’s exact test with associated exact 95% confidence intervals (CIs)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Noninferiority was satisfied if the lower bound of the two-sided 95%CI for the difference in the success rate (Quiklean</w:t>
      </w:r>
      <w:r w:rsidR="007F6830" w:rsidRPr="007F6830">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minus Klean-Prep/Dulcolax</w:t>
      </w:r>
      <w:r w:rsidR="007F6830" w:rsidRPr="007F6830">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was at leas</w:t>
      </w:r>
      <w:r w:rsidRPr="00B22EC8">
        <w:rPr>
          <w:rFonts w:ascii="Book Antiqua" w:eastAsia="Book Antiqua" w:hAnsi="Book Antiqua" w:cs="Book Antiqua"/>
          <w:color w:val="000000"/>
        </w:rPr>
        <w:t xml:space="preserve">t </w:t>
      </w:r>
      <w:r w:rsidR="007D1368" w:rsidRPr="00B22EC8">
        <w:rPr>
          <w:rFonts w:ascii="Book Antiqua" w:eastAsia="Yu Mincho" w:hAnsi="Book Antiqua" w:cs="Book Antiqua"/>
          <w:color w:val="000000"/>
        </w:rPr>
        <w:t>−</w:t>
      </w:r>
      <w:r w:rsidRPr="00B22EC8">
        <w:rPr>
          <w:rFonts w:ascii="Book Antiqua" w:eastAsia="Book Antiqua" w:hAnsi="Book Antiqua" w:cs="Book Antiqua"/>
          <w:color w:val="000000"/>
        </w:rPr>
        <w:t>10%;</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&lt;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0.05 was regarded as statistically significant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secondary endpoint included bowel cleaning efficacy by OBPS and the subject’s responses to acceptability and tolerability. The overall </w:t>
      </w:r>
      <w:r w:rsidR="00EC5098">
        <w:rPr>
          <w:rFonts w:ascii="Book Antiqua" w:eastAsia="Book Antiqua" w:hAnsi="Book Antiqua" w:cs="Book Antiqua"/>
          <w:color w:val="000000"/>
        </w:rPr>
        <w:t xml:space="preserve">score </w:t>
      </w:r>
      <w:r>
        <w:rPr>
          <w:rFonts w:ascii="Book Antiqua" w:eastAsia="Book Antiqua" w:hAnsi="Book Antiqua" w:cs="Book Antiqua"/>
          <w:color w:val="000000"/>
        </w:rPr>
        <w:t xml:space="preserve">and each colon segment score of OBPS </w:t>
      </w:r>
      <w:r w:rsidR="00EC5098">
        <w:rPr>
          <w:rFonts w:ascii="Book Antiqua" w:eastAsia="Book Antiqua" w:hAnsi="Book Antiqua" w:cs="Book Antiqua"/>
          <w:color w:val="000000"/>
        </w:rPr>
        <w:t xml:space="preserve">were </w:t>
      </w:r>
      <w:r>
        <w:rPr>
          <w:rFonts w:ascii="Book Antiqua" w:eastAsia="Book Antiqua" w:hAnsi="Book Antiqua" w:cs="Book Antiqua"/>
          <w:color w:val="000000"/>
        </w:rPr>
        <w:t xml:space="preserve">used to analyze the secondary endpoint by Fisher’s exact test and independent </w:t>
      </w:r>
      <w:r>
        <w:rPr>
          <w:rFonts w:ascii="Book Antiqua" w:eastAsia="Book Antiqua" w:hAnsi="Book Antiqua" w:cs="Book Antiqua"/>
          <w:i/>
          <w:iCs/>
          <w:color w:val="000000"/>
        </w:rPr>
        <w:t>t</w:t>
      </w:r>
      <w:r>
        <w:rPr>
          <w:rFonts w:ascii="Book Antiqua" w:eastAsia="Book Antiqua" w:hAnsi="Book Antiqua" w:cs="Book Antiqua"/>
          <w:color w:val="000000"/>
        </w:rPr>
        <w:t>-tests. The total OBPS score was categorized as excellent cleansing (score 0</w:t>
      </w:r>
      <w:r w:rsidR="007D1368">
        <w:rPr>
          <w:rFonts w:ascii="Book Antiqua" w:eastAsia="Book Antiqua" w:hAnsi="Book Antiqua" w:cs="Book Antiqua"/>
          <w:color w:val="000000"/>
        </w:rPr>
        <w:t>-</w:t>
      </w:r>
      <w:r>
        <w:rPr>
          <w:rFonts w:ascii="Book Antiqua" w:eastAsia="Book Antiqua" w:hAnsi="Book Antiqua" w:cs="Book Antiqua"/>
          <w:color w:val="000000"/>
        </w:rPr>
        <w:t>1), good (score 2</w:t>
      </w:r>
      <w:r w:rsidR="007D1368">
        <w:rPr>
          <w:rFonts w:ascii="Book Antiqua" w:eastAsia="Book Antiqua" w:hAnsi="Book Antiqua" w:cs="Book Antiqua"/>
          <w:color w:val="000000"/>
        </w:rPr>
        <w:t>-</w:t>
      </w:r>
      <w:r>
        <w:rPr>
          <w:rFonts w:ascii="Book Antiqua" w:eastAsia="Book Antiqua" w:hAnsi="Book Antiqua" w:cs="Book Antiqua"/>
          <w:color w:val="000000"/>
        </w:rPr>
        <w:t>4), sufficient (score 5</w:t>
      </w:r>
      <w:r w:rsidR="007D1368">
        <w:rPr>
          <w:rFonts w:ascii="Book Antiqua" w:eastAsia="Book Antiqua" w:hAnsi="Book Antiqua" w:cs="Book Antiqua"/>
          <w:color w:val="000000"/>
        </w:rPr>
        <w:t>-</w:t>
      </w:r>
      <w:r>
        <w:rPr>
          <w:rFonts w:ascii="Book Antiqua" w:eastAsia="Book Antiqua" w:hAnsi="Book Antiqua" w:cs="Book Antiqua"/>
          <w:color w:val="000000"/>
        </w:rPr>
        <w:t>7), poor (score 8</w:t>
      </w:r>
      <w:r w:rsidR="007D1368">
        <w:rPr>
          <w:rFonts w:ascii="Book Antiqua" w:eastAsia="Book Antiqua" w:hAnsi="Book Antiqua" w:cs="Book Antiqua"/>
          <w:color w:val="000000"/>
        </w:rPr>
        <w:t>-</w:t>
      </w:r>
      <w:r>
        <w:rPr>
          <w:rFonts w:ascii="Book Antiqua" w:eastAsia="Book Antiqua" w:hAnsi="Book Antiqua" w:cs="Book Antiqua"/>
          <w:color w:val="000000"/>
        </w:rPr>
        <w:t>10), or inappropriate (score 11</w:t>
      </w:r>
      <w:r w:rsidR="007D1368">
        <w:rPr>
          <w:rFonts w:ascii="Book Antiqua" w:eastAsia="Book Antiqua" w:hAnsi="Book Antiqua" w:cs="Book Antiqua"/>
          <w:color w:val="000000"/>
        </w:rPr>
        <w:t>-</w:t>
      </w:r>
      <w:r>
        <w:rPr>
          <w:rFonts w:ascii="Book Antiqua" w:eastAsia="Book Antiqua" w:hAnsi="Book Antiqua" w:cs="Book Antiqua"/>
          <w:color w:val="000000"/>
        </w:rPr>
        <w:t>14). The subject’s responses in the questionnaire regarding acceptability and tolerability, numbers</w:t>
      </w:r>
      <w:r w:rsidR="00295749">
        <w:rPr>
          <w:rFonts w:ascii="Book Antiqua" w:eastAsia="Book Antiqua" w:hAnsi="Book Antiqua" w:cs="Book Antiqua"/>
          <w:color w:val="000000"/>
        </w:rPr>
        <w:t>,</w:t>
      </w:r>
      <w:r>
        <w:rPr>
          <w:rFonts w:ascii="Book Antiqua" w:eastAsia="Book Antiqua" w:hAnsi="Book Antiqua" w:cs="Book Antiqua"/>
          <w:color w:val="000000"/>
        </w:rPr>
        <w:t xml:space="preserve"> and percentages were categorized by the responses on each questionnaire for each group and analyzed by the Fisher’s exact test for binary variables and the Cochran-Mantel-Haenszel test </w:t>
      </w:r>
      <w:r w:rsidRPr="00295749">
        <w:rPr>
          <w:rFonts w:ascii="Book Antiqua" w:eastAsia="Book Antiqua" w:hAnsi="Book Antiqua" w:cs="Book Antiqua"/>
          <w:color w:val="000000"/>
        </w:rPr>
        <w:t xml:space="preserve">with </w:t>
      </w:r>
      <w:r w:rsidR="00295749" w:rsidRPr="00B772DD">
        <w:rPr>
          <w:rFonts w:ascii="Book Antiqua" w:hAnsi="Book Antiqua" w:cs="Arial"/>
          <w:color w:val="222222"/>
          <w:shd w:val="clear" w:color="auto" w:fill="FFFFFF"/>
        </w:rPr>
        <w:t>relative to an identified distribution integral transformation</w:t>
      </w:r>
      <w:r w:rsidR="00295749" w:rsidRPr="00B22EC8">
        <w:rPr>
          <w:rFonts w:ascii="Book Antiqua" w:eastAsia="Book Antiqua" w:hAnsi="Book Antiqua" w:cs="Book Antiqua"/>
        </w:rPr>
        <w:t xml:space="preserve"> </w:t>
      </w:r>
      <w:r>
        <w:rPr>
          <w:rFonts w:ascii="Book Antiqua" w:eastAsia="Book Antiqua" w:hAnsi="Book Antiqua" w:cs="Book Antiqua"/>
          <w:color w:val="000000"/>
        </w:rPr>
        <w:t xml:space="preserve">scores for ordered categorical variables. All safety parameters, including </w:t>
      </w:r>
      <w:r>
        <w:rPr>
          <w:rFonts w:ascii="Book Antiqua" w:eastAsia="Book Antiqua" w:hAnsi="Book Antiqua" w:cs="Book Antiqua"/>
          <w:color w:val="000000"/>
        </w:rPr>
        <w:lastRenderedPageBreak/>
        <w:t>adverse events, clinical laboratory evaluations, and vital signs, were summarized with descriptive statistics for the two groups</w:t>
      </w:r>
      <w:r w:rsidR="00295749">
        <w:rPr>
          <w:rFonts w:ascii="Book Antiqua" w:eastAsia="Book Antiqua" w:hAnsi="Book Antiqua" w:cs="Book Antiqua"/>
          <w:color w:val="000000"/>
        </w:rPr>
        <w:t>,</w:t>
      </w:r>
      <w:r>
        <w:rPr>
          <w:rFonts w:ascii="Book Antiqua" w:eastAsia="Book Antiqua" w:hAnsi="Book Antiqua" w:cs="Book Antiqua"/>
          <w:color w:val="000000"/>
        </w:rPr>
        <w:t xml:space="preserve"> and each scheduled </w:t>
      </w:r>
      <w:r w:rsidR="00295749">
        <w:rPr>
          <w:rFonts w:ascii="Book Antiqua" w:eastAsia="Book Antiqua" w:hAnsi="Book Antiqua" w:cs="Book Antiqua"/>
          <w:color w:val="000000"/>
        </w:rPr>
        <w:t xml:space="preserve">a </w:t>
      </w:r>
      <w:r>
        <w:rPr>
          <w:rFonts w:ascii="Book Antiqua" w:eastAsia="Book Antiqua" w:hAnsi="Book Antiqua" w:cs="Book Antiqua"/>
          <w:color w:val="000000"/>
        </w:rPr>
        <w:t>return visit.</w:t>
      </w:r>
    </w:p>
    <w:p w14:paraId="4890980D" w14:textId="77777777" w:rsidR="00A77B3E" w:rsidRDefault="00A77B3E">
      <w:pPr>
        <w:spacing w:line="360" w:lineRule="auto"/>
        <w:jc w:val="both"/>
      </w:pPr>
    </w:p>
    <w:p w14:paraId="6E25FC78" w14:textId="77777777" w:rsidR="00A77B3E" w:rsidRDefault="00E36496">
      <w:pPr>
        <w:spacing w:line="360" w:lineRule="auto"/>
        <w:jc w:val="both"/>
      </w:pPr>
      <w:r>
        <w:rPr>
          <w:rFonts w:ascii="Book Antiqua" w:eastAsia="Book Antiqua" w:hAnsi="Book Antiqua" w:cs="Book Antiqua"/>
          <w:b/>
          <w:caps/>
          <w:color w:val="000000"/>
          <w:u w:val="single"/>
        </w:rPr>
        <w:t>RESULTS</w:t>
      </w:r>
    </w:p>
    <w:p w14:paraId="425367F4" w14:textId="77777777" w:rsidR="00A77B3E" w:rsidRDefault="00E36496">
      <w:pPr>
        <w:spacing w:line="360" w:lineRule="auto"/>
        <w:jc w:val="both"/>
      </w:pPr>
      <w:r>
        <w:rPr>
          <w:rFonts w:ascii="Book Antiqua" w:eastAsia="Book Antiqua" w:hAnsi="Book Antiqua" w:cs="Book Antiqua"/>
          <w:b/>
          <w:bCs/>
          <w:i/>
          <w:iCs/>
          <w:color w:val="000000"/>
        </w:rPr>
        <w:t>Subject randomization and study withdrawal rates</w:t>
      </w:r>
    </w:p>
    <w:p w14:paraId="14C7C5E6" w14:textId="443E289D" w:rsidR="00A77B3E" w:rsidRDefault="00E36496">
      <w:pPr>
        <w:spacing w:line="360" w:lineRule="auto"/>
        <w:jc w:val="both"/>
      </w:pPr>
      <w:r>
        <w:rPr>
          <w:rFonts w:ascii="Book Antiqua" w:eastAsia="Book Antiqua" w:hAnsi="Book Antiqua" w:cs="Book Antiqua"/>
          <w:color w:val="000000"/>
        </w:rPr>
        <w:t>The study design and visit timetable (screening, randomization, colonoscopy, and post-colonoscopy follow-up) are depicted in the flow chart illustrated in Figure 1A. In the beginning, 472 subjects were screened in Visit 1, and 16 subjects within that did not pass criteria recheck in Visit 2; then 456 subjects were randomiz</w:t>
      </w:r>
      <w:r w:rsidR="00295749">
        <w:rPr>
          <w:rFonts w:ascii="Book Antiqua" w:eastAsia="Book Antiqua" w:hAnsi="Book Antiqua" w:cs="Book Antiqua"/>
          <w:color w:val="000000"/>
        </w:rPr>
        <w:t>ed</w:t>
      </w:r>
      <w:r>
        <w:rPr>
          <w:rFonts w:ascii="Book Antiqua" w:eastAsia="Book Antiqua" w:hAnsi="Book Antiqua" w:cs="Book Antiqua"/>
          <w:color w:val="000000"/>
        </w:rPr>
        <w:t xml:space="preserve"> in the trial. Study withdrawal rates were 2.6% and 3.5% for Quiklean</w:t>
      </w:r>
      <w:r w:rsidR="00280D27" w:rsidRPr="00280D2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Klean-Prep/Dulcolax</w:t>
      </w:r>
      <w:r w:rsidR="00280D27" w:rsidRPr="00280D2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respectively</w:t>
      </w:r>
      <w:r w:rsidR="00EC5098">
        <w:rPr>
          <w:rFonts w:ascii="Book Antiqua" w:eastAsia="Book Antiqua" w:hAnsi="Book Antiqua" w:cs="Book Antiqua"/>
          <w:color w:val="000000"/>
        </w:rPr>
        <w:t xml:space="preserve"> (</w:t>
      </w:r>
      <w:r w:rsidR="00EC5098" w:rsidRPr="00EC5098">
        <w:rPr>
          <w:rFonts w:ascii="Book Antiqua" w:eastAsia="Book Antiqua" w:hAnsi="Book Antiqua" w:cs="Book Antiqua"/>
          <w:color w:val="000000"/>
        </w:rPr>
        <w:t>Supplementary Table 2)</w:t>
      </w:r>
      <w:r>
        <w:rPr>
          <w:rFonts w:ascii="Book Antiqua" w:eastAsia="Book Antiqua" w:hAnsi="Book Antiqua" w:cs="Book Antiqua"/>
          <w:color w:val="000000"/>
        </w:rPr>
        <w:t>. In both groups, the reason cited for withdrawal was the subjects’ withdrawal of consent (Figure 1B</w:t>
      </w:r>
      <w:r w:rsidR="00FC66B1">
        <w:rPr>
          <w:rFonts w:ascii="Book Antiqua" w:eastAsia="Book Antiqua" w:hAnsi="Book Antiqua" w:cs="Book Antiqua"/>
          <w:color w:val="000000"/>
        </w:rPr>
        <w:t>,</w:t>
      </w:r>
      <w:r>
        <w:rPr>
          <w:rFonts w:ascii="Book Antiqua" w:eastAsia="Book Antiqua" w:hAnsi="Book Antiqua" w:cs="Book Antiqua"/>
          <w:color w:val="000000"/>
        </w:rPr>
        <w:t xml:space="preserve"> Supplementary Table 2).</w:t>
      </w:r>
    </w:p>
    <w:p w14:paraId="4EFFBC41" w14:textId="77777777" w:rsidR="00A77B3E" w:rsidRDefault="00A77B3E">
      <w:pPr>
        <w:spacing w:line="360" w:lineRule="auto"/>
        <w:jc w:val="both"/>
      </w:pPr>
    </w:p>
    <w:p w14:paraId="43E5F031" w14:textId="77777777" w:rsidR="00A77B3E" w:rsidRDefault="00E36496">
      <w:pPr>
        <w:spacing w:line="360" w:lineRule="auto"/>
        <w:jc w:val="both"/>
      </w:pPr>
      <w:r>
        <w:rPr>
          <w:rFonts w:ascii="Book Antiqua" w:eastAsia="Book Antiqua" w:hAnsi="Book Antiqua" w:cs="Book Antiqua"/>
          <w:b/>
          <w:bCs/>
          <w:i/>
          <w:iCs/>
          <w:color w:val="000000"/>
        </w:rPr>
        <w:t>Bowel cleansing efficacy by the Aronchick Scale</w:t>
      </w:r>
    </w:p>
    <w:p w14:paraId="673C54D3" w14:textId="1FA8ECEC" w:rsidR="00A77B3E" w:rsidRDefault="00E36496">
      <w:pPr>
        <w:spacing w:line="360" w:lineRule="auto"/>
        <w:jc w:val="both"/>
      </w:pPr>
      <w:r>
        <w:rPr>
          <w:rFonts w:ascii="Book Antiqua" w:eastAsia="Book Antiqua" w:hAnsi="Book Antiqua" w:cs="Book Antiqua"/>
          <w:color w:val="000000"/>
        </w:rPr>
        <w:t>The primary endpoint of our trial was the “success rate” (Excellent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Good) of bowel cleansing, evaluated by the Aronchick Scale, which graded 24.0%, 74.5%, 1.4%, 0%, and 0% of the Quiklean</w:t>
      </w:r>
      <w:r w:rsidR="003A7B8C" w:rsidRPr="003A7B8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per-protocol analysis set and 33%, 64.6%, 1.9%, 0%, and 0% of the Klean-Prep/Dulcolax</w:t>
      </w:r>
      <w:r w:rsidR="003A7B8C" w:rsidRPr="003A7B8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per-protocol analysis set as Excellent, Good, Fair, Poor, and Inadequate, respectively (Table 2). Success rates (Excellent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Good) were 98.6% (</w:t>
      </w:r>
      <w:r>
        <w:rPr>
          <w:rFonts w:ascii="Book Antiqua" w:eastAsia="Book Antiqua" w:hAnsi="Book Antiqua" w:cs="Book Antiqua"/>
          <w:i/>
          <w:iCs/>
          <w:color w:val="000000"/>
        </w:rPr>
        <w:t>n</w:t>
      </w:r>
      <w:r>
        <w:rPr>
          <w:rFonts w:ascii="Book Antiqua" w:eastAsia="Book Antiqua" w:hAnsi="Book Antiqua" w:cs="Book Antiqua"/>
          <w:color w:val="000000"/>
        </w:rPr>
        <w:t xml:space="preserve"> = 205) and 97.6% (</w:t>
      </w:r>
      <w:r>
        <w:rPr>
          <w:rFonts w:ascii="Book Antiqua" w:eastAsia="Book Antiqua" w:hAnsi="Book Antiqua" w:cs="Book Antiqua"/>
          <w:i/>
          <w:iCs/>
          <w:color w:val="000000"/>
        </w:rPr>
        <w:t>n</w:t>
      </w:r>
      <w:r>
        <w:rPr>
          <w:rFonts w:ascii="Book Antiqua" w:eastAsia="Book Antiqua" w:hAnsi="Book Antiqua" w:cs="Book Antiqua"/>
          <w:color w:val="000000"/>
        </w:rPr>
        <w:t xml:space="preserve"> = 204) in the Quiklean</w:t>
      </w:r>
      <w:r w:rsidR="003A7B8C" w:rsidRPr="003A7B8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Klean-Prep/Dulcolax</w:t>
      </w:r>
      <w:r w:rsidR="003A7B8C" w:rsidRPr="003A7B8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groups, respectively; the between-group difference was 0.95% (95%C</w:t>
      </w:r>
      <w:r w:rsidRPr="00B22EC8">
        <w:rPr>
          <w:rFonts w:ascii="Book Antiqua" w:eastAsia="Book Antiqua" w:hAnsi="Book Antiqua" w:cs="Book Antiqua"/>
          <w:color w:val="000000"/>
        </w:rPr>
        <w:t>I</w:t>
      </w:r>
      <w:r w:rsidR="00521DF2">
        <w:rPr>
          <w:rFonts w:ascii="Book Antiqua" w:eastAsia="Book Antiqua" w:hAnsi="Book Antiqua" w:cs="Book Antiqua"/>
          <w:color w:val="000000"/>
        </w:rPr>
        <w:t>:</w:t>
      </w:r>
      <w:r w:rsidRPr="00B22EC8">
        <w:rPr>
          <w:rFonts w:ascii="Book Antiqua" w:eastAsia="Book Antiqua" w:hAnsi="Book Antiqua" w:cs="Book Antiqua"/>
          <w:color w:val="000000"/>
        </w:rPr>
        <w:t xml:space="preserve"> </w:t>
      </w:r>
      <w:r w:rsidR="003D337E" w:rsidRPr="00B22EC8">
        <w:rPr>
          <w:rFonts w:ascii="Book Antiqua" w:eastAsia="Yu Mincho" w:hAnsi="Book Antiqua" w:cs="Book Antiqua"/>
          <w:color w:val="000000"/>
        </w:rPr>
        <w:t>−</w:t>
      </w:r>
      <w:r w:rsidRPr="00B22EC8">
        <w:rPr>
          <w:rFonts w:ascii="Book Antiqua" w:eastAsia="Book Antiqua" w:hAnsi="Book Antiqua" w:cs="Book Antiqua"/>
          <w:color w:val="000000"/>
        </w:rPr>
        <w:t>8.620%,</w:t>
      </w:r>
      <w:r>
        <w:rPr>
          <w:rFonts w:ascii="Book Antiqua" w:eastAsia="Book Antiqua" w:hAnsi="Book Antiqua" w:cs="Book Antiqua"/>
          <w:color w:val="000000"/>
        </w:rPr>
        <w:t xml:space="preserve"> 10.525%) (Table 2). For the primary endpoint assessed by the Aronchick Scale, Quiklean</w:t>
      </w:r>
      <w:r w:rsidR="003D337E" w:rsidRPr="003D337E">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demonstrated noninferiority over Klean-Prep/Dulcolax</w:t>
      </w:r>
      <w:r w:rsidR="003D337E" w:rsidRPr="003D337E">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since the lower confidence bound of the two-sided 95%CI of the treatment difference (Quiklean</w:t>
      </w:r>
      <w:r w:rsidR="00065C8F" w:rsidRPr="00065C8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minus Klean-Prep/Dulcolax</w:t>
      </w:r>
      <w:r w:rsidR="00065C8F" w:rsidRPr="00065C8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greater than the pre-specified margin of </w:t>
      </w:r>
      <w:r w:rsidR="00D92075" w:rsidRPr="00D92075">
        <w:rPr>
          <w:rFonts w:ascii="Book Antiqua" w:eastAsia="Yu Mincho" w:hAnsi="Book Antiqua" w:cs="Book Antiqua"/>
          <w:color w:val="000000"/>
        </w:rPr>
        <w:t>−</w:t>
      </w:r>
      <w:r>
        <w:rPr>
          <w:rFonts w:ascii="Book Antiqua" w:eastAsia="Book Antiqua" w:hAnsi="Book Antiqua" w:cs="Book Antiqua"/>
          <w:color w:val="000000"/>
        </w:rPr>
        <w:t>10%.</w:t>
      </w:r>
    </w:p>
    <w:p w14:paraId="108F185E" w14:textId="77777777" w:rsidR="00A77B3E" w:rsidRDefault="00A77B3E">
      <w:pPr>
        <w:spacing w:line="360" w:lineRule="auto"/>
        <w:jc w:val="both"/>
      </w:pPr>
    </w:p>
    <w:p w14:paraId="5CA68F56" w14:textId="001BA583" w:rsidR="00A77B3E" w:rsidRDefault="00E36496">
      <w:pPr>
        <w:spacing w:line="360" w:lineRule="auto"/>
        <w:jc w:val="both"/>
      </w:pPr>
      <w:r>
        <w:rPr>
          <w:rFonts w:ascii="Book Antiqua" w:eastAsia="Book Antiqua" w:hAnsi="Book Antiqua" w:cs="Book Antiqua"/>
          <w:b/>
          <w:bCs/>
          <w:i/>
          <w:iCs/>
          <w:color w:val="000000"/>
        </w:rPr>
        <w:t>Bowel cleansing efficacy of three colonic segments rated by the OBPS</w:t>
      </w:r>
    </w:p>
    <w:p w14:paraId="7CD5B120" w14:textId="0FD3D068" w:rsidR="00A77B3E" w:rsidRDefault="00E36496">
      <w:pPr>
        <w:spacing w:line="360" w:lineRule="auto"/>
        <w:jc w:val="both"/>
      </w:pPr>
      <w:r>
        <w:rPr>
          <w:rFonts w:ascii="Book Antiqua" w:eastAsia="Book Antiqua" w:hAnsi="Book Antiqua" w:cs="Book Antiqua"/>
          <w:color w:val="000000"/>
        </w:rPr>
        <w:t>One of our four secondary endpoints was bowel cleansing efficacy in three colonic segments, evaluated by the OBPS. Mean overall OBPS scores were 2.5</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1.48 in the Quiklean</w:t>
      </w:r>
      <w:r w:rsidR="00CA5A72" w:rsidRPr="00CA5A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208) and 2.5</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1.68 in the Klean-Prep/Dulcolax</w:t>
      </w:r>
      <w:r w:rsidR="00CA5A72" w:rsidRPr="00CA5A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208), </w:t>
      </w:r>
      <w:r>
        <w:rPr>
          <w:rFonts w:ascii="Book Antiqua" w:eastAsia="Book Antiqua" w:hAnsi="Book Antiqua" w:cs="Book Antiqua"/>
          <w:color w:val="000000"/>
        </w:rPr>
        <w:lastRenderedPageBreak/>
        <w:t>without statistical between-group significance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0.733; Table 3). Success rates (Excellent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Good</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Fair) for overall bowel cleansing quality were 100% with Quiklean</w:t>
      </w:r>
      <w:r w:rsidR="00CA5A72" w:rsidRPr="00CA5A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99.0% with Klean-Prep/Dulcolax</w:t>
      </w:r>
      <w:r w:rsidR="00CA5A72" w:rsidRPr="00CA5A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0.4988; Table 3). The success rates for the ascending colon were 100% for both groups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1.0000); 100% for the transverse colon with Quiklean</w:t>
      </w:r>
      <w:r w:rsidR="00CA5A72" w:rsidRPr="00CA5A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99.5% with Klean-Prep/Dulcolax</w:t>
      </w:r>
      <w:r w:rsidR="00CA5A72" w:rsidRPr="00CA5A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1.0000); 100% for the descending colon with Quiklean</w:t>
      </w:r>
      <w:r w:rsidR="005E3E42" w:rsidRPr="005E3E4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98.6% with KleanPrep/Dulcolax</w:t>
      </w:r>
      <w:r w:rsidR="005E3E42" w:rsidRPr="005E3E4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0.2482).</w:t>
      </w:r>
    </w:p>
    <w:p w14:paraId="2CF9257E" w14:textId="77777777" w:rsidR="00A77B3E" w:rsidRDefault="00A77B3E">
      <w:pPr>
        <w:spacing w:line="360" w:lineRule="auto"/>
        <w:jc w:val="both"/>
      </w:pPr>
    </w:p>
    <w:p w14:paraId="6D2018D4" w14:textId="77777777" w:rsidR="00A77B3E" w:rsidRDefault="00E36496">
      <w:pPr>
        <w:spacing w:line="360" w:lineRule="auto"/>
        <w:jc w:val="both"/>
      </w:pPr>
      <w:r>
        <w:rPr>
          <w:rFonts w:ascii="Book Antiqua" w:eastAsia="Book Antiqua" w:hAnsi="Book Antiqua" w:cs="Book Antiqua"/>
          <w:b/>
          <w:bCs/>
          <w:i/>
          <w:iCs/>
          <w:color w:val="000000"/>
        </w:rPr>
        <w:t>Acceptability and tolerability</w:t>
      </w:r>
    </w:p>
    <w:p w14:paraId="036576DA" w14:textId="43CD2316" w:rsidR="00A77B3E" w:rsidRDefault="00E36496">
      <w:pPr>
        <w:spacing w:line="360" w:lineRule="auto"/>
        <w:jc w:val="both"/>
      </w:pPr>
      <w:r>
        <w:rPr>
          <w:rFonts w:ascii="Book Antiqua" w:eastAsia="Book Antiqua" w:hAnsi="Book Antiqua" w:cs="Book Antiqua"/>
          <w:color w:val="000000"/>
        </w:rPr>
        <w:t>The other three secondary endpoints of our trial were acceptability, tolerability, and safety, as rated by each subject. Subject ratings did not differ between the groups regarding how easy or difficult the preparations were to consume (Table 4). All 208 Quiklean</w:t>
      </w:r>
      <w:r w:rsidR="0024383D" w:rsidRPr="0024383D">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(100%) and 207 Klean-Prep/Dulcolax</w:t>
      </w:r>
      <w:r w:rsidR="0024383D" w:rsidRPr="0024383D">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(99%) could consume the study preparation as instructed (</w:t>
      </w:r>
      <w:r>
        <w:rPr>
          <w:rFonts w:ascii="Book Antiqua" w:eastAsia="Book Antiqua" w:hAnsi="Book Antiqua" w:cs="Book Antiqua"/>
          <w:i/>
          <w:iCs/>
          <w:color w:val="000000"/>
        </w:rPr>
        <w:t>P</w:t>
      </w:r>
      <w:r w:rsidR="0024383D" w:rsidRPr="0024383D">
        <w:rPr>
          <w:rFonts w:ascii="Book Antiqua" w:eastAsia="Book Antiqua" w:hAnsi="Book Antiqua" w:cs="Book Antiqua"/>
          <w:color w:val="000000"/>
        </w:rPr>
        <w:t xml:space="preserve"> </w:t>
      </w:r>
      <w:r>
        <w:rPr>
          <w:rFonts w:ascii="Book Antiqua" w:eastAsia="Book Antiqua" w:hAnsi="Book Antiqua" w:cs="Book Antiqua"/>
          <w:color w:val="000000"/>
        </w:rPr>
        <w:t>=</w:t>
      </w:r>
      <w:r w:rsidR="0024383D">
        <w:rPr>
          <w:rFonts w:ascii="Book Antiqua" w:eastAsia="Book Antiqua" w:hAnsi="Book Antiqua" w:cs="Book Antiqua"/>
          <w:color w:val="000000"/>
        </w:rPr>
        <w:t xml:space="preserve"> </w:t>
      </w:r>
      <w:r>
        <w:rPr>
          <w:rFonts w:ascii="Book Antiqua" w:eastAsia="Book Antiqua" w:hAnsi="Book Antiqua" w:cs="Book Antiqua"/>
          <w:color w:val="000000"/>
        </w:rPr>
        <w:t>0.4988</w:t>
      </w:r>
      <w:r w:rsidR="0024383D">
        <w:rPr>
          <w:rFonts w:ascii="Book Antiqua" w:eastAsia="Book Antiqua" w:hAnsi="Book Antiqua" w:cs="Book Antiqua"/>
          <w:color w:val="000000"/>
        </w:rPr>
        <w:t>;</w:t>
      </w:r>
      <w:r>
        <w:rPr>
          <w:rFonts w:ascii="Book Antiqua" w:eastAsia="Book Antiqua" w:hAnsi="Book Antiqua" w:cs="Book Antiqua"/>
          <w:color w:val="000000"/>
        </w:rPr>
        <w:t xml:space="preserve"> Table 4). A significantly higher proportion of Quiklean</w:t>
      </w:r>
      <w:r w:rsidR="0024383D" w:rsidRPr="0024383D">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Klean-Prep/Dulcolax</w:t>
      </w:r>
      <w:r w:rsidR="0024383D" w:rsidRPr="0024383D">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rated their overall experience as “Excellent” (24.0% </w:t>
      </w:r>
      <w:r w:rsidRPr="0024383D">
        <w:rPr>
          <w:rFonts w:ascii="Book Antiqua" w:eastAsia="Book Antiqua" w:hAnsi="Book Antiqua" w:cs="Book Antiqua"/>
          <w:i/>
          <w:iCs/>
          <w:color w:val="000000"/>
        </w:rPr>
        <w:t>vs</w:t>
      </w:r>
      <w:r>
        <w:rPr>
          <w:rFonts w:ascii="Book Antiqua" w:eastAsia="Book Antiqua" w:hAnsi="Book Antiqua" w:cs="Book Antiqua"/>
          <w:color w:val="000000"/>
        </w:rPr>
        <w:t xml:space="preserve"> 17.2%;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0.0016; Table 4). The taste of the study preparation was rated as excellent by more Quiklean</w:t>
      </w:r>
      <w:r w:rsidR="0024383D" w:rsidRPr="0024383D">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than Klean-Prep/Dulcolax</w:t>
      </w:r>
      <w:r w:rsidR="0024383D" w:rsidRPr="0024383D">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(23.1% </w:t>
      </w:r>
      <w:r w:rsidRPr="007D1368">
        <w:rPr>
          <w:rFonts w:ascii="Book Antiqua" w:eastAsia="Book Antiqua" w:hAnsi="Book Antiqua" w:cs="Book Antiqua"/>
          <w:i/>
          <w:iCs/>
          <w:color w:val="000000"/>
        </w:rPr>
        <w:t>vs</w:t>
      </w:r>
      <w:r>
        <w:rPr>
          <w:rFonts w:ascii="Book Antiqua" w:eastAsia="Book Antiqua" w:hAnsi="Book Antiqua" w:cs="Book Antiqua"/>
          <w:color w:val="000000"/>
        </w:rPr>
        <w:t xml:space="preserve"> 13.4%;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&lt;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0.0001; Table 4). A total of 80.3% of Quiklean</w:t>
      </w:r>
      <w:r w:rsidR="008659A0" w:rsidRPr="008659A0">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and 72.7% of Klean-Prep/Dulcolax</w:t>
      </w:r>
      <w:r w:rsidR="008659A0" w:rsidRPr="008659A0">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stated they would choose the same regimen again in the future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0.0830; Table 4). The proportions of subjects claiming they would refuse the same preparation in the future did not differ significantly between the groups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0.2007; Table 5).</w:t>
      </w:r>
    </w:p>
    <w:p w14:paraId="668D4A28" w14:textId="77777777" w:rsidR="00A77B3E" w:rsidRDefault="00A77B3E">
      <w:pPr>
        <w:spacing w:line="360" w:lineRule="auto"/>
        <w:jc w:val="both"/>
      </w:pPr>
    </w:p>
    <w:p w14:paraId="5562CCE0" w14:textId="77777777" w:rsidR="00A77B3E" w:rsidRDefault="00E36496">
      <w:pPr>
        <w:spacing w:line="360" w:lineRule="auto"/>
        <w:jc w:val="both"/>
      </w:pPr>
      <w:r>
        <w:rPr>
          <w:rFonts w:ascii="Book Antiqua" w:eastAsia="Book Antiqua" w:hAnsi="Book Antiqua" w:cs="Book Antiqua"/>
          <w:b/>
          <w:bCs/>
          <w:i/>
          <w:iCs/>
          <w:color w:val="000000"/>
        </w:rPr>
        <w:t>Safety results</w:t>
      </w:r>
    </w:p>
    <w:p w14:paraId="4A5AA03D" w14:textId="7638D0F5" w:rsidR="00A77B3E" w:rsidRDefault="00E36496">
      <w:pPr>
        <w:spacing w:line="360" w:lineRule="auto"/>
        <w:jc w:val="both"/>
      </w:pPr>
      <w:r>
        <w:rPr>
          <w:rFonts w:ascii="Book Antiqua" w:eastAsia="Book Antiqua" w:hAnsi="Book Antiqua" w:cs="Book Antiqua"/>
          <w:color w:val="000000"/>
        </w:rPr>
        <w:t>Reported adverse events were reported by similar proportions of Quiklean</w:t>
      </w:r>
      <w:r w:rsidR="00663B8C" w:rsidRPr="00663B8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Klean-Prep/Dulcolax</w:t>
      </w:r>
      <w:r w:rsidR="00663B8C" w:rsidRPr="00663B8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0.4944) includ</w:t>
      </w:r>
      <w:r w:rsidR="00810F7A">
        <w:rPr>
          <w:rFonts w:ascii="Book Antiqua" w:eastAsia="Book Antiqua" w:hAnsi="Book Antiqua" w:cs="Book Antiqua"/>
          <w:color w:val="000000"/>
        </w:rPr>
        <w:t>ing</w:t>
      </w:r>
      <w:r>
        <w:rPr>
          <w:rFonts w:ascii="Book Antiqua" w:eastAsia="Book Antiqua" w:hAnsi="Book Antiqua" w:cs="Book Antiqua"/>
          <w:color w:val="000000"/>
        </w:rPr>
        <w:t xml:space="preserve"> nausea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0.0299), vomiting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0.0126), abdominal pain/cramping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0.0333), abdominal bloating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0.0080), urticaria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1.0000), anal irritation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0.1865), and edema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0.4483). Although Quiklean</w:t>
      </w:r>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had significantly higher rates of nausea, vomiting, and abdominal bloating than Klean-Prep/Dulcolax</w:t>
      </w:r>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the Klean-Prep/Dulcolax</w:t>
      </w:r>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preparation was associated with higher rates of abdominal pain/cramping than Quiklean</w:t>
      </w:r>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all reported </w:t>
      </w:r>
      <w:r>
        <w:rPr>
          <w:rFonts w:ascii="Book Antiqua" w:eastAsia="Book Antiqua" w:hAnsi="Book Antiqua" w:cs="Book Antiqua"/>
          <w:color w:val="000000"/>
        </w:rPr>
        <w:lastRenderedPageBreak/>
        <w:t>adverse events were deemed to be mild in intensity. During the study period, 98.2% of Quiklean</w:t>
      </w:r>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and 31.8% of Klean-Prep/Dulcolax</w:t>
      </w:r>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reported at least one treatment-emergent adverse event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&lt;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0.0001; Table 5); corresponding proportions reporting at least one study drug-related treatment-emergent adverse event were 97.7% and 20.5%, respectively. Although Quiklean</w:t>
      </w:r>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associated with a significantly higher incidence of any study drug-related treatment-emergent adverse event than Klean-Prep/Dulcolax</w:t>
      </w:r>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no severe treatment-emergent adverse events resulted in discontinuation or death. The </w:t>
      </w:r>
      <w:r w:rsidR="006A077E">
        <w:rPr>
          <w:rFonts w:ascii="Book Antiqua" w:eastAsia="Book Antiqua" w:hAnsi="Book Antiqua" w:cs="Book Antiqua"/>
          <w:color w:val="000000"/>
        </w:rPr>
        <w:t>top two</w:t>
      </w:r>
      <w:r>
        <w:rPr>
          <w:rFonts w:ascii="Book Antiqua" w:eastAsia="Book Antiqua" w:hAnsi="Book Antiqua" w:cs="Book Antiqua"/>
          <w:color w:val="000000"/>
        </w:rPr>
        <w:t xml:space="preserve"> reported treatment-emergent adverse events associated with Quiklean</w:t>
      </w:r>
      <w:r w:rsidR="004A7FB7" w:rsidRPr="004A7FB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were </w:t>
      </w:r>
      <w:r w:rsidR="006A077E">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blood phosphorus and </w:t>
      </w:r>
      <w:r w:rsidR="006A077E">
        <w:rPr>
          <w:rFonts w:ascii="Book Antiqua" w:eastAsia="Book Antiqua" w:hAnsi="Book Antiqua" w:cs="Book Antiqua"/>
          <w:color w:val="000000"/>
        </w:rPr>
        <w:t xml:space="preserve">a </w:t>
      </w:r>
      <w:r>
        <w:rPr>
          <w:rFonts w:ascii="Book Antiqua" w:eastAsia="Book Antiqua" w:hAnsi="Book Antiqua" w:cs="Book Antiqua"/>
          <w:color w:val="000000"/>
        </w:rPr>
        <w:t xml:space="preserve">decrease in blood potassium (97.3% and 49.1%; </w:t>
      </w:r>
      <w:r>
        <w:rPr>
          <w:rFonts w:ascii="Book Antiqua" w:eastAsia="Book Antiqua" w:hAnsi="Book Antiqua" w:cs="Book Antiqua"/>
          <w:i/>
          <w:iCs/>
          <w:color w:val="000000"/>
        </w:rPr>
        <w:t>P</w:t>
      </w:r>
      <w:r w:rsidR="00C243E2" w:rsidRPr="00C243E2">
        <w:rPr>
          <w:rFonts w:ascii="Book Antiqua" w:eastAsia="Book Antiqua" w:hAnsi="Book Antiqua" w:cs="Book Antiqua"/>
          <w:color w:val="000000"/>
        </w:rPr>
        <w:t xml:space="preserve"> </w:t>
      </w:r>
      <w:r>
        <w:rPr>
          <w:rFonts w:ascii="Book Antiqua" w:eastAsia="Book Antiqua" w:hAnsi="Book Antiqua" w:cs="Book Antiqua"/>
          <w:color w:val="000000"/>
        </w:rPr>
        <w:t>&lt;</w:t>
      </w:r>
      <w:r w:rsidR="00C243E2">
        <w:rPr>
          <w:rFonts w:ascii="Book Antiqua" w:eastAsia="Book Antiqua" w:hAnsi="Book Antiqua" w:cs="Book Antiqua"/>
          <w:color w:val="000000"/>
        </w:rPr>
        <w:t xml:space="preserve"> </w:t>
      </w:r>
      <w:r>
        <w:rPr>
          <w:rFonts w:ascii="Book Antiqua" w:eastAsia="Book Antiqua" w:hAnsi="Book Antiqua" w:cs="Book Antiqua"/>
          <w:color w:val="000000"/>
        </w:rPr>
        <w:t>0.0001); the most commonly reported treatment-emergent event with Klean-Prep/Dulcolax</w:t>
      </w:r>
      <w:r w:rsidR="00C243E2" w:rsidRPr="00C243E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a decrease in blood phosphorus (19.1%; </w:t>
      </w:r>
      <w:r>
        <w:rPr>
          <w:rFonts w:ascii="Book Antiqua" w:eastAsia="Book Antiqua" w:hAnsi="Book Antiqua" w:cs="Book Antiqua"/>
          <w:i/>
          <w:iCs/>
          <w:color w:val="000000"/>
        </w:rPr>
        <w:t>P</w:t>
      </w:r>
      <w:r w:rsidR="00C243E2" w:rsidRPr="00C243E2">
        <w:rPr>
          <w:rFonts w:ascii="Book Antiqua" w:eastAsia="Book Antiqua" w:hAnsi="Book Antiqua" w:cs="Book Antiqua"/>
          <w:color w:val="000000"/>
        </w:rPr>
        <w:t xml:space="preserve"> </w:t>
      </w:r>
      <w:r>
        <w:rPr>
          <w:rFonts w:ascii="Book Antiqua" w:eastAsia="Book Antiqua" w:hAnsi="Book Antiqua" w:cs="Book Antiqua"/>
          <w:color w:val="000000"/>
        </w:rPr>
        <w:t>&lt;</w:t>
      </w:r>
      <w:r w:rsidR="00C243E2">
        <w:rPr>
          <w:rFonts w:ascii="Book Antiqua" w:eastAsia="Book Antiqua" w:hAnsi="Book Antiqua" w:cs="Book Antiqua"/>
          <w:color w:val="000000"/>
        </w:rPr>
        <w:t xml:space="preserve"> </w:t>
      </w:r>
      <w:r>
        <w:rPr>
          <w:rFonts w:ascii="Book Antiqua" w:eastAsia="Book Antiqua" w:hAnsi="Book Antiqua" w:cs="Book Antiqua"/>
          <w:color w:val="000000"/>
        </w:rPr>
        <w:t>0.0001) (Table 5). Blood electrolytes that differed significantly between the study groups included phosphorous, potassium, and sodium (Table 5). None of these electrolytes differed significantly between the groups at Visit 1/screening (baseline) (Supplementary Tables 5, 6</w:t>
      </w:r>
      <w:r w:rsidR="00AB6C6E">
        <w:rPr>
          <w:rFonts w:ascii="Book Antiqua" w:eastAsia="Book Antiqua" w:hAnsi="Book Antiqua" w:cs="Book Antiqua"/>
          <w:color w:val="000000"/>
        </w:rPr>
        <w:t>,</w:t>
      </w:r>
      <w:r>
        <w:rPr>
          <w:rFonts w:ascii="Book Antiqua" w:eastAsia="Book Antiqua" w:hAnsi="Book Antiqua" w:cs="Book Antiqua"/>
          <w:color w:val="000000"/>
        </w:rPr>
        <w:t xml:space="preserve"> and 7, respectively). Compared with baseline values at Visit 1 (screening), phosphorus levels were found to be significantly increased with Quiklean</w:t>
      </w:r>
      <w:r w:rsidR="00C243E2" w:rsidRPr="00C243E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significantly decreased with Klean-Prep/Dulcolax</w:t>
      </w:r>
      <w:r w:rsidR="00C243E2" w:rsidRPr="00C243E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at Visit 3 (colonoscopy) (</w:t>
      </w:r>
      <w:r>
        <w:rPr>
          <w:rFonts w:ascii="Book Antiqua" w:eastAsia="Book Antiqua" w:hAnsi="Book Antiqua" w:cs="Book Antiqua"/>
          <w:i/>
          <w:iCs/>
          <w:color w:val="000000"/>
        </w:rPr>
        <w:t>P</w:t>
      </w:r>
      <w:r w:rsidR="00C243E2" w:rsidRPr="00C243E2">
        <w:rPr>
          <w:rFonts w:ascii="Book Antiqua" w:eastAsia="Book Antiqua" w:hAnsi="Book Antiqua" w:cs="Book Antiqua"/>
          <w:color w:val="000000"/>
        </w:rPr>
        <w:t xml:space="preserve"> </w:t>
      </w:r>
      <w:r>
        <w:rPr>
          <w:rFonts w:ascii="Book Antiqua" w:eastAsia="Book Antiqua" w:hAnsi="Book Antiqua" w:cs="Book Antiqua"/>
          <w:color w:val="000000"/>
        </w:rPr>
        <w:t>&lt;</w:t>
      </w:r>
      <w:r w:rsidR="00C243E2">
        <w:rPr>
          <w:rFonts w:ascii="Book Antiqua" w:eastAsia="Book Antiqua" w:hAnsi="Book Antiqua" w:cs="Book Antiqua"/>
          <w:color w:val="000000"/>
        </w:rPr>
        <w:t xml:space="preserve"> </w:t>
      </w:r>
      <w:r>
        <w:rPr>
          <w:rFonts w:ascii="Book Antiqua" w:eastAsia="Book Antiqua" w:hAnsi="Book Antiqua" w:cs="Book Antiqua"/>
          <w:color w:val="000000"/>
        </w:rPr>
        <w:t>0.0001 for both intra-group comparisons); both values were restored to baseline values by Visit 4 (post-colonoscopy follow-up) (Supplementary Table 5). The normal range of serum potassium is 3.5</w:t>
      </w:r>
      <w:r w:rsidR="00C243E2">
        <w:rPr>
          <w:rFonts w:ascii="Book Antiqua" w:eastAsia="Book Antiqua" w:hAnsi="Book Antiqua" w:cs="Book Antiqua"/>
          <w:color w:val="000000"/>
        </w:rPr>
        <w:t>-</w:t>
      </w:r>
      <w:r>
        <w:rPr>
          <w:rFonts w:ascii="Book Antiqua" w:eastAsia="Book Antiqua" w:hAnsi="Book Antiqua" w:cs="Book Antiqua"/>
          <w:color w:val="000000"/>
        </w:rPr>
        <w:t>5.0 mmol/L; the level in patients with moderate hypokalemia is 2.5</w:t>
      </w:r>
      <w:r w:rsidR="00C243E2">
        <w:rPr>
          <w:rFonts w:ascii="Book Antiqua" w:eastAsia="Book Antiqua" w:hAnsi="Book Antiqua" w:cs="Book Antiqua"/>
          <w:color w:val="000000"/>
        </w:rPr>
        <w:t>-</w:t>
      </w:r>
      <w:r>
        <w:rPr>
          <w:rFonts w:ascii="Book Antiqua" w:eastAsia="Book Antiqua" w:hAnsi="Book Antiqua" w:cs="Book Antiqua"/>
          <w:color w:val="000000"/>
        </w:rPr>
        <w:t>3.0 mmol/L</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Supplementary Table 6 shows that the means of blood potassium levels were significantly decreased from baseline (Quiklean</w:t>
      </w:r>
      <w:r w:rsidR="00C243E2" w:rsidRPr="00C243E2">
        <w:rPr>
          <w:rFonts w:ascii="Book Antiqua" w:eastAsia="Book Antiqua" w:hAnsi="Book Antiqua" w:cs="Book Antiqua" w:hint="eastAsia"/>
          <w:color w:val="000000"/>
          <w:vertAlign w:val="superscript"/>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3.87 mmol/L and Klean-Prep/Dulcolax</w:t>
      </w:r>
      <w:r w:rsidR="00C243E2" w:rsidRPr="00C243E2">
        <w:rPr>
          <w:rFonts w:ascii="Book Antiqua" w:eastAsia="Book Antiqua" w:hAnsi="Book Antiqua" w:cs="Book Antiqua" w:hint="eastAsia"/>
          <w:color w:val="000000"/>
          <w:vertAlign w:val="superscript"/>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3.89 mmoL) in both study groups at Visit 3 (Quiklean</w:t>
      </w:r>
      <w:r w:rsidR="00907DD3" w:rsidRPr="00907DD3">
        <w:rPr>
          <w:rFonts w:ascii="Book Antiqua" w:eastAsia="Book Antiqua" w:hAnsi="Book Antiqua" w:cs="Book Antiqua" w:hint="eastAsia"/>
          <w:color w:val="000000"/>
          <w:vertAlign w:val="superscript"/>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3.08 mmol/L and Klean-Prep/Dulcolax</w:t>
      </w:r>
      <w:r w:rsidR="00907DD3" w:rsidRPr="00907DD3">
        <w:rPr>
          <w:rFonts w:ascii="Book Antiqua" w:eastAsia="Book Antiqua" w:hAnsi="Book Antiqua" w:cs="Book Antiqua" w:hint="eastAsia"/>
          <w:color w:val="000000"/>
          <w:vertAlign w:val="superscript"/>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3.60 mmoL) and had returned to baseline in both groups at Visit 4 (Quiklean</w:t>
      </w:r>
      <w:r w:rsidR="00CE32C0" w:rsidRPr="00CE32C0">
        <w:rPr>
          <w:rFonts w:ascii="Book Antiqua" w:eastAsia="Book Antiqua" w:hAnsi="Book Antiqua" w:cs="Book Antiqua" w:hint="eastAsia"/>
          <w:color w:val="000000"/>
          <w:vertAlign w:val="superscript"/>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3.89 mmol/L and Klean-Prep/Dulcolax</w:t>
      </w:r>
      <w:r w:rsidR="00CE32C0" w:rsidRPr="00CE32C0">
        <w:rPr>
          <w:rFonts w:ascii="Book Antiqua" w:eastAsia="Book Antiqua" w:hAnsi="Book Antiqua" w:cs="Book Antiqua" w:hint="eastAsia"/>
          <w:color w:val="000000"/>
          <w:vertAlign w:val="superscript"/>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3.88 mmoL). Conversely, blood sodium levels were significantly increased in both study groups at Visit 3 and had returned to baseline in both groups at Visit 4 (Supplementary Table 7). On Visits 1, 3, and 4, no statistically significant between-group differences were identified for renal function (serum creatinine and blood urea nitrogen) or vital signs (body temperature, blood </w:t>
      </w:r>
      <w:r>
        <w:rPr>
          <w:rFonts w:ascii="Book Antiqua" w:eastAsia="Book Antiqua" w:hAnsi="Book Antiqua" w:cs="Book Antiqua"/>
          <w:color w:val="000000"/>
        </w:rPr>
        <w:lastRenderedPageBreak/>
        <w:t>pressure, pulse rate, respiration rate, and body weight); all of these values remained within the normal range during the study period.</w:t>
      </w:r>
    </w:p>
    <w:p w14:paraId="11C22F76" w14:textId="77777777" w:rsidR="00A77B3E" w:rsidRDefault="00A77B3E">
      <w:pPr>
        <w:spacing w:line="360" w:lineRule="auto"/>
        <w:jc w:val="both"/>
      </w:pPr>
    </w:p>
    <w:p w14:paraId="61A3798A" w14:textId="77777777" w:rsidR="00A77B3E" w:rsidRDefault="00E36496">
      <w:pPr>
        <w:spacing w:line="360" w:lineRule="auto"/>
        <w:jc w:val="both"/>
      </w:pPr>
      <w:r>
        <w:rPr>
          <w:rFonts w:ascii="Book Antiqua" w:eastAsia="Book Antiqua" w:hAnsi="Book Antiqua" w:cs="Book Antiqua"/>
          <w:b/>
          <w:caps/>
          <w:color w:val="000000"/>
          <w:u w:val="single"/>
        </w:rPr>
        <w:t>DISCUSSION</w:t>
      </w:r>
    </w:p>
    <w:p w14:paraId="10F6B840" w14:textId="40BD2601" w:rsidR="00347837" w:rsidRDefault="00E36496" w:rsidP="00347837">
      <w:pPr>
        <w:spacing w:line="360" w:lineRule="auto"/>
        <w:jc w:val="both"/>
      </w:pPr>
      <w:r>
        <w:rPr>
          <w:rFonts w:ascii="Book Antiqua" w:eastAsia="Book Antiqua" w:hAnsi="Book Antiqua" w:cs="Book Antiqua"/>
          <w:color w:val="000000"/>
        </w:rPr>
        <w:t>Adequate bowel preparation is essential for high-quality colonoscopies capable of detecting diseases of the colon and rectum. Ideal preparation would rapidly and reliably eliminate all fecal material from the colon without causing any gross or histological alternations of the colonic mucosa</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Moreover, the preparation would not cause any discomfort</w:t>
      </w:r>
      <w:r w:rsidR="000443AF">
        <w:rPr>
          <w:rFonts w:ascii="Book Antiqua" w:eastAsia="Book Antiqua" w:hAnsi="Book Antiqua" w:cs="Book Antiqua"/>
          <w:color w:val="000000"/>
        </w:rPr>
        <w:t xml:space="preserve"> and</w:t>
      </w:r>
      <w:r>
        <w:rPr>
          <w:rFonts w:ascii="Book Antiqua" w:eastAsia="Book Antiqua" w:hAnsi="Book Antiqua" w:cs="Book Antiqua"/>
          <w:color w:val="000000"/>
        </w:rPr>
        <w:t xml:space="preserve"> would be safe for the patient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this study, 32 tablets of </w:t>
      </w:r>
      <w:r>
        <w:rPr>
          <w:rFonts w:ascii="Book Antiqua" w:eastAsia="Book Antiqua" w:hAnsi="Book Antiqua" w:cs="Book Antiqua"/>
          <w:color w:val="000000"/>
          <w:shd w:val="clear" w:color="auto" w:fill="FFFFFF"/>
        </w:rPr>
        <w:t>Quiklean</w:t>
      </w:r>
      <w:r w:rsidR="0078205F" w:rsidRPr="0078205F">
        <w:rPr>
          <w:rFonts w:ascii="Book Antiqua" w:eastAsia="Book Antiqua" w:hAnsi="Book Antiqua" w:cs="Book Antiqua" w:hint="eastAsia"/>
          <w:color w:val="000000"/>
          <w:shd w:val="clear" w:color="auto" w:fill="FFFFFF"/>
          <w:vertAlign w:val="superscript"/>
        </w:rPr>
        <w:t>®</w:t>
      </w:r>
      <w:r>
        <w:rPr>
          <w:rFonts w:ascii="Book Antiqua" w:eastAsia="Book Antiqua" w:hAnsi="Book Antiqua" w:cs="Book Antiqua"/>
          <w:color w:val="000000"/>
        </w:rPr>
        <w:t xml:space="preserve"> (1.5 g sodium phosphate per tablet) demonstrated noninferiority over two sachets of </w:t>
      </w:r>
      <w:bookmarkStart w:id="5" w:name="_Hlk60594114"/>
      <w:r>
        <w:rPr>
          <w:rFonts w:ascii="Book Antiqua" w:eastAsia="Book Antiqua" w:hAnsi="Book Antiqua" w:cs="Book Antiqua"/>
          <w:color w:val="000000"/>
        </w:rPr>
        <w:t>Klean-Prep combined with one tablet of 5 mg Dulcolax</w:t>
      </w:r>
      <w:bookmarkEnd w:id="5"/>
      <w:r w:rsidR="0078205F" w:rsidRPr="0078205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(Klean-Prep/Dulcolax</w:t>
      </w:r>
      <w:r w:rsidR="0078205F" w:rsidRPr="0078205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for colon cleansing before colonoscopy, according to Aronchick Scale scores. Secondary endpoint evaluations revealed similar success rates for bowel cleansing quality in the overall and individual colon segments, according to OBPS scores. Acceptability and tolerability ratings demonstrated that Quiklean</w:t>
      </w:r>
      <w:r w:rsidR="0078205F" w:rsidRPr="0078205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easier to consume, tasted better, and was more often rated as an overall excellent experience during bowel preparation than Klean-Prep/Dulcolax</w:t>
      </w:r>
      <w:r w:rsidR="00347837" w:rsidRPr="0034783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Patient satisfaction scores indicated that more subjects would prefer Quiklean</w:t>
      </w:r>
      <w:r w:rsidR="00347837" w:rsidRPr="0034783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over Klean-Prep/Dulcolax</w:t>
      </w:r>
      <w:r w:rsidR="00347837" w:rsidRPr="0034783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in the future. Visit 3 (colonoscopy) safety data revealed that Quiklean</w:t>
      </w:r>
      <w:r w:rsidR="00347837" w:rsidRPr="0034783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associated with increases from baseline in blood phosphorus and sodium, as well as </w:t>
      </w:r>
      <w:r w:rsidR="000443AF">
        <w:rPr>
          <w:rFonts w:ascii="Book Antiqua" w:eastAsia="Book Antiqua" w:hAnsi="Book Antiqua" w:cs="Book Antiqua"/>
          <w:color w:val="000000"/>
        </w:rPr>
        <w:t xml:space="preserve">a </w:t>
      </w:r>
      <w:r>
        <w:rPr>
          <w:rFonts w:ascii="Book Antiqua" w:eastAsia="Book Antiqua" w:hAnsi="Book Antiqua" w:cs="Book Antiqua"/>
          <w:color w:val="000000"/>
        </w:rPr>
        <w:t>decrease in blood potassium, while Klean-Prep/Dulcolax</w:t>
      </w:r>
      <w:r w:rsidR="00347837" w:rsidRPr="0034783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associated with reductions from baseline in blood phosphorus and potassium, and </w:t>
      </w:r>
      <w:r w:rsidR="000443AF">
        <w:rPr>
          <w:rFonts w:ascii="Book Antiqua" w:eastAsia="Book Antiqua" w:hAnsi="Book Antiqua" w:cs="Book Antiqua"/>
          <w:color w:val="000000"/>
        </w:rPr>
        <w:t xml:space="preserve">an </w:t>
      </w:r>
      <w:r>
        <w:rPr>
          <w:rFonts w:ascii="Book Antiqua" w:eastAsia="Book Antiqua" w:hAnsi="Book Antiqua" w:cs="Book Antiqua"/>
          <w:color w:val="000000"/>
        </w:rPr>
        <w:t>increase in blood sodium levels. In both study groups, all values were restored to baseline by Visit 4 (post-colonoscopy follow-up). Our data suggest that the new bowel-clearing preparation Quiklean</w:t>
      </w:r>
      <w:r w:rsidR="00347837" w:rsidRPr="0034783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may increase patients’ positive attitudes and participation in bowel preparation for colonoscopy.</w:t>
      </w:r>
    </w:p>
    <w:p w14:paraId="6112A68B" w14:textId="77777777" w:rsidR="00ED3946" w:rsidRDefault="00E36496" w:rsidP="00ED3946">
      <w:pPr>
        <w:spacing w:line="360" w:lineRule="auto"/>
        <w:ind w:firstLineChars="100" w:firstLine="240"/>
        <w:jc w:val="both"/>
      </w:pPr>
      <w:r>
        <w:rPr>
          <w:rFonts w:ascii="Book Antiqua" w:eastAsia="Book Antiqua" w:hAnsi="Book Antiqua" w:cs="Book Antiqua"/>
          <w:color w:val="000000"/>
        </w:rPr>
        <w:t>The quality of bowel preparation can be rated during colonoscopy, and thus the superiority of one bowel preparation method can be effectively compared with others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Aronchick Scale is one such rating scale that is universally accepted and has been used in pivotal trials that have resulted in new drug application approvals, including that of HalfLytely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OBPS is associated with high interobserver agreement and </w:t>
      </w:r>
      <w:r>
        <w:rPr>
          <w:rFonts w:ascii="Book Antiqua" w:eastAsia="Book Antiqua" w:hAnsi="Book Antiqua" w:cs="Book Antiqua"/>
          <w:color w:val="000000"/>
        </w:rPr>
        <w:lastRenderedPageBreak/>
        <w:t>reliability, whether used as a total score or for individual colon segments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In the present study, our independent blinded colonoscopists used both the Aronchick Scale and OBPS to rate bowel cleansing quality. Their ratings demonstrate noninferiority for Quiklean</w:t>
      </w:r>
      <w:r w:rsidR="00347837" w:rsidRPr="0034783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 Klean-Prep/Dulcolax</w:t>
      </w:r>
      <w:r w:rsidR="00347837" w:rsidRPr="0034783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E2BECA7" w14:textId="7899DB26" w:rsidR="004C5342" w:rsidRDefault="00E36496" w:rsidP="004C5342">
      <w:pPr>
        <w:spacing w:line="360" w:lineRule="auto"/>
        <w:ind w:firstLineChars="100" w:firstLine="240"/>
        <w:jc w:val="both"/>
      </w:pPr>
      <w:r>
        <w:rPr>
          <w:rFonts w:ascii="Book Antiqua" w:eastAsia="Book Antiqua" w:hAnsi="Book Antiqua" w:cs="Book Antiqua"/>
          <w:color w:val="000000"/>
        </w:rPr>
        <w:t>Many bowel-clearing preparations are available on the market. It is advised that the choice of any such regimen should be based on cleansing efficacy first and patient tolerability second, although these factors are undoubtedly closely interrelated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For example, poor tolerability that prevents full compliance with a bowel cleansing regimen may mean inadequate cleansing</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Comparing sodium phosphate and other bowel preparation agents has shown that sodium phosphate is better tolerated by patients, making this a preferred method of preparing colonoscopy for specific patient subgroups</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Sodium phosphate tablets were developed to improve patient acceptability of the bowel preparation and have been reported to be similar or better than PEG solution for patient compliance in Western countries and Japan</w:t>
      </w:r>
      <w:r>
        <w:rPr>
          <w:rFonts w:ascii="Book Antiqua" w:eastAsia="Book Antiqua" w:hAnsi="Book Antiqua" w:cs="Book Antiqua"/>
          <w:color w:val="000000"/>
          <w:szCs w:val="30"/>
          <w:vertAlign w:val="superscript"/>
        </w:rPr>
        <w:t>[11,27,28]</w:t>
      </w:r>
      <w:r>
        <w:rPr>
          <w:rFonts w:ascii="Book Antiqua" w:eastAsia="Book Antiqua" w:hAnsi="Book Antiqua" w:cs="Book Antiqua"/>
          <w:color w:val="000000"/>
        </w:rPr>
        <w:t>. In the present study, Quiklean</w:t>
      </w:r>
      <w:r w:rsidR="00ED3946" w:rsidRPr="00ED394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had higher acceptability and tolerability than Klean-Prep/Dulcolax</w:t>
      </w:r>
      <w:r w:rsidR="00ED3946" w:rsidRPr="00ED3946">
        <w:rPr>
          <w:rFonts w:ascii="Book Antiqua" w:eastAsia="Book Antiqua" w:hAnsi="Book Antiqua" w:cs="Book Antiqua"/>
          <w:color w:val="000000"/>
          <w:vertAlign w:val="superscript"/>
        </w:rPr>
        <w:t>®</w:t>
      </w:r>
      <w:r>
        <w:rPr>
          <w:rFonts w:ascii="Book Antiqua" w:eastAsia="Book Antiqua" w:hAnsi="Book Antiqua" w:cs="Book Antiqua"/>
          <w:color w:val="000000"/>
        </w:rPr>
        <w:t>. Quiklean</w:t>
      </w:r>
      <w:r w:rsidR="004C5342" w:rsidRPr="004C534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may offer Taiwanese patients a suitable agent that is very effective and well-tolerated for colon cleansing before colonoscopy.</w:t>
      </w:r>
    </w:p>
    <w:p w14:paraId="2B835415" w14:textId="60D9FB7F" w:rsidR="00EF2AF0" w:rsidRDefault="00E36496" w:rsidP="00EF2AF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Significant dehydration and electrolyte abnormalities have been described with the use of oral sodium phosphate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Two major safety issues are related to its use: </w:t>
      </w:r>
      <w:r w:rsidR="004C5342">
        <w:rPr>
          <w:rFonts w:ascii="Book Antiqua" w:eastAsia="Book Antiqua" w:hAnsi="Book Antiqua" w:cs="Book Antiqua"/>
          <w:color w:val="000000"/>
        </w:rPr>
        <w:t>F</w:t>
      </w:r>
      <w:r>
        <w:rPr>
          <w:rFonts w:ascii="Book Antiqua" w:eastAsia="Book Antiqua" w:hAnsi="Book Antiqua" w:cs="Book Antiqua"/>
          <w:color w:val="000000"/>
        </w:rPr>
        <w:t>irst, the osmotic action of this agent can draw fluid from the intravascular space and potentially lead to hypovolemia; second, most patients develop transient mild hyperphosphatemia that could potentially result in symptoms caused by hypocalcemia</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However, evidence from 26 clinical trials involving 2496 subjects administered oral sodium phosphate solution and 526 subjects who received sodium phosphate tablets show no major adverse events attributed to sodium phosphate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Most of those studies excluded patients with heart failure, renal failure, ascites, and/or myocardial infarction within the previous </w:t>
      </w:r>
      <w:r w:rsidR="00C24328">
        <w:rPr>
          <w:rFonts w:ascii="Book Antiqua" w:eastAsia="Book Antiqua" w:hAnsi="Book Antiqua" w:cs="Book Antiqua"/>
          <w:color w:val="000000"/>
        </w:rPr>
        <w:t>6 mo</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our study, the exclusion criteria also included renal insufficiency, cardiovascular diseases, and myocardial infarction to avoid significant adverse events. Serum potassium is closely regulated physiologically with normal values ranging from 3.5</w:t>
      </w:r>
      <w:r w:rsidR="0048379B" w:rsidRPr="0048379B">
        <w:t xml:space="preserve"> </w:t>
      </w:r>
      <w:r w:rsidR="0048379B" w:rsidRPr="0048379B">
        <w:rPr>
          <w:rFonts w:ascii="Book Antiqua" w:eastAsia="Book Antiqua" w:hAnsi="Book Antiqua" w:cs="Book Antiqua"/>
          <w:color w:val="000000"/>
        </w:rPr>
        <w:t>mmol/L</w:t>
      </w:r>
      <w:r>
        <w:rPr>
          <w:rFonts w:ascii="Book Antiqua" w:eastAsia="Book Antiqua" w:hAnsi="Book Antiqua" w:cs="Book Antiqua"/>
          <w:color w:val="000000"/>
        </w:rPr>
        <w:t xml:space="preserve"> to 5.0 mmol/L, and moderate hypokalemia (2.5</w:t>
      </w:r>
      <w:r w:rsidR="0048379B">
        <w:rPr>
          <w:rFonts w:ascii="Book Antiqua" w:eastAsia="Book Antiqua" w:hAnsi="Book Antiqua" w:cs="Book Antiqua"/>
          <w:color w:val="000000"/>
        </w:rPr>
        <w:t>-</w:t>
      </w:r>
      <w:r>
        <w:rPr>
          <w:rFonts w:ascii="Book Antiqua" w:eastAsia="Book Antiqua" w:hAnsi="Book Antiqua" w:cs="Book Antiqua"/>
          <w:color w:val="000000"/>
        </w:rPr>
        <w:t xml:space="preserve">3.0 mmol/L) can be highly arrhythmogenic in </w:t>
      </w:r>
      <w:r>
        <w:rPr>
          <w:rFonts w:ascii="Book Antiqua" w:eastAsia="Book Antiqua" w:hAnsi="Book Antiqua" w:cs="Book Antiqua"/>
          <w:color w:val="000000"/>
        </w:rPr>
        <w:lastRenderedPageBreak/>
        <w:t>normal hearts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subjects of Quiklean</w:t>
      </w:r>
      <w:r w:rsidR="0048379B" w:rsidRPr="0048379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 the mean blood potassium levels of Visit 1, Visit 3, and Visit 4 were 3.87</w:t>
      </w:r>
      <w:r w:rsidR="00BA30BD" w:rsidRPr="00BA30BD">
        <w:t xml:space="preserve"> </w:t>
      </w:r>
      <w:r w:rsidR="00BA30BD" w:rsidRPr="00BA30BD">
        <w:rPr>
          <w:rFonts w:ascii="Book Antiqua" w:eastAsia="Book Antiqua" w:hAnsi="Book Antiqua" w:cs="Book Antiqua"/>
          <w:color w:val="000000"/>
        </w:rPr>
        <w:t>mmol/L</w:t>
      </w:r>
      <w:r>
        <w:rPr>
          <w:rFonts w:ascii="Book Antiqua" w:eastAsia="Book Antiqua" w:hAnsi="Book Antiqua" w:cs="Book Antiqua"/>
          <w:color w:val="000000"/>
        </w:rPr>
        <w:t>, 3.08</w:t>
      </w:r>
      <w:r w:rsidR="00BA30BD" w:rsidRPr="00BA30BD">
        <w:t xml:space="preserve"> </w:t>
      </w:r>
      <w:r w:rsidR="00BA30BD" w:rsidRPr="00BA30BD">
        <w:rPr>
          <w:rFonts w:ascii="Book Antiqua" w:eastAsia="Book Antiqua" w:hAnsi="Book Antiqua" w:cs="Book Antiqua"/>
          <w:color w:val="000000"/>
        </w:rPr>
        <w:t>mmol/L</w:t>
      </w:r>
      <w:r>
        <w:rPr>
          <w:rFonts w:ascii="Book Antiqua" w:eastAsia="Book Antiqua" w:hAnsi="Book Antiqua" w:cs="Book Antiqua"/>
          <w:color w:val="000000"/>
        </w:rPr>
        <w:t>, and 3.89 mmol/L, respectively. The data in Klean-Prep/Dulcolax</w:t>
      </w:r>
      <w:bookmarkStart w:id="6" w:name="_Hlk60594509"/>
      <w:r w:rsidR="00745C7B" w:rsidRPr="00745C7B">
        <w:rPr>
          <w:rFonts w:ascii="Book Antiqua" w:eastAsia="Book Antiqua" w:hAnsi="Book Antiqua" w:cs="Book Antiqua"/>
          <w:color w:val="000000"/>
          <w:vertAlign w:val="superscript"/>
        </w:rPr>
        <w:t>®</w:t>
      </w:r>
      <w:bookmarkEnd w:id="6"/>
      <w:r>
        <w:rPr>
          <w:rFonts w:ascii="Book Antiqua" w:eastAsia="Book Antiqua" w:hAnsi="Book Antiqua" w:cs="Book Antiqua"/>
          <w:color w:val="000000"/>
        </w:rPr>
        <w:t xml:space="preserve"> group were 3.89</w:t>
      </w:r>
      <w:r w:rsidR="00BA30BD" w:rsidRPr="00BA30BD">
        <w:t xml:space="preserve"> </w:t>
      </w:r>
      <w:r w:rsidR="00BA30BD" w:rsidRPr="00BA30BD">
        <w:rPr>
          <w:rFonts w:ascii="Book Antiqua" w:eastAsia="Book Antiqua" w:hAnsi="Book Antiqua" w:cs="Book Antiqua"/>
          <w:color w:val="000000"/>
        </w:rPr>
        <w:t>mmol/L</w:t>
      </w:r>
      <w:r>
        <w:rPr>
          <w:rFonts w:ascii="Book Antiqua" w:eastAsia="Book Antiqua" w:hAnsi="Book Antiqua" w:cs="Book Antiqua"/>
          <w:color w:val="000000"/>
        </w:rPr>
        <w:t>, 3.60</w:t>
      </w:r>
      <w:r w:rsidR="00BA30BD" w:rsidRPr="00BA30BD">
        <w:t xml:space="preserve"> </w:t>
      </w:r>
      <w:r w:rsidR="00BA30BD" w:rsidRPr="00BA30BD">
        <w:rPr>
          <w:rFonts w:ascii="Book Antiqua" w:eastAsia="Book Antiqua" w:hAnsi="Book Antiqua" w:cs="Book Antiqua"/>
          <w:color w:val="000000"/>
        </w:rPr>
        <w:t>mmol/L</w:t>
      </w:r>
      <w:r>
        <w:rPr>
          <w:rFonts w:ascii="Book Antiqua" w:eastAsia="Book Antiqua" w:hAnsi="Book Antiqua" w:cs="Book Antiqua"/>
          <w:color w:val="000000"/>
        </w:rPr>
        <w:t>, and 3.88</w:t>
      </w:r>
      <w:r w:rsidR="0048379B" w:rsidRPr="0048379B">
        <w:t xml:space="preserve"> </w:t>
      </w:r>
      <w:r w:rsidR="0048379B" w:rsidRPr="0048379B">
        <w:rPr>
          <w:rFonts w:ascii="Book Antiqua" w:eastAsia="Book Antiqua" w:hAnsi="Book Antiqua" w:cs="Book Antiqua"/>
          <w:color w:val="000000"/>
        </w:rPr>
        <w:t>mmol/L</w:t>
      </w:r>
      <w:r>
        <w:rPr>
          <w:rFonts w:ascii="Book Antiqua" w:eastAsia="Book Antiqua" w:hAnsi="Book Antiqua" w:cs="Book Antiqua"/>
          <w:color w:val="000000"/>
        </w:rPr>
        <w:t>, respectively. Indicating the changes in serum potassium levels in subjects of Quiklean</w:t>
      </w:r>
      <w:r w:rsidR="00745C7B" w:rsidRPr="00745C7B">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group did not cause severe and life-threatening hypokalemia. In the present study, we identified significantly higher rates of nausea, vomiting, and abdominal bloating with Quiklean</w:t>
      </w:r>
      <w:r w:rsidR="00745C7B" w:rsidRPr="00745C7B">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compared with Klean-Prep/Dulcolax</w:t>
      </w:r>
      <w:r w:rsidR="00745C7B" w:rsidRPr="00745C7B">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while abdominal pain/cramping was significantly more likely with Klean-Prep/Dulcolax</w:t>
      </w:r>
      <w:r w:rsidR="00745C7B" w:rsidRPr="00745C7B">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than with Quiklean</w:t>
      </w:r>
      <w:r w:rsidR="00745C7B" w:rsidRPr="00745C7B">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all reported adverse events reported in this study were judged to be mild in intensity. Moreover, treatment-emergent adverse events were similar for both study groups. No severe treatment-emergent adverse events occurred</w:t>
      </w:r>
      <w:r w:rsidR="00EF2AF0">
        <w:rPr>
          <w:rFonts w:ascii="Book Antiqua" w:eastAsia="Book Antiqua" w:hAnsi="Book Antiqua" w:cs="Book Antiqua"/>
          <w:color w:val="000000"/>
        </w:rPr>
        <w:t>.</w:t>
      </w:r>
    </w:p>
    <w:p w14:paraId="3C0ADA3D" w14:textId="73DD5510" w:rsidR="00A77B3E" w:rsidRDefault="00E36496" w:rsidP="00EF2AF0">
      <w:pPr>
        <w:spacing w:line="360" w:lineRule="auto"/>
        <w:ind w:firstLineChars="100" w:firstLine="240"/>
        <w:jc w:val="both"/>
      </w:pPr>
      <w:r>
        <w:rPr>
          <w:rFonts w:ascii="Book Antiqua" w:eastAsia="Book Antiqua" w:hAnsi="Book Antiqua" w:cs="Book Antiqua"/>
          <w:color w:val="000000"/>
        </w:rPr>
        <w:t>Our limitations in this study include the fact that during the enrollment process, we included subjects aged between 20 and 74 years and excluded subjects with significant cardiovascular or renal impairment, significant gastrointestinal disease, acute exacerbation of inflammatory bowel disease, or pregnancy. Thus, our safety data for Quiklean</w:t>
      </w:r>
      <w:r w:rsidR="00E328E2" w:rsidRPr="00E328E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should not be applied to the older elderly (&gt;</w:t>
      </w:r>
      <w:r w:rsidR="00E328E2">
        <w:rPr>
          <w:rFonts w:ascii="Book Antiqua" w:eastAsia="Book Antiqua" w:hAnsi="Book Antiqua" w:cs="Book Antiqua"/>
          <w:color w:val="000000"/>
        </w:rPr>
        <w:t xml:space="preserve"> </w:t>
      </w:r>
      <w:r>
        <w:rPr>
          <w:rFonts w:ascii="Book Antiqua" w:eastAsia="Book Antiqua" w:hAnsi="Book Antiqua" w:cs="Book Antiqua"/>
          <w:color w:val="000000"/>
        </w:rPr>
        <w:t>75 years) with significant comorbidities. Significant dehydration and electrolyte abnormalities have been described with sodium phosphate. Our study detected changes from baseline (Visit 1/screening) in both study groups for renal function measures and electrolytes at Visit 3 (colonoscopy). Quiklean</w:t>
      </w:r>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induced increases in blood phosphorous and sodium and</w:t>
      </w:r>
      <w:r w:rsidR="002C373D">
        <w:rPr>
          <w:rFonts w:ascii="Book Antiqua" w:eastAsia="Book Antiqua" w:hAnsi="Book Antiqua" w:cs="Book Antiqua"/>
          <w:color w:val="000000"/>
        </w:rPr>
        <w:t xml:space="preserve"> a</w:t>
      </w:r>
      <w:r>
        <w:rPr>
          <w:rFonts w:ascii="Book Antiqua" w:eastAsia="Book Antiqua" w:hAnsi="Book Antiqua" w:cs="Book Antiqua"/>
          <w:color w:val="000000"/>
        </w:rPr>
        <w:t xml:space="preserve"> decrease in potassium, while Klean-Prep/Dulcolax</w:t>
      </w:r>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induced decreases in blood phosphorous and potassium and</w:t>
      </w:r>
      <w:r w:rsidR="002C373D">
        <w:rPr>
          <w:rFonts w:ascii="Book Antiqua" w:eastAsia="Book Antiqua" w:hAnsi="Book Antiqua" w:cs="Book Antiqua"/>
          <w:color w:val="000000"/>
        </w:rPr>
        <w:t xml:space="preserve"> an</w:t>
      </w:r>
      <w:r>
        <w:rPr>
          <w:rFonts w:ascii="Book Antiqua" w:eastAsia="Book Antiqua" w:hAnsi="Book Antiqua" w:cs="Book Antiqua"/>
          <w:color w:val="000000"/>
        </w:rPr>
        <w:t xml:space="preserve"> increase in sodium; all values were restored to normal levels in both groups by Visit 4 (post-colonoscopy follow-up). The 7-d to the 14-d interval between colonoscopy and follow-up prevents us from knowing the details about the electrolyte changes over this timeframe.</w:t>
      </w:r>
    </w:p>
    <w:p w14:paraId="07631D7F" w14:textId="77777777" w:rsidR="00A77B3E" w:rsidRDefault="00A77B3E">
      <w:pPr>
        <w:spacing w:line="360" w:lineRule="auto"/>
        <w:jc w:val="both"/>
      </w:pPr>
    </w:p>
    <w:p w14:paraId="006F419F" w14:textId="77777777" w:rsidR="00A77B3E" w:rsidRDefault="00E36496">
      <w:pPr>
        <w:spacing w:line="360" w:lineRule="auto"/>
        <w:jc w:val="both"/>
      </w:pPr>
      <w:r>
        <w:rPr>
          <w:rFonts w:ascii="Book Antiqua" w:eastAsia="Book Antiqua" w:hAnsi="Book Antiqua" w:cs="Book Antiqua"/>
          <w:b/>
          <w:caps/>
          <w:color w:val="000000"/>
          <w:u w:val="single"/>
        </w:rPr>
        <w:t>CONCLUSION</w:t>
      </w:r>
    </w:p>
    <w:p w14:paraId="473511E1" w14:textId="5AE0DFA3" w:rsidR="00A77B3E" w:rsidRDefault="00E36496">
      <w:pPr>
        <w:spacing w:line="360" w:lineRule="auto"/>
        <w:jc w:val="both"/>
      </w:pPr>
      <w:r>
        <w:rPr>
          <w:rFonts w:ascii="Book Antiqua" w:eastAsia="Book Antiqua" w:hAnsi="Book Antiqua" w:cs="Book Antiqua"/>
          <w:color w:val="000000"/>
        </w:rPr>
        <w:t>Adequate bowel preparations are critical for high-quality colonoscopy examinations and successful colonoscopy screening or surveillance programs. In conclusion, 32 tablets of Quiklean</w:t>
      </w:r>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(1.5 g per tablet) demonstrated noninferiority over two Klean-Prep sachets </w:t>
      </w:r>
      <w:r>
        <w:rPr>
          <w:rFonts w:ascii="Book Antiqua" w:eastAsia="Book Antiqua" w:hAnsi="Book Antiqua" w:cs="Book Antiqua"/>
          <w:color w:val="000000"/>
        </w:rPr>
        <w:lastRenderedPageBreak/>
        <w:t>combined with one tablet of Dulcolax</w:t>
      </w:r>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for the outcome of effective colon cleansing. Patient satisfaction ratings indicated a higher preference for Quiklean</w:t>
      </w:r>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compared with Klean-Prep/Dulcolax</w:t>
      </w:r>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Quiklean</w:t>
      </w:r>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may, therefore, increase patients’ positive attitudes and participation in bowel preparation for colonoscopy.</w:t>
      </w:r>
    </w:p>
    <w:p w14:paraId="59FBC984" w14:textId="77777777" w:rsidR="00A77B3E" w:rsidRDefault="00A77B3E">
      <w:pPr>
        <w:spacing w:line="360" w:lineRule="auto"/>
        <w:jc w:val="both"/>
      </w:pPr>
    </w:p>
    <w:p w14:paraId="2B6EBE06" w14:textId="77777777" w:rsidR="00A77B3E" w:rsidRDefault="00E36496">
      <w:pPr>
        <w:spacing w:line="360" w:lineRule="auto"/>
        <w:jc w:val="both"/>
      </w:pPr>
      <w:r>
        <w:rPr>
          <w:rFonts w:ascii="Book Antiqua" w:eastAsia="Book Antiqua" w:hAnsi="Book Antiqua" w:cs="Book Antiqua"/>
          <w:b/>
          <w:caps/>
          <w:color w:val="000000"/>
          <w:u w:val="single"/>
        </w:rPr>
        <w:t>ARTICLE HIGHLIGHTS</w:t>
      </w:r>
    </w:p>
    <w:p w14:paraId="527CA353" w14:textId="77777777" w:rsidR="00A77B3E" w:rsidRDefault="00E36496">
      <w:pPr>
        <w:spacing w:line="360" w:lineRule="auto"/>
        <w:jc w:val="both"/>
      </w:pPr>
      <w:r>
        <w:rPr>
          <w:rFonts w:ascii="Book Antiqua" w:eastAsia="Book Antiqua" w:hAnsi="Book Antiqua" w:cs="Book Antiqua"/>
          <w:b/>
          <w:i/>
          <w:color w:val="000000"/>
        </w:rPr>
        <w:t>Research background</w:t>
      </w:r>
    </w:p>
    <w:p w14:paraId="12929B5F" w14:textId="77777777" w:rsidR="00A77B3E" w:rsidRDefault="00E36496">
      <w:pPr>
        <w:spacing w:line="360" w:lineRule="auto"/>
        <w:jc w:val="both"/>
      </w:pPr>
      <w:r>
        <w:rPr>
          <w:rFonts w:ascii="Book Antiqua" w:eastAsia="Book Antiqua" w:hAnsi="Book Antiqua" w:cs="Book Antiqua"/>
          <w:color w:val="000000"/>
        </w:rPr>
        <w:t>Efficient bowel cleansing is essential for a successful colonoscopy.</w:t>
      </w:r>
    </w:p>
    <w:p w14:paraId="1D5F346D" w14:textId="77777777" w:rsidR="00A77B3E" w:rsidRDefault="00A77B3E">
      <w:pPr>
        <w:spacing w:line="360" w:lineRule="auto"/>
        <w:jc w:val="both"/>
      </w:pPr>
    </w:p>
    <w:p w14:paraId="686AF3D1" w14:textId="77777777" w:rsidR="00A77B3E" w:rsidRDefault="00E36496">
      <w:pPr>
        <w:spacing w:line="360" w:lineRule="auto"/>
        <w:jc w:val="both"/>
      </w:pPr>
      <w:r>
        <w:rPr>
          <w:rFonts w:ascii="Book Antiqua" w:eastAsia="Book Antiqua" w:hAnsi="Book Antiqua" w:cs="Book Antiqua"/>
          <w:b/>
          <w:i/>
          <w:color w:val="000000"/>
        </w:rPr>
        <w:t>Research motivation</w:t>
      </w:r>
    </w:p>
    <w:p w14:paraId="6A1877EF" w14:textId="77777777" w:rsidR="00A77B3E" w:rsidRDefault="00E36496">
      <w:pPr>
        <w:spacing w:line="360" w:lineRule="auto"/>
        <w:jc w:val="both"/>
      </w:pPr>
      <w:r>
        <w:rPr>
          <w:rFonts w:ascii="Book Antiqua" w:eastAsia="Book Antiqua" w:hAnsi="Book Antiqua" w:cs="Book Antiqua"/>
          <w:color w:val="000000"/>
        </w:rPr>
        <w:t>The ideal cleansing agent, volume, and pharmaceutical dosage form have yet to be determined. Small-volume cleansers enhance patient compliance.</w:t>
      </w:r>
    </w:p>
    <w:p w14:paraId="47BDF1F4" w14:textId="77777777" w:rsidR="00A77B3E" w:rsidRDefault="00A77B3E">
      <w:pPr>
        <w:spacing w:line="360" w:lineRule="auto"/>
        <w:jc w:val="both"/>
      </w:pPr>
    </w:p>
    <w:p w14:paraId="5CF7E738" w14:textId="77777777" w:rsidR="00A77B3E" w:rsidRDefault="00E36496">
      <w:pPr>
        <w:spacing w:line="360" w:lineRule="auto"/>
        <w:jc w:val="both"/>
      </w:pPr>
      <w:r>
        <w:rPr>
          <w:rFonts w:ascii="Book Antiqua" w:eastAsia="Book Antiqua" w:hAnsi="Book Antiqua" w:cs="Book Antiqua"/>
          <w:b/>
          <w:i/>
          <w:color w:val="000000"/>
        </w:rPr>
        <w:t>Research objectives</w:t>
      </w:r>
    </w:p>
    <w:p w14:paraId="2D6E376C" w14:textId="25922954" w:rsidR="00A77B3E" w:rsidRDefault="00E36496">
      <w:pPr>
        <w:spacing w:line="360" w:lineRule="auto"/>
        <w:jc w:val="both"/>
      </w:pPr>
      <w:r>
        <w:rPr>
          <w:rFonts w:ascii="Book Antiqua" w:eastAsia="Book Antiqua" w:hAnsi="Book Antiqua" w:cs="Book Antiqua"/>
          <w:color w:val="000000"/>
        </w:rPr>
        <w:t>To compar</w:t>
      </w:r>
      <w:r w:rsidR="00C24328">
        <w:rPr>
          <w:rFonts w:ascii="Book Antiqua" w:eastAsia="Book Antiqua" w:hAnsi="Book Antiqua" w:cs="Book Antiqua"/>
          <w:color w:val="000000"/>
        </w:rPr>
        <w:t>e</w:t>
      </w:r>
      <w:r>
        <w:rPr>
          <w:rFonts w:ascii="Book Antiqua" w:eastAsia="Book Antiqua" w:hAnsi="Book Antiqua" w:cs="Book Antiqua"/>
          <w:color w:val="000000"/>
        </w:rPr>
        <w:t xml:space="preserve"> the bowel cleansing efficacy of 32-tablet sodium phosphate (Quiklean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2-L polyethylene glycol (PEG)/bisacodyl (Klean-Prep/Dulcolax</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under identical dietary recommendations.</w:t>
      </w:r>
    </w:p>
    <w:p w14:paraId="7850E92C" w14:textId="77777777" w:rsidR="00A77B3E" w:rsidRDefault="00A77B3E">
      <w:pPr>
        <w:spacing w:line="360" w:lineRule="auto"/>
        <w:jc w:val="both"/>
      </w:pPr>
    </w:p>
    <w:p w14:paraId="530E2D00" w14:textId="77777777" w:rsidR="00A77B3E" w:rsidRDefault="00E36496">
      <w:pPr>
        <w:spacing w:line="360" w:lineRule="auto"/>
        <w:jc w:val="both"/>
      </w:pPr>
      <w:r>
        <w:rPr>
          <w:rFonts w:ascii="Book Antiqua" w:eastAsia="Book Antiqua" w:hAnsi="Book Antiqua" w:cs="Book Antiqua"/>
          <w:b/>
          <w:i/>
          <w:color w:val="000000"/>
        </w:rPr>
        <w:t>Research methods</w:t>
      </w:r>
    </w:p>
    <w:p w14:paraId="61E1481E" w14:textId="73484E75" w:rsidR="00A77B3E" w:rsidRDefault="00E36496">
      <w:pPr>
        <w:spacing w:line="360" w:lineRule="auto"/>
        <w:jc w:val="both"/>
      </w:pPr>
      <w:r>
        <w:rPr>
          <w:rFonts w:ascii="Book Antiqua" w:eastAsia="Book Antiqua" w:hAnsi="Book Antiqua" w:cs="Book Antiqua"/>
          <w:color w:val="000000"/>
        </w:rPr>
        <w:t>This multicenter, randomized, parallel-group, noninferiority clinical trial enrolled 472 outpatients, randomized 456 subjects, and scheduled 442 subjects to undergo colonoscopy (Quiklean</w:t>
      </w:r>
      <w:r w:rsidR="00713017" w:rsidRPr="00713017">
        <w:rPr>
          <w:rFonts w:ascii="Book Antiqua" w:eastAsia="Book Antiqua" w:hAnsi="Book Antiqua" w:cs="Book Antiqua" w:hint="eastAsia"/>
          <w:color w:val="000000"/>
          <w:vertAlign w:val="superscript"/>
        </w:rPr>
        <w: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222 and Klean-Prep/Dulcolax</w:t>
      </w:r>
      <w:r w:rsidR="00713017" w:rsidRPr="00713017">
        <w:rPr>
          <w:rFonts w:ascii="Book Antiqua" w:eastAsia="Book Antiqua" w:hAnsi="Book Antiqua" w:cs="Book Antiqua" w:hint="eastAsia"/>
          <w:color w:val="000000"/>
          <w:vertAlign w:val="superscript"/>
        </w:rPr>
        <w: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 xml:space="preserve">220). After bowel preparation, a colonoscopist performed the colonoscopy with video recorded for rating. The primary efficacy endpoint was the bowel cleansing quality using the Aronchick Scale. The secondary endpoints were the bowel cleansing efficacy of three colon segments, tolerability and acceptability, and safety using the Ottawa </w:t>
      </w:r>
      <w:r w:rsidR="00B04199">
        <w:rPr>
          <w:rFonts w:ascii="Book Antiqua" w:eastAsia="Book Antiqua" w:hAnsi="Book Antiqua" w:cs="Book Antiqua"/>
          <w:color w:val="000000"/>
        </w:rPr>
        <w:t>bowel preparation scale</w:t>
      </w:r>
      <w:r>
        <w:rPr>
          <w:rFonts w:ascii="Book Antiqua" w:eastAsia="Book Antiqua" w:hAnsi="Book Antiqua" w:cs="Book Antiqua"/>
          <w:color w:val="000000"/>
        </w:rPr>
        <w:t>, questionnaires by subjects, and monitoring of adverse events.</w:t>
      </w:r>
    </w:p>
    <w:p w14:paraId="1A988F0D" w14:textId="77777777" w:rsidR="00A77B3E" w:rsidRDefault="00A77B3E">
      <w:pPr>
        <w:spacing w:line="360" w:lineRule="auto"/>
        <w:jc w:val="both"/>
      </w:pPr>
    </w:p>
    <w:p w14:paraId="69B4ABA1" w14:textId="77777777" w:rsidR="00A77B3E" w:rsidRDefault="00E36496">
      <w:pPr>
        <w:spacing w:line="360" w:lineRule="auto"/>
        <w:jc w:val="both"/>
      </w:pPr>
      <w:r>
        <w:rPr>
          <w:rFonts w:ascii="Book Antiqua" w:eastAsia="Book Antiqua" w:hAnsi="Book Antiqua" w:cs="Book Antiqua"/>
          <w:b/>
          <w:i/>
          <w:color w:val="000000"/>
        </w:rPr>
        <w:t>Research results</w:t>
      </w:r>
    </w:p>
    <w:p w14:paraId="53292B62" w14:textId="153AB289" w:rsidR="00A77B3E" w:rsidRDefault="00E36496">
      <w:pPr>
        <w:spacing w:line="360" w:lineRule="auto"/>
        <w:jc w:val="both"/>
      </w:pPr>
      <w:r>
        <w:rPr>
          <w:rFonts w:ascii="Book Antiqua" w:eastAsia="Book Antiqua" w:hAnsi="Book Antiqua" w:cs="Book Antiqua"/>
          <w:color w:val="000000"/>
        </w:rPr>
        <w:lastRenderedPageBreak/>
        <w:t>Success rates (Excellent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Good) of the bowel cleansing quality by Aronchick Scale were 98.6% (</w:t>
      </w:r>
      <w:r>
        <w:rPr>
          <w:rFonts w:ascii="Book Antiqua" w:eastAsia="Book Antiqua" w:hAnsi="Book Antiqua" w:cs="Book Antiqua"/>
          <w:i/>
          <w:iCs/>
          <w:color w:val="000000"/>
        </w:rPr>
        <w:t>n</w:t>
      </w:r>
      <w:r>
        <w:rPr>
          <w:rFonts w:ascii="Book Antiqua" w:eastAsia="Book Antiqua" w:hAnsi="Book Antiqua" w:cs="Book Antiqua"/>
          <w:color w:val="000000"/>
        </w:rPr>
        <w:t xml:space="preserve"> = 205) and 97.6% (</w:t>
      </w:r>
      <w:r>
        <w:rPr>
          <w:rFonts w:ascii="Book Antiqua" w:eastAsia="Book Antiqua" w:hAnsi="Book Antiqua" w:cs="Book Antiqua"/>
          <w:i/>
          <w:iCs/>
          <w:color w:val="000000"/>
        </w:rPr>
        <w:t>n</w:t>
      </w:r>
      <w:r>
        <w:rPr>
          <w:rFonts w:ascii="Book Antiqua" w:eastAsia="Book Antiqua" w:hAnsi="Book Antiqua" w:cs="Book Antiqua"/>
          <w:color w:val="000000"/>
        </w:rPr>
        <w:t xml:space="preserve"> = 204) in the Quiklean</w:t>
      </w:r>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Klean-Prep/Dulcolax</w:t>
      </w:r>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groups, respectively. Quiklean</w:t>
      </w:r>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demonstrated noninferiority over Klean-Prep/Dulcolax</w:t>
      </w:r>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in colon cleansing efficacy. Quicken showed better tolerability and acceptability in the overall experience (was rated as excellent; 24.0% </w:t>
      </w:r>
      <w:r w:rsidRPr="00713017">
        <w:rPr>
          <w:rFonts w:ascii="Book Antiqua" w:eastAsia="Book Antiqua" w:hAnsi="Book Antiqua" w:cs="Book Antiqua"/>
          <w:i/>
          <w:iCs/>
          <w:color w:val="000000"/>
        </w:rPr>
        <w:t>vs</w:t>
      </w:r>
      <w:r>
        <w:rPr>
          <w:rFonts w:ascii="Book Antiqua" w:eastAsia="Book Antiqua" w:hAnsi="Book Antiqua" w:cs="Book Antiqua"/>
          <w:color w:val="000000"/>
        </w:rPr>
        <w:t xml:space="preserve"> 17.2%; </w:t>
      </w:r>
      <w:r>
        <w:rPr>
          <w:rFonts w:ascii="Book Antiqua" w:eastAsia="Book Antiqua" w:hAnsi="Book Antiqua" w:cs="Book Antiqua"/>
          <w:i/>
          <w:iCs/>
          <w:color w:val="000000"/>
        </w:rPr>
        <w:t>P</w:t>
      </w:r>
      <w:r w:rsidR="00713017" w:rsidRPr="00713017">
        <w:rPr>
          <w:rFonts w:ascii="Book Antiqua" w:eastAsia="Book Antiqua" w:hAnsi="Book Antiqua" w:cs="Book Antiqua"/>
          <w:color w:val="000000"/>
        </w:rPr>
        <w:t xml:space="preserve"> </w:t>
      </w:r>
      <w:r>
        <w:rPr>
          <w:rFonts w:ascii="Book Antiqua" w:eastAsia="Book Antiqua" w:hAnsi="Book Antiqua" w:cs="Book Antiqua"/>
          <w:color w:val="000000"/>
        </w:rPr>
        <w: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 xml:space="preserve">0.0016) and taste of the study preparation (was rated as excellent, 23.1% </w:t>
      </w:r>
      <w:r w:rsidRPr="00713017">
        <w:rPr>
          <w:rFonts w:ascii="Book Antiqua" w:eastAsia="Book Antiqua" w:hAnsi="Book Antiqua" w:cs="Book Antiqua"/>
          <w:i/>
          <w:iCs/>
          <w:color w:val="000000"/>
        </w:rPr>
        <w:t>vs</w:t>
      </w:r>
      <w:r>
        <w:rPr>
          <w:rFonts w:ascii="Book Antiqua" w:eastAsia="Book Antiqua" w:hAnsi="Book Antiqua" w:cs="Book Antiqua"/>
          <w:color w:val="000000"/>
        </w:rPr>
        <w:t xml:space="preserve"> 13.4%; </w:t>
      </w:r>
      <w:r>
        <w:rPr>
          <w:rFonts w:ascii="Book Antiqua" w:eastAsia="Book Antiqua" w:hAnsi="Book Antiqua" w:cs="Book Antiqua"/>
          <w:i/>
          <w:iCs/>
          <w:color w:val="000000"/>
        </w:rPr>
        <w:t>P</w:t>
      </w:r>
      <w:r w:rsidR="00713017" w:rsidRPr="00713017">
        <w:rPr>
          <w:rFonts w:ascii="Book Antiqua" w:eastAsia="Book Antiqua" w:hAnsi="Book Antiqua" w:cs="Book Antiqua"/>
          <w:color w:val="000000"/>
        </w:rPr>
        <w:t xml:space="preserve"> </w:t>
      </w:r>
      <w:r>
        <w:rPr>
          <w:rFonts w:ascii="Book Antiqua" w:eastAsia="Book Antiqua" w:hAnsi="Book Antiqua" w:cs="Book Antiqua"/>
          <w:color w:val="000000"/>
        </w:rPr>
        <w:t>&lt;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0.0001) than Klean-Prep/Dulcolax</w:t>
      </w:r>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Safety profiles did not differ between the two groups. Our data indicate that Quiklean</w:t>
      </w:r>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is an adequate, well-tolerated bowel cleansing preparation compared with the standard comparator Klean-Prep/Dulcolax</w:t>
      </w:r>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w:t>
      </w:r>
    </w:p>
    <w:p w14:paraId="6D723E04" w14:textId="77777777" w:rsidR="00A77B3E" w:rsidRDefault="00A77B3E">
      <w:pPr>
        <w:spacing w:line="360" w:lineRule="auto"/>
        <w:jc w:val="both"/>
      </w:pPr>
    </w:p>
    <w:p w14:paraId="52C2237A" w14:textId="77777777" w:rsidR="00A77B3E" w:rsidRDefault="00E36496">
      <w:pPr>
        <w:spacing w:line="360" w:lineRule="auto"/>
        <w:jc w:val="both"/>
      </w:pPr>
      <w:r>
        <w:rPr>
          <w:rFonts w:ascii="Book Antiqua" w:eastAsia="Book Antiqua" w:hAnsi="Book Antiqua" w:cs="Book Antiqua"/>
          <w:b/>
          <w:i/>
          <w:color w:val="000000"/>
        </w:rPr>
        <w:t>Research conclusions</w:t>
      </w:r>
    </w:p>
    <w:p w14:paraId="7CD7DB41" w14:textId="21F84100" w:rsidR="00A77B3E" w:rsidRDefault="00E36496">
      <w:pPr>
        <w:spacing w:line="360" w:lineRule="auto"/>
        <w:jc w:val="both"/>
      </w:pPr>
      <w:r>
        <w:rPr>
          <w:rFonts w:ascii="Book Antiqua" w:eastAsia="Book Antiqua" w:hAnsi="Book Antiqua" w:cs="Book Antiqua"/>
          <w:color w:val="000000"/>
        </w:rPr>
        <w:t>Quiklean</w:t>
      </w:r>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is the only sodium phosphate tablet available on Taiwan’s market for bowel preparation; it potentially offers patients an alternative to standard large-volume bowel preparation regimens and may, therefore, increase positive attitudes toward colonoscopies and participation rates.</w:t>
      </w:r>
    </w:p>
    <w:p w14:paraId="000347F3" w14:textId="77777777" w:rsidR="00A77B3E" w:rsidRDefault="00A77B3E">
      <w:pPr>
        <w:spacing w:line="360" w:lineRule="auto"/>
        <w:jc w:val="both"/>
      </w:pPr>
    </w:p>
    <w:p w14:paraId="18EBE828" w14:textId="77777777" w:rsidR="00A77B3E" w:rsidRDefault="00E36496">
      <w:pPr>
        <w:spacing w:line="360" w:lineRule="auto"/>
        <w:jc w:val="both"/>
      </w:pPr>
      <w:r>
        <w:rPr>
          <w:rFonts w:ascii="Book Antiqua" w:eastAsia="Book Antiqua" w:hAnsi="Book Antiqua" w:cs="Book Antiqua"/>
          <w:b/>
          <w:i/>
          <w:color w:val="000000"/>
        </w:rPr>
        <w:t>Research perspectives</w:t>
      </w:r>
    </w:p>
    <w:p w14:paraId="2D3606D3" w14:textId="77777777" w:rsidR="00A77B3E" w:rsidRDefault="00E36496">
      <w:pPr>
        <w:spacing w:line="360" w:lineRule="auto"/>
        <w:jc w:val="both"/>
      </w:pPr>
      <w:r>
        <w:rPr>
          <w:rFonts w:ascii="Book Antiqua" w:eastAsia="Book Antiqua" w:hAnsi="Book Antiqua" w:cs="Book Antiqua"/>
          <w:color w:val="000000"/>
        </w:rPr>
        <w:t>The bowel cleanser 32-tablet sodium phosphate (Quiklean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is an adequate bowel cleansing preparation with better tolerability and acceptability as compared with the standard comparator 2-L polyethylene glycol (PEG)/bisacodyl (Klean-Prep/Dulcolax</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CB0881D" w14:textId="77777777" w:rsidR="00A77B3E" w:rsidRDefault="00A77B3E">
      <w:pPr>
        <w:spacing w:line="360" w:lineRule="auto"/>
        <w:jc w:val="both"/>
      </w:pPr>
    </w:p>
    <w:p w14:paraId="6B6265E2" w14:textId="77777777" w:rsidR="00A77B3E" w:rsidRDefault="00E36496">
      <w:pPr>
        <w:spacing w:line="360" w:lineRule="auto"/>
        <w:jc w:val="both"/>
      </w:pPr>
      <w:r>
        <w:rPr>
          <w:rFonts w:ascii="Book Antiqua" w:eastAsia="Book Antiqua" w:hAnsi="Book Antiqua" w:cs="Book Antiqua"/>
          <w:b/>
          <w:color w:val="000000"/>
        </w:rPr>
        <w:t>REFERENCES</w:t>
      </w:r>
    </w:p>
    <w:p w14:paraId="38EB9124" w14:textId="7BC5A8FD" w:rsidR="00A77B3E" w:rsidRDefault="00E3649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Sonnenberg A</w:t>
      </w:r>
      <w:r>
        <w:rPr>
          <w:rFonts w:ascii="Book Antiqua" w:eastAsia="Book Antiqua" w:hAnsi="Book Antiqua" w:cs="Book Antiqua"/>
          <w:color w:val="000000"/>
        </w:rPr>
        <w:t xml:space="preserve">, Delcò F, Inadomi JM. Cost-effectiveness of colonoscopy in screening for colorectal cancer.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133</w:t>
      </w:r>
      <w:r>
        <w:rPr>
          <w:rFonts w:ascii="Book Antiqua" w:eastAsia="Book Antiqua" w:hAnsi="Book Antiqua" w:cs="Book Antiqua"/>
          <w:color w:val="000000"/>
        </w:rPr>
        <w:t>: 573-584 [PMID: 11033584</w:t>
      </w:r>
      <w:r w:rsidR="00254A1F">
        <w:rPr>
          <w:rFonts w:ascii="Book Antiqua" w:eastAsia="Book Antiqua" w:hAnsi="Book Antiqua" w:cs="Book Antiqua"/>
          <w:color w:val="000000"/>
        </w:rPr>
        <w:t xml:space="preserve"> </w:t>
      </w:r>
      <w:r w:rsidR="00254A1F" w:rsidRPr="00254A1F">
        <w:rPr>
          <w:rFonts w:ascii="Book Antiqua" w:eastAsia="Book Antiqua" w:hAnsi="Book Antiqua" w:cs="Book Antiqua"/>
          <w:color w:val="000000"/>
        </w:rPr>
        <w:t>DOI: 10.7326/0003-4819-133-8-200010170-00007</w:t>
      </w:r>
      <w:r>
        <w:rPr>
          <w:rFonts w:ascii="Book Antiqua" w:eastAsia="Book Antiqua" w:hAnsi="Book Antiqua" w:cs="Book Antiqua"/>
          <w:color w:val="000000"/>
        </w:rPr>
        <w:t>]</w:t>
      </w:r>
    </w:p>
    <w:p w14:paraId="402BE1E1" w14:textId="77777777" w:rsidR="00A77B3E" w:rsidRDefault="00E3649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Bretthauer M, Kaminski MF, Polkowski M, Rembacken B, Saunders B, Benamouzig R, Holme O, Green S, Kuiper T, Marmo R, Omar M, Petruzziello L, Spada C, Zullo A, Dumonceau JM; European Society of Gastrointestinal Endoscopy. Bowel preparation for colonoscopy: European Society of Gastrointestinal Endoscopy (ESGE)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142-150 [PMID: 23335011 DOI: 10.1055/s-0032-1326186]</w:t>
      </w:r>
    </w:p>
    <w:p w14:paraId="6E85395F" w14:textId="124ADF59" w:rsidR="00A77B3E" w:rsidRDefault="00E36496">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Barkun A</w:t>
      </w:r>
      <w:r>
        <w:rPr>
          <w:rFonts w:ascii="Book Antiqua" w:eastAsia="Book Antiqua" w:hAnsi="Book Antiqua" w:cs="Book Antiqua"/>
          <w:color w:val="000000"/>
        </w:rPr>
        <w:t xml:space="preserve">, Chiba N, Enns R, Marcon M, Natsheh S, Pham C, Sadowski D, Vanner S. Commonly used preparations for colonoscopy: efficacy, tolerability, and safety--a Canadian Association of Gastroenterology position paper.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699-710 [PMID: 17111052</w:t>
      </w:r>
      <w:r w:rsidR="008A464B">
        <w:rPr>
          <w:rFonts w:ascii="Book Antiqua" w:eastAsia="Book Antiqua" w:hAnsi="Book Antiqua" w:cs="Book Antiqua"/>
          <w:color w:val="000000"/>
        </w:rPr>
        <w:t xml:space="preserve"> </w:t>
      </w:r>
      <w:r w:rsidR="008A464B" w:rsidRPr="008A464B">
        <w:rPr>
          <w:rFonts w:ascii="Book Antiqua" w:eastAsia="Book Antiqua" w:hAnsi="Book Antiqua" w:cs="Book Antiqua"/>
          <w:color w:val="000000"/>
        </w:rPr>
        <w:t>DOI: 10.1155/2006/915368</w:t>
      </w:r>
      <w:r>
        <w:rPr>
          <w:rFonts w:ascii="Book Antiqua" w:eastAsia="Book Antiqua" w:hAnsi="Book Antiqua" w:cs="Book Antiqua"/>
          <w:color w:val="000000"/>
        </w:rPr>
        <w:t>]</w:t>
      </w:r>
    </w:p>
    <w:p w14:paraId="07F6DA0A" w14:textId="67BC2096" w:rsidR="00A77B3E" w:rsidRDefault="00E3649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Atkin WS</w:t>
      </w:r>
      <w:r>
        <w:rPr>
          <w:rFonts w:ascii="Book Antiqua" w:eastAsia="Book Antiqua" w:hAnsi="Book Antiqua" w:cs="Book Antiqua"/>
          <w:color w:val="000000"/>
        </w:rPr>
        <w:t xml:space="preserve">, Hart A, Edwards R, Cook CF, Wardle J, McIntyre P, Aubrey R, Baron C, Sutton S, Cuzick J, Senapati A, Northover JM. Single blind, randomised trial of efficacy and acceptability of oral picolax </w:t>
      </w:r>
      <w:r>
        <w:rPr>
          <w:rFonts w:ascii="Book Antiqua" w:eastAsia="Book Antiqua" w:hAnsi="Book Antiqua" w:cs="Book Antiqua"/>
          <w:i/>
          <w:iCs/>
          <w:color w:val="000000"/>
        </w:rPr>
        <w:t>v</w:t>
      </w:r>
      <w:r w:rsidR="00D24A5B">
        <w:rPr>
          <w:rFonts w:ascii="Book Antiqua" w:eastAsia="Book Antiqua" w:hAnsi="Book Antiqua" w:cs="Book Antiqua"/>
          <w:i/>
          <w:iCs/>
          <w:color w:val="000000"/>
        </w:rPr>
        <w:t>er</w:t>
      </w:r>
      <w:r>
        <w:rPr>
          <w:rFonts w:ascii="Book Antiqua" w:eastAsia="Book Antiqua" w:hAnsi="Book Antiqua" w:cs="Book Antiqua"/>
          <w:i/>
          <w:iCs/>
          <w:color w:val="000000"/>
        </w:rPr>
        <w:t>s</w:t>
      </w:r>
      <w:r w:rsidR="00D24A5B">
        <w:rPr>
          <w:rFonts w:ascii="Book Antiqua" w:eastAsia="Book Antiqua" w:hAnsi="Book Antiqua" w:cs="Book Antiqua"/>
          <w:i/>
          <w:iCs/>
          <w:color w:val="000000"/>
        </w:rPr>
        <w:t>us</w:t>
      </w:r>
      <w:r>
        <w:rPr>
          <w:rFonts w:ascii="Book Antiqua" w:eastAsia="Book Antiqua" w:hAnsi="Book Antiqua" w:cs="Book Antiqua"/>
          <w:color w:val="000000"/>
        </w:rPr>
        <w:t xml:space="preserve"> self administered phosphate enema in bowel preparation for flexible sigmoidoscopy screening. </w:t>
      </w:r>
      <w:r>
        <w:rPr>
          <w:rFonts w:ascii="Book Antiqua" w:eastAsia="Book Antiqua" w:hAnsi="Book Antiqua" w:cs="Book Antiqua"/>
          <w:i/>
          <w:iCs/>
          <w:color w:val="000000"/>
        </w:rPr>
        <w:t>BMJ</w:t>
      </w:r>
      <w:r>
        <w:rPr>
          <w:rFonts w:ascii="Book Antiqua" w:eastAsia="Book Antiqua" w:hAnsi="Book Antiqua" w:cs="Book Antiqua"/>
          <w:color w:val="000000"/>
        </w:rPr>
        <w:t xml:space="preserve"> 2000; </w:t>
      </w:r>
      <w:r>
        <w:rPr>
          <w:rFonts w:ascii="Book Antiqua" w:eastAsia="Book Antiqua" w:hAnsi="Book Antiqua" w:cs="Book Antiqua"/>
          <w:b/>
          <w:bCs/>
          <w:color w:val="000000"/>
        </w:rPr>
        <w:t>320</w:t>
      </w:r>
      <w:r>
        <w:rPr>
          <w:rFonts w:ascii="Book Antiqua" w:eastAsia="Book Antiqua" w:hAnsi="Book Antiqua" w:cs="Book Antiqua"/>
          <w:color w:val="000000"/>
        </w:rPr>
        <w:t>: 1504-8; discussion 1509 [PMID: 10834891 DOI: 10.1136/bmj.320.7248.1504]</w:t>
      </w:r>
    </w:p>
    <w:p w14:paraId="24177419" w14:textId="77777777" w:rsidR="00A77B3E" w:rsidRDefault="00E3649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Johnson DA</w:t>
      </w:r>
      <w:r>
        <w:rPr>
          <w:rFonts w:ascii="Book Antiqua" w:eastAsia="Book Antiqua" w:hAnsi="Book Antiqua" w:cs="Book Antiqua"/>
          <w:color w:val="000000"/>
        </w:rPr>
        <w:t xml:space="preserve">, Barkun AN, Cohen LB, Dominitz JA, Kaltenbach T, Martel M, Robertson DJ, Boland CR, Giardello FM, Lieberman DA, Levin TR, Rex DK. Optimizing adequacy of bowel cleansing for colonoscopy: recommendations from the U.S. multi-society task force on colorectal cancer.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543-562 [PMID: 25220509 DOI: 10.1016/j.gie.2014.08.002]</w:t>
      </w:r>
    </w:p>
    <w:p w14:paraId="32CD9AFB" w14:textId="77777777" w:rsidR="00A77B3E" w:rsidRDefault="00E3649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Rutherford CC</w:t>
      </w:r>
      <w:r>
        <w:rPr>
          <w:rFonts w:ascii="Book Antiqua" w:eastAsia="Book Antiqua" w:hAnsi="Book Antiqua" w:cs="Book Antiqua"/>
          <w:color w:val="000000"/>
        </w:rPr>
        <w:t xml:space="preserve">, Calderwood AH. Update on Bowel Preparation for Colonoscopy. </w:t>
      </w:r>
      <w:r>
        <w:rPr>
          <w:rFonts w:ascii="Book Antiqua" w:eastAsia="Book Antiqua" w:hAnsi="Book Antiqua" w:cs="Book Antiqua"/>
          <w:i/>
          <w:iCs/>
          <w:color w:val="000000"/>
        </w:rPr>
        <w:t>Curr Treat Options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165-181 [PMID: 29404921 DOI: 10.1007/s11938-018-0165-3]</w:t>
      </w:r>
    </w:p>
    <w:p w14:paraId="14BF55FE" w14:textId="77777777" w:rsidR="00A77B3E" w:rsidRDefault="00E3649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Jung YS</w:t>
      </w:r>
      <w:r>
        <w:rPr>
          <w:rFonts w:ascii="Book Antiqua" w:eastAsia="Book Antiqua" w:hAnsi="Book Antiqua" w:cs="Book Antiqua"/>
          <w:color w:val="000000"/>
        </w:rPr>
        <w:t xml:space="preserve">, Lee CK, Kim HJ, Eun CS, Han DS, Park DI. Randomized controlled trial of sodium phosphate tablets </w:t>
      </w:r>
      <w:r>
        <w:rPr>
          <w:rFonts w:ascii="Book Antiqua" w:eastAsia="Book Antiqua" w:hAnsi="Book Antiqua" w:cs="Book Antiqua"/>
          <w:i/>
          <w:iCs/>
          <w:color w:val="000000"/>
        </w:rPr>
        <w:t>vs</w:t>
      </w:r>
      <w:r>
        <w:rPr>
          <w:rFonts w:ascii="Book Antiqua" w:eastAsia="Book Antiqua" w:hAnsi="Book Antiqua" w:cs="Book Antiqua"/>
          <w:color w:val="000000"/>
        </w:rPr>
        <w:t xml:space="preserve"> polyethylene glycol solution for colonoscopy bowel cleansing.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15845-15851 [PMID: 25400471 DOI: 10.3748/wjg.v20.i42.15845]</w:t>
      </w:r>
    </w:p>
    <w:p w14:paraId="0B52BDB4" w14:textId="77777777" w:rsidR="00A77B3E" w:rsidRDefault="00E3649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Hookey LC</w:t>
      </w:r>
      <w:r>
        <w:rPr>
          <w:rFonts w:ascii="Book Antiqua" w:eastAsia="Book Antiqua" w:hAnsi="Book Antiqua" w:cs="Book Antiqua"/>
          <w:color w:val="000000"/>
        </w:rPr>
        <w:t xml:space="preserve">, Depew WT, Vanner S. The safety profile of oral sodium phosphate for colonic cleansing before colonoscopy in adults.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2002; </w:t>
      </w:r>
      <w:r>
        <w:rPr>
          <w:rFonts w:ascii="Book Antiqua" w:eastAsia="Book Antiqua" w:hAnsi="Book Antiqua" w:cs="Book Antiqua"/>
          <w:b/>
          <w:bCs/>
          <w:color w:val="000000"/>
        </w:rPr>
        <w:t>56</w:t>
      </w:r>
      <w:r>
        <w:rPr>
          <w:rFonts w:ascii="Book Antiqua" w:eastAsia="Book Antiqua" w:hAnsi="Book Antiqua" w:cs="Book Antiqua"/>
          <w:color w:val="000000"/>
        </w:rPr>
        <w:t>: 895-902 [PMID: 12447305 DOI: 10.1067/mge.2002.129522]</w:t>
      </w:r>
    </w:p>
    <w:p w14:paraId="0044605C" w14:textId="77777777" w:rsidR="00A77B3E" w:rsidRDefault="00E3649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Tjandra JJ</w:t>
      </w:r>
      <w:r>
        <w:rPr>
          <w:rFonts w:ascii="Book Antiqua" w:eastAsia="Book Antiqua" w:hAnsi="Book Antiqua" w:cs="Book Antiqua"/>
          <w:color w:val="000000"/>
        </w:rPr>
        <w:t xml:space="preserve">, Chan M, Tagkalidis PP. Oral sodium phosphate (Fleet) is a superior colonoscopy preparation to Picopre (sodium picosulfate-based preparation).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2006; </w:t>
      </w:r>
      <w:r>
        <w:rPr>
          <w:rFonts w:ascii="Book Antiqua" w:eastAsia="Book Antiqua" w:hAnsi="Book Antiqua" w:cs="Book Antiqua"/>
          <w:b/>
          <w:bCs/>
          <w:color w:val="000000"/>
        </w:rPr>
        <w:t>49</w:t>
      </w:r>
      <w:r>
        <w:rPr>
          <w:rFonts w:ascii="Book Antiqua" w:eastAsia="Book Antiqua" w:hAnsi="Book Antiqua" w:cs="Book Antiqua"/>
          <w:color w:val="000000"/>
        </w:rPr>
        <w:t>: 616-620 [PMID: 16525746 DOI: 10.1007/s10350-005-0323-2]</w:t>
      </w:r>
    </w:p>
    <w:p w14:paraId="5A316537" w14:textId="6DA1E85D" w:rsidR="00A77B3E" w:rsidRPr="00523EDD" w:rsidRDefault="00E36496" w:rsidP="00523EDD">
      <w:pPr>
        <w:pStyle w:val="CommentText"/>
        <w:spacing w:line="360" w:lineRule="auto"/>
        <w:jc w:val="both"/>
        <w:rPr>
          <w:rFonts w:ascii="Book Antiqua" w:hAnsi="Book Antiqua"/>
        </w:rPr>
      </w:pPr>
      <w:r w:rsidRPr="00AE1DF6">
        <w:rPr>
          <w:rFonts w:ascii="Book Antiqua" w:eastAsia="Book Antiqua" w:hAnsi="Book Antiqua" w:cs="Book Antiqua"/>
          <w:color w:val="000000"/>
          <w:highlight w:val="yellow"/>
        </w:rPr>
        <w:t xml:space="preserve">10 </w:t>
      </w:r>
      <w:r w:rsidR="00CA7222" w:rsidRPr="00CA7222">
        <w:rPr>
          <w:rFonts w:ascii="Book Antiqua" w:eastAsia="Book Antiqua" w:hAnsi="Book Antiqua" w:cs="Book Antiqua"/>
          <w:b/>
          <w:bCs/>
          <w:color w:val="000000"/>
          <w:highlight w:val="yellow"/>
        </w:rPr>
        <w:t xml:space="preserve">US Food and Drug </w:t>
      </w:r>
      <w:r w:rsidRPr="00CA7222">
        <w:rPr>
          <w:rFonts w:ascii="Book Antiqua" w:eastAsia="Book Antiqua" w:hAnsi="Book Antiqua" w:cs="Book Antiqua"/>
          <w:b/>
          <w:bCs/>
          <w:color w:val="000000"/>
          <w:highlight w:val="yellow"/>
        </w:rPr>
        <w:t>Administration</w:t>
      </w:r>
      <w:r w:rsidRPr="00AE1DF6">
        <w:rPr>
          <w:rFonts w:ascii="Book Antiqua" w:eastAsia="Book Antiqua" w:hAnsi="Book Antiqua" w:cs="Book Antiqua"/>
          <w:color w:val="000000"/>
          <w:highlight w:val="yellow"/>
        </w:rPr>
        <w:t xml:space="preserve">. </w:t>
      </w:r>
      <w:r w:rsidR="00D87F0F">
        <w:rPr>
          <w:rFonts w:ascii="Book Antiqua" w:eastAsia="Book Antiqua" w:hAnsi="Book Antiqua" w:cs="Book Antiqua"/>
          <w:color w:val="000000"/>
          <w:highlight w:val="yellow"/>
        </w:rPr>
        <w:t xml:space="preserve">Drug Approval Package. </w:t>
      </w:r>
      <w:r w:rsidRPr="00AE1DF6">
        <w:rPr>
          <w:rFonts w:ascii="Book Antiqua" w:eastAsia="Book Antiqua" w:hAnsi="Book Antiqua" w:cs="Book Antiqua"/>
          <w:color w:val="000000"/>
          <w:highlight w:val="yellow"/>
        </w:rPr>
        <w:t>Visicol</w:t>
      </w:r>
      <w:r w:rsidRPr="00AE1DF6">
        <w:rPr>
          <w:rFonts w:ascii="Book Antiqua" w:eastAsia="Book Antiqua" w:hAnsi="Book Antiqua" w:cs="Book Antiqua"/>
          <w:color w:val="000000"/>
          <w:highlight w:val="yellow"/>
          <w:vertAlign w:val="superscript"/>
        </w:rPr>
        <w:t>®</w:t>
      </w:r>
      <w:r w:rsidRPr="00AE1DF6">
        <w:rPr>
          <w:rFonts w:ascii="Book Antiqua" w:eastAsia="Book Antiqua" w:hAnsi="Book Antiqua" w:cs="Book Antiqua"/>
          <w:color w:val="000000"/>
          <w:highlight w:val="yellow"/>
        </w:rPr>
        <w:t xml:space="preserve"> NDA Medical Review. 2000</w:t>
      </w:r>
      <w:r w:rsidR="00AE1DF6" w:rsidRPr="00AE1DF6">
        <w:rPr>
          <w:rFonts w:ascii="Book Antiqua" w:eastAsia="Book Antiqua" w:hAnsi="Book Antiqua" w:cs="Book Antiqua"/>
          <w:color w:val="000000"/>
          <w:highlight w:val="yellow"/>
        </w:rPr>
        <w:t xml:space="preserve">. Available from: </w:t>
      </w:r>
      <w:r w:rsidR="00AE1DF6" w:rsidRPr="00523EDD">
        <w:rPr>
          <w:rFonts w:ascii="Book Antiqua" w:hAnsi="Book Antiqua"/>
          <w:highlight w:val="yellow"/>
        </w:rPr>
        <w:t>https://www.accessdata.fda.gov/drugsatfda_docs/nda/2000/21097_Visicol.cfm</w:t>
      </w:r>
    </w:p>
    <w:p w14:paraId="3404C6E0" w14:textId="097CE0A5" w:rsidR="00A77B3E" w:rsidRPr="00523EDD" w:rsidRDefault="00E36496" w:rsidP="00523EDD">
      <w:pPr>
        <w:pStyle w:val="CommentText"/>
        <w:spacing w:line="360" w:lineRule="auto"/>
        <w:jc w:val="both"/>
        <w:rPr>
          <w:rFonts w:ascii="Book Antiqua" w:hAnsi="Book Antiqua"/>
        </w:rPr>
      </w:pPr>
      <w:r w:rsidRPr="00D87F0F">
        <w:rPr>
          <w:rFonts w:ascii="Book Antiqua" w:eastAsia="Book Antiqua" w:hAnsi="Book Antiqua" w:cs="Book Antiqua"/>
          <w:color w:val="000000"/>
          <w:highlight w:val="yellow"/>
        </w:rPr>
        <w:lastRenderedPageBreak/>
        <w:t xml:space="preserve">11 </w:t>
      </w:r>
      <w:r w:rsidR="00D87F0F" w:rsidRPr="00D87F0F">
        <w:rPr>
          <w:rFonts w:ascii="Book Antiqua" w:eastAsia="Book Antiqua" w:hAnsi="Book Antiqua" w:cs="Book Antiqua"/>
          <w:b/>
          <w:bCs/>
          <w:color w:val="000000"/>
          <w:highlight w:val="yellow"/>
        </w:rPr>
        <w:t>US Food and Drug Administration</w:t>
      </w:r>
      <w:r w:rsidR="00D87F0F" w:rsidRPr="00D87F0F">
        <w:rPr>
          <w:rFonts w:ascii="Book Antiqua" w:eastAsia="Book Antiqua" w:hAnsi="Book Antiqua" w:cs="Book Antiqua"/>
          <w:color w:val="000000"/>
          <w:highlight w:val="yellow"/>
        </w:rPr>
        <w:t>. Drug Approval Package.</w:t>
      </w:r>
      <w:r w:rsidRPr="00D87F0F">
        <w:rPr>
          <w:rFonts w:ascii="Book Antiqua" w:eastAsia="Book Antiqua" w:hAnsi="Book Antiqua" w:cs="Book Antiqua"/>
          <w:color w:val="000000"/>
          <w:highlight w:val="yellow"/>
        </w:rPr>
        <w:t xml:space="preserve"> OsmoPrep</w:t>
      </w:r>
      <w:r w:rsidRPr="00D87F0F">
        <w:rPr>
          <w:rFonts w:ascii="Book Antiqua" w:eastAsia="Book Antiqua" w:hAnsi="Book Antiqua" w:cs="Book Antiqua"/>
          <w:color w:val="000000"/>
          <w:highlight w:val="yellow"/>
          <w:vertAlign w:val="superscript"/>
        </w:rPr>
        <w:t>®</w:t>
      </w:r>
      <w:r w:rsidRPr="00D87F0F">
        <w:rPr>
          <w:rFonts w:ascii="Book Antiqua" w:eastAsia="Book Antiqua" w:hAnsi="Book Antiqua" w:cs="Book Antiqua"/>
          <w:color w:val="000000"/>
          <w:highlight w:val="yellow"/>
        </w:rPr>
        <w:t xml:space="preserve"> NDA Medical Review. </w:t>
      </w:r>
      <w:r w:rsidR="00D87F0F" w:rsidRPr="00D87F0F">
        <w:rPr>
          <w:rFonts w:ascii="Book Antiqua" w:eastAsia="Book Antiqua" w:hAnsi="Book Antiqua" w:cs="Book Antiqua"/>
          <w:color w:val="000000"/>
          <w:highlight w:val="yellow"/>
        </w:rPr>
        <w:t>200</w:t>
      </w:r>
      <w:r w:rsidR="00D87F0F">
        <w:rPr>
          <w:rFonts w:ascii="Book Antiqua" w:eastAsia="Book Antiqua" w:hAnsi="Book Antiqua" w:cs="Book Antiqua"/>
          <w:color w:val="000000"/>
          <w:highlight w:val="yellow"/>
        </w:rPr>
        <w:t>6</w:t>
      </w:r>
      <w:r w:rsidR="00AE1DF6" w:rsidRPr="00D87F0F">
        <w:rPr>
          <w:rFonts w:ascii="Book Antiqua" w:eastAsia="Book Antiqua" w:hAnsi="Book Antiqua" w:cs="Book Antiqua"/>
          <w:color w:val="000000"/>
          <w:highlight w:val="yellow"/>
        </w:rPr>
        <w:t xml:space="preserve">. Available from: </w:t>
      </w:r>
      <w:r w:rsidR="00AE1DF6" w:rsidRPr="00D87F0F">
        <w:rPr>
          <w:rFonts w:ascii="Book Antiqua" w:hAnsi="Book Antiqua"/>
          <w:highlight w:val="yellow"/>
        </w:rPr>
        <w:t>https://www.accessdata.fda.gov/drugsatfda_docs/nda/2006/021892_osmoprep_toc.cfm</w:t>
      </w:r>
    </w:p>
    <w:p w14:paraId="364E43B6" w14:textId="77777777" w:rsidR="00A77B3E" w:rsidRDefault="00E3649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Vanner SJ</w:t>
      </w:r>
      <w:r>
        <w:rPr>
          <w:rFonts w:ascii="Book Antiqua" w:eastAsia="Book Antiqua" w:hAnsi="Book Antiqua" w:cs="Book Antiqua"/>
          <w:color w:val="000000"/>
        </w:rPr>
        <w:t xml:space="preserve">, MacDonald PH, Paterson WG, Prentice RS, Da Costa LR, Beck IT. A randomized prospective trial comparing oral sodium phosphate with standard polyethylene glycol-based lavage solution (Golytely) in the preparation of patients for colonoscopy.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1990; </w:t>
      </w:r>
      <w:r>
        <w:rPr>
          <w:rFonts w:ascii="Book Antiqua" w:eastAsia="Book Antiqua" w:hAnsi="Book Antiqua" w:cs="Book Antiqua"/>
          <w:b/>
          <w:bCs/>
          <w:color w:val="000000"/>
        </w:rPr>
        <w:t>85</w:t>
      </w:r>
      <w:r>
        <w:rPr>
          <w:rFonts w:ascii="Book Antiqua" w:eastAsia="Book Antiqua" w:hAnsi="Book Antiqua" w:cs="Book Antiqua"/>
          <w:color w:val="000000"/>
        </w:rPr>
        <w:t>: 422-427 [PMID: 2183591]</w:t>
      </w:r>
    </w:p>
    <w:p w14:paraId="738869C4" w14:textId="77777777" w:rsidR="00A77B3E" w:rsidRDefault="00E3649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Bechtold ML</w:t>
      </w:r>
      <w:r>
        <w:rPr>
          <w:rFonts w:ascii="Book Antiqua" w:eastAsia="Book Antiqua" w:hAnsi="Book Antiqua" w:cs="Book Antiqua"/>
          <w:color w:val="000000"/>
        </w:rPr>
        <w:t xml:space="preserve">, Mir F, Puli SR, Nguyen DL. Optimizing bowel preparation for colonoscopy: a guide to enhance quality of visualization.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137-146 [PMID: 27065725 DOI: 10.20524/aog.2016.0005]</w:t>
      </w:r>
    </w:p>
    <w:p w14:paraId="534E7D70" w14:textId="77777777" w:rsidR="00A77B3E" w:rsidRDefault="00E3649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Hung SY</w:t>
      </w:r>
      <w:r>
        <w:rPr>
          <w:rFonts w:ascii="Book Antiqua" w:eastAsia="Book Antiqua" w:hAnsi="Book Antiqua" w:cs="Book Antiqua"/>
          <w:color w:val="000000"/>
        </w:rPr>
        <w:t xml:space="preserve">, Chen HC, Chen WT. A Randomized Trial Comparing the Bowel Cleansing Efficacy of Sodium Picosulfate/Magnesium Citrate and Polyethylene Glycol/Bisacodyl (The Bowklean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5604 [PMID: 32221332 DOI: 10.1038/s41598-020-62120-w]</w:t>
      </w:r>
    </w:p>
    <w:p w14:paraId="052F07A2" w14:textId="77777777" w:rsidR="00A77B3E" w:rsidRDefault="00E3649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Shibata M</w:t>
      </w:r>
      <w:r>
        <w:rPr>
          <w:rFonts w:ascii="Book Antiqua" w:eastAsia="Book Antiqua" w:hAnsi="Book Antiqua" w:cs="Book Antiqua"/>
          <w:color w:val="000000"/>
        </w:rPr>
        <w:t xml:space="preserve">, Lu T, Furuya T, Degterev A, Mizushima N, Yoshimori T, MacDonald M, Yankner B, Yuan J. Regulation of intracellular accumulation of mutant Huntingtin by Beclin 1.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14474-14485 [PMID: 16522639 DOI: 10.1074/jbc.M600364200]</w:t>
      </w:r>
    </w:p>
    <w:p w14:paraId="78449270" w14:textId="77777777" w:rsidR="00A77B3E" w:rsidRDefault="00E3649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Clark RE</w:t>
      </w:r>
      <w:r>
        <w:rPr>
          <w:rFonts w:ascii="Book Antiqua" w:eastAsia="Book Antiqua" w:hAnsi="Book Antiqua" w:cs="Book Antiqua"/>
          <w:color w:val="000000"/>
        </w:rPr>
        <w:t xml:space="preserve">, Godfrey JD, Choudhary A, Ashraf I, Matteson ML, Bechtold ML. Low-volume polyethylene glycol and bisacodyl for bowel preparation prior to colonoscopy: a meta-analysis.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319-324 [PMID: 24714413]</w:t>
      </w:r>
    </w:p>
    <w:p w14:paraId="79B2C28D" w14:textId="3BC42B09" w:rsidR="00A77B3E" w:rsidRDefault="00E36496">
      <w:pPr>
        <w:spacing w:line="360" w:lineRule="auto"/>
        <w:jc w:val="both"/>
      </w:pPr>
      <w:r w:rsidRPr="008A6A42">
        <w:rPr>
          <w:rFonts w:ascii="Book Antiqua" w:eastAsia="Book Antiqua" w:hAnsi="Book Antiqua" w:cs="Book Antiqua"/>
          <w:color w:val="000000"/>
        </w:rPr>
        <w:t xml:space="preserve">17 </w:t>
      </w:r>
      <w:r w:rsidRPr="008A6A42">
        <w:rPr>
          <w:rFonts w:ascii="Book Antiqua" w:eastAsia="Book Antiqua" w:hAnsi="Book Antiqua" w:cs="Book Antiqua"/>
          <w:b/>
          <w:bCs/>
          <w:color w:val="000000"/>
        </w:rPr>
        <w:t>Aronchick CA</w:t>
      </w:r>
      <w:r w:rsidRPr="008A6A42">
        <w:rPr>
          <w:rFonts w:ascii="Book Antiqua" w:eastAsia="Book Antiqua" w:hAnsi="Book Antiqua" w:cs="Book Antiqua"/>
          <w:color w:val="000000"/>
        </w:rPr>
        <w:t xml:space="preserve">, Lipshutz WH, Wright SH, DuFrayne F, Bergman G. Validation of an instrument to assess colon cleansing. </w:t>
      </w:r>
      <w:r w:rsidRPr="008A6A42">
        <w:rPr>
          <w:rFonts w:ascii="Book Antiqua" w:eastAsia="Book Antiqua" w:hAnsi="Book Antiqua" w:cs="Book Antiqua"/>
          <w:i/>
          <w:iCs/>
          <w:color w:val="000000"/>
        </w:rPr>
        <w:t>Am J Gastroenterol</w:t>
      </w:r>
      <w:r w:rsidRPr="008A6A42">
        <w:rPr>
          <w:rFonts w:ascii="Book Antiqua" w:eastAsia="Book Antiqua" w:hAnsi="Book Antiqua" w:cs="Book Antiqua"/>
          <w:color w:val="000000"/>
        </w:rPr>
        <w:t xml:space="preserve"> 1999;</w:t>
      </w:r>
      <w:r w:rsidR="0063230B">
        <w:rPr>
          <w:rFonts w:ascii="Book Antiqua" w:eastAsia="Book Antiqua" w:hAnsi="Book Antiqua" w:cs="Book Antiqua"/>
          <w:b/>
          <w:bCs/>
          <w:color w:val="000000"/>
        </w:rPr>
        <w:t xml:space="preserve"> </w:t>
      </w:r>
      <w:r w:rsidR="0063230B" w:rsidRPr="0063230B">
        <w:rPr>
          <w:rFonts w:ascii="Book Antiqua" w:eastAsia="Book Antiqua" w:hAnsi="Book Antiqua" w:cs="Book Antiqua"/>
          <w:b/>
          <w:bCs/>
          <w:color w:val="000000"/>
        </w:rPr>
        <w:t>94</w:t>
      </w:r>
      <w:r w:rsidR="0063230B" w:rsidRPr="0063230B">
        <w:rPr>
          <w:rFonts w:ascii="Book Antiqua" w:eastAsia="Book Antiqua" w:hAnsi="Book Antiqua" w:cs="Book Antiqua"/>
          <w:bCs/>
          <w:color w:val="000000"/>
        </w:rPr>
        <w:t>: 2667-2667</w:t>
      </w:r>
    </w:p>
    <w:p w14:paraId="59DEA2C4" w14:textId="33E04C17" w:rsidR="00A77B3E" w:rsidRDefault="00E3649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Rostom A</w:t>
      </w:r>
      <w:r>
        <w:rPr>
          <w:rFonts w:ascii="Book Antiqua" w:eastAsia="Book Antiqua" w:hAnsi="Book Antiqua" w:cs="Book Antiqua"/>
          <w:color w:val="000000"/>
        </w:rPr>
        <w:t xml:space="preserve">, Jolicoeur E. Validation of a new scale for the assessment of bowel preparation quality.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482-486 [PMID: 15044882</w:t>
      </w:r>
      <w:r w:rsidR="006B5088">
        <w:rPr>
          <w:rFonts w:ascii="Book Antiqua" w:eastAsia="Book Antiqua" w:hAnsi="Book Antiqua" w:cs="Book Antiqua"/>
          <w:color w:val="000000"/>
        </w:rPr>
        <w:t xml:space="preserve"> </w:t>
      </w:r>
      <w:r w:rsidR="006B5088" w:rsidRPr="006B5088">
        <w:rPr>
          <w:rFonts w:ascii="Book Antiqua" w:eastAsia="Book Antiqua" w:hAnsi="Book Antiqua" w:cs="Book Antiqua"/>
          <w:color w:val="000000"/>
        </w:rPr>
        <w:t>DOI: 10.1016/s0016-5107(03)02875-x</w:t>
      </w:r>
      <w:r>
        <w:rPr>
          <w:rFonts w:ascii="Book Antiqua" w:eastAsia="Book Antiqua" w:hAnsi="Book Antiqua" w:cs="Book Antiqua"/>
          <w:color w:val="000000"/>
        </w:rPr>
        <w:t>]</w:t>
      </w:r>
    </w:p>
    <w:p w14:paraId="4D1729AC" w14:textId="77777777" w:rsidR="00A77B3E" w:rsidRDefault="00E3649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Mathus-Vliegen EMH</w:t>
      </w:r>
      <w:r>
        <w:rPr>
          <w:rFonts w:ascii="Book Antiqua" w:eastAsia="Book Antiqua" w:hAnsi="Book Antiqua" w:cs="Book Antiqua"/>
          <w:color w:val="000000"/>
        </w:rPr>
        <w:t xml:space="preserve">, van der Vliet K, Wignand-van der Storm IJ, Stadwijk JS. Efficacy and Safety of Sodium Picosulfate/Magnesium Citrate for Bowel Preparation in a Physically Disabled Outpatient Population: A Randomized, Endoscopist-Blinded </w:t>
      </w:r>
      <w:r>
        <w:rPr>
          <w:rFonts w:ascii="Book Antiqua" w:eastAsia="Book Antiqua" w:hAnsi="Book Antiqua" w:cs="Book Antiqua"/>
          <w:color w:val="000000"/>
        </w:rPr>
        <w:lastRenderedPageBreak/>
        <w:t xml:space="preserve">Comparison With Ascorbic Acid-Enriched Polyethylene Glycol Solution Plus Bisacodyl (The PICO-MOVI Study).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239-249 [PMID: 29337780 DOI: 10.1097/DCR.0000000000000956]</w:t>
      </w:r>
    </w:p>
    <w:p w14:paraId="0CA6779D" w14:textId="77777777" w:rsidR="00A77B3E" w:rsidRDefault="00E3649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Weiss JN</w:t>
      </w:r>
      <w:r>
        <w:rPr>
          <w:rFonts w:ascii="Book Antiqua" w:eastAsia="Book Antiqua" w:hAnsi="Book Antiqua" w:cs="Book Antiqua"/>
          <w:color w:val="000000"/>
        </w:rPr>
        <w:t xml:space="preserve">, Qu Z, Shivkumar K. Electrophysiology of Hypokalemia and Hyperkalemia. </w:t>
      </w:r>
      <w:r>
        <w:rPr>
          <w:rFonts w:ascii="Book Antiqua" w:eastAsia="Book Antiqua" w:hAnsi="Book Antiqua" w:cs="Book Antiqua"/>
          <w:i/>
          <w:iCs/>
          <w:color w:val="000000"/>
        </w:rPr>
        <w:t>Circ Arrhythm Electrophysiol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28314851 DOI: 10.1161/CIRCEP.116.004667]</w:t>
      </w:r>
    </w:p>
    <w:p w14:paraId="69478A7D" w14:textId="6E389815" w:rsidR="00A77B3E" w:rsidRDefault="00E3649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ASGE Technology Committee</w:t>
      </w:r>
      <w:r>
        <w:rPr>
          <w:rFonts w:ascii="Book Antiqua" w:eastAsia="Book Antiqua" w:hAnsi="Book Antiqua" w:cs="Book Antiqua"/>
          <w:color w:val="000000"/>
        </w:rPr>
        <w:t xml:space="preserve">, Mamula P, Adler DG, Conway JD, Diehl DL, Farraye FA, Kantsevoy SV, Kaul V, Kethu SR, Kwon RS, Rodriguez SA, Tierney WM. Colonoscopy preparation.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1201-1209 [PMID: 19481646 DOI: 10.1016/j.gie.2009.01.035]</w:t>
      </w:r>
    </w:p>
    <w:p w14:paraId="7898D00C" w14:textId="77777777" w:rsidR="00A77B3E" w:rsidRDefault="00E3649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Wexner SD</w:t>
      </w:r>
      <w:r>
        <w:rPr>
          <w:rFonts w:ascii="Book Antiqua" w:eastAsia="Book Antiqua" w:hAnsi="Book Antiqua" w:cs="Book Antiqua"/>
          <w:color w:val="000000"/>
        </w:rPr>
        <w:t xml:space="preserve">,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2006; </w:t>
      </w:r>
      <w:r>
        <w:rPr>
          <w:rFonts w:ascii="Book Antiqua" w:eastAsia="Book Antiqua" w:hAnsi="Book Antiqua" w:cs="Book Antiqua"/>
          <w:b/>
          <w:bCs/>
          <w:color w:val="000000"/>
        </w:rPr>
        <w:t>63</w:t>
      </w:r>
      <w:r>
        <w:rPr>
          <w:rFonts w:ascii="Book Antiqua" w:eastAsia="Book Antiqua" w:hAnsi="Book Antiqua" w:cs="Book Antiqua"/>
          <w:color w:val="000000"/>
        </w:rPr>
        <w:t>: 894-909 [PMID: 16733101 DOI: 10.1016/j.gie.2006.03.918]</w:t>
      </w:r>
    </w:p>
    <w:p w14:paraId="1972591E" w14:textId="77777777" w:rsidR="00A77B3E" w:rsidRDefault="00E3649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Koshitani T</w:t>
      </w:r>
      <w:r>
        <w:rPr>
          <w:rFonts w:ascii="Book Antiqua" w:eastAsia="Book Antiqua" w:hAnsi="Book Antiqua" w:cs="Book Antiqua"/>
          <w:color w:val="000000"/>
        </w:rPr>
        <w:t xml:space="preserve">, Kawada M, Yoshikawa T. Bowel preparation for colonoscopy using standard </w:t>
      </w:r>
      <w:r>
        <w:rPr>
          <w:rFonts w:ascii="Book Antiqua" w:eastAsia="Book Antiqua" w:hAnsi="Book Antiqua" w:cs="Book Antiqua"/>
          <w:i/>
          <w:iCs/>
          <w:color w:val="000000"/>
        </w:rPr>
        <w:t>vs</w:t>
      </w:r>
      <w:r>
        <w:rPr>
          <w:rFonts w:ascii="Book Antiqua" w:eastAsia="Book Antiqua" w:hAnsi="Book Antiqua" w:cs="Book Antiqua"/>
          <w:color w:val="000000"/>
        </w:rPr>
        <w:t xml:space="preserve"> reduced doses of sodium phosphate: A single-blind randomized controlled study.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379-384 [PMID: 25132922 DOI: 10.4253/wjge.v6.i8.379]</w:t>
      </w:r>
    </w:p>
    <w:p w14:paraId="52D19802" w14:textId="77777777" w:rsidR="00A77B3E" w:rsidRDefault="00E3649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SH</w:t>
      </w:r>
      <w:r>
        <w:rPr>
          <w:rFonts w:ascii="Book Antiqua" w:eastAsia="Book Antiqua" w:hAnsi="Book Antiqua" w:cs="Book Antiqua"/>
          <w:color w:val="000000"/>
        </w:rPr>
        <w:t xml:space="preserve">, Lee DJ, Kim KM, Seo SW, Kang JK, Lee EH, Lee DR. Comparison of the efficacy and safety of sodium phosphate tablets and polyethylene glycol solution for bowel cleansing in healthy Korean adults. </w:t>
      </w:r>
      <w:r>
        <w:rPr>
          <w:rFonts w:ascii="Book Antiqua" w:eastAsia="Book Antiqua" w:hAnsi="Book Antiqua" w:cs="Book Antiqua"/>
          <w:i/>
          <w:iCs/>
          <w:color w:val="000000"/>
        </w:rPr>
        <w:t>Yonsei Med J</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1542-1555 [PMID: 25323890 DOI: 10.3349/ymj.2014.55.6.1542]</w:t>
      </w:r>
    </w:p>
    <w:p w14:paraId="4DC162D6" w14:textId="77777777" w:rsidR="00A77B3E" w:rsidRDefault="00E3649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Aronchick CA</w:t>
      </w:r>
      <w:r>
        <w:rPr>
          <w:rFonts w:ascii="Book Antiqua" w:eastAsia="Book Antiqua" w:hAnsi="Book Antiqua" w:cs="Book Antiqua"/>
          <w:color w:val="000000"/>
        </w:rPr>
        <w:t xml:space="preserve">, Lipshutz WH, Wright SH, Dufrayne F, Bergman G. A novel tableted purgative for colonoscopic preparation: efficacy and safety comparisons with Colyte and Fleet Phospho-Soda.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2000; </w:t>
      </w:r>
      <w:r>
        <w:rPr>
          <w:rFonts w:ascii="Book Antiqua" w:eastAsia="Book Antiqua" w:hAnsi="Book Antiqua" w:cs="Book Antiqua"/>
          <w:b/>
          <w:bCs/>
          <w:color w:val="000000"/>
        </w:rPr>
        <w:t>52</w:t>
      </w:r>
      <w:r>
        <w:rPr>
          <w:rFonts w:ascii="Book Antiqua" w:eastAsia="Book Antiqua" w:hAnsi="Book Antiqua" w:cs="Book Antiqua"/>
          <w:color w:val="000000"/>
        </w:rPr>
        <w:t>: 346-352 [PMID: 10968848 DOI: 10.1067/mge.2000.108480]</w:t>
      </w:r>
    </w:p>
    <w:p w14:paraId="0EF98AFB" w14:textId="26E1ED86" w:rsidR="00A77B3E" w:rsidRDefault="00E36496">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Hsu CW</w:t>
      </w:r>
      <w:r>
        <w:rPr>
          <w:rFonts w:ascii="Book Antiqua" w:eastAsia="Book Antiqua" w:hAnsi="Book Antiqua" w:cs="Book Antiqua"/>
          <w:color w:val="000000"/>
        </w:rPr>
        <w:t xml:space="preserve">, Imperiale TF. Meta-analysis and cost comparison of polyethylene glycol lavage </w:t>
      </w:r>
      <w:r>
        <w:rPr>
          <w:rFonts w:ascii="Book Antiqua" w:eastAsia="Book Antiqua" w:hAnsi="Book Antiqua" w:cs="Book Antiqua"/>
          <w:i/>
          <w:iCs/>
          <w:color w:val="000000"/>
        </w:rPr>
        <w:t>v</w:t>
      </w:r>
      <w:r w:rsidR="00D24A5B">
        <w:rPr>
          <w:rFonts w:ascii="Book Antiqua" w:eastAsia="Book Antiqua" w:hAnsi="Book Antiqua" w:cs="Book Antiqua"/>
          <w:i/>
          <w:iCs/>
          <w:color w:val="000000"/>
        </w:rPr>
        <w:t>er</w:t>
      </w:r>
      <w:r>
        <w:rPr>
          <w:rFonts w:ascii="Book Antiqua" w:eastAsia="Book Antiqua" w:hAnsi="Book Antiqua" w:cs="Book Antiqua"/>
          <w:i/>
          <w:iCs/>
          <w:color w:val="000000"/>
        </w:rPr>
        <w:t>s</w:t>
      </w:r>
      <w:r w:rsidR="00D24A5B">
        <w:rPr>
          <w:rFonts w:ascii="Book Antiqua" w:eastAsia="Book Antiqua" w:hAnsi="Book Antiqua" w:cs="Book Antiqua"/>
          <w:i/>
          <w:iCs/>
          <w:color w:val="000000"/>
        </w:rPr>
        <w:t>us</w:t>
      </w:r>
      <w:r>
        <w:rPr>
          <w:rFonts w:ascii="Book Antiqua" w:eastAsia="Book Antiqua" w:hAnsi="Book Antiqua" w:cs="Book Antiqua"/>
          <w:color w:val="000000"/>
        </w:rPr>
        <w:t xml:space="preserve"> sodium phosphate for colonoscopy preparation.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1998; </w:t>
      </w:r>
      <w:r>
        <w:rPr>
          <w:rFonts w:ascii="Book Antiqua" w:eastAsia="Book Antiqua" w:hAnsi="Book Antiqua" w:cs="Book Antiqua"/>
          <w:b/>
          <w:bCs/>
          <w:color w:val="000000"/>
        </w:rPr>
        <w:t>48</w:t>
      </w:r>
      <w:r>
        <w:rPr>
          <w:rFonts w:ascii="Book Antiqua" w:eastAsia="Book Antiqua" w:hAnsi="Book Antiqua" w:cs="Book Antiqua"/>
          <w:color w:val="000000"/>
        </w:rPr>
        <w:t>: 276-282 [PMID: 9744604 DOI: 10.1016/s0016-5107(98)70191-9]</w:t>
      </w:r>
    </w:p>
    <w:p w14:paraId="16556D7E" w14:textId="42AABB5B" w:rsidR="00A77B3E" w:rsidRDefault="00E3649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Hosoe N</w:t>
      </w:r>
      <w:r>
        <w:rPr>
          <w:rFonts w:ascii="Book Antiqua" w:eastAsia="Book Antiqua" w:hAnsi="Book Antiqua" w:cs="Book Antiqua"/>
          <w:color w:val="000000"/>
        </w:rPr>
        <w:t xml:space="preserve">, Nakashita M, Imaeda H, Sujino T, Bessho R, Ichikawa R, Inoue N, Kanai T, Hibi T, Ogata H. Comparison of patient acceptance of sodium phosphate </w:t>
      </w:r>
      <w:r>
        <w:rPr>
          <w:rFonts w:ascii="Book Antiqua" w:eastAsia="Book Antiqua" w:hAnsi="Book Antiqua" w:cs="Book Antiqua"/>
          <w:i/>
          <w:iCs/>
          <w:color w:val="000000"/>
        </w:rPr>
        <w:t>v</w:t>
      </w:r>
      <w:r w:rsidR="00D24A5B">
        <w:rPr>
          <w:rFonts w:ascii="Book Antiqua" w:eastAsia="Book Antiqua" w:hAnsi="Book Antiqua" w:cs="Book Antiqua"/>
          <w:i/>
          <w:iCs/>
          <w:color w:val="000000"/>
        </w:rPr>
        <w:t>er</w:t>
      </w:r>
      <w:r>
        <w:rPr>
          <w:rFonts w:ascii="Book Antiqua" w:eastAsia="Book Antiqua" w:hAnsi="Book Antiqua" w:cs="Book Antiqua"/>
          <w:i/>
          <w:iCs/>
          <w:color w:val="000000"/>
        </w:rPr>
        <w:t>s</w:t>
      </w:r>
      <w:r w:rsidR="00D24A5B">
        <w:rPr>
          <w:rFonts w:ascii="Book Antiqua" w:eastAsia="Book Antiqua" w:hAnsi="Book Antiqua" w:cs="Book Antiqua"/>
          <w:i/>
          <w:iCs/>
          <w:color w:val="000000"/>
        </w:rPr>
        <w:t>us</w:t>
      </w:r>
      <w:r>
        <w:rPr>
          <w:rFonts w:ascii="Book Antiqua" w:eastAsia="Book Antiqua" w:hAnsi="Book Antiqua" w:cs="Book Antiqua"/>
          <w:color w:val="000000"/>
        </w:rPr>
        <w:t xml:space="preserve"> polyethylene glycol plus sodium picosulfate for colon cleansing in Japanese.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1617-1622 [PMID: 22646064 DOI: 10.1111/j.1440-1746.2012.07190.x]</w:t>
      </w:r>
    </w:p>
    <w:p w14:paraId="665637FD" w14:textId="77777777" w:rsidR="00A77B3E" w:rsidRDefault="00E3649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Kastenberg D</w:t>
      </w:r>
      <w:r>
        <w:rPr>
          <w:rFonts w:ascii="Book Antiqua" w:eastAsia="Book Antiqua" w:hAnsi="Book Antiqua" w:cs="Book Antiqua"/>
          <w:color w:val="000000"/>
        </w:rPr>
        <w:t xml:space="preserve">, Chasen R, Choudhary C, Riff D, Steinberg S, Weiss E, Wruble L. Efficacy and safety of sodium phosphate tablets compared with PEG solution in colon cleansing: two identically designed, randomized, controlled, parallel group, multicenter phase III trials.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705-713 [PMID: 11726845 DOI: 10.1067/mge.2001.119733]</w:t>
      </w:r>
    </w:p>
    <w:p w14:paraId="757EDD3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F92EEB" w14:textId="77777777" w:rsidR="00A77B3E" w:rsidRDefault="00E36496">
      <w:pPr>
        <w:spacing w:line="360" w:lineRule="auto"/>
        <w:jc w:val="both"/>
      </w:pPr>
      <w:r>
        <w:rPr>
          <w:rFonts w:ascii="Book Antiqua" w:eastAsia="Book Antiqua" w:hAnsi="Book Antiqua" w:cs="Book Antiqua"/>
          <w:b/>
          <w:color w:val="000000"/>
        </w:rPr>
        <w:lastRenderedPageBreak/>
        <w:t>Footnotes</w:t>
      </w:r>
    </w:p>
    <w:p w14:paraId="5889C02A" w14:textId="647C8FED" w:rsidR="00A77B3E" w:rsidRDefault="00E3649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w:t>
      </w:r>
      <w:r w:rsidR="00F56454" w:rsidRPr="00F56454">
        <w:rPr>
          <w:rFonts w:ascii="Book Antiqua" w:eastAsia="Book Antiqua" w:hAnsi="Book Antiqua" w:cs="Book Antiqua"/>
          <w:color w:val="000000"/>
        </w:rPr>
        <w:t>Institutional Review Boards</w:t>
      </w:r>
      <w:r>
        <w:rPr>
          <w:rFonts w:ascii="Book Antiqua" w:eastAsia="Book Antiqua" w:hAnsi="Book Antiqua" w:cs="Book Antiqua"/>
          <w:color w:val="000000"/>
        </w:rPr>
        <w:t xml:space="preserve"> of China Medical University Hospital (CMUH107-REC2-151) and Taipei Tzu Chi Hospital (08-FS-030). Study methods were conducted in accordance with the </w:t>
      </w:r>
      <w:r w:rsidR="00F56454" w:rsidRPr="00F56454">
        <w:rPr>
          <w:rFonts w:ascii="Book Antiqua" w:eastAsia="Book Antiqua" w:hAnsi="Book Antiqua" w:cs="Book Antiqua"/>
          <w:color w:val="000000"/>
        </w:rPr>
        <w:t>Institutional Review Board</w:t>
      </w:r>
      <w:r>
        <w:rPr>
          <w:rFonts w:ascii="Book Antiqua" w:eastAsia="Book Antiqua" w:hAnsi="Book Antiqua" w:cs="Book Antiqua"/>
          <w:color w:val="000000"/>
        </w:rPr>
        <w:t xml:space="preserve"> committee guidelines.</w:t>
      </w:r>
    </w:p>
    <w:p w14:paraId="379E0072" w14:textId="77777777" w:rsidR="00A77B3E" w:rsidRDefault="00A77B3E">
      <w:pPr>
        <w:spacing w:line="360" w:lineRule="auto"/>
        <w:jc w:val="both"/>
      </w:pPr>
    </w:p>
    <w:p w14:paraId="4383F28D" w14:textId="77777777" w:rsidR="00A77B3E" w:rsidRDefault="00E36496">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has been registered at https://clinicaltrials.gov/ct2/show/NCT03992365 (ID: NCT03992365).</w:t>
      </w:r>
    </w:p>
    <w:p w14:paraId="37FCDC98" w14:textId="77777777" w:rsidR="00A77B3E" w:rsidRDefault="00A77B3E">
      <w:pPr>
        <w:spacing w:line="360" w:lineRule="auto"/>
        <w:jc w:val="both"/>
      </w:pPr>
    </w:p>
    <w:p w14:paraId="7AA79718" w14:textId="77777777" w:rsidR="00A77B3E" w:rsidRDefault="00E3649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provided by all study participants.</w:t>
      </w:r>
    </w:p>
    <w:p w14:paraId="0A5C78CC" w14:textId="77777777" w:rsidR="00A77B3E" w:rsidRDefault="00A77B3E">
      <w:pPr>
        <w:spacing w:line="360" w:lineRule="auto"/>
        <w:jc w:val="both"/>
      </w:pPr>
    </w:p>
    <w:p w14:paraId="1892CE01" w14:textId="6FBE391E" w:rsidR="00A77B3E" w:rsidRDefault="00E3649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Quiklean</w:t>
      </w:r>
      <w:r w:rsidR="00A32B65" w:rsidRPr="00A32B6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provided by Universal Integrated Corporation (Taiwan). The authors have no conflicts of interest to declare.</w:t>
      </w:r>
    </w:p>
    <w:p w14:paraId="52F5B010" w14:textId="77777777" w:rsidR="00A77B3E" w:rsidRDefault="00A77B3E">
      <w:pPr>
        <w:spacing w:line="360" w:lineRule="auto"/>
        <w:jc w:val="both"/>
      </w:pPr>
    </w:p>
    <w:p w14:paraId="36703C64" w14:textId="77777777" w:rsidR="00A77B3E" w:rsidRDefault="00E3649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AC9955C" w14:textId="77777777" w:rsidR="00A77B3E" w:rsidRDefault="00A77B3E">
      <w:pPr>
        <w:spacing w:line="360" w:lineRule="auto"/>
        <w:jc w:val="both"/>
      </w:pPr>
    </w:p>
    <w:p w14:paraId="72739368" w14:textId="5FBB7CBD" w:rsidR="00A77B3E" w:rsidRDefault="00E36496">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 xml:space="preserve">The authors have read the CONSORT 2010 </w:t>
      </w:r>
      <w:r w:rsidR="00FA24FE">
        <w:rPr>
          <w:rFonts w:ascii="Book Antiqua" w:eastAsia="Book Antiqua" w:hAnsi="Book Antiqua" w:cs="Book Antiqua"/>
          <w:color w:val="000000"/>
        </w:rPr>
        <w:t>S</w:t>
      </w:r>
      <w:r>
        <w:rPr>
          <w:rFonts w:ascii="Book Antiqua" w:eastAsia="Book Antiqua" w:hAnsi="Book Antiqua" w:cs="Book Antiqua"/>
          <w:color w:val="000000"/>
        </w:rPr>
        <w:t>tatement, and the manuscript was prepared and revised according to the CONSORT 2010 Statement.</w:t>
      </w:r>
    </w:p>
    <w:p w14:paraId="56EAE455" w14:textId="77777777" w:rsidR="00A77B3E" w:rsidRDefault="00A77B3E">
      <w:pPr>
        <w:spacing w:line="360" w:lineRule="auto"/>
        <w:jc w:val="both"/>
      </w:pPr>
    </w:p>
    <w:p w14:paraId="0C466BEC" w14:textId="77777777" w:rsidR="00A77B3E" w:rsidRDefault="00E3649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A6E473" w14:textId="77777777" w:rsidR="00A77B3E" w:rsidRDefault="00A77B3E">
      <w:pPr>
        <w:spacing w:line="360" w:lineRule="auto"/>
        <w:jc w:val="both"/>
      </w:pPr>
    </w:p>
    <w:p w14:paraId="1196CD99" w14:textId="23D4FC5E" w:rsidR="00A77B3E" w:rsidRDefault="00E3649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D0B95">
        <w:rPr>
          <w:rFonts w:ascii="Book Antiqua" w:eastAsia="Book Antiqua" w:hAnsi="Book Antiqua" w:cs="Book Antiqua"/>
          <w:color w:val="000000"/>
        </w:rPr>
        <w:t>m</w:t>
      </w:r>
      <w:r>
        <w:rPr>
          <w:rFonts w:ascii="Book Antiqua" w:eastAsia="Book Antiqua" w:hAnsi="Book Antiqua" w:cs="Book Antiqua"/>
          <w:color w:val="000000"/>
        </w:rPr>
        <w:t>anuscript</w:t>
      </w:r>
    </w:p>
    <w:p w14:paraId="615A1470" w14:textId="77777777" w:rsidR="00A77B3E" w:rsidRDefault="00A77B3E">
      <w:pPr>
        <w:spacing w:line="360" w:lineRule="auto"/>
        <w:jc w:val="both"/>
      </w:pPr>
    </w:p>
    <w:p w14:paraId="57CEECD2" w14:textId="77777777" w:rsidR="00A77B3E" w:rsidRDefault="00E3649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5, 2020</w:t>
      </w:r>
    </w:p>
    <w:p w14:paraId="38600FDA" w14:textId="77777777" w:rsidR="00A77B3E" w:rsidRDefault="00E36496">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December 13, 2020</w:t>
      </w:r>
    </w:p>
    <w:p w14:paraId="584CF6AF" w14:textId="77777777" w:rsidR="00A77B3E" w:rsidRDefault="00E36496">
      <w:pPr>
        <w:spacing w:line="360" w:lineRule="auto"/>
        <w:jc w:val="both"/>
      </w:pPr>
      <w:r>
        <w:rPr>
          <w:rFonts w:ascii="Book Antiqua" w:eastAsia="Book Antiqua" w:hAnsi="Book Antiqua" w:cs="Book Antiqua"/>
          <w:b/>
          <w:color w:val="000000"/>
        </w:rPr>
        <w:t xml:space="preserve">Article in press: </w:t>
      </w:r>
    </w:p>
    <w:p w14:paraId="1BA08546" w14:textId="77777777" w:rsidR="00A77B3E" w:rsidRDefault="00A77B3E">
      <w:pPr>
        <w:spacing w:line="360" w:lineRule="auto"/>
        <w:jc w:val="both"/>
      </w:pPr>
    </w:p>
    <w:p w14:paraId="78257EE8" w14:textId="2F3151D1" w:rsidR="00A77B3E" w:rsidRDefault="00E36496">
      <w:pPr>
        <w:spacing w:line="360" w:lineRule="auto"/>
        <w:jc w:val="both"/>
      </w:pPr>
      <w:r>
        <w:rPr>
          <w:rFonts w:ascii="Book Antiqua" w:eastAsia="Book Antiqua" w:hAnsi="Book Antiqua" w:cs="Book Antiqua"/>
          <w:b/>
          <w:color w:val="000000"/>
        </w:rPr>
        <w:t xml:space="preserve">Specialty type: </w:t>
      </w:r>
      <w:r w:rsidR="00030893" w:rsidRPr="00E700C2">
        <w:rPr>
          <w:rFonts w:ascii="Book Antiqua" w:eastAsia="Microsoft YaHei" w:hAnsi="Book Antiqua" w:cs="SimSun"/>
        </w:rPr>
        <w:t>Gastroenterology and hepatology</w:t>
      </w:r>
    </w:p>
    <w:p w14:paraId="51827820" w14:textId="77777777" w:rsidR="00A77B3E" w:rsidRDefault="00E3649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1547488E" w14:textId="77777777" w:rsidR="00A77B3E" w:rsidRDefault="00E36496">
      <w:pPr>
        <w:spacing w:line="360" w:lineRule="auto"/>
        <w:jc w:val="both"/>
      </w:pPr>
      <w:r>
        <w:rPr>
          <w:rFonts w:ascii="Book Antiqua" w:eastAsia="Book Antiqua" w:hAnsi="Book Antiqua" w:cs="Book Antiqua"/>
          <w:b/>
          <w:color w:val="000000"/>
        </w:rPr>
        <w:t>Peer-review report’s scientific quality classification</w:t>
      </w:r>
    </w:p>
    <w:p w14:paraId="6AB73CC3" w14:textId="77777777" w:rsidR="00A77B3E" w:rsidRDefault="00E36496">
      <w:pPr>
        <w:spacing w:line="360" w:lineRule="auto"/>
        <w:jc w:val="both"/>
      </w:pPr>
      <w:r>
        <w:rPr>
          <w:rFonts w:ascii="Book Antiqua" w:eastAsia="Book Antiqua" w:hAnsi="Book Antiqua" w:cs="Book Antiqua"/>
          <w:color w:val="000000"/>
        </w:rPr>
        <w:t>Grade A (Excellent): 0</w:t>
      </w:r>
    </w:p>
    <w:p w14:paraId="12A2E221" w14:textId="77777777" w:rsidR="00A77B3E" w:rsidRDefault="00E36496">
      <w:pPr>
        <w:spacing w:line="360" w:lineRule="auto"/>
        <w:jc w:val="both"/>
      </w:pPr>
      <w:r>
        <w:rPr>
          <w:rFonts w:ascii="Book Antiqua" w:eastAsia="Book Antiqua" w:hAnsi="Book Antiqua" w:cs="Book Antiqua"/>
          <w:color w:val="000000"/>
        </w:rPr>
        <w:t>Grade B (Very good): 0</w:t>
      </w:r>
    </w:p>
    <w:p w14:paraId="0DC9C4F0" w14:textId="77777777" w:rsidR="00A77B3E" w:rsidRDefault="00E36496">
      <w:pPr>
        <w:spacing w:line="360" w:lineRule="auto"/>
        <w:jc w:val="both"/>
      </w:pPr>
      <w:r>
        <w:rPr>
          <w:rFonts w:ascii="Book Antiqua" w:eastAsia="Book Antiqua" w:hAnsi="Book Antiqua" w:cs="Book Antiqua"/>
          <w:color w:val="000000"/>
        </w:rPr>
        <w:t>Grade C (Good): C</w:t>
      </w:r>
    </w:p>
    <w:p w14:paraId="1094E077" w14:textId="77777777" w:rsidR="00A77B3E" w:rsidRDefault="00E36496">
      <w:pPr>
        <w:spacing w:line="360" w:lineRule="auto"/>
        <w:jc w:val="both"/>
      </w:pPr>
      <w:r>
        <w:rPr>
          <w:rFonts w:ascii="Book Antiqua" w:eastAsia="Book Antiqua" w:hAnsi="Book Antiqua" w:cs="Book Antiqua"/>
          <w:color w:val="000000"/>
        </w:rPr>
        <w:t>Grade D (Fair): 0</w:t>
      </w:r>
    </w:p>
    <w:p w14:paraId="3A73EE54" w14:textId="77777777" w:rsidR="00A77B3E" w:rsidRDefault="00E36496">
      <w:pPr>
        <w:spacing w:line="360" w:lineRule="auto"/>
        <w:jc w:val="both"/>
      </w:pPr>
      <w:r>
        <w:rPr>
          <w:rFonts w:ascii="Book Antiqua" w:eastAsia="Book Antiqua" w:hAnsi="Book Antiqua" w:cs="Book Antiqua"/>
          <w:color w:val="000000"/>
        </w:rPr>
        <w:t>Grade E (Poor): 0</w:t>
      </w:r>
    </w:p>
    <w:p w14:paraId="0C8ACFBB" w14:textId="77777777" w:rsidR="00A77B3E" w:rsidRDefault="00A77B3E">
      <w:pPr>
        <w:spacing w:line="360" w:lineRule="auto"/>
        <w:jc w:val="both"/>
      </w:pPr>
    </w:p>
    <w:p w14:paraId="444FE9C9" w14:textId="7E8A4FCC" w:rsidR="00A77B3E" w:rsidRDefault="00E3649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Ho KY</w:t>
      </w:r>
      <w:r>
        <w:rPr>
          <w:rFonts w:ascii="Book Antiqua" w:eastAsia="Book Antiqua" w:hAnsi="Book Antiqua" w:cs="Book Antiqua"/>
          <w:b/>
          <w:color w:val="000000"/>
        </w:rPr>
        <w:t xml:space="preserve"> S-Editor: </w:t>
      </w:r>
      <w:r>
        <w:rPr>
          <w:rFonts w:ascii="Book Antiqua" w:eastAsia="Book Antiqua" w:hAnsi="Book Antiqua" w:cs="Book Antiqua"/>
          <w:color w:val="000000"/>
        </w:rPr>
        <w:t>Chen XF</w:t>
      </w:r>
      <w:r>
        <w:rPr>
          <w:rFonts w:ascii="Book Antiqua" w:eastAsia="Book Antiqua" w:hAnsi="Book Antiqua" w:cs="Book Antiqua"/>
          <w:b/>
          <w:color w:val="000000"/>
        </w:rPr>
        <w:t xml:space="preserve"> L-Editor: </w:t>
      </w:r>
      <w:r w:rsidR="00EF3AA3">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C2F4602" w14:textId="77777777" w:rsidR="00B7493A" w:rsidRDefault="00B7493A">
      <w:pPr>
        <w:spacing w:line="360" w:lineRule="auto"/>
        <w:jc w:val="both"/>
        <w:sectPr w:rsidR="00B7493A">
          <w:pgSz w:w="12240" w:h="15840"/>
          <w:pgMar w:top="1440" w:right="1440" w:bottom="1440" w:left="1440" w:header="720" w:footer="720" w:gutter="0"/>
          <w:cols w:space="720"/>
          <w:docGrid w:linePitch="360"/>
        </w:sectPr>
      </w:pPr>
    </w:p>
    <w:p w14:paraId="48C8AE58" w14:textId="69529D96" w:rsidR="00A77B3E" w:rsidRDefault="00E3649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CC7D795" w14:textId="21BD1D36" w:rsidR="0080304A" w:rsidRPr="0080304A" w:rsidRDefault="0080304A" w:rsidP="0080304A">
      <w:pPr>
        <w:spacing w:line="360" w:lineRule="auto"/>
        <w:jc w:val="both"/>
        <w:rPr>
          <w:rFonts w:ascii="SimSun" w:eastAsia="SimSun" w:hAnsi="SimSun" w:cs="SimSun"/>
          <w:lang w:eastAsia="zh-CN"/>
        </w:rPr>
      </w:pPr>
      <w:r w:rsidRPr="0080304A">
        <w:rPr>
          <w:rFonts w:ascii="Book Antiqua" w:eastAsia="SimSun" w:hAnsi="Book Antiqua" w:cs="SimSun"/>
          <w:noProof/>
          <w:lang w:eastAsia="zh-CN"/>
        </w:rPr>
        <w:drawing>
          <wp:inline distT="0" distB="0" distL="0" distR="0" wp14:anchorId="5EA937A0" wp14:editId="78244021">
            <wp:extent cx="5943600" cy="3347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p>
    <w:p w14:paraId="55D53624" w14:textId="68CD5373" w:rsidR="00A77B3E" w:rsidRDefault="00E3649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Pr="00130F24">
        <w:rPr>
          <w:rFonts w:ascii="Book Antiqua" w:eastAsia="Book Antiqua" w:hAnsi="Book Antiqua" w:cs="Book Antiqua"/>
          <w:b/>
          <w:bCs/>
          <w:color w:val="000000"/>
        </w:rPr>
        <w:t xml:space="preserve"> Flow diagram of our randomized trial comparing Quiklean</w:t>
      </w:r>
      <w:r w:rsidR="00A60665" w:rsidRPr="00A60665">
        <w:rPr>
          <w:rFonts w:ascii="Book Antiqua" w:eastAsia="Book Antiqua" w:hAnsi="Book Antiqua" w:cs="Book Antiqua"/>
          <w:b/>
          <w:bCs/>
          <w:color w:val="000000"/>
          <w:vertAlign w:val="superscript"/>
        </w:rPr>
        <w:t>®</w:t>
      </w:r>
      <w:r w:rsidRPr="00130F24">
        <w:rPr>
          <w:rFonts w:ascii="Book Antiqua" w:eastAsia="Book Antiqua" w:hAnsi="Book Antiqua" w:cs="Book Antiqua"/>
          <w:b/>
          <w:bCs/>
          <w:color w:val="000000"/>
        </w:rPr>
        <w:t xml:space="preserve"> with Klean-Prep/Dulcolax</w:t>
      </w:r>
      <w:r w:rsidR="00F9406C" w:rsidRPr="00F9406C">
        <w:rPr>
          <w:rFonts w:ascii="Book Antiqua" w:eastAsia="Book Antiqua" w:hAnsi="Book Antiqua" w:cs="Book Antiqua"/>
          <w:b/>
          <w:bCs/>
          <w:color w:val="000000"/>
          <w:vertAlign w:val="superscript"/>
        </w:rPr>
        <w:t>®</w:t>
      </w:r>
      <w:r w:rsidRPr="00130F24">
        <w:rPr>
          <w:rFonts w:ascii="Book Antiqua" w:eastAsia="Book Antiqua" w:hAnsi="Book Antiqua" w:cs="Book Antiqua"/>
          <w:b/>
          <w:bCs/>
          <w:color w:val="000000"/>
        </w:rPr>
        <w:t>.</w:t>
      </w:r>
      <w:r>
        <w:rPr>
          <w:rFonts w:ascii="Book Antiqua" w:eastAsia="Book Antiqua" w:hAnsi="Book Antiqua" w:cs="Book Antiqua"/>
          <w:color w:val="000000"/>
        </w:rPr>
        <w:t xml:space="preserve"> A</w:t>
      </w:r>
      <w:r w:rsidR="00130F24">
        <w:rPr>
          <w:rFonts w:ascii="Book Antiqua" w:eastAsia="Book Antiqua" w:hAnsi="Book Antiqua" w:cs="Book Antiqua"/>
          <w:color w:val="000000"/>
        </w:rPr>
        <w:t>:</w:t>
      </w:r>
      <w:r>
        <w:rPr>
          <w:rFonts w:ascii="Book Antiqua" w:eastAsia="Book Antiqua" w:hAnsi="Book Antiqua" w:cs="Book Antiqua"/>
          <w:color w:val="000000"/>
        </w:rPr>
        <w:t xml:space="preserve"> Flow chart of the study design and timetable</w:t>
      </w:r>
      <w:r w:rsidR="00130F24">
        <w:rPr>
          <w:rFonts w:ascii="Book Antiqua" w:eastAsia="Book Antiqua" w:hAnsi="Book Antiqua" w:cs="Book Antiqua"/>
          <w:color w:val="000000"/>
        </w:rPr>
        <w:t>;</w:t>
      </w:r>
      <w:r>
        <w:rPr>
          <w:rFonts w:ascii="Book Antiqua" w:eastAsia="Book Antiqua" w:hAnsi="Book Antiqua" w:cs="Book Antiqua"/>
          <w:color w:val="000000"/>
        </w:rPr>
        <w:t xml:space="preserve"> B</w:t>
      </w:r>
      <w:r w:rsidR="00130F24">
        <w:rPr>
          <w:rFonts w:ascii="Book Antiqua" w:eastAsia="Book Antiqua" w:hAnsi="Book Antiqua" w:cs="Book Antiqua"/>
          <w:color w:val="000000"/>
        </w:rPr>
        <w:t>:</w:t>
      </w:r>
      <w:r>
        <w:rPr>
          <w:rFonts w:ascii="Book Antiqua" w:eastAsia="Book Antiqua" w:hAnsi="Book Antiqua" w:cs="Book Antiqua"/>
          <w:color w:val="000000"/>
        </w:rPr>
        <w:t xml:space="preserve"> Flow diagram of study subjects and subject numbers, with reasons for withdrawals.</w:t>
      </w:r>
    </w:p>
    <w:p w14:paraId="083B3D35" w14:textId="77777777" w:rsidR="006D1775" w:rsidRDefault="006D1775">
      <w:pPr>
        <w:spacing w:line="360" w:lineRule="auto"/>
        <w:jc w:val="both"/>
        <w:sectPr w:rsidR="006D1775">
          <w:pgSz w:w="12240" w:h="15840"/>
          <w:pgMar w:top="1440" w:right="1440" w:bottom="1440" w:left="1440" w:header="720" w:footer="720" w:gutter="0"/>
          <w:cols w:space="720"/>
          <w:docGrid w:linePitch="360"/>
        </w:sectPr>
      </w:pPr>
    </w:p>
    <w:p w14:paraId="31440089" w14:textId="5D007DDB" w:rsidR="007D55E9" w:rsidRPr="007D55E9" w:rsidRDefault="007D55E9" w:rsidP="007D55E9">
      <w:pPr>
        <w:pStyle w:val="Caption"/>
        <w:spacing w:after="0" w:line="360" w:lineRule="auto"/>
        <w:jc w:val="both"/>
        <w:rPr>
          <w:rFonts w:ascii="Book Antiqua" w:hAnsi="Book Antiqua"/>
          <w:b/>
        </w:rPr>
      </w:pPr>
      <w:r w:rsidRPr="007D55E9">
        <w:rPr>
          <w:rFonts w:ascii="Book Antiqua" w:hAnsi="Book Antiqua"/>
          <w:b/>
        </w:rPr>
        <w:lastRenderedPageBreak/>
        <w:t>Table 1 Study event schedule</w:t>
      </w:r>
    </w:p>
    <w:tbl>
      <w:tblPr>
        <w:tblpPr w:leftFromText="180" w:rightFromText="180" w:vertAnchor="text" w:horzAnchor="margin" w:tblpY="1"/>
        <w:tblW w:w="5000" w:type="pct"/>
        <w:tblBorders>
          <w:top w:val="single" w:sz="4" w:space="0" w:color="auto"/>
          <w:bottom w:val="single" w:sz="4" w:space="0" w:color="auto"/>
        </w:tblBorders>
        <w:tblCellMar>
          <w:left w:w="33" w:type="dxa"/>
          <w:right w:w="33" w:type="dxa"/>
        </w:tblCellMar>
        <w:tblLook w:val="0000" w:firstRow="0" w:lastRow="0" w:firstColumn="0" w:lastColumn="0" w:noHBand="0" w:noVBand="0"/>
      </w:tblPr>
      <w:tblGrid>
        <w:gridCol w:w="3701"/>
        <w:gridCol w:w="1973"/>
        <w:gridCol w:w="2610"/>
        <w:gridCol w:w="1428"/>
        <w:gridCol w:w="2022"/>
        <w:gridCol w:w="1226"/>
      </w:tblGrid>
      <w:tr w:rsidR="0095783D" w:rsidRPr="007D55E9" w14:paraId="561EBA75" w14:textId="77777777" w:rsidTr="006F62D3">
        <w:trPr>
          <w:cantSplit/>
          <w:trHeight w:val="428"/>
        </w:trPr>
        <w:tc>
          <w:tcPr>
            <w:tcW w:w="1428" w:type="pct"/>
            <w:tcBorders>
              <w:top w:val="single" w:sz="4" w:space="0" w:color="auto"/>
              <w:bottom w:val="single" w:sz="4" w:space="0" w:color="auto"/>
            </w:tcBorders>
            <w:vAlign w:val="center"/>
          </w:tcPr>
          <w:p w14:paraId="1A579C0A" w14:textId="77777777" w:rsidR="007D55E9" w:rsidRPr="007D55E9" w:rsidRDefault="007D55E9" w:rsidP="007D55E9">
            <w:pPr>
              <w:pStyle w:val="table"/>
              <w:keepNext w:val="0"/>
              <w:keepLines w:val="0"/>
              <w:tabs>
                <w:tab w:val="clear" w:pos="-720"/>
                <w:tab w:val="left" w:pos="-6733"/>
                <w:tab w:val="left" w:pos="-5678"/>
              </w:tabs>
              <w:snapToGrid w:val="0"/>
              <w:spacing w:line="360" w:lineRule="auto"/>
              <w:jc w:val="center"/>
              <w:rPr>
                <w:rFonts w:ascii="Book Antiqua" w:hAnsi="Book Antiqua"/>
                <w:b/>
                <w:spacing w:val="-2"/>
                <w:sz w:val="24"/>
                <w:szCs w:val="24"/>
              </w:rPr>
            </w:pPr>
          </w:p>
        </w:tc>
        <w:tc>
          <w:tcPr>
            <w:tcW w:w="761" w:type="pct"/>
            <w:tcBorders>
              <w:top w:val="single" w:sz="4" w:space="0" w:color="auto"/>
              <w:bottom w:val="single" w:sz="4" w:space="0" w:color="auto"/>
            </w:tcBorders>
            <w:vAlign w:val="center"/>
          </w:tcPr>
          <w:p w14:paraId="2E09E6C1" w14:textId="61D53868" w:rsidR="007D55E9" w:rsidRPr="007D55E9" w:rsidRDefault="007D55E9" w:rsidP="007D55E9">
            <w:pPr>
              <w:pStyle w:val="table"/>
              <w:keepNext w:val="0"/>
              <w:keepLines w:val="0"/>
              <w:tabs>
                <w:tab w:val="clear" w:pos="-720"/>
                <w:tab w:val="left" w:pos="-6733"/>
                <w:tab w:val="left" w:pos="-5678"/>
                <w:tab w:val="left" w:pos="-1792"/>
                <w:tab w:val="left" w:pos="-737"/>
              </w:tabs>
              <w:snapToGrid w:val="0"/>
              <w:spacing w:line="360" w:lineRule="auto"/>
              <w:ind w:left="-34"/>
              <w:jc w:val="center"/>
              <w:rPr>
                <w:rFonts w:ascii="Book Antiqua" w:hAnsi="Book Antiqua"/>
                <w:b/>
                <w:spacing w:val="-2"/>
                <w:sz w:val="24"/>
                <w:szCs w:val="24"/>
              </w:rPr>
            </w:pPr>
            <w:r w:rsidRPr="007D55E9">
              <w:rPr>
                <w:rFonts w:ascii="Book Antiqua" w:hAnsi="Book Antiqua"/>
                <w:b/>
                <w:spacing w:val="-2"/>
                <w:sz w:val="24"/>
                <w:szCs w:val="24"/>
              </w:rPr>
              <w:t xml:space="preserve">Screening </w:t>
            </w:r>
            <w:r w:rsidR="009A200E" w:rsidRPr="007D55E9">
              <w:rPr>
                <w:rFonts w:ascii="Book Antiqua" w:hAnsi="Book Antiqua"/>
                <w:b/>
                <w:spacing w:val="-2"/>
                <w:sz w:val="24"/>
                <w:szCs w:val="24"/>
              </w:rPr>
              <w:t>v</w:t>
            </w:r>
            <w:r w:rsidRPr="007D55E9">
              <w:rPr>
                <w:rFonts w:ascii="Book Antiqua" w:hAnsi="Book Antiqua"/>
                <w:b/>
                <w:spacing w:val="-2"/>
                <w:sz w:val="24"/>
                <w:szCs w:val="24"/>
              </w:rPr>
              <w:t>isit</w:t>
            </w:r>
          </w:p>
        </w:tc>
        <w:tc>
          <w:tcPr>
            <w:tcW w:w="1007" w:type="pct"/>
            <w:tcBorders>
              <w:top w:val="single" w:sz="4" w:space="0" w:color="auto"/>
              <w:bottom w:val="single" w:sz="4" w:space="0" w:color="auto"/>
            </w:tcBorders>
            <w:vAlign w:val="center"/>
          </w:tcPr>
          <w:p w14:paraId="4CE639A7" w14:textId="22883EE3" w:rsidR="007D55E9" w:rsidRPr="007D55E9" w:rsidRDefault="007D55E9" w:rsidP="007D55E9">
            <w:pPr>
              <w:pStyle w:val="table"/>
              <w:keepNext w:val="0"/>
              <w:keepLines w:val="0"/>
              <w:tabs>
                <w:tab w:val="clear" w:pos="-720"/>
                <w:tab w:val="left" w:pos="-6733"/>
                <w:tab w:val="left" w:pos="-5678"/>
                <w:tab w:val="left" w:pos="-4603"/>
              </w:tabs>
              <w:snapToGrid w:val="0"/>
              <w:spacing w:line="360" w:lineRule="auto"/>
              <w:jc w:val="center"/>
              <w:rPr>
                <w:rFonts w:ascii="Book Antiqua" w:hAnsi="Book Antiqua"/>
                <w:b/>
                <w:spacing w:val="-2"/>
                <w:sz w:val="24"/>
                <w:szCs w:val="24"/>
              </w:rPr>
            </w:pPr>
            <w:r w:rsidRPr="007D55E9">
              <w:rPr>
                <w:rFonts w:ascii="Book Antiqua" w:hAnsi="Book Antiqua"/>
                <w:b/>
                <w:spacing w:val="-2"/>
                <w:sz w:val="24"/>
                <w:szCs w:val="24"/>
              </w:rPr>
              <w:t xml:space="preserve">Randomization </w:t>
            </w:r>
            <w:r w:rsidR="009A200E" w:rsidRPr="007D55E9">
              <w:rPr>
                <w:rFonts w:ascii="Book Antiqua" w:hAnsi="Book Antiqua"/>
                <w:b/>
                <w:spacing w:val="-2"/>
                <w:sz w:val="24"/>
                <w:szCs w:val="24"/>
              </w:rPr>
              <w:t>v</w:t>
            </w:r>
            <w:r w:rsidRPr="007D55E9">
              <w:rPr>
                <w:rFonts w:ascii="Book Antiqua" w:hAnsi="Book Antiqua"/>
                <w:b/>
                <w:spacing w:val="-2"/>
                <w:sz w:val="24"/>
                <w:szCs w:val="24"/>
              </w:rPr>
              <w:t>isit</w:t>
            </w:r>
            <w:r>
              <w:rPr>
                <w:rFonts w:ascii="Book Antiqua" w:hAnsi="Book Antiqua"/>
                <w:b/>
                <w:spacing w:val="-2"/>
                <w:sz w:val="24"/>
                <w:szCs w:val="24"/>
                <w:vertAlign w:val="superscript"/>
              </w:rPr>
              <w:t>1</w:t>
            </w:r>
          </w:p>
        </w:tc>
        <w:tc>
          <w:tcPr>
            <w:tcW w:w="551" w:type="pct"/>
            <w:tcBorders>
              <w:top w:val="single" w:sz="4" w:space="0" w:color="auto"/>
              <w:bottom w:val="single" w:sz="4" w:space="0" w:color="auto"/>
            </w:tcBorders>
            <w:vAlign w:val="center"/>
          </w:tcPr>
          <w:p w14:paraId="373E96B5" w14:textId="0EFF176D" w:rsidR="007D55E9" w:rsidRPr="007D55E9" w:rsidRDefault="007D55E9" w:rsidP="007D55E9">
            <w:pPr>
              <w:pStyle w:val="table"/>
              <w:keepNext w:val="0"/>
              <w:keepLines w:val="0"/>
              <w:tabs>
                <w:tab w:val="clear" w:pos="-720"/>
                <w:tab w:val="left" w:pos="-6733"/>
                <w:tab w:val="left" w:pos="-5678"/>
              </w:tabs>
              <w:snapToGrid w:val="0"/>
              <w:spacing w:line="360" w:lineRule="auto"/>
              <w:jc w:val="center"/>
              <w:rPr>
                <w:rFonts w:ascii="Book Antiqua" w:hAnsi="Book Antiqua"/>
                <w:b/>
                <w:spacing w:val="-2"/>
                <w:sz w:val="24"/>
                <w:szCs w:val="24"/>
              </w:rPr>
            </w:pPr>
            <w:r w:rsidRPr="007D55E9">
              <w:rPr>
                <w:rFonts w:ascii="Book Antiqua" w:hAnsi="Book Antiqua"/>
                <w:b/>
                <w:spacing w:val="-2"/>
                <w:sz w:val="24"/>
                <w:szCs w:val="24"/>
              </w:rPr>
              <w:t xml:space="preserve">Regimen </w:t>
            </w:r>
            <w:r w:rsidR="009A200E" w:rsidRPr="007D55E9">
              <w:rPr>
                <w:rFonts w:ascii="Book Antiqua" w:hAnsi="Book Antiqua"/>
                <w:b/>
                <w:spacing w:val="-2"/>
                <w:sz w:val="24"/>
                <w:szCs w:val="24"/>
              </w:rPr>
              <w:t>s</w:t>
            </w:r>
            <w:r w:rsidRPr="007D55E9">
              <w:rPr>
                <w:rFonts w:ascii="Book Antiqua" w:hAnsi="Book Antiqua"/>
                <w:b/>
                <w:spacing w:val="-2"/>
                <w:sz w:val="24"/>
                <w:szCs w:val="24"/>
              </w:rPr>
              <w:t>tart</w:t>
            </w:r>
          </w:p>
        </w:tc>
        <w:tc>
          <w:tcPr>
            <w:tcW w:w="780" w:type="pct"/>
            <w:tcBorders>
              <w:top w:val="single" w:sz="4" w:space="0" w:color="auto"/>
              <w:bottom w:val="single" w:sz="4" w:space="0" w:color="auto"/>
            </w:tcBorders>
            <w:vAlign w:val="center"/>
          </w:tcPr>
          <w:p w14:paraId="77286BD3" w14:textId="06D722D9" w:rsidR="007D55E9" w:rsidRPr="007D55E9" w:rsidRDefault="007D55E9" w:rsidP="007D55E9">
            <w:pPr>
              <w:pStyle w:val="table"/>
              <w:keepNext w:val="0"/>
              <w:keepLines w:val="0"/>
              <w:tabs>
                <w:tab w:val="clear" w:pos="-720"/>
                <w:tab w:val="left" w:pos="-6733"/>
                <w:tab w:val="left" w:pos="-5678"/>
              </w:tabs>
              <w:snapToGrid w:val="0"/>
              <w:spacing w:line="360" w:lineRule="auto"/>
              <w:jc w:val="center"/>
              <w:rPr>
                <w:rFonts w:ascii="Book Antiqua" w:hAnsi="Book Antiqua"/>
                <w:b/>
                <w:spacing w:val="-2"/>
                <w:sz w:val="24"/>
                <w:szCs w:val="24"/>
              </w:rPr>
            </w:pPr>
            <w:r w:rsidRPr="007D55E9">
              <w:rPr>
                <w:rFonts w:ascii="Book Antiqua" w:hAnsi="Book Antiqua"/>
                <w:b/>
                <w:spacing w:val="-2"/>
                <w:sz w:val="24"/>
                <w:szCs w:val="24"/>
              </w:rPr>
              <w:t xml:space="preserve">Colonoscopy </w:t>
            </w:r>
            <w:r w:rsidR="009A200E" w:rsidRPr="007D55E9">
              <w:rPr>
                <w:rFonts w:ascii="Book Antiqua" w:hAnsi="Book Antiqua"/>
                <w:b/>
                <w:spacing w:val="-2"/>
                <w:sz w:val="24"/>
                <w:szCs w:val="24"/>
              </w:rPr>
              <w:t>v</w:t>
            </w:r>
            <w:r w:rsidRPr="007D55E9">
              <w:rPr>
                <w:rFonts w:ascii="Book Antiqua" w:hAnsi="Book Antiqua"/>
                <w:b/>
                <w:spacing w:val="-2"/>
                <w:sz w:val="24"/>
                <w:szCs w:val="24"/>
              </w:rPr>
              <w:t>isit</w:t>
            </w:r>
          </w:p>
        </w:tc>
        <w:tc>
          <w:tcPr>
            <w:tcW w:w="473" w:type="pct"/>
            <w:tcBorders>
              <w:top w:val="single" w:sz="4" w:space="0" w:color="auto"/>
              <w:bottom w:val="single" w:sz="4" w:space="0" w:color="auto"/>
            </w:tcBorders>
            <w:vAlign w:val="center"/>
          </w:tcPr>
          <w:p w14:paraId="64BD8831" w14:textId="3F2D9127" w:rsidR="007D55E9" w:rsidRPr="007D55E9" w:rsidRDefault="007D55E9" w:rsidP="007D55E9">
            <w:pPr>
              <w:pStyle w:val="table"/>
              <w:keepNext w:val="0"/>
              <w:keepLines w:val="0"/>
              <w:tabs>
                <w:tab w:val="clear" w:pos="-720"/>
                <w:tab w:val="left" w:pos="-6733"/>
                <w:tab w:val="left" w:pos="-5678"/>
              </w:tabs>
              <w:snapToGrid w:val="0"/>
              <w:spacing w:line="360" w:lineRule="auto"/>
              <w:jc w:val="center"/>
              <w:rPr>
                <w:rFonts w:ascii="Book Antiqua" w:hAnsi="Book Antiqua"/>
                <w:b/>
                <w:spacing w:val="-2"/>
                <w:sz w:val="24"/>
                <w:szCs w:val="24"/>
              </w:rPr>
            </w:pPr>
            <w:r w:rsidRPr="007D55E9">
              <w:rPr>
                <w:rFonts w:ascii="Book Antiqua" w:hAnsi="Book Antiqua"/>
                <w:b/>
                <w:spacing w:val="-2"/>
                <w:sz w:val="24"/>
                <w:szCs w:val="24"/>
              </w:rPr>
              <w:t xml:space="preserve">Follow-up </w:t>
            </w:r>
            <w:r w:rsidR="009A200E" w:rsidRPr="007D55E9">
              <w:rPr>
                <w:rFonts w:ascii="Book Antiqua" w:hAnsi="Book Antiqua"/>
                <w:b/>
                <w:spacing w:val="-2"/>
                <w:sz w:val="24"/>
                <w:szCs w:val="24"/>
              </w:rPr>
              <w:t>v</w:t>
            </w:r>
            <w:r w:rsidRPr="007D55E9">
              <w:rPr>
                <w:rFonts w:ascii="Book Antiqua" w:hAnsi="Book Antiqua"/>
                <w:b/>
                <w:spacing w:val="-2"/>
                <w:sz w:val="24"/>
                <w:szCs w:val="24"/>
              </w:rPr>
              <w:t>isit</w:t>
            </w:r>
          </w:p>
        </w:tc>
      </w:tr>
      <w:tr w:rsidR="0095783D" w:rsidRPr="007D55E9" w14:paraId="6551F77E" w14:textId="77777777" w:rsidTr="006F62D3">
        <w:trPr>
          <w:cantSplit/>
          <w:trHeight w:val="231"/>
        </w:trPr>
        <w:tc>
          <w:tcPr>
            <w:tcW w:w="1428" w:type="pct"/>
            <w:tcBorders>
              <w:top w:val="single" w:sz="4" w:space="0" w:color="auto"/>
            </w:tcBorders>
            <w:vAlign w:val="center"/>
          </w:tcPr>
          <w:p w14:paraId="73E4019A" w14:textId="77777777" w:rsidR="007D55E9" w:rsidRPr="00F7497B" w:rsidRDefault="007D55E9" w:rsidP="007D55E9">
            <w:pPr>
              <w:pStyle w:val="table"/>
              <w:keepNext w:val="0"/>
              <w:keepLines w:val="0"/>
              <w:tabs>
                <w:tab w:val="clear" w:pos="-720"/>
                <w:tab w:val="left" w:pos="-893"/>
                <w:tab w:val="left" w:pos="162"/>
              </w:tabs>
              <w:snapToGrid w:val="0"/>
              <w:spacing w:line="360" w:lineRule="auto"/>
              <w:jc w:val="both"/>
              <w:rPr>
                <w:rFonts w:ascii="Book Antiqua" w:eastAsia="Microsoft YaHei" w:hAnsi="Book Antiqua"/>
                <w:spacing w:val="-2"/>
                <w:sz w:val="24"/>
                <w:szCs w:val="24"/>
              </w:rPr>
            </w:pPr>
            <w:r w:rsidRPr="00F7497B">
              <w:rPr>
                <w:rFonts w:ascii="Book Antiqua" w:eastAsia="Microsoft YaHei" w:hAnsi="Book Antiqua"/>
                <w:spacing w:val="-2"/>
                <w:sz w:val="24"/>
                <w:szCs w:val="24"/>
              </w:rPr>
              <w:t>Visit</w:t>
            </w:r>
          </w:p>
        </w:tc>
        <w:tc>
          <w:tcPr>
            <w:tcW w:w="761" w:type="pct"/>
            <w:tcBorders>
              <w:top w:val="single" w:sz="4" w:space="0" w:color="auto"/>
            </w:tcBorders>
            <w:vAlign w:val="center"/>
          </w:tcPr>
          <w:p w14:paraId="0D1E6EC1" w14:textId="77777777" w:rsidR="007D55E9" w:rsidRPr="00F7497B" w:rsidRDefault="007D55E9" w:rsidP="007D55E9">
            <w:pPr>
              <w:pStyle w:val="table"/>
              <w:keepNext w:val="0"/>
              <w:keepLines w:val="0"/>
              <w:tabs>
                <w:tab w:val="clear" w:pos="-720"/>
                <w:tab w:val="left" w:pos="-1792"/>
                <w:tab w:val="left" w:pos="-737"/>
              </w:tabs>
              <w:snapToGrid w:val="0"/>
              <w:spacing w:line="360" w:lineRule="auto"/>
              <w:ind w:left="-34"/>
              <w:jc w:val="both"/>
              <w:rPr>
                <w:rFonts w:ascii="Book Antiqua" w:eastAsia="Microsoft YaHei" w:hAnsi="Book Antiqua"/>
                <w:spacing w:val="-2"/>
                <w:sz w:val="24"/>
                <w:szCs w:val="24"/>
              </w:rPr>
            </w:pPr>
            <w:r w:rsidRPr="00F7497B">
              <w:rPr>
                <w:rFonts w:ascii="Book Antiqua" w:eastAsia="Microsoft YaHei" w:hAnsi="Book Antiqua"/>
                <w:spacing w:val="-2"/>
                <w:sz w:val="24"/>
                <w:szCs w:val="24"/>
              </w:rPr>
              <w:t>1</w:t>
            </w:r>
          </w:p>
        </w:tc>
        <w:tc>
          <w:tcPr>
            <w:tcW w:w="1007" w:type="pct"/>
            <w:tcBorders>
              <w:top w:val="single" w:sz="4" w:space="0" w:color="auto"/>
            </w:tcBorders>
            <w:vAlign w:val="center"/>
          </w:tcPr>
          <w:p w14:paraId="638B94B0" w14:textId="77777777" w:rsidR="007D55E9" w:rsidRPr="00F7497B" w:rsidRDefault="007D55E9" w:rsidP="007D55E9">
            <w:pPr>
              <w:pStyle w:val="table"/>
              <w:keepNext w:val="0"/>
              <w:keepLines w:val="0"/>
              <w:tabs>
                <w:tab w:val="clear" w:pos="-720"/>
                <w:tab w:val="left" w:pos="-5658"/>
                <w:tab w:val="left" w:pos="-4603"/>
              </w:tabs>
              <w:snapToGrid w:val="0"/>
              <w:spacing w:line="360" w:lineRule="auto"/>
              <w:jc w:val="both"/>
              <w:rPr>
                <w:rFonts w:ascii="Book Antiqua" w:eastAsia="Microsoft YaHei" w:hAnsi="Book Antiqua"/>
                <w:spacing w:val="-2"/>
                <w:sz w:val="24"/>
                <w:szCs w:val="24"/>
              </w:rPr>
            </w:pPr>
            <w:r w:rsidRPr="00F7497B">
              <w:rPr>
                <w:rFonts w:ascii="Book Antiqua" w:eastAsia="Microsoft YaHei" w:hAnsi="Book Antiqua"/>
                <w:spacing w:val="-2"/>
                <w:sz w:val="24"/>
                <w:szCs w:val="24"/>
              </w:rPr>
              <w:t>2</w:t>
            </w:r>
          </w:p>
        </w:tc>
        <w:tc>
          <w:tcPr>
            <w:tcW w:w="551" w:type="pct"/>
            <w:tcBorders>
              <w:top w:val="single" w:sz="4" w:space="0" w:color="auto"/>
            </w:tcBorders>
            <w:vAlign w:val="center"/>
          </w:tcPr>
          <w:p w14:paraId="7CD41513" w14:textId="77777777" w:rsidR="007D55E9" w:rsidRPr="00F7497B" w:rsidRDefault="007D55E9" w:rsidP="007D55E9">
            <w:pPr>
              <w:pStyle w:val="table"/>
              <w:keepNext w:val="0"/>
              <w:keepLines w:val="0"/>
              <w:tabs>
                <w:tab w:val="clear" w:pos="-720"/>
                <w:tab w:val="left" w:pos="-6733"/>
                <w:tab w:val="left" w:pos="-5678"/>
              </w:tabs>
              <w:snapToGrid w:val="0"/>
              <w:spacing w:line="360" w:lineRule="auto"/>
              <w:jc w:val="both"/>
              <w:rPr>
                <w:rFonts w:ascii="Book Antiqua" w:eastAsia="Microsoft YaHei" w:hAnsi="Book Antiqua"/>
                <w:spacing w:val="-2"/>
                <w:sz w:val="24"/>
                <w:szCs w:val="24"/>
              </w:rPr>
            </w:pPr>
          </w:p>
        </w:tc>
        <w:tc>
          <w:tcPr>
            <w:tcW w:w="780" w:type="pct"/>
            <w:tcBorders>
              <w:top w:val="single" w:sz="4" w:space="0" w:color="auto"/>
            </w:tcBorders>
            <w:vAlign w:val="center"/>
          </w:tcPr>
          <w:p w14:paraId="6F3984BE" w14:textId="77777777" w:rsidR="007D55E9" w:rsidRPr="00F7497B" w:rsidRDefault="007D55E9" w:rsidP="007D55E9">
            <w:pPr>
              <w:pStyle w:val="table"/>
              <w:keepNext w:val="0"/>
              <w:keepLines w:val="0"/>
              <w:tabs>
                <w:tab w:val="clear" w:pos="-720"/>
                <w:tab w:val="left" w:pos="-6733"/>
                <w:tab w:val="left" w:pos="-5678"/>
              </w:tabs>
              <w:snapToGrid w:val="0"/>
              <w:spacing w:line="360" w:lineRule="auto"/>
              <w:jc w:val="both"/>
              <w:rPr>
                <w:rFonts w:ascii="Book Antiqua" w:eastAsia="Microsoft YaHei" w:hAnsi="Book Antiqua"/>
                <w:spacing w:val="-2"/>
                <w:sz w:val="24"/>
                <w:szCs w:val="24"/>
              </w:rPr>
            </w:pPr>
            <w:r w:rsidRPr="00F7497B">
              <w:rPr>
                <w:rFonts w:ascii="Book Antiqua" w:eastAsia="Microsoft YaHei" w:hAnsi="Book Antiqua"/>
                <w:spacing w:val="-2"/>
                <w:sz w:val="24"/>
                <w:szCs w:val="24"/>
              </w:rPr>
              <w:t>3</w:t>
            </w:r>
          </w:p>
        </w:tc>
        <w:tc>
          <w:tcPr>
            <w:tcW w:w="473" w:type="pct"/>
            <w:tcBorders>
              <w:top w:val="single" w:sz="4" w:space="0" w:color="auto"/>
            </w:tcBorders>
          </w:tcPr>
          <w:p w14:paraId="0CA65D32" w14:textId="77777777" w:rsidR="007D55E9" w:rsidRPr="00F7497B" w:rsidRDefault="007D55E9" w:rsidP="007D55E9">
            <w:pPr>
              <w:pStyle w:val="table"/>
              <w:keepNext w:val="0"/>
              <w:keepLines w:val="0"/>
              <w:tabs>
                <w:tab w:val="clear" w:pos="-720"/>
                <w:tab w:val="left" w:pos="-6733"/>
                <w:tab w:val="left" w:pos="-5678"/>
              </w:tabs>
              <w:snapToGrid w:val="0"/>
              <w:spacing w:line="360" w:lineRule="auto"/>
              <w:jc w:val="both"/>
              <w:rPr>
                <w:rFonts w:ascii="Book Antiqua" w:eastAsia="Microsoft YaHei" w:hAnsi="Book Antiqua"/>
                <w:spacing w:val="-2"/>
                <w:sz w:val="24"/>
                <w:szCs w:val="24"/>
              </w:rPr>
            </w:pPr>
            <w:r w:rsidRPr="00F7497B">
              <w:rPr>
                <w:rFonts w:ascii="Book Antiqua" w:eastAsia="Microsoft YaHei" w:hAnsi="Book Antiqua"/>
                <w:spacing w:val="-2"/>
                <w:sz w:val="24"/>
                <w:szCs w:val="24"/>
              </w:rPr>
              <w:t>4</w:t>
            </w:r>
          </w:p>
        </w:tc>
      </w:tr>
      <w:tr w:rsidR="0095783D" w:rsidRPr="007D55E9" w14:paraId="3B6FFA2A" w14:textId="77777777" w:rsidTr="006F62D3">
        <w:trPr>
          <w:cantSplit/>
          <w:trHeight w:val="231"/>
        </w:trPr>
        <w:tc>
          <w:tcPr>
            <w:tcW w:w="1428" w:type="pct"/>
            <w:vAlign w:val="center"/>
          </w:tcPr>
          <w:p w14:paraId="14907CAF" w14:textId="77777777" w:rsidR="007D55E9" w:rsidRPr="00F7497B" w:rsidRDefault="007D55E9" w:rsidP="007D55E9">
            <w:pPr>
              <w:pStyle w:val="table"/>
              <w:keepNext w:val="0"/>
              <w:keepLines w:val="0"/>
              <w:tabs>
                <w:tab w:val="clear" w:pos="-720"/>
                <w:tab w:val="left" w:pos="-893"/>
                <w:tab w:val="left" w:pos="162"/>
              </w:tabs>
              <w:snapToGrid w:val="0"/>
              <w:spacing w:line="360" w:lineRule="auto"/>
              <w:jc w:val="both"/>
              <w:rPr>
                <w:rFonts w:ascii="Book Antiqua" w:eastAsia="Microsoft YaHei" w:hAnsi="Book Antiqua"/>
                <w:spacing w:val="-2"/>
                <w:sz w:val="24"/>
                <w:szCs w:val="24"/>
              </w:rPr>
            </w:pPr>
            <w:r w:rsidRPr="00F7497B">
              <w:rPr>
                <w:rFonts w:ascii="Book Antiqua" w:eastAsia="Microsoft YaHei" w:hAnsi="Book Antiqua"/>
                <w:spacing w:val="-2"/>
                <w:sz w:val="24"/>
                <w:szCs w:val="24"/>
              </w:rPr>
              <w:t>Day</w:t>
            </w:r>
          </w:p>
        </w:tc>
        <w:tc>
          <w:tcPr>
            <w:tcW w:w="761" w:type="pct"/>
            <w:vAlign w:val="center"/>
          </w:tcPr>
          <w:p w14:paraId="060C0C3C" w14:textId="2F561263" w:rsidR="007D55E9" w:rsidRPr="00F6698B" w:rsidRDefault="000E57AA" w:rsidP="000E57AA">
            <w:pPr>
              <w:pStyle w:val="table"/>
              <w:keepNext w:val="0"/>
              <w:keepLines w:val="0"/>
              <w:tabs>
                <w:tab w:val="left" w:pos="-1792"/>
              </w:tabs>
              <w:snapToGrid w:val="0"/>
              <w:spacing w:line="360" w:lineRule="auto"/>
              <w:jc w:val="both"/>
              <w:rPr>
                <w:rFonts w:ascii="Book Antiqua" w:eastAsia="Microsoft YaHei" w:hAnsi="Book Antiqua"/>
                <w:spacing w:val="-2"/>
                <w:sz w:val="24"/>
                <w:szCs w:val="24"/>
              </w:rPr>
            </w:pPr>
            <w:r>
              <w:rPr>
                <w:rFonts w:ascii="Book Antiqua" w:eastAsia="Yu Mincho" w:hAnsi="Book Antiqua"/>
                <w:spacing w:val="-2"/>
                <w:sz w:val="24"/>
                <w:szCs w:val="24"/>
              </w:rPr>
              <w:t>-</w:t>
            </w:r>
            <w:r w:rsidR="007D55E9" w:rsidRPr="00F6698B">
              <w:rPr>
                <w:rFonts w:ascii="Book Antiqua" w:eastAsia="Microsoft YaHei" w:hAnsi="Book Antiqua"/>
                <w:spacing w:val="-2"/>
                <w:sz w:val="24"/>
                <w:szCs w:val="24"/>
              </w:rPr>
              <w:t>8</w:t>
            </w:r>
            <w:r>
              <w:rPr>
                <w:rFonts w:ascii="Book Antiqua" w:eastAsia="Microsoft YaHei" w:hAnsi="Book Antiqua"/>
                <w:spacing w:val="-2"/>
                <w:sz w:val="24"/>
                <w:szCs w:val="24"/>
              </w:rPr>
              <w:t xml:space="preserve"> to </w:t>
            </w:r>
            <w:r>
              <w:rPr>
                <w:rFonts w:ascii="Book Antiqua" w:eastAsia="Yu Mincho" w:hAnsi="Book Antiqua"/>
                <w:spacing w:val="-2"/>
                <w:sz w:val="24"/>
                <w:szCs w:val="24"/>
              </w:rPr>
              <w:t>-</w:t>
            </w:r>
            <w:r w:rsidR="007D55E9" w:rsidRPr="00F6698B">
              <w:rPr>
                <w:rFonts w:ascii="Book Antiqua" w:eastAsia="Microsoft YaHei" w:hAnsi="Book Antiqua"/>
                <w:spacing w:val="-2"/>
                <w:sz w:val="24"/>
                <w:szCs w:val="24"/>
              </w:rPr>
              <w:t>1</w:t>
            </w:r>
          </w:p>
        </w:tc>
        <w:tc>
          <w:tcPr>
            <w:tcW w:w="1007" w:type="pct"/>
            <w:vAlign w:val="center"/>
          </w:tcPr>
          <w:p w14:paraId="173E184A" w14:textId="3BD8755B" w:rsidR="007D55E9" w:rsidRPr="00F6698B" w:rsidRDefault="000E57AA" w:rsidP="000E57AA">
            <w:pPr>
              <w:pStyle w:val="table"/>
              <w:keepNext w:val="0"/>
              <w:keepLines w:val="0"/>
              <w:tabs>
                <w:tab w:val="clear" w:pos="-720"/>
                <w:tab w:val="left" w:pos="-5658"/>
                <w:tab w:val="left" w:pos="-4603"/>
              </w:tabs>
              <w:snapToGrid w:val="0"/>
              <w:spacing w:line="360" w:lineRule="auto"/>
              <w:jc w:val="both"/>
              <w:rPr>
                <w:rFonts w:ascii="Book Antiqua" w:eastAsia="Microsoft YaHei" w:hAnsi="Book Antiqua"/>
                <w:spacing w:val="-2"/>
                <w:sz w:val="24"/>
                <w:szCs w:val="24"/>
              </w:rPr>
            </w:pPr>
            <w:r>
              <w:rPr>
                <w:rFonts w:ascii="Book Antiqua" w:eastAsia="Yu Mincho" w:hAnsi="Book Antiqua"/>
                <w:spacing w:val="-2"/>
                <w:sz w:val="24"/>
                <w:szCs w:val="24"/>
              </w:rPr>
              <w:t>-</w:t>
            </w:r>
            <w:r w:rsidR="007D55E9" w:rsidRPr="00F6698B">
              <w:rPr>
                <w:rFonts w:ascii="Book Antiqua" w:eastAsia="Microsoft YaHei" w:hAnsi="Book Antiqua"/>
                <w:spacing w:val="-2"/>
                <w:sz w:val="24"/>
                <w:szCs w:val="24"/>
              </w:rPr>
              <w:t>8</w:t>
            </w:r>
            <w:r>
              <w:rPr>
                <w:rFonts w:ascii="Book Antiqua" w:eastAsia="Microsoft YaHei" w:hAnsi="Book Antiqua"/>
                <w:spacing w:val="-2"/>
                <w:sz w:val="24"/>
                <w:szCs w:val="24"/>
              </w:rPr>
              <w:t xml:space="preserve"> to </w:t>
            </w:r>
            <w:r>
              <w:rPr>
                <w:rFonts w:ascii="Book Antiqua" w:eastAsia="Yu Mincho" w:hAnsi="Book Antiqua"/>
                <w:spacing w:val="-2"/>
                <w:sz w:val="24"/>
                <w:szCs w:val="24"/>
              </w:rPr>
              <w:t>-</w:t>
            </w:r>
            <w:r w:rsidR="007D55E9" w:rsidRPr="00F6698B">
              <w:rPr>
                <w:rFonts w:ascii="Book Antiqua" w:eastAsia="Microsoft YaHei" w:hAnsi="Book Antiqua"/>
                <w:spacing w:val="-2"/>
                <w:sz w:val="24"/>
                <w:szCs w:val="24"/>
              </w:rPr>
              <w:t>1</w:t>
            </w:r>
          </w:p>
        </w:tc>
        <w:tc>
          <w:tcPr>
            <w:tcW w:w="551" w:type="pct"/>
            <w:vAlign w:val="center"/>
          </w:tcPr>
          <w:p w14:paraId="44369517" w14:textId="77777777" w:rsidR="007D55E9" w:rsidRPr="00F7497B" w:rsidRDefault="007D55E9" w:rsidP="007D55E9">
            <w:pPr>
              <w:pStyle w:val="table"/>
              <w:keepNext w:val="0"/>
              <w:keepLines w:val="0"/>
              <w:tabs>
                <w:tab w:val="clear" w:pos="-720"/>
                <w:tab w:val="left" w:pos="-6733"/>
                <w:tab w:val="left" w:pos="-5678"/>
              </w:tabs>
              <w:snapToGrid w:val="0"/>
              <w:spacing w:line="360" w:lineRule="auto"/>
              <w:jc w:val="both"/>
              <w:rPr>
                <w:rFonts w:ascii="Book Antiqua" w:eastAsia="Microsoft YaHei" w:hAnsi="Book Antiqua"/>
                <w:spacing w:val="-2"/>
                <w:sz w:val="24"/>
                <w:szCs w:val="24"/>
              </w:rPr>
            </w:pPr>
            <w:r w:rsidRPr="00F7497B">
              <w:rPr>
                <w:rFonts w:ascii="Book Antiqua" w:eastAsia="Microsoft YaHei" w:hAnsi="Book Antiqua"/>
                <w:spacing w:val="-2"/>
                <w:sz w:val="24"/>
                <w:szCs w:val="24"/>
              </w:rPr>
              <w:t>1</w:t>
            </w:r>
          </w:p>
        </w:tc>
        <w:tc>
          <w:tcPr>
            <w:tcW w:w="780" w:type="pct"/>
            <w:vAlign w:val="center"/>
          </w:tcPr>
          <w:p w14:paraId="7D0274C2" w14:textId="77777777" w:rsidR="007D55E9" w:rsidRPr="00F7497B" w:rsidRDefault="007D55E9" w:rsidP="007D55E9">
            <w:pPr>
              <w:pStyle w:val="table"/>
              <w:keepNext w:val="0"/>
              <w:keepLines w:val="0"/>
              <w:tabs>
                <w:tab w:val="clear" w:pos="-720"/>
                <w:tab w:val="left" w:pos="-6733"/>
                <w:tab w:val="left" w:pos="-5678"/>
              </w:tabs>
              <w:snapToGrid w:val="0"/>
              <w:spacing w:line="360" w:lineRule="auto"/>
              <w:jc w:val="both"/>
              <w:rPr>
                <w:rFonts w:ascii="Book Antiqua" w:eastAsia="Microsoft YaHei" w:hAnsi="Book Antiqua"/>
                <w:spacing w:val="-2"/>
                <w:sz w:val="24"/>
                <w:szCs w:val="24"/>
              </w:rPr>
            </w:pPr>
            <w:r w:rsidRPr="00F7497B">
              <w:rPr>
                <w:rFonts w:ascii="Book Antiqua" w:eastAsia="Microsoft YaHei" w:hAnsi="Book Antiqua"/>
                <w:spacing w:val="-2"/>
                <w:sz w:val="24"/>
                <w:szCs w:val="24"/>
              </w:rPr>
              <w:t>2</w:t>
            </w:r>
          </w:p>
        </w:tc>
        <w:tc>
          <w:tcPr>
            <w:tcW w:w="473" w:type="pct"/>
            <w:vAlign w:val="center"/>
          </w:tcPr>
          <w:p w14:paraId="62463BC6" w14:textId="1546C5BA" w:rsidR="007D55E9" w:rsidRPr="00F7497B" w:rsidRDefault="007D55E9" w:rsidP="000E57AA">
            <w:pPr>
              <w:pStyle w:val="table"/>
              <w:keepNext w:val="0"/>
              <w:keepLines w:val="0"/>
              <w:tabs>
                <w:tab w:val="clear" w:pos="-720"/>
                <w:tab w:val="left" w:pos="-6733"/>
                <w:tab w:val="left" w:pos="-5678"/>
              </w:tabs>
              <w:snapToGrid w:val="0"/>
              <w:spacing w:line="360" w:lineRule="auto"/>
              <w:jc w:val="both"/>
              <w:rPr>
                <w:rFonts w:ascii="Book Antiqua" w:eastAsia="Microsoft YaHei" w:hAnsi="Book Antiqua"/>
                <w:spacing w:val="-2"/>
                <w:sz w:val="24"/>
                <w:szCs w:val="24"/>
              </w:rPr>
            </w:pPr>
            <w:r w:rsidRPr="00F7497B">
              <w:rPr>
                <w:rFonts w:ascii="Book Antiqua" w:eastAsia="Microsoft YaHei" w:hAnsi="Book Antiqua"/>
                <w:spacing w:val="-2"/>
                <w:sz w:val="24"/>
                <w:szCs w:val="24"/>
              </w:rPr>
              <w:t>9</w:t>
            </w:r>
            <w:r w:rsidR="000E57AA">
              <w:rPr>
                <w:rFonts w:ascii="Book Antiqua" w:eastAsia="Microsoft YaHei" w:hAnsi="Book Antiqua"/>
                <w:spacing w:val="-2"/>
                <w:sz w:val="24"/>
                <w:szCs w:val="24"/>
              </w:rPr>
              <w:t>-</w:t>
            </w:r>
            <w:r w:rsidRPr="00F7497B">
              <w:rPr>
                <w:rFonts w:ascii="Book Antiqua" w:eastAsia="Microsoft YaHei" w:hAnsi="Book Antiqua"/>
                <w:spacing w:val="-2"/>
                <w:sz w:val="24"/>
                <w:szCs w:val="24"/>
              </w:rPr>
              <w:t>16</w:t>
            </w:r>
          </w:p>
        </w:tc>
      </w:tr>
      <w:tr w:rsidR="0095783D" w:rsidRPr="007D55E9" w14:paraId="5290C608" w14:textId="77777777" w:rsidTr="006F62D3">
        <w:trPr>
          <w:cantSplit/>
          <w:trHeight w:val="251"/>
        </w:trPr>
        <w:tc>
          <w:tcPr>
            <w:tcW w:w="1428" w:type="pct"/>
            <w:vAlign w:val="center"/>
          </w:tcPr>
          <w:p w14:paraId="51DCF1ED" w14:textId="500FF024" w:rsidR="007D55E9" w:rsidRPr="00F7497B"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 xml:space="preserve">Informed </w:t>
            </w:r>
            <w:r w:rsidR="0095783D" w:rsidRPr="00F7497B">
              <w:rPr>
                <w:rFonts w:ascii="Book Antiqua" w:eastAsia="Microsoft YaHei" w:hAnsi="Book Antiqua"/>
                <w:spacing w:val="-1"/>
                <w:sz w:val="24"/>
                <w:szCs w:val="24"/>
              </w:rPr>
              <w:t>c</w:t>
            </w:r>
            <w:r w:rsidRPr="00F7497B">
              <w:rPr>
                <w:rFonts w:ascii="Book Antiqua" w:eastAsia="Microsoft YaHei" w:hAnsi="Book Antiqua"/>
                <w:spacing w:val="-1"/>
                <w:sz w:val="24"/>
                <w:szCs w:val="24"/>
              </w:rPr>
              <w:t>onsent</w:t>
            </w:r>
          </w:p>
        </w:tc>
        <w:tc>
          <w:tcPr>
            <w:tcW w:w="761" w:type="pct"/>
            <w:vAlign w:val="center"/>
          </w:tcPr>
          <w:p w14:paraId="2439F4AE" w14:textId="6D415028" w:rsidR="007D55E9" w:rsidRPr="00F7497B" w:rsidRDefault="007D55E9" w:rsidP="007D55E9">
            <w:pPr>
              <w:pStyle w:val="table"/>
              <w:keepNext w:val="0"/>
              <w:keepLines w:val="0"/>
              <w:tabs>
                <w:tab w:val="clear" w:pos="-720"/>
                <w:tab w:val="right" w:pos="817"/>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c>
          <w:tcPr>
            <w:tcW w:w="1007" w:type="pct"/>
            <w:vAlign w:val="center"/>
          </w:tcPr>
          <w:p w14:paraId="5E6C7A0C" w14:textId="77777777" w:rsidR="007D55E9" w:rsidRPr="00F7497B" w:rsidRDefault="007D55E9" w:rsidP="007D55E9">
            <w:pPr>
              <w:pStyle w:val="table"/>
              <w:keepNext w:val="0"/>
              <w:keepLines w:val="0"/>
              <w:tabs>
                <w:tab w:val="clear" w:pos="-720"/>
                <w:tab w:val="left" w:pos="-5658"/>
                <w:tab w:val="left" w:pos="-5113"/>
                <w:tab w:val="left" w:pos="-4830"/>
                <w:tab w:val="left" w:pos="-3979"/>
                <w:tab w:val="left" w:pos="-3299"/>
                <w:tab w:val="left" w:pos="-1485"/>
                <w:tab w:val="left" w:pos="-748"/>
              </w:tabs>
              <w:snapToGrid w:val="0"/>
              <w:spacing w:line="360" w:lineRule="auto"/>
              <w:jc w:val="both"/>
              <w:rPr>
                <w:rFonts w:ascii="Book Antiqua" w:eastAsia="Microsoft YaHei" w:hAnsi="Book Antiqua"/>
                <w:spacing w:val="-1"/>
                <w:sz w:val="24"/>
                <w:szCs w:val="24"/>
              </w:rPr>
            </w:pPr>
          </w:p>
        </w:tc>
        <w:tc>
          <w:tcPr>
            <w:tcW w:w="551" w:type="pct"/>
            <w:vAlign w:val="center"/>
          </w:tcPr>
          <w:p w14:paraId="0292F91A" w14:textId="77777777" w:rsidR="007D55E9" w:rsidRPr="00F7497B" w:rsidRDefault="007D55E9" w:rsidP="007D55E9">
            <w:pPr>
              <w:pStyle w:val="table"/>
              <w:keepNext w:val="0"/>
              <w:keepLines w:val="0"/>
              <w:tabs>
                <w:tab w:val="clear" w:pos="-720"/>
                <w:tab w:val="left" w:pos="-6733"/>
                <w:tab w:val="left" w:pos="-6188"/>
                <w:tab w:val="left" w:pos="-5905"/>
                <w:tab w:val="left" w:pos="-5054"/>
                <w:tab w:val="left" w:pos="-4374"/>
                <w:tab w:val="left" w:pos="-2560"/>
                <w:tab w:val="left" w:pos="-1823"/>
              </w:tabs>
              <w:snapToGrid w:val="0"/>
              <w:spacing w:line="360" w:lineRule="auto"/>
              <w:jc w:val="both"/>
              <w:rPr>
                <w:rFonts w:ascii="Book Antiqua" w:eastAsia="Microsoft YaHei" w:hAnsi="Book Antiqua"/>
                <w:spacing w:val="-1"/>
                <w:sz w:val="24"/>
                <w:szCs w:val="24"/>
              </w:rPr>
            </w:pPr>
          </w:p>
        </w:tc>
        <w:tc>
          <w:tcPr>
            <w:tcW w:w="780" w:type="pct"/>
            <w:vAlign w:val="center"/>
          </w:tcPr>
          <w:p w14:paraId="5B6B0CA5" w14:textId="77777777" w:rsidR="007D55E9" w:rsidRPr="00F7497B" w:rsidRDefault="007D55E9" w:rsidP="007D55E9">
            <w:pPr>
              <w:pStyle w:val="table"/>
              <w:keepNext w:val="0"/>
              <w:keepLines w:val="0"/>
              <w:tabs>
                <w:tab w:val="clear" w:pos="-720"/>
                <w:tab w:val="left" w:pos="-6733"/>
                <w:tab w:val="left" w:pos="-6188"/>
                <w:tab w:val="left" w:pos="-5905"/>
                <w:tab w:val="left" w:pos="-5054"/>
                <w:tab w:val="left" w:pos="-4374"/>
                <w:tab w:val="left" w:pos="-2560"/>
                <w:tab w:val="left" w:pos="-1823"/>
              </w:tabs>
              <w:snapToGrid w:val="0"/>
              <w:spacing w:line="360" w:lineRule="auto"/>
              <w:jc w:val="both"/>
              <w:rPr>
                <w:rFonts w:ascii="Book Antiqua" w:eastAsia="Microsoft YaHei" w:hAnsi="Book Antiqua"/>
                <w:spacing w:val="-1"/>
                <w:sz w:val="24"/>
                <w:szCs w:val="24"/>
              </w:rPr>
            </w:pPr>
          </w:p>
        </w:tc>
        <w:tc>
          <w:tcPr>
            <w:tcW w:w="473" w:type="pct"/>
            <w:vAlign w:val="center"/>
          </w:tcPr>
          <w:p w14:paraId="34D10A9C" w14:textId="77777777" w:rsidR="007D55E9" w:rsidRPr="00F7497B" w:rsidRDefault="007D55E9" w:rsidP="007D55E9">
            <w:pPr>
              <w:pStyle w:val="table"/>
              <w:keepNext w:val="0"/>
              <w:keepLines w:val="0"/>
              <w:tabs>
                <w:tab w:val="clear" w:pos="-720"/>
                <w:tab w:val="left" w:pos="-6733"/>
                <w:tab w:val="left" w:pos="-6188"/>
                <w:tab w:val="left" w:pos="-5905"/>
                <w:tab w:val="left" w:pos="-5054"/>
                <w:tab w:val="left" w:pos="-4374"/>
                <w:tab w:val="left" w:pos="-2560"/>
                <w:tab w:val="left" w:pos="-1823"/>
              </w:tabs>
              <w:snapToGrid w:val="0"/>
              <w:spacing w:line="360" w:lineRule="auto"/>
              <w:ind w:rightChars="371" w:right="890"/>
              <w:jc w:val="both"/>
              <w:rPr>
                <w:rFonts w:ascii="Book Antiqua" w:eastAsia="Microsoft YaHei" w:hAnsi="Book Antiqua"/>
                <w:spacing w:val="-1"/>
                <w:sz w:val="24"/>
                <w:szCs w:val="24"/>
              </w:rPr>
            </w:pPr>
          </w:p>
        </w:tc>
      </w:tr>
      <w:tr w:rsidR="0095783D" w:rsidRPr="007D55E9" w14:paraId="1A000C4C" w14:textId="77777777" w:rsidTr="006F62D3">
        <w:trPr>
          <w:cantSplit/>
          <w:trHeight w:val="251"/>
        </w:trPr>
        <w:tc>
          <w:tcPr>
            <w:tcW w:w="1428" w:type="pct"/>
            <w:vAlign w:val="center"/>
          </w:tcPr>
          <w:p w14:paraId="170A0610" w14:textId="55ACAB12" w:rsidR="007D55E9" w:rsidRPr="00F7497B"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Inclusion/</w:t>
            </w:r>
            <w:r w:rsidR="0095783D" w:rsidRPr="00F7497B">
              <w:rPr>
                <w:rFonts w:ascii="Book Antiqua" w:eastAsia="Microsoft YaHei" w:hAnsi="Book Antiqua"/>
                <w:spacing w:val="-1"/>
                <w:sz w:val="24"/>
                <w:szCs w:val="24"/>
              </w:rPr>
              <w:t>e</w:t>
            </w:r>
            <w:r w:rsidRPr="00F7497B">
              <w:rPr>
                <w:rFonts w:ascii="Book Antiqua" w:eastAsia="Microsoft YaHei" w:hAnsi="Book Antiqua"/>
                <w:spacing w:val="-1"/>
                <w:sz w:val="24"/>
                <w:szCs w:val="24"/>
              </w:rPr>
              <w:t>xclusion</w:t>
            </w:r>
          </w:p>
        </w:tc>
        <w:tc>
          <w:tcPr>
            <w:tcW w:w="761" w:type="pct"/>
            <w:vAlign w:val="center"/>
          </w:tcPr>
          <w:p w14:paraId="76974F87"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c>
          <w:tcPr>
            <w:tcW w:w="1007" w:type="pct"/>
            <w:vAlign w:val="center"/>
          </w:tcPr>
          <w:p w14:paraId="25D2E555"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c>
          <w:tcPr>
            <w:tcW w:w="551" w:type="pct"/>
            <w:vAlign w:val="center"/>
          </w:tcPr>
          <w:p w14:paraId="26B4A7F3"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7B9BE659"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vAlign w:val="center"/>
          </w:tcPr>
          <w:p w14:paraId="26E0D2B4"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95783D" w:rsidRPr="007D55E9" w14:paraId="5839C01B" w14:textId="77777777" w:rsidTr="006F62D3">
        <w:trPr>
          <w:cantSplit/>
          <w:trHeight w:val="251"/>
        </w:trPr>
        <w:tc>
          <w:tcPr>
            <w:tcW w:w="1428" w:type="pct"/>
            <w:vAlign w:val="center"/>
          </w:tcPr>
          <w:p w14:paraId="0EE48F56" w14:textId="6996EA43" w:rsidR="007D55E9" w:rsidRPr="00F7497B"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Medical</w:t>
            </w:r>
            <w:r w:rsidR="0095783D" w:rsidRPr="00F7497B">
              <w:rPr>
                <w:rFonts w:ascii="Book Antiqua" w:eastAsia="Microsoft YaHei" w:hAnsi="Book Antiqua"/>
                <w:spacing w:val="-1"/>
                <w:sz w:val="24"/>
                <w:szCs w:val="24"/>
              </w:rPr>
              <w:t xml:space="preserve"> h</w:t>
            </w:r>
            <w:r w:rsidRPr="00F7497B">
              <w:rPr>
                <w:rFonts w:ascii="Book Antiqua" w:eastAsia="Microsoft YaHei" w:hAnsi="Book Antiqua"/>
                <w:spacing w:val="-1"/>
                <w:sz w:val="24"/>
                <w:szCs w:val="24"/>
              </w:rPr>
              <w:t>istory</w:t>
            </w:r>
          </w:p>
        </w:tc>
        <w:tc>
          <w:tcPr>
            <w:tcW w:w="761" w:type="pct"/>
            <w:vAlign w:val="center"/>
          </w:tcPr>
          <w:p w14:paraId="715B93E8"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c>
          <w:tcPr>
            <w:tcW w:w="1007" w:type="pct"/>
            <w:vAlign w:val="center"/>
          </w:tcPr>
          <w:p w14:paraId="614617ED"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5910C79F"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73C70782"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vAlign w:val="center"/>
          </w:tcPr>
          <w:p w14:paraId="357803E2"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95783D" w:rsidRPr="007D55E9" w14:paraId="70EAC766" w14:textId="77777777" w:rsidTr="006F62D3">
        <w:trPr>
          <w:cantSplit/>
          <w:trHeight w:val="251"/>
        </w:trPr>
        <w:tc>
          <w:tcPr>
            <w:tcW w:w="1428" w:type="pct"/>
            <w:vAlign w:val="center"/>
          </w:tcPr>
          <w:p w14:paraId="3A8B9ED4" w14:textId="4430D9B5" w:rsidR="007D55E9" w:rsidRPr="00F7497B"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 xml:space="preserve">Demographic </w:t>
            </w:r>
            <w:r w:rsidR="0095783D" w:rsidRPr="00F7497B">
              <w:rPr>
                <w:rFonts w:ascii="Book Antiqua" w:eastAsia="Microsoft YaHei" w:hAnsi="Book Antiqua"/>
                <w:spacing w:val="-1"/>
                <w:sz w:val="24"/>
                <w:szCs w:val="24"/>
              </w:rPr>
              <w:t>d</w:t>
            </w:r>
            <w:r w:rsidRPr="00F7497B">
              <w:rPr>
                <w:rFonts w:ascii="Book Antiqua" w:eastAsia="Microsoft YaHei" w:hAnsi="Book Antiqua"/>
                <w:spacing w:val="-1"/>
                <w:sz w:val="24"/>
                <w:szCs w:val="24"/>
              </w:rPr>
              <w:t>ata</w:t>
            </w:r>
          </w:p>
        </w:tc>
        <w:tc>
          <w:tcPr>
            <w:tcW w:w="761" w:type="pct"/>
            <w:vAlign w:val="center"/>
          </w:tcPr>
          <w:p w14:paraId="19590EBF"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c>
          <w:tcPr>
            <w:tcW w:w="1007" w:type="pct"/>
            <w:vAlign w:val="center"/>
          </w:tcPr>
          <w:p w14:paraId="0897862A"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3802A564"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588FC6A4"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vAlign w:val="center"/>
          </w:tcPr>
          <w:p w14:paraId="1EC46F33"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95783D" w:rsidRPr="007D55E9" w14:paraId="20B47F7E" w14:textId="77777777" w:rsidTr="006F62D3">
        <w:trPr>
          <w:cantSplit/>
          <w:trHeight w:val="251"/>
        </w:trPr>
        <w:tc>
          <w:tcPr>
            <w:tcW w:w="1428" w:type="pct"/>
            <w:vAlign w:val="center"/>
          </w:tcPr>
          <w:p w14:paraId="79F08604" w14:textId="66880D69" w:rsidR="007D55E9" w:rsidRPr="00F7497B"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 xml:space="preserve">Physical </w:t>
            </w:r>
            <w:r w:rsidR="0095783D" w:rsidRPr="00F7497B">
              <w:rPr>
                <w:rFonts w:ascii="Book Antiqua" w:eastAsia="Microsoft YaHei" w:hAnsi="Book Antiqua"/>
                <w:spacing w:val="-1"/>
                <w:sz w:val="24"/>
                <w:szCs w:val="24"/>
              </w:rPr>
              <w:t>e</w:t>
            </w:r>
            <w:r w:rsidRPr="00F7497B">
              <w:rPr>
                <w:rFonts w:ascii="Book Antiqua" w:eastAsia="Microsoft YaHei" w:hAnsi="Book Antiqua"/>
                <w:spacing w:val="-1"/>
                <w:sz w:val="24"/>
                <w:szCs w:val="24"/>
              </w:rPr>
              <w:t>xamination</w:t>
            </w:r>
          </w:p>
        </w:tc>
        <w:tc>
          <w:tcPr>
            <w:tcW w:w="761" w:type="pct"/>
            <w:vAlign w:val="center"/>
          </w:tcPr>
          <w:p w14:paraId="1B52524C"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c>
          <w:tcPr>
            <w:tcW w:w="1007" w:type="pct"/>
            <w:vAlign w:val="center"/>
          </w:tcPr>
          <w:p w14:paraId="402BF76A"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71BF741F"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58D6C890"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vAlign w:val="center"/>
          </w:tcPr>
          <w:p w14:paraId="42D92D88"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r>
      <w:tr w:rsidR="0095783D" w:rsidRPr="007D55E9" w14:paraId="4109ABE0" w14:textId="77777777" w:rsidTr="006F62D3">
        <w:trPr>
          <w:cantSplit/>
          <w:trHeight w:val="251"/>
        </w:trPr>
        <w:tc>
          <w:tcPr>
            <w:tcW w:w="1428" w:type="pct"/>
            <w:vAlign w:val="center"/>
          </w:tcPr>
          <w:p w14:paraId="478BCA62" w14:textId="5A1214B7" w:rsidR="007D55E9" w:rsidRPr="00F7497B"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 xml:space="preserve">Vital </w:t>
            </w:r>
            <w:r w:rsidR="0095783D" w:rsidRPr="00F7497B">
              <w:rPr>
                <w:rFonts w:ascii="Book Antiqua" w:eastAsia="Microsoft YaHei" w:hAnsi="Book Antiqua"/>
                <w:spacing w:val="-1"/>
                <w:sz w:val="24"/>
                <w:szCs w:val="24"/>
              </w:rPr>
              <w:t>si</w:t>
            </w:r>
            <w:r w:rsidRPr="00F7497B">
              <w:rPr>
                <w:rFonts w:ascii="Book Antiqua" w:eastAsia="Microsoft YaHei" w:hAnsi="Book Antiqua"/>
                <w:spacing w:val="-1"/>
                <w:sz w:val="24"/>
                <w:szCs w:val="24"/>
              </w:rPr>
              <w:t>gns</w:t>
            </w:r>
          </w:p>
        </w:tc>
        <w:tc>
          <w:tcPr>
            <w:tcW w:w="761" w:type="pct"/>
            <w:vAlign w:val="center"/>
          </w:tcPr>
          <w:p w14:paraId="58DFE1A0"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c>
          <w:tcPr>
            <w:tcW w:w="1007" w:type="pct"/>
            <w:vAlign w:val="center"/>
          </w:tcPr>
          <w:p w14:paraId="1FDF90AB"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5EBDA5EB"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2C93123F"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c>
          <w:tcPr>
            <w:tcW w:w="473" w:type="pct"/>
            <w:vAlign w:val="center"/>
          </w:tcPr>
          <w:p w14:paraId="212FC79E"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r>
      <w:tr w:rsidR="0095783D" w:rsidRPr="007D55E9" w14:paraId="7BC566C7" w14:textId="77777777" w:rsidTr="006F62D3">
        <w:trPr>
          <w:cantSplit/>
          <w:trHeight w:val="251"/>
        </w:trPr>
        <w:tc>
          <w:tcPr>
            <w:tcW w:w="1428" w:type="pct"/>
            <w:vAlign w:val="center"/>
          </w:tcPr>
          <w:p w14:paraId="2B13820C" w14:textId="71C929CD" w:rsidR="007D55E9" w:rsidRPr="00F7497B"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Urine</w:t>
            </w:r>
            <w:r w:rsidR="0095783D" w:rsidRPr="00F7497B">
              <w:rPr>
                <w:rFonts w:ascii="Book Antiqua" w:eastAsia="Microsoft YaHei" w:hAnsi="Book Antiqua"/>
                <w:spacing w:val="-1"/>
                <w:sz w:val="24"/>
                <w:szCs w:val="24"/>
              </w:rPr>
              <w:t xml:space="preserve"> pregnancy test</w:t>
            </w:r>
          </w:p>
        </w:tc>
        <w:tc>
          <w:tcPr>
            <w:tcW w:w="761" w:type="pct"/>
            <w:vAlign w:val="center"/>
          </w:tcPr>
          <w:p w14:paraId="2670DFC0"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c>
          <w:tcPr>
            <w:tcW w:w="1007" w:type="pct"/>
            <w:vAlign w:val="center"/>
          </w:tcPr>
          <w:p w14:paraId="534496F9"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0960C094"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5FC89361"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vAlign w:val="center"/>
          </w:tcPr>
          <w:p w14:paraId="2CCAD11F"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r>
      <w:tr w:rsidR="0095783D" w:rsidRPr="007D55E9" w14:paraId="1B8B5EFB" w14:textId="77777777" w:rsidTr="006F62D3">
        <w:trPr>
          <w:cantSplit/>
          <w:trHeight w:val="251"/>
        </w:trPr>
        <w:tc>
          <w:tcPr>
            <w:tcW w:w="1428" w:type="pct"/>
            <w:vAlign w:val="center"/>
          </w:tcPr>
          <w:p w14:paraId="5F04DC4C" w14:textId="669AB506" w:rsidR="007D55E9" w:rsidRPr="00F7497B"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 xml:space="preserve">12-Lead </w:t>
            </w:r>
            <w:r w:rsidR="0095783D" w:rsidRPr="00F7497B">
              <w:rPr>
                <w:rFonts w:ascii="Book Antiqua" w:eastAsia="Microsoft YaHei" w:hAnsi="Book Antiqua"/>
                <w:spacing w:val="-1"/>
                <w:sz w:val="24"/>
                <w:szCs w:val="24"/>
              </w:rPr>
              <w:t>ele</w:t>
            </w:r>
            <w:r w:rsidRPr="00F7497B">
              <w:rPr>
                <w:rFonts w:ascii="Book Antiqua" w:eastAsia="Microsoft YaHei" w:hAnsi="Book Antiqua"/>
                <w:spacing w:val="-1"/>
                <w:sz w:val="24"/>
                <w:szCs w:val="24"/>
              </w:rPr>
              <w:t>ctrocardiogram</w:t>
            </w:r>
          </w:p>
        </w:tc>
        <w:tc>
          <w:tcPr>
            <w:tcW w:w="761" w:type="pct"/>
            <w:vAlign w:val="center"/>
          </w:tcPr>
          <w:p w14:paraId="58844120"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c>
          <w:tcPr>
            <w:tcW w:w="1007" w:type="pct"/>
            <w:vAlign w:val="center"/>
          </w:tcPr>
          <w:p w14:paraId="64C34995"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32EAB49E"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711FE2EB"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vAlign w:val="center"/>
          </w:tcPr>
          <w:p w14:paraId="6F51432F"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r>
      <w:tr w:rsidR="0095783D" w:rsidRPr="007D55E9" w14:paraId="36962DC5" w14:textId="77777777" w:rsidTr="006F62D3">
        <w:trPr>
          <w:cantSplit/>
          <w:trHeight w:val="251"/>
        </w:trPr>
        <w:tc>
          <w:tcPr>
            <w:tcW w:w="1428" w:type="pct"/>
            <w:vAlign w:val="center"/>
          </w:tcPr>
          <w:p w14:paraId="4CC7953B" w14:textId="4E31F121" w:rsidR="007D55E9" w:rsidRPr="00F7497B"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 xml:space="preserve">Renal </w:t>
            </w:r>
            <w:r w:rsidR="0095783D" w:rsidRPr="00F7497B">
              <w:rPr>
                <w:rFonts w:ascii="Book Antiqua" w:eastAsia="Microsoft YaHei" w:hAnsi="Book Antiqua"/>
                <w:spacing w:val="-1"/>
                <w:sz w:val="24"/>
                <w:szCs w:val="24"/>
              </w:rPr>
              <w:t>fu</w:t>
            </w:r>
            <w:r w:rsidRPr="00F7497B">
              <w:rPr>
                <w:rFonts w:ascii="Book Antiqua" w:eastAsia="Microsoft YaHei" w:hAnsi="Book Antiqua"/>
                <w:spacing w:val="-1"/>
                <w:sz w:val="24"/>
                <w:szCs w:val="24"/>
              </w:rPr>
              <w:t>nction</w:t>
            </w:r>
          </w:p>
        </w:tc>
        <w:tc>
          <w:tcPr>
            <w:tcW w:w="761" w:type="pct"/>
            <w:vAlign w:val="center"/>
          </w:tcPr>
          <w:p w14:paraId="1FB4CE4E" w14:textId="3A04E041" w:rsidR="007D55E9" w:rsidRPr="00F7497B" w:rsidRDefault="007D55E9" w:rsidP="00F6698B">
            <w:pPr>
              <w:pStyle w:val="table"/>
              <w:tabs>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r w:rsidR="007F62D0" w:rsidRPr="00F7497B">
              <w:rPr>
                <w:rFonts w:ascii="Book Antiqua" w:eastAsia="Microsoft YaHei" w:hAnsi="Book Antiqua"/>
                <w:bCs/>
                <w:spacing w:val="-1"/>
                <w:sz w:val="24"/>
                <w:szCs w:val="24"/>
                <w:vertAlign w:val="superscript"/>
              </w:rPr>
              <w:t>2</w:t>
            </w:r>
          </w:p>
        </w:tc>
        <w:tc>
          <w:tcPr>
            <w:tcW w:w="1007" w:type="pct"/>
            <w:vAlign w:val="center"/>
          </w:tcPr>
          <w:p w14:paraId="765B3FF4"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25B167A2"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21E16C39" w14:textId="2121EBDF" w:rsidR="007D55E9" w:rsidRPr="00F7497B" w:rsidRDefault="007D55E9" w:rsidP="00F6698B">
            <w:pPr>
              <w:pStyle w:val="table"/>
              <w:tabs>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r w:rsidR="007F62D0" w:rsidRPr="00F7497B">
              <w:rPr>
                <w:rFonts w:ascii="Book Antiqua" w:eastAsia="Microsoft YaHei" w:hAnsi="Book Antiqua"/>
                <w:bCs/>
                <w:spacing w:val="-1"/>
                <w:sz w:val="24"/>
                <w:szCs w:val="24"/>
                <w:vertAlign w:val="superscript"/>
              </w:rPr>
              <w:t>3</w:t>
            </w:r>
          </w:p>
        </w:tc>
        <w:tc>
          <w:tcPr>
            <w:tcW w:w="473" w:type="pct"/>
            <w:vAlign w:val="center"/>
          </w:tcPr>
          <w:p w14:paraId="60018D4A"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r>
      <w:tr w:rsidR="0095783D" w:rsidRPr="007D55E9" w14:paraId="6C397430" w14:textId="77777777" w:rsidTr="006F62D3">
        <w:trPr>
          <w:cantSplit/>
          <w:trHeight w:val="251"/>
        </w:trPr>
        <w:tc>
          <w:tcPr>
            <w:tcW w:w="1428" w:type="pct"/>
            <w:vAlign w:val="center"/>
          </w:tcPr>
          <w:p w14:paraId="3A66A8E5" w14:textId="1DCCA78A" w:rsidR="007D55E9" w:rsidRPr="00F7497B"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Electrolytes</w:t>
            </w:r>
          </w:p>
        </w:tc>
        <w:tc>
          <w:tcPr>
            <w:tcW w:w="761" w:type="pct"/>
            <w:vAlign w:val="center"/>
          </w:tcPr>
          <w:p w14:paraId="0F6A3A3A" w14:textId="626E3C1C" w:rsidR="007D55E9" w:rsidRPr="00F7497B" w:rsidRDefault="007D55E9" w:rsidP="00F6698B">
            <w:pPr>
              <w:pStyle w:val="table"/>
              <w:tabs>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r w:rsidR="007F62D0" w:rsidRPr="00F7497B">
              <w:rPr>
                <w:rFonts w:ascii="Book Antiqua" w:eastAsia="Microsoft YaHei" w:hAnsi="Book Antiqua"/>
                <w:spacing w:val="-1"/>
                <w:sz w:val="24"/>
                <w:szCs w:val="24"/>
                <w:vertAlign w:val="superscript"/>
              </w:rPr>
              <w:t>2</w:t>
            </w:r>
          </w:p>
        </w:tc>
        <w:tc>
          <w:tcPr>
            <w:tcW w:w="1007" w:type="pct"/>
            <w:vAlign w:val="center"/>
          </w:tcPr>
          <w:p w14:paraId="79487F29"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6D433BA8"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47548E4C" w14:textId="2D62916B" w:rsidR="007D55E9" w:rsidRPr="00F7497B" w:rsidRDefault="007D55E9" w:rsidP="00F6698B">
            <w:pPr>
              <w:pStyle w:val="table"/>
              <w:tabs>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r w:rsidR="007F62D0" w:rsidRPr="00F7497B">
              <w:rPr>
                <w:rFonts w:ascii="Book Antiqua" w:eastAsia="Microsoft YaHei" w:hAnsi="Book Antiqua"/>
                <w:spacing w:val="-1"/>
                <w:sz w:val="24"/>
                <w:szCs w:val="24"/>
                <w:vertAlign w:val="superscript"/>
              </w:rPr>
              <w:t>3</w:t>
            </w:r>
          </w:p>
        </w:tc>
        <w:tc>
          <w:tcPr>
            <w:tcW w:w="473" w:type="pct"/>
            <w:vAlign w:val="center"/>
          </w:tcPr>
          <w:p w14:paraId="11E3D39A"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r>
      <w:tr w:rsidR="0095783D" w:rsidRPr="007D55E9" w14:paraId="5877AD9E" w14:textId="77777777" w:rsidTr="006F62D3">
        <w:tblPrEx>
          <w:tblCellMar>
            <w:left w:w="34" w:type="dxa"/>
            <w:right w:w="34" w:type="dxa"/>
          </w:tblCellMar>
        </w:tblPrEx>
        <w:trPr>
          <w:cantSplit/>
          <w:trHeight w:val="251"/>
        </w:trPr>
        <w:tc>
          <w:tcPr>
            <w:tcW w:w="1428" w:type="pct"/>
            <w:vAlign w:val="center"/>
          </w:tcPr>
          <w:p w14:paraId="732B4CF2" w14:textId="77777777" w:rsidR="007D55E9" w:rsidRPr="00F7497B"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Randomization</w:t>
            </w:r>
          </w:p>
        </w:tc>
        <w:tc>
          <w:tcPr>
            <w:tcW w:w="761" w:type="pct"/>
            <w:vAlign w:val="center"/>
          </w:tcPr>
          <w:p w14:paraId="5F33D553"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vAlign w:val="center"/>
          </w:tcPr>
          <w:p w14:paraId="628BC344"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c>
          <w:tcPr>
            <w:tcW w:w="551" w:type="pct"/>
            <w:vAlign w:val="center"/>
          </w:tcPr>
          <w:p w14:paraId="26CEFA0C"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6D5B58E0"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vAlign w:val="center"/>
          </w:tcPr>
          <w:p w14:paraId="646D8441"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95783D" w:rsidRPr="007D55E9" w14:paraId="76379D1A" w14:textId="77777777" w:rsidTr="006F62D3">
        <w:tblPrEx>
          <w:tblCellMar>
            <w:left w:w="34" w:type="dxa"/>
            <w:right w:w="34" w:type="dxa"/>
          </w:tblCellMar>
        </w:tblPrEx>
        <w:trPr>
          <w:cantSplit/>
          <w:trHeight w:val="251"/>
        </w:trPr>
        <w:tc>
          <w:tcPr>
            <w:tcW w:w="1428" w:type="pct"/>
            <w:vAlign w:val="center"/>
          </w:tcPr>
          <w:p w14:paraId="024C77D8" w14:textId="2B60C6BA" w:rsidR="007D55E9" w:rsidRPr="00F7497B"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 xml:space="preserve">Dietary </w:t>
            </w:r>
            <w:r w:rsidR="0095783D" w:rsidRPr="00F7497B">
              <w:rPr>
                <w:rFonts w:ascii="Book Antiqua" w:eastAsia="Microsoft YaHei" w:hAnsi="Book Antiqua"/>
                <w:spacing w:val="-1"/>
                <w:sz w:val="24"/>
                <w:szCs w:val="24"/>
              </w:rPr>
              <w:t>c</w:t>
            </w:r>
            <w:r w:rsidRPr="00F7497B">
              <w:rPr>
                <w:rFonts w:ascii="Book Antiqua" w:eastAsia="Microsoft YaHei" w:hAnsi="Book Antiqua"/>
                <w:spacing w:val="-1"/>
                <w:sz w:val="24"/>
                <w:szCs w:val="24"/>
              </w:rPr>
              <w:t>ontrol</w:t>
            </w:r>
          </w:p>
        </w:tc>
        <w:tc>
          <w:tcPr>
            <w:tcW w:w="761" w:type="pct"/>
            <w:vAlign w:val="center"/>
          </w:tcPr>
          <w:p w14:paraId="4A9E4D18"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vAlign w:val="center"/>
          </w:tcPr>
          <w:p w14:paraId="36007155"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4A088BAA"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c>
          <w:tcPr>
            <w:tcW w:w="780" w:type="pct"/>
            <w:vAlign w:val="center"/>
          </w:tcPr>
          <w:p w14:paraId="44E2E507"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vAlign w:val="center"/>
          </w:tcPr>
          <w:p w14:paraId="4F792970"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95783D" w:rsidRPr="007D55E9" w14:paraId="1AD8A4A1" w14:textId="77777777" w:rsidTr="006F62D3">
        <w:tblPrEx>
          <w:tblCellMar>
            <w:left w:w="34" w:type="dxa"/>
            <w:right w:w="34" w:type="dxa"/>
          </w:tblCellMar>
        </w:tblPrEx>
        <w:trPr>
          <w:cantSplit/>
          <w:trHeight w:val="251"/>
        </w:trPr>
        <w:tc>
          <w:tcPr>
            <w:tcW w:w="1428" w:type="pct"/>
            <w:vAlign w:val="center"/>
          </w:tcPr>
          <w:p w14:paraId="4E92F278" w14:textId="3E5C4644" w:rsidR="007D55E9" w:rsidRPr="00F7497B"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 xml:space="preserve">Dispensing of </w:t>
            </w:r>
            <w:r w:rsidR="0095783D" w:rsidRPr="00F7497B">
              <w:rPr>
                <w:rFonts w:ascii="Book Antiqua" w:eastAsia="Microsoft YaHei" w:hAnsi="Book Antiqua"/>
                <w:spacing w:val="-1"/>
                <w:sz w:val="24"/>
                <w:szCs w:val="24"/>
              </w:rPr>
              <w:t>study drug</w:t>
            </w:r>
          </w:p>
        </w:tc>
        <w:tc>
          <w:tcPr>
            <w:tcW w:w="761" w:type="pct"/>
            <w:vAlign w:val="center"/>
          </w:tcPr>
          <w:p w14:paraId="766CC187"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vAlign w:val="center"/>
          </w:tcPr>
          <w:p w14:paraId="45495360" w14:textId="77777777" w:rsidR="007D55E9" w:rsidRPr="00F7497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Microsoft YaHei" w:hAnsi="Book Antiqua"/>
                <w:spacing w:val="-1"/>
                <w:sz w:val="24"/>
                <w:szCs w:val="24"/>
              </w:rPr>
            </w:pPr>
            <w:r w:rsidRPr="00F7497B">
              <w:rPr>
                <w:rFonts w:ascii="Book Antiqua" w:eastAsia="Microsoft YaHei" w:hAnsi="Book Antiqua"/>
                <w:spacing w:val="-1"/>
                <w:sz w:val="24"/>
                <w:szCs w:val="24"/>
              </w:rPr>
              <w:t>X</w:t>
            </w:r>
          </w:p>
        </w:tc>
        <w:tc>
          <w:tcPr>
            <w:tcW w:w="551" w:type="pct"/>
            <w:vAlign w:val="center"/>
          </w:tcPr>
          <w:p w14:paraId="2910631E" w14:textId="77777777" w:rsidR="007D55E9" w:rsidRPr="00F6698B" w:rsidRDefault="007D55E9" w:rsidP="00F6698B">
            <w:pPr>
              <w:pStyle w:val="table"/>
              <w:tabs>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74B7362F"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vAlign w:val="center"/>
          </w:tcPr>
          <w:p w14:paraId="33A6A36F" w14:textId="77777777" w:rsidR="007D55E9" w:rsidRPr="00F6698B"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95783D" w:rsidRPr="007D55E9" w14:paraId="5A1FCAD8" w14:textId="77777777" w:rsidTr="006F62D3">
        <w:tblPrEx>
          <w:tblCellMar>
            <w:left w:w="34" w:type="dxa"/>
            <w:right w:w="34" w:type="dxa"/>
          </w:tblCellMar>
        </w:tblPrEx>
        <w:trPr>
          <w:cantSplit/>
          <w:trHeight w:val="251"/>
        </w:trPr>
        <w:tc>
          <w:tcPr>
            <w:tcW w:w="1428" w:type="pct"/>
            <w:vAlign w:val="center"/>
          </w:tcPr>
          <w:p w14:paraId="04307D06" w14:textId="2F08F391" w:rsidR="007D55E9" w:rsidRPr="007D55E9"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 xml:space="preserve">Dosing </w:t>
            </w:r>
            <w:r w:rsidR="0095783D" w:rsidRPr="007D55E9">
              <w:rPr>
                <w:rFonts w:ascii="Book Antiqua" w:hAnsi="Book Antiqua"/>
                <w:spacing w:val="-1"/>
                <w:sz w:val="24"/>
                <w:szCs w:val="24"/>
              </w:rPr>
              <w:t>d</w:t>
            </w:r>
            <w:r w:rsidRPr="007D55E9">
              <w:rPr>
                <w:rFonts w:ascii="Book Antiqua" w:hAnsi="Book Antiqua"/>
                <w:spacing w:val="-1"/>
                <w:sz w:val="24"/>
                <w:szCs w:val="24"/>
              </w:rPr>
              <w:t>ay</w:t>
            </w:r>
          </w:p>
        </w:tc>
        <w:tc>
          <w:tcPr>
            <w:tcW w:w="761" w:type="pct"/>
            <w:vAlign w:val="center"/>
          </w:tcPr>
          <w:p w14:paraId="5338FC10" w14:textId="77777777" w:rsidR="007D55E9" w:rsidRPr="007D55E9"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vAlign w:val="center"/>
          </w:tcPr>
          <w:p w14:paraId="4C2AC415" w14:textId="77777777" w:rsidR="007D55E9" w:rsidRPr="007D55E9"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1FB14467" w14:textId="348EB97A" w:rsidR="007D55E9" w:rsidRPr="007D55E9" w:rsidRDefault="007D55E9" w:rsidP="00F6698B">
            <w:pPr>
              <w:pStyle w:val="table"/>
              <w:tabs>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r w:rsidR="007F62D0" w:rsidRPr="007F62D0">
              <w:rPr>
                <w:rFonts w:ascii="Book Antiqua" w:hAnsi="Book Antiqua"/>
                <w:spacing w:val="-1"/>
                <w:sz w:val="24"/>
                <w:szCs w:val="24"/>
                <w:vertAlign w:val="superscript"/>
              </w:rPr>
              <w:t>4</w:t>
            </w:r>
          </w:p>
        </w:tc>
        <w:tc>
          <w:tcPr>
            <w:tcW w:w="780" w:type="pct"/>
            <w:vAlign w:val="center"/>
          </w:tcPr>
          <w:p w14:paraId="6E99F709" w14:textId="77777777" w:rsidR="007D55E9" w:rsidRPr="007D55E9"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c>
          <w:tcPr>
            <w:tcW w:w="473" w:type="pct"/>
            <w:vAlign w:val="center"/>
          </w:tcPr>
          <w:p w14:paraId="23A70962" w14:textId="77777777" w:rsidR="007D55E9" w:rsidRPr="007D55E9"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95783D" w:rsidRPr="007D55E9" w14:paraId="4DD08F5E" w14:textId="77777777" w:rsidTr="006F62D3">
        <w:tblPrEx>
          <w:tblCellMar>
            <w:left w:w="34" w:type="dxa"/>
            <w:right w:w="34" w:type="dxa"/>
          </w:tblCellMar>
        </w:tblPrEx>
        <w:trPr>
          <w:cantSplit/>
          <w:trHeight w:val="251"/>
        </w:trPr>
        <w:tc>
          <w:tcPr>
            <w:tcW w:w="1428" w:type="pct"/>
            <w:vAlign w:val="center"/>
          </w:tcPr>
          <w:p w14:paraId="10B59CEF" w14:textId="6A5EDEF1" w:rsidR="007D55E9" w:rsidRPr="007D55E9"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 xml:space="preserve">Dietary </w:t>
            </w:r>
            <w:r w:rsidR="0095783D" w:rsidRPr="007D55E9">
              <w:rPr>
                <w:rFonts w:ascii="Book Antiqua" w:hAnsi="Book Antiqua"/>
                <w:spacing w:val="-1"/>
                <w:sz w:val="24"/>
                <w:szCs w:val="24"/>
              </w:rPr>
              <w:t>c</w:t>
            </w:r>
            <w:r w:rsidRPr="007D55E9">
              <w:rPr>
                <w:rFonts w:ascii="Book Antiqua" w:hAnsi="Book Antiqua"/>
                <w:spacing w:val="-1"/>
                <w:sz w:val="24"/>
                <w:szCs w:val="24"/>
              </w:rPr>
              <w:t>ard</w:t>
            </w:r>
          </w:p>
        </w:tc>
        <w:tc>
          <w:tcPr>
            <w:tcW w:w="761" w:type="pct"/>
            <w:vAlign w:val="center"/>
          </w:tcPr>
          <w:p w14:paraId="225235D9" w14:textId="77777777" w:rsidR="007D55E9" w:rsidRPr="007D55E9"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vAlign w:val="center"/>
          </w:tcPr>
          <w:p w14:paraId="46E88213" w14:textId="77777777" w:rsidR="007D55E9" w:rsidRPr="007D55E9"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60D2EE3D" w14:textId="77777777" w:rsidR="007D55E9" w:rsidRPr="007D55E9"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c>
          <w:tcPr>
            <w:tcW w:w="780" w:type="pct"/>
            <w:vAlign w:val="center"/>
          </w:tcPr>
          <w:p w14:paraId="170A841D" w14:textId="77777777" w:rsidR="007D55E9" w:rsidRPr="007D55E9"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c>
          <w:tcPr>
            <w:tcW w:w="473" w:type="pct"/>
            <w:vAlign w:val="center"/>
          </w:tcPr>
          <w:p w14:paraId="097AF9DF" w14:textId="77777777" w:rsidR="007D55E9" w:rsidRPr="007D55E9" w:rsidRDefault="007D55E9" w:rsidP="00F6698B">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95783D" w:rsidRPr="007D55E9" w14:paraId="3CB1B2E4" w14:textId="77777777" w:rsidTr="006F62D3">
        <w:tblPrEx>
          <w:tblCellMar>
            <w:left w:w="34" w:type="dxa"/>
            <w:right w:w="34" w:type="dxa"/>
          </w:tblCellMar>
        </w:tblPrEx>
        <w:trPr>
          <w:cantSplit/>
          <w:trHeight w:val="251"/>
        </w:trPr>
        <w:tc>
          <w:tcPr>
            <w:tcW w:w="1428" w:type="pct"/>
            <w:vAlign w:val="center"/>
          </w:tcPr>
          <w:p w14:paraId="5518DB32" w14:textId="718D1003" w:rsidR="007D55E9" w:rsidRPr="007D55E9"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 xml:space="preserve">Subject </w:t>
            </w:r>
            <w:r w:rsidR="0095783D" w:rsidRPr="007D55E9">
              <w:rPr>
                <w:rFonts w:ascii="Book Antiqua" w:hAnsi="Book Antiqua"/>
                <w:spacing w:val="-1"/>
                <w:sz w:val="24"/>
                <w:szCs w:val="24"/>
              </w:rPr>
              <w:t>q</w:t>
            </w:r>
            <w:r w:rsidRPr="007D55E9">
              <w:rPr>
                <w:rFonts w:ascii="Book Antiqua" w:hAnsi="Book Antiqua"/>
                <w:spacing w:val="-1"/>
                <w:sz w:val="24"/>
                <w:szCs w:val="24"/>
              </w:rPr>
              <w:t>uestionnaire</w:t>
            </w:r>
          </w:p>
        </w:tc>
        <w:tc>
          <w:tcPr>
            <w:tcW w:w="761" w:type="pct"/>
            <w:vAlign w:val="center"/>
          </w:tcPr>
          <w:p w14:paraId="359DE308"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vAlign w:val="center"/>
          </w:tcPr>
          <w:p w14:paraId="051B89E5"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0C85BD75"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01C1EBE1" w14:textId="2E056B57" w:rsidR="007D55E9" w:rsidRPr="007D55E9" w:rsidRDefault="007D55E9" w:rsidP="00FD2E73">
            <w:pPr>
              <w:pStyle w:val="table"/>
              <w:tabs>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r w:rsidR="007F62D0">
              <w:rPr>
                <w:rFonts w:ascii="Book Antiqua" w:hAnsi="Book Antiqua"/>
                <w:bCs/>
                <w:spacing w:val="-1"/>
                <w:sz w:val="24"/>
                <w:szCs w:val="24"/>
                <w:vertAlign w:val="superscript"/>
              </w:rPr>
              <w:t>5</w:t>
            </w:r>
          </w:p>
        </w:tc>
        <w:tc>
          <w:tcPr>
            <w:tcW w:w="473" w:type="pct"/>
            <w:vAlign w:val="center"/>
          </w:tcPr>
          <w:p w14:paraId="0782B6F6"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95783D" w:rsidRPr="007D55E9" w14:paraId="52202548" w14:textId="77777777" w:rsidTr="006F62D3">
        <w:tblPrEx>
          <w:tblCellMar>
            <w:left w:w="34" w:type="dxa"/>
            <w:right w:w="34" w:type="dxa"/>
          </w:tblCellMar>
        </w:tblPrEx>
        <w:trPr>
          <w:cantSplit/>
          <w:trHeight w:val="251"/>
        </w:trPr>
        <w:tc>
          <w:tcPr>
            <w:tcW w:w="1428" w:type="pct"/>
            <w:vAlign w:val="center"/>
          </w:tcPr>
          <w:p w14:paraId="0828B628" w14:textId="77777777" w:rsidR="007D55E9" w:rsidRPr="007D55E9"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lastRenderedPageBreak/>
              <w:t>Colonoscopy</w:t>
            </w:r>
          </w:p>
        </w:tc>
        <w:tc>
          <w:tcPr>
            <w:tcW w:w="761" w:type="pct"/>
            <w:vAlign w:val="center"/>
          </w:tcPr>
          <w:p w14:paraId="1CE0BEDA"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vAlign w:val="center"/>
          </w:tcPr>
          <w:p w14:paraId="75066C03"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126A9F7C"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1F751D35"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c>
          <w:tcPr>
            <w:tcW w:w="473" w:type="pct"/>
            <w:vAlign w:val="center"/>
          </w:tcPr>
          <w:p w14:paraId="6AEE46D4"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95783D" w:rsidRPr="007D55E9" w14:paraId="68A09963" w14:textId="77777777" w:rsidTr="006F62D3">
        <w:tblPrEx>
          <w:tblCellMar>
            <w:left w:w="34" w:type="dxa"/>
            <w:right w:w="34" w:type="dxa"/>
          </w:tblCellMar>
        </w:tblPrEx>
        <w:trPr>
          <w:cantSplit/>
          <w:trHeight w:val="251"/>
        </w:trPr>
        <w:tc>
          <w:tcPr>
            <w:tcW w:w="1428" w:type="pct"/>
            <w:vAlign w:val="center"/>
          </w:tcPr>
          <w:p w14:paraId="36431525" w14:textId="2BB25994" w:rsidR="007D55E9" w:rsidRPr="007D55E9"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 xml:space="preserve">Aronchick </w:t>
            </w:r>
            <w:r w:rsidR="0095783D" w:rsidRPr="007D55E9">
              <w:rPr>
                <w:rFonts w:ascii="Book Antiqua" w:hAnsi="Book Antiqua"/>
                <w:spacing w:val="-1"/>
                <w:sz w:val="24"/>
                <w:szCs w:val="24"/>
              </w:rPr>
              <w:t>s</w:t>
            </w:r>
            <w:r w:rsidRPr="007D55E9">
              <w:rPr>
                <w:rFonts w:ascii="Book Antiqua" w:hAnsi="Book Antiqua"/>
                <w:spacing w:val="-1"/>
                <w:sz w:val="24"/>
                <w:szCs w:val="24"/>
              </w:rPr>
              <w:t>cale</w:t>
            </w:r>
          </w:p>
        </w:tc>
        <w:tc>
          <w:tcPr>
            <w:tcW w:w="761" w:type="pct"/>
            <w:vAlign w:val="center"/>
          </w:tcPr>
          <w:p w14:paraId="468F0C0D"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vAlign w:val="center"/>
          </w:tcPr>
          <w:p w14:paraId="78CE1FDE"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16A97CFD"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7F2CBAC4" w14:textId="315BDE0A"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r w:rsidR="007F62D0">
              <w:rPr>
                <w:rFonts w:ascii="Book Antiqua" w:hAnsi="Book Antiqua"/>
                <w:bCs/>
                <w:spacing w:val="-1"/>
                <w:sz w:val="24"/>
                <w:szCs w:val="24"/>
                <w:vertAlign w:val="superscript"/>
              </w:rPr>
              <w:t>6</w:t>
            </w:r>
          </w:p>
        </w:tc>
        <w:tc>
          <w:tcPr>
            <w:tcW w:w="473" w:type="pct"/>
            <w:vAlign w:val="center"/>
          </w:tcPr>
          <w:p w14:paraId="7205EEA1"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95783D" w:rsidRPr="007D55E9" w14:paraId="48F43941" w14:textId="77777777" w:rsidTr="006F62D3">
        <w:tblPrEx>
          <w:tblCellMar>
            <w:left w:w="34" w:type="dxa"/>
            <w:right w:w="34" w:type="dxa"/>
          </w:tblCellMar>
        </w:tblPrEx>
        <w:trPr>
          <w:cantSplit/>
          <w:trHeight w:val="251"/>
        </w:trPr>
        <w:tc>
          <w:tcPr>
            <w:tcW w:w="1428" w:type="pct"/>
            <w:vAlign w:val="center"/>
          </w:tcPr>
          <w:p w14:paraId="74295164" w14:textId="623823B2" w:rsidR="007D55E9" w:rsidRPr="007D55E9"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 xml:space="preserve">Ottawa </w:t>
            </w:r>
            <w:r w:rsidR="0095783D" w:rsidRPr="007D55E9">
              <w:rPr>
                <w:rFonts w:ascii="Book Antiqua" w:hAnsi="Book Antiqua"/>
                <w:spacing w:val="-1"/>
                <w:sz w:val="24"/>
                <w:szCs w:val="24"/>
              </w:rPr>
              <w:t>bowel preparation scale</w:t>
            </w:r>
            <w:r w:rsidRPr="007D55E9">
              <w:rPr>
                <w:rFonts w:ascii="Book Antiqua" w:hAnsi="Book Antiqua"/>
                <w:spacing w:val="-1"/>
                <w:sz w:val="24"/>
                <w:szCs w:val="24"/>
              </w:rPr>
              <w:t xml:space="preserve"> (OBPS)</w:t>
            </w:r>
          </w:p>
        </w:tc>
        <w:tc>
          <w:tcPr>
            <w:tcW w:w="761" w:type="pct"/>
            <w:vAlign w:val="center"/>
          </w:tcPr>
          <w:p w14:paraId="70244EC7"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vAlign w:val="center"/>
          </w:tcPr>
          <w:p w14:paraId="3BEF2666"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60A0E581"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17916686" w14:textId="4367FB19"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r w:rsidR="007F62D0">
              <w:rPr>
                <w:rFonts w:ascii="Book Antiqua" w:hAnsi="Book Antiqua"/>
                <w:bCs/>
                <w:spacing w:val="-1"/>
                <w:sz w:val="24"/>
                <w:szCs w:val="24"/>
                <w:vertAlign w:val="superscript"/>
              </w:rPr>
              <w:t>6</w:t>
            </w:r>
          </w:p>
        </w:tc>
        <w:tc>
          <w:tcPr>
            <w:tcW w:w="473" w:type="pct"/>
            <w:vAlign w:val="center"/>
          </w:tcPr>
          <w:p w14:paraId="4016E24B"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95783D" w:rsidRPr="007D55E9" w14:paraId="37CD7EB4" w14:textId="77777777" w:rsidTr="006F62D3">
        <w:tblPrEx>
          <w:tblCellMar>
            <w:left w:w="34" w:type="dxa"/>
            <w:right w:w="34" w:type="dxa"/>
          </w:tblCellMar>
        </w:tblPrEx>
        <w:trPr>
          <w:cantSplit/>
          <w:trHeight w:val="251"/>
        </w:trPr>
        <w:tc>
          <w:tcPr>
            <w:tcW w:w="1428" w:type="pct"/>
            <w:vAlign w:val="center"/>
          </w:tcPr>
          <w:p w14:paraId="5C453C91" w14:textId="0497C08A" w:rsidR="007D55E9" w:rsidRPr="007D55E9"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 xml:space="preserve">Bowel </w:t>
            </w:r>
            <w:r w:rsidR="0095783D" w:rsidRPr="007D55E9">
              <w:rPr>
                <w:rFonts w:ascii="Book Antiqua" w:hAnsi="Book Antiqua"/>
                <w:spacing w:val="-1"/>
                <w:sz w:val="24"/>
                <w:szCs w:val="24"/>
              </w:rPr>
              <w:t>preparation compliance</w:t>
            </w:r>
          </w:p>
        </w:tc>
        <w:tc>
          <w:tcPr>
            <w:tcW w:w="761" w:type="pct"/>
            <w:vAlign w:val="center"/>
          </w:tcPr>
          <w:p w14:paraId="67316B3A"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vAlign w:val="center"/>
          </w:tcPr>
          <w:p w14:paraId="6DEB8721"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7FABEEE0"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vAlign w:val="center"/>
          </w:tcPr>
          <w:p w14:paraId="01F80B2E"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c>
          <w:tcPr>
            <w:tcW w:w="473" w:type="pct"/>
            <w:vAlign w:val="center"/>
          </w:tcPr>
          <w:p w14:paraId="23D1844F"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95783D" w:rsidRPr="007D55E9" w14:paraId="4A8B93FA" w14:textId="77777777" w:rsidTr="006F62D3">
        <w:tblPrEx>
          <w:tblCellMar>
            <w:left w:w="34" w:type="dxa"/>
            <w:right w:w="34" w:type="dxa"/>
          </w:tblCellMar>
        </w:tblPrEx>
        <w:trPr>
          <w:cantSplit/>
          <w:trHeight w:val="251"/>
        </w:trPr>
        <w:tc>
          <w:tcPr>
            <w:tcW w:w="1428" w:type="pct"/>
            <w:vAlign w:val="center"/>
          </w:tcPr>
          <w:p w14:paraId="61828C1E" w14:textId="6B81DF02" w:rsidR="007D55E9" w:rsidRPr="007D55E9"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 xml:space="preserve">Concomitant </w:t>
            </w:r>
            <w:r w:rsidR="0095783D" w:rsidRPr="007D55E9">
              <w:rPr>
                <w:rFonts w:ascii="Book Antiqua" w:hAnsi="Book Antiqua"/>
                <w:spacing w:val="-1"/>
                <w:sz w:val="24"/>
                <w:szCs w:val="24"/>
              </w:rPr>
              <w:t>me</w:t>
            </w:r>
            <w:r w:rsidRPr="007D55E9">
              <w:rPr>
                <w:rFonts w:ascii="Book Antiqua" w:hAnsi="Book Antiqua"/>
                <w:spacing w:val="-1"/>
                <w:sz w:val="24"/>
                <w:szCs w:val="24"/>
              </w:rPr>
              <w:t>dication</w:t>
            </w:r>
          </w:p>
        </w:tc>
        <w:tc>
          <w:tcPr>
            <w:tcW w:w="761" w:type="pct"/>
            <w:vAlign w:val="center"/>
          </w:tcPr>
          <w:p w14:paraId="684634BC"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c>
          <w:tcPr>
            <w:tcW w:w="1007" w:type="pct"/>
            <w:vAlign w:val="center"/>
          </w:tcPr>
          <w:p w14:paraId="68620854"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c>
          <w:tcPr>
            <w:tcW w:w="551" w:type="pct"/>
            <w:vAlign w:val="center"/>
          </w:tcPr>
          <w:p w14:paraId="13E67E45"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c>
          <w:tcPr>
            <w:tcW w:w="780" w:type="pct"/>
            <w:vAlign w:val="center"/>
          </w:tcPr>
          <w:p w14:paraId="0C86EB4C"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c>
          <w:tcPr>
            <w:tcW w:w="473" w:type="pct"/>
            <w:vAlign w:val="center"/>
          </w:tcPr>
          <w:p w14:paraId="2EFD6800"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r>
      <w:tr w:rsidR="0095783D" w:rsidRPr="007D55E9" w14:paraId="070EAA0E" w14:textId="77777777" w:rsidTr="006F62D3">
        <w:tblPrEx>
          <w:tblCellMar>
            <w:left w:w="34" w:type="dxa"/>
            <w:right w:w="34" w:type="dxa"/>
          </w:tblCellMar>
        </w:tblPrEx>
        <w:trPr>
          <w:cantSplit/>
          <w:trHeight w:val="251"/>
        </w:trPr>
        <w:tc>
          <w:tcPr>
            <w:tcW w:w="1428" w:type="pct"/>
            <w:vAlign w:val="center"/>
          </w:tcPr>
          <w:p w14:paraId="67B8BEB3" w14:textId="5E5867C8" w:rsidR="007D55E9" w:rsidRPr="007D55E9"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 xml:space="preserve">Reported </w:t>
            </w:r>
            <w:r w:rsidR="0095783D" w:rsidRPr="007D55E9">
              <w:rPr>
                <w:rFonts w:ascii="Book Antiqua" w:hAnsi="Book Antiqua"/>
                <w:spacing w:val="-1"/>
                <w:sz w:val="24"/>
                <w:szCs w:val="24"/>
              </w:rPr>
              <w:t>e</w:t>
            </w:r>
            <w:r w:rsidRPr="007D55E9">
              <w:rPr>
                <w:rFonts w:ascii="Book Antiqua" w:hAnsi="Book Antiqua"/>
                <w:spacing w:val="-1"/>
                <w:sz w:val="24"/>
                <w:szCs w:val="24"/>
              </w:rPr>
              <w:t>vents</w:t>
            </w:r>
            <w:r w:rsidR="007F62D0">
              <w:rPr>
                <w:rFonts w:ascii="Book Antiqua" w:hAnsi="Book Antiqua"/>
                <w:bCs/>
                <w:spacing w:val="-1"/>
                <w:sz w:val="24"/>
                <w:szCs w:val="24"/>
                <w:vertAlign w:val="superscript"/>
              </w:rPr>
              <w:t>7</w:t>
            </w:r>
          </w:p>
        </w:tc>
        <w:tc>
          <w:tcPr>
            <w:tcW w:w="761" w:type="pct"/>
            <w:vAlign w:val="center"/>
          </w:tcPr>
          <w:p w14:paraId="3578D3E9"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vAlign w:val="center"/>
          </w:tcPr>
          <w:p w14:paraId="77666749"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2E954CF6"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c>
          <w:tcPr>
            <w:tcW w:w="780" w:type="pct"/>
            <w:vAlign w:val="center"/>
          </w:tcPr>
          <w:p w14:paraId="30B65382"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c>
          <w:tcPr>
            <w:tcW w:w="473" w:type="pct"/>
            <w:vAlign w:val="center"/>
          </w:tcPr>
          <w:p w14:paraId="5DAE6968"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r>
      <w:tr w:rsidR="0095783D" w:rsidRPr="007D55E9" w14:paraId="7E4BE937" w14:textId="77777777" w:rsidTr="006F62D3">
        <w:tblPrEx>
          <w:tblCellMar>
            <w:left w:w="34" w:type="dxa"/>
            <w:right w:w="34" w:type="dxa"/>
          </w:tblCellMar>
        </w:tblPrEx>
        <w:trPr>
          <w:cantSplit/>
          <w:trHeight w:val="251"/>
        </w:trPr>
        <w:tc>
          <w:tcPr>
            <w:tcW w:w="1428" w:type="pct"/>
            <w:vAlign w:val="center"/>
          </w:tcPr>
          <w:p w14:paraId="589E8472" w14:textId="03BDB230" w:rsidR="007D55E9" w:rsidRPr="007D55E9" w:rsidRDefault="007D55E9" w:rsidP="007D55E9">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 xml:space="preserve">Unsolicited </w:t>
            </w:r>
            <w:r w:rsidR="0095783D" w:rsidRPr="007D55E9">
              <w:rPr>
                <w:rFonts w:ascii="Book Antiqua" w:hAnsi="Book Antiqua"/>
                <w:spacing w:val="-1"/>
                <w:sz w:val="24"/>
                <w:szCs w:val="24"/>
              </w:rPr>
              <w:t>adverse even</w:t>
            </w:r>
            <w:r w:rsidRPr="007D55E9">
              <w:rPr>
                <w:rFonts w:ascii="Book Antiqua" w:hAnsi="Book Antiqua"/>
                <w:spacing w:val="-1"/>
                <w:sz w:val="24"/>
                <w:szCs w:val="24"/>
              </w:rPr>
              <w:t>ts and</w:t>
            </w:r>
            <w:r w:rsidR="0095783D" w:rsidRPr="007D55E9">
              <w:rPr>
                <w:rFonts w:ascii="Book Antiqua" w:hAnsi="Book Antiqua"/>
                <w:spacing w:val="-1"/>
                <w:sz w:val="24"/>
                <w:szCs w:val="24"/>
              </w:rPr>
              <w:t xml:space="preserve"> serious adverse even</w:t>
            </w:r>
            <w:r w:rsidRPr="007D55E9">
              <w:rPr>
                <w:rFonts w:ascii="Book Antiqua" w:hAnsi="Book Antiqua"/>
                <w:spacing w:val="-1"/>
                <w:sz w:val="24"/>
                <w:szCs w:val="24"/>
              </w:rPr>
              <w:t>ts</w:t>
            </w:r>
          </w:p>
        </w:tc>
        <w:tc>
          <w:tcPr>
            <w:tcW w:w="761" w:type="pct"/>
            <w:vAlign w:val="center"/>
          </w:tcPr>
          <w:p w14:paraId="544BED71"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vAlign w:val="center"/>
          </w:tcPr>
          <w:p w14:paraId="7FE0F4B1"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vAlign w:val="center"/>
          </w:tcPr>
          <w:p w14:paraId="74183909"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c>
          <w:tcPr>
            <w:tcW w:w="780" w:type="pct"/>
            <w:vAlign w:val="center"/>
          </w:tcPr>
          <w:p w14:paraId="60510F85"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c>
          <w:tcPr>
            <w:tcW w:w="473" w:type="pct"/>
            <w:vAlign w:val="center"/>
          </w:tcPr>
          <w:p w14:paraId="20CD47E5" w14:textId="77777777" w:rsidR="007D55E9" w:rsidRPr="007D55E9" w:rsidRDefault="007D55E9" w:rsidP="00FD2E73">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sidRPr="007D55E9">
              <w:rPr>
                <w:rFonts w:ascii="Book Antiqua" w:hAnsi="Book Antiqua"/>
                <w:spacing w:val="-1"/>
                <w:sz w:val="24"/>
                <w:szCs w:val="24"/>
              </w:rPr>
              <w:t>X</w:t>
            </w:r>
          </w:p>
        </w:tc>
      </w:tr>
    </w:tbl>
    <w:p w14:paraId="6F84FD9D" w14:textId="03D6DBEE" w:rsidR="006D1775" w:rsidRPr="00886E76" w:rsidRDefault="007B0913" w:rsidP="00886E76">
      <w:pPr>
        <w:spacing w:line="360" w:lineRule="auto"/>
        <w:jc w:val="both"/>
        <w:rPr>
          <w:rFonts w:ascii="Book Antiqua" w:hAnsi="Book Antiqua"/>
        </w:rPr>
      </w:pPr>
      <w:r w:rsidRPr="00886E76">
        <w:rPr>
          <w:rFonts w:ascii="Book Antiqua" w:hAnsi="Book Antiqua"/>
          <w:vertAlign w:val="superscript"/>
        </w:rPr>
        <w:t>1</w:t>
      </w:r>
      <w:r w:rsidR="00042842" w:rsidRPr="00042842">
        <w:rPr>
          <w:rFonts w:ascii="Book Antiqua" w:hAnsi="Book Antiqua"/>
        </w:rPr>
        <w:t xml:space="preserve">Indicates that </w:t>
      </w:r>
      <w:r w:rsidR="00042842">
        <w:rPr>
          <w:rFonts w:ascii="Book Antiqua" w:hAnsi="Book Antiqua"/>
        </w:rPr>
        <w:t>t</w:t>
      </w:r>
      <w:r w:rsidR="00BB1CBB" w:rsidRPr="00886E76">
        <w:rPr>
          <w:rFonts w:ascii="Book Antiqua" w:hAnsi="Book Antiqua"/>
        </w:rPr>
        <w:t>he screening day and randomization day could be the same. However, the activities listed for the Screening Visit had to be completed before randomization</w:t>
      </w:r>
      <w:r w:rsidR="00886E76" w:rsidRPr="00886E76">
        <w:rPr>
          <w:rFonts w:ascii="Book Antiqua" w:hAnsi="Book Antiqua"/>
        </w:rPr>
        <w:t xml:space="preserve">; </w:t>
      </w:r>
      <w:r w:rsidRPr="00886E76">
        <w:rPr>
          <w:rFonts w:ascii="Book Antiqua" w:hAnsi="Book Antiqua"/>
          <w:vertAlign w:val="superscript"/>
        </w:rPr>
        <w:t>2</w:t>
      </w:r>
      <w:r w:rsidR="00042842" w:rsidRPr="00042842">
        <w:rPr>
          <w:rFonts w:ascii="Book Antiqua" w:hAnsi="Book Antiqua"/>
        </w:rPr>
        <w:t xml:space="preserve">Indicates that </w:t>
      </w:r>
      <w:r w:rsidR="00042842">
        <w:rPr>
          <w:rFonts w:ascii="Book Antiqua" w:hAnsi="Book Antiqua"/>
        </w:rPr>
        <w:t>a</w:t>
      </w:r>
      <w:r w:rsidR="00BB1CBB" w:rsidRPr="00886E76">
        <w:rPr>
          <w:rFonts w:ascii="Book Antiqua" w:hAnsi="Book Antiqua"/>
        </w:rPr>
        <w:t xml:space="preserve">fter obtaining baseline laboratory data, the subject was randomized if s/he did not meet exclusion criteria </w:t>
      </w:r>
      <w:r w:rsidR="00042842">
        <w:rPr>
          <w:rFonts w:ascii="Book Antiqua" w:hAnsi="Book Antiqua"/>
        </w:rPr>
        <w:t xml:space="preserve">No. </w:t>
      </w:r>
      <w:r w:rsidR="00BB1CBB" w:rsidRPr="00886E76">
        <w:rPr>
          <w:rFonts w:ascii="Book Antiqua" w:hAnsi="Book Antiqua"/>
        </w:rPr>
        <w:t>9</w:t>
      </w:r>
      <w:r w:rsidR="00886E76" w:rsidRPr="00886E76">
        <w:rPr>
          <w:rFonts w:ascii="Book Antiqua" w:hAnsi="Book Antiqua"/>
        </w:rPr>
        <w:t xml:space="preserve">; </w:t>
      </w:r>
      <w:r w:rsidRPr="00886E76">
        <w:rPr>
          <w:rFonts w:ascii="Book Antiqua" w:hAnsi="Book Antiqua"/>
          <w:vertAlign w:val="superscript"/>
        </w:rPr>
        <w:t>3</w:t>
      </w:r>
      <w:r w:rsidR="00042842" w:rsidRPr="00042842">
        <w:rPr>
          <w:rFonts w:ascii="Book Antiqua" w:hAnsi="Book Antiqua"/>
        </w:rPr>
        <w:t xml:space="preserve">Indicates that </w:t>
      </w:r>
      <w:r w:rsidR="00042842" w:rsidRPr="00886E76">
        <w:rPr>
          <w:rFonts w:ascii="Book Antiqua" w:hAnsi="Book Antiqua"/>
        </w:rPr>
        <w:t>l</w:t>
      </w:r>
      <w:r w:rsidR="00BB1CBB" w:rsidRPr="00886E76">
        <w:rPr>
          <w:rFonts w:ascii="Book Antiqua" w:hAnsi="Book Antiqua"/>
        </w:rPr>
        <w:t>aboratory tests were performed after completion of investigation procedures and following the colonoscopy</w:t>
      </w:r>
      <w:r w:rsidR="00886E76" w:rsidRPr="00886E76">
        <w:rPr>
          <w:rFonts w:ascii="Book Antiqua" w:hAnsi="Book Antiqua"/>
        </w:rPr>
        <w:t xml:space="preserve">; </w:t>
      </w:r>
      <w:r w:rsidRPr="00886E76">
        <w:rPr>
          <w:rFonts w:ascii="Book Antiqua" w:hAnsi="Book Antiqua"/>
          <w:vertAlign w:val="superscript"/>
        </w:rPr>
        <w:t>4</w:t>
      </w:r>
      <w:r w:rsidR="00042842" w:rsidRPr="00042842">
        <w:rPr>
          <w:rFonts w:ascii="Book Antiqua" w:hAnsi="Book Antiqua"/>
        </w:rPr>
        <w:t>Indicates that</w:t>
      </w:r>
      <w:r w:rsidR="00042842" w:rsidRPr="00042842">
        <w:rPr>
          <w:rFonts w:ascii="Book Antiqua" w:hAnsi="Book Antiqua"/>
          <w:vertAlign w:val="superscript"/>
        </w:rPr>
        <w:t xml:space="preserve"> </w:t>
      </w:r>
      <w:r w:rsidR="00042842">
        <w:rPr>
          <w:rFonts w:ascii="Book Antiqua" w:hAnsi="Book Antiqua"/>
        </w:rPr>
        <w:t>t</w:t>
      </w:r>
      <w:r w:rsidR="00BB1CBB" w:rsidRPr="00886E76">
        <w:rPr>
          <w:rFonts w:ascii="Book Antiqua" w:hAnsi="Book Antiqua"/>
        </w:rPr>
        <w:t>he first dosing day was scheduled to follow the dispensing of study drug instructions</w:t>
      </w:r>
      <w:r w:rsidR="00886E76" w:rsidRPr="00886E76">
        <w:rPr>
          <w:rFonts w:ascii="Book Antiqua" w:hAnsi="Book Antiqua"/>
        </w:rPr>
        <w:t xml:space="preserve">; </w:t>
      </w:r>
      <w:r w:rsidRPr="00886E76">
        <w:rPr>
          <w:rFonts w:ascii="Book Antiqua" w:hAnsi="Book Antiqua"/>
          <w:vertAlign w:val="superscript"/>
        </w:rPr>
        <w:t>5</w:t>
      </w:r>
      <w:r w:rsidR="00042842" w:rsidRPr="00042842">
        <w:rPr>
          <w:rFonts w:ascii="Book Antiqua" w:hAnsi="Book Antiqua"/>
        </w:rPr>
        <w:t xml:space="preserve">Indicates that </w:t>
      </w:r>
      <w:r w:rsidR="00042842" w:rsidRPr="00886E76">
        <w:rPr>
          <w:rFonts w:ascii="Book Antiqua" w:hAnsi="Book Antiqua"/>
        </w:rPr>
        <w:t>t</w:t>
      </w:r>
      <w:r w:rsidR="00BB1CBB" w:rsidRPr="00886E76">
        <w:rPr>
          <w:rFonts w:ascii="Book Antiqua" w:hAnsi="Book Antiqua"/>
        </w:rPr>
        <w:t>olerability and satisfaction of the preparation was measured by a standardized subject questionnaire administered on the day of colonoscopy, prior to the procedure</w:t>
      </w:r>
      <w:r w:rsidR="00886E76" w:rsidRPr="00886E76">
        <w:rPr>
          <w:rFonts w:ascii="Book Antiqua" w:hAnsi="Book Antiqua"/>
        </w:rPr>
        <w:t xml:space="preserve">; </w:t>
      </w:r>
      <w:r w:rsidRPr="00886E76">
        <w:rPr>
          <w:rFonts w:ascii="Book Antiqua" w:hAnsi="Book Antiqua"/>
          <w:vertAlign w:val="superscript"/>
        </w:rPr>
        <w:t>6</w:t>
      </w:r>
      <w:r w:rsidR="00042842" w:rsidRPr="00042842">
        <w:rPr>
          <w:rFonts w:ascii="Book Antiqua" w:hAnsi="Book Antiqua"/>
        </w:rPr>
        <w:t>Indicates that</w:t>
      </w:r>
      <w:r w:rsidR="00042842" w:rsidRPr="00042842">
        <w:rPr>
          <w:rFonts w:ascii="Book Antiqua" w:hAnsi="Book Antiqua"/>
          <w:vertAlign w:val="superscript"/>
        </w:rPr>
        <w:t xml:space="preserve"> </w:t>
      </w:r>
      <w:r w:rsidR="00042842" w:rsidRPr="00886E76">
        <w:rPr>
          <w:rFonts w:ascii="Book Antiqua" w:hAnsi="Book Antiqua"/>
        </w:rPr>
        <w:t>a</w:t>
      </w:r>
      <w:r w:rsidR="00BB1CBB" w:rsidRPr="00886E76">
        <w:rPr>
          <w:rFonts w:ascii="Book Antiqua" w:hAnsi="Book Antiqua"/>
        </w:rPr>
        <w:t>ll colonoscopies were videorecorded. After the colonoscopy, independent blinded colonoscopists rated the video</w:t>
      </w:r>
      <w:r w:rsidR="00886E76">
        <w:rPr>
          <w:rFonts w:ascii="Book Antiqua" w:hAnsi="Book Antiqua"/>
        </w:rPr>
        <w:t xml:space="preserve"> </w:t>
      </w:r>
      <w:r w:rsidR="00BB1CBB" w:rsidRPr="00886E76">
        <w:rPr>
          <w:rFonts w:ascii="Book Antiqua" w:hAnsi="Book Antiqua"/>
        </w:rPr>
        <w:t xml:space="preserve">recordings for Aronchick Scale and Ottawa </w:t>
      </w:r>
      <w:r w:rsidR="00B04199" w:rsidRPr="00886E76">
        <w:rPr>
          <w:rFonts w:ascii="Book Antiqua" w:hAnsi="Book Antiqua"/>
        </w:rPr>
        <w:t>bowel preparation scale</w:t>
      </w:r>
      <w:r w:rsidR="00BB1CBB" w:rsidRPr="00886E76">
        <w:rPr>
          <w:rFonts w:ascii="Book Antiqua" w:hAnsi="Book Antiqua"/>
        </w:rPr>
        <w:t xml:space="preserve"> scores</w:t>
      </w:r>
      <w:r w:rsidR="00886E76" w:rsidRPr="00886E76">
        <w:rPr>
          <w:rFonts w:ascii="Book Antiqua" w:hAnsi="Book Antiqua"/>
        </w:rPr>
        <w:t xml:space="preserve">; </w:t>
      </w:r>
      <w:r w:rsidRPr="00886E76">
        <w:rPr>
          <w:rFonts w:ascii="Book Antiqua" w:hAnsi="Book Antiqua"/>
          <w:vertAlign w:val="superscript"/>
        </w:rPr>
        <w:t>7</w:t>
      </w:r>
      <w:r w:rsidR="00042842" w:rsidRPr="00042842">
        <w:rPr>
          <w:rFonts w:ascii="Book Antiqua" w:hAnsi="Book Antiqua"/>
        </w:rPr>
        <w:t xml:space="preserve">Indicates that </w:t>
      </w:r>
      <w:r w:rsidR="00042842" w:rsidRPr="00886E76">
        <w:rPr>
          <w:rFonts w:ascii="Book Antiqua" w:hAnsi="Book Antiqua"/>
        </w:rPr>
        <w:t>r</w:t>
      </w:r>
      <w:r w:rsidR="00BB1CBB" w:rsidRPr="00886E76">
        <w:rPr>
          <w:rFonts w:ascii="Book Antiqua" w:hAnsi="Book Antiqua"/>
        </w:rPr>
        <w:t>eported adverse events were recorded in the dietary card.</w:t>
      </w:r>
    </w:p>
    <w:p w14:paraId="0A122B1D" w14:textId="77777777" w:rsidR="00D661CE" w:rsidRDefault="00D661CE" w:rsidP="00BB1CBB">
      <w:pPr>
        <w:spacing w:line="360" w:lineRule="auto"/>
        <w:jc w:val="both"/>
        <w:sectPr w:rsidR="00D661CE" w:rsidSect="006F62D3">
          <w:pgSz w:w="15840" w:h="12240" w:orient="landscape"/>
          <w:pgMar w:top="1440" w:right="1440" w:bottom="1440" w:left="1440" w:header="720" w:footer="720" w:gutter="0"/>
          <w:cols w:space="720"/>
          <w:docGrid w:linePitch="360"/>
        </w:sectPr>
      </w:pPr>
    </w:p>
    <w:p w14:paraId="4108F90B" w14:textId="727D19DA" w:rsidR="00D661CE" w:rsidRDefault="00D661CE" w:rsidP="00BB1CBB">
      <w:pPr>
        <w:spacing w:line="360" w:lineRule="auto"/>
        <w:jc w:val="both"/>
        <w:rPr>
          <w:rFonts w:ascii="Book Antiqua" w:eastAsia="PMingLiU" w:hAnsi="Book Antiqua" w:cs="PMingLiU"/>
          <w:b/>
          <w:szCs w:val="20"/>
        </w:rPr>
      </w:pPr>
      <w:r w:rsidRPr="00D661CE">
        <w:rPr>
          <w:rFonts w:ascii="Book Antiqua" w:eastAsia="PMingLiU" w:hAnsi="Book Antiqua" w:cs="PMingLiU"/>
          <w:b/>
          <w:szCs w:val="20"/>
        </w:rPr>
        <w:lastRenderedPageBreak/>
        <w:t>Table 2 The primary endpoint of bowel cleansing efficacy as assessed by the Aronchick Scale (per-protocol analysis set)</w:t>
      </w:r>
    </w:p>
    <w:tbl>
      <w:tblPr>
        <w:tblW w:w="5000" w:type="pct"/>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821"/>
        <w:gridCol w:w="2976"/>
        <w:gridCol w:w="3872"/>
        <w:gridCol w:w="1291"/>
      </w:tblGrid>
      <w:tr w:rsidR="00D661CE" w:rsidRPr="006C4E2B" w14:paraId="705F8397" w14:textId="77777777" w:rsidTr="006A0B0A">
        <w:trPr>
          <w:cantSplit/>
          <w:tblHeader/>
          <w:jc w:val="center"/>
        </w:trPr>
        <w:tc>
          <w:tcPr>
            <w:tcW w:w="1860" w:type="pct"/>
            <w:tcBorders>
              <w:top w:val="single" w:sz="4" w:space="0" w:color="auto"/>
              <w:bottom w:val="single" w:sz="4" w:space="0" w:color="auto"/>
            </w:tcBorders>
            <w:shd w:val="clear" w:color="auto" w:fill="FFFFFF"/>
            <w:vAlign w:val="center"/>
          </w:tcPr>
          <w:p w14:paraId="23DD6CAC" w14:textId="77777777" w:rsidR="00D661CE" w:rsidRPr="0034097C" w:rsidRDefault="00D661CE" w:rsidP="00864CCA">
            <w:pPr>
              <w:keepNext/>
              <w:overflowPunct w:val="0"/>
              <w:autoSpaceDE w:val="0"/>
              <w:autoSpaceDN w:val="0"/>
              <w:adjustRightInd w:val="0"/>
              <w:spacing w:line="360" w:lineRule="auto"/>
              <w:jc w:val="center"/>
              <w:textAlignment w:val="baseline"/>
              <w:rPr>
                <w:rFonts w:ascii="Book Antiqua" w:eastAsia="Courier" w:hAnsi="Book Antiqua"/>
                <w:b/>
                <w:bCs/>
                <w:color w:val="000000"/>
              </w:rPr>
            </w:pPr>
          </w:p>
        </w:tc>
        <w:tc>
          <w:tcPr>
            <w:tcW w:w="1148" w:type="pct"/>
            <w:tcBorders>
              <w:top w:val="single" w:sz="4" w:space="0" w:color="auto"/>
              <w:bottom w:val="single" w:sz="4" w:space="0" w:color="auto"/>
            </w:tcBorders>
            <w:shd w:val="clear" w:color="auto" w:fill="FFFFFF"/>
            <w:vAlign w:val="center"/>
          </w:tcPr>
          <w:p w14:paraId="645E2889" w14:textId="56B46343" w:rsidR="00D661CE" w:rsidRPr="0034097C" w:rsidRDefault="00D661CE" w:rsidP="00C14480">
            <w:pPr>
              <w:keepNext/>
              <w:overflowPunct w:val="0"/>
              <w:autoSpaceDE w:val="0"/>
              <w:autoSpaceDN w:val="0"/>
              <w:adjustRightInd w:val="0"/>
              <w:spacing w:line="360" w:lineRule="auto"/>
              <w:jc w:val="center"/>
              <w:textAlignment w:val="baseline"/>
              <w:rPr>
                <w:rFonts w:ascii="Book Antiqua" w:eastAsia="Courier" w:hAnsi="Book Antiqua"/>
                <w:b/>
                <w:bCs/>
                <w:color w:val="000000"/>
              </w:rPr>
            </w:pPr>
            <w:r w:rsidRPr="0034097C">
              <w:rPr>
                <w:rFonts w:ascii="Book Antiqua" w:eastAsia="Courier" w:hAnsi="Book Antiqua"/>
                <w:b/>
                <w:bCs/>
                <w:color w:val="000000"/>
              </w:rPr>
              <w:t>Quiklean</w:t>
            </w:r>
            <w:r w:rsidR="00A60665" w:rsidRPr="0034097C">
              <w:rPr>
                <w:rFonts w:ascii="Book Antiqua" w:eastAsia="Courier" w:hAnsi="Book Antiqua" w:cs="Courier New"/>
                <w:b/>
                <w:bCs/>
                <w:color w:val="000000"/>
                <w:vertAlign w:val="superscript"/>
              </w:rPr>
              <w:t>®</w:t>
            </w:r>
            <w:r w:rsidR="00521DF2">
              <w:rPr>
                <w:rFonts w:ascii="Book Antiqua" w:hAnsi="Book Antiqua"/>
                <w:b/>
                <w:bCs/>
                <w:color w:val="000000"/>
                <w:lang w:eastAsia="zh-CN"/>
              </w:rPr>
              <w:t xml:space="preserve">, </w:t>
            </w:r>
            <w:r w:rsidRPr="0034097C">
              <w:rPr>
                <w:rFonts w:ascii="Book Antiqua" w:eastAsia="Courier" w:hAnsi="Book Antiqua"/>
                <w:b/>
                <w:bCs/>
                <w:i/>
                <w:iCs/>
                <w:color w:val="000000"/>
              </w:rPr>
              <w:t>n</w:t>
            </w:r>
            <w:r w:rsidR="00864CCA" w:rsidRPr="0034097C">
              <w:rPr>
                <w:rFonts w:ascii="Book Antiqua" w:eastAsia="Courier" w:hAnsi="Book Antiqua"/>
                <w:b/>
                <w:bCs/>
                <w:color w:val="000000"/>
              </w:rPr>
              <w:t xml:space="preserve"> </w:t>
            </w:r>
            <w:r w:rsidRPr="0034097C">
              <w:rPr>
                <w:rFonts w:ascii="Book Antiqua" w:eastAsia="Courier" w:hAnsi="Book Antiqua"/>
                <w:b/>
                <w:bCs/>
                <w:color w:val="000000"/>
              </w:rPr>
              <w:t>=</w:t>
            </w:r>
            <w:r w:rsidR="00864CCA" w:rsidRPr="0034097C">
              <w:rPr>
                <w:rFonts w:ascii="Book Antiqua" w:eastAsia="Courier" w:hAnsi="Book Antiqua"/>
                <w:b/>
                <w:bCs/>
                <w:color w:val="000000"/>
              </w:rPr>
              <w:t xml:space="preserve"> </w:t>
            </w:r>
            <w:r w:rsidRPr="0034097C">
              <w:rPr>
                <w:rFonts w:ascii="Book Antiqua" w:eastAsia="Courier" w:hAnsi="Book Antiqua"/>
                <w:b/>
                <w:bCs/>
                <w:color w:val="000000"/>
              </w:rPr>
              <w:t>208</w:t>
            </w:r>
          </w:p>
        </w:tc>
        <w:tc>
          <w:tcPr>
            <w:tcW w:w="1494" w:type="pct"/>
            <w:tcBorders>
              <w:top w:val="single" w:sz="4" w:space="0" w:color="auto"/>
              <w:bottom w:val="single" w:sz="4" w:space="0" w:color="auto"/>
            </w:tcBorders>
            <w:shd w:val="clear" w:color="auto" w:fill="FFFFFF"/>
            <w:vAlign w:val="center"/>
          </w:tcPr>
          <w:p w14:paraId="187B30A2" w14:textId="5CF72590" w:rsidR="00D661CE" w:rsidRPr="0034097C" w:rsidRDefault="00D661CE" w:rsidP="00C14480">
            <w:pPr>
              <w:keepNext/>
              <w:overflowPunct w:val="0"/>
              <w:autoSpaceDE w:val="0"/>
              <w:autoSpaceDN w:val="0"/>
              <w:adjustRightInd w:val="0"/>
              <w:spacing w:line="360" w:lineRule="auto"/>
              <w:jc w:val="center"/>
              <w:textAlignment w:val="baseline"/>
              <w:rPr>
                <w:rFonts w:ascii="Book Antiqua" w:eastAsia="Courier" w:hAnsi="Book Antiqua"/>
                <w:b/>
                <w:bCs/>
                <w:color w:val="000000"/>
              </w:rPr>
            </w:pPr>
            <w:r w:rsidRPr="0034097C">
              <w:rPr>
                <w:rFonts w:ascii="Book Antiqua" w:eastAsia="Courier" w:hAnsi="Book Antiqua"/>
                <w:b/>
                <w:bCs/>
                <w:color w:val="000000"/>
              </w:rPr>
              <w:t>Klean-Prep/Dulcolax</w:t>
            </w:r>
            <w:r w:rsidR="00A60665" w:rsidRPr="0034097C">
              <w:rPr>
                <w:rFonts w:ascii="Book Antiqua" w:eastAsia="Courier" w:hAnsi="Book Antiqua" w:cs="Courier New"/>
                <w:b/>
                <w:bCs/>
                <w:color w:val="000000"/>
                <w:vertAlign w:val="superscript"/>
              </w:rPr>
              <w:t>®</w:t>
            </w:r>
            <w:r w:rsidR="00521DF2">
              <w:rPr>
                <w:rFonts w:ascii="Book Antiqua" w:eastAsia="Courier" w:hAnsi="Book Antiqua"/>
                <w:b/>
                <w:bCs/>
                <w:color w:val="000000"/>
              </w:rPr>
              <w:t xml:space="preserve">, </w:t>
            </w:r>
            <w:r w:rsidRPr="0034097C">
              <w:rPr>
                <w:rFonts w:ascii="Book Antiqua" w:eastAsia="Courier" w:hAnsi="Book Antiqua"/>
                <w:b/>
                <w:bCs/>
                <w:i/>
                <w:iCs/>
                <w:color w:val="000000"/>
              </w:rPr>
              <w:t>n</w:t>
            </w:r>
            <w:r w:rsidR="00864CCA" w:rsidRPr="0034097C">
              <w:rPr>
                <w:rFonts w:ascii="Book Antiqua" w:eastAsia="Courier" w:hAnsi="Book Antiqua"/>
                <w:b/>
                <w:bCs/>
                <w:color w:val="000000"/>
              </w:rPr>
              <w:t xml:space="preserve"> </w:t>
            </w:r>
            <w:r w:rsidRPr="0034097C">
              <w:rPr>
                <w:rFonts w:ascii="Book Antiqua" w:eastAsia="Courier" w:hAnsi="Book Antiqua"/>
                <w:b/>
                <w:bCs/>
                <w:color w:val="000000"/>
              </w:rPr>
              <w:t>=</w:t>
            </w:r>
            <w:r w:rsidR="00864CCA" w:rsidRPr="0034097C">
              <w:rPr>
                <w:rFonts w:ascii="Book Antiqua" w:eastAsia="Courier" w:hAnsi="Book Antiqua"/>
                <w:b/>
                <w:bCs/>
                <w:color w:val="000000"/>
              </w:rPr>
              <w:t xml:space="preserve"> </w:t>
            </w:r>
            <w:r w:rsidRPr="0034097C">
              <w:rPr>
                <w:rFonts w:ascii="Book Antiqua" w:eastAsia="Courier" w:hAnsi="Book Antiqua"/>
                <w:b/>
                <w:bCs/>
                <w:color w:val="000000"/>
              </w:rPr>
              <w:t>209</w:t>
            </w:r>
          </w:p>
        </w:tc>
        <w:tc>
          <w:tcPr>
            <w:tcW w:w="498" w:type="pct"/>
            <w:tcBorders>
              <w:top w:val="single" w:sz="4" w:space="0" w:color="auto"/>
              <w:bottom w:val="single" w:sz="4" w:space="0" w:color="auto"/>
            </w:tcBorders>
            <w:shd w:val="clear" w:color="auto" w:fill="FFFFFF"/>
            <w:vAlign w:val="center"/>
          </w:tcPr>
          <w:p w14:paraId="49056E26" w14:textId="681D54D1" w:rsidR="00D661CE" w:rsidRPr="0034097C" w:rsidRDefault="00D661CE" w:rsidP="00C14480">
            <w:pPr>
              <w:keepNext/>
              <w:overflowPunct w:val="0"/>
              <w:autoSpaceDE w:val="0"/>
              <w:autoSpaceDN w:val="0"/>
              <w:adjustRightInd w:val="0"/>
              <w:spacing w:line="360" w:lineRule="auto"/>
              <w:jc w:val="center"/>
              <w:textAlignment w:val="baseline"/>
              <w:rPr>
                <w:rFonts w:ascii="Book Antiqua" w:eastAsia="Courier" w:hAnsi="Book Antiqua"/>
                <w:b/>
                <w:bCs/>
                <w:color w:val="000000"/>
              </w:rPr>
            </w:pPr>
            <w:r w:rsidRPr="0034097C">
              <w:rPr>
                <w:rFonts w:ascii="Book Antiqua" w:eastAsia="Courier" w:hAnsi="Book Antiqua"/>
                <w:b/>
                <w:bCs/>
                <w:i/>
                <w:color w:val="000000"/>
              </w:rPr>
              <w:t>P</w:t>
            </w:r>
            <w:r w:rsidR="00864CCA" w:rsidRPr="0034097C">
              <w:rPr>
                <w:rFonts w:ascii="Book Antiqua" w:eastAsia="Courier" w:hAnsi="Book Antiqua"/>
                <w:b/>
                <w:bCs/>
                <w:color w:val="000000"/>
              </w:rPr>
              <w:t xml:space="preserve"> </w:t>
            </w:r>
            <w:r w:rsidRPr="0034097C">
              <w:rPr>
                <w:rFonts w:ascii="Book Antiqua" w:eastAsia="Courier" w:hAnsi="Book Antiqua"/>
                <w:b/>
                <w:bCs/>
                <w:color w:val="000000"/>
              </w:rPr>
              <w:t>value</w:t>
            </w:r>
          </w:p>
        </w:tc>
      </w:tr>
      <w:tr w:rsidR="00D661CE" w:rsidRPr="006C4E2B" w14:paraId="6684F253" w14:textId="77777777" w:rsidTr="006A0B0A">
        <w:trPr>
          <w:cantSplit/>
          <w:jc w:val="center"/>
        </w:trPr>
        <w:tc>
          <w:tcPr>
            <w:tcW w:w="1860" w:type="pct"/>
            <w:tcBorders>
              <w:top w:val="single" w:sz="4" w:space="0" w:color="auto"/>
            </w:tcBorders>
            <w:shd w:val="clear" w:color="auto" w:fill="FFFFFF"/>
          </w:tcPr>
          <w:p w14:paraId="1B482541" w14:textId="77777777" w:rsidR="00D661CE" w:rsidRPr="0034097C" w:rsidRDefault="00D661CE" w:rsidP="00864CCA">
            <w:pPr>
              <w:overflowPunct w:val="0"/>
              <w:autoSpaceDE w:val="0"/>
              <w:autoSpaceDN w:val="0"/>
              <w:adjustRightInd w:val="0"/>
              <w:spacing w:line="360" w:lineRule="auto"/>
              <w:jc w:val="both"/>
              <w:textAlignment w:val="baseline"/>
              <w:rPr>
                <w:rFonts w:ascii="Book Antiqua" w:eastAsia="Courier" w:hAnsi="Book Antiqua"/>
                <w:b/>
                <w:bCs/>
                <w:color w:val="000000"/>
              </w:rPr>
            </w:pPr>
            <w:r w:rsidRPr="0034097C">
              <w:rPr>
                <w:rFonts w:ascii="Book Antiqua" w:eastAsia="Courier" w:hAnsi="Book Antiqua"/>
                <w:b/>
                <w:bCs/>
                <w:color w:val="000000"/>
              </w:rPr>
              <w:t>Responses</w:t>
            </w:r>
          </w:p>
        </w:tc>
        <w:tc>
          <w:tcPr>
            <w:tcW w:w="1148" w:type="pct"/>
            <w:tcBorders>
              <w:top w:val="single" w:sz="4" w:space="0" w:color="auto"/>
            </w:tcBorders>
            <w:shd w:val="clear" w:color="auto" w:fill="FFFFFF"/>
          </w:tcPr>
          <w:p w14:paraId="39C9E995"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1494" w:type="pct"/>
            <w:tcBorders>
              <w:top w:val="single" w:sz="4" w:space="0" w:color="auto"/>
            </w:tcBorders>
            <w:shd w:val="clear" w:color="auto" w:fill="FFFFFF"/>
          </w:tcPr>
          <w:p w14:paraId="1212D119"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498" w:type="pct"/>
            <w:tcBorders>
              <w:top w:val="single" w:sz="4" w:space="0" w:color="auto"/>
            </w:tcBorders>
            <w:shd w:val="clear" w:color="auto" w:fill="FFFFFF"/>
          </w:tcPr>
          <w:p w14:paraId="76EC68FF"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D661CE" w:rsidRPr="006C4E2B" w14:paraId="040E20AD" w14:textId="77777777" w:rsidTr="006A0B0A">
        <w:trPr>
          <w:cantSplit/>
          <w:jc w:val="center"/>
        </w:trPr>
        <w:tc>
          <w:tcPr>
            <w:tcW w:w="1860" w:type="pct"/>
            <w:shd w:val="clear" w:color="auto" w:fill="FFFFFF"/>
          </w:tcPr>
          <w:p w14:paraId="15514561" w14:textId="4C8058A9" w:rsidR="00D661CE" w:rsidRPr="0034097C" w:rsidRDefault="00D661CE" w:rsidP="00864CCA">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sidRPr="0034097C">
              <w:rPr>
                <w:rFonts w:ascii="Book Antiqua" w:eastAsia="Courier" w:hAnsi="Book Antiqua"/>
                <w:color w:val="000000"/>
              </w:rPr>
              <w:t>Successful (Excellent</w:t>
            </w:r>
            <w:r w:rsidR="00864CCA" w:rsidRPr="0034097C">
              <w:rPr>
                <w:rFonts w:ascii="Book Antiqua" w:eastAsia="Courier" w:hAnsi="Book Antiqua"/>
                <w:color w:val="000000"/>
              </w:rPr>
              <w:t xml:space="preserve"> </w:t>
            </w:r>
            <w:r w:rsidRPr="0034097C">
              <w:rPr>
                <w:rFonts w:ascii="Book Antiqua" w:eastAsia="Courier" w:hAnsi="Book Antiqua"/>
                <w:color w:val="000000"/>
              </w:rPr>
              <w:t>+</w:t>
            </w:r>
            <w:r w:rsidR="00864CCA" w:rsidRPr="0034097C">
              <w:rPr>
                <w:rFonts w:ascii="Book Antiqua" w:eastAsia="Courier" w:hAnsi="Book Antiqua"/>
                <w:color w:val="000000"/>
              </w:rPr>
              <w:t xml:space="preserve"> </w:t>
            </w:r>
            <w:r w:rsidRPr="0034097C">
              <w:rPr>
                <w:rFonts w:ascii="Book Antiqua" w:eastAsia="Courier" w:hAnsi="Book Antiqua"/>
                <w:color w:val="000000"/>
              </w:rPr>
              <w:t>Good)</w:t>
            </w:r>
          </w:p>
        </w:tc>
        <w:tc>
          <w:tcPr>
            <w:tcW w:w="1148" w:type="pct"/>
            <w:shd w:val="clear" w:color="auto" w:fill="FFFFFF"/>
          </w:tcPr>
          <w:p w14:paraId="69DF4AF0"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34097C">
              <w:rPr>
                <w:rFonts w:ascii="Book Antiqua" w:eastAsia="Courier" w:hAnsi="Book Antiqua"/>
                <w:color w:val="000000"/>
              </w:rPr>
              <w:t>205</w:t>
            </w:r>
          </w:p>
        </w:tc>
        <w:tc>
          <w:tcPr>
            <w:tcW w:w="1494" w:type="pct"/>
            <w:shd w:val="clear" w:color="auto" w:fill="FFFFFF"/>
          </w:tcPr>
          <w:p w14:paraId="364ADBF0"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34097C">
              <w:rPr>
                <w:rFonts w:ascii="Book Antiqua" w:eastAsia="Courier" w:hAnsi="Book Antiqua"/>
                <w:color w:val="000000"/>
              </w:rPr>
              <w:t>204</w:t>
            </w:r>
          </w:p>
        </w:tc>
        <w:tc>
          <w:tcPr>
            <w:tcW w:w="498" w:type="pct"/>
            <w:shd w:val="clear" w:color="auto" w:fill="FFFFFF"/>
          </w:tcPr>
          <w:p w14:paraId="70E45E9A"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D661CE" w:rsidRPr="006C4E2B" w14:paraId="1BDFAD5E" w14:textId="77777777" w:rsidTr="006A0B0A">
        <w:trPr>
          <w:cantSplit/>
          <w:jc w:val="center"/>
        </w:trPr>
        <w:tc>
          <w:tcPr>
            <w:tcW w:w="1860" w:type="pct"/>
            <w:shd w:val="clear" w:color="auto" w:fill="FFFFFF"/>
          </w:tcPr>
          <w:p w14:paraId="2D084186" w14:textId="68A538B3" w:rsidR="00D661CE" w:rsidRPr="0034097C" w:rsidRDefault="00D661CE" w:rsidP="00864CCA">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sidRPr="0034097C">
              <w:rPr>
                <w:rFonts w:ascii="Book Antiqua" w:eastAsia="Courier" w:hAnsi="Book Antiqua"/>
                <w:color w:val="000000"/>
              </w:rPr>
              <w:t>Unsuccessful (Fair</w:t>
            </w:r>
            <w:r w:rsidR="00864CCA" w:rsidRPr="0034097C">
              <w:rPr>
                <w:rFonts w:ascii="Book Antiqua" w:eastAsia="Courier" w:hAnsi="Book Antiqua"/>
                <w:color w:val="000000"/>
              </w:rPr>
              <w:t xml:space="preserve"> </w:t>
            </w:r>
            <w:r w:rsidRPr="0034097C">
              <w:rPr>
                <w:rFonts w:ascii="Book Antiqua" w:eastAsia="Courier" w:hAnsi="Book Antiqua"/>
                <w:color w:val="000000"/>
              </w:rPr>
              <w:t>+</w:t>
            </w:r>
            <w:r w:rsidR="00864CCA" w:rsidRPr="0034097C">
              <w:rPr>
                <w:rFonts w:ascii="Book Antiqua" w:eastAsia="Courier" w:hAnsi="Book Antiqua"/>
                <w:color w:val="000000"/>
              </w:rPr>
              <w:t xml:space="preserve"> </w:t>
            </w:r>
            <w:r w:rsidRPr="0034097C">
              <w:rPr>
                <w:rFonts w:ascii="Book Antiqua" w:eastAsia="Courier" w:hAnsi="Book Antiqua"/>
                <w:color w:val="000000"/>
              </w:rPr>
              <w:t>Poor</w:t>
            </w:r>
            <w:r w:rsidR="00864CCA" w:rsidRPr="0034097C">
              <w:rPr>
                <w:rFonts w:ascii="Book Antiqua" w:eastAsia="Courier" w:hAnsi="Book Antiqua"/>
                <w:color w:val="000000"/>
              </w:rPr>
              <w:t xml:space="preserve"> </w:t>
            </w:r>
            <w:r w:rsidRPr="0034097C">
              <w:rPr>
                <w:rFonts w:ascii="Book Antiqua" w:eastAsia="Courier" w:hAnsi="Book Antiqua"/>
                <w:color w:val="000000"/>
              </w:rPr>
              <w:t>+</w:t>
            </w:r>
            <w:r w:rsidR="00864CCA" w:rsidRPr="0034097C">
              <w:rPr>
                <w:rFonts w:ascii="Book Antiqua" w:eastAsia="Courier" w:hAnsi="Book Antiqua"/>
                <w:color w:val="000000"/>
              </w:rPr>
              <w:t xml:space="preserve"> </w:t>
            </w:r>
            <w:r w:rsidRPr="0034097C">
              <w:rPr>
                <w:rFonts w:ascii="Book Antiqua" w:eastAsia="Courier" w:hAnsi="Book Antiqua"/>
                <w:color w:val="000000"/>
              </w:rPr>
              <w:t>Inadequate)</w:t>
            </w:r>
          </w:p>
        </w:tc>
        <w:tc>
          <w:tcPr>
            <w:tcW w:w="1148" w:type="pct"/>
            <w:shd w:val="clear" w:color="auto" w:fill="FFFFFF"/>
          </w:tcPr>
          <w:p w14:paraId="30C67FC2"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34097C">
              <w:rPr>
                <w:rFonts w:ascii="Book Antiqua" w:eastAsia="Courier" w:hAnsi="Book Antiqua"/>
                <w:color w:val="000000"/>
              </w:rPr>
              <w:t>3</w:t>
            </w:r>
          </w:p>
        </w:tc>
        <w:tc>
          <w:tcPr>
            <w:tcW w:w="1494" w:type="pct"/>
            <w:shd w:val="clear" w:color="auto" w:fill="FFFFFF"/>
          </w:tcPr>
          <w:p w14:paraId="4A1FF34B"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34097C">
              <w:rPr>
                <w:rFonts w:ascii="Book Antiqua" w:eastAsia="Courier" w:hAnsi="Book Antiqua"/>
                <w:color w:val="000000"/>
              </w:rPr>
              <w:t>5</w:t>
            </w:r>
          </w:p>
        </w:tc>
        <w:tc>
          <w:tcPr>
            <w:tcW w:w="498" w:type="pct"/>
            <w:shd w:val="clear" w:color="auto" w:fill="FFFFFF"/>
          </w:tcPr>
          <w:p w14:paraId="46C55877"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D661CE" w:rsidRPr="006C4E2B" w14:paraId="3A2B36B3" w14:textId="77777777" w:rsidTr="006A0B0A">
        <w:trPr>
          <w:cantSplit/>
          <w:jc w:val="center"/>
        </w:trPr>
        <w:tc>
          <w:tcPr>
            <w:tcW w:w="1860" w:type="pct"/>
            <w:shd w:val="clear" w:color="auto" w:fill="FFFFFF"/>
          </w:tcPr>
          <w:p w14:paraId="6F0AA458" w14:textId="77777777" w:rsidR="00D661CE" w:rsidRPr="0034097C" w:rsidRDefault="00D661CE" w:rsidP="00864CCA">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sidRPr="0034097C">
              <w:rPr>
                <w:rFonts w:ascii="Book Antiqua" w:eastAsia="Courier" w:hAnsi="Book Antiqua"/>
                <w:color w:val="000000"/>
              </w:rPr>
              <w:t>Success rate</w:t>
            </w:r>
          </w:p>
        </w:tc>
        <w:tc>
          <w:tcPr>
            <w:tcW w:w="1148" w:type="pct"/>
            <w:shd w:val="clear" w:color="auto" w:fill="FFFFFF"/>
          </w:tcPr>
          <w:p w14:paraId="064FC2D4"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34097C">
              <w:rPr>
                <w:rFonts w:ascii="Book Antiqua" w:eastAsia="Courier" w:hAnsi="Book Antiqua"/>
                <w:color w:val="000000"/>
              </w:rPr>
              <w:t>98.6%</w:t>
            </w:r>
          </w:p>
        </w:tc>
        <w:tc>
          <w:tcPr>
            <w:tcW w:w="1494" w:type="pct"/>
            <w:shd w:val="clear" w:color="auto" w:fill="FFFFFF"/>
          </w:tcPr>
          <w:p w14:paraId="3CF1E00F"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34097C">
              <w:rPr>
                <w:rFonts w:ascii="Book Antiqua" w:eastAsia="Courier" w:hAnsi="Book Antiqua"/>
                <w:color w:val="000000"/>
              </w:rPr>
              <w:t>97.6%</w:t>
            </w:r>
          </w:p>
        </w:tc>
        <w:tc>
          <w:tcPr>
            <w:tcW w:w="498" w:type="pct"/>
            <w:shd w:val="clear" w:color="auto" w:fill="FFFFFF"/>
          </w:tcPr>
          <w:p w14:paraId="262D7D43"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D661CE" w:rsidRPr="006C4E2B" w14:paraId="51FF708E" w14:textId="77777777" w:rsidTr="006A0B0A">
        <w:trPr>
          <w:cantSplit/>
          <w:jc w:val="center"/>
        </w:trPr>
        <w:tc>
          <w:tcPr>
            <w:tcW w:w="1860" w:type="pct"/>
            <w:shd w:val="clear" w:color="auto" w:fill="FFFFFF"/>
          </w:tcPr>
          <w:p w14:paraId="26DE562F" w14:textId="77777777" w:rsidR="00D661CE" w:rsidRPr="0034097C" w:rsidRDefault="00D661CE" w:rsidP="00864CCA">
            <w:pPr>
              <w:overflowPunct w:val="0"/>
              <w:autoSpaceDE w:val="0"/>
              <w:autoSpaceDN w:val="0"/>
              <w:adjustRightInd w:val="0"/>
              <w:spacing w:line="360" w:lineRule="auto"/>
              <w:jc w:val="both"/>
              <w:textAlignment w:val="baseline"/>
              <w:rPr>
                <w:rFonts w:ascii="Book Antiqua" w:eastAsia="Courier" w:hAnsi="Book Antiqua"/>
                <w:b/>
                <w:color w:val="000000"/>
              </w:rPr>
            </w:pPr>
            <w:r w:rsidRPr="0034097C">
              <w:rPr>
                <w:rFonts w:ascii="Book Antiqua" w:eastAsia="Courier" w:hAnsi="Book Antiqua"/>
                <w:b/>
                <w:color w:val="000000"/>
              </w:rPr>
              <w:t>Between-group difference</w:t>
            </w:r>
          </w:p>
        </w:tc>
        <w:tc>
          <w:tcPr>
            <w:tcW w:w="2642" w:type="pct"/>
            <w:gridSpan w:val="2"/>
            <w:shd w:val="clear" w:color="auto" w:fill="FFFFFF"/>
          </w:tcPr>
          <w:p w14:paraId="3A9D04CB"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34097C">
              <w:rPr>
                <w:rFonts w:ascii="Book Antiqua" w:eastAsia="Courier" w:hAnsi="Book Antiqua"/>
                <w:color w:val="000000"/>
              </w:rPr>
              <w:t>0.95%</w:t>
            </w:r>
          </w:p>
        </w:tc>
        <w:tc>
          <w:tcPr>
            <w:tcW w:w="498" w:type="pct"/>
            <w:shd w:val="clear" w:color="auto" w:fill="FFFFFF"/>
          </w:tcPr>
          <w:p w14:paraId="34CDB0AB"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D661CE" w:rsidRPr="006C4E2B" w14:paraId="6685D301" w14:textId="77777777" w:rsidTr="006A0B0A">
        <w:trPr>
          <w:cantSplit/>
          <w:jc w:val="center"/>
        </w:trPr>
        <w:tc>
          <w:tcPr>
            <w:tcW w:w="1860" w:type="pct"/>
            <w:shd w:val="clear" w:color="auto" w:fill="FFFFFF"/>
          </w:tcPr>
          <w:p w14:paraId="4F8DC8A8" w14:textId="77777777" w:rsidR="00D661CE" w:rsidRPr="0034097C" w:rsidRDefault="00D661CE" w:rsidP="00864CCA">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sidRPr="0034097C">
              <w:rPr>
                <w:rFonts w:ascii="Book Antiqua" w:eastAsia="Courier" w:hAnsi="Book Antiqua"/>
                <w:color w:val="000000"/>
              </w:rPr>
              <w:t>95% exact CI</w:t>
            </w:r>
          </w:p>
        </w:tc>
        <w:tc>
          <w:tcPr>
            <w:tcW w:w="2642" w:type="pct"/>
            <w:gridSpan w:val="2"/>
            <w:shd w:val="clear" w:color="auto" w:fill="FFFFFF"/>
          </w:tcPr>
          <w:p w14:paraId="0D57C367" w14:textId="40D334E2"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34097C">
              <w:rPr>
                <w:rFonts w:ascii="Book Antiqua" w:eastAsia="Courier" w:hAnsi="Book Antiqua"/>
                <w:color w:val="000000"/>
              </w:rPr>
              <w:t>(</w:t>
            </w:r>
            <w:r w:rsidR="00C14480">
              <w:rPr>
                <w:rFonts w:ascii="Book Antiqua" w:eastAsia="Yu Mincho" w:hAnsi="Book Antiqua"/>
              </w:rPr>
              <w:t>-</w:t>
            </w:r>
            <w:r w:rsidRPr="0034097C">
              <w:rPr>
                <w:rFonts w:ascii="Book Antiqua" w:eastAsia="Courier" w:hAnsi="Book Antiqua"/>
                <w:color w:val="000000"/>
              </w:rPr>
              <w:t>8.620%, 10.525%)</w:t>
            </w:r>
          </w:p>
        </w:tc>
        <w:tc>
          <w:tcPr>
            <w:tcW w:w="498" w:type="pct"/>
            <w:shd w:val="clear" w:color="auto" w:fill="FFFFFF"/>
          </w:tcPr>
          <w:p w14:paraId="7AF00F3F"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D661CE" w:rsidRPr="006C4E2B" w14:paraId="05004301" w14:textId="77777777" w:rsidTr="006A0B0A">
        <w:trPr>
          <w:cantSplit/>
          <w:jc w:val="center"/>
        </w:trPr>
        <w:tc>
          <w:tcPr>
            <w:tcW w:w="1860" w:type="pct"/>
            <w:shd w:val="clear" w:color="auto" w:fill="FFFFFF"/>
          </w:tcPr>
          <w:p w14:paraId="36FCB597" w14:textId="627EB24E" w:rsidR="00D661CE" w:rsidRPr="0034097C" w:rsidRDefault="00D661CE" w:rsidP="00864CCA">
            <w:pPr>
              <w:overflowPunct w:val="0"/>
              <w:autoSpaceDE w:val="0"/>
              <w:autoSpaceDN w:val="0"/>
              <w:adjustRightInd w:val="0"/>
              <w:spacing w:line="360" w:lineRule="auto"/>
              <w:jc w:val="both"/>
              <w:textAlignment w:val="baseline"/>
              <w:rPr>
                <w:rFonts w:ascii="Book Antiqua" w:eastAsia="Courier" w:hAnsi="Book Antiqua"/>
                <w:b/>
                <w:bCs/>
                <w:color w:val="000000"/>
              </w:rPr>
            </w:pPr>
            <w:r w:rsidRPr="0034097C">
              <w:rPr>
                <w:rFonts w:ascii="Book Antiqua" w:eastAsia="Courier" w:hAnsi="Book Antiqua"/>
                <w:b/>
                <w:bCs/>
                <w:color w:val="000000"/>
              </w:rPr>
              <w:t>Rating</w:t>
            </w:r>
            <w:r w:rsidR="00C14480">
              <w:rPr>
                <w:rFonts w:ascii="Book Antiqua" w:eastAsia="PMingLiU" w:hAnsi="Book Antiqua" w:cs="PMingLiU"/>
                <w:b/>
                <w:szCs w:val="28"/>
              </w:rPr>
              <w:t xml:space="preserve">, </w:t>
            </w:r>
            <w:r w:rsidR="00C14480" w:rsidRPr="00C14480">
              <w:rPr>
                <w:rFonts w:ascii="Book Antiqua" w:eastAsia="PMingLiU" w:hAnsi="Book Antiqua" w:cs="PMingLiU"/>
                <w:b/>
                <w:i/>
                <w:szCs w:val="28"/>
              </w:rPr>
              <w:t>n</w:t>
            </w:r>
            <w:r w:rsidR="00C14480">
              <w:rPr>
                <w:rFonts w:ascii="Book Antiqua" w:eastAsia="PMingLiU" w:hAnsi="Book Antiqua" w:cs="PMingLiU"/>
                <w:b/>
                <w:szCs w:val="28"/>
              </w:rPr>
              <w:t xml:space="preserve"> (%)</w:t>
            </w:r>
          </w:p>
        </w:tc>
        <w:tc>
          <w:tcPr>
            <w:tcW w:w="1148" w:type="pct"/>
            <w:shd w:val="clear" w:color="auto" w:fill="FFFFFF"/>
          </w:tcPr>
          <w:p w14:paraId="17CF2EBC"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1494" w:type="pct"/>
            <w:shd w:val="clear" w:color="auto" w:fill="FFFFFF"/>
          </w:tcPr>
          <w:p w14:paraId="0240A3B7"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498" w:type="pct"/>
            <w:shd w:val="clear" w:color="auto" w:fill="FFFFFF"/>
          </w:tcPr>
          <w:p w14:paraId="04D5468D"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D661CE" w:rsidRPr="006C4E2B" w14:paraId="27F876B5" w14:textId="77777777" w:rsidTr="006A0B0A">
        <w:trPr>
          <w:cantSplit/>
          <w:jc w:val="center"/>
        </w:trPr>
        <w:tc>
          <w:tcPr>
            <w:tcW w:w="1860" w:type="pct"/>
            <w:shd w:val="clear" w:color="auto" w:fill="FFFFFF"/>
          </w:tcPr>
          <w:p w14:paraId="7617352C" w14:textId="77777777" w:rsidR="00D661CE" w:rsidRPr="0034097C" w:rsidRDefault="00D661CE" w:rsidP="00864CCA">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sidRPr="0034097C">
              <w:rPr>
                <w:rFonts w:ascii="Book Antiqua" w:eastAsia="Courier" w:hAnsi="Book Antiqua"/>
                <w:color w:val="000000"/>
              </w:rPr>
              <w:t>Excellent</w:t>
            </w:r>
          </w:p>
        </w:tc>
        <w:tc>
          <w:tcPr>
            <w:tcW w:w="1148" w:type="pct"/>
            <w:shd w:val="clear" w:color="auto" w:fill="FFFFFF"/>
          </w:tcPr>
          <w:p w14:paraId="735FD64A" w14:textId="48F24AB8" w:rsidR="00D661CE" w:rsidRPr="0034097C" w:rsidRDefault="00C14480" w:rsidP="00C14480">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50 (24.0</w:t>
            </w:r>
            <w:r w:rsidR="00D661CE" w:rsidRPr="0034097C">
              <w:rPr>
                <w:rFonts w:ascii="Book Antiqua" w:eastAsia="Courier" w:hAnsi="Book Antiqua"/>
                <w:color w:val="000000"/>
              </w:rPr>
              <w:t>)</w:t>
            </w:r>
          </w:p>
        </w:tc>
        <w:tc>
          <w:tcPr>
            <w:tcW w:w="1494" w:type="pct"/>
            <w:shd w:val="clear" w:color="auto" w:fill="FFFFFF"/>
          </w:tcPr>
          <w:p w14:paraId="3EACD130" w14:textId="5B5AA83A" w:rsidR="00D661CE" w:rsidRPr="0034097C" w:rsidRDefault="00C14480" w:rsidP="00C14480">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69 (33.0</w:t>
            </w:r>
            <w:r w:rsidR="00D661CE" w:rsidRPr="0034097C">
              <w:rPr>
                <w:rFonts w:ascii="Book Antiqua" w:eastAsia="Courier" w:hAnsi="Book Antiqua"/>
                <w:color w:val="000000"/>
              </w:rPr>
              <w:t>)</w:t>
            </w:r>
          </w:p>
        </w:tc>
        <w:tc>
          <w:tcPr>
            <w:tcW w:w="498" w:type="pct"/>
            <w:shd w:val="clear" w:color="auto" w:fill="FFFFFF"/>
          </w:tcPr>
          <w:p w14:paraId="06E20578"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34097C">
              <w:rPr>
                <w:rFonts w:ascii="Book Antiqua" w:eastAsia="Courier" w:hAnsi="Book Antiqua"/>
                <w:color w:val="000000"/>
              </w:rPr>
              <w:t>0.1355</w:t>
            </w:r>
          </w:p>
        </w:tc>
      </w:tr>
      <w:tr w:rsidR="00D661CE" w:rsidRPr="006C4E2B" w14:paraId="24378AAA" w14:textId="77777777" w:rsidTr="006A0B0A">
        <w:trPr>
          <w:cantSplit/>
          <w:jc w:val="center"/>
        </w:trPr>
        <w:tc>
          <w:tcPr>
            <w:tcW w:w="1860" w:type="pct"/>
            <w:shd w:val="clear" w:color="auto" w:fill="FFFFFF"/>
          </w:tcPr>
          <w:p w14:paraId="01EEB461" w14:textId="77777777" w:rsidR="00D661CE" w:rsidRPr="0034097C" w:rsidRDefault="00D661CE" w:rsidP="00864CCA">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sidRPr="0034097C">
              <w:rPr>
                <w:rFonts w:ascii="Book Antiqua" w:eastAsia="Courier" w:hAnsi="Book Antiqua"/>
                <w:color w:val="000000"/>
              </w:rPr>
              <w:t>Good</w:t>
            </w:r>
          </w:p>
        </w:tc>
        <w:tc>
          <w:tcPr>
            <w:tcW w:w="1148" w:type="pct"/>
            <w:shd w:val="clear" w:color="auto" w:fill="FFFFFF"/>
          </w:tcPr>
          <w:p w14:paraId="3D8AB0AD" w14:textId="5574847A" w:rsidR="00D661CE" w:rsidRPr="0034097C" w:rsidRDefault="00C14480" w:rsidP="00C14480">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155 (74.5</w:t>
            </w:r>
            <w:r w:rsidR="00D661CE" w:rsidRPr="0034097C">
              <w:rPr>
                <w:rFonts w:ascii="Book Antiqua" w:eastAsia="Courier" w:hAnsi="Book Antiqua"/>
                <w:color w:val="000000"/>
              </w:rPr>
              <w:t>)</w:t>
            </w:r>
          </w:p>
        </w:tc>
        <w:tc>
          <w:tcPr>
            <w:tcW w:w="1494" w:type="pct"/>
            <w:shd w:val="clear" w:color="auto" w:fill="FFFFFF"/>
          </w:tcPr>
          <w:p w14:paraId="0CA8A29D" w14:textId="23E026E4" w:rsidR="00D661CE" w:rsidRPr="0034097C" w:rsidRDefault="00C14480" w:rsidP="00C14480">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135 (64.6</w:t>
            </w:r>
            <w:r w:rsidR="00D661CE" w:rsidRPr="0034097C">
              <w:rPr>
                <w:rFonts w:ascii="Book Antiqua" w:eastAsia="Courier" w:hAnsi="Book Antiqua"/>
                <w:color w:val="000000"/>
              </w:rPr>
              <w:t>)</w:t>
            </w:r>
          </w:p>
        </w:tc>
        <w:tc>
          <w:tcPr>
            <w:tcW w:w="498" w:type="pct"/>
            <w:shd w:val="clear" w:color="auto" w:fill="FFFFFF"/>
          </w:tcPr>
          <w:p w14:paraId="3C730946"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D661CE" w:rsidRPr="006C4E2B" w14:paraId="0512FE3C" w14:textId="77777777" w:rsidTr="006A0B0A">
        <w:trPr>
          <w:cantSplit/>
          <w:jc w:val="center"/>
        </w:trPr>
        <w:tc>
          <w:tcPr>
            <w:tcW w:w="1860" w:type="pct"/>
            <w:shd w:val="clear" w:color="auto" w:fill="FFFFFF"/>
          </w:tcPr>
          <w:p w14:paraId="01CF5322" w14:textId="77777777" w:rsidR="00D661CE" w:rsidRPr="0034097C" w:rsidRDefault="00D661CE" w:rsidP="00864CCA">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sidRPr="0034097C">
              <w:rPr>
                <w:rFonts w:ascii="Book Antiqua" w:eastAsia="Courier" w:hAnsi="Book Antiqua"/>
                <w:color w:val="000000"/>
              </w:rPr>
              <w:t>Fair</w:t>
            </w:r>
          </w:p>
        </w:tc>
        <w:tc>
          <w:tcPr>
            <w:tcW w:w="1148" w:type="pct"/>
            <w:shd w:val="clear" w:color="auto" w:fill="FFFFFF"/>
          </w:tcPr>
          <w:p w14:paraId="09B4FBBF" w14:textId="323DA7F3" w:rsidR="00D661CE" w:rsidRPr="0034097C" w:rsidRDefault="00C14480" w:rsidP="00C14480">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3 (1.4</w:t>
            </w:r>
            <w:r w:rsidR="00D661CE" w:rsidRPr="0034097C">
              <w:rPr>
                <w:rFonts w:ascii="Book Antiqua" w:eastAsia="Courier" w:hAnsi="Book Antiqua"/>
                <w:color w:val="000000"/>
              </w:rPr>
              <w:t>)</w:t>
            </w:r>
          </w:p>
        </w:tc>
        <w:tc>
          <w:tcPr>
            <w:tcW w:w="1494" w:type="pct"/>
            <w:shd w:val="clear" w:color="auto" w:fill="FFFFFF"/>
          </w:tcPr>
          <w:p w14:paraId="7F2A914C" w14:textId="7526EF94" w:rsidR="00D661CE" w:rsidRPr="0034097C" w:rsidRDefault="00C14480" w:rsidP="00C14480">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4 (1.9</w:t>
            </w:r>
            <w:r w:rsidR="00D661CE" w:rsidRPr="0034097C">
              <w:rPr>
                <w:rFonts w:ascii="Book Antiqua" w:eastAsia="Courier" w:hAnsi="Book Antiqua"/>
                <w:color w:val="000000"/>
              </w:rPr>
              <w:t>)</w:t>
            </w:r>
          </w:p>
        </w:tc>
        <w:tc>
          <w:tcPr>
            <w:tcW w:w="498" w:type="pct"/>
            <w:shd w:val="clear" w:color="auto" w:fill="FFFFFF"/>
          </w:tcPr>
          <w:p w14:paraId="1F150950"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D661CE" w:rsidRPr="006C4E2B" w14:paraId="385CEEE9" w14:textId="77777777" w:rsidTr="006A0B0A">
        <w:trPr>
          <w:cantSplit/>
          <w:jc w:val="center"/>
        </w:trPr>
        <w:tc>
          <w:tcPr>
            <w:tcW w:w="1860" w:type="pct"/>
            <w:shd w:val="clear" w:color="auto" w:fill="FFFFFF"/>
          </w:tcPr>
          <w:p w14:paraId="44AFF1CE" w14:textId="77777777" w:rsidR="00D661CE" w:rsidRPr="0034097C" w:rsidRDefault="00D661CE" w:rsidP="00864CCA">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sidRPr="0034097C">
              <w:rPr>
                <w:rFonts w:ascii="Book Antiqua" w:eastAsia="Courier" w:hAnsi="Book Antiqua"/>
                <w:color w:val="000000"/>
              </w:rPr>
              <w:t>Poor</w:t>
            </w:r>
          </w:p>
        </w:tc>
        <w:tc>
          <w:tcPr>
            <w:tcW w:w="1148" w:type="pct"/>
            <w:shd w:val="clear" w:color="auto" w:fill="FFFFFF"/>
          </w:tcPr>
          <w:p w14:paraId="2CDC338B"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34097C">
              <w:rPr>
                <w:rFonts w:ascii="Book Antiqua" w:eastAsia="Courier" w:hAnsi="Book Antiqua"/>
                <w:color w:val="000000"/>
              </w:rPr>
              <w:t>0</w:t>
            </w:r>
          </w:p>
        </w:tc>
        <w:tc>
          <w:tcPr>
            <w:tcW w:w="1494" w:type="pct"/>
            <w:shd w:val="clear" w:color="auto" w:fill="FFFFFF"/>
          </w:tcPr>
          <w:p w14:paraId="16B22ED2" w14:textId="375C01EB" w:rsidR="00D661CE" w:rsidRPr="0034097C" w:rsidRDefault="00C14480" w:rsidP="00C14480">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1 (0.5</w:t>
            </w:r>
            <w:r w:rsidR="00D661CE" w:rsidRPr="0034097C">
              <w:rPr>
                <w:rFonts w:ascii="Book Antiqua" w:eastAsia="Courier" w:hAnsi="Book Antiqua"/>
                <w:color w:val="000000"/>
              </w:rPr>
              <w:t>)</w:t>
            </w:r>
          </w:p>
        </w:tc>
        <w:tc>
          <w:tcPr>
            <w:tcW w:w="498" w:type="pct"/>
            <w:shd w:val="clear" w:color="auto" w:fill="FFFFFF"/>
          </w:tcPr>
          <w:p w14:paraId="4CBAE12A"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D661CE" w:rsidRPr="006C4E2B" w14:paraId="23B0618A" w14:textId="77777777" w:rsidTr="006A0B0A">
        <w:trPr>
          <w:cantSplit/>
          <w:jc w:val="center"/>
        </w:trPr>
        <w:tc>
          <w:tcPr>
            <w:tcW w:w="1860" w:type="pct"/>
            <w:shd w:val="clear" w:color="auto" w:fill="FFFFFF"/>
          </w:tcPr>
          <w:p w14:paraId="604634A3" w14:textId="77777777" w:rsidR="00D661CE" w:rsidRPr="0034097C" w:rsidRDefault="00D661CE" w:rsidP="00864CCA">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sidRPr="0034097C">
              <w:rPr>
                <w:rFonts w:ascii="Book Antiqua" w:eastAsia="Courier" w:hAnsi="Book Antiqua"/>
                <w:color w:val="000000"/>
              </w:rPr>
              <w:t>Inadequate</w:t>
            </w:r>
          </w:p>
        </w:tc>
        <w:tc>
          <w:tcPr>
            <w:tcW w:w="1148" w:type="pct"/>
            <w:shd w:val="clear" w:color="auto" w:fill="FFFFFF"/>
          </w:tcPr>
          <w:p w14:paraId="005E42CF"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34097C">
              <w:rPr>
                <w:rFonts w:ascii="Book Antiqua" w:eastAsia="Courier" w:hAnsi="Book Antiqua"/>
                <w:color w:val="000000"/>
              </w:rPr>
              <w:t>0</w:t>
            </w:r>
          </w:p>
        </w:tc>
        <w:tc>
          <w:tcPr>
            <w:tcW w:w="1494" w:type="pct"/>
            <w:shd w:val="clear" w:color="auto" w:fill="FFFFFF"/>
          </w:tcPr>
          <w:p w14:paraId="3B35C0C3"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34097C">
              <w:rPr>
                <w:rFonts w:ascii="Book Antiqua" w:eastAsia="Courier" w:hAnsi="Book Antiqua"/>
                <w:color w:val="000000"/>
              </w:rPr>
              <w:t>0</w:t>
            </w:r>
          </w:p>
        </w:tc>
        <w:tc>
          <w:tcPr>
            <w:tcW w:w="498" w:type="pct"/>
            <w:shd w:val="clear" w:color="auto" w:fill="FFFFFF"/>
          </w:tcPr>
          <w:p w14:paraId="1830D036" w14:textId="77777777" w:rsidR="00D661CE" w:rsidRPr="0034097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bl>
    <w:p w14:paraId="4E149A47" w14:textId="6B20E0E7" w:rsidR="006A0B0A" w:rsidRDefault="00D661CE" w:rsidP="006A0B0A">
      <w:pPr>
        <w:spacing w:line="360" w:lineRule="auto"/>
        <w:jc w:val="both"/>
        <w:rPr>
          <w:rFonts w:ascii="Book Antiqua" w:hAnsi="Book Antiqua"/>
        </w:rPr>
      </w:pPr>
      <w:r w:rsidRPr="00864CCA">
        <w:rPr>
          <w:rFonts w:ascii="Book Antiqua" w:hAnsi="Book Antiqua"/>
          <w:i/>
          <w:color w:val="000000"/>
        </w:rPr>
        <w:t>P</w:t>
      </w:r>
      <w:r w:rsidR="00864CCA" w:rsidRPr="00864CCA">
        <w:rPr>
          <w:rFonts w:ascii="Book Antiqua" w:hAnsi="Book Antiqua"/>
          <w:color w:val="000000"/>
        </w:rPr>
        <w:t xml:space="preserve"> </w:t>
      </w:r>
      <w:r w:rsidRPr="00864CCA">
        <w:rPr>
          <w:rFonts w:ascii="Book Antiqua" w:hAnsi="Book Antiqua"/>
          <w:color w:val="000000"/>
        </w:rPr>
        <w:t>value</w:t>
      </w:r>
      <w:r w:rsidR="006A0B0A">
        <w:rPr>
          <w:rFonts w:ascii="Book Antiqua" w:hAnsi="Book Antiqua"/>
          <w:color w:val="000000"/>
        </w:rPr>
        <w:t xml:space="preserve"> was obtained by</w:t>
      </w:r>
      <w:r w:rsidRPr="00864CCA">
        <w:rPr>
          <w:rFonts w:ascii="Book Antiqua" w:hAnsi="Book Antiqua"/>
          <w:color w:val="000000"/>
        </w:rPr>
        <w:t xml:space="preserve"> Chi-Square test.</w:t>
      </w:r>
      <w:r w:rsidR="006A0B0A" w:rsidRPr="006A0B0A">
        <w:rPr>
          <w:rFonts w:ascii="Book Antiqua" w:hAnsi="Book Antiqua"/>
        </w:rPr>
        <w:t xml:space="preserve"> CI</w:t>
      </w:r>
      <w:r w:rsidR="006A0B0A">
        <w:rPr>
          <w:rFonts w:ascii="Book Antiqua" w:hAnsi="Book Antiqua"/>
        </w:rPr>
        <w:t xml:space="preserve">: </w:t>
      </w:r>
      <w:r w:rsidR="00C3574C">
        <w:rPr>
          <w:rFonts w:ascii="Book Antiqua" w:hAnsi="Book Antiqua"/>
        </w:rPr>
        <w:t>C</w:t>
      </w:r>
      <w:r w:rsidR="00C3574C" w:rsidRPr="00C3574C">
        <w:rPr>
          <w:rFonts w:ascii="Book Antiqua" w:hAnsi="Book Antiqua"/>
        </w:rPr>
        <w:t>onfidence interval</w:t>
      </w:r>
      <w:r w:rsidR="00C3574C">
        <w:rPr>
          <w:rFonts w:ascii="Book Antiqua" w:hAnsi="Book Antiqua"/>
        </w:rPr>
        <w:t>.</w:t>
      </w:r>
    </w:p>
    <w:p w14:paraId="1CB6A7C6" w14:textId="20F0B9CC" w:rsidR="006A0B0A" w:rsidRDefault="006A0B0A" w:rsidP="006A0B0A">
      <w:pPr>
        <w:spacing w:line="360" w:lineRule="auto"/>
        <w:jc w:val="both"/>
        <w:rPr>
          <w:rFonts w:ascii="Book Antiqua" w:hAnsi="Book Antiqua"/>
        </w:rPr>
        <w:sectPr w:rsidR="006A0B0A" w:rsidSect="006A0B0A">
          <w:pgSz w:w="15840" w:h="12240" w:orient="landscape"/>
          <w:pgMar w:top="1440" w:right="1440" w:bottom="1440" w:left="1440" w:header="720" w:footer="720" w:gutter="0"/>
          <w:cols w:space="720"/>
          <w:docGrid w:linePitch="360"/>
        </w:sectPr>
      </w:pPr>
    </w:p>
    <w:p w14:paraId="145BA7D2" w14:textId="315C0B96" w:rsidR="00D661CE" w:rsidRDefault="00D661CE" w:rsidP="00BB1CBB">
      <w:pPr>
        <w:spacing w:line="360" w:lineRule="auto"/>
        <w:jc w:val="both"/>
        <w:rPr>
          <w:rFonts w:ascii="Book Antiqua" w:eastAsia="PMingLiU" w:hAnsi="Book Antiqua" w:cs="PMingLiU"/>
          <w:b/>
          <w:szCs w:val="20"/>
        </w:rPr>
      </w:pPr>
      <w:r w:rsidRPr="00D661CE">
        <w:rPr>
          <w:rFonts w:ascii="Book Antiqua" w:eastAsia="PMingLiU" w:hAnsi="Book Antiqua" w:cs="PMingLiU"/>
          <w:b/>
          <w:szCs w:val="20"/>
        </w:rPr>
        <w:lastRenderedPageBreak/>
        <w:t xml:space="preserve">Table 3 The secondary endpoint of overall bowel cleansing efficacy as assessed by the </w:t>
      </w:r>
      <w:r w:rsidR="00767375" w:rsidRPr="00767375">
        <w:rPr>
          <w:rFonts w:ascii="Book Antiqua" w:eastAsia="PMingLiU" w:hAnsi="Book Antiqua" w:cs="PMingLiU"/>
          <w:b/>
          <w:szCs w:val="20"/>
        </w:rPr>
        <w:t>Ottawa</w:t>
      </w:r>
      <w:r w:rsidR="00B04199" w:rsidRPr="00767375">
        <w:rPr>
          <w:rFonts w:ascii="Book Antiqua" w:eastAsia="PMingLiU" w:hAnsi="Book Antiqua" w:cs="PMingLiU"/>
          <w:b/>
          <w:szCs w:val="20"/>
        </w:rPr>
        <w:t xml:space="preserve"> bowel preparation scale</w:t>
      </w:r>
      <w:r w:rsidRPr="00D661CE">
        <w:rPr>
          <w:rFonts w:ascii="Book Antiqua" w:eastAsia="PMingLiU" w:hAnsi="Book Antiqua" w:cs="PMingLiU"/>
          <w:b/>
          <w:szCs w:val="20"/>
        </w:rPr>
        <w:t xml:space="preserve"> (per-protocol analysis set)</w:t>
      </w:r>
    </w:p>
    <w:tbl>
      <w:tblPr>
        <w:tblW w:w="5085"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505"/>
        <w:gridCol w:w="3016"/>
        <w:gridCol w:w="3980"/>
        <w:gridCol w:w="1679"/>
      </w:tblGrid>
      <w:tr w:rsidR="00D661CE" w:rsidRPr="00231878" w14:paraId="25B74E30" w14:textId="77777777" w:rsidTr="002557A5">
        <w:trPr>
          <w:cantSplit/>
          <w:tblHeader/>
          <w:jc w:val="center"/>
        </w:trPr>
        <w:tc>
          <w:tcPr>
            <w:tcW w:w="1709" w:type="pct"/>
            <w:tcBorders>
              <w:top w:val="single" w:sz="4" w:space="0" w:color="auto"/>
              <w:bottom w:val="single" w:sz="4" w:space="0" w:color="auto"/>
            </w:tcBorders>
            <w:shd w:val="clear" w:color="auto" w:fill="FFFFFF"/>
            <w:vAlign w:val="center"/>
          </w:tcPr>
          <w:p w14:paraId="551F4CD6" w14:textId="77777777" w:rsidR="00D661CE" w:rsidRPr="002557A5" w:rsidRDefault="00D661CE" w:rsidP="008945AC">
            <w:pPr>
              <w:keepNext/>
              <w:overflowPunct w:val="0"/>
              <w:autoSpaceDE w:val="0"/>
              <w:autoSpaceDN w:val="0"/>
              <w:adjustRightInd w:val="0"/>
              <w:spacing w:line="360" w:lineRule="auto"/>
              <w:jc w:val="center"/>
              <w:textAlignment w:val="baseline"/>
              <w:rPr>
                <w:rFonts w:ascii="Book Antiqua" w:eastAsia="Courier" w:hAnsi="Book Antiqua"/>
                <w:b/>
                <w:bCs/>
                <w:color w:val="000000"/>
              </w:rPr>
            </w:pPr>
          </w:p>
        </w:tc>
        <w:tc>
          <w:tcPr>
            <w:tcW w:w="1144" w:type="pct"/>
            <w:tcBorders>
              <w:top w:val="single" w:sz="4" w:space="0" w:color="auto"/>
              <w:bottom w:val="single" w:sz="4" w:space="0" w:color="auto"/>
            </w:tcBorders>
            <w:shd w:val="clear" w:color="auto" w:fill="FFFFFF"/>
            <w:vAlign w:val="center"/>
          </w:tcPr>
          <w:p w14:paraId="4C669562" w14:textId="73930427" w:rsidR="00D661CE" w:rsidRPr="002557A5" w:rsidRDefault="00D661CE" w:rsidP="00C14480">
            <w:pPr>
              <w:keepNext/>
              <w:overflowPunct w:val="0"/>
              <w:autoSpaceDE w:val="0"/>
              <w:autoSpaceDN w:val="0"/>
              <w:adjustRightInd w:val="0"/>
              <w:spacing w:line="360" w:lineRule="auto"/>
              <w:jc w:val="center"/>
              <w:textAlignment w:val="baseline"/>
              <w:rPr>
                <w:rFonts w:ascii="Book Antiqua" w:eastAsia="Courier" w:hAnsi="Book Antiqua"/>
                <w:b/>
                <w:bCs/>
                <w:color w:val="000000"/>
              </w:rPr>
            </w:pPr>
            <w:r w:rsidRPr="002557A5">
              <w:rPr>
                <w:rFonts w:ascii="Book Antiqua" w:eastAsia="Courier" w:hAnsi="Book Antiqua"/>
                <w:b/>
                <w:bCs/>
                <w:color w:val="000000"/>
              </w:rPr>
              <w:t>Quiklean</w:t>
            </w:r>
            <w:r w:rsidR="00A862C7" w:rsidRPr="002557A5">
              <w:rPr>
                <w:rFonts w:ascii="Book Antiqua" w:eastAsia="Courier" w:hAnsi="Book Antiqua" w:cs="Courier New"/>
                <w:b/>
                <w:bCs/>
                <w:color w:val="000000"/>
                <w:vertAlign w:val="superscript"/>
              </w:rPr>
              <w:t>®</w:t>
            </w:r>
            <w:r w:rsidR="00521DF2">
              <w:rPr>
                <w:rFonts w:ascii="Book Antiqua" w:hAnsi="Book Antiqua"/>
                <w:b/>
                <w:bCs/>
                <w:color w:val="000000"/>
                <w:lang w:eastAsia="zh-CN"/>
              </w:rPr>
              <w:t xml:space="preserve">, </w:t>
            </w:r>
            <w:r w:rsidRPr="002557A5">
              <w:rPr>
                <w:rFonts w:ascii="Book Antiqua" w:eastAsia="Courier" w:hAnsi="Book Antiqua"/>
                <w:b/>
                <w:bCs/>
                <w:i/>
                <w:iCs/>
                <w:color w:val="000000"/>
              </w:rPr>
              <w:t>n</w:t>
            </w:r>
            <w:r w:rsidR="008945AC" w:rsidRPr="002557A5">
              <w:rPr>
                <w:rFonts w:ascii="Book Antiqua" w:eastAsia="Courier" w:hAnsi="Book Antiqua"/>
                <w:b/>
                <w:bCs/>
                <w:color w:val="000000"/>
              </w:rPr>
              <w:t xml:space="preserve"> </w:t>
            </w:r>
            <w:r w:rsidRPr="002557A5">
              <w:rPr>
                <w:rFonts w:ascii="Book Antiqua" w:eastAsia="Courier" w:hAnsi="Book Antiqua"/>
                <w:b/>
                <w:bCs/>
                <w:color w:val="000000"/>
              </w:rPr>
              <w:t>=</w:t>
            </w:r>
            <w:r w:rsidR="008945AC" w:rsidRPr="002557A5">
              <w:rPr>
                <w:rFonts w:ascii="Book Antiqua" w:eastAsia="Courier" w:hAnsi="Book Antiqua"/>
                <w:b/>
                <w:bCs/>
                <w:color w:val="000000"/>
              </w:rPr>
              <w:t xml:space="preserve"> </w:t>
            </w:r>
            <w:r w:rsidRPr="002557A5">
              <w:rPr>
                <w:rFonts w:ascii="Book Antiqua" w:eastAsia="Courier" w:hAnsi="Book Antiqua"/>
                <w:b/>
                <w:bCs/>
                <w:color w:val="000000"/>
              </w:rPr>
              <w:t>208</w:t>
            </w:r>
          </w:p>
        </w:tc>
        <w:tc>
          <w:tcPr>
            <w:tcW w:w="1510" w:type="pct"/>
            <w:tcBorders>
              <w:top w:val="single" w:sz="4" w:space="0" w:color="auto"/>
              <w:bottom w:val="single" w:sz="4" w:space="0" w:color="auto"/>
            </w:tcBorders>
            <w:shd w:val="clear" w:color="auto" w:fill="FFFFFF"/>
            <w:vAlign w:val="center"/>
          </w:tcPr>
          <w:p w14:paraId="6F3CB47F" w14:textId="2696D270" w:rsidR="00D661CE" w:rsidRPr="002557A5" w:rsidRDefault="00D661CE" w:rsidP="00C14480">
            <w:pPr>
              <w:keepNext/>
              <w:overflowPunct w:val="0"/>
              <w:autoSpaceDE w:val="0"/>
              <w:autoSpaceDN w:val="0"/>
              <w:adjustRightInd w:val="0"/>
              <w:spacing w:line="360" w:lineRule="auto"/>
              <w:jc w:val="center"/>
              <w:textAlignment w:val="baseline"/>
              <w:rPr>
                <w:rFonts w:ascii="Book Antiqua" w:eastAsia="Courier" w:hAnsi="Book Antiqua"/>
                <w:b/>
                <w:bCs/>
                <w:color w:val="000000"/>
              </w:rPr>
            </w:pPr>
            <w:r w:rsidRPr="002557A5">
              <w:rPr>
                <w:rFonts w:ascii="Book Antiqua" w:eastAsia="Courier" w:hAnsi="Book Antiqua"/>
                <w:b/>
                <w:bCs/>
                <w:color w:val="000000"/>
              </w:rPr>
              <w:t>Klean-Prep/Dulcolax</w:t>
            </w:r>
            <w:r w:rsidR="00F9406C" w:rsidRPr="002557A5">
              <w:rPr>
                <w:rFonts w:ascii="Book Antiqua" w:eastAsia="Courier" w:hAnsi="Book Antiqua" w:cs="Courier New"/>
                <w:b/>
                <w:bCs/>
                <w:color w:val="000000"/>
                <w:vertAlign w:val="superscript"/>
              </w:rPr>
              <w:t>®</w:t>
            </w:r>
            <w:r w:rsidR="00521DF2">
              <w:rPr>
                <w:rFonts w:ascii="Book Antiqua" w:eastAsia="Courier" w:hAnsi="Book Antiqua"/>
                <w:b/>
                <w:bCs/>
                <w:color w:val="000000"/>
              </w:rPr>
              <w:t xml:space="preserve">, </w:t>
            </w:r>
            <w:r w:rsidRPr="002557A5">
              <w:rPr>
                <w:rFonts w:ascii="Book Antiqua" w:eastAsia="Courier" w:hAnsi="Book Antiqua"/>
                <w:b/>
                <w:bCs/>
                <w:i/>
                <w:iCs/>
                <w:color w:val="000000"/>
              </w:rPr>
              <w:t>n</w:t>
            </w:r>
            <w:r w:rsidR="008945AC" w:rsidRPr="002557A5">
              <w:rPr>
                <w:rFonts w:ascii="Book Antiqua" w:eastAsia="Courier" w:hAnsi="Book Antiqua"/>
                <w:b/>
                <w:bCs/>
                <w:color w:val="000000"/>
              </w:rPr>
              <w:t xml:space="preserve"> </w:t>
            </w:r>
            <w:r w:rsidRPr="002557A5">
              <w:rPr>
                <w:rFonts w:ascii="Book Antiqua" w:eastAsia="Courier" w:hAnsi="Book Antiqua"/>
                <w:b/>
                <w:bCs/>
                <w:color w:val="000000"/>
              </w:rPr>
              <w:t>=</w:t>
            </w:r>
            <w:r w:rsidR="008945AC" w:rsidRPr="002557A5">
              <w:rPr>
                <w:rFonts w:ascii="Book Antiqua" w:eastAsia="Courier" w:hAnsi="Book Antiqua"/>
                <w:b/>
                <w:bCs/>
                <w:color w:val="000000"/>
              </w:rPr>
              <w:t xml:space="preserve"> </w:t>
            </w:r>
            <w:r w:rsidRPr="002557A5">
              <w:rPr>
                <w:rFonts w:ascii="Book Antiqua" w:eastAsia="Courier" w:hAnsi="Book Antiqua"/>
                <w:b/>
                <w:bCs/>
                <w:color w:val="000000"/>
              </w:rPr>
              <w:t>209</w:t>
            </w:r>
          </w:p>
        </w:tc>
        <w:tc>
          <w:tcPr>
            <w:tcW w:w="637" w:type="pct"/>
            <w:tcBorders>
              <w:top w:val="single" w:sz="4" w:space="0" w:color="auto"/>
              <w:bottom w:val="single" w:sz="4" w:space="0" w:color="auto"/>
            </w:tcBorders>
            <w:shd w:val="clear" w:color="auto" w:fill="FFFFFF"/>
            <w:vAlign w:val="center"/>
          </w:tcPr>
          <w:p w14:paraId="06E54C93" w14:textId="47309CDC" w:rsidR="00D661CE" w:rsidRPr="002557A5" w:rsidRDefault="00D661CE" w:rsidP="00C14480">
            <w:pPr>
              <w:keepNext/>
              <w:overflowPunct w:val="0"/>
              <w:autoSpaceDE w:val="0"/>
              <w:autoSpaceDN w:val="0"/>
              <w:adjustRightInd w:val="0"/>
              <w:spacing w:line="360" w:lineRule="auto"/>
              <w:jc w:val="center"/>
              <w:textAlignment w:val="baseline"/>
              <w:rPr>
                <w:rFonts w:ascii="Book Antiqua" w:eastAsia="Courier" w:hAnsi="Book Antiqua"/>
                <w:b/>
                <w:bCs/>
                <w:color w:val="000000"/>
              </w:rPr>
            </w:pPr>
            <w:r w:rsidRPr="002557A5">
              <w:rPr>
                <w:rFonts w:ascii="Book Antiqua" w:eastAsia="Courier" w:hAnsi="Book Antiqua"/>
                <w:b/>
                <w:bCs/>
                <w:i/>
                <w:color w:val="000000"/>
              </w:rPr>
              <w:t>P</w:t>
            </w:r>
            <w:r w:rsidR="008945AC" w:rsidRPr="002557A5">
              <w:rPr>
                <w:rFonts w:ascii="Book Antiqua" w:eastAsia="Courier" w:hAnsi="Book Antiqua"/>
                <w:b/>
                <w:bCs/>
                <w:color w:val="000000"/>
              </w:rPr>
              <w:t xml:space="preserve"> </w:t>
            </w:r>
            <w:r w:rsidRPr="002557A5">
              <w:rPr>
                <w:rFonts w:ascii="Book Antiqua" w:eastAsia="Courier" w:hAnsi="Book Antiqua"/>
                <w:b/>
                <w:bCs/>
                <w:color w:val="000000"/>
              </w:rPr>
              <w:t>value</w:t>
            </w:r>
          </w:p>
        </w:tc>
      </w:tr>
      <w:tr w:rsidR="00D661CE" w:rsidRPr="00231878" w14:paraId="4B7C4E3C" w14:textId="77777777" w:rsidTr="002557A5">
        <w:trPr>
          <w:cantSplit/>
          <w:jc w:val="center"/>
        </w:trPr>
        <w:tc>
          <w:tcPr>
            <w:tcW w:w="1709" w:type="pct"/>
            <w:tcBorders>
              <w:top w:val="single" w:sz="4" w:space="0" w:color="auto"/>
            </w:tcBorders>
            <w:shd w:val="clear" w:color="auto" w:fill="FFFFFF"/>
          </w:tcPr>
          <w:p w14:paraId="043F566A" w14:textId="77777777" w:rsidR="00D661CE" w:rsidRPr="008945AC" w:rsidRDefault="00D661CE" w:rsidP="008945AC">
            <w:pPr>
              <w:overflowPunct w:val="0"/>
              <w:autoSpaceDE w:val="0"/>
              <w:autoSpaceDN w:val="0"/>
              <w:adjustRightInd w:val="0"/>
              <w:spacing w:line="360" w:lineRule="auto"/>
              <w:jc w:val="both"/>
              <w:textAlignment w:val="baseline"/>
              <w:rPr>
                <w:rFonts w:ascii="Book Antiqua" w:eastAsia="Courier" w:hAnsi="Book Antiqua"/>
                <w:b/>
                <w:bCs/>
                <w:color w:val="000000"/>
              </w:rPr>
            </w:pPr>
            <w:r w:rsidRPr="008945AC">
              <w:rPr>
                <w:rFonts w:ascii="Book Antiqua" w:eastAsia="Courier" w:hAnsi="Book Antiqua"/>
                <w:b/>
                <w:bCs/>
                <w:color w:val="000000"/>
              </w:rPr>
              <w:t>Total bowel preparation score</w:t>
            </w:r>
          </w:p>
        </w:tc>
        <w:tc>
          <w:tcPr>
            <w:tcW w:w="1144" w:type="pct"/>
            <w:tcBorders>
              <w:top w:val="single" w:sz="4" w:space="0" w:color="auto"/>
            </w:tcBorders>
            <w:shd w:val="clear" w:color="auto" w:fill="FFFFFF"/>
          </w:tcPr>
          <w:p w14:paraId="0CE2E538" w14:textId="77777777" w:rsidR="00D661CE" w:rsidRPr="008945A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1510" w:type="pct"/>
            <w:tcBorders>
              <w:top w:val="single" w:sz="4" w:space="0" w:color="auto"/>
            </w:tcBorders>
            <w:shd w:val="clear" w:color="auto" w:fill="FFFFFF"/>
          </w:tcPr>
          <w:p w14:paraId="77805E78" w14:textId="77777777" w:rsidR="00D661CE" w:rsidRPr="008945A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637" w:type="pct"/>
            <w:tcBorders>
              <w:top w:val="single" w:sz="4" w:space="0" w:color="auto"/>
            </w:tcBorders>
            <w:shd w:val="clear" w:color="auto" w:fill="FFFFFF"/>
          </w:tcPr>
          <w:p w14:paraId="12B52C97" w14:textId="77777777" w:rsidR="00D661CE" w:rsidRPr="008945A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D661CE" w:rsidRPr="00231878" w14:paraId="3C4DD835" w14:textId="77777777" w:rsidTr="002557A5">
        <w:trPr>
          <w:cantSplit/>
          <w:jc w:val="center"/>
        </w:trPr>
        <w:tc>
          <w:tcPr>
            <w:tcW w:w="1709" w:type="pct"/>
            <w:shd w:val="clear" w:color="auto" w:fill="FFFFFF"/>
          </w:tcPr>
          <w:p w14:paraId="7AD2222B" w14:textId="524C423A" w:rsidR="00D661CE" w:rsidRPr="008945AC" w:rsidRDefault="00D661CE" w:rsidP="008945A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sidRPr="008945AC">
              <w:rPr>
                <w:rFonts w:ascii="Book Antiqua" w:eastAsia="Courier" w:hAnsi="Book Antiqua"/>
                <w:color w:val="000000"/>
              </w:rPr>
              <w:t>Mean</w:t>
            </w:r>
            <w:r w:rsidR="008945AC" w:rsidRPr="008945AC">
              <w:rPr>
                <w:rFonts w:ascii="Book Antiqua" w:eastAsia="Courier" w:hAnsi="Book Antiqua"/>
                <w:color w:val="000000"/>
              </w:rPr>
              <w:t xml:space="preserve"> </w:t>
            </w:r>
            <w:r w:rsidRPr="008945AC">
              <w:rPr>
                <w:rFonts w:ascii="Book Antiqua" w:hAnsi="Book Antiqua"/>
              </w:rPr>
              <w:sym w:font="Symbol" w:char="F0B1"/>
            </w:r>
            <w:r w:rsidR="008945AC" w:rsidRPr="008945AC">
              <w:rPr>
                <w:rFonts w:ascii="Book Antiqua" w:hAnsi="Book Antiqua"/>
              </w:rPr>
              <w:t xml:space="preserve"> </w:t>
            </w:r>
            <w:r w:rsidRPr="008945AC">
              <w:rPr>
                <w:rFonts w:ascii="Book Antiqua" w:eastAsia="Courier" w:hAnsi="Book Antiqua"/>
                <w:color w:val="000000"/>
              </w:rPr>
              <w:t>SD</w:t>
            </w:r>
          </w:p>
        </w:tc>
        <w:tc>
          <w:tcPr>
            <w:tcW w:w="1144" w:type="pct"/>
            <w:shd w:val="clear" w:color="auto" w:fill="FFFFFF"/>
          </w:tcPr>
          <w:p w14:paraId="6A75CBAC" w14:textId="37840747" w:rsidR="00D661CE" w:rsidRPr="008945A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8945AC">
              <w:rPr>
                <w:rFonts w:ascii="Book Antiqua" w:eastAsia="Courier" w:hAnsi="Book Antiqua"/>
                <w:color w:val="000000"/>
              </w:rPr>
              <w:t>2.5</w:t>
            </w:r>
            <w:r w:rsidR="008945AC">
              <w:rPr>
                <w:rFonts w:ascii="Book Antiqua" w:eastAsia="Courier" w:hAnsi="Book Antiqua"/>
                <w:color w:val="000000"/>
              </w:rPr>
              <w:t xml:space="preserve"> </w:t>
            </w:r>
            <w:r w:rsidRPr="008945AC">
              <w:rPr>
                <w:rFonts w:ascii="Book Antiqua" w:hAnsi="Book Antiqua"/>
              </w:rPr>
              <w:sym w:font="Symbol" w:char="F0B1"/>
            </w:r>
            <w:r w:rsidR="008945AC">
              <w:rPr>
                <w:rFonts w:ascii="Book Antiqua" w:hAnsi="Book Antiqua"/>
              </w:rPr>
              <w:t xml:space="preserve"> </w:t>
            </w:r>
            <w:r w:rsidRPr="008945AC">
              <w:rPr>
                <w:rFonts w:ascii="Book Antiqua" w:eastAsia="Courier" w:hAnsi="Book Antiqua"/>
                <w:color w:val="000000"/>
              </w:rPr>
              <w:t>1.48</w:t>
            </w:r>
          </w:p>
        </w:tc>
        <w:tc>
          <w:tcPr>
            <w:tcW w:w="1510" w:type="pct"/>
            <w:shd w:val="clear" w:color="auto" w:fill="FFFFFF"/>
          </w:tcPr>
          <w:p w14:paraId="44136FA8" w14:textId="40504DB7" w:rsidR="00D661CE" w:rsidRPr="008945A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8945AC">
              <w:rPr>
                <w:rFonts w:ascii="Book Antiqua" w:eastAsia="Courier" w:hAnsi="Book Antiqua"/>
                <w:color w:val="000000"/>
              </w:rPr>
              <w:t>2.5</w:t>
            </w:r>
            <w:r w:rsidR="008945AC">
              <w:rPr>
                <w:rFonts w:ascii="Book Antiqua" w:eastAsia="Courier" w:hAnsi="Book Antiqua"/>
                <w:color w:val="000000"/>
              </w:rPr>
              <w:t xml:space="preserve"> </w:t>
            </w:r>
            <w:r w:rsidRPr="008945AC">
              <w:rPr>
                <w:rFonts w:ascii="Book Antiqua" w:hAnsi="Book Antiqua"/>
              </w:rPr>
              <w:sym w:font="Symbol" w:char="F0B1"/>
            </w:r>
            <w:r w:rsidR="008945AC">
              <w:rPr>
                <w:rFonts w:ascii="Book Antiqua" w:hAnsi="Book Antiqua"/>
              </w:rPr>
              <w:t xml:space="preserve"> </w:t>
            </w:r>
            <w:r w:rsidRPr="008945AC">
              <w:rPr>
                <w:rFonts w:ascii="Book Antiqua" w:eastAsia="Courier" w:hAnsi="Book Antiqua"/>
                <w:color w:val="000000"/>
              </w:rPr>
              <w:t>1.68</w:t>
            </w:r>
            <w:r w:rsidR="00767375">
              <w:rPr>
                <w:rFonts w:ascii="Book Antiqua" w:eastAsia="Courier" w:hAnsi="Book Antiqua"/>
                <w:bCs/>
                <w:color w:val="000000"/>
                <w:vertAlign w:val="superscript"/>
              </w:rPr>
              <w:t>1</w:t>
            </w:r>
          </w:p>
        </w:tc>
        <w:tc>
          <w:tcPr>
            <w:tcW w:w="637" w:type="pct"/>
            <w:shd w:val="clear" w:color="auto" w:fill="FFFFFF"/>
          </w:tcPr>
          <w:p w14:paraId="38AF68A2" w14:textId="3E988178" w:rsidR="00D661CE" w:rsidRPr="008945AC" w:rsidRDefault="00D661CE" w:rsidP="00C14480">
            <w:pPr>
              <w:overflowPunct w:val="0"/>
              <w:autoSpaceDE w:val="0"/>
              <w:autoSpaceDN w:val="0"/>
              <w:adjustRightInd w:val="0"/>
              <w:spacing w:line="360" w:lineRule="auto"/>
              <w:jc w:val="center"/>
              <w:textAlignment w:val="baseline"/>
              <w:rPr>
                <w:rFonts w:ascii="Book Antiqua" w:hAnsi="Book Antiqua"/>
                <w:color w:val="000000"/>
              </w:rPr>
            </w:pPr>
            <w:r w:rsidRPr="008945AC">
              <w:rPr>
                <w:rFonts w:ascii="Book Antiqua" w:eastAsia="Courier" w:hAnsi="Book Antiqua"/>
                <w:color w:val="000000"/>
              </w:rPr>
              <w:t>0.7333</w:t>
            </w:r>
            <w:r w:rsidR="00767375">
              <w:rPr>
                <w:rFonts w:ascii="Book Antiqua" w:eastAsia="Courier" w:hAnsi="Book Antiqua"/>
                <w:bCs/>
                <w:color w:val="000000"/>
                <w:vertAlign w:val="superscript"/>
              </w:rPr>
              <w:t>2</w:t>
            </w:r>
          </w:p>
        </w:tc>
      </w:tr>
      <w:tr w:rsidR="00D661CE" w:rsidRPr="00231878" w14:paraId="49CAEBD6" w14:textId="77777777" w:rsidTr="002557A5">
        <w:trPr>
          <w:cantSplit/>
          <w:jc w:val="center"/>
        </w:trPr>
        <w:tc>
          <w:tcPr>
            <w:tcW w:w="1709" w:type="pct"/>
            <w:shd w:val="clear" w:color="auto" w:fill="FFFFFF"/>
          </w:tcPr>
          <w:p w14:paraId="116C3C6D" w14:textId="77777777" w:rsidR="00D661CE" w:rsidRPr="008945AC" w:rsidRDefault="00D661CE" w:rsidP="008945A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sidRPr="008945AC">
              <w:rPr>
                <w:rFonts w:ascii="Book Antiqua" w:eastAsia="Courier" w:hAnsi="Book Antiqua"/>
                <w:color w:val="000000"/>
              </w:rPr>
              <w:t>Median (Min, Max)</w:t>
            </w:r>
          </w:p>
        </w:tc>
        <w:tc>
          <w:tcPr>
            <w:tcW w:w="1144" w:type="pct"/>
            <w:shd w:val="clear" w:color="auto" w:fill="FFFFFF"/>
          </w:tcPr>
          <w:p w14:paraId="0056ECE8" w14:textId="77777777" w:rsidR="00D661CE" w:rsidRPr="008945A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8945AC">
              <w:rPr>
                <w:rFonts w:ascii="Book Antiqua" w:eastAsia="Courier" w:hAnsi="Book Antiqua"/>
                <w:color w:val="000000"/>
              </w:rPr>
              <w:t>3.0 (0, 7)</w:t>
            </w:r>
          </w:p>
        </w:tc>
        <w:tc>
          <w:tcPr>
            <w:tcW w:w="1510" w:type="pct"/>
            <w:shd w:val="clear" w:color="auto" w:fill="FFFFFF"/>
          </w:tcPr>
          <w:p w14:paraId="21CB2273" w14:textId="77777777" w:rsidR="00D661CE" w:rsidRPr="008945A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8945AC">
              <w:rPr>
                <w:rFonts w:ascii="Book Antiqua" w:eastAsia="Courier" w:hAnsi="Book Antiqua"/>
                <w:color w:val="000000"/>
              </w:rPr>
              <w:t>3.0 (0, 9)</w:t>
            </w:r>
          </w:p>
        </w:tc>
        <w:tc>
          <w:tcPr>
            <w:tcW w:w="637" w:type="pct"/>
            <w:shd w:val="clear" w:color="auto" w:fill="FFFFFF"/>
          </w:tcPr>
          <w:p w14:paraId="08F56907" w14:textId="77777777" w:rsidR="00D661CE" w:rsidRPr="008945A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D661CE" w:rsidRPr="00231878" w14:paraId="59216F45" w14:textId="77777777" w:rsidTr="002557A5">
        <w:trPr>
          <w:cantSplit/>
          <w:jc w:val="center"/>
        </w:trPr>
        <w:tc>
          <w:tcPr>
            <w:tcW w:w="1709" w:type="pct"/>
            <w:shd w:val="clear" w:color="auto" w:fill="FFFFFF"/>
          </w:tcPr>
          <w:p w14:paraId="08C656B9" w14:textId="5FC261EC" w:rsidR="00D661CE" w:rsidRPr="008945AC" w:rsidRDefault="00D661CE" w:rsidP="008945AC">
            <w:pPr>
              <w:overflowPunct w:val="0"/>
              <w:autoSpaceDE w:val="0"/>
              <w:autoSpaceDN w:val="0"/>
              <w:adjustRightInd w:val="0"/>
              <w:spacing w:line="360" w:lineRule="auto"/>
              <w:jc w:val="both"/>
              <w:textAlignment w:val="baseline"/>
              <w:rPr>
                <w:rFonts w:ascii="Book Antiqua" w:hAnsi="Book Antiqua"/>
                <w:b/>
                <w:color w:val="000000"/>
              </w:rPr>
            </w:pPr>
            <w:r w:rsidRPr="008945AC">
              <w:rPr>
                <w:rFonts w:ascii="Book Antiqua" w:hAnsi="Book Antiqua"/>
                <w:b/>
                <w:color w:val="000000"/>
              </w:rPr>
              <w:t>Overall bowel cleansing quality</w:t>
            </w:r>
            <w:r w:rsidR="00C14480">
              <w:rPr>
                <w:rFonts w:ascii="Book Antiqua" w:eastAsia="PMingLiU" w:hAnsi="Book Antiqua" w:cs="PMingLiU"/>
                <w:b/>
                <w:szCs w:val="28"/>
              </w:rPr>
              <w:t xml:space="preserve">, </w:t>
            </w:r>
            <w:r w:rsidR="00C14480" w:rsidRPr="00C14480">
              <w:rPr>
                <w:rFonts w:ascii="Book Antiqua" w:eastAsia="PMingLiU" w:hAnsi="Book Antiqua" w:cs="PMingLiU"/>
                <w:b/>
                <w:i/>
                <w:szCs w:val="28"/>
              </w:rPr>
              <w:t>n</w:t>
            </w:r>
            <w:r w:rsidR="00C14480">
              <w:rPr>
                <w:rFonts w:ascii="Book Antiqua" w:eastAsia="PMingLiU" w:hAnsi="Book Antiqua" w:cs="PMingLiU"/>
                <w:b/>
                <w:szCs w:val="28"/>
              </w:rPr>
              <w:t xml:space="preserve"> (%)</w:t>
            </w:r>
          </w:p>
        </w:tc>
        <w:tc>
          <w:tcPr>
            <w:tcW w:w="1144" w:type="pct"/>
            <w:shd w:val="clear" w:color="auto" w:fill="FFFFFF"/>
          </w:tcPr>
          <w:p w14:paraId="3BF9B2DA" w14:textId="77777777" w:rsidR="00D661CE" w:rsidRPr="008945A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1510" w:type="pct"/>
            <w:shd w:val="clear" w:color="auto" w:fill="FFFFFF"/>
          </w:tcPr>
          <w:p w14:paraId="754F1F26" w14:textId="77777777" w:rsidR="00D661CE" w:rsidRPr="008945A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637" w:type="pct"/>
            <w:shd w:val="clear" w:color="auto" w:fill="FFFFFF"/>
          </w:tcPr>
          <w:p w14:paraId="776AD95B" w14:textId="77777777" w:rsidR="00D661CE" w:rsidRPr="008945A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D661CE" w:rsidRPr="00231878" w14:paraId="2971CD69" w14:textId="77777777" w:rsidTr="002557A5">
        <w:trPr>
          <w:cantSplit/>
          <w:jc w:val="center"/>
        </w:trPr>
        <w:tc>
          <w:tcPr>
            <w:tcW w:w="1709" w:type="pct"/>
            <w:shd w:val="clear" w:color="auto" w:fill="FFFFFF"/>
          </w:tcPr>
          <w:p w14:paraId="72B6839A" w14:textId="1CE04196" w:rsidR="00D661CE" w:rsidRPr="008945AC" w:rsidRDefault="00D661CE" w:rsidP="008945A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sidRPr="008945AC">
              <w:rPr>
                <w:rFonts w:ascii="Book Antiqua" w:hAnsi="Book Antiqua"/>
              </w:rPr>
              <w:t>Success (Excellent</w:t>
            </w:r>
            <w:r w:rsidR="008945AC">
              <w:rPr>
                <w:rFonts w:ascii="Book Antiqua" w:hAnsi="Book Antiqua"/>
              </w:rPr>
              <w:t xml:space="preserve"> </w:t>
            </w:r>
            <w:r w:rsidRPr="008945AC">
              <w:rPr>
                <w:rFonts w:ascii="Book Antiqua" w:hAnsi="Book Antiqua"/>
              </w:rPr>
              <w:t>+</w:t>
            </w:r>
            <w:r w:rsidR="008945AC">
              <w:rPr>
                <w:rFonts w:ascii="Book Antiqua" w:hAnsi="Book Antiqua"/>
              </w:rPr>
              <w:t xml:space="preserve"> </w:t>
            </w:r>
            <w:r w:rsidRPr="008945AC">
              <w:rPr>
                <w:rFonts w:ascii="Book Antiqua" w:hAnsi="Book Antiqua"/>
              </w:rPr>
              <w:t>Good</w:t>
            </w:r>
            <w:r w:rsidR="008945AC">
              <w:rPr>
                <w:rFonts w:ascii="Book Antiqua" w:hAnsi="Book Antiqua"/>
              </w:rPr>
              <w:t xml:space="preserve"> </w:t>
            </w:r>
            <w:r w:rsidRPr="008945AC">
              <w:rPr>
                <w:rFonts w:ascii="Book Antiqua" w:hAnsi="Book Antiqua"/>
              </w:rPr>
              <w:t>+</w:t>
            </w:r>
            <w:r w:rsidR="008945AC">
              <w:rPr>
                <w:rFonts w:ascii="Book Antiqua" w:hAnsi="Book Antiqua"/>
              </w:rPr>
              <w:t xml:space="preserve"> </w:t>
            </w:r>
            <w:r w:rsidRPr="008945AC">
              <w:rPr>
                <w:rFonts w:ascii="Book Antiqua" w:hAnsi="Book Antiqua"/>
              </w:rPr>
              <w:t>Fair)</w:t>
            </w:r>
          </w:p>
        </w:tc>
        <w:tc>
          <w:tcPr>
            <w:tcW w:w="1144" w:type="pct"/>
            <w:shd w:val="clear" w:color="auto" w:fill="FFFFFF"/>
          </w:tcPr>
          <w:p w14:paraId="5EE3AD78" w14:textId="53813713" w:rsidR="00D661CE" w:rsidRPr="008945AC" w:rsidRDefault="00C14480" w:rsidP="00C14480">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hAnsi="Book Antiqua"/>
              </w:rPr>
              <w:t>208 (100</w:t>
            </w:r>
            <w:r w:rsidR="00D661CE" w:rsidRPr="008945AC">
              <w:rPr>
                <w:rFonts w:ascii="Book Antiqua" w:hAnsi="Book Antiqua"/>
              </w:rPr>
              <w:t>)</w:t>
            </w:r>
          </w:p>
        </w:tc>
        <w:tc>
          <w:tcPr>
            <w:tcW w:w="1510" w:type="pct"/>
            <w:shd w:val="clear" w:color="auto" w:fill="FFFFFF"/>
          </w:tcPr>
          <w:p w14:paraId="5F82BE9E" w14:textId="701E922F" w:rsidR="00D661CE" w:rsidRPr="008945AC" w:rsidRDefault="00C14480" w:rsidP="00C14480">
            <w:pPr>
              <w:overflowPunct w:val="0"/>
              <w:autoSpaceDE w:val="0"/>
              <w:autoSpaceDN w:val="0"/>
              <w:adjustRightInd w:val="0"/>
              <w:spacing w:line="360" w:lineRule="auto"/>
              <w:jc w:val="center"/>
              <w:textAlignment w:val="baseline"/>
              <w:rPr>
                <w:rFonts w:ascii="Book Antiqua" w:hAnsi="Book Antiqua"/>
              </w:rPr>
            </w:pPr>
            <w:r>
              <w:rPr>
                <w:rFonts w:ascii="Book Antiqua" w:hAnsi="Book Antiqua"/>
              </w:rPr>
              <w:t>206 (99</w:t>
            </w:r>
            <w:r w:rsidR="00D661CE" w:rsidRPr="008945AC">
              <w:rPr>
                <w:rFonts w:ascii="Book Antiqua" w:hAnsi="Book Antiqua"/>
              </w:rPr>
              <w:t>)</w:t>
            </w:r>
            <w:r w:rsidR="00767375">
              <w:rPr>
                <w:rFonts w:ascii="Book Antiqua" w:hAnsi="Book Antiqua"/>
                <w:bCs/>
                <w:vertAlign w:val="superscript"/>
              </w:rPr>
              <w:t>1</w:t>
            </w:r>
          </w:p>
        </w:tc>
        <w:tc>
          <w:tcPr>
            <w:tcW w:w="637" w:type="pct"/>
            <w:shd w:val="clear" w:color="auto" w:fill="FFFFFF"/>
          </w:tcPr>
          <w:p w14:paraId="35D78E10" w14:textId="3698E961" w:rsidR="00D661CE" w:rsidRPr="008945A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r w:rsidRPr="008945AC">
              <w:rPr>
                <w:rFonts w:ascii="Book Antiqua" w:hAnsi="Book Antiqua"/>
              </w:rPr>
              <w:t>0.4988</w:t>
            </w:r>
            <w:r w:rsidR="00767375">
              <w:rPr>
                <w:rFonts w:ascii="Book Antiqua" w:hAnsi="Book Antiqua"/>
                <w:bCs/>
                <w:vertAlign w:val="superscript"/>
              </w:rPr>
              <w:t>3</w:t>
            </w:r>
          </w:p>
        </w:tc>
      </w:tr>
      <w:tr w:rsidR="00D661CE" w:rsidRPr="00231878" w14:paraId="5736A4E7" w14:textId="77777777" w:rsidTr="002557A5">
        <w:trPr>
          <w:cantSplit/>
          <w:jc w:val="center"/>
        </w:trPr>
        <w:tc>
          <w:tcPr>
            <w:tcW w:w="1709" w:type="pct"/>
            <w:shd w:val="clear" w:color="auto" w:fill="FFFFFF"/>
          </w:tcPr>
          <w:p w14:paraId="0DE20792" w14:textId="6BF38F8A" w:rsidR="00D661CE" w:rsidRPr="008945AC" w:rsidRDefault="00D661CE" w:rsidP="008945A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sidRPr="008945AC">
              <w:rPr>
                <w:rFonts w:ascii="Book Antiqua" w:hAnsi="Book Antiqua"/>
              </w:rPr>
              <w:t>Un-success (Poor</w:t>
            </w:r>
            <w:r w:rsidR="008945AC">
              <w:rPr>
                <w:rFonts w:ascii="Book Antiqua" w:hAnsi="Book Antiqua"/>
              </w:rPr>
              <w:t xml:space="preserve"> </w:t>
            </w:r>
            <w:r w:rsidRPr="008945AC">
              <w:rPr>
                <w:rFonts w:ascii="Book Antiqua" w:hAnsi="Book Antiqua"/>
              </w:rPr>
              <w:t>+</w:t>
            </w:r>
            <w:r w:rsidR="008945AC">
              <w:rPr>
                <w:rFonts w:ascii="Book Antiqua" w:hAnsi="Book Antiqua"/>
              </w:rPr>
              <w:t xml:space="preserve"> </w:t>
            </w:r>
            <w:r w:rsidRPr="008945AC">
              <w:rPr>
                <w:rFonts w:ascii="Book Antiqua" w:hAnsi="Book Antiqua"/>
              </w:rPr>
              <w:t>Inadequate)</w:t>
            </w:r>
          </w:p>
        </w:tc>
        <w:tc>
          <w:tcPr>
            <w:tcW w:w="1144" w:type="pct"/>
            <w:shd w:val="clear" w:color="auto" w:fill="FFFFFF"/>
          </w:tcPr>
          <w:p w14:paraId="33491806" w14:textId="3B1E0A45" w:rsidR="00D661CE" w:rsidRPr="008945AC" w:rsidRDefault="00C14480" w:rsidP="00C14480">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hAnsi="Book Antiqua"/>
              </w:rPr>
              <w:t>0 (0</w:t>
            </w:r>
            <w:r w:rsidR="00D661CE" w:rsidRPr="008945AC">
              <w:rPr>
                <w:rFonts w:ascii="Book Antiqua" w:hAnsi="Book Antiqua"/>
              </w:rPr>
              <w:t>)</w:t>
            </w:r>
          </w:p>
        </w:tc>
        <w:tc>
          <w:tcPr>
            <w:tcW w:w="1510" w:type="pct"/>
            <w:shd w:val="clear" w:color="auto" w:fill="FFFFFF"/>
          </w:tcPr>
          <w:p w14:paraId="162B698F" w14:textId="73926D8A" w:rsidR="00D661CE" w:rsidRPr="008945AC" w:rsidRDefault="00C14480" w:rsidP="00C14480">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hAnsi="Book Antiqua"/>
              </w:rPr>
              <w:t>2 (1</w:t>
            </w:r>
            <w:r w:rsidR="00D661CE" w:rsidRPr="008945AC">
              <w:rPr>
                <w:rFonts w:ascii="Book Antiqua" w:hAnsi="Book Antiqua"/>
              </w:rPr>
              <w:t>)</w:t>
            </w:r>
          </w:p>
        </w:tc>
        <w:tc>
          <w:tcPr>
            <w:tcW w:w="637" w:type="pct"/>
            <w:shd w:val="clear" w:color="auto" w:fill="FFFFFF"/>
          </w:tcPr>
          <w:p w14:paraId="1A7D6273" w14:textId="77777777" w:rsidR="00D661CE" w:rsidRPr="008945AC" w:rsidRDefault="00D661CE" w:rsidP="00C14480">
            <w:pPr>
              <w:overflowPunct w:val="0"/>
              <w:autoSpaceDE w:val="0"/>
              <w:autoSpaceDN w:val="0"/>
              <w:adjustRightInd w:val="0"/>
              <w:spacing w:line="360" w:lineRule="auto"/>
              <w:jc w:val="center"/>
              <w:textAlignment w:val="baseline"/>
              <w:rPr>
                <w:rFonts w:ascii="Book Antiqua" w:eastAsia="Courier" w:hAnsi="Book Antiqua"/>
                <w:color w:val="000000"/>
              </w:rPr>
            </w:pPr>
          </w:p>
        </w:tc>
      </w:tr>
    </w:tbl>
    <w:p w14:paraId="51852867" w14:textId="0313E9AF" w:rsidR="001D73CD" w:rsidRDefault="00767375" w:rsidP="00B772DD">
      <w:pPr>
        <w:overflowPunct w:val="0"/>
        <w:autoSpaceDE w:val="0"/>
        <w:autoSpaceDN w:val="0"/>
        <w:spacing w:line="360" w:lineRule="auto"/>
        <w:jc w:val="both"/>
        <w:textAlignment w:val="baseline"/>
        <w:rPr>
          <w:rFonts w:ascii="Book Antiqua" w:hAnsi="Book Antiqua"/>
        </w:rPr>
        <w:sectPr w:rsidR="001D73CD" w:rsidSect="00767375">
          <w:pgSz w:w="15840" w:h="12240" w:orient="landscape"/>
          <w:pgMar w:top="1440" w:right="1440" w:bottom="1440" w:left="1440" w:header="720" w:footer="720" w:gutter="0"/>
          <w:cols w:space="720"/>
          <w:docGrid w:linePitch="360"/>
        </w:sectPr>
      </w:pPr>
      <w:r w:rsidRPr="00767375">
        <w:rPr>
          <w:rFonts w:ascii="Book Antiqua" w:eastAsia="Courier" w:hAnsi="Book Antiqua"/>
          <w:bCs/>
          <w:color w:val="000000"/>
          <w:vertAlign w:val="superscript"/>
        </w:rPr>
        <w:t>1</w:t>
      </w:r>
      <w:r w:rsidRPr="00767375">
        <w:rPr>
          <w:rFonts w:ascii="Book Antiqua" w:eastAsia="Courier" w:hAnsi="Book Antiqua"/>
          <w:bCs/>
          <w:color w:val="000000"/>
        </w:rPr>
        <w:t xml:space="preserve">Indicates that </w:t>
      </w:r>
      <w:r w:rsidRPr="008945AC">
        <w:rPr>
          <w:rFonts w:ascii="Book Antiqua" w:eastAsia="Courier" w:hAnsi="Book Antiqua"/>
          <w:color w:val="000000"/>
        </w:rPr>
        <w:t>s</w:t>
      </w:r>
      <w:r w:rsidR="00D661CE" w:rsidRPr="008945AC">
        <w:rPr>
          <w:rFonts w:ascii="Book Antiqua" w:eastAsia="Courier" w:hAnsi="Book Antiqua"/>
          <w:color w:val="000000"/>
        </w:rPr>
        <w:t>ubject 1-S074-R1074 had previously undergone removal of an ascending colon segment</w:t>
      </w:r>
      <w:r>
        <w:rPr>
          <w:rFonts w:ascii="Book Antiqua" w:eastAsia="Courier" w:hAnsi="Book Antiqua"/>
          <w:color w:val="000000"/>
        </w:rPr>
        <w:t xml:space="preserve">; </w:t>
      </w:r>
      <w:r>
        <w:rPr>
          <w:rFonts w:ascii="Book Antiqua" w:eastAsia="Courier" w:hAnsi="Book Antiqua"/>
          <w:bCs/>
          <w:color w:val="000000"/>
          <w:vertAlign w:val="superscript"/>
        </w:rPr>
        <w:t>2</w:t>
      </w:r>
      <w:r w:rsidRPr="00767375">
        <w:rPr>
          <w:rFonts w:ascii="Book Antiqua" w:eastAsia="Courier" w:hAnsi="Book Antiqua"/>
          <w:bCs/>
          <w:color w:val="000000"/>
        </w:rPr>
        <w:t xml:space="preserve">Indicates </w:t>
      </w:r>
      <w:r w:rsidRPr="00767375">
        <w:rPr>
          <w:rFonts w:ascii="Book Antiqua" w:eastAsia="Courier" w:hAnsi="Book Antiqua"/>
          <w:color w:val="000000"/>
        </w:rPr>
        <w:t xml:space="preserve">that </w:t>
      </w:r>
      <w:r w:rsidR="00D661CE" w:rsidRPr="008945AC">
        <w:rPr>
          <w:rFonts w:ascii="Book Antiqua" w:eastAsia="Courier" w:hAnsi="Book Antiqua"/>
          <w:i/>
          <w:color w:val="000000"/>
        </w:rPr>
        <w:t>P</w:t>
      </w:r>
      <w:r w:rsidR="008945AC">
        <w:rPr>
          <w:rFonts w:ascii="Book Antiqua" w:eastAsia="Courier" w:hAnsi="Book Antiqua"/>
          <w:color w:val="000000"/>
        </w:rPr>
        <w:t xml:space="preserve"> </w:t>
      </w:r>
      <w:r w:rsidR="00D661CE" w:rsidRPr="008945AC">
        <w:rPr>
          <w:rFonts w:ascii="Book Antiqua" w:eastAsia="Courier" w:hAnsi="Book Antiqua"/>
          <w:color w:val="000000"/>
        </w:rPr>
        <w:t>value</w:t>
      </w:r>
      <w:r>
        <w:rPr>
          <w:rFonts w:ascii="Book Antiqua" w:eastAsia="Courier" w:hAnsi="Book Antiqua"/>
          <w:color w:val="000000"/>
        </w:rPr>
        <w:t xml:space="preserve"> was obtained by</w:t>
      </w:r>
      <w:r w:rsidR="00D661CE" w:rsidRPr="008945AC">
        <w:rPr>
          <w:rFonts w:ascii="Book Antiqua" w:eastAsia="Courier" w:hAnsi="Book Antiqua"/>
          <w:color w:val="000000"/>
        </w:rPr>
        <w:t xml:space="preserve"> independent </w:t>
      </w:r>
      <w:r w:rsidR="00D661CE" w:rsidRPr="008945AC">
        <w:rPr>
          <w:rFonts w:ascii="Book Antiqua" w:eastAsia="Courier" w:hAnsi="Book Antiqua"/>
          <w:i/>
          <w:color w:val="000000"/>
        </w:rPr>
        <w:t>t</w:t>
      </w:r>
      <w:r w:rsidR="00D661CE" w:rsidRPr="008945AC">
        <w:rPr>
          <w:rFonts w:ascii="Book Antiqua" w:eastAsia="Courier" w:hAnsi="Book Antiqua"/>
          <w:color w:val="000000"/>
        </w:rPr>
        <w:t>-test</w:t>
      </w:r>
      <w:r w:rsidR="008945AC">
        <w:rPr>
          <w:rFonts w:ascii="Book Antiqua" w:eastAsia="Courier" w:hAnsi="Book Antiqua"/>
          <w:color w:val="000000"/>
        </w:rPr>
        <w:t xml:space="preserve">; </w:t>
      </w:r>
      <w:r>
        <w:rPr>
          <w:rFonts w:ascii="Book Antiqua" w:eastAsia="Courier" w:hAnsi="Book Antiqua"/>
          <w:bCs/>
          <w:color w:val="000000"/>
          <w:vertAlign w:val="superscript"/>
        </w:rPr>
        <w:t>3</w:t>
      </w:r>
      <w:r w:rsidRPr="00767375">
        <w:rPr>
          <w:rFonts w:ascii="Book Antiqua" w:eastAsia="Courier" w:hAnsi="Book Antiqua"/>
          <w:bCs/>
          <w:color w:val="000000"/>
        </w:rPr>
        <w:t xml:space="preserve">Indicates that </w:t>
      </w:r>
      <w:r w:rsidR="00D661CE" w:rsidRPr="008945AC">
        <w:rPr>
          <w:rFonts w:ascii="Book Antiqua" w:eastAsia="Courier" w:hAnsi="Book Antiqua"/>
          <w:i/>
          <w:color w:val="000000"/>
        </w:rPr>
        <w:t>P</w:t>
      </w:r>
      <w:r w:rsidR="008945AC">
        <w:rPr>
          <w:rFonts w:ascii="Book Antiqua" w:eastAsia="Courier" w:hAnsi="Book Antiqua"/>
          <w:color w:val="000000"/>
        </w:rPr>
        <w:t xml:space="preserve"> </w:t>
      </w:r>
      <w:r w:rsidR="00D661CE" w:rsidRPr="008945AC">
        <w:rPr>
          <w:rFonts w:ascii="Book Antiqua" w:eastAsia="Courier" w:hAnsi="Book Antiqua"/>
          <w:color w:val="000000"/>
        </w:rPr>
        <w:t>value</w:t>
      </w:r>
      <w:r w:rsidRPr="00767375">
        <w:t xml:space="preserve"> </w:t>
      </w:r>
      <w:r w:rsidRPr="00767375">
        <w:rPr>
          <w:rFonts w:ascii="Book Antiqua" w:eastAsia="Courier" w:hAnsi="Book Antiqua"/>
          <w:color w:val="000000"/>
        </w:rPr>
        <w:t xml:space="preserve">was obtained by </w:t>
      </w:r>
      <w:r w:rsidR="00D661CE" w:rsidRPr="008945AC">
        <w:rPr>
          <w:rFonts w:ascii="Book Antiqua" w:eastAsia="Courier" w:hAnsi="Book Antiqua"/>
          <w:color w:val="000000"/>
        </w:rPr>
        <w:t>Fisher’s exact test.</w:t>
      </w:r>
      <w:r w:rsidR="00C24328">
        <w:rPr>
          <w:rFonts w:ascii="Book Antiqua" w:hAnsi="Book Antiqua"/>
        </w:rPr>
        <w:t xml:space="preserve"> SD: Standard deviation.</w:t>
      </w:r>
    </w:p>
    <w:p w14:paraId="3D3F37D2" w14:textId="740E4A2C" w:rsidR="001D73CD" w:rsidRPr="001D73CD" w:rsidRDefault="001D73CD" w:rsidP="001D73CD">
      <w:pPr>
        <w:spacing w:line="360" w:lineRule="auto"/>
        <w:jc w:val="both"/>
        <w:rPr>
          <w:rFonts w:ascii="Book Antiqua" w:eastAsia="PMingLiU" w:hAnsi="Book Antiqua" w:cs="PMingLiU"/>
          <w:b/>
        </w:rPr>
      </w:pPr>
      <w:bookmarkStart w:id="7" w:name="_Toc25244918"/>
      <w:r w:rsidRPr="001D73CD">
        <w:rPr>
          <w:rFonts w:ascii="Book Antiqua" w:eastAsia="PMingLiU" w:hAnsi="Book Antiqua" w:cs="PMingLiU"/>
          <w:b/>
          <w:szCs w:val="20"/>
        </w:rPr>
        <w:lastRenderedPageBreak/>
        <w:t>Table 4</w:t>
      </w:r>
      <w:r w:rsidRPr="001D73CD">
        <w:rPr>
          <w:rFonts w:ascii="Book Antiqua" w:eastAsia="PMingLiU" w:hAnsi="Book Antiqua" w:cs="PMingLiU"/>
          <w:b/>
        </w:rPr>
        <w:t xml:space="preserve"> Acceptability and tolerability (per-protocol analysis set)</w:t>
      </w:r>
      <w:bookmarkEnd w:id="7"/>
      <w:r w:rsidR="001B5577">
        <w:rPr>
          <w:rFonts w:ascii="Book Antiqua" w:eastAsia="PMingLiU" w:hAnsi="Book Antiqua" w:cs="PMingLiU"/>
          <w:b/>
          <w:szCs w:val="28"/>
        </w:rPr>
        <w:t xml:space="preserve">, </w:t>
      </w:r>
      <w:r w:rsidR="001B5577" w:rsidRPr="00C14480">
        <w:rPr>
          <w:rFonts w:ascii="Book Antiqua" w:eastAsia="PMingLiU" w:hAnsi="Book Antiqua" w:cs="PMingLiU"/>
          <w:b/>
          <w:i/>
          <w:szCs w:val="28"/>
        </w:rPr>
        <w:t>n</w:t>
      </w:r>
      <w:r w:rsidR="001B5577">
        <w:rPr>
          <w:rFonts w:ascii="Book Antiqua" w:eastAsia="PMingLiU" w:hAnsi="Book Antiqua" w:cs="PMingLiU"/>
          <w:b/>
          <w:szCs w:val="28"/>
        </w:rPr>
        <w:t xml:space="preserve"> (%)</w:t>
      </w:r>
    </w:p>
    <w:tbl>
      <w:tblPr>
        <w:tblW w:w="4758"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271"/>
        <w:gridCol w:w="3278"/>
        <w:gridCol w:w="3929"/>
        <w:gridCol w:w="1855"/>
      </w:tblGrid>
      <w:tr w:rsidR="001D73CD" w:rsidRPr="00FA4C44" w14:paraId="4543D887" w14:textId="77777777" w:rsidTr="001B5577">
        <w:trPr>
          <w:cantSplit/>
          <w:tblHeader/>
          <w:jc w:val="center"/>
        </w:trPr>
        <w:tc>
          <w:tcPr>
            <w:tcW w:w="1326" w:type="pct"/>
            <w:tcBorders>
              <w:top w:val="single" w:sz="4" w:space="0" w:color="auto"/>
              <w:bottom w:val="single" w:sz="4" w:space="0" w:color="auto"/>
            </w:tcBorders>
            <w:shd w:val="clear" w:color="auto" w:fill="FFFFFF"/>
            <w:vAlign w:val="center"/>
          </w:tcPr>
          <w:p w14:paraId="151618DF" w14:textId="77777777" w:rsidR="001D73CD" w:rsidRPr="00ED177D" w:rsidRDefault="001D73CD" w:rsidP="00F66780">
            <w:pPr>
              <w:keepNext/>
              <w:overflowPunct w:val="0"/>
              <w:autoSpaceDE w:val="0"/>
              <w:autoSpaceDN w:val="0"/>
              <w:adjustRightInd w:val="0"/>
              <w:spacing w:line="360" w:lineRule="auto"/>
              <w:jc w:val="center"/>
              <w:textAlignment w:val="baseline"/>
              <w:rPr>
                <w:rFonts w:ascii="Book Antiqua" w:eastAsia="Times New Roman" w:hAnsi="Book Antiqua"/>
                <w:b/>
                <w:bCs/>
                <w:color w:val="000000"/>
              </w:rPr>
            </w:pPr>
          </w:p>
        </w:tc>
        <w:tc>
          <w:tcPr>
            <w:tcW w:w="1329" w:type="pct"/>
            <w:tcBorders>
              <w:top w:val="single" w:sz="4" w:space="0" w:color="auto"/>
              <w:bottom w:val="single" w:sz="4" w:space="0" w:color="auto"/>
            </w:tcBorders>
            <w:shd w:val="clear" w:color="auto" w:fill="FFFFFF"/>
            <w:vAlign w:val="center"/>
          </w:tcPr>
          <w:p w14:paraId="195F8B58" w14:textId="762B94E1" w:rsidR="001D73CD" w:rsidRPr="00ED177D" w:rsidRDefault="001D73CD" w:rsidP="001B5577">
            <w:pPr>
              <w:keepNext/>
              <w:overflowPunct w:val="0"/>
              <w:autoSpaceDE w:val="0"/>
              <w:autoSpaceDN w:val="0"/>
              <w:adjustRightInd w:val="0"/>
              <w:spacing w:line="360" w:lineRule="auto"/>
              <w:textAlignment w:val="baseline"/>
              <w:rPr>
                <w:rFonts w:ascii="Book Antiqua" w:eastAsia="Times New Roman" w:hAnsi="Book Antiqua"/>
                <w:b/>
                <w:bCs/>
                <w:color w:val="000000"/>
              </w:rPr>
            </w:pPr>
            <w:r w:rsidRPr="00ED177D">
              <w:rPr>
                <w:rFonts w:ascii="Book Antiqua" w:eastAsia="Times New Roman" w:hAnsi="Book Antiqua"/>
                <w:b/>
                <w:bCs/>
                <w:color w:val="000000"/>
              </w:rPr>
              <w:t>Quiklean</w:t>
            </w:r>
            <w:r w:rsidR="00A862C7" w:rsidRPr="00ED177D">
              <w:rPr>
                <w:rFonts w:ascii="Book Antiqua" w:eastAsia="Times New Roman" w:hAnsi="Book Antiqua"/>
                <w:b/>
                <w:bCs/>
                <w:color w:val="000000"/>
                <w:vertAlign w:val="superscript"/>
              </w:rPr>
              <w:t>®</w:t>
            </w:r>
            <w:r w:rsidR="0071144A">
              <w:rPr>
                <w:rFonts w:ascii="Book Antiqua" w:eastAsia="Times New Roman" w:hAnsi="Book Antiqua"/>
                <w:b/>
                <w:bCs/>
                <w:color w:val="000000"/>
              </w:rPr>
              <w:t xml:space="preserve">, </w:t>
            </w:r>
            <w:r w:rsidRPr="00ED177D">
              <w:rPr>
                <w:rFonts w:ascii="Book Antiqua" w:eastAsia="Times New Roman" w:hAnsi="Book Antiqua"/>
                <w:b/>
                <w:bCs/>
                <w:i/>
                <w:iCs/>
                <w:color w:val="000000"/>
              </w:rPr>
              <w:t>n</w:t>
            </w:r>
            <w:r w:rsidR="00F66780" w:rsidRPr="00ED177D">
              <w:rPr>
                <w:rFonts w:ascii="Book Antiqua" w:eastAsia="Times New Roman" w:hAnsi="Book Antiqua"/>
                <w:b/>
                <w:bCs/>
                <w:color w:val="000000"/>
              </w:rPr>
              <w:t xml:space="preserve"> </w:t>
            </w:r>
            <w:r w:rsidRPr="00ED177D">
              <w:rPr>
                <w:rFonts w:ascii="Book Antiqua" w:eastAsia="Times New Roman" w:hAnsi="Book Antiqua"/>
                <w:b/>
                <w:bCs/>
                <w:color w:val="000000"/>
              </w:rPr>
              <w:t>=</w:t>
            </w:r>
            <w:r w:rsidR="00F66780" w:rsidRPr="00ED177D">
              <w:rPr>
                <w:rFonts w:ascii="Book Antiqua" w:eastAsia="Times New Roman" w:hAnsi="Book Antiqua"/>
                <w:b/>
                <w:bCs/>
                <w:color w:val="000000"/>
              </w:rPr>
              <w:t xml:space="preserve"> </w:t>
            </w:r>
            <w:r w:rsidRPr="00ED177D">
              <w:rPr>
                <w:rFonts w:ascii="Book Antiqua" w:eastAsia="Times New Roman" w:hAnsi="Book Antiqua"/>
                <w:b/>
                <w:bCs/>
                <w:color w:val="000000"/>
              </w:rPr>
              <w:t>208</w:t>
            </w:r>
          </w:p>
        </w:tc>
        <w:tc>
          <w:tcPr>
            <w:tcW w:w="1593" w:type="pct"/>
            <w:tcBorders>
              <w:top w:val="single" w:sz="4" w:space="0" w:color="auto"/>
              <w:bottom w:val="single" w:sz="4" w:space="0" w:color="auto"/>
            </w:tcBorders>
            <w:shd w:val="clear" w:color="auto" w:fill="FFFFFF"/>
            <w:vAlign w:val="center"/>
          </w:tcPr>
          <w:p w14:paraId="770573A2" w14:textId="1F43181C" w:rsidR="001D73CD" w:rsidRPr="00ED177D" w:rsidRDefault="001D73CD" w:rsidP="001B5577">
            <w:pPr>
              <w:keepNext/>
              <w:overflowPunct w:val="0"/>
              <w:autoSpaceDE w:val="0"/>
              <w:autoSpaceDN w:val="0"/>
              <w:adjustRightInd w:val="0"/>
              <w:spacing w:line="360" w:lineRule="auto"/>
              <w:textAlignment w:val="baseline"/>
              <w:rPr>
                <w:rFonts w:ascii="Book Antiqua" w:eastAsia="Times New Roman" w:hAnsi="Book Antiqua"/>
                <w:b/>
                <w:bCs/>
                <w:color w:val="000000"/>
              </w:rPr>
            </w:pPr>
            <w:r w:rsidRPr="00ED177D">
              <w:rPr>
                <w:rFonts w:ascii="Book Antiqua" w:eastAsia="Times New Roman" w:hAnsi="Book Antiqua"/>
                <w:b/>
                <w:bCs/>
                <w:color w:val="000000"/>
              </w:rPr>
              <w:t>Klean-Prep/Dulcolax</w:t>
            </w:r>
            <w:r w:rsidR="00F9406C" w:rsidRPr="00ED177D">
              <w:rPr>
                <w:rFonts w:ascii="Book Antiqua" w:eastAsia="Times New Roman" w:hAnsi="Book Antiqua"/>
                <w:b/>
                <w:bCs/>
                <w:color w:val="000000"/>
                <w:vertAlign w:val="superscript"/>
              </w:rPr>
              <w:t>®</w:t>
            </w:r>
            <w:r w:rsidR="0071144A">
              <w:rPr>
                <w:rFonts w:ascii="Book Antiqua" w:eastAsia="Times New Roman" w:hAnsi="Book Antiqua"/>
                <w:b/>
                <w:bCs/>
                <w:color w:val="000000"/>
              </w:rPr>
              <w:t xml:space="preserve">, </w:t>
            </w:r>
            <w:r w:rsidRPr="00ED177D">
              <w:rPr>
                <w:rFonts w:ascii="Book Antiqua" w:eastAsia="Times New Roman" w:hAnsi="Book Antiqua"/>
                <w:b/>
                <w:bCs/>
                <w:i/>
                <w:iCs/>
                <w:color w:val="000000"/>
              </w:rPr>
              <w:t>n</w:t>
            </w:r>
            <w:r w:rsidR="00F66780" w:rsidRPr="00ED177D">
              <w:rPr>
                <w:rFonts w:ascii="Book Antiqua" w:eastAsia="Times New Roman" w:hAnsi="Book Antiqua"/>
                <w:b/>
                <w:bCs/>
                <w:color w:val="000000"/>
              </w:rPr>
              <w:t xml:space="preserve"> </w:t>
            </w:r>
            <w:r w:rsidRPr="00ED177D">
              <w:rPr>
                <w:rFonts w:ascii="Book Antiqua" w:eastAsia="Times New Roman" w:hAnsi="Book Antiqua"/>
                <w:b/>
                <w:bCs/>
                <w:color w:val="000000"/>
              </w:rPr>
              <w:t>=</w:t>
            </w:r>
            <w:r w:rsidR="00F66780" w:rsidRPr="00ED177D">
              <w:rPr>
                <w:rFonts w:ascii="Book Antiqua" w:eastAsia="Times New Roman" w:hAnsi="Book Antiqua"/>
                <w:b/>
                <w:bCs/>
                <w:color w:val="000000"/>
              </w:rPr>
              <w:t xml:space="preserve"> </w:t>
            </w:r>
            <w:r w:rsidRPr="00ED177D">
              <w:rPr>
                <w:rFonts w:ascii="Book Antiqua" w:eastAsia="Times New Roman" w:hAnsi="Book Antiqua"/>
                <w:b/>
                <w:bCs/>
                <w:color w:val="000000"/>
              </w:rPr>
              <w:t>209</w:t>
            </w:r>
          </w:p>
        </w:tc>
        <w:tc>
          <w:tcPr>
            <w:tcW w:w="752" w:type="pct"/>
            <w:tcBorders>
              <w:top w:val="single" w:sz="4" w:space="0" w:color="auto"/>
              <w:bottom w:val="single" w:sz="4" w:space="0" w:color="auto"/>
            </w:tcBorders>
            <w:shd w:val="clear" w:color="auto" w:fill="FFFFFF"/>
            <w:vAlign w:val="center"/>
          </w:tcPr>
          <w:p w14:paraId="27320703" w14:textId="525659DC" w:rsidR="001D73CD" w:rsidRPr="00ED177D" w:rsidRDefault="001D73CD" w:rsidP="001B5577">
            <w:pPr>
              <w:keepNext/>
              <w:overflowPunct w:val="0"/>
              <w:autoSpaceDE w:val="0"/>
              <w:autoSpaceDN w:val="0"/>
              <w:adjustRightInd w:val="0"/>
              <w:spacing w:line="360" w:lineRule="auto"/>
              <w:textAlignment w:val="baseline"/>
              <w:rPr>
                <w:rFonts w:ascii="Book Antiqua" w:eastAsia="Times New Roman" w:hAnsi="Book Antiqua"/>
                <w:b/>
                <w:bCs/>
                <w:color w:val="000000"/>
              </w:rPr>
            </w:pPr>
            <w:r w:rsidRPr="00ED177D">
              <w:rPr>
                <w:rFonts w:ascii="Book Antiqua" w:eastAsia="Times New Roman" w:hAnsi="Book Antiqua"/>
                <w:b/>
                <w:bCs/>
                <w:i/>
                <w:color w:val="000000"/>
              </w:rPr>
              <w:t>P</w:t>
            </w:r>
            <w:r w:rsidR="00F66780" w:rsidRPr="00ED177D">
              <w:rPr>
                <w:rFonts w:ascii="Book Antiqua" w:eastAsia="Times New Roman" w:hAnsi="Book Antiqua"/>
                <w:b/>
                <w:bCs/>
                <w:color w:val="000000"/>
              </w:rPr>
              <w:t xml:space="preserve"> </w:t>
            </w:r>
            <w:r w:rsidRPr="00ED177D">
              <w:rPr>
                <w:rFonts w:ascii="Book Antiqua" w:eastAsia="Times New Roman" w:hAnsi="Book Antiqua"/>
                <w:b/>
                <w:bCs/>
                <w:color w:val="000000"/>
              </w:rPr>
              <w:t>value</w:t>
            </w:r>
          </w:p>
        </w:tc>
      </w:tr>
      <w:tr w:rsidR="001D73CD" w:rsidRPr="00FA4C44" w14:paraId="01491BDF" w14:textId="77777777" w:rsidTr="001B5577">
        <w:trPr>
          <w:cantSplit/>
          <w:jc w:val="center"/>
        </w:trPr>
        <w:tc>
          <w:tcPr>
            <w:tcW w:w="5000" w:type="pct"/>
            <w:gridSpan w:val="4"/>
            <w:tcBorders>
              <w:top w:val="single" w:sz="4" w:space="0" w:color="auto"/>
            </w:tcBorders>
            <w:shd w:val="clear" w:color="auto" w:fill="FFFFFF"/>
          </w:tcPr>
          <w:p w14:paraId="56D69619" w14:textId="36288359" w:rsidR="001D73CD" w:rsidRPr="00E23BFA" w:rsidRDefault="00F66780" w:rsidP="00E23BFA">
            <w:pPr>
              <w:pStyle w:val="ListParagraph"/>
              <w:overflowPunct w:val="0"/>
              <w:autoSpaceDE w:val="0"/>
              <w:autoSpaceDN w:val="0"/>
              <w:adjustRightInd w:val="0"/>
              <w:spacing w:line="360" w:lineRule="auto"/>
              <w:ind w:leftChars="0" w:left="0"/>
              <w:jc w:val="both"/>
              <w:textAlignment w:val="baseline"/>
              <w:rPr>
                <w:rFonts w:ascii="Book Antiqua" w:eastAsia="Times New Roman" w:hAnsi="Book Antiqua"/>
                <w:b/>
                <w:bCs/>
                <w:color w:val="000000"/>
              </w:rPr>
            </w:pPr>
            <w:r w:rsidRPr="00E23BFA">
              <w:rPr>
                <w:rFonts w:ascii="Book Antiqua" w:eastAsia="PMingLiU" w:hAnsi="Book Antiqua"/>
                <w:b/>
              </w:rPr>
              <w:t xml:space="preserve">1 </w:t>
            </w:r>
            <w:r w:rsidR="001D73CD" w:rsidRPr="00E23BFA">
              <w:rPr>
                <w:rFonts w:ascii="Book Antiqua" w:eastAsia="PMingLiU" w:hAnsi="Book Antiqua"/>
                <w:b/>
              </w:rPr>
              <w:t>How easy or difficult was it to consume the study drug?</w:t>
            </w:r>
          </w:p>
        </w:tc>
      </w:tr>
      <w:tr w:rsidR="001D73CD" w:rsidRPr="00FA4C44" w14:paraId="2A45BA3D" w14:textId="77777777" w:rsidTr="001B5577">
        <w:trPr>
          <w:cantSplit/>
          <w:jc w:val="center"/>
        </w:trPr>
        <w:tc>
          <w:tcPr>
            <w:tcW w:w="1326" w:type="pct"/>
            <w:shd w:val="clear" w:color="auto" w:fill="FFFFFF"/>
          </w:tcPr>
          <w:p w14:paraId="6CBEE4DE" w14:textId="3E5E0904" w:rsidR="001D73CD" w:rsidRPr="00E23BFA" w:rsidRDefault="001D73CD" w:rsidP="00E23BFA">
            <w:pPr>
              <w:overflowPunct w:val="0"/>
              <w:autoSpaceDE w:val="0"/>
              <w:autoSpaceDN w:val="0"/>
              <w:adjustRightInd w:val="0"/>
              <w:spacing w:line="360" w:lineRule="auto"/>
              <w:ind w:leftChars="100" w:left="240" w:firstLine="227"/>
              <w:jc w:val="both"/>
              <w:textAlignment w:val="baseline"/>
              <w:rPr>
                <w:rFonts w:ascii="Book Antiqua" w:eastAsia="Times New Roman" w:hAnsi="Book Antiqua"/>
                <w:color w:val="000000"/>
              </w:rPr>
            </w:pPr>
            <w:r w:rsidRPr="00E23BFA">
              <w:rPr>
                <w:rFonts w:ascii="Book Antiqua" w:eastAsia="Times New Roman" w:hAnsi="Book Antiqua"/>
                <w:color w:val="000000"/>
              </w:rPr>
              <w:t xml:space="preserve">Very </w:t>
            </w:r>
            <w:r w:rsidR="00E23BFA" w:rsidRPr="00E23BFA">
              <w:rPr>
                <w:rFonts w:ascii="Book Antiqua" w:eastAsia="Times New Roman" w:hAnsi="Book Antiqua"/>
                <w:color w:val="000000"/>
              </w:rPr>
              <w:t>e</w:t>
            </w:r>
            <w:r w:rsidRPr="00E23BFA">
              <w:rPr>
                <w:rFonts w:ascii="Book Antiqua" w:eastAsia="Times New Roman" w:hAnsi="Book Antiqua"/>
                <w:color w:val="000000"/>
              </w:rPr>
              <w:t>asy</w:t>
            </w:r>
          </w:p>
        </w:tc>
        <w:tc>
          <w:tcPr>
            <w:tcW w:w="1329" w:type="pct"/>
            <w:shd w:val="clear" w:color="auto" w:fill="FFFFFF"/>
          </w:tcPr>
          <w:p w14:paraId="725F14F4" w14:textId="3C0C703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68 (32.7</w:t>
            </w:r>
            <w:r w:rsidR="001B5577">
              <w:rPr>
                <w:rFonts w:ascii="Book Antiqua" w:eastAsia="Courier" w:hAnsi="Book Antiqua"/>
                <w:color w:val="000000"/>
              </w:rPr>
              <w:t>)</w:t>
            </w:r>
          </w:p>
        </w:tc>
        <w:tc>
          <w:tcPr>
            <w:tcW w:w="1593" w:type="pct"/>
            <w:shd w:val="clear" w:color="auto" w:fill="FFFFFF"/>
          </w:tcPr>
          <w:p w14:paraId="44B3C735" w14:textId="78A22A39"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48 (23.0</w:t>
            </w:r>
            <w:r w:rsidR="001B5577">
              <w:rPr>
                <w:rFonts w:ascii="Book Antiqua" w:eastAsia="Courier" w:hAnsi="Book Antiqua"/>
                <w:color w:val="000000"/>
              </w:rPr>
              <w:t>)</w:t>
            </w:r>
          </w:p>
        </w:tc>
        <w:tc>
          <w:tcPr>
            <w:tcW w:w="752" w:type="pct"/>
            <w:shd w:val="clear" w:color="auto" w:fill="FFFFFF"/>
          </w:tcPr>
          <w:p w14:paraId="3FEE0BC1" w14:textId="459E854B"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0.1201</w:t>
            </w:r>
            <w:r w:rsidR="00ED177D">
              <w:rPr>
                <w:rFonts w:ascii="Book Antiqua" w:eastAsia="Courier" w:hAnsi="Book Antiqua"/>
                <w:bCs/>
                <w:color w:val="000000"/>
                <w:vertAlign w:val="superscript"/>
              </w:rPr>
              <w:t>1</w:t>
            </w:r>
          </w:p>
        </w:tc>
      </w:tr>
      <w:tr w:rsidR="001D73CD" w:rsidRPr="00FA4C44" w14:paraId="1D4F1B47" w14:textId="77777777" w:rsidTr="001B5577">
        <w:trPr>
          <w:cantSplit/>
          <w:jc w:val="center"/>
        </w:trPr>
        <w:tc>
          <w:tcPr>
            <w:tcW w:w="1326" w:type="pct"/>
            <w:shd w:val="clear" w:color="auto" w:fill="FFFFFF"/>
          </w:tcPr>
          <w:p w14:paraId="500688CE"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Easy</w:t>
            </w:r>
          </w:p>
        </w:tc>
        <w:tc>
          <w:tcPr>
            <w:tcW w:w="1329" w:type="pct"/>
            <w:shd w:val="clear" w:color="auto" w:fill="FFFFFF"/>
          </w:tcPr>
          <w:p w14:paraId="25BB2E17" w14:textId="6B3E338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96 (46.2</w:t>
            </w:r>
            <w:r w:rsidR="001B5577">
              <w:rPr>
                <w:rFonts w:ascii="Book Antiqua" w:eastAsia="Courier" w:hAnsi="Book Antiqua"/>
                <w:color w:val="000000"/>
              </w:rPr>
              <w:t>)</w:t>
            </w:r>
          </w:p>
        </w:tc>
        <w:tc>
          <w:tcPr>
            <w:tcW w:w="1593" w:type="pct"/>
            <w:shd w:val="clear" w:color="auto" w:fill="FFFFFF"/>
          </w:tcPr>
          <w:p w14:paraId="18E3E75F" w14:textId="117BEA0B"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110 (52.6</w:t>
            </w:r>
            <w:r w:rsidR="001B5577">
              <w:rPr>
                <w:rFonts w:ascii="Book Antiqua" w:eastAsia="Courier" w:hAnsi="Book Antiqua"/>
                <w:color w:val="000000"/>
              </w:rPr>
              <w:t>)</w:t>
            </w:r>
          </w:p>
        </w:tc>
        <w:tc>
          <w:tcPr>
            <w:tcW w:w="752" w:type="pct"/>
            <w:shd w:val="clear" w:color="auto" w:fill="FFFFFF"/>
          </w:tcPr>
          <w:p w14:paraId="7A2FF822"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4796820F" w14:textId="77777777" w:rsidTr="001B5577">
        <w:trPr>
          <w:cantSplit/>
          <w:jc w:val="center"/>
        </w:trPr>
        <w:tc>
          <w:tcPr>
            <w:tcW w:w="1326" w:type="pct"/>
            <w:shd w:val="clear" w:color="auto" w:fill="FFFFFF"/>
          </w:tcPr>
          <w:p w14:paraId="7ED62E0F"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Tolerable</w:t>
            </w:r>
          </w:p>
        </w:tc>
        <w:tc>
          <w:tcPr>
            <w:tcW w:w="1329" w:type="pct"/>
            <w:shd w:val="clear" w:color="auto" w:fill="FFFFFF"/>
          </w:tcPr>
          <w:p w14:paraId="79B1E949" w14:textId="5D3BDB41"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23 (11.1</w:t>
            </w:r>
            <w:r w:rsidR="001B5577">
              <w:rPr>
                <w:rFonts w:ascii="Book Antiqua" w:eastAsia="Courier" w:hAnsi="Book Antiqua"/>
                <w:color w:val="000000"/>
              </w:rPr>
              <w:t>)</w:t>
            </w:r>
          </w:p>
        </w:tc>
        <w:tc>
          <w:tcPr>
            <w:tcW w:w="1593" w:type="pct"/>
            <w:shd w:val="clear" w:color="auto" w:fill="FFFFFF"/>
          </w:tcPr>
          <w:p w14:paraId="394F8ED4" w14:textId="1B646886"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25 (12.0</w:t>
            </w:r>
            <w:r w:rsidR="001B5577">
              <w:rPr>
                <w:rFonts w:ascii="Book Antiqua" w:eastAsia="Courier" w:hAnsi="Book Antiqua"/>
                <w:color w:val="000000"/>
              </w:rPr>
              <w:t>)</w:t>
            </w:r>
          </w:p>
        </w:tc>
        <w:tc>
          <w:tcPr>
            <w:tcW w:w="752" w:type="pct"/>
            <w:shd w:val="clear" w:color="auto" w:fill="FFFFFF"/>
          </w:tcPr>
          <w:p w14:paraId="3C2737DA"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1BA107AF" w14:textId="77777777" w:rsidTr="001B5577">
        <w:trPr>
          <w:cantSplit/>
          <w:jc w:val="center"/>
        </w:trPr>
        <w:tc>
          <w:tcPr>
            <w:tcW w:w="1326" w:type="pct"/>
            <w:shd w:val="clear" w:color="auto" w:fill="FFFFFF"/>
          </w:tcPr>
          <w:p w14:paraId="74084772"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Difficult</w:t>
            </w:r>
          </w:p>
        </w:tc>
        <w:tc>
          <w:tcPr>
            <w:tcW w:w="1329" w:type="pct"/>
            <w:shd w:val="clear" w:color="auto" w:fill="FFFFFF"/>
          </w:tcPr>
          <w:p w14:paraId="7CA9E3FC" w14:textId="109665B2"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18 (8.7</w:t>
            </w:r>
            <w:r w:rsidR="001B5577">
              <w:rPr>
                <w:rFonts w:ascii="Book Antiqua" w:eastAsia="Courier" w:hAnsi="Book Antiqua"/>
                <w:color w:val="000000"/>
              </w:rPr>
              <w:t>)</w:t>
            </w:r>
          </w:p>
        </w:tc>
        <w:tc>
          <w:tcPr>
            <w:tcW w:w="1593" w:type="pct"/>
            <w:shd w:val="clear" w:color="auto" w:fill="FFFFFF"/>
          </w:tcPr>
          <w:p w14:paraId="1C9C3941" w14:textId="3A1865D2"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25 (12.0</w:t>
            </w:r>
            <w:r w:rsidR="001B5577">
              <w:rPr>
                <w:rFonts w:ascii="Book Antiqua" w:eastAsia="Courier" w:hAnsi="Book Antiqua"/>
                <w:color w:val="000000"/>
              </w:rPr>
              <w:t>)</w:t>
            </w:r>
          </w:p>
        </w:tc>
        <w:tc>
          <w:tcPr>
            <w:tcW w:w="752" w:type="pct"/>
            <w:shd w:val="clear" w:color="auto" w:fill="FFFFFF"/>
          </w:tcPr>
          <w:p w14:paraId="304D2C16"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26BD7CDA" w14:textId="77777777" w:rsidTr="001B5577">
        <w:trPr>
          <w:cantSplit/>
          <w:jc w:val="center"/>
        </w:trPr>
        <w:tc>
          <w:tcPr>
            <w:tcW w:w="1326" w:type="pct"/>
            <w:shd w:val="clear" w:color="auto" w:fill="FFFFFF"/>
          </w:tcPr>
          <w:p w14:paraId="0BB08730" w14:textId="265C1A28"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 xml:space="preserve">Very </w:t>
            </w:r>
            <w:r w:rsidR="00E23BFA" w:rsidRPr="00E23BFA">
              <w:rPr>
                <w:rFonts w:ascii="Book Antiqua" w:eastAsia="Times New Roman" w:hAnsi="Book Antiqua"/>
                <w:color w:val="000000"/>
              </w:rPr>
              <w:t>d</w:t>
            </w:r>
            <w:r w:rsidRPr="00E23BFA">
              <w:rPr>
                <w:rFonts w:ascii="Book Antiqua" w:eastAsia="Times New Roman" w:hAnsi="Book Antiqua"/>
                <w:color w:val="000000"/>
              </w:rPr>
              <w:t>ifficult</w:t>
            </w:r>
          </w:p>
        </w:tc>
        <w:tc>
          <w:tcPr>
            <w:tcW w:w="1329" w:type="pct"/>
            <w:shd w:val="clear" w:color="auto" w:fill="FFFFFF"/>
          </w:tcPr>
          <w:p w14:paraId="0E3F0246" w14:textId="07666DCE" w:rsidR="001D73CD" w:rsidRPr="00E23BFA" w:rsidRDefault="00BA502A" w:rsidP="00BA502A">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 xml:space="preserve">3 </w:t>
            </w:r>
            <w:r w:rsidR="001D73CD" w:rsidRPr="00E23BFA">
              <w:rPr>
                <w:rFonts w:ascii="Book Antiqua" w:eastAsia="Courier" w:hAnsi="Book Antiqua"/>
                <w:color w:val="000000"/>
              </w:rPr>
              <w:t>(1.4</w:t>
            </w:r>
            <w:r w:rsidR="001B5577">
              <w:rPr>
                <w:rFonts w:ascii="Book Antiqua" w:eastAsia="Courier" w:hAnsi="Book Antiqua"/>
                <w:color w:val="000000"/>
              </w:rPr>
              <w:t>)</w:t>
            </w:r>
          </w:p>
        </w:tc>
        <w:tc>
          <w:tcPr>
            <w:tcW w:w="1593" w:type="pct"/>
            <w:shd w:val="clear" w:color="auto" w:fill="FFFFFF"/>
          </w:tcPr>
          <w:p w14:paraId="2246F5FF" w14:textId="31D6B53D" w:rsidR="001D73CD" w:rsidRPr="00E23BFA" w:rsidRDefault="00BA502A" w:rsidP="00BA502A">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 xml:space="preserve">1 </w:t>
            </w:r>
            <w:r w:rsidR="001D73CD" w:rsidRPr="00E23BFA">
              <w:rPr>
                <w:rFonts w:ascii="Book Antiqua" w:eastAsia="Courier" w:hAnsi="Book Antiqua"/>
                <w:color w:val="000000"/>
              </w:rPr>
              <w:t>(0.5</w:t>
            </w:r>
            <w:r w:rsidR="001B5577">
              <w:rPr>
                <w:rFonts w:ascii="Book Antiqua" w:eastAsia="Courier" w:hAnsi="Book Antiqua"/>
                <w:color w:val="000000"/>
              </w:rPr>
              <w:t>)</w:t>
            </w:r>
          </w:p>
        </w:tc>
        <w:tc>
          <w:tcPr>
            <w:tcW w:w="752" w:type="pct"/>
            <w:shd w:val="clear" w:color="auto" w:fill="FFFFFF"/>
          </w:tcPr>
          <w:p w14:paraId="175804D1"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0AB9F0B8" w14:textId="77777777" w:rsidTr="001B5577">
        <w:trPr>
          <w:cantSplit/>
          <w:jc w:val="center"/>
        </w:trPr>
        <w:tc>
          <w:tcPr>
            <w:tcW w:w="5000" w:type="pct"/>
            <w:gridSpan w:val="4"/>
            <w:shd w:val="clear" w:color="auto" w:fill="FFFFFF"/>
          </w:tcPr>
          <w:p w14:paraId="4E6B7024" w14:textId="33DCBB76" w:rsidR="001D73CD" w:rsidRPr="00E23BFA" w:rsidRDefault="00F66780" w:rsidP="00E23BFA">
            <w:pPr>
              <w:pStyle w:val="ListParagraph"/>
              <w:overflowPunct w:val="0"/>
              <w:autoSpaceDE w:val="0"/>
              <w:autoSpaceDN w:val="0"/>
              <w:adjustRightInd w:val="0"/>
              <w:spacing w:line="360" w:lineRule="auto"/>
              <w:ind w:leftChars="0" w:left="0"/>
              <w:jc w:val="both"/>
              <w:textAlignment w:val="baseline"/>
              <w:rPr>
                <w:rFonts w:ascii="Book Antiqua" w:eastAsia="Times New Roman" w:hAnsi="Book Antiqua"/>
                <w:b/>
                <w:bCs/>
                <w:color w:val="000000"/>
              </w:rPr>
            </w:pPr>
            <w:r w:rsidRPr="00E23BFA">
              <w:rPr>
                <w:rFonts w:ascii="Book Antiqua" w:eastAsia="PMingLiU" w:hAnsi="Book Antiqua"/>
                <w:b/>
              </w:rPr>
              <w:t xml:space="preserve">2 </w:t>
            </w:r>
            <w:r w:rsidR="001D73CD" w:rsidRPr="00E23BFA">
              <w:rPr>
                <w:rFonts w:ascii="Book Antiqua" w:eastAsia="PMingLiU" w:hAnsi="Book Antiqua"/>
                <w:b/>
              </w:rPr>
              <w:t>Were you able to consume the study preparation as instructed?</w:t>
            </w:r>
          </w:p>
        </w:tc>
      </w:tr>
      <w:tr w:rsidR="001D73CD" w:rsidRPr="00FA4C44" w14:paraId="2F42FE52" w14:textId="77777777" w:rsidTr="001B5577">
        <w:trPr>
          <w:cantSplit/>
          <w:jc w:val="center"/>
        </w:trPr>
        <w:tc>
          <w:tcPr>
            <w:tcW w:w="1326" w:type="pct"/>
            <w:shd w:val="clear" w:color="auto" w:fill="FFFFFF"/>
          </w:tcPr>
          <w:p w14:paraId="1A547BF1"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Yes</w:t>
            </w:r>
          </w:p>
        </w:tc>
        <w:tc>
          <w:tcPr>
            <w:tcW w:w="1329" w:type="pct"/>
            <w:shd w:val="clear" w:color="auto" w:fill="FFFFFF"/>
          </w:tcPr>
          <w:p w14:paraId="36238FC3" w14:textId="6175686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208 (100</w:t>
            </w:r>
            <w:r w:rsidR="001B5577">
              <w:rPr>
                <w:rFonts w:ascii="Book Antiqua" w:eastAsia="Courier" w:hAnsi="Book Antiqua"/>
                <w:color w:val="000000"/>
              </w:rPr>
              <w:t>)</w:t>
            </w:r>
          </w:p>
        </w:tc>
        <w:tc>
          <w:tcPr>
            <w:tcW w:w="1593" w:type="pct"/>
            <w:shd w:val="clear" w:color="auto" w:fill="FFFFFF"/>
          </w:tcPr>
          <w:p w14:paraId="0D4F030F" w14:textId="71EAA57E"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207 (99.0</w:t>
            </w:r>
            <w:r w:rsidR="001B5577">
              <w:rPr>
                <w:rFonts w:ascii="Book Antiqua" w:eastAsia="Courier" w:hAnsi="Book Antiqua"/>
                <w:color w:val="000000"/>
              </w:rPr>
              <w:t>)</w:t>
            </w:r>
          </w:p>
        </w:tc>
        <w:tc>
          <w:tcPr>
            <w:tcW w:w="752" w:type="pct"/>
            <w:shd w:val="clear" w:color="auto" w:fill="FFFFFF"/>
          </w:tcPr>
          <w:p w14:paraId="2B351A69" w14:textId="75434A3E"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0.4988</w:t>
            </w:r>
            <w:r w:rsidR="00ED177D">
              <w:rPr>
                <w:rFonts w:ascii="Book Antiqua" w:eastAsia="Courier" w:hAnsi="Book Antiqua"/>
                <w:bCs/>
                <w:color w:val="000000"/>
                <w:vertAlign w:val="superscript"/>
              </w:rPr>
              <w:t>2</w:t>
            </w:r>
          </w:p>
        </w:tc>
      </w:tr>
      <w:tr w:rsidR="001D73CD" w:rsidRPr="00FA4C44" w14:paraId="4607B25F" w14:textId="77777777" w:rsidTr="001B5577">
        <w:trPr>
          <w:cantSplit/>
          <w:jc w:val="center"/>
        </w:trPr>
        <w:tc>
          <w:tcPr>
            <w:tcW w:w="1326" w:type="pct"/>
            <w:shd w:val="clear" w:color="auto" w:fill="FFFFFF"/>
          </w:tcPr>
          <w:p w14:paraId="382350E7"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No</w:t>
            </w:r>
          </w:p>
        </w:tc>
        <w:tc>
          <w:tcPr>
            <w:tcW w:w="1329" w:type="pct"/>
            <w:shd w:val="clear" w:color="auto" w:fill="FFFFFF"/>
          </w:tcPr>
          <w:p w14:paraId="3DE381D7"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0</w:t>
            </w:r>
          </w:p>
        </w:tc>
        <w:tc>
          <w:tcPr>
            <w:tcW w:w="1593" w:type="pct"/>
            <w:shd w:val="clear" w:color="auto" w:fill="FFFFFF"/>
          </w:tcPr>
          <w:p w14:paraId="5BF8D95D" w14:textId="757F3D80" w:rsidR="001D73CD" w:rsidRPr="00E23BFA" w:rsidRDefault="00BA502A" w:rsidP="00BA502A">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 xml:space="preserve">2 </w:t>
            </w:r>
            <w:r w:rsidR="001D73CD" w:rsidRPr="00E23BFA">
              <w:rPr>
                <w:rFonts w:ascii="Book Antiqua" w:eastAsia="Courier" w:hAnsi="Book Antiqua"/>
                <w:color w:val="000000"/>
              </w:rPr>
              <w:t>(1.0</w:t>
            </w:r>
            <w:r w:rsidR="001B5577">
              <w:rPr>
                <w:rFonts w:ascii="Book Antiqua" w:eastAsia="Courier" w:hAnsi="Book Antiqua"/>
                <w:color w:val="000000"/>
              </w:rPr>
              <w:t>)</w:t>
            </w:r>
          </w:p>
        </w:tc>
        <w:tc>
          <w:tcPr>
            <w:tcW w:w="752" w:type="pct"/>
            <w:shd w:val="clear" w:color="auto" w:fill="FFFFFF"/>
          </w:tcPr>
          <w:p w14:paraId="74B7B0D4"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710355DE" w14:textId="77777777" w:rsidTr="001B5577">
        <w:trPr>
          <w:cantSplit/>
          <w:jc w:val="center"/>
        </w:trPr>
        <w:tc>
          <w:tcPr>
            <w:tcW w:w="5000" w:type="pct"/>
            <w:gridSpan w:val="4"/>
            <w:shd w:val="clear" w:color="auto" w:fill="FFFFFF"/>
          </w:tcPr>
          <w:p w14:paraId="3052BC02" w14:textId="7B6059E1" w:rsidR="001D73CD" w:rsidRPr="00E23BFA" w:rsidRDefault="00F66780" w:rsidP="00E23BFA">
            <w:pPr>
              <w:pStyle w:val="ListParagraph"/>
              <w:overflowPunct w:val="0"/>
              <w:autoSpaceDE w:val="0"/>
              <w:autoSpaceDN w:val="0"/>
              <w:adjustRightInd w:val="0"/>
              <w:spacing w:line="360" w:lineRule="auto"/>
              <w:ind w:leftChars="0" w:left="0"/>
              <w:jc w:val="both"/>
              <w:textAlignment w:val="baseline"/>
              <w:rPr>
                <w:rFonts w:ascii="Book Antiqua" w:eastAsia="Times New Roman" w:hAnsi="Book Antiqua"/>
                <w:b/>
                <w:bCs/>
                <w:color w:val="000000"/>
              </w:rPr>
            </w:pPr>
            <w:r w:rsidRPr="00E23BFA">
              <w:rPr>
                <w:rFonts w:ascii="Book Antiqua" w:eastAsia="PMingLiU" w:hAnsi="Book Antiqua"/>
                <w:b/>
              </w:rPr>
              <w:t xml:space="preserve">3 </w:t>
            </w:r>
            <w:r w:rsidR="001D73CD" w:rsidRPr="00E23BFA">
              <w:rPr>
                <w:rFonts w:ascii="Book Antiqua" w:eastAsia="PMingLiU" w:hAnsi="Book Antiqua"/>
                <w:b/>
              </w:rPr>
              <w:t>Please describe your overall experience with the study preparation.</w:t>
            </w:r>
          </w:p>
        </w:tc>
      </w:tr>
      <w:tr w:rsidR="001D73CD" w:rsidRPr="00FA4C44" w14:paraId="67917805" w14:textId="77777777" w:rsidTr="001B5577">
        <w:trPr>
          <w:cantSplit/>
          <w:jc w:val="center"/>
        </w:trPr>
        <w:tc>
          <w:tcPr>
            <w:tcW w:w="1326" w:type="pct"/>
            <w:shd w:val="clear" w:color="auto" w:fill="FFFFFF"/>
          </w:tcPr>
          <w:p w14:paraId="280207E2"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Excellent</w:t>
            </w:r>
          </w:p>
        </w:tc>
        <w:tc>
          <w:tcPr>
            <w:tcW w:w="1329" w:type="pct"/>
            <w:shd w:val="clear" w:color="auto" w:fill="FFFFFF"/>
          </w:tcPr>
          <w:p w14:paraId="70F521AB" w14:textId="6FA81134"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50 (24.0</w:t>
            </w:r>
            <w:r w:rsidR="001B5577">
              <w:rPr>
                <w:rFonts w:ascii="Book Antiqua" w:eastAsia="Courier" w:hAnsi="Book Antiqua"/>
                <w:color w:val="000000"/>
              </w:rPr>
              <w:t>)</w:t>
            </w:r>
          </w:p>
        </w:tc>
        <w:tc>
          <w:tcPr>
            <w:tcW w:w="1593" w:type="pct"/>
            <w:shd w:val="clear" w:color="auto" w:fill="FFFFFF"/>
          </w:tcPr>
          <w:p w14:paraId="0719A2A6" w14:textId="7348C4CF"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36 (17.2</w:t>
            </w:r>
            <w:r w:rsidR="001B5577">
              <w:rPr>
                <w:rFonts w:ascii="Book Antiqua" w:eastAsia="Courier" w:hAnsi="Book Antiqua"/>
                <w:color w:val="000000"/>
              </w:rPr>
              <w:t>)</w:t>
            </w:r>
          </w:p>
        </w:tc>
        <w:tc>
          <w:tcPr>
            <w:tcW w:w="752" w:type="pct"/>
            <w:shd w:val="clear" w:color="auto" w:fill="FFFFFF"/>
          </w:tcPr>
          <w:p w14:paraId="7D8161CA" w14:textId="37F69ED5"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0.0016</w:t>
            </w:r>
            <w:r w:rsidR="00ED177D">
              <w:rPr>
                <w:rFonts w:ascii="Book Antiqua" w:eastAsia="Courier" w:hAnsi="Book Antiqua"/>
                <w:bCs/>
                <w:color w:val="000000"/>
                <w:vertAlign w:val="superscript"/>
              </w:rPr>
              <w:t>1</w:t>
            </w:r>
          </w:p>
        </w:tc>
      </w:tr>
      <w:tr w:rsidR="001D73CD" w:rsidRPr="00FA4C44" w14:paraId="1FDAD6CE" w14:textId="77777777" w:rsidTr="001B5577">
        <w:trPr>
          <w:cantSplit/>
          <w:jc w:val="center"/>
        </w:trPr>
        <w:tc>
          <w:tcPr>
            <w:tcW w:w="1326" w:type="pct"/>
            <w:shd w:val="clear" w:color="auto" w:fill="FFFFFF"/>
          </w:tcPr>
          <w:p w14:paraId="52B6388C"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Good</w:t>
            </w:r>
          </w:p>
        </w:tc>
        <w:tc>
          <w:tcPr>
            <w:tcW w:w="1329" w:type="pct"/>
            <w:shd w:val="clear" w:color="auto" w:fill="FFFFFF"/>
          </w:tcPr>
          <w:p w14:paraId="33A43FCE" w14:textId="7AA2A244"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112 (53.8</w:t>
            </w:r>
            <w:r w:rsidR="001B5577">
              <w:rPr>
                <w:rFonts w:ascii="Book Antiqua" w:eastAsia="Courier" w:hAnsi="Book Antiqua"/>
                <w:color w:val="000000"/>
              </w:rPr>
              <w:t>)</w:t>
            </w:r>
          </w:p>
        </w:tc>
        <w:tc>
          <w:tcPr>
            <w:tcW w:w="1593" w:type="pct"/>
            <w:shd w:val="clear" w:color="auto" w:fill="FFFFFF"/>
          </w:tcPr>
          <w:p w14:paraId="3F309FB9" w14:textId="193E83B0"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109 (52.2</w:t>
            </w:r>
            <w:r w:rsidR="001B5577">
              <w:rPr>
                <w:rFonts w:ascii="Book Antiqua" w:eastAsia="Courier" w:hAnsi="Book Antiqua"/>
                <w:color w:val="000000"/>
              </w:rPr>
              <w:t>)</w:t>
            </w:r>
          </w:p>
        </w:tc>
        <w:tc>
          <w:tcPr>
            <w:tcW w:w="752" w:type="pct"/>
            <w:shd w:val="clear" w:color="auto" w:fill="FFFFFF"/>
          </w:tcPr>
          <w:p w14:paraId="476C4689"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69C5CF71" w14:textId="77777777" w:rsidTr="001B5577">
        <w:trPr>
          <w:cantSplit/>
          <w:jc w:val="center"/>
        </w:trPr>
        <w:tc>
          <w:tcPr>
            <w:tcW w:w="1326" w:type="pct"/>
            <w:shd w:val="clear" w:color="auto" w:fill="FFFFFF"/>
          </w:tcPr>
          <w:p w14:paraId="296F58EE"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Fair</w:t>
            </w:r>
          </w:p>
        </w:tc>
        <w:tc>
          <w:tcPr>
            <w:tcW w:w="1329" w:type="pct"/>
            <w:shd w:val="clear" w:color="auto" w:fill="FFFFFF"/>
          </w:tcPr>
          <w:p w14:paraId="2FB36FDD" w14:textId="7E19F194"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21 (10.1</w:t>
            </w:r>
            <w:r w:rsidR="001B5577">
              <w:rPr>
                <w:rFonts w:ascii="Book Antiqua" w:eastAsia="Courier" w:hAnsi="Book Antiqua"/>
                <w:color w:val="000000"/>
              </w:rPr>
              <w:t>)</w:t>
            </w:r>
          </w:p>
        </w:tc>
        <w:tc>
          <w:tcPr>
            <w:tcW w:w="1593" w:type="pct"/>
            <w:shd w:val="clear" w:color="auto" w:fill="FFFFFF"/>
          </w:tcPr>
          <w:p w14:paraId="11D73D1E" w14:textId="2594090E"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12 (5.7</w:t>
            </w:r>
            <w:r w:rsidR="001B5577">
              <w:rPr>
                <w:rFonts w:ascii="Book Antiqua" w:eastAsia="Courier" w:hAnsi="Book Antiqua"/>
                <w:color w:val="000000"/>
              </w:rPr>
              <w:t>)</w:t>
            </w:r>
          </w:p>
        </w:tc>
        <w:tc>
          <w:tcPr>
            <w:tcW w:w="752" w:type="pct"/>
            <w:shd w:val="clear" w:color="auto" w:fill="FFFFFF"/>
          </w:tcPr>
          <w:p w14:paraId="0950547C"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1C57C649" w14:textId="77777777" w:rsidTr="001B5577">
        <w:trPr>
          <w:cantSplit/>
          <w:jc w:val="center"/>
        </w:trPr>
        <w:tc>
          <w:tcPr>
            <w:tcW w:w="1326" w:type="pct"/>
            <w:shd w:val="clear" w:color="auto" w:fill="FFFFFF"/>
          </w:tcPr>
          <w:p w14:paraId="64B41D4E"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Poor</w:t>
            </w:r>
          </w:p>
        </w:tc>
        <w:tc>
          <w:tcPr>
            <w:tcW w:w="1329" w:type="pct"/>
            <w:shd w:val="clear" w:color="auto" w:fill="FFFFFF"/>
          </w:tcPr>
          <w:p w14:paraId="6CD531D1" w14:textId="286D87A9"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24 (11.5</w:t>
            </w:r>
            <w:r w:rsidR="001B5577">
              <w:rPr>
                <w:rFonts w:ascii="Book Antiqua" w:eastAsia="Courier" w:hAnsi="Book Antiqua"/>
                <w:color w:val="000000"/>
              </w:rPr>
              <w:t>)</w:t>
            </w:r>
          </w:p>
        </w:tc>
        <w:tc>
          <w:tcPr>
            <w:tcW w:w="1593" w:type="pct"/>
            <w:shd w:val="clear" w:color="auto" w:fill="FFFFFF"/>
          </w:tcPr>
          <w:p w14:paraId="49E52220" w14:textId="764F0756"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43 (20.6</w:t>
            </w:r>
            <w:r w:rsidR="001B5577">
              <w:rPr>
                <w:rFonts w:ascii="Book Antiqua" w:eastAsia="Courier" w:hAnsi="Book Antiqua"/>
                <w:color w:val="000000"/>
              </w:rPr>
              <w:t>)</w:t>
            </w:r>
          </w:p>
        </w:tc>
        <w:tc>
          <w:tcPr>
            <w:tcW w:w="752" w:type="pct"/>
            <w:shd w:val="clear" w:color="auto" w:fill="FFFFFF"/>
          </w:tcPr>
          <w:p w14:paraId="765B018F"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172D31B7" w14:textId="77777777" w:rsidTr="001B5577">
        <w:trPr>
          <w:cantSplit/>
          <w:jc w:val="center"/>
        </w:trPr>
        <w:tc>
          <w:tcPr>
            <w:tcW w:w="1326" w:type="pct"/>
            <w:shd w:val="clear" w:color="auto" w:fill="FFFFFF"/>
          </w:tcPr>
          <w:p w14:paraId="6E5E9165"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Bad</w:t>
            </w:r>
          </w:p>
        </w:tc>
        <w:tc>
          <w:tcPr>
            <w:tcW w:w="1329" w:type="pct"/>
            <w:shd w:val="clear" w:color="auto" w:fill="FFFFFF"/>
          </w:tcPr>
          <w:p w14:paraId="3CFCB658" w14:textId="3FBF8520" w:rsidR="001D73CD" w:rsidRPr="00E23BFA" w:rsidRDefault="00861652" w:rsidP="00861652">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 xml:space="preserve">1 </w:t>
            </w:r>
            <w:r w:rsidR="001D73CD" w:rsidRPr="00E23BFA">
              <w:rPr>
                <w:rFonts w:ascii="Book Antiqua" w:eastAsia="Courier" w:hAnsi="Book Antiqua"/>
                <w:color w:val="000000"/>
              </w:rPr>
              <w:t>(0.5</w:t>
            </w:r>
            <w:r w:rsidR="001B5577">
              <w:rPr>
                <w:rFonts w:ascii="Book Antiqua" w:eastAsia="Courier" w:hAnsi="Book Antiqua"/>
                <w:color w:val="000000"/>
              </w:rPr>
              <w:t>)</w:t>
            </w:r>
          </w:p>
        </w:tc>
        <w:tc>
          <w:tcPr>
            <w:tcW w:w="1593" w:type="pct"/>
            <w:shd w:val="clear" w:color="auto" w:fill="FFFFFF"/>
          </w:tcPr>
          <w:p w14:paraId="45EC221D" w14:textId="3C092B3D" w:rsidR="001D73CD" w:rsidRPr="00E23BFA" w:rsidRDefault="00861652" w:rsidP="00861652">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 xml:space="preserve">9 </w:t>
            </w:r>
            <w:r w:rsidR="001D73CD" w:rsidRPr="00E23BFA">
              <w:rPr>
                <w:rFonts w:ascii="Book Antiqua" w:eastAsia="Courier" w:hAnsi="Book Antiqua"/>
                <w:color w:val="000000"/>
              </w:rPr>
              <w:t>(4.3</w:t>
            </w:r>
            <w:r w:rsidR="001B5577">
              <w:rPr>
                <w:rFonts w:ascii="Book Antiqua" w:eastAsia="Courier" w:hAnsi="Book Antiqua"/>
                <w:color w:val="000000"/>
              </w:rPr>
              <w:t>)</w:t>
            </w:r>
          </w:p>
        </w:tc>
        <w:tc>
          <w:tcPr>
            <w:tcW w:w="752" w:type="pct"/>
            <w:shd w:val="clear" w:color="auto" w:fill="FFFFFF"/>
          </w:tcPr>
          <w:p w14:paraId="0EE58BB4"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0BC527A7" w14:textId="77777777" w:rsidTr="001B5577">
        <w:trPr>
          <w:cantSplit/>
          <w:jc w:val="center"/>
        </w:trPr>
        <w:tc>
          <w:tcPr>
            <w:tcW w:w="5000" w:type="pct"/>
            <w:gridSpan w:val="4"/>
            <w:shd w:val="clear" w:color="auto" w:fill="FFFFFF"/>
          </w:tcPr>
          <w:p w14:paraId="3BD8EB3C" w14:textId="0AB01161" w:rsidR="001D73CD" w:rsidRPr="00E23BFA" w:rsidRDefault="00F66780" w:rsidP="00E23BFA">
            <w:pPr>
              <w:pStyle w:val="ListParagraph"/>
              <w:overflowPunct w:val="0"/>
              <w:autoSpaceDE w:val="0"/>
              <w:autoSpaceDN w:val="0"/>
              <w:adjustRightInd w:val="0"/>
              <w:spacing w:line="360" w:lineRule="auto"/>
              <w:ind w:leftChars="0" w:left="0"/>
              <w:jc w:val="both"/>
              <w:textAlignment w:val="baseline"/>
              <w:rPr>
                <w:rFonts w:ascii="Book Antiqua" w:eastAsia="Times New Roman" w:hAnsi="Book Antiqua"/>
                <w:b/>
                <w:bCs/>
                <w:color w:val="000000"/>
              </w:rPr>
            </w:pPr>
            <w:r w:rsidRPr="00E23BFA">
              <w:rPr>
                <w:rFonts w:ascii="Book Antiqua" w:eastAsia="PMingLiU" w:hAnsi="Book Antiqua"/>
                <w:b/>
              </w:rPr>
              <w:t xml:space="preserve">4 </w:t>
            </w:r>
            <w:r w:rsidR="001D73CD" w:rsidRPr="00E23BFA">
              <w:rPr>
                <w:rFonts w:ascii="Book Antiqua" w:eastAsia="PMingLiU" w:hAnsi="Book Antiqua"/>
                <w:b/>
              </w:rPr>
              <w:t>The taste of this study preparation was</w:t>
            </w:r>
          </w:p>
        </w:tc>
      </w:tr>
      <w:tr w:rsidR="001D73CD" w:rsidRPr="00FA4C44" w14:paraId="0CF4F89F" w14:textId="77777777" w:rsidTr="001B5577">
        <w:trPr>
          <w:cantSplit/>
          <w:jc w:val="center"/>
        </w:trPr>
        <w:tc>
          <w:tcPr>
            <w:tcW w:w="1326" w:type="pct"/>
            <w:shd w:val="clear" w:color="auto" w:fill="FFFFFF"/>
          </w:tcPr>
          <w:p w14:paraId="258EF6C1"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Excellent</w:t>
            </w:r>
          </w:p>
        </w:tc>
        <w:tc>
          <w:tcPr>
            <w:tcW w:w="1329" w:type="pct"/>
            <w:shd w:val="clear" w:color="auto" w:fill="FFFFFF"/>
          </w:tcPr>
          <w:p w14:paraId="789D0FB8" w14:textId="3422A9FD"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48 (23.1</w:t>
            </w:r>
            <w:r w:rsidR="001B5577">
              <w:rPr>
                <w:rFonts w:ascii="Book Antiqua" w:eastAsia="Courier" w:hAnsi="Book Antiqua"/>
                <w:color w:val="000000"/>
              </w:rPr>
              <w:t>)</w:t>
            </w:r>
          </w:p>
        </w:tc>
        <w:tc>
          <w:tcPr>
            <w:tcW w:w="1593" w:type="pct"/>
            <w:shd w:val="clear" w:color="auto" w:fill="FFFFFF"/>
          </w:tcPr>
          <w:p w14:paraId="3C70FC3B" w14:textId="2348B6C2"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28 (13.4</w:t>
            </w:r>
            <w:r w:rsidR="001B5577">
              <w:rPr>
                <w:rFonts w:ascii="Book Antiqua" w:eastAsia="Courier" w:hAnsi="Book Antiqua"/>
                <w:color w:val="000000"/>
              </w:rPr>
              <w:t>)</w:t>
            </w:r>
          </w:p>
        </w:tc>
        <w:tc>
          <w:tcPr>
            <w:tcW w:w="752" w:type="pct"/>
            <w:shd w:val="clear" w:color="auto" w:fill="FFFFFF"/>
          </w:tcPr>
          <w:p w14:paraId="55893CF9" w14:textId="05AAEBD6"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&lt;</w:t>
            </w:r>
            <w:r w:rsidR="00E23BFA">
              <w:rPr>
                <w:rFonts w:ascii="Book Antiqua" w:eastAsia="Courier" w:hAnsi="Book Antiqua"/>
                <w:color w:val="000000"/>
              </w:rPr>
              <w:t xml:space="preserve"> </w:t>
            </w:r>
            <w:r w:rsidRPr="00E23BFA">
              <w:rPr>
                <w:rFonts w:ascii="Book Antiqua" w:eastAsia="Courier" w:hAnsi="Book Antiqua"/>
                <w:color w:val="000000"/>
              </w:rPr>
              <w:t>0.0001</w:t>
            </w:r>
            <w:r w:rsidR="00ED177D">
              <w:rPr>
                <w:rFonts w:ascii="Book Antiqua" w:eastAsia="Courier" w:hAnsi="Book Antiqua"/>
                <w:bCs/>
                <w:color w:val="000000"/>
                <w:vertAlign w:val="superscript"/>
              </w:rPr>
              <w:t>1</w:t>
            </w:r>
          </w:p>
        </w:tc>
      </w:tr>
      <w:tr w:rsidR="001D73CD" w:rsidRPr="00FA4C44" w14:paraId="3910C369" w14:textId="77777777" w:rsidTr="001B5577">
        <w:trPr>
          <w:cantSplit/>
          <w:jc w:val="center"/>
        </w:trPr>
        <w:tc>
          <w:tcPr>
            <w:tcW w:w="1326" w:type="pct"/>
            <w:shd w:val="clear" w:color="auto" w:fill="FFFFFF"/>
          </w:tcPr>
          <w:p w14:paraId="2CF2AF46"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Good</w:t>
            </w:r>
          </w:p>
        </w:tc>
        <w:tc>
          <w:tcPr>
            <w:tcW w:w="1329" w:type="pct"/>
            <w:shd w:val="clear" w:color="auto" w:fill="FFFFFF"/>
          </w:tcPr>
          <w:p w14:paraId="753ADD27" w14:textId="5D9D04EF"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82 (39.4</w:t>
            </w:r>
            <w:r w:rsidR="001B5577">
              <w:rPr>
                <w:rFonts w:ascii="Book Antiqua" w:eastAsia="Courier" w:hAnsi="Book Antiqua"/>
                <w:color w:val="000000"/>
              </w:rPr>
              <w:t>)</w:t>
            </w:r>
          </w:p>
        </w:tc>
        <w:tc>
          <w:tcPr>
            <w:tcW w:w="1593" w:type="pct"/>
            <w:shd w:val="clear" w:color="auto" w:fill="FFFFFF"/>
          </w:tcPr>
          <w:p w14:paraId="6E43215E" w14:textId="2012317D"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82 (39.2</w:t>
            </w:r>
            <w:r w:rsidR="001B5577">
              <w:rPr>
                <w:rFonts w:ascii="Book Antiqua" w:eastAsia="Courier" w:hAnsi="Book Antiqua"/>
                <w:color w:val="000000"/>
              </w:rPr>
              <w:t>)</w:t>
            </w:r>
          </w:p>
        </w:tc>
        <w:tc>
          <w:tcPr>
            <w:tcW w:w="752" w:type="pct"/>
            <w:shd w:val="clear" w:color="auto" w:fill="FFFFFF"/>
          </w:tcPr>
          <w:p w14:paraId="20640B43"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46B93E42" w14:textId="77777777" w:rsidTr="001B5577">
        <w:trPr>
          <w:cantSplit/>
          <w:jc w:val="center"/>
        </w:trPr>
        <w:tc>
          <w:tcPr>
            <w:tcW w:w="1326" w:type="pct"/>
            <w:shd w:val="clear" w:color="auto" w:fill="FFFFFF"/>
          </w:tcPr>
          <w:p w14:paraId="53256437"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Fair</w:t>
            </w:r>
          </w:p>
        </w:tc>
        <w:tc>
          <w:tcPr>
            <w:tcW w:w="1329" w:type="pct"/>
            <w:shd w:val="clear" w:color="auto" w:fill="FFFFFF"/>
          </w:tcPr>
          <w:p w14:paraId="5C828059" w14:textId="4E03E6E0"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41 (19.7</w:t>
            </w:r>
            <w:r w:rsidR="001B5577">
              <w:rPr>
                <w:rFonts w:ascii="Book Antiqua" w:eastAsia="Courier" w:hAnsi="Book Antiqua"/>
                <w:color w:val="000000"/>
              </w:rPr>
              <w:t>)</w:t>
            </w:r>
          </w:p>
        </w:tc>
        <w:tc>
          <w:tcPr>
            <w:tcW w:w="1593" w:type="pct"/>
            <w:shd w:val="clear" w:color="auto" w:fill="FFFFFF"/>
          </w:tcPr>
          <w:p w14:paraId="1582C587" w14:textId="19D70E7C"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17 (8.1</w:t>
            </w:r>
            <w:r w:rsidR="001B5577">
              <w:rPr>
                <w:rFonts w:ascii="Book Antiqua" w:eastAsia="Courier" w:hAnsi="Book Antiqua"/>
                <w:color w:val="000000"/>
              </w:rPr>
              <w:t>)</w:t>
            </w:r>
          </w:p>
        </w:tc>
        <w:tc>
          <w:tcPr>
            <w:tcW w:w="752" w:type="pct"/>
            <w:shd w:val="clear" w:color="auto" w:fill="FFFFFF"/>
          </w:tcPr>
          <w:p w14:paraId="54E094CC"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2479B81A" w14:textId="77777777" w:rsidTr="001B5577">
        <w:trPr>
          <w:cantSplit/>
          <w:jc w:val="center"/>
        </w:trPr>
        <w:tc>
          <w:tcPr>
            <w:tcW w:w="1326" w:type="pct"/>
            <w:shd w:val="clear" w:color="auto" w:fill="FFFFFF"/>
          </w:tcPr>
          <w:p w14:paraId="4B96563F"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lastRenderedPageBreak/>
              <w:t>Poor</w:t>
            </w:r>
          </w:p>
        </w:tc>
        <w:tc>
          <w:tcPr>
            <w:tcW w:w="1329" w:type="pct"/>
            <w:shd w:val="clear" w:color="auto" w:fill="FFFFFF"/>
          </w:tcPr>
          <w:p w14:paraId="61779AC8" w14:textId="1C3E4244"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35 (16.8</w:t>
            </w:r>
            <w:r w:rsidR="001B5577">
              <w:rPr>
                <w:rFonts w:ascii="Book Antiqua" w:eastAsia="Courier" w:hAnsi="Book Antiqua"/>
                <w:color w:val="000000"/>
              </w:rPr>
              <w:t>)</w:t>
            </w:r>
          </w:p>
        </w:tc>
        <w:tc>
          <w:tcPr>
            <w:tcW w:w="1593" w:type="pct"/>
            <w:shd w:val="clear" w:color="auto" w:fill="FFFFFF"/>
          </w:tcPr>
          <w:p w14:paraId="4479DA13" w14:textId="3D593409"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65 (31.1</w:t>
            </w:r>
            <w:r w:rsidR="001B5577">
              <w:rPr>
                <w:rFonts w:ascii="Book Antiqua" w:eastAsia="Courier" w:hAnsi="Book Antiqua"/>
                <w:color w:val="000000"/>
              </w:rPr>
              <w:t>)</w:t>
            </w:r>
          </w:p>
        </w:tc>
        <w:tc>
          <w:tcPr>
            <w:tcW w:w="752" w:type="pct"/>
            <w:shd w:val="clear" w:color="auto" w:fill="FFFFFF"/>
          </w:tcPr>
          <w:p w14:paraId="11AFE891"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01F970B9" w14:textId="77777777" w:rsidTr="001B5577">
        <w:trPr>
          <w:cantSplit/>
          <w:jc w:val="center"/>
        </w:trPr>
        <w:tc>
          <w:tcPr>
            <w:tcW w:w="1326" w:type="pct"/>
            <w:shd w:val="clear" w:color="auto" w:fill="FFFFFF"/>
          </w:tcPr>
          <w:p w14:paraId="6C98847A"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Bad</w:t>
            </w:r>
          </w:p>
        </w:tc>
        <w:tc>
          <w:tcPr>
            <w:tcW w:w="1329" w:type="pct"/>
            <w:shd w:val="clear" w:color="auto" w:fill="FFFFFF"/>
          </w:tcPr>
          <w:p w14:paraId="321F1DA7" w14:textId="5A3141C3" w:rsidR="001D73CD" w:rsidRPr="00E23BFA" w:rsidRDefault="00356EDD" w:rsidP="00356EDD">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 xml:space="preserve">2 </w:t>
            </w:r>
            <w:r w:rsidR="001D73CD" w:rsidRPr="00E23BFA">
              <w:rPr>
                <w:rFonts w:ascii="Book Antiqua" w:eastAsia="Courier" w:hAnsi="Book Antiqua"/>
                <w:color w:val="000000"/>
              </w:rPr>
              <w:t>(1.0</w:t>
            </w:r>
            <w:r w:rsidR="001B5577">
              <w:rPr>
                <w:rFonts w:ascii="Book Antiqua" w:eastAsia="Courier" w:hAnsi="Book Antiqua"/>
                <w:color w:val="000000"/>
              </w:rPr>
              <w:t>)</w:t>
            </w:r>
          </w:p>
        </w:tc>
        <w:tc>
          <w:tcPr>
            <w:tcW w:w="1593" w:type="pct"/>
            <w:shd w:val="clear" w:color="auto" w:fill="FFFFFF"/>
          </w:tcPr>
          <w:p w14:paraId="6EC167B5" w14:textId="64B8F866" w:rsidR="001D73CD" w:rsidRPr="00E23BFA" w:rsidRDefault="00F0510F" w:rsidP="00F0510F">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17 (</w:t>
            </w:r>
            <w:r w:rsidR="001D73CD" w:rsidRPr="00E23BFA">
              <w:rPr>
                <w:rFonts w:ascii="Book Antiqua" w:eastAsia="Courier" w:hAnsi="Book Antiqua"/>
                <w:color w:val="000000"/>
              </w:rPr>
              <w:t>8.1</w:t>
            </w:r>
            <w:r w:rsidR="001B5577">
              <w:rPr>
                <w:rFonts w:ascii="Book Antiqua" w:eastAsia="Courier" w:hAnsi="Book Antiqua"/>
                <w:color w:val="000000"/>
              </w:rPr>
              <w:t>)</w:t>
            </w:r>
          </w:p>
        </w:tc>
        <w:tc>
          <w:tcPr>
            <w:tcW w:w="752" w:type="pct"/>
            <w:shd w:val="clear" w:color="auto" w:fill="FFFFFF"/>
          </w:tcPr>
          <w:p w14:paraId="0CB47501"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3C6762C2" w14:textId="77777777" w:rsidTr="001B5577">
        <w:trPr>
          <w:cantSplit/>
          <w:jc w:val="center"/>
        </w:trPr>
        <w:tc>
          <w:tcPr>
            <w:tcW w:w="5000" w:type="pct"/>
            <w:gridSpan w:val="4"/>
            <w:shd w:val="clear" w:color="auto" w:fill="FFFFFF"/>
          </w:tcPr>
          <w:p w14:paraId="59661603" w14:textId="3E42AA4B" w:rsidR="001D73CD" w:rsidRPr="00E23BFA" w:rsidRDefault="00F66780" w:rsidP="00E23BFA">
            <w:pPr>
              <w:pStyle w:val="ListParagraph"/>
              <w:overflowPunct w:val="0"/>
              <w:autoSpaceDE w:val="0"/>
              <w:autoSpaceDN w:val="0"/>
              <w:adjustRightInd w:val="0"/>
              <w:spacing w:line="360" w:lineRule="auto"/>
              <w:ind w:leftChars="0" w:left="0"/>
              <w:jc w:val="both"/>
              <w:textAlignment w:val="baseline"/>
              <w:rPr>
                <w:rFonts w:ascii="Book Antiqua" w:eastAsia="Times New Roman" w:hAnsi="Book Antiqua"/>
                <w:b/>
                <w:bCs/>
                <w:color w:val="000000"/>
              </w:rPr>
            </w:pPr>
            <w:r w:rsidRPr="00E23BFA">
              <w:rPr>
                <w:rFonts w:ascii="Book Antiqua" w:eastAsia="PMingLiU" w:hAnsi="Book Antiqua"/>
                <w:b/>
              </w:rPr>
              <w:t xml:space="preserve">5 </w:t>
            </w:r>
            <w:r w:rsidR="001D73CD" w:rsidRPr="00E23BFA">
              <w:rPr>
                <w:rFonts w:ascii="Book Antiqua" w:eastAsia="PMingLiU" w:hAnsi="Book Antiqua"/>
                <w:b/>
              </w:rPr>
              <w:t>Would you ask your doctor for this preparation again if you need another colonoscopy in the future?</w:t>
            </w:r>
          </w:p>
        </w:tc>
      </w:tr>
      <w:tr w:rsidR="001D73CD" w:rsidRPr="00FA4C44" w14:paraId="61B07DDE" w14:textId="77777777" w:rsidTr="001B5577">
        <w:trPr>
          <w:cantSplit/>
          <w:jc w:val="center"/>
        </w:trPr>
        <w:tc>
          <w:tcPr>
            <w:tcW w:w="1326" w:type="pct"/>
            <w:shd w:val="clear" w:color="auto" w:fill="FFFFFF"/>
          </w:tcPr>
          <w:p w14:paraId="65448C02"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Yes</w:t>
            </w:r>
          </w:p>
        </w:tc>
        <w:tc>
          <w:tcPr>
            <w:tcW w:w="1329" w:type="pct"/>
            <w:shd w:val="clear" w:color="auto" w:fill="FFFFFF"/>
          </w:tcPr>
          <w:p w14:paraId="11BC1946" w14:textId="502D5930"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167 (80.3</w:t>
            </w:r>
            <w:r w:rsidR="001B5577">
              <w:rPr>
                <w:rFonts w:ascii="Book Antiqua" w:eastAsia="Courier" w:hAnsi="Book Antiqua"/>
                <w:color w:val="000000"/>
              </w:rPr>
              <w:t>)</w:t>
            </w:r>
          </w:p>
        </w:tc>
        <w:tc>
          <w:tcPr>
            <w:tcW w:w="1593" w:type="pct"/>
            <w:shd w:val="clear" w:color="auto" w:fill="FFFFFF"/>
          </w:tcPr>
          <w:p w14:paraId="78223F29" w14:textId="405155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152 (72.7</w:t>
            </w:r>
            <w:r w:rsidR="001B5577">
              <w:rPr>
                <w:rFonts w:ascii="Book Antiqua" w:eastAsia="Courier" w:hAnsi="Book Antiqua"/>
                <w:color w:val="000000"/>
              </w:rPr>
              <w:t>)</w:t>
            </w:r>
          </w:p>
        </w:tc>
        <w:tc>
          <w:tcPr>
            <w:tcW w:w="752" w:type="pct"/>
            <w:shd w:val="clear" w:color="auto" w:fill="FFFFFF"/>
          </w:tcPr>
          <w:p w14:paraId="54DDF297" w14:textId="195C1218"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0.0830</w:t>
            </w:r>
            <w:r w:rsidR="00ED177D">
              <w:rPr>
                <w:rFonts w:ascii="Book Antiqua" w:eastAsia="Courier" w:hAnsi="Book Antiqua"/>
                <w:bCs/>
                <w:color w:val="000000"/>
                <w:vertAlign w:val="superscript"/>
              </w:rPr>
              <w:t>2</w:t>
            </w:r>
          </w:p>
        </w:tc>
      </w:tr>
      <w:tr w:rsidR="001D73CD" w:rsidRPr="00FA4C44" w14:paraId="00CFB65D" w14:textId="77777777" w:rsidTr="001B5577">
        <w:trPr>
          <w:cantSplit/>
          <w:jc w:val="center"/>
        </w:trPr>
        <w:tc>
          <w:tcPr>
            <w:tcW w:w="1326" w:type="pct"/>
            <w:shd w:val="clear" w:color="auto" w:fill="FFFFFF"/>
          </w:tcPr>
          <w:p w14:paraId="4AD9A6E2"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No</w:t>
            </w:r>
          </w:p>
        </w:tc>
        <w:tc>
          <w:tcPr>
            <w:tcW w:w="1329" w:type="pct"/>
            <w:shd w:val="clear" w:color="auto" w:fill="FFFFFF"/>
          </w:tcPr>
          <w:p w14:paraId="1AE401E6" w14:textId="79C054BA"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41 (19.7</w:t>
            </w:r>
            <w:r w:rsidR="001B5577">
              <w:rPr>
                <w:rFonts w:ascii="Book Antiqua" w:eastAsia="Courier" w:hAnsi="Book Antiqua"/>
                <w:color w:val="000000"/>
              </w:rPr>
              <w:t>)</w:t>
            </w:r>
          </w:p>
        </w:tc>
        <w:tc>
          <w:tcPr>
            <w:tcW w:w="1593" w:type="pct"/>
            <w:shd w:val="clear" w:color="auto" w:fill="FFFFFF"/>
          </w:tcPr>
          <w:p w14:paraId="38298735" w14:textId="48CADB37" w:rsidR="001D73CD" w:rsidRPr="00E23BFA" w:rsidRDefault="001D73CD" w:rsidP="00E23BFA">
            <w:pPr>
              <w:numPr>
                <w:ilvl w:val="0"/>
                <w:numId w:val="5"/>
              </w:num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27.3</w:t>
            </w:r>
            <w:r w:rsidR="001B5577">
              <w:rPr>
                <w:rFonts w:ascii="Book Antiqua" w:eastAsia="Courier" w:hAnsi="Book Antiqua"/>
                <w:color w:val="000000"/>
              </w:rPr>
              <w:t>)</w:t>
            </w:r>
          </w:p>
        </w:tc>
        <w:tc>
          <w:tcPr>
            <w:tcW w:w="752" w:type="pct"/>
            <w:shd w:val="clear" w:color="auto" w:fill="FFFFFF"/>
          </w:tcPr>
          <w:p w14:paraId="2C34CE01" w14:textId="77777777"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1D73CD" w:rsidRPr="00FA4C44" w14:paraId="2C0E542C" w14:textId="77777777" w:rsidTr="001B5577">
        <w:trPr>
          <w:cantSplit/>
          <w:jc w:val="center"/>
        </w:trPr>
        <w:tc>
          <w:tcPr>
            <w:tcW w:w="5000" w:type="pct"/>
            <w:gridSpan w:val="4"/>
            <w:shd w:val="clear" w:color="auto" w:fill="FFFFFF"/>
          </w:tcPr>
          <w:p w14:paraId="3B93B187" w14:textId="0239AFA0" w:rsidR="001D73CD" w:rsidRPr="00E23BFA" w:rsidRDefault="00F66780" w:rsidP="00E23BFA">
            <w:pPr>
              <w:pStyle w:val="ListParagraph"/>
              <w:overflowPunct w:val="0"/>
              <w:autoSpaceDE w:val="0"/>
              <w:autoSpaceDN w:val="0"/>
              <w:adjustRightInd w:val="0"/>
              <w:spacing w:line="360" w:lineRule="auto"/>
              <w:ind w:leftChars="0" w:left="0"/>
              <w:jc w:val="both"/>
              <w:textAlignment w:val="baseline"/>
              <w:rPr>
                <w:rFonts w:ascii="Book Antiqua" w:eastAsia="Times New Roman" w:hAnsi="Book Antiqua"/>
                <w:b/>
                <w:bCs/>
                <w:color w:val="000000"/>
              </w:rPr>
            </w:pPr>
            <w:r w:rsidRPr="00E23BFA">
              <w:rPr>
                <w:rFonts w:ascii="Book Antiqua" w:eastAsia="PMingLiU" w:hAnsi="Book Antiqua"/>
                <w:b/>
              </w:rPr>
              <w:t xml:space="preserve">6 </w:t>
            </w:r>
            <w:r w:rsidR="001D73CD" w:rsidRPr="00E23BFA">
              <w:rPr>
                <w:rFonts w:ascii="Book Antiqua" w:eastAsia="PMingLiU" w:hAnsi="Book Antiqua"/>
                <w:b/>
              </w:rPr>
              <w:t>Would you refuse the same preparation again if it were to be prescribed to you in the future?</w:t>
            </w:r>
          </w:p>
        </w:tc>
      </w:tr>
      <w:tr w:rsidR="001D73CD" w:rsidRPr="00FA4C44" w14:paraId="55316ECF" w14:textId="77777777" w:rsidTr="001B5577">
        <w:trPr>
          <w:cantSplit/>
          <w:jc w:val="center"/>
        </w:trPr>
        <w:tc>
          <w:tcPr>
            <w:tcW w:w="1326" w:type="pct"/>
            <w:shd w:val="clear" w:color="auto" w:fill="FFFFFF"/>
          </w:tcPr>
          <w:p w14:paraId="3CBFEFE8" w14:textId="77777777" w:rsidR="001D73CD" w:rsidRPr="00E23BFA" w:rsidRDefault="001D73CD" w:rsidP="00E23BFA">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Yes</w:t>
            </w:r>
          </w:p>
        </w:tc>
        <w:tc>
          <w:tcPr>
            <w:tcW w:w="1329" w:type="pct"/>
            <w:shd w:val="clear" w:color="auto" w:fill="FFFFFF"/>
          </w:tcPr>
          <w:p w14:paraId="2A635B8B" w14:textId="643FEBEF"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42 (20.2</w:t>
            </w:r>
            <w:r w:rsidR="001B5577">
              <w:rPr>
                <w:rFonts w:ascii="Book Antiqua" w:eastAsia="Courier" w:hAnsi="Book Antiqua"/>
                <w:color w:val="000000"/>
              </w:rPr>
              <w:t>)</w:t>
            </w:r>
          </w:p>
        </w:tc>
        <w:tc>
          <w:tcPr>
            <w:tcW w:w="1593" w:type="pct"/>
            <w:shd w:val="clear" w:color="auto" w:fill="FFFFFF"/>
          </w:tcPr>
          <w:p w14:paraId="40BBA92E" w14:textId="70BBB08E"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54 (25.8</w:t>
            </w:r>
            <w:r w:rsidR="001B5577">
              <w:rPr>
                <w:rFonts w:ascii="Book Antiqua" w:eastAsia="Courier" w:hAnsi="Book Antiqua"/>
                <w:color w:val="000000"/>
              </w:rPr>
              <w:t>)</w:t>
            </w:r>
          </w:p>
        </w:tc>
        <w:tc>
          <w:tcPr>
            <w:tcW w:w="752" w:type="pct"/>
            <w:shd w:val="clear" w:color="auto" w:fill="FFFFFF"/>
          </w:tcPr>
          <w:p w14:paraId="7A5620B3" w14:textId="2C85A635" w:rsidR="001D73CD" w:rsidRPr="00E23BFA" w:rsidRDefault="001D73CD" w:rsidP="00E23BFA">
            <w:pPr>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0.2007</w:t>
            </w:r>
            <w:r w:rsidR="00ED177D">
              <w:rPr>
                <w:rFonts w:ascii="Book Antiqua" w:eastAsia="Courier" w:hAnsi="Book Antiqua"/>
                <w:bCs/>
                <w:color w:val="000000"/>
                <w:vertAlign w:val="superscript"/>
              </w:rPr>
              <w:t>2</w:t>
            </w:r>
          </w:p>
        </w:tc>
      </w:tr>
      <w:tr w:rsidR="001D73CD" w:rsidRPr="00FA4C44" w14:paraId="2A4E6B05" w14:textId="77777777" w:rsidTr="001B5577">
        <w:trPr>
          <w:cantSplit/>
          <w:jc w:val="center"/>
        </w:trPr>
        <w:tc>
          <w:tcPr>
            <w:tcW w:w="1326" w:type="pct"/>
            <w:shd w:val="clear" w:color="auto" w:fill="FFFFFF"/>
          </w:tcPr>
          <w:p w14:paraId="6474D7BC" w14:textId="77777777" w:rsidR="001D73CD" w:rsidRPr="00E23BFA" w:rsidRDefault="001D73CD" w:rsidP="00E23BFA">
            <w:pPr>
              <w:keepNext/>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sidRPr="00E23BFA">
              <w:rPr>
                <w:rFonts w:ascii="Book Antiqua" w:eastAsia="Times New Roman" w:hAnsi="Book Antiqua"/>
                <w:color w:val="000000"/>
              </w:rPr>
              <w:t>No</w:t>
            </w:r>
          </w:p>
        </w:tc>
        <w:tc>
          <w:tcPr>
            <w:tcW w:w="1329" w:type="pct"/>
            <w:shd w:val="clear" w:color="auto" w:fill="FFFFFF"/>
          </w:tcPr>
          <w:p w14:paraId="71852DA5" w14:textId="720302CB" w:rsidR="001D73CD" w:rsidRPr="00E23BFA" w:rsidRDefault="001D73CD" w:rsidP="00E23BFA">
            <w:pPr>
              <w:keepNext/>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166 (79.8</w:t>
            </w:r>
            <w:r w:rsidR="001B5577">
              <w:rPr>
                <w:rFonts w:ascii="Book Antiqua" w:eastAsia="Courier" w:hAnsi="Book Antiqua"/>
                <w:color w:val="000000"/>
              </w:rPr>
              <w:t>)</w:t>
            </w:r>
          </w:p>
        </w:tc>
        <w:tc>
          <w:tcPr>
            <w:tcW w:w="1593" w:type="pct"/>
            <w:shd w:val="clear" w:color="auto" w:fill="FFFFFF"/>
          </w:tcPr>
          <w:p w14:paraId="1D3517CB" w14:textId="24CCC2C1" w:rsidR="001D73CD" w:rsidRPr="00E23BFA" w:rsidRDefault="001D73CD" w:rsidP="00E23BFA">
            <w:pPr>
              <w:keepNext/>
              <w:overflowPunct w:val="0"/>
              <w:autoSpaceDE w:val="0"/>
              <w:autoSpaceDN w:val="0"/>
              <w:adjustRightInd w:val="0"/>
              <w:spacing w:line="360" w:lineRule="auto"/>
              <w:jc w:val="both"/>
              <w:textAlignment w:val="baseline"/>
              <w:rPr>
                <w:rFonts w:ascii="Book Antiqua" w:eastAsia="Times New Roman" w:hAnsi="Book Antiqua"/>
                <w:color w:val="000000"/>
              </w:rPr>
            </w:pPr>
            <w:r w:rsidRPr="00E23BFA">
              <w:rPr>
                <w:rFonts w:ascii="Book Antiqua" w:eastAsia="Courier" w:hAnsi="Book Antiqua"/>
                <w:color w:val="000000"/>
              </w:rPr>
              <w:t>155 (74.2</w:t>
            </w:r>
            <w:r w:rsidR="001B5577">
              <w:rPr>
                <w:rFonts w:ascii="Book Antiqua" w:eastAsia="Courier" w:hAnsi="Book Antiqua"/>
                <w:color w:val="000000"/>
              </w:rPr>
              <w:t>)</w:t>
            </w:r>
          </w:p>
        </w:tc>
        <w:tc>
          <w:tcPr>
            <w:tcW w:w="752" w:type="pct"/>
            <w:shd w:val="clear" w:color="auto" w:fill="FFFFFF"/>
          </w:tcPr>
          <w:p w14:paraId="18DE7C2C" w14:textId="77777777" w:rsidR="001D73CD" w:rsidRPr="00E23BFA" w:rsidRDefault="001D73CD" w:rsidP="00E23BFA">
            <w:pPr>
              <w:keepNext/>
              <w:overflowPunct w:val="0"/>
              <w:autoSpaceDE w:val="0"/>
              <w:autoSpaceDN w:val="0"/>
              <w:adjustRightInd w:val="0"/>
              <w:spacing w:line="360" w:lineRule="auto"/>
              <w:jc w:val="both"/>
              <w:textAlignment w:val="baseline"/>
              <w:rPr>
                <w:rFonts w:ascii="Book Antiqua" w:eastAsia="Times New Roman" w:hAnsi="Book Antiqua"/>
                <w:color w:val="000000"/>
              </w:rPr>
            </w:pPr>
          </w:p>
        </w:tc>
      </w:tr>
    </w:tbl>
    <w:p w14:paraId="4CAD5491" w14:textId="34EB3129" w:rsidR="001D73CD" w:rsidRPr="00661899" w:rsidRDefault="00E2231F" w:rsidP="00587201">
      <w:pPr>
        <w:spacing w:line="360" w:lineRule="auto"/>
        <w:jc w:val="both"/>
        <w:rPr>
          <w:rFonts w:ascii="Book Antiqua" w:eastAsia="PMingLiU" w:hAnsi="Book Antiqua"/>
          <w:color w:val="000000"/>
        </w:rPr>
      </w:pPr>
      <w:r w:rsidRPr="00661899">
        <w:rPr>
          <w:rFonts w:ascii="Book Antiqua" w:hAnsi="Book Antiqua"/>
          <w:bCs/>
          <w:vertAlign w:val="superscript"/>
        </w:rPr>
        <w:t>1</w:t>
      </w:r>
      <w:r w:rsidR="00ED177D" w:rsidRPr="00661899">
        <w:rPr>
          <w:rFonts w:ascii="Book Antiqua" w:eastAsia="PMingLiU" w:hAnsi="Book Antiqua"/>
          <w:bCs/>
          <w:color w:val="000000"/>
        </w:rPr>
        <w:t xml:space="preserve">Indicates that </w:t>
      </w:r>
      <w:r w:rsidR="001D73CD" w:rsidRPr="00661899">
        <w:rPr>
          <w:rFonts w:ascii="Book Antiqua" w:eastAsia="PMingLiU" w:hAnsi="Book Antiqua"/>
          <w:i/>
          <w:color w:val="000000"/>
        </w:rPr>
        <w:t>P</w:t>
      </w:r>
      <w:r w:rsidR="00587201" w:rsidRPr="00661899">
        <w:rPr>
          <w:rFonts w:ascii="Book Antiqua" w:eastAsia="PMingLiU" w:hAnsi="Book Antiqua"/>
          <w:color w:val="000000"/>
        </w:rPr>
        <w:t xml:space="preserve"> </w:t>
      </w:r>
      <w:r w:rsidR="001D73CD" w:rsidRPr="00661899">
        <w:rPr>
          <w:rFonts w:ascii="Book Antiqua" w:eastAsia="PMingLiU" w:hAnsi="Book Antiqua"/>
          <w:color w:val="000000"/>
        </w:rPr>
        <w:t>value</w:t>
      </w:r>
      <w:r w:rsidR="00ED177D" w:rsidRPr="00661899">
        <w:rPr>
          <w:rFonts w:ascii="Book Antiqua" w:eastAsia="PMingLiU" w:hAnsi="Book Antiqua"/>
          <w:color w:val="000000"/>
        </w:rPr>
        <w:t xml:space="preserve"> was obtained by</w:t>
      </w:r>
      <w:r w:rsidR="001D73CD" w:rsidRPr="00661899">
        <w:rPr>
          <w:rFonts w:ascii="Book Antiqua" w:eastAsia="PMingLiU" w:hAnsi="Book Antiqua"/>
          <w:color w:val="000000"/>
        </w:rPr>
        <w:t xml:space="preserve"> Cochran-Mantel-Haenszel test</w:t>
      </w:r>
      <w:r w:rsidR="00587201" w:rsidRPr="00661899">
        <w:rPr>
          <w:rFonts w:ascii="Book Antiqua" w:eastAsia="PMingLiU" w:hAnsi="Book Antiqua"/>
          <w:color w:val="000000"/>
        </w:rPr>
        <w:t>;</w:t>
      </w:r>
      <w:r w:rsidRPr="00661899">
        <w:rPr>
          <w:rFonts w:ascii="Book Antiqua" w:hAnsi="Book Antiqua"/>
        </w:rPr>
        <w:t xml:space="preserve"> </w:t>
      </w:r>
      <w:r w:rsidRPr="00661899">
        <w:rPr>
          <w:rFonts w:ascii="Book Antiqua" w:eastAsia="PMingLiU" w:hAnsi="Book Antiqua"/>
          <w:color w:val="000000"/>
          <w:vertAlign w:val="superscript"/>
        </w:rPr>
        <w:t>2</w:t>
      </w:r>
      <w:r w:rsidRPr="00661899">
        <w:rPr>
          <w:rFonts w:ascii="Book Antiqua" w:eastAsia="PMingLiU" w:hAnsi="Book Antiqua"/>
          <w:color w:val="000000"/>
        </w:rPr>
        <w:t xml:space="preserve">Indicates that </w:t>
      </w:r>
      <w:r w:rsidR="001D73CD" w:rsidRPr="00661899">
        <w:rPr>
          <w:rFonts w:ascii="Book Antiqua" w:eastAsia="PMingLiU" w:hAnsi="Book Antiqua"/>
          <w:i/>
          <w:color w:val="000000"/>
        </w:rPr>
        <w:t>P</w:t>
      </w:r>
      <w:r w:rsidR="00587201" w:rsidRPr="00661899">
        <w:rPr>
          <w:rFonts w:ascii="Book Antiqua" w:eastAsia="PMingLiU" w:hAnsi="Book Antiqua"/>
          <w:color w:val="000000"/>
        </w:rPr>
        <w:t xml:space="preserve"> </w:t>
      </w:r>
      <w:r w:rsidR="001D73CD" w:rsidRPr="00661899">
        <w:rPr>
          <w:rFonts w:ascii="Book Antiqua" w:eastAsia="PMingLiU" w:hAnsi="Book Antiqua"/>
          <w:color w:val="000000"/>
        </w:rPr>
        <w:t>value</w:t>
      </w:r>
      <w:r w:rsidRPr="00661899">
        <w:rPr>
          <w:rFonts w:ascii="Book Antiqua" w:hAnsi="Book Antiqua"/>
        </w:rPr>
        <w:t xml:space="preserve"> </w:t>
      </w:r>
      <w:r w:rsidRPr="00661899">
        <w:rPr>
          <w:rFonts w:ascii="Book Antiqua" w:eastAsia="PMingLiU" w:hAnsi="Book Antiqua"/>
          <w:color w:val="000000"/>
        </w:rPr>
        <w:t>was obtained by</w:t>
      </w:r>
      <w:r w:rsidR="001D73CD" w:rsidRPr="00661899">
        <w:rPr>
          <w:rFonts w:ascii="Book Antiqua" w:eastAsia="PMingLiU" w:hAnsi="Book Antiqua"/>
          <w:color w:val="000000"/>
        </w:rPr>
        <w:t xml:space="preserve"> Fisher</w:t>
      </w:r>
      <w:r w:rsidR="00E23BFA" w:rsidRPr="00661899">
        <w:rPr>
          <w:rFonts w:ascii="Book Antiqua" w:eastAsia="PMingLiU" w:hAnsi="Book Antiqua"/>
          <w:color w:val="000000"/>
        </w:rPr>
        <w:t>’</w:t>
      </w:r>
      <w:r w:rsidR="001D73CD" w:rsidRPr="00661899">
        <w:rPr>
          <w:rFonts w:ascii="Book Antiqua" w:eastAsia="PMingLiU" w:hAnsi="Book Antiqua"/>
          <w:color w:val="000000"/>
        </w:rPr>
        <w:t>s exact test.</w:t>
      </w:r>
    </w:p>
    <w:p w14:paraId="626C78E7" w14:textId="77777777" w:rsidR="001D73CD" w:rsidRDefault="001D73CD" w:rsidP="001D73CD">
      <w:pPr>
        <w:spacing w:line="360" w:lineRule="auto"/>
        <w:jc w:val="both"/>
        <w:rPr>
          <w:rFonts w:ascii="Book Antiqua" w:hAnsi="Book Antiqua"/>
        </w:rPr>
        <w:sectPr w:rsidR="001D73CD" w:rsidSect="00ED177D">
          <w:pgSz w:w="15840" w:h="12240" w:orient="landscape"/>
          <w:pgMar w:top="1440" w:right="1440" w:bottom="1440" w:left="1440" w:header="720" w:footer="720" w:gutter="0"/>
          <w:cols w:space="720"/>
          <w:docGrid w:linePitch="360"/>
        </w:sectPr>
      </w:pPr>
    </w:p>
    <w:p w14:paraId="001F0DBE" w14:textId="31ACB556" w:rsidR="001D73CD" w:rsidRPr="001D73CD" w:rsidRDefault="001D73CD" w:rsidP="001D73CD">
      <w:pPr>
        <w:overflowPunct w:val="0"/>
        <w:autoSpaceDE w:val="0"/>
        <w:autoSpaceDN w:val="0"/>
        <w:adjustRightInd w:val="0"/>
        <w:spacing w:line="360" w:lineRule="auto"/>
        <w:jc w:val="both"/>
        <w:textAlignment w:val="baseline"/>
        <w:rPr>
          <w:rFonts w:ascii="Book Antiqua" w:eastAsia="PMingLiU" w:hAnsi="Book Antiqua" w:cs="PMingLiU"/>
          <w:b/>
          <w:szCs w:val="28"/>
        </w:rPr>
      </w:pPr>
      <w:bookmarkStart w:id="8" w:name="_Toc25244923"/>
      <w:r w:rsidRPr="001D73CD">
        <w:rPr>
          <w:rFonts w:ascii="Book Antiqua" w:eastAsia="PMingLiU" w:hAnsi="Book Antiqua" w:cs="PMingLiU"/>
          <w:b/>
          <w:szCs w:val="20"/>
        </w:rPr>
        <w:lastRenderedPageBreak/>
        <w:t xml:space="preserve">Table 5 </w:t>
      </w:r>
      <w:r w:rsidRPr="001D73CD">
        <w:rPr>
          <w:rFonts w:ascii="Book Antiqua" w:eastAsia="PMingLiU" w:hAnsi="Book Antiqua" w:cs="PMingLiU"/>
          <w:b/>
          <w:szCs w:val="28"/>
        </w:rPr>
        <w:t>Summary of treatment-emergent adverse events (</w:t>
      </w:r>
      <w:r w:rsidRPr="001D73CD">
        <w:rPr>
          <w:rFonts w:ascii="Book Antiqua" w:eastAsia="PMingLiU" w:hAnsi="Book Antiqua" w:cs="PMingLiU"/>
          <w:b/>
        </w:rPr>
        <w:t>safety analysis set</w:t>
      </w:r>
      <w:r w:rsidRPr="001D73CD">
        <w:rPr>
          <w:rFonts w:ascii="Book Antiqua" w:eastAsia="PMingLiU" w:hAnsi="Book Antiqua" w:cs="PMingLiU"/>
          <w:b/>
          <w:szCs w:val="28"/>
        </w:rPr>
        <w:t>)</w:t>
      </w:r>
      <w:bookmarkEnd w:id="8"/>
      <w:r w:rsidR="00C14480">
        <w:rPr>
          <w:rFonts w:ascii="Book Antiqua" w:eastAsia="PMingLiU" w:hAnsi="Book Antiqua" w:cs="PMingLiU"/>
          <w:b/>
          <w:szCs w:val="28"/>
        </w:rPr>
        <w:t xml:space="preserve">, </w:t>
      </w:r>
      <w:r w:rsidR="00C14480" w:rsidRPr="00C14480">
        <w:rPr>
          <w:rFonts w:ascii="Book Antiqua" w:eastAsia="PMingLiU" w:hAnsi="Book Antiqua" w:cs="PMingLiU"/>
          <w:b/>
          <w:i/>
          <w:szCs w:val="28"/>
        </w:rPr>
        <w:t>n</w:t>
      </w:r>
      <w:r w:rsidR="00C14480">
        <w:rPr>
          <w:rFonts w:ascii="Book Antiqua" w:eastAsia="PMingLiU" w:hAnsi="Book Antiqua" w:cs="PMingLiU"/>
          <w:b/>
          <w:szCs w:val="28"/>
        </w:rPr>
        <w:t xml:space="preserve"> (%)</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5103"/>
        <w:gridCol w:w="3432"/>
        <w:gridCol w:w="3038"/>
        <w:gridCol w:w="1387"/>
      </w:tblGrid>
      <w:tr w:rsidR="001D73CD" w:rsidRPr="00506FC9" w14:paraId="22F69E85" w14:textId="77777777" w:rsidTr="00C362F4">
        <w:trPr>
          <w:cantSplit/>
          <w:tblHeader/>
          <w:jc w:val="center"/>
        </w:trPr>
        <w:tc>
          <w:tcPr>
            <w:tcW w:w="1969" w:type="pct"/>
            <w:tcBorders>
              <w:top w:val="single" w:sz="4" w:space="0" w:color="auto"/>
              <w:bottom w:val="single" w:sz="4" w:space="0" w:color="auto"/>
            </w:tcBorders>
            <w:shd w:val="clear" w:color="auto" w:fill="FFFFFF"/>
            <w:vAlign w:val="center"/>
          </w:tcPr>
          <w:p w14:paraId="570A004E" w14:textId="77777777" w:rsidR="001D73CD" w:rsidRPr="00587201" w:rsidRDefault="001D73CD" w:rsidP="00C14480">
            <w:pPr>
              <w:keepNext/>
              <w:autoSpaceDE w:val="0"/>
              <w:autoSpaceDN w:val="0"/>
              <w:adjustRightInd w:val="0"/>
              <w:spacing w:line="360" w:lineRule="auto"/>
              <w:ind w:firstLineChars="100" w:firstLine="240"/>
              <w:rPr>
                <w:rFonts w:ascii="Book Antiqua" w:eastAsia="PMingLiU" w:hAnsi="Book Antiqua"/>
                <w:b/>
                <w:bCs/>
                <w:color w:val="000000"/>
              </w:rPr>
            </w:pPr>
            <w:r w:rsidRPr="00587201">
              <w:rPr>
                <w:rFonts w:ascii="Book Antiqua" w:eastAsia="PMingLiU" w:hAnsi="Book Antiqua"/>
                <w:b/>
                <w:bCs/>
                <w:color w:val="000000"/>
              </w:rPr>
              <w:t>Treatment-emergent adverse events</w:t>
            </w:r>
          </w:p>
        </w:tc>
        <w:tc>
          <w:tcPr>
            <w:tcW w:w="1324" w:type="pct"/>
            <w:tcBorders>
              <w:top w:val="single" w:sz="4" w:space="0" w:color="auto"/>
              <w:bottom w:val="single" w:sz="4" w:space="0" w:color="auto"/>
            </w:tcBorders>
            <w:shd w:val="clear" w:color="auto" w:fill="FFFFFF"/>
            <w:vAlign w:val="center"/>
          </w:tcPr>
          <w:p w14:paraId="4F485E0C" w14:textId="0AFC2497" w:rsidR="001D73CD" w:rsidRPr="00587201" w:rsidRDefault="001D73CD" w:rsidP="00C14480">
            <w:pPr>
              <w:keepNext/>
              <w:autoSpaceDE w:val="0"/>
              <w:autoSpaceDN w:val="0"/>
              <w:adjustRightInd w:val="0"/>
              <w:spacing w:line="360" w:lineRule="auto"/>
              <w:jc w:val="center"/>
              <w:rPr>
                <w:rFonts w:ascii="Book Antiqua" w:eastAsia="PMingLiU" w:hAnsi="Book Antiqua"/>
                <w:b/>
                <w:bCs/>
                <w:color w:val="000000"/>
              </w:rPr>
            </w:pPr>
            <w:r w:rsidRPr="00587201">
              <w:rPr>
                <w:rFonts w:ascii="Book Antiqua" w:eastAsia="PMingLiU" w:hAnsi="Book Antiqua"/>
                <w:b/>
                <w:bCs/>
                <w:color w:val="000000"/>
              </w:rPr>
              <w:t>Quiklean</w:t>
            </w:r>
            <w:r w:rsidR="00BC0834" w:rsidRPr="00BC0834">
              <w:rPr>
                <w:rFonts w:ascii="Book Antiqua" w:eastAsia="PMingLiU" w:hAnsi="Book Antiqua"/>
                <w:b/>
                <w:bCs/>
                <w:color w:val="000000"/>
                <w:vertAlign w:val="superscript"/>
              </w:rPr>
              <w:t>®</w:t>
            </w:r>
            <w:r w:rsidR="00872385">
              <w:rPr>
                <w:rFonts w:ascii="Book Antiqua" w:hAnsi="Book Antiqua"/>
                <w:b/>
                <w:bCs/>
                <w:color w:val="000000"/>
                <w:lang w:eastAsia="zh-CN"/>
              </w:rPr>
              <w:t xml:space="preserve">, </w:t>
            </w:r>
            <w:r w:rsidR="008E047C" w:rsidRPr="00587201">
              <w:rPr>
                <w:rFonts w:ascii="Book Antiqua" w:eastAsia="PMingLiU" w:hAnsi="Book Antiqua"/>
                <w:b/>
                <w:bCs/>
                <w:i/>
                <w:iCs/>
                <w:color w:val="000000"/>
              </w:rPr>
              <w:t>n</w:t>
            </w:r>
            <w:r w:rsidRPr="00587201">
              <w:rPr>
                <w:rFonts w:ascii="Book Antiqua" w:eastAsia="PMingLiU" w:hAnsi="Book Antiqua"/>
                <w:b/>
                <w:bCs/>
                <w:color w:val="000000"/>
              </w:rPr>
              <w:t xml:space="preserve"> = 222</w:t>
            </w:r>
          </w:p>
        </w:tc>
        <w:tc>
          <w:tcPr>
            <w:tcW w:w="1172" w:type="pct"/>
            <w:tcBorders>
              <w:top w:val="single" w:sz="4" w:space="0" w:color="auto"/>
              <w:bottom w:val="single" w:sz="4" w:space="0" w:color="auto"/>
            </w:tcBorders>
            <w:shd w:val="clear" w:color="auto" w:fill="FFFFFF"/>
            <w:vAlign w:val="center"/>
          </w:tcPr>
          <w:p w14:paraId="6B22F39F" w14:textId="4ED880C4" w:rsidR="001D73CD" w:rsidRPr="00587201" w:rsidRDefault="001D73CD" w:rsidP="00C14480">
            <w:pPr>
              <w:keepNext/>
              <w:autoSpaceDE w:val="0"/>
              <w:autoSpaceDN w:val="0"/>
              <w:adjustRightInd w:val="0"/>
              <w:spacing w:line="360" w:lineRule="auto"/>
              <w:jc w:val="center"/>
              <w:rPr>
                <w:rFonts w:ascii="Book Antiqua" w:eastAsia="PMingLiU" w:hAnsi="Book Antiqua"/>
                <w:b/>
                <w:bCs/>
                <w:color w:val="000000"/>
              </w:rPr>
            </w:pPr>
            <w:r w:rsidRPr="00587201">
              <w:rPr>
                <w:rFonts w:ascii="Book Antiqua" w:eastAsia="PMingLiU" w:hAnsi="Book Antiqua"/>
                <w:b/>
                <w:bCs/>
                <w:color w:val="000000"/>
              </w:rPr>
              <w:t>Klean-Prep/Dulcolax</w:t>
            </w:r>
            <w:r w:rsidR="00AA3EE0" w:rsidRPr="00AA3EE0">
              <w:rPr>
                <w:rFonts w:ascii="Book Antiqua" w:eastAsia="PMingLiU" w:hAnsi="Book Antiqua"/>
                <w:b/>
                <w:bCs/>
                <w:color w:val="000000"/>
                <w:vertAlign w:val="superscript"/>
              </w:rPr>
              <w:t>®</w:t>
            </w:r>
            <w:r w:rsidR="00872385">
              <w:rPr>
                <w:rFonts w:ascii="Book Antiqua" w:eastAsia="PMingLiU" w:hAnsi="Book Antiqua"/>
                <w:b/>
                <w:bCs/>
                <w:color w:val="000000"/>
              </w:rPr>
              <w:t xml:space="preserve">, </w:t>
            </w:r>
            <w:r w:rsidR="008E047C" w:rsidRPr="00587201">
              <w:rPr>
                <w:rFonts w:ascii="Book Antiqua" w:eastAsia="PMingLiU" w:hAnsi="Book Antiqua"/>
                <w:b/>
                <w:bCs/>
                <w:i/>
                <w:iCs/>
                <w:color w:val="000000"/>
              </w:rPr>
              <w:t>n</w:t>
            </w:r>
            <w:r w:rsidRPr="00587201">
              <w:rPr>
                <w:rFonts w:ascii="Book Antiqua" w:eastAsia="PMingLiU" w:hAnsi="Book Antiqua"/>
                <w:b/>
                <w:bCs/>
                <w:color w:val="000000"/>
              </w:rPr>
              <w:t xml:space="preserve"> = 220</w:t>
            </w:r>
          </w:p>
        </w:tc>
        <w:tc>
          <w:tcPr>
            <w:tcW w:w="535" w:type="pct"/>
            <w:tcBorders>
              <w:top w:val="single" w:sz="4" w:space="0" w:color="auto"/>
              <w:bottom w:val="single" w:sz="4" w:space="0" w:color="auto"/>
            </w:tcBorders>
            <w:shd w:val="clear" w:color="auto" w:fill="FFFFFF"/>
            <w:vAlign w:val="center"/>
          </w:tcPr>
          <w:p w14:paraId="36E8FB1F" w14:textId="28E41A43" w:rsidR="001D73CD" w:rsidRPr="00587201" w:rsidRDefault="001D73CD" w:rsidP="00C14480">
            <w:pPr>
              <w:keepNext/>
              <w:autoSpaceDE w:val="0"/>
              <w:autoSpaceDN w:val="0"/>
              <w:adjustRightInd w:val="0"/>
              <w:spacing w:line="360" w:lineRule="auto"/>
              <w:jc w:val="center"/>
              <w:rPr>
                <w:rFonts w:ascii="Book Antiqua" w:eastAsia="PMingLiU" w:hAnsi="Book Antiqua"/>
                <w:b/>
                <w:bCs/>
                <w:color w:val="000000"/>
              </w:rPr>
            </w:pPr>
            <w:r w:rsidRPr="00587201">
              <w:rPr>
                <w:rFonts w:ascii="Book Antiqua" w:eastAsia="PMingLiU" w:hAnsi="Book Antiqua"/>
                <w:b/>
                <w:bCs/>
                <w:i/>
                <w:color w:val="000000"/>
              </w:rPr>
              <w:t>P</w:t>
            </w:r>
            <w:r w:rsidR="008E047C" w:rsidRPr="00587201">
              <w:rPr>
                <w:rFonts w:ascii="Book Antiqua" w:eastAsia="PMingLiU" w:hAnsi="Book Antiqua"/>
                <w:b/>
                <w:bCs/>
                <w:color w:val="000000"/>
              </w:rPr>
              <w:t xml:space="preserve"> </w:t>
            </w:r>
            <w:r w:rsidRPr="00587201">
              <w:rPr>
                <w:rFonts w:ascii="Book Antiqua" w:eastAsia="PMingLiU" w:hAnsi="Book Antiqua"/>
                <w:b/>
                <w:bCs/>
                <w:color w:val="000000"/>
              </w:rPr>
              <w:t>value</w:t>
            </w:r>
          </w:p>
        </w:tc>
      </w:tr>
      <w:tr w:rsidR="008E047C" w:rsidRPr="008E047C" w14:paraId="002BDE8A" w14:textId="77777777" w:rsidTr="00C362F4">
        <w:trPr>
          <w:cantSplit/>
          <w:jc w:val="center"/>
        </w:trPr>
        <w:tc>
          <w:tcPr>
            <w:tcW w:w="1969" w:type="pct"/>
            <w:tcBorders>
              <w:top w:val="single" w:sz="4" w:space="0" w:color="auto"/>
            </w:tcBorders>
            <w:shd w:val="clear" w:color="auto" w:fill="FFFFFF"/>
          </w:tcPr>
          <w:p w14:paraId="6A2C0804" w14:textId="3C6652DA" w:rsidR="001D73CD" w:rsidRPr="00841CAF" w:rsidRDefault="001D73CD" w:rsidP="008E047C">
            <w:pPr>
              <w:autoSpaceDE w:val="0"/>
              <w:autoSpaceDN w:val="0"/>
              <w:adjustRightInd w:val="0"/>
              <w:spacing w:line="360" w:lineRule="auto"/>
              <w:jc w:val="both"/>
              <w:rPr>
                <w:rFonts w:ascii="Book Antiqua" w:eastAsia="PMingLiU" w:hAnsi="Book Antiqua"/>
                <w:color w:val="000000"/>
              </w:rPr>
            </w:pPr>
            <w:r w:rsidRPr="00841CAF">
              <w:rPr>
                <w:rFonts w:ascii="Book Antiqua" w:eastAsia="PMingLiU" w:hAnsi="Book Antiqua"/>
                <w:color w:val="000000"/>
              </w:rPr>
              <w:t>Any treatment-emergent adverse events</w:t>
            </w:r>
          </w:p>
        </w:tc>
        <w:tc>
          <w:tcPr>
            <w:tcW w:w="1324" w:type="pct"/>
            <w:tcBorders>
              <w:top w:val="single" w:sz="4" w:space="0" w:color="auto"/>
            </w:tcBorders>
            <w:shd w:val="clear" w:color="auto" w:fill="FFFFFF"/>
          </w:tcPr>
          <w:p w14:paraId="363C6808" w14:textId="70605DC5" w:rsidR="001D73CD" w:rsidRPr="00841CAF" w:rsidRDefault="001D73CD" w:rsidP="00C14480">
            <w:pPr>
              <w:autoSpaceDE w:val="0"/>
              <w:autoSpaceDN w:val="0"/>
              <w:adjustRightInd w:val="0"/>
              <w:spacing w:line="360" w:lineRule="auto"/>
              <w:jc w:val="center"/>
              <w:rPr>
                <w:rFonts w:ascii="Book Antiqua" w:eastAsia="PMingLiU" w:hAnsi="Book Antiqua"/>
                <w:color w:val="000000"/>
              </w:rPr>
            </w:pPr>
            <w:r w:rsidRPr="00841CAF">
              <w:rPr>
                <w:rFonts w:ascii="Book Antiqua" w:eastAsia="PMingLiU" w:hAnsi="Book Antiqua"/>
                <w:color w:val="000000"/>
              </w:rPr>
              <w:t>218 (98.2</w:t>
            </w:r>
            <w:r w:rsidR="00C14480">
              <w:rPr>
                <w:rFonts w:ascii="Book Antiqua" w:eastAsia="PMingLiU" w:hAnsi="Book Antiqua"/>
                <w:color w:val="000000"/>
              </w:rPr>
              <w:t>)</w:t>
            </w:r>
          </w:p>
        </w:tc>
        <w:tc>
          <w:tcPr>
            <w:tcW w:w="1172" w:type="pct"/>
            <w:tcBorders>
              <w:top w:val="single" w:sz="4" w:space="0" w:color="auto"/>
            </w:tcBorders>
            <w:shd w:val="clear" w:color="auto" w:fill="FFFFFF"/>
          </w:tcPr>
          <w:p w14:paraId="466FC7EF" w14:textId="0826415C" w:rsidR="001D73CD" w:rsidRPr="00841CAF" w:rsidRDefault="001D73CD" w:rsidP="00C14480">
            <w:pPr>
              <w:autoSpaceDE w:val="0"/>
              <w:autoSpaceDN w:val="0"/>
              <w:adjustRightInd w:val="0"/>
              <w:spacing w:line="360" w:lineRule="auto"/>
              <w:jc w:val="center"/>
              <w:rPr>
                <w:rFonts w:ascii="Book Antiqua" w:eastAsia="PMingLiU" w:hAnsi="Book Antiqua"/>
                <w:color w:val="000000"/>
              </w:rPr>
            </w:pPr>
            <w:r w:rsidRPr="00841CAF">
              <w:rPr>
                <w:rFonts w:ascii="Book Antiqua" w:eastAsia="PMingLiU" w:hAnsi="Book Antiqua"/>
                <w:color w:val="000000"/>
              </w:rPr>
              <w:t>70 (31.8</w:t>
            </w:r>
            <w:r w:rsidR="00C14480">
              <w:rPr>
                <w:rFonts w:ascii="Book Antiqua" w:eastAsia="PMingLiU" w:hAnsi="Book Antiqua"/>
                <w:color w:val="000000"/>
              </w:rPr>
              <w:t>)</w:t>
            </w:r>
          </w:p>
        </w:tc>
        <w:tc>
          <w:tcPr>
            <w:tcW w:w="535" w:type="pct"/>
            <w:tcBorders>
              <w:top w:val="single" w:sz="4" w:space="0" w:color="auto"/>
            </w:tcBorders>
            <w:shd w:val="clear" w:color="auto" w:fill="FFFFFF"/>
          </w:tcPr>
          <w:p w14:paraId="4955EB2C" w14:textId="51D04279" w:rsidR="001D73CD" w:rsidRPr="00841CAF" w:rsidRDefault="001D73CD" w:rsidP="00C14480">
            <w:pPr>
              <w:autoSpaceDE w:val="0"/>
              <w:autoSpaceDN w:val="0"/>
              <w:adjustRightInd w:val="0"/>
              <w:spacing w:line="360" w:lineRule="auto"/>
              <w:jc w:val="center"/>
              <w:rPr>
                <w:rFonts w:ascii="Book Antiqua" w:eastAsia="PMingLiU" w:hAnsi="Book Antiqua"/>
                <w:color w:val="000000"/>
              </w:rPr>
            </w:pPr>
            <w:r w:rsidRPr="00841CAF">
              <w:rPr>
                <w:rFonts w:ascii="Book Antiqua" w:eastAsia="PMingLiU" w:hAnsi="Book Antiqua"/>
                <w:color w:val="000000"/>
              </w:rPr>
              <w:t>&lt;</w:t>
            </w:r>
            <w:r w:rsidR="008E047C" w:rsidRPr="00841CAF">
              <w:rPr>
                <w:rFonts w:ascii="Book Antiqua" w:eastAsia="PMingLiU" w:hAnsi="Book Antiqua"/>
                <w:color w:val="000000"/>
              </w:rPr>
              <w:t xml:space="preserve"> </w:t>
            </w:r>
            <w:r w:rsidRPr="00841CAF">
              <w:rPr>
                <w:rFonts w:ascii="Book Antiqua" w:eastAsia="PMingLiU" w:hAnsi="Book Antiqua"/>
                <w:color w:val="000000"/>
              </w:rPr>
              <w:t>0.0001</w:t>
            </w:r>
          </w:p>
        </w:tc>
      </w:tr>
      <w:tr w:rsidR="001D73CD" w:rsidRPr="008E047C" w14:paraId="2B9A7B62" w14:textId="77777777" w:rsidTr="00C362F4">
        <w:trPr>
          <w:cantSplit/>
          <w:jc w:val="center"/>
        </w:trPr>
        <w:tc>
          <w:tcPr>
            <w:tcW w:w="1969" w:type="pct"/>
            <w:shd w:val="clear" w:color="auto" w:fill="FFFFFF"/>
          </w:tcPr>
          <w:p w14:paraId="2E0508A9"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b/>
                <w:bCs/>
                <w:color w:val="000000"/>
              </w:rPr>
            </w:pPr>
            <w:r w:rsidRPr="00587201">
              <w:rPr>
                <w:rFonts w:ascii="Book Antiqua" w:eastAsia="PMingLiU" w:hAnsi="Book Antiqua"/>
                <w:color w:val="000000"/>
              </w:rPr>
              <w:t>Mild</w:t>
            </w:r>
          </w:p>
        </w:tc>
        <w:tc>
          <w:tcPr>
            <w:tcW w:w="1324" w:type="pct"/>
            <w:shd w:val="clear" w:color="auto" w:fill="FFFFFF"/>
          </w:tcPr>
          <w:p w14:paraId="1229FB8A" w14:textId="06D76BBD" w:rsidR="001D73CD" w:rsidRPr="00587201" w:rsidRDefault="001D73CD" w:rsidP="00C14480">
            <w:pPr>
              <w:autoSpaceDE w:val="0"/>
              <w:autoSpaceDN w:val="0"/>
              <w:adjustRightInd w:val="0"/>
              <w:spacing w:line="360" w:lineRule="auto"/>
              <w:jc w:val="center"/>
              <w:rPr>
                <w:rFonts w:ascii="Book Antiqua" w:eastAsia="PMingLiU" w:hAnsi="Book Antiqua"/>
                <w:b/>
                <w:bCs/>
                <w:color w:val="000000"/>
              </w:rPr>
            </w:pPr>
            <w:r w:rsidRPr="00587201">
              <w:rPr>
                <w:rFonts w:ascii="Book Antiqua" w:eastAsia="PMingLiU" w:hAnsi="Book Antiqua"/>
                <w:color w:val="000000"/>
              </w:rPr>
              <w:t>217 (97.7</w:t>
            </w:r>
            <w:r w:rsidR="00C14480">
              <w:rPr>
                <w:rFonts w:ascii="Book Antiqua" w:eastAsia="PMingLiU" w:hAnsi="Book Antiqua"/>
                <w:color w:val="000000"/>
              </w:rPr>
              <w:t>)</w:t>
            </w:r>
          </w:p>
        </w:tc>
        <w:tc>
          <w:tcPr>
            <w:tcW w:w="1172" w:type="pct"/>
            <w:shd w:val="clear" w:color="auto" w:fill="FFFFFF"/>
          </w:tcPr>
          <w:p w14:paraId="6FA38B36" w14:textId="4BDA3A16" w:rsidR="001D73CD" w:rsidRPr="00587201" w:rsidRDefault="001D73CD" w:rsidP="00C14480">
            <w:pPr>
              <w:autoSpaceDE w:val="0"/>
              <w:autoSpaceDN w:val="0"/>
              <w:adjustRightInd w:val="0"/>
              <w:spacing w:line="360" w:lineRule="auto"/>
              <w:jc w:val="center"/>
              <w:rPr>
                <w:rFonts w:ascii="Book Antiqua" w:eastAsia="PMingLiU" w:hAnsi="Book Antiqua"/>
                <w:b/>
                <w:bCs/>
                <w:color w:val="000000"/>
              </w:rPr>
            </w:pPr>
            <w:r w:rsidRPr="00587201">
              <w:rPr>
                <w:rFonts w:ascii="Book Antiqua" w:eastAsia="PMingLiU" w:hAnsi="Book Antiqua"/>
                <w:color w:val="000000"/>
              </w:rPr>
              <w:t>70 (31.8</w:t>
            </w:r>
            <w:r w:rsidR="00C14480">
              <w:rPr>
                <w:rFonts w:ascii="Book Antiqua" w:eastAsia="PMingLiU" w:hAnsi="Book Antiqua"/>
                <w:color w:val="000000"/>
              </w:rPr>
              <w:t>)</w:t>
            </w:r>
          </w:p>
        </w:tc>
        <w:tc>
          <w:tcPr>
            <w:tcW w:w="535" w:type="pct"/>
            <w:shd w:val="clear" w:color="auto" w:fill="FFFFFF"/>
          </w:tcPr>
          <w:p w14:paraId="70208BA7" w14:textId="77777777" w:rsidR="001D73CD" w:rsidRPr="00587201" w:rsidRDefault="001D73CD" w:rsidP="00C14480">
            <w:pPr>
              <w:autoSpaceDE w:val="0"/>
              <w:autoSpaceDN w:val="0"/>
              <w:adjustRightInd w:val="0"/>
              <w:spacing w:line="360" w:lineRule="auto"/>
              <w:jc w:val="center"/>
              <w:rPr>
                <w:rFonts w:ascii="Book Antiqua" w:eastAsia="PMingLiU" w:hAnsi="Book Antiqua"/>
                <w:b/>
                <w:bCs/>
                <w:color w:val="000000"/>
              </w:rPr>
            </w:pPr>
          </w:p>
        </w:tc>
      </w:tr>
      <w:tr w:rsidR="001D73CD" w:rsidRPr="008E047C" w14:paraId="40FFE8EC" w14:textId="77777777" w:rsidTr="00C362F4">
        <w:trPr>
          <w:cantSplit/>
          <w:jc w:val="center"/>
        </w:trPr>
        <w:tc>
          <w:tcPr>
            <w:tcW w:w="1969" w:type="pct"/>
            <w:shd w:val="clear" w:color="auto" w:fill="FFFFFF"/>
          </w:tcPr>
          <w:p w14:paraId="607C1FDD"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b/>
                <w:bCs/>
                <w:color w:val="000000"/>
              </w:rPr>
            </w:pPr>
            <w:r w:rsidRPr="00587201">
              <w:rPr>
                <w:rFonts w:ascii="Book Antiqua" w:eastAsia="PMingLiU" w:hAnsi="Book Antiqua"/>
                <w:color w:val="000000"/>
              </w:rPr>
              <w:t>Moderate</w:t>
            </w:r>
          </w:p>
        </w:tc>
        <w:tc>
          <w:tcPr>
            <w:tcW w:w="1324" w:type="pct"/>
            <w:shd w:val="clear" w:color="auto" w:fill="FFFFFF"/>
          </w:tcPr>
          <w:p w14:paraId="14DF4325" w14:textId="499A368E" w:rsidR="001D73CD" w:rsidRPr="00587201" w:rsidRDefault="001D73CD" w:rsidP="00C14480">
            <w:pPr>
              <w:autoSpaceDE w:val="0"/>
              <w:autoSpaceDN w:val="0"/>
              <w:adjustRightInd w:val="0"/>
              <w:spacing w:line="360" w:lineRule="auto"/>
              <w:jc w:val="center"/>
              <w:rPr>
                <w:rFonts w:ascii="Book Antiqua" w:eastAsia="PMingLiU" w:hAnsi="Book Antiqua"/>
                <w:b/>
                <w:bCs/>
                <w:color w:val="000000"/>
              </w:rPr>
            </w:pPr>
            <w:r w:rsidRPr="00587201">
              <w:rPr>
                <w:rFonts w:ascii="Book Antiqua" w:eastAsia="PMingLiU" w:hAnsi="Book Antiqua"/>
                <w:color w:val="000000"/>
              </w:rPr>
              <w:t>1 (0.5</w:t>
            </w:r>
            <w:r w:rsidR="00C14480">
              <w:rPr>
                <w:rFonts w:ascii="Book Antiqua" w:eastAsia="PMingLiU" w:hAnsi="Book Antiqua"/>
                <w:color w:val="000000"/>
              </w:rPr>
              <w:t>)</w:t>
            </w:r>
          </w:p>
        </w:tc>
        <w:tc>
          <w:tcPr>
            <w:tcW w:w="1172" w:type="pct"/>
            <w:shd w:val="clear" w:color="auto" w:fill="FFFFFF"/>
          </w:tcPr>
          <w:p w14:paraId="541F9E75" w14:textId="77777777" w:rsidR="001D73CD" w:rsidRPr="00587201" w:rsidRDefault="001D73CD" w:rsidP="00C14480">
            <w:pPr>
              <w:autoSpaceDE w:val="0"/>
              <w:autoSpaceDN w:val="0"/>
              <w:adjustRightInd w:val="0"/>
              <w:spacing w:line="360" w:lineRule="auto"/>
              <w:jc w:val="center"/>
              <w:rPr>
                <w:rFonts w:ascii="Book Antiqua" w:eastAsia="PMingLiU" w:hAnsi="Book Antiqua"/>
                <w:b/>
                <w:bCs/>
                <w:color w:val="000000"/>
              </w:rPr>
            </w:pPr>
            <w:r w:rsidRPr="00587201">
              <w:rPr>
                <w:rFonts w:ascii="Book Antiqua" w:eastAsia="PMingLiU" w:hAnsi="Book Antiqua"/>
                <w:color w:val="000000"/>
              </w:rPr>
              <w:t>0</w:t>
            </w:r>
          </w:p>
        </w:tc>
        <w:tc>
          <w:tcPr>
            <w:tcW w:w="535" w:type="pct"/>
            <w:shd w:val="clear" w:color="auto" w:fill="FFFFFF"/>
          </w:tcPr>
          <w:p w14:paraId="5C0EDB4C" w14:textId="77777777" w:rsidR="001D73CD" w:rsidRPr="00587201" w:rsidRDefault="001D73CD" w:rsidP="00C14480">
            <w:pPr>
              <w:autoSpaceDE w:val="0"/>
              <w:autoSpaceDN w:val="0"/>
              <w:adjustRightInd w:val="0"/>
              <w:spacing w:line="360" w:lineRule="auto"/>
              <w:jc w:val="center"/>
              <w:rPr>
                <w:rFonts w:ascii="Book Antiqua" w:eastAsia="PMingLiU" w:hAnsi="Book Antiqua"/>
                <w:b/>
                <w:bCs/>
                <w:color w:val="000000"/>
              </w:rPr>
            </w:pPr>
          </w:p>
        </w:tc>
      </w:tr>
      <w:tr w:rsidR="001D73CD" w:rsidRPr="008E047C" w14:paraId="0545FFEC" w14:textId="77777777" w:rsidTr="00C362F4">
        <w:trPr>
          <w:cantSplit/>
          <w:jc w:val="center"/>
        </w:trPr>
        <w:tc>
          <w:tcPr>
            <w:tcW w:w="1969" w:type="pct"/>
            <w:shd w:val="clear" w:color="auto" w:fill="FFFFFF"/>
          </w:tcPr>
          <w:p w14:paraId="3497784E"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b/>
                <w:bCs/>
                <w:color w:val="000000"/>
              </w:rPr>
            </w:pPr>
            <w:r w:rsidRPr="00587201">
              <w:rPr>
                <w:rFonts w:ascii="Book Antiqua" w:eastAsia="PMingLiU" w:hAnsi="Book Antiqua"/>
                <w:color w:val="000000"/>
              </w:rPr>
              <w:t>Severe</w:t>
            </w:r>
          </w:p>
        </w:tc>
        <w:tc>
          <w:tcPr>
            <w:tcW w:w="1324" w:type="pct"/>
            <w:shd w:val="clear" w:color="auto" w:fill="FFFFFF"/>
          </w:tcPr>
          <w:p w14:paraId="31EF289F" w14:textId="77777777" w:rsidR="001D73CD" w:rsidRPr="00587201" w:rsidRDefault="001D73CD" w:rsidP="00C14480">
            <w:pPr>
              <w:autoSpaceDE w:val="0"/>
              <w:autoSpaceDN w:val="0"/>
              <w:adjustRightInd w:val="0"/>
              <w:spacing w:line="360" w:lineRule="auto"/>
              <w:jc w:val="center"/>
              <w:rPr>
                <w:rFonts w:ascii="Book Antiqua" w:eastAsia="PMingLiU" w:hAnsi="Book Antiqua"/>
                <w:b/>
                <w:bCs/>
                <w:color w:val="000000"/>
              </w:rPr>
            </w:pPr>
            <w:r w:rsidRPr="00587201">
              <w:rPr>
                <w:rFonts w:ascii="Book Antiqua" w:eastAsia="PMingLiU" w:hAnsi="Book Antiqua"/>
                <w:color w:val="000000"/>
              </w:rPr>
              <w:t>0</w:t>
            </w:r>
          </w:p>
        </w:tc>
        <w:tc>
          <w:tcPr>
            <w:tcW w:w="1172" w:type="pct"/>
            <w:shd w:val="clear" w:color="auto" w:fill="FFFFFF"/>
          </w:tcPr>
          <w:p w14:paraId="3EF61EE6" w14:textId="77777777" w:rsidR="001D73CD" w:rsidRPr="00587201" w:rsidRDefault="001D73CD" w:rsidP="00C14480">
            <w:pPr>
              <w:autoSpaceDE w:val="0"/>
              <w:autoSpaceDN w:val="0"/>
              <w:adjustRightInd w:val="0"/>
              <w:spacing w:line="360" w:lineRule="auto"/>
              <w:jc w:val="center"/>
              <w:rPr>
                <w:rFonts w:ascii="Book Antiqua" w:eastAsia="PMingLiU" w:hAnsi="Book Antiqua"/>
                <w:b/>
                <w:bCs/>
                <w:color w:val="000000"/>
              </w:rPr>
            </w:pPr>
            <w:r w:rsidRPr="00587201">
              <w:rPr>
                <w:rFonts w:ascii="Book Antiqua" w:eastAsia="PMingLiU" w:hAnsi="Book Antiqua"/>
                <w:color w:val="000000"/>
              </w:rPr>
              <w:t>0</w:t>
            </w:r>
          </w:p>
        </w:tc>
        <w:tc>
          <w:tcPr>
            <w:tcW w:w="535" w:type="pct"/>
            <w:shd w:val="clear" w:color="auto" w:fill="FFFFFF"/>
          </w:tcPr>
          <w:p w14:paraId="030C2DCF" w14:textId="77777777" w:rsidR="001D73CD" w:rsidRPr="00587201" w:rsidRDefault="001D73CD" w:rsidP="00C14480">
            <w:pPr>
              <w:autoSpaceDE w:val="0"/>
              <w:autoSpaceDN w:val="0"/>
              <w:adjustRightInd w:val="0"/>
              <w:spacing w:line="360" w:lineRule="auto"/>
              <w:jc w:val="center"/>
              <w:rPr>
                <w:rFonts w:ascii="Book Antiqua" w:eastAsia="PMingLiU" w:hAnsi="Book Antiqua"/>
                <w:b/>
                <w:bCs/>
                <w:color w:val="000000"/>
              </w:rPr>
            </w:pPr>
          </w:p>
        </w:tc>
      </w:tr>
      <w:tr w:rsidR="001D73CD" w:rsidRPr="008E047C" w14:paraId="18DFA9DB" w14:textId="77777777" w:rsidTr="00C362F4">
        <w:trPr>
          <w:cantSplit/>
          <w:jc w:val="center"/>
        </w:trPr>
        <w:tc>
          <w:tcPr>
            <w:tcW w:w="1969" w:type="pct"/>
            <w:shd w:val="clear" w:color="auto" w:fill="FFFFFF"/>
          </w:tcPr>
          <w:p w14:paraId="6977AA2B" w14:textId="77777777" w:rsidR="001D73CD" w:rsidRPr="008E047C" w:rsidRDefault="001D73CD" w:rsidP="008E047C">
            <w:pPr>
              <w:autoSpaceDE w:val="0"/>
              <w:autoSpaceDN w:val="0"/>
              <w:adjustRightInd w:val="0"/>
              <w:spacing w:line="360" w:lineRule="auto"/>
              <w:ind w:firstLineChars="100" w:firstLine="240"/>
              <w:jc w:val="both"/>
              <w:rPr>
                <w:rFonts w:ascii="Book Antiqua" w:eastAsia="PMingLiU" w:hAnsi="Book Antiqua"/>
                <w:b/>
                <w:bCs/>
                <w:color w:val="000000"/>
              </w:rPr>
            </w:pPr>
            <w:r w:rsidRPr="008E047C">
              <w:rPr>
                <w:rFonts w:ascii="Book Antiqua" w:eastAsia="PMingLiU" w:hAnsi="Book Antiqua"/>
                <w:color w:val="000000"/>
              </w:rPr>
              <w:t>Life threatening</w:t>
            </w:r>
          </w:p>
        </w:tc>
        <w:tc>
          <w:tcPr>
            <w:tcW w:w="1324" w:type="pct"/>
            <w:shd w:val="clear" w:color="auto" w:fill="FFFFFF"/>
          </w:tcPr>
          <w:p w14:paraId="2EC8359D" w14:textId="77777777" w:rsidR="001D73CD" w:rsidRPr="008E047C" w:rsidRDefault="001D73CD" w:rsidP="00C14480">
            <w:pPr>
              <w:autoSpaceDE w:val="0"/>
              <w:autoSpaceDN w:val="0"/>
              <w:adjustRightInd w:val="0"/>
              <w:spacing w:line="360" w:lineRule="auto"/>
              <w:jc w:val="center"/>
              <w:rPr>
                <w:rFonts w:ascii="Book Antiqua" w:eastAsia="PMingLiU" w:hAnsi="Book Antiqua"/>
                <w:b/>
                <w:bCs/>
                <w:color w:val="000000"/>
              </w:rPr>
            </w:pPr>
            <w:r w:rsidRPr="008E047C">
              <w:rPr>
                <w:rFonts w:ascii="Book Antiqua" w:eastAsia="PMingLiU" w:hAnsi="Book Antiqua"/>
                <w:color w:val="000000"/>
              </w:rPr>
              <w:t>0</w:t>
            </w:r>
          </w:p>
        </w:tc>
        <w:tc>
          <w:tcPr>
            <w:tcW w:w="1172" w:type="pct"/>
            <w:shd w:val="clear" w:color="auto" w:fill="FFFFFF"/>
          </w:tcPr>
          <w:p w14:paraId="51BD9835" w14:textId="77777777" w:rsidR="001D73CD" w:rsidRPr="008E047C" w:rsidRDefault="001D73CD" w:rsidP="00C14480">
            <w:pPr>
              <w:autoSpaceDE w:val="0"/>
              <w:autoSpaceDN w:val="0"/>
              <w:adjustRightInd w:val="0"/>
              <w:spacing w:line="360" w:lineRule="auto"/>
              <w:jc w:val="center"/>
              <w:rPr>
                <w:rFonts w:ascii="Book Antiqua" w:eastAsia="PMingLiU" w:hAnsi="Book Antiqua"/>
                <w:b/>
                <w:bCs/>
                <w:color w:val="000000"/>
              </w:rPr>
            </w:pPr>
            <w:r w:rsidRPr="008E047C">
              <w:rPr>
                <w:rFonts w:ascii="Book Antiqua" w:eastAsia="PMingLiU" w:hAnsi="Book Antiqua"/>
                <w:color w:val="000000"/>
              </w:rPr>
              <w:t>0</w:t>
            </w:r>
          </w:p>
        </w:tc>
        <w:tc>
          <w:tcPr>
            <w:tcW w:w="535" w:type="pct"/>
            <w:shd w:val="clear" w:color="auto" w:fill="FFFFFF"/>
          </w:tcPr>
          <w:p w14:paraId="718510BA" w14:textId="77777777" w:rsidR="001D73CD" w:rsidRPr="008E047C" w:rsidRDefault="001D73CD" w:rsidP="00C14480">
            <w:pPr>
              <w:autoSpaceDE w:val="0"/>
              <w:autoSpaceDN w:val="0"/>
              <w:adjustRightInd w:val="0"/>
              <w:spacing w:line="360" w:lineRule="auto"/>
              <w:jc w:val="center"/>
              <w:rPr>
                <w:rFonts w:ascii="Book Antiqua" w:eastAsia="PMingLiU" w:hAnsi="Book Antiqua"/>
                <w:b/>
                <w:bCs/>
                <w:color w:val="000000"/>
              </w:rPr>
            </w:pPr>
          </w:p>
        </w:tc>
      </w:tr>
      <w:tr w:rsidR="001D73CD" w:rsidRPr="008E047C" w14:paraId="108F5193" w14:textId="77777777" w:rsidTr="00C362F4">
        <w:trPr>
          <w:cantSplit/>
          <w:jc w:val="center"/>
        </w:trPr>
        <w:tc>
          <w:tcPr>
            <w:tcW w:w="1969" w:type="pct"/>
            <w:shd w:val="clear" w:color="auto" w:fill="FFFFFF"/>
          </w:tcPr>
          <w:p w14:paraId="5783FAD1" w14:textId="77777777" w:rsidR="001D73CD" w:rsidRPr="008E047C" w:rsidRDefault="001D73CD" w:rsidP="008E047C">
            <w:pPr>
              <w:autoSpaceDE w:val="0"/>
              <w:autoSpaceDN w:val="0"/>
              <w:adjustRightInd w:val="0"/>
              <w:spacing w:line="360" w:lineRule="auto"/>
              <w:ind w:firstLineChars="100" w:firstLine="240"/>
              <w:jc w:val="both"/>
              <w:rPr>
                <w:rFonts w:ascii="Book Antiqua" w:eastAsia="PMingLiU" w:hAnsi="Book Antiqua"/>
                <w:b/>
                <w:bCs/>
                <w:color w:val="000000"/>
              </w:rPr>
            </w:pPr>
            <w:r w:rsidRPr="008E047C">
              <w:rPr>
                <w:rFonts w:ascii="Book Antiqua" w:eastAsia="PMingLiU" w:hAnsi="Book Antiqua"/>
                <w:color w:val="000000"/>
              </w:rPr>
              <w:t>Death</w:t>
            </w:r>
          </w:p>
        </w:tc>
        <w:tc>
          <w:tcPr>
            <w:tcW w:w="1324" w:type="pct"/>
            <w:shd w:val="clear" w:color="auto" w:fill="FFFFFF"/>
          </w:tcPr>
          <w:p w14:paraId="7D3A0FF8" w14:textId="77777777" w:rsidR="001D73CD" w:rsidRPr="008E047C" w:rsidRDefault="001D73CD" w:rsidP="00C14480">
            <w:pPr>
              <w:autoSpaceDE w:val="0"/>
              <w:autoSpaceDN w:val="0"/>
              <w:adjustRightInd w:val="0"/>
              <w:spacing w:line="360" w:lineRule="auto"/>
              <w:jc w:val="center"/>
              <w:rPr>
                <w:rFonts w:ascii="Book Antiqua" w:eastAsia="PMingLiU" w:hAnsi="Book Antiqua"/>
                <w:b/>
                <w:bCs/>
                <w:color w:val="000000"/>
              </w:rPr>
            </w:pPr>
            <w:r w:rsidRPr="008E047C">
              <w:rPr>
                <w:rFonts w:ascii="Book Antiqua" w:eastAsia="PMingLiU" w:hAnsi="Book Antiqua"/>
                <w:color w:val="000000"/>
              </w:rPr>
              <w:t>0</w:t>
            </w:r>
          </w:p>
        </w:tc>
        <w:tc>
          <w:tcPr>
            <w:tcW w:w="1172" w:type="pct"/>
            <w:shd w:val="clear" w:color="auto" w:fill="FFFFFF"/>
          </w:tcPr>
          <w:p w14:paraId="37839A73" w14:textId="77777777" w:rsidR="001D73CD" w:rsidRPr="008E047C" w:rsidRDefault="001D73CD" w:rsidP="00C14480">
            <w:pPr>
              <w:autoSpaceDE w:val="0"/>
              <w:autoSpaceDN w:val="0"/>
              <w:adjustRightInd w:val="0"/>
              <w:spacing w:line="360" w:lineRule="auto"/>
              <w:jc w:val="center"/>
              <w:rPr>
                <w:rFonts w:ascii="Book Antiqua" w:eastAsia="PMingLiU" w:hAnsi="Book Antiqua"/>
                <w:b/>
                <w:bCs/>
                <w:color w:val="000000"/>
              </w:rPr>
            </w:pPr>
            <w:r w:rsidRPr="008E047C">
              <w:rPr>
                <w:rFonts w:ascii="Book Antiqua" w:eastAsia="PMingLiU" w:hAnsi="Book Antiqua"/>
                <w:color w:val="000000"/>
              </w:rPr>
              <w:t>0</w:t>
            </w:r>
          </w:p>
        </w:tc>
        <w:tc>
          <w:tcPr>
            <w:tcW w:w="535" w:type="pct"/>
            <w:shd w:val="clear" w:color="auto" w:fill="FFFFFF"/>
          </w:tcPr>
          <w:p w14:paraId="4EC90345" w14:textId="77777777" w:rsidR="001D73CD" w:rsidRPr="008E047C" w:rsidRDefault="001D73CD" w:rsidP="00C14480">
            <w:pPr>
              <w:autoSpaceDE w:val="0"/>
              <w:autoSpaceDN w:val="0"/>
              <w:adjustRightInd w:val="0"/>
              <w:spacing w:line="360" w:lineRule="auto"/>
              <w:jc w:val="center"/>
              <w:rPr>
                <w:rFonts w:ascii="Book Antiqua" w:eastAsia="PMingLiU" w:hAnsi="Book Antiqua"/>
                <w:b/>
                <w:bCs/>
                <w:color w:val="000000"/>
              </w:rPr>
            </w:pPr>
          </w:p>
        </w:tc>
      </w:tr>
      <w:tr w:rsidR="001D73CD" w:rsidRPr="008E047C" w14:paraId="2E079DB8" w14:textId="77777777" w:rsidTr="00C362F4">
        <w:trPr>
          <w:cantSplit/>
          <w:jc w:val="center"/>
        </w:trPr>
        <w:tc>
          <w:tcPr>
            <w:tcW w:w="1969" w:type="pct"/>
            <w:shd w:val="clear" w:color="auto" w:fill="FFFFFF"/>
          </w:tcPr>
          <w:p w14:paraId="65393045" w14:textId="6859AAFD" w:rsidR="001D73CD" w:rsidRPr="00841CAF" w:rsidRDefault="001D73CD" w:rsidP="008E047C">
            <w:pPr>
              <w:autoSpaceDE w:val="0"/>
              <w:autoSpaceDN w:val="0"/>
              <w:adjustRightInd w:val="0"/>
              <w:spacing w:line="360" w:lineRule="auto"/>
              <w:jc w:val="both"/>
              <w:rPr>
                <w:rFonts w:ascii="Book Antiqua" w:eastAsia="PMingLiU" w:hAnsi="Book Antiqua"/>
                <w:bCs/>
                <w:color w:val="000000"/>
              </w:rPr>
            </w:pPr>
            <w:r w:rsidRPr="00841CAF">
              <w:rPr>
                <w:rFonts w:ascii="Book Antiqua" w:eastAsia="PMingLiU" w:hAnsi="Book Antiqua"/>
                <w:bCs/>
                <w:color w:val="000000"/>
              </w:rPr>
              <w:t xml:space="preserve">MedDRA </w:t>
            </w:r>
            <w:r w:rsidR="00841CAF" w:rsidRPr="00841CAF">
              <w:rPr>
                <w:rFonts w:ascii="Book Antiqua" w:eastAsia="PMingLiU" w:hAnsi="Book Antiqua"/>
                <w:bCs/>
                <w:color w:val="000000"/>
              </w:rPr>
              <w:t>preferred term</w:t>
            </w:r>
          </w:p>
        </w:tc>
        <w:tc>
          <w:tcPr>
            <w:tcW w:w="1324" w:type="pct"/>
            <w:shd w:val="clear" w:color="auto" w:fill="FFFFFF"/>
          </w:tcPr>
          <w:p w14:paraId="5DFDA5ED" w14:textId="77777777" w:rsidR="001D73CD" w:rsidRPr="008E047C" w:rsidRDefault="001D73CD" w:rsidP="00C14480">
            <w:pPr>
              <w:autoSpaceDE w:val="0"/>
              <w:autoSpaceDN w:val="0"/>
              <w:adjustRightInd w:val="0"/>
              <w:spacing w:line="360" w:lineRule="auto"/>
              <w:jc w:val="center"/>
              <w:rPr>
                <w:rFonts w:ascii="Book Antiqua" w:eastAsia="PMingLiU" w:hAnsi="Book Antiqua"/>
                <w:b/>
                <w:bCs/>
                <w:color w:val="000000"/>
              </w:rPr>
            </w:pPr>
          </w:p>
        </w:tc>
        <w:tc>
          <w:tcPr>
            <w:tcW w:w="1172" w:type="pct"/>
            <w:shd w:val="clear" w:color="auto" w:fill="FFFFFF"/>
          </w:tcPr>
          <w:p w14:paraId="66D34D49" w14:textId="77777777" w:rsidR="001D73CD" w:rsidRPr="008E047C" w:rsidRDefault="001D73CD" w:rsidP="00C14480">
            <w:pPr>
              <w:autoSpaceDE w:val="0"/>
              <w:autoSpaceDN w:val="0"/>
              <w:adjustRightInd w:val="0"/>
              <w:spacing w:line="360" w:lineRule="auto"/>
              <w:jc w:val="center"/>
              <w:rPr>
                <w:rFonts w:ascii="Book Antiqua" w:eastAsia="PMingLiU" w:hAnsi="Book Antiqua"/>
                <w:b/>
                <w:bCs/>
                <w:color w:val="000000"/>
              </w:rPr>
            </w:pPr>
          </w:p>
        </w:tc>
        <w:tc>
          <w:tcPr>
            <w:tcW w:w="535" w:type="pct"/>
            <w:shd w:val="clear" w:color="auto" w:fill="FFFFFF"/>
          </w:tcPr>
          <w:p w14:paraId="5348E1B4" w14:textId="77777777" w:rsidR="001D73CD" w:rsidRPr="008E047C" w:rsidRDefault="001D73CD" w:rsidP="00C14480">
            <w:pPr>
              <w:autoSpaceDE w:val="0"/>
              <w:autoSpaceDN w:val="0"/>
              <w:adjustRightInd w:val="0"/>
              <w:spacing w:line="360" w:lineRule="auto"/>
              <w:jc w:val="center"/>
              <w:rPr>
                <w:rFonts w:ascii="Book Antiqua" w:eastAsia="PMingLiU" w:hAnsi="Book Antiqua"/>
                <w:b/>
                <w:bCs/>
                <w:color w:val="000000"/>
              </w:rPr>
            </w:pPr>
          </w:p>
        </w:tc>
      </w:tr>
      <w:tr w:rsidR="001D73CD" w:rsidRPr="008E047C" w14:paraId="618F44AD" w14:textId="77777777" w:rsidTr="00C362F4">
        <w:trPr>
          <w:cantSplit/>
          <w:jc w:val="center"/>
        </w:trPr>
        <w:tc>
          <w:tcPr>
            <w:tcW w:w="1969" w:type="pct"/>
            <w:shd w:val="clear" w:color="auto" w:fill="FFFFFF"/>
          </w:tcPr>
          <w:p w14:paraId="753A61D3"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PMingLiU" w:hAnsi="Book Antiqua"/>
                <w:color w:val="000000"/>
              </w:rPr>
              <w:t>Blood phosphorus increased</w:t>
            </w:r>
          </w:p>
        </w:tc>
        <w:tc>
          <w:tcPr>
            <w:tcW w:w="1324" w:type="pct"/>
            <w:shd w:val="clear" w:color="auto" w:fill="FFFFFF"/>
          </w:tcPr>
          <w:p w14:paraId="5BC7CE84" w14:textId="764FDF46"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216 (97.3</w:t>
            </w:r>
            <w:r w:rsidR="00C14480">
              <w:rPr>
                <w:rFonts w:ascii="Book Antiqua" w:eastAsia="PMingLiU" w:hAnsi="Book Antiqua"/>
                <w:color w:val="000000"/>
              </w:rPr>
              <w:t>)</w:t>
            </w:r>
          </w:p>
        </w:tc>
        <w:tc>
          <w:tcPr>
            <w:tcW w:w="1172" w:type="pct"/>
            <w:shd w:val="clear" w:color="auto" w:fill="FFFFFF"/>
          </w:tcPr>
          <w:p w14:paraId="1B4A8954" w14:textId="2BC2C21E"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8 (3.6</w:t>
            </w:r>
            <w:r w:rsidR="00C14480">
              <w:rPr>
                <w:rFonts w:ascii="Book Antiqua" w:eastAsia="PMingLiU" w:hAnsi="Book Antiqua"/>
                <w:color w:val="000000"/>
              </w:rPr>
              <w:t>)</w:t>
            </w:r>
          </w:p>
        </w:tc>
        <w:tc>
          <w:tcPr>
            <w:tcW w:w="535" w:type="pct"/>
            <w:shd w:val="clear" w:color="auto" w:fill="FFFFFF"/>
          </w:tcPr>
          <w:p w14:paraId="15831A29" w14:textId="5C5E0E70"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&lt;</w:t>
            </w:r>
            <w:r w:rsidR="008E047C" w:rsidRPr="00587201">
              <w:rPr>
                <w:rFonts w:ascii="Book Antiqua" w:eastAsia="PMingLiU" w:hAnsi="Book Antiqua"/>
                <w:color w:val="000000"/>
              </w:rPr>
              <w:t xml:space="preserve"> </w:t>
            </w:r>
            <w:r w:rsidRPr="00587201">
              <w:rPr>
                <w:rFonts w:ascii="Book Antiqua" w:eastAsia="PMingLiU" w:hAnsi="Book Antiqua"/>
                <w:color w:val="000000"/>
              </w:rPr>
              <w:t>0.0001</w:t>
            </w:r>
          </w:p>
        </w:tc>
      </w:tr>
      <w:tr w:rsidR="001D73CD" w:rsidRPr="008E047C" w14:paraId="16D7B624" w14:textId="77777777" w:rsidTr="00C362F4">
        <w:trPr>
          <w:cantSplit/>
          <w:jc w:val="center"/>
        </w:trPr>
        <w:tc>
          <w:tcPr>
            <w:tcW w:w="1969" w:type="pct"/>
            <w:shd w:val="clear" w:color="auto" w:fill="FFFFFF"/>
          </w:tcPr>
          <w:p w14:paraId="504A7A03"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PMingLiU" w:hAnsi="Book Antiqua"/>
                <w:color w:val="000000"/>
              </w:rPr>
              <w:t>Blood potassium decreased</w:t>
            </w:r>
          </w:p>
        </w:tc>
        <w:tc>
          <w:tcPr>
            <w:tcW w:w="1324" w:type="pct"/>
            <w:shd w:val="clear" w:color="auto" w:fill="FFFFFF"/>
          </w:tcPr>
          <w:p w14:paraId="5437A4C6" w14:textId="620A239D"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109 (49.1</w:t>
            </w:r>
            <w:r w:rsidR="00C14480">
              <w:rPr>
                <w:rFonts w:ascii="Book Antiqua" w:eastAsia="PMingLiU" w:hAnsi="Book Antiqua"/>
                <w:color w:val="000000"/>
              </w:rPr>
              <w:t>)</w:t>
            </w:r>
          </w:p>
        </w:tc>
        <w:tc>
          <w:tcPr>
            <w:tcW w:w="1172" w:type="pct"/>
            <w:shd w:val="clear" w:color="auto" w:fill="FFFFFF"/>
          </w:tcPr>
          <w:p w14:paraId="75B9180B" w14:textId="71DBEDC0"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9 (4.1</w:t>
            </w:r>
            <w:r w:rsidR="00C14480">
              <w:rPr>
                <w:rFonts w:ascii="Book Antiqua" w:eastAsia="PMingLiU" w:hAnsi="Book Antiqua"/>
                <w:color w:val="000000"/>
              </w:rPr>
              <w:t>)</w:t>
            </w:r>
          </w:p>
        </w:tc>
        <w:tc>
          <w:tcPr>
            <w:tcW w:w="535" w:type="pct"/>
            <w:shd w:val="clear" w:color="auto" w:fill="FFFFFF"/>
          </w:tcPr>
          <w:p w14:paraId="58DC4F36" w14:textId="1F5CBA6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&lt;</w:t>
            </w:r>
            <w:r w:rsidR="008E047C" w:rsidRPr="00587201">
              <w:rPr>
                <w:rFonts w:ascii="Book Antiqua" w:eastAsia="PMingLiU" w:hAnsi="Book Antiqua"/>
                <w:color w:val="000000"/>
              </w:rPr>
              <w:t xml:space="preserve"> </w:t>
            </w:r>
            <w:r w:rsidRPr="00587201">
              <w:rPr>
                <w:rFonts w:ascii="Book Antiqua" w:eastAsia="PMingLiU" w:hAnsi="Book Antiqua"/>
                <w:color w:val="000000"/>
              </w:rPr>
              <w:t>0.0001</w:t>
            </w:r>
          </w:p>
        </w:tc>
      </w:tr>
      <w:tr w:rsidR="001D73CD" w:rsidRPr="008E047C" w14:paraId="08D73923" w14:textId="77777777" w:rsidTr="00C362F4">
        <w:trPr>
          <w:cantSplit/>
          <w:jc w:val="center"/>
        </w:trPr>
        <w:tc>
          <w:tcPr>
            <w:tcW w:w="1969" w:type="pct"/>
            <w:shd w:val="clear" w:color="auto" w:fill="FFFFFF"/>
          </w:tcPr>
          <w:p w14:paraId="6C734FA7"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PMingLiU" w:hAnsi="Book Antiqua"/>
                <w:color w:val="000000"/>
              </w:rPr>
              <w:t>Blood phosphorus decreased</w:t>
            </w:r>
          </w:p>
        </w:tc>
        <w:tc>
          <w:tcPr>
            <w:tcW w:w="1324" w:type="pct"/>
            <w:shd w:val="clear" w:color="auto" w:fill="FFFFFF"/>
          </w:tcPr>
          <w:p w14:paraId="1EC3ABF0" w14:textId="401D2C99"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6 (2.7</w:t>
            </w:r>
            <w:r w:rsidR="00C14480">
              <w:rPr>
                <w:rFonts w:ascii="Book Antiqua" w:eastAsia="PMingLiU" w:hAnsi="Book Antiqua"/>
                <w:color w:val="000000"/>
              </w:rPr>
              <w:t>)</w:t>
            </w:r>
          </w:p>
        </w:tc>
        <w:tc>
          <w:tcPr>
            <w:tcW w:w="1172" w:type="pct"/>
            <w:shd w:val="clear" w:color="auto" w:fill="FFFFFF"/>
          </w:tcPr>
          <w:p w14:paraId="53A7C9D0" w14:textId="7C76E77A"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42 (19.1</w:t>
            </w:r>
            <w:r w:rsidR="00C14480">
              <w:rPr>
                <w:rFonts w:ascii="Book Antiqua" w:eastAsia="PMingLiU" w:hAnsi="Book Antiqua"/>
                <w:color w:val="000000"/>
              </w:rPr>
              <w:t>)</w:t>
            </w:r>
          </w:p>
        </w:tc>
        <w:tc>
          <w:tcPr>
            <w:tcW w:w="535" w:type="pct"/>
            <w:shd w:val="clear" w:color="auto" w:fill="FFFFFF"/>
          </w:tcPr>
          <w:p w14:paraId="66F6102B" w14:textId="4367C17B"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&lt;</w:t>
            </w:r>
            <w:r w:rsidR="008E047C" w:rsidRPr="00587201">
              <w:rPr>
                <w:rFonts w:ascii="Book Antiqua" w:eastAsia="PMingLiU" w:hAnsi="Book Antiqua"/>
                <w:color w:val="000000"/>
              </w:rPr>
              <w:t xml:space="preserve"> </w:t>
            </w:r>
            <w:r w:rsidRPr="00587201">
              <w:rPr>
                <w:rFonts w:ascii="Book Antiqua" w:eastAsia="PMingLiU" w:hAnsi="Book Antiqua"/>
                <w:color w:val="000000"/>
              </w:rPr>
              <w:t>0.0001</w:t>
            </w:r>
          </w:p>
        </w:tc>
      </w:tr>
      <w:tr w:rsidR="001D73CD" w:rsidRPr="008E047C" w14:paraId="230E8833" w14:textId="77777777" w:rsidTr="00C362F4">
        <w:trPr>
          <w:cantSplit/>
          <w:jc w:val="center"/>
        </w:trPr>
        <w:tc>
          <w:tcPr>
            <w:tcW w:w="1969" w:type="pct"/>
            <w:shd w:val="clear" w:color="auto" w:fill="FFFFFF"/>
          </w:tcPr>
          <w:p w14:paraId="43B79C53"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PMingLiU" w:hAnsi="Book Antiqua"/>
                <w:color w:val="000000"/>
              </w:rPr>
              <w:t>Blood urea decreased</w:t>
            </w:r>
          </w:p>
        </w:tc>
        <w:tc>
          <w:tcPr>
            <w:tcW w:w="1324" w:type="pct"/>
            <w:shd w:val="clear" w:color="auto" w:fill="FFFFFF"/>
          </w:tcPr>
          <w:p w14:paraId="75F50739" w14:textId="77113675"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16 (7.2</w:t>
            </w:r>
            <w:r w:rsidR="00C14480">
              <w:rPr>
                <w:rFonts w:ascii="Book Antiqua" w:eastAsia="PMingLiU" w:hAnsi="Book Antiqua"/>
                <w:color w:val="000000"/>
              </w:rPr>
              <w:t>)</w:t>
            </w:r>
          </w:p>
        </w:tc>
        <w:tc>
          <w:tcPr>
            <w:tcW w:w="1172" w:type="pct"/>
            <w:shd w:val="clear" w:color="auto" w:fill="FFFFFF"/>
          </w:tcPr>
          <w:p w14:paraId="54230533" w14:textId="78AE410D"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7 (3.2</w:t>
            </w:r>
            <w:r w:rsidR="00C14480">
              <w:rPr>
                <w:rFonts w:ascii="Book Antiqua" w:eastAsia="PMingLiU" w:hAnsi="Book Antiqua"/>
                <w:color w:val="000000"/>
              </w:rPr>
              <w:t>)</w:t>
            </w:r>
          </w:p>
        </w:tc>
        <w:tc>
          <w:tcPr>
            <w:tcW w:w="535" w:type="pct"/>
            <w:shd w:val="clear" w:color="auto" w:fill="FFFFFF"/>
          </w:tcPr>
          <w:p w14:paraId="5E8B5A28"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0.0847</w:t>
            </w:r>
          </w:p>
        </w:tc>
      </w:tr>
      <w:tr w:rsidR="001D73CD" w:rsidRPr="008E047C" w14:paraId="776C3EAB" w14:textId="77777777" w:rsidTr="00C362F4">
        <w:trPr>
          <w:cantSplit/>
          <w:jc w:val="center"/>
        </w:trPr>
        <w:tc>
          <w:tcPr>
            <w:tcW w:w="1969" w:type="pct"/>
            <w:shd w:val="clear" w:color="auto" w:fill="FFFFFF"/>
          </w:tcPr>
          <w:p w14:paraId="7F8BD3EE"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PMingLiU" w:hAnsi="Book Antiqua"/>
                <w:color w:val="000000"/>
              </w:rPr>
              <w:t>Blood chloride decreased</w:t>
            </w:r>
          </w:p>
        </w:tc>
        <w:tc>
          <w:tcPr>
            <w:tcW w:w="1324" w:type="pct"/>
            <w:shd w:val="clear" w:color="auto" w:fill="FFFFFF"/>
          </w:tcPr>
          <w:p w14:paraId="324E55A3" w14:textId="0A3C0CBF"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14 (6.3</w:t>
            </w:r>
            <w:r w:rsidR="00C14480">
              <w:rPr>
                <w:rFonts w:ascii="Book Antiqua" w:eastAsia="PMingLiU" w:hAnsi="Book Antiqua"/>
                <w:color w:val="000000"/>
              </w:rPr>
              <w:t>)</w:t>
            </w:r>
          </w:p>
        </w:tc>
        <w:tc>
          <w:tcPr>
            <w:tcW w:w="1172" w:type="pct"/>
            <w:shd w:val="clear" w:color="auto" w:fill="FFFFFF"/>
          </w:tcPr>
          <w:p w14:paraId="02381194" w14:textId="6DFC3ED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8 (3.6</w:t>
            </w:r>
            <w:r w:rsidR="00C14480">
              <w:rPr>
                <w:rFonts w:ascii="Book Antiqua" w:eastAsia="PMingLiU" w:hAnsi="Book Antiqua"/>
                <w:color w:val="000000"/>
              </w:rPr>
              <w:t>)</w:t>
            </w:r>
          </w:p>
        </w:tc>
        <w:tc>
          <w:tcPr>
            <w:tcW w:w="535" w:type="pct"/>
            <w:shd w:val="clear" w:color="auto" w:fill="FFFFFF"/>
          </w:tcPr>
          <w:p w14:paraId="3C07198E"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0.2740</w:t>
            </w:r>
          </w:p>
        </w:tc>
      </w:tr>
      <w:tr w:rsidR="001D73CD" w:rsidRPr="008E047C" w14:paraId="21B7BA1C" w14:textId="77777777" w:rsidTr="00C362F4">
        <w:trPr>
          <w:cantSplit/>
          <w:jc w:val="center"/>
        </w:trPr>
        <w:tc>
          <w:tcPr>
            <w:tcW w:w="1969" w:type="pct"/>
            <w:shd w:val="clear" w:color="auto" w:fill="FFFFFF"/>
          </w:tcPr>
          <w:p w14:paraId="0EAD0E0D"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PMingLiU" w:hAnsi="Book Antiqua"/>
                <w:color w:val="000000"/>
              </w:rPr>
              <w:t>Blood chloride increased</w:t>
            </w:r>
          </w:p>
        </w:tc>
        <w:tc>
          <w:tcPr>
            <w:tcW w:w="1324" w:type="pct"/>
            <w:shd w:val="clear" w:color="auto" w:fill="FFFFFF"/>
          </w:tcPr>
          <w:p w14:paraId="2000B9CE" w14:textId="081E8913"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6 (2.7</w:t>
            </w:r>
            <w:r w:rsidR="00C14480">
              <w:rPr>
                <w:rFonts w:ascii="Book Antiqua" w:eastAsia="PMingLiU" w:hAnsi="Book Antiqua"/>
                <w:color w:val="000000"/>
              </w:rPr>
              <w:t>)</w:t>
            </w:r>
          </w:p>
        </w:tc>
        <w:tc>
          <w:tcPr>
            <w:tcW w:w="1172" w:type="pct"/>
            <w:shd w:val="clear" w:color="auto" w:fill="FFFFFF"/>
          </w:tcPr>
          <w:p w14:paraId="56E4C656" w14:textId="5E438EF5"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7 (3.2</w:t>
            </w:r>
            <w:r w:rsidR="00C14480">
              <w:rPr>
                <w:rFonts w:ascii="Book Antiqua" w:eastAsia="PMingLiU" w:hAnsi="Book Antiqua"/>
                <w:color w:val="000000"/>
              </w:rPr>
              <w:t>)</w:t>
            </w:r>
          </w:p>
        </w:tc>
        <w:tc>
          <w:tcPr>
            <w:tcW w:w="535" w:type="pct"/>
            <w:shd w:val="clear" w:color="auto" w:fill="FFFFFF"/>
          </w:tcPr>
          <w:p w14:paraId="2199BB6B"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0.7867</w:t>
            </w:r>
          </w:p>
        </w:tc>
      </w:tr>
      <w:tr w:rsidR="001D73CD" w:rsidRPr="008E047C" w14:paraId="3C6A6EF8" w14:textId="77777777" w:rsidTr="00C362F4">
        <w:trPr>
          <w:cantSplit/>
          <w:jc w:val="center"/>
        </w:trPr>
        <w:tc>
          <w:tcPr>
            <w:tcW w:w="1969" w:type="pct"/>
            <w:shd w:val="clear" w:color="auto" w:fill="FFFFFF"/>
          </w:tcPr>
          <w:p w14:paraId="206B8D87"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PMingLiU" w:hAnsi="Book Antiqua"/>
                <w:color w:val="000000"/>
              </w:rPr>
              <w:t>Blood calcium decreased</w:t>
            </w:r>
          </w:p>
        </w:tc>
        <w:tc>
          <w:tcPr>
            <w:tcW w:w="1324" w:type="pct"/>
            <w:shd w:val="clear" w:color="auto" w:fill="FFFFFF"/>
          </w:tcPr>
          <w:p w14:paraId="59214736" w14:textId="2DE05D7C"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6 (2.7</w:t>
            </w:r>
            <w:r w:rsidR="00C14480">
              <w:rPr>
                <w:rFonts w:ascii="Book Antiqua" w:eastAsia="PMingLiU" w:hAnsi="Book Antiqua"/>
                <w:color w:val="000000"/>
              </w:rPr>
              <w:t>)</w:t>
            </w:r>
          </w:p>
        </w:tc>
        <w:tc>
          <w:tcPr>
            <w:tcW w:w="1172" w:type="pct"/>
            <w:shd w:val="clear" w:color="auto" w:fill="FFFFFF"/>
          </w:tcPr>
          <w:p w14:paraId="6CB5D448" w14:textId="2D49CAEE"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1 (0.5</w:t>
            </w:r>
            <w:r w:rsidR="00C14480">
              <w:rPr>
                <w:rFonts w:ascii="Book Antiqua" w:eastAsia="PMingLiU" w:hAnsi="Book Antiqua"/>
                <w:color w:val="000000"/>
              </w:rPr>
              <w:t>)</w:t>
            </w:r>
          </w:p>
        </w:tc>
        <w:tc>
          <w:tcPr>
            <w:tcW w:w="535" w:type="pct"/>
            <w:shd w:val="clear" w:color="auto" w:fill="FFFFFF"/>
          </w:tcPr>
          <w:p w14:paraId="169DBD0E"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0.1221</w:t>
            </w:r>
          </w:p>
        </w:tc>
      </w:tr>
      <w:tr w:rsidR="001D73CD" w:rsidRPr="008E047C" w14:paraId="0EF98B8E" w14:textId="77777777" w:rsidTr="00C362F4">
        <w:trPr>
          <w:cantSplit/>
          <w:jc w:val="center"/>
        </w:trPr>
        <w:tc>
          <w:tcPr>
            <w:tcW w:w="1969" w:type="pct"/>
            <w:shd w:val="clear" w:color="auto" w:fill="FFFFFF"/>
          </w:tcPr>
          <w:p w14:paraId="5A2FF25D"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PMingLiU" w:hAnsi="Book Antiqua"/>
                <w:color w:val="000000"/>
              </w:rPr>
              <w:t>Blood sodium decreased</w:t>
            </w:r>
          </w:p>
        </w:tc>
        <w:tc>
          <w:tcPr>
            <w:tcW w:w="1324" w:type="pct"/>
            <w:shd w:val="clear" w:color="auto" w:fill="FFFFFF"/>
          </w:tcPr>
          <w:p w14:paraId="7C71C48E" w14:textId="6D6AB4C4"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7 (3.2</w:t>
            </w:r>
            <w:r w:rsidR="00C14480">
              <w:rPr>
                <w:rFonts w:ascii="Book Antiqua" w:eastAsia="PMingLiU" w:hAnsi="Book Antiqua"/>
                <w:color w:val="000000"/>
              </w:rPr>
              <w:t>)</w:t>
            </w:r>
          </w:p>
        </w:tc>
        <w:tc>
          <w:tcPr>
            <w:tcW w:w="1172" w:type="pct"/>
            <w:shd w:val="clear" w:color="auto" w:fill="FFFFFF"/>
          </w:tcPr>
          <w:p w14:paraId="338E7592"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0</w:t>
            </w:r>
          </w:p>
        </w:tc>
        <w:tc>
          <w:tcPr>
            <w:tcW w:w="535" w:type="pct"/>
            <w:shd w:val="clear" w:color="auto" w:fill="FFFFFF"/>
          </w:tcPr>
          <w:p w14:paraId="7B4130C9"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0.0149</w:t>
            </w:r>
          </w:p>
        </w:tc>
      </w:tr>
      <w:tr w:rsidR="001D73CD" w:rsidRPr="008E047C" w14:paraId="0300491A" w14:textId="77777777" w:rsidTr="00C362F4">
        <w:trPr>
          <w:cantSplit/>
          <w:jc w:val="center"/>
        </w:trPr>
        <w:tc>
          <w:tcPr>
            <w:tcW w:w="1969" w:type="pct"/>
            <w:shd w:val="clear" w:color="auto" w:fill="FFFFFF"/>
          </w:tcPr>
          <w:p w14:paraId="166B75DE"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PMingLiU" w:hAnsi="Book Antiqua"/>
                <w:color w:val="000000"/>
              </w:rPr>
              <w:t>Blood creatinine decreased</w:t>
            </w:r>
          </w:p>
        </w:tc>
        <w:tc>
          <w:tcPr>
            <w:tcW w:w="1324" w:type="pct"/>
            <w:shd w:val="clear" w:color="auto" w:fill="FFFFFF"/>
          </w:tcPr>
          <w:p w14:paraId="339590BA" w14:textId="3AD408AB"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2 (0.9</w:t>
            </w:r>
            <w:r w:rsidR="00C14480">
              <w:rPr>
                <w:rFonts w:ascii="Book Antiqua" w:eastAsia="PMingLiU" w:hAnsi="Book Antiqua"/>
                <w:color w:val="000000"/>
              </w:rPr>
              <w:t>)</w:t>
            </w:r>
          </w:p>
        </w:tc>
        <w:tc>
          <w:tcPr>
            <w:tcW w:w="1172" w:type="pct"/>
            <w:shd w:val="clear" w:color="auto" w:fill="FFFFFF"/>
          </w:tcPr>
          <w:p w14:paraId="0BDE0990" w14:textId="623038C5"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1 (0.5</w:t>
            </w:r>
            <w:r w:rsidR="00C14480">
              <w:rPr>
                <w:rFonts w:ascii="Book Antiqua" w:eastAsia="PMingLiU" w:hAnsi="Book Antiqua"/>
                <w:color w:val="000000"/>
              </w:rPr>
              <w:t>)</w:t>
            </w:r>
          </w:p>
        </w:tc>
        <w:tc>
          <w:tcPr>
            <w:tcW w:w="535" w:type="pct"/>
            <w:shd w:val="clear" w:color="auto" w:fill="FFFFFF"/>
          </w:tcPr>
          <w:p w14:paraId="6021928E"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1.0000</w:t>
            </w:r>
          </w:p>
        </w:tc>
      </w:tr>
      <w:tr w:rsidR="001D73CD" w:rsidRPr="008E047C" w14:paraId="3221902C" w14:textId="77777777" w:rsidTr="00C362F4">
        <w:trPr>
          <w:cantSplit/>
          <w:jc w:val="center"/>
        </w:trPr>
        <w:tc>
          <w:tcPr>
            <w:tcW w:w="1969" w:type="pct"/>
            <w:shd w:val="clear" w:color="auto" w:fill="FFFFFF"/>
          </w:tcPr>
          <w:p w14:paraId="3D01130F"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PMingLiU" w:hAnsi="Book Antiqua"/>
                <w:color w:val="000000"/>
              </w:rPr>
              <w:t>Blood urea increased</w:t>
            </w:r>
          </w:p>
        </w:tc>
        <w:tc>
          <w:tcPr>
            <w:tcW w:w="1324" w:type="pct"/>
            <w:shd w:val="clear" w:color="auto" w:fill="FFFFFF"/>
          </w:tcPr>
          <w:p w14:paraId="6D44EB29" w14:textId="3CB7E37D"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1 (0.5</w:t>
            </w:r>
            <w:r w:rsidR="00C14480">
              <w:rPr>
                <w:rFonts w:ascii="Book Antiqua" w:eastAsia="PMingLiU" w:hAnsi="Book Antiqua"/>
                <w:color w:val="000000"/>
              </w:rPr>
              <w:t>)</w:t>
            </w:r>
          </w:p>
        </w:tc>
        <w:tc>
          <w:tcPr>
            <w:tcW w:w="1172" w:type="pct"/>
            <w:shd w:val="clear" w:color="auto" w:fill="FFFFFF"/>
          </w:tcPr>
          <w:p w14:paraId="07FE6408" w14:textId="70CB4EBF"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2 (0.9</w:t>
            </w:r>
            <w:r w:rsidR="00C14480">
              <w:rPr>
                <w:rFonts w:ascii="Book Antiqua" w:eastAsia="PMingLiU" w:hAnsi="Book Antiqua"/>
                <w:color w:val="000000"/>
              </w:rPr>
              <w:t>)</w:t>
            </w:r>
          </w:p>
        </w:tc>
        <w:tc>
          <w:tcPr>
            <w:tcW w:w="535" w:type="pct"/>
            <w:shd w:val="clear" w:color="auto" w:fill="FFFFFF"/>
          </w:tcPr>
          <w:p w14:paraId="45503C2E"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0.6224</w:t>
            </w:r>
          </w:p>
        </w:tc>
      </w:tr>
      <w:tr w:rsidR="001D73CD" w:rsidRPr="008E047C" w14:paraId="16F45F87" w14:textId="77777777" w:rsidTr="00C362F4">
        <w:trPr>
          <w:cantSplit/>
          <w:jc w:val="center"/>
        </w:trPr>
        <w:tc>
          <w:tcPr>
            <w:tcW w:w="1969" w:type="pct"/>
            <w:shd w:val="clear" w:color="auto" w:fill="FFFFFF"/>
          </w:tcPr>
          <w:p w14:paraId="4CA4AB32"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PMingLiU" w:hAnsi="Book Antiqua"/>
                <w:color w:val="000000"/>
              </w:rPr>
              <w:t>Blood magnesium increased</w:t>
            </w:r>
          </w:p>
        </w:tc>
        <w:tc>
          <w:tcPr>
            <w:tcW w:w="1324" w:type="pct"/>
            <w:shd w:val="clear" w:color="auto" w:fill="FFFFFF"/>
          </w:tcPr>
          <w:p w14:paraId="64487461" w14:textId="01F86943"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2 (0.9</w:t>
            </w:r>
            <w:r w:rsidR="00C14480">
              <w:rPr>
                <w:rFonts w:ascii="Book Antiqua" w:eastAsia="PMingLiU" w:hAnsi="Book Antiqua"/>
                <w:color w:val="000000"/>
              </w:rPr>
              <w:t>)</w:t>
            </w:r>
          </w:p>
        </w:tc>
        <w:tc>
          <w:tcPr>
            <w:tcW w:w="1172" w:type="pct"/>
            <w:shd w:val="clear" w:color="auto" w:fill="FFFFFF"/>
          </w:tcPr>
          <w:p w14:paraId="4AA59790"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0</w:t>
            </w:r>
          </w:p>
        </w:tc>
        <w:tc>
          <w:tcPr>
            <w:tcW w:w="535" w:type="pct"/>
            <w:shd w:val="clear" w:color="auto" w:fill="FFFFFF"/>
          </w:tcPr>
          <w:p w14:paraId="4DB43F7C"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0.4989</w:t>
            </w:r>
          </w:p>
        </w:tc>
      </w:tr>
      <w:tr w:rsidR="001D73CD" w:rsidRPr="008E047C" w14:paraId="4DAC0921" w14:textId="77777777" w:rsidTr="00C362F4">
        <w:trPr>
          <w:cantSplit/>
          <w:jc w:val="center"/>
        </w:trPr>
        <w:tc>
          <w:tcPr>
            <w:tcW w:w="1969" w:type="pct"/>
            <w:shd w:val="clear" w:color="auto" w:fill="FFFFFF"/>
          </w:tcPr>
          <w:p w14:paraId="38016B9A"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PMingLiU" w:hAnsi="Book Antiqua"/>
                <w:color w:val="000000"/>
              </w:rPr>
              <w:lastRenderedPageBreak/>
              <w:t>Blood sodium increased</w:t>
            </w:r>
          </w:p>
        </w:tc>
        <w:tc>
          <w:tcPr>
            <w:tcW w:w="1324" w:type="pct"/>
            <w:shd w:val="clear" w:color="auto" w:fill="FFFFFF"/>
          </w:tcPr>
          <w:p w14:paraId="2989B735" w14:textId="189C79AB"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1 (0.5</w:t>
            </w:r>
            <w:r w:rsidR="00C14480">
              <w:rPr>
                <w:rFonts w:ascii="Book Antiqua" w:eastAsia="PMingLiU" w:hAnsi="Book Antiqua"/>
                <w:color w:val="000000"/>
              </w:rPr>
              <w:t>)</w:t>
            </w:r>
          </w:p>
        </w:tc>
        <w:tc>
          <w:tcPr>
            <w:tcW w:w="1172" w:type="pct"/>
            <w:shd w:val="clear" w:color="auto" w:fill="FFFFFF"/>
          </w:tcPr>
          <w:p w14:paraId="234631F0" w14:textId="46FC6DFB"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1 (0.5</w:t>
            </w:r>
            <w:r w:rsidR="00C14480">
              <w:rPr>
                <w:rFonts w:ascii="Book Antiqua" w:eastAsia="PMingLiU" w:hAnsi="Book Antiqua"/>
                <w:color w:val="000000"/>
              </w:rPr>
              <w:t>)</w:t>
            </w:r>
          </w:p>
        </w:tc>
        <w:tc>
          <w:tcPr>
            <w:tcW w:w="535" w:type="pct"/>
            <w:shd w:val="clear" w:color="auto" w:fill="FFFFFF"/>
          </w:tcPr>
          <w:p w14:paraId="56F69B2E"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1.0000</w:t>
            </w:r>
          </w:p>
        </w:tc>
      </w:tr>
      <w:tr w:rsidR="001D73CD" w:rsidRPr="008E047C" w14:paraId="72DCA10F" w14:textId="77777777" w:rsidTr="00C362F4">
        <w:trPr>
          <w:cantSplit/>
          <w:jc w:val="center"/>
        </w:trPr>
        <w:tc>
          <w:tcPr>
            <w:tcW w:w="1969" w:type="pct"/>
            <w:shd w:val="clear" w:color="auto" w:fill="FFFFFF"/>
          </w:tcPr>
          <w:p w14:paraId="5BE71386"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Courier" w:hAnsi="Book Antiqua"/>
                <w:color w:val="000000"/>
              </w:rPr>
              <w:t>Blood creatinine increased</w:t>
            </w:r>
          </w:p>
        </w:tc>
        <w:tc>
          <w:tcPr>
            <w:tcW w:w="1324" w:type="pct"/>
            <w:shd w:val="clear" w:color="auto" w:fill="FFFFFF"/>
          </w:tcPr>
          <w:p w14:paraId="4AE4E208" w14:textId="6344E40B"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Courier" w:hAnsi="Book Antiqua"/>
                <w:color w:val="000000"/>
              </w:rPr>
              <w:t>1 (0.5</w:t>
            </w:r>
            <w:r w:rsidR="00C14480">
              <w:rPr>
                <w:rFonts w:ascii="Book Antiqua" w:eastAsia="Courier" w:hAnsi="Book Antiqua"/>
                <w:color w:val="000000"/>
              </w:rPr>
              <w:t>)</w:t>
            </w:r>
          </w:p>
        </w:tc>
        <w:tc>
          <w:tcPr>
            <w:tcW w:w="1172" w:type="pct"/>
            <w:shd w:val="clear" w:color="auto" w:fill="FFFFFF"/>
          </w:tcPr>
          <w:p w14:paraId="49C02B64"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Courier" w:hAnsi="Book Antiqua"/>
                <w:color w:val="000000"/>
              </w:rPr>
              <w:t>0</w:t>
            </w:r>
          </w:p>
        </w:tc>
        <w:tc>
          <w:tcPr>
            <w:tcW w:w="535" w:type="pct"/>
            <w:shd w:val="clear" w:color="auto" w:fill="FFFFFF"/>
          </w:tcPr>
          <w:p w14:paraId="6C4D770A"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Courier" w:hAnsi="Book Antiqua"/>
                <w:color w:val="000000"/>
              </w:rPr>
              <w:t>1.0000</w:t>
            </w:r>
          </w:p>
        </w:tc>
      </w:tr>
      <w:tr w:rsidR="001D73CD" w:rsidRPr="008E047C" w14:paraId="60E154E0" w14:textId="77777777" w:rsidTr="00C362F4">
        <w:trPr>
          <w:cantSplit/>
          <w:jc w:val="center"/>
        </w:trPr>
        <w:tc>
          <w:tcPr>
            <w:tcW w:w="1969" w:type="pct"/>
            <w:shd w:val="clear" w:color="auto" w:fill="FFFFFF"/>
          </w:tcPr>
          <w:p w14:paraId="151BA1FB"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Courier" w:hAnsi="Book Antiqua"/>
                <w:color w:val="000000"/>
              </w:rPr>
              <w:t>Blood potassium increased</w:t>
            </w:r>
          </w:p>
        </w:tc>
        <w:tc>
          <w:tcPr>
            <w:tcW w:w="1324" w:type="pct"/>
            <w:shd w:val="clear" w:color="auto" w:fill="FFFFFF"/>
          </w:tcPr>
          <w:p w14:paraId="6021D274" w14:textId="020BEF85"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Courier" w:hAnsi="Book Antiqua"/>
                <w:color w:val="000000"/>
              </w:rPr>
              <w:t>1 (0.5</w:t>
            </w:r>
            <w:r w:rsidR="00C14480">
              <w:rPr>
                <w:rFonts w:ascii="Book Antiqua" w:eastAsia="Courier" w:hAnsi="Book Antiqua"/>
                <w:color w:val="000000"/>
              </w:rPr>
              <w:t>)</w:t>
            </w:r>
          </w:p>
        </w:tc>
        <w:tc>
          <w:tcPr>
            <w:tcW w:w="1172" w:type="pct"/>
            <w:shd w:val="clear" w:color="auto" w:fill="FFFFFF"/>
          </w:tcPr>
          <w:p w14:paraId="0C9395CB"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Courier" w:hAnsi="Book Antiqua"/>
                <w:color w:val="000000"/>
              </w:rPr>
              <w:t>0</w:t>
            </w:r>
          </w:p>
        </w:tc>
        <w:tc>
          <w:tcPr>
            <w:tcW w:w="535" w:type="pct"/>
            <w:shd w:val="clear" w:color="auto" w:fill="FFFFFF"/>
          </w:tcPr>
          <w:p w14:paraId="14E64492"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Courier" w:hAnsi="Book Antiqua"/>
                <w:color w:val="000000"/>
              </w:rPr>
              <w:t>1.0000</w:t>
            </w:r>
          </w:p>
        </w:tc>
      </w:tr>
      <w:tr w:rsidR="001D73CD" w:rsidRPr="008E047C" w14:paraId="76D106A3" w14:textId="77777777" w:rsidTr="00C362F4">
        <w:trPr>
          <w:cantSplit/>
          <w:jc w:val="center"/>
        </w:trPr>
        <w:tc>
          <w:tcPr>
            <w:tcW w:w="1969" w:type="pct"/>
            <w:shd w:val="clear" w:color="auto" w:fill="FFFFFF"/>
          </w:tcPr>
          <w:p w14:paraId="3F820C49" w14:textId="77777777" w:rsidR="001D73CD" w:rsidRPr="00587201"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587201">
              <w:rPr>
                <w:rFonts w:ascii="Book Antiqua" w:eastAsia="PMingLiU" w:hAnsi="Book Antiqua"/>
                <w:color w:val="000000"/>
              </w:rPr>
              <w:t>Duodenal ulcer</w:t>
            </w:r>
          </w:p>
        </w:tc>
        <w:tc>
          <w:tcPr>
            <w:tcW w:w="1324" w:type="pct"/>
            <w:shd w:val="clear" w:color="auto" w:fill="FFFFFF"/>
          </w:tcPr>
          <w:p w14:paraId="7B1E3078"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0</w:t>
            </w:r>
          </w:p>
        </w:tc>
        <w:tc>
          <w:tcPr>
            <w:tcW w:w="1172" w:type="pct"/>
            <w:shd w:val="clear" w:color="auto" w:fill="FFFFFF"/>
          </w:tcPr>
          <w:p w14:paraId="503677A2" w14:textId="07B238F6"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1 (0.5</w:t>
            </w:r>
            <w:r w:rsidR="00C14480">
              <w:rPr>
                <w:rFonts w:ascii="Book Antiqua" w:eastAsia="PMingLiU" w:hAnsi="Book Antiqua"/>
                <w:color w:val="000000"/>
              </w:rPr>
              <w:t>)</w:t>
            </w:r>
          </w:p>
        </w:tc>
        <w:tc>
          <w:tcPr>
            <w:tcW w:w="535" w:type="pct"/>
            <w:shd w:val="clear" w:color="auto" w:fill="FFFFFF"/>
          </w:tcPr>
          <w:p w14:paraId="54986E6C" w14:textId="77777777" w:rsidR="001D73CD" w:rsidRPr="00587201" w:rsidRDefault="001D73CD" w:rsidP="00C14480">
            <w:pPr>
              <w:autoSpaceDE w:val="0"/>
              <w:autoSpaceDN w:val="0"/>
              <w:adjustRightInd w:val="0"/>
              <w:spacing w:line="360" w:lineRule="auto"/>
              <w:jc w:val="center"/>
              <w:rPr>
                <w:rFonts w:ascii="Book Antiqua" w:eastAsia="PMingLiU" w:hAnsi="Book Antiqua"/>
                <w:color w:val="000000"/>
              </w:rPr>
            </w:pPr>
            <w:r w:rsidRPr="00587201">
              <w:rPr>
                <w:rFonts w:ascii="Book Antiqua" w:eastAsia="PMingLiU" w:hAnsi="Book Antiqua"/>
                <w:color w:val="000000"/>
              </w:rPr>
              <w:t>0.4977</w:t>
            </w:r>
          </w:p>
        </w:tc>
      </w:tr>
      <w:tr w:rsidR="001D73CD" w:rsidRPr="008E047C" w14:paraId="1DB8C35A" w14:textId="77777777" w:rsidTr="00C362F4">
        <w:trPr>
          <w:cantSplit/>
          <w:jc w:val="center"/>
        </w:trPr>
        <w:tc>
          <w:tcPr>
            <w:tcW w:w="1969" w:type="pct"/>
            <w:shd w:val="clear" w:color="auto" w:fill="FFFFFF"/>
          </w:tcPr>
          <w:p w14:paraId="4BF8A083" w14:textId="77777777" w:rsidR="001D73CD" w:rsidRPr="008E047C"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8E047C">
              <w:rPr>
                <w:rFonts w:ascii="Book Antiqua" w:eastAsia="PMingLiU" w:hAnsi="Book Antiqua"/>
                <w:color w:val="000000"/>
              </w:rPr>
              <w:t>Nonalcoholic fatty liver disease</w:t>
            </w:r>
          </w:p>
        </w:tc>
        <w:tc>
          <w:tcPr>
            <w:tcW w:w="1324" w:type="pct"/>
            <w:shd w:val="clear" w:color="auto" w:fill="FFFFFF"/>
          </w:tcPr>
          <w:p w14:paraId="1C32A0D4"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0</w:t>
            </w:r>
          </w:p>
        </w:tc>
        <w:tc>
          <w:tcPr>
            <w:tcW w:w="1172" w:type="pct"/>
            <w:shd w:val="clear" w:color="auto" w:fill="FFFFFF"/>
          </w:tcPr>
          <w:p w14:paraId="5D509352" w14:textId="3EA08EF5"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1 (0.5</w:t>
            </w:r>
            <w:r w:rsidR="00C14480">
              <w:rPr>
                <w:rFonts w:ascii="Book Antiqua" w:eastAsia="PMingLiU" w:hAnsi="Book Antiqua"/>
                <w:color w:val="000000"/>
              </w:rPr>
              <w:t>)</w:t>
            </w:r>
          </w:p>
        </w:tc>
        <w:tc>
          <w:tcPr>
            <w:tcW w:w="535" w:type="pct"/>
            <w:shd w:val="clear" w:color="auto" w:fill="FFFFFF"/>
          </w:tcPr>
          <w:p w14:paraId="7730945E"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0.4977</w:t>
            </w:r>
          </w:p>
        </w:tc>
      </w:tr>
      <w:tr w:rsidR="001D73CD" w:rsidRPr="008E047C" w14:paraId="1261F60D" w14:textId="77777777" w:rsidTr="00C362F4">
        <w:trPr>
          <w:cantSplit/>
          <w:jc w:val="center"/>
        </w:trPr>
        <w:tc>
          <w:tcPr>
            <w:tcW w:w="1969" w:type="pct"/>
            <w:shd w:val="clear" w:color="auto" w:fill="FFFFFF"/>
          </w:tcPr>
          <w:p w14:paraId="542B0812" w14:textId="77777777" w:rsidR="001D73CD" w:rsidRPr="008E047C"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8E047C">
              <w:rPr>
                <w:rFonts w:ascii="Book Antiqua" w:eastAsia="PMingLiU" w:hAnsi="Book Antiqua"/>
                <w:color w:val="000000"/>
              </w:rPr>
              <w:t>Herpes zoster</w:t>
            </w:r>
          </w:p>
        </w:tc>
        <w:tc>
          <w:tcPr>
            <w:tcW w:w="1324" w:type="pct"/>
            <w:shd w:val="clear" w:color="auto" w:fill="FFFFFF"/>
          </w:tcPr>
          <w:p w14:paraId="11E1731C"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0</w:t>
            </w:r>
          </w:p>
        </w:tc>
        <w:tc>
          <w:tcPr>
            <w:tcW w:w="1172" w:type="pct"/>
            <w:shd w:val="clear" w:color="auto" w:fill="FFFFFF"/>
          </w:tcPr>
          <w:p w14:paraId="1109A11D" w14:textId="0087C638"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1 (0.5</w:t>
            </w:r>
            <w:r w:rsidR="00C14480">
              <w:rPr>
                <w:rFonts w:ascii="Book Antiqua" w:eastAsia="PMingLiU" w:hAnsi="Book Antiqua"/>
                <w:color w:val="000000"/>
              </w:rPr>
              <w:t>)</w:t>
            </w:r>
          </w:p>
        </w:tc>
        <w:tc>
          <w:tcPr>
            <w:tcW w:w="535" w:type="pct"/>
            <w:shd w:val="clear" w:color="auto" w:fill="FFFFFF"/>
          </w:tcPr>
          <w:p w14:paraId="397681E5"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0.4977</w:t>
            </w:r>
          </w:p>
        </w:tc>
      </w:tr>
      <w:tr w:rsidR="001D73CD" w:rsidRPr="008E047C" w14:paraId="7D948ADD" w14:textId="77777777" w:rsidTr="00C362F4">
        <w:trPr>
          <w:cantSplit/>
          <w:jc w:val="center"/>
        </w:trPr>
        <w:tc>
          <w:tcPr>
            <w:tcW w:w="1969" w:type="pct"/>
            <w:shd w:val="clear" w:color="auto" w:fill="FFFFFF"/>
          </w:tcPr>
          <w:p w14:paraId="53290B9E" w14:textId="77777777" w:rsidR="001D73CD" w:rsidRPr="008E047C"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8E047C">
              <w:rPr>
                <w:rFonts w:ascii="Book Antiqua" w:eastAsia="PMingLiU" w:hAnsi="Book Antiqua"/>
                <w:color w:val="000000"/>
              </w:rPr>
              <w:t>Pyoderma</w:t>
            </w:r>
          </w:p>
        </w:tc>
        <w:tc>
          <w:tcPr>
            <w:tcW w:w="1324" w:type="pct"/>
            <w:shd w:val="clear" w:color="auto" w:fill="FFFFFF"/>
          </w:tcPr>
          <w:p w14:paraId="68AF7D65"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0</w:t>
            </w:r>
          </w:p>
        </w:tc>
        <w:tc>
          <w:tcPr>
            <w:tcW w:w="1172" w:type="pct"/>
            <w:shd w:val="clear" w:color="auto" w:fill="FFFFFF"/>
          </w:tcPr>
          <w:p w14:paraId="2F6A7318" w14:textId="75B1B354"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1 (0.5</w:t>
            </w:r>
            <w:r w:rsidR="00C14480">
              <w:rPr>
                <w:rFonts w:ascii="Book Antiqua" w:eastAsia="PMingLiU" w:hAnsi="Book Antiqua"/>
                <w:color w:val="000000"/>
              </w:rPr>
              <w:t>)</w:t>
            </w:r>
          </w:p>
        </w:tc>
        <w:tc>
          <w:tcPr>
            <w:tcW w:w="535" w:type="pct"/>
            <w:shd w:val="clear" w:color="auto" w:fill="FFFFFF"/>
          </w:tcPr>
          <w:p w14:paraId="21CE2CAC"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0.4977</w:t>
            </w:r>
          </w:p>
        </w:tc>
      </w:tr>
      <w:tr w:rsidR="001D73CD" w:rsidRPr="008E047C" w14:paraId="34610CD9" w14:textId="77777777" w:rsidTr="00C362F4">
        <w:trPr>
          <w:cantSplit/>
          <w:jc w:val="center"/>
        </w:trPr>
        <w:tc>
          <w:tcPr>
            <w:tcW w:w="1969" w:type="pct"/>
            <w:shd w:val="clear" w:color="auto" w:fill="FFFFFF"/>
          </w:tcPr>
          <w:p w14:paraId="46A02BF5" w14:textId="77777777" w:rsidR="001D73CD" w:rsidRPr="008E047C"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8E047C">
              <w:rPr>
                <w:rFonts w:ascii="Book Antiqua" w:eastAsia="PMingLiU" w:hAnsi="Book Antiqua"/>
                <w:color w:val="000000"/>
              </w:rPr>
              <w:t>Muscle disorder</w:t>
            </w:r>
          </w:p>
        </w:tc>
        <w:tc>
          <w:tcPr>
            <w:tcW w:w="1324" w:type="pct"/>
            <w:shd w:val="clear" w:color="auto" w:fill="FFFFFF"/>
          </w:tcPr>
          <w:p w14:paraId="09C33099"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0</w:t>
            </w:r>
          </w:p>
        </w:tc>
        <w:tc>
          <w:tcPr>
            <w:tcW w:w="1172" w:type="pct"/>
            <w:shd w:val="clear" w:color="auto" w:fill="FFFFFF"/>
          </w:tcPr>
          <w:p w14:paraId="202C01D9" w14:textId="661F70B1"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1 (0.5</w:t>
            </w:r>
            <w:r w:rsidR="00C14480">
              <w:rPr>
                <w:rFonts w:ascii="Book Antiqua" w:eastAsia="PMingLiU" w:hAnsi="Book Antiqua"/>
                <w:color w:val="000000"/>
              </w:rPr>
              <w:t>)</w:t>
            </w:r>
          </w:p>
        </w:tc>
        <w:tc>
          <w:tcPr>
            <w:tcW w:w="535" w:type="pct"/>
            <w:shd w:val="clear" w:color="auto" w:fill="FFFFFF"/>
          </w:tcPr>
          <w:p w14:paraId="534FB860"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0.4977</w:t>
            </w:r>
          </w:p>
        </w:tc>
      </w:tr>
      <w:tr w:rsidR="001D73CD" w:rsidRPr="008E047C" w14:paraId="7FE5F51D" w14:textId="77777777" w:rsidTr="00C362F4">
        <w:trPr>
          <w:cantSplit/>
          <w:jc w:val="center"/>
        </w:trPr>
        <w:tc>
          <w:tcPr>
            <w:tcW w:w="1969" w:type="pct"/>
            <w:shd w:val="clear" w:color="auto" w:fill="FFFFFF"/>
          </w:tcPr>
          <w:p w14:paraId="0A36AFBC" w14:textId="77777777" w:rsidR="001D73CD" w:rsidRPr="008E047C"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8E047C">
              <w:rPr>
                <w:rFonts w:ascii="Book Antiqua" w:eastAsia="PMingLiU" w:hAnsi="Book Antiqua"/>
                <w:color w:val="000000"/>
              </w:rPr>
              <w:t>Calculus urinary</w:t>
            </w:r>
          </w:p>
        </w:tc>
        <w:tc>
          <w:tcPr>
            <w:tcW w:w="1324" w:type="pct"/>
            <w:shd w:val="clear" w:color="auto" w:fill="FFFFFF"/>
          </w:tcPr>
          <w:p w14:paraId="6F007D09" w14:textId="494BF538"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1 (0.5</w:t>
            </w:r>
            <w:r w:rsidR="00C14480">
              <w:rPr>
                <w:rFonts w:ascii="Book Antiqua" w:eastAsia="PMingLiU" w:hAnsi="Book Antiqua"/>
                <w:color w:val="000000"/>
              </w:rPr>
              <w:t>)</w:t>
            </w:r>
          </w:p>
        </w:tc>
        <w:tc>
          <w:tcPr>
            <w:tcW w:w="1172" w:type="pct"/>
            <w:shd w:val="clear" w:color="auto" w:fill="FFFFFF"/>
          </w:tcPr>
          <w:p w14:paraId="00C9B5E3"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0</w:t>
            </w:r>
          </w:p>
        </w:tc>
        <w:tc>
          <w:tcPr>
            <w:tcW w:w="535" w:type="pct"/>
            <w:shd w:val="clear" w:color="auto" w:fill="FFFFFF"/>
          </w:tcPr>
          <w:p w14:paraId="5553836E"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1.0000</w:t>
            </w:r>
          </w:p>
        </w:tc>
      </w:tr>
      <w:tr w:rsidR="001D73CD" w:rsidRPr="008E047C" w14:paraId="008520C6" w14:textId="77777777" w:rsidTr="00C362F4">
        <w:trPr>
          <w:cantSplit/>
          <w:jc w:val="center"/>
        </w:trPr>
        <w:tc>
          <w:tcPr>
            <w:tcW w:w="1969" w:type="pct"/>
            <w:shd w:val="clear" w:color="auto" w:fill="FFFFFF"/>
          </w:tcPr>
          <w:p w14:paraId="33F96341" w14:textId="77777777" w:rsidR="001D73CD" w:rsidRPr="008E047C"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8E047C">
              <w:rPr>
                <w:rFonts w:ascii="Book Antiqua" w:eastAsia="PMingLiU" w:hAnsi="Book Antiqua"/>
                <w:color w:val="000000"/>
              </w:rPr>
              <w:t>Asthma</w:t>
            </w:r>
          </w:p>
        </w:tc>
        <w:tc>
          <w:tcPr>
            <w:tcW w:w="1324" w:type="pct"/>
            <w:shd w:val="clear" w:color="auto" w:fill="FFFFFF"/>
          </w:tcPr>
          <w:p w14:paraId="01618910" w14:textId="03A0A9F8"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1 (0.5</w:t>
            </w:r>
            <w:r w:rsidR="00C14480">
              <w:rPr>
                <w:rFonts w:ascii="Book Antiqua" w:eastAsia="PMingLiU" w:hAnsi="Book Antiqua"/>
                <w:color w:val="000000"/>
              </w:rPr>
              <w:t>)</w:t>
            </w:r>
          </w:p>
        </w:tc>
        <w:tc>
          <w:tcPr>
            <w:tcW w:w="1172" w:type="pct"/>
            <w:shd w:val="clear" w:color="auto" w:fill="FFFFFF"/>
          </w:tcPr>
          <w:p w14:paraId="15D3D320"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0</w:t>
            </w:r>
          </w:p>
        </w:tc>
        <w:tc>
          <w:tcPr>
            <w:tcW w:w="535" w:type="pct"/>
            <w:shd w:val="clear" w:color="auto" w:fill="FFFFFF"/>
          </w:tcPr>
          <w:p w14:paraId="7A5741D2"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1.0000</w:t>
            </w:r>
          </w:p>
        </w:tc>
      </w:tr>
      <w:tr w:rsidR="001D73CD" w:rsidRPr="008E047C" w14:paraId="60A611E8" w14:textId="77777777" w:rsidTr="00C362F4">
        <w:trPr>
          <w:cantSplit/>
          <w:jc w:val="center"/>
        </w:trPr>
        <w:tc>
          <w:tcPr>
            <w:tcW w:w="1969" w:type="pct"/>
            <w:shd w:val="clear" w:color="auto" w:fill="FFFFFF"/>
          </w:tcPr>
          <w:p w14:paraId="0E46F106" w14:textId="77777777" w:rsidR="001D73CD" w:rsidRPr="008E047C" w:rsidRDefault="001D73CD" w:rsidP="008E047C">
            <w:pPr>
              <w:autoSpaceDE w:val="0"/>
              <w:autoSpaceDN w:val="0"/>
              <w:adjustRightInd w:val="0"/>
              <w:spacing w:line="360" w:lineRule="auto"/>
              <w:ind w:firstLineChars="100" w:firstLine="240"/>
              <w:jc w:val="both"/>
              <w:rPr>
                <w:rFonts w:ascii="Book Antiqua" w:eastAsia="PMingLiU" w:hAnsi="Book Antiqua"/>
                <w:color w:val="000000"/>
              </w:rPr>
            </w:pPr>
            <w:r w:rsidRPr="008E047C">
              <w:rPr>
                <w:rFonts w:ascii="Book Antiqua" w:eastAsia="PMingLiU" w:hAnsi="Book Antiqua"/>
                <w:color w:val="000000"/>
              </w:rPr>
              <w:t>Rhinitis allergic</w:t>
            </w:r>
          </w:p>
        </w:tc>
        <w:tc>
          <w:tcPr>
            <w:tcW w:w="1324" w:type="pct"/>
            <w:shd w:val="clear" w:color="auto" w:fill="FFFFFF"/>
          </w:tcPr>
          <w:p w14:paraId="52992349" w14:textId="6CF2867E"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1 (0.5</w:t>
            </w:r>
            <w:r w:rsidR="00C14480">
              <w:rPr>
                <w:rFonts w:ascii="Book Antiqua" w:eastAsia="PMingLiU" w:hAnsi="Book Antiqua"/>
                <w:color w:val="000000"/>
              </w:rPr>
              <w:t>)</w:t>
            </w:r>
          </w:p>
        </w:tc>
        <w:tc>
          <w:tcPr>
            <w:tcW w:w="1172" w:type="pct"/>
            <w:shd w:val="clear" w:color="auto" w:fill="FFFFFF"/>
          </w:tcPr>
          <w:p w14:paraId="57EB7E06"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0</w:t>
            </w:r>
          </w:p>
        </w:tc>
        <w:tc>
          <w:tcPr>
            <w:tcW w:w="535" w:type="pct"/>
            <w:shd w:val="clear" w:color="auto" w:fill="FFFFFF"/>
          </w:tcPr>
          <w:p w14:paraId="004E8DE4" w14:textId="77777777" w:rsidR="001D73CD" w:rsidRPr="008E047C" w:rsidRDefault="001D73CD" w:rsidP="00C14480">
            <w:pPr>
              <w:autoSpaceDE w:val="0"/>
              <w:autoSpaceDN w:val="0"/>
              <w:adjustRightInd w:val="0"/>
              <w:spacing w:line="360" w:lineRule="auto"/>
              <w:jc w:val="center"/>
              <w:rPr>
                <w:rFonts w:ascii="Book Antiqua" w:eastAsia="PMingLiU" w:hAnsi="Book Antiqua"/>
                <w:color w:val="000000"/>
              </w:rPr>
            </w:pPr>
            <w:r w:rsidRPr="008E047C">
              <w:rPr>
                <w:rFonts w:ascii="Book Antiqua" w:eastAsia="PMingLiU" w:hAnsi="Book Antiqua"/>
                <w:color w:val="000000"/>
              </w:rPr>
              <w:t>1.0000</w:t>
            </w:r>
          </w:p>
        </w:tc>
      </w:tr>
    </w:tbl>
    <w:p w14:paraId="08284201" w14:textId="7A161537" w:rsidR="001D73CD" w:rsidRPr="005C0F3E" w:rsidRDefault="001D73CD" w:rsidP="001D73CD">
      <w:pPr>
        <w:spacing w:line="360" w:lineRule="auto"/>
        <w:jc w:val="both"/>
        <w:rPr>
          <w:rFonts w:ascii="Book Antiqua" w:eastAsia="PMingLiU" w:hAnsi="Book Antiqua"/>
          <w:color w:val="000000"/>
        </w:rPr>
      </w:pPr>
      <w:r w:rsidRPr="001D73CD">
        <w:rPr>
          <w:rFonts w:ascii="Book Antiqua" w:eastAsia="PMingLiU" w:hAnsi="Book Antiqua"/>
          <w:i/>
          <w:color w:val="000000"/>
        </w:rPr>
        <w:t>P</w:t>
      </w:r>
      <w:r w:rsidR="007B52A4">
        <w:rPr>
          <w:rFonts w:ascii="Book Antiqua" w:eastAsia="PMingLiU" w:hAnsi="Book Antiqua"/>
          <w:color w:val="000000"/>
        </w:rPr>
        <w:t xml:space="preserve"> </w:t>
      </w:r>
      <w:r w:rsidRPr="001D73CD">
        <w:rPr>
          <w:rFonts w:ascii="Book Antiqua" w:eastAsia="PMingLiU" w:hAnsi="Book Antiqua"/>
          <w:color w:val="000000"/>
        </w:rPr>
        <w:t xml:space="preserve">value: </w:t>
      </w:r>
      <w:r w:rsidR="00C75876" w:rsidRPr="001D73CD">
        <w:rPr>
          <w:rFonts w:ascii="Book Antiqua" w:eastAsia="Courier" w:hAnsi="Book Antiqua"/>
          <w:color w:val="000000"/>
        </w:rPr>
        <w:t>B</w:t>
      </w:r>
      <w:r w:rsidRPr="001D73CD">
        <w:rPr>
          <w:rFonts w:ascii="Book Antiqua" w:eastAsia="Courier" w:hAnsi="Book Antiqua"/>
          <w:color w:val="000000"/>
        </w:rPr>
        <w:t>etween-group differences were compared using the Fisher</w:t>
      </w:r>
      <w:r w:rsidR="005C0F3E">
        <w:rPr>
          <w:rFonts w:ascii="Book Antiqua" w:eastAsia="Courier" w:hAnsi="Book Antiqua"/>
          <w:color w:val="000000"/>
        </w:rPr>
        <w:t>’</w:t>
      </w:r>
      <w:r w:rsidRPr="001D73CD">
        <w:rPr>
          <w:rFonts w:ascii="Book Antiqua" w:eastAsia="Courier" w:hAnsi="Book Antiqua"/>
          <w:color w:val="000000"/>
        </w:rPr>
        <w:t>s exact test</w:t>
      </w:r>
      <w:r w:rsidRPr="001D73CD">
        <w:rPr>
          <w:rFonts w:ascii="Book Antiqua" w:eastAsia="PMingLiU" w:hAnsi="Book Antiqua"/>
          <w:color w:val="000000"/>
        </w:rPr>
        <w:t>.</w:t>
      </w:r>
    </w:p>
    <w:sectPr w:rsidR="001D73CD" w:rsidRPr="005C0F3E" w:rsidSect="00C7587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6BB36" w14:textId="77777777" w:rsidR="00136CD9" w:rsidRDefault="00136CD9" w:rsidP="00C95551">
      <w:r>
        <w:separator/>
      </w:r>
    </w:p>
  </w:endnote>
  <w:endnote w:type="continuationSeparator" w:id="0">
    <w:p w14:paraId="6E37CEFA" w14:textId="77777777" w:rsidR="00136CD9" w:rsidRDefault="00136CD9" w:rsidP="00C9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97718946"/>
      <w:docPartObj>
        <w:docPartGallery w:val="Page Numbers (Bottom of Page)"/>
        <w:docPartUnique/>
      </w:docPartObj>
    </w:sdtPr>
    <w:sdtEndPr>
      <w:rPr>
        <w:noProof/>
      </w:rPr>
    </w:sdtEndPr>
    <w:sdtContent>
      <w:p w14:paraId="0951CDA6" w14:textId="48FB4C4D" w:rsidR="00FB48D6" w:rsidRPr="00B772DD" w:rsidRDefault="00FB48D6">
        <w:pPr>
          <w:pStyle w:val="Footer"/>
          <w:jc w:val="right"/>
          <w:rPr>
            <w:rFonts w:ascii="Book Antiqua" w:hAnsi="Book Antiqua"/>
            <w:sz w:val="24"/>
            <w:szCs w:val="24"/>
          </w:rPr>
        </w:pPr>
        <w:r w:rsidRPr="00B772DD">
          <w:rPr>
            <w:rFonts w:ascii="Book Antiqua" w:hAnsi="Book Antiqua"/>
            <w:sz w:val="24"/>
            <w:szCs w:val="24"/>
          </w:rPr>
          <w:fldChar w:fldCharType="begin"/>
        </w:r>
        <w:r w:rsidRPr="00B772DD">
          <w:rPr>
            <w:rFonts w:ascii="Book Antiqua" w:hAnsi="Book Antiqua"/>
            <w:sz w:val="24"/>
            <w:szCs w:val="24"/>
          </w:rPr>
          <w:instrText xml:space="preserve"> PAGE   \* MERGEFORMAT </w:instrText>
        </w:r>
        <w:r w:rsidRPr="00B772DD">
          <w:rPr>
            <w:rFonts w:ascii="Book Antiqua" w:hAnsi="Book Antiqua"/>
            <w:sz w:val="24"/>
            <w:szCs w:val="24"/>
          </w:rPr>
          <w:fldChar w:fldCharType="separate"/>
        </w:r>
        <w:r w:rsidRPr="00B772DD">
          <w:rPr>
            <w:rFonts w:ascii="Book Antiqua" w:hAnsi="Book Antiqua"/>
            <w:noProof/>
            <w:sz w:val="24"/>
            <w:szCs w:val="24"/>
          </w:rPr>
          <w:t>2</w:t>
        </w:r>
        <w:r w:rsidRPr="00B772DD">
          <w:rPr>
            <w:rFonts w:ascii="Book Antiqua" w:hAnsi="Book Antiqua"/>
            <w:noProof/>
            <w:sz w:val="24"/>
            <w:szCs w:val="24"/>
          </w:rPr>
          <w:fldChar w:fldCharType="end"/>
        </w:r>
        <w:r w:rsidRPr="00B772DD">
          <w:rPr>
            <w:rFonts w:ascii="Book Antiqua" w:hAnsi="Book Antiqua"/>
            <w:noProof/>
            <w:sz w:val="24"/>
            <w:szCs w:val="24"/>
          </w:rPr>
          <w:t xml:space="preserve"> /</w:t>
        </w:r>
        <w:r w:rsidR="00710B5B">
          <w:rPr>
            <w:rFonts w:ascii="Book Antiqua" w:hAnsi="Book Antiqua"/>
            <w:noProof/>
            <w:sz w:val="24"/>
            <w:szCs w:val="24"/>
          </w:rPr>
          <w:t xml:space="preserve"> </w:t>
        </w:r>
        <w:r w:rsidR="00872385" w:rsidRPr="00B772DD">
          <w:rPr>
            <w:rFonts w:ascii="Book Antiqua" w:hAnsi="Book Antiqua"/>
            <w:noProof/>
            <w:sz w:val="24"/>
            <w:szCs w:val="24"/>
          </w:rPr>
          <w:t>3</w:t>
        </w:r>
        <w:r w:rsidR="00872385">
          <w:rPr>
            <w:rFonts w:ascii="Book Antiqua" w:hAnsi="Book Antiqua"/>
            <w:noProof/>
            <w:sz w:val="24"/>
            <w:szCs w:val="24"/>
          </w:rPr>
          <w:t>4</w:t>
        </w:r>
      </w:p>
    </w:sdtContent>
  </w:sdt>
  <w:p w14:paraId="4405119E" w14:textId="77777777" w:rsidR="00FB48D6" w:rsidRDefault="00FB48D6" w:rsidP="00C30C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C14E1" w14:textId="77777777" w:rsidR="00136CD9" w:rsidRDefault="00136CD9" w:rsidP="00C95551">
      <w:r>
        <w:separator/>
      </w:r>
    </w:p>
  </w:footnote>
  <w:footnote w:type="continuationSeparator" w:id="0">
    <w:p w14:paraId="51F4657F" w14:textId="77777777" w:rsidR="00136CD9" w:rsidRDefault="00136CD9" w:rsidP="00C95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FF6"/>
    <w:multiLevelType w:val="hybridMultilevel"/>
    <w:tmpl w:val="F106218E"/>
    <w:lvl w:ilvl="0" w:tplc="F58EF15C">
      <w:start w:val="9"/>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D47693"/>
    <w:multiLevelType w:val="hybridMultilevel"/>
    <w:tmpl w:val="6E6A5CD2"/>
    <w:lvl w:ilvl="0" w:tplc="DEFC0412">
      <w:start w:val="17"/>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7E1848"/>
    <w:multiLevelType w:val="hybridMultilevel"/>
    <w:tmpl w:val="A7C4823E"/>
    <w:lvl w:ilvl="0" w:tplc="D43E0ACC">
      <w:start w:val="1"/>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52646B"/>
    <w:multiLevelType w:val="hybridMultilevel"/>
    <w:tmpl w:val="BB46171E"/>
    <w:lvl w:ilvl="0" w:tplc="C8DE736E">
      <w:start w:val="1"/>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26305B"/>
    <w:multiLevelType w:val="hybridMultilevel"/>
    <w:tmpl w:val="384E64AC"/>
    <w:lvl w:ilvl="0" w:tplc="81249F2E">
      <w:start w:val="57"/>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FDC6B4E"/>
    <w:multiLevelType w:val="hybridMultilevel"/>
    <w:tmpl w:val="34D8B5F4"/>
    <w:lvl w:ilvl="0" w:tplc="99E0B932">
      <w:start w:val="2"/>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3712D79"/>
    <w:multiLevelType w:val="hybridMultilevel"/>
    <w:tmpl w:val="B524B308"/>
    <w:lvl w:ilvl="0" w:tplc="419446C8">
      <w:start w:val="3"/>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1659F2"/>
    <w:multiLevelType w:val="hybridMultilevel"/>
    <w:tmpl w:val="ED70A3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FD32E9"/>
    <w:multiLevelType w:val="hybridMultilevel"/>
    <w:tmpl w:val="4F246C0C"/>
    <w:lvl w:ilvl="0" w:tplc="7E20251E">
      <w:start w:val="1"/>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0"/>
  </w:num>
  <w:num w:numId="4">
    <w:abstractNumId w:val="1"/>
  </w:num>
  <w:num w:numId="5">
    <w:abstractNumId w:val="4"/>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1C5"/>
    <w:rsid w:val="00011685"/>
    <w:rsid w:val="0001197E"/>
    <w:rsid w:val="0001458F"/>
    <w:rsid w:val="00030893"/>
    <w:rsid w:val="00042842"/>
    <w:rsid w:val="000443AF"/>
    <w:rsid w:val="000466FD"/>
    <w:rsid w:val="00046A47"/>
    <w:rsid w:val="00052D6F"/>
    <w:rsid w:val="00063D83"/>
    <w:rsid w:val="000640A9"/>
    <w:rsid w:val="00065C8F"/>
    <w:rsid w:val="00076FA4"/>
    <w:rsid w:val="000A7D7E"/>
    <w:rsid w:val="000C3F6E"/>
    <w:rsid w:val="000E57AA"/>
    <w:rsid w:val="000F3DD3"/>
    <w:rsid w:val="00127B90"/>
    <w:rsid w:val="00130F24"/>
    <w:rsid w:val="00136CD9"/>
    <w:rsid w:val="00147E59"/>
    <w:rsid w:val="00154B29"/>
    <w:rsid w:val="001772E0"/>
    <w:rsid w:val="0017787D"/>
    <w:rsid w:val="001A0B46"/>
    <w:rsid w:val="001A420B"/>
    <w:rsid w:val="001B3788"/>
    <w:rsid w:val="001B5577"/>
    <w:rsid w:val="001C2932"/>
    <w:rsid w:val="001C3DE9"/>
    <w:rsid w:val="001D144A"/>
    <w:rsid w:val="001D73CD"/>
    <w:rsid w:val="001E50E0"/>
    <w:rsid w:val="001F7462"/>
    <w:rsid w:val="00217D90"/>
    <w:rsid w:val="002209B8"/>
    <w:rsid w:val="00225B48"/>
    <w:rsid w:val="002324D9"/>
    <w:rsid w:val="00233209"/>
    <w:rsid w:val="00240D2F"/>
    <w:rsid w:val="0024383D"/>
    <w:rsid w:val="00246D86"/>
    <w:rsid w:val="00254A1F"/>
    <w:rsid w:val="002557A5"/>
    <w:rsid w:val="00271830"/>
    <w:rsid w:val="0027631F"/>
    <w:rsid w:val="002763E6"/>
    <w:rsid w:val="00280D27"/>
    <w:rsid w:val="00295749"/>
    <w:rsid w:val="002A2D19"/>
    <w:rsid w:val="002A796E"/>
    <w:rsid w:val="002C373D"/>
    <w:rsid w:val="002C3F5C"/>
    <w:rsid w:val="002D504C"/>
    <w:rsid w:val="002E0063"/>
    <w:rsid w:val="002E0674"/>
    <w:rsid w:val="002E30F5"/>
    <w:rsid w:val="002E4714"/>
    <w:rsid w:val="002F1587"/>
    <w:rsid w:val="002F1F3C"/>
    <w:rsid w:val="002F53B1"/>
    <w:rsid w:val="00304AB6"/>
    <w:rsid w:val="00307C5E"/>
    <w:rsid w:val="003118D4"/>
    <w:rsid w:val="003201BB"/>
    <w:rsid w:val="003244B5"/>
    <w:rsid w:val="00327EE3"/>
    <w:rsid w:val="0033206E"/>
    <w:rsid w:val="003323B4"/>
    <w:rsid w:val="0034097C"/>
    <w:rsid w:val="00340AB7"/>
    <w:rsid w:val="00344D3F"/>
    <w:rsid w:val="00347837"/>
    <w:rsid w:val="00352604"/>
    <w:rsid w:val="00352C7A"/>
    <w:rsid w:val="00352D67"/>
    <w:rsid w:val="00356EDD"/>
    <w:rsid w:val="00372569"/>
    <w:rsid w:val="00375E10"/>
    <w:rsid w:val="003948FE"/>
    <w:rsid w:val="003A7B8C"/>
    <w:rsid w:val="003B0C44"/>
    <w:rsid w:val="003D337E"/>
    <w:rsid w:val="003E1079"/>
    <w:rsid w:val="00416266"/>
    <w:rsid w:val="004247BE"/>
    <w:rsid w:val="00425DCF"/>
    <w:rsid w:val="004334E6"/>
    <w:rsid w:val="004363CE"/>
    <w:rsid w:val="00441E85"/>
    <w:rsid w:val="004477CE"/>
    <w:rsid w:val="004512C0"/>
    <w:rsid w:val="0048379B"/>
    <w:rsid w:val="00484436"/>
    <w:rsid w:val="004A7FB7"/>
    <w:rsid w:val="004C5342"/>
    <w:rsid w:val="004D0AA0"/>
    <w:rsid w:val="004D6B73"/>
    <w:rsid w:val="004E20F3"/>
    <w:rsid w:val="004E7081"/>
    <w:rsid w:val="004F0C77"/>
    <w:rsid w:val="004F7D16"/>
    <w:rsid w:val="00521DF2"/>
    <w:rsid w:val="00523EDD"/>
    <w:rsid w:val="00532EAE"/>
    <w:rsid w:val="00536CDD"/>
    <w:rsid w:val="00540879"/>
    <w:rsid w:val="00574DD3"/>
    <w:rsid w:val="00587201"/>
    <w:rsid w:val="0059160B"/>
    <w:rsid w:val="00596D7F"/>
    <w:rsid w:val="005C0F3E"/>
    <w:rsid w:val="005C1322"/>
    <w:rsid w:val="005C479F"/>
    <w:rsid w:val="005C5B53"/>
    <w:rsid w:val="005D2590"/>
    <w:rsid w:val="005D2C15"/>
    <w:rsid w:val="005E25AA"/>
    <w:rsid w:val="005E3E42"/>
    <w:rsid w:val="005F2707"/>
    <w:rsid w:val="00604BA6"/>
    <w:rsid w:val="00606C35"/>
    <w:rsid w:val="00612249"/>
    <w:rsid w:val="006243AD"/>
    <w:rsid w:val="0063230B"/>
    <w:rsid w:val="00641237"/>
    <w:rsid w:val="006417AB"/>
    <w:rsid w:val="006563A6"/>
    <w:rsid w:val="00660CF5"/>
    <w:rsid w:val="00661899"/>
    <w:rsid w:val="00663B8C"/>
    <w:rsid w:val="00666163"/>
    <w:rsid w:val="00667FFC"/>
    <w:rsid w:val="0067619E"/>
    <w:rsid w:val="0069109A"/>
    <w:rsid w:val="006976CA"/>
    <w:rsid w:val="006A077E"/>
    <w:rsid w:val="006A0B0A"/>
    <w:rsid w:val="006B0DD2"/>
    <w:rsid w:val="006B0FEE"/>
    <w:rsid w:val="006B5088"/>
    <w:rsid w:val="006D0E76"/>
    <w:rsid w:val="006D1775"/>
    <w:rsid w:val="006F6201"/>
    <w:rsid w:val="006F62D3"/>
    <w:rsid w:val="00710B5B"/>
    <w:rsid w:val="0071144A"/>
    <w:rsid w:val="00713017"/>
    <w:rsid w:val="00725738"/>
    <w:rsid w:val="0072625D"/>
    <w:rsid w:val="00737D6C"/>
    <w:rsid w:val="007411C1"/>
    <w:rsid w:val="00745C7B"/>
    <w:rsid w:val="00762083"/>
    <w:rsid w:val="00767375"/>
    <w:rsid w:val="00770768"/>
    <w:rsid w:val="007712E7"/>
    <w:rsid w:val="007753DB"/>
    <w:rsid w:val="0078205F"/>
    <w:rsid w:val="007A5E68"/>
    <w:rsid w:val="007B0913"/>
    <w:rsid w:val="007B52A4"/>
    <w:rsid w:val="007C1735"/>
    <w:rsid w:val="007C7D98"/>
    <w:rsid w:val="007D1368"/>
    <w:rsid w:val="007D2DD9"/>
    <w:rsid w:val="007D55E9"/>
    <w:rsid w:val="007E1A76"/>
    <w:rsid w:val="007E2E4D"/>
    <w:rsid w:val="007E30D2"/>
    <w:rsid w:val="007E3747"/>
    <w:rsid w:val="007F62D0"/>
    <w:rsid w:val="007F6830"/>
    <w:rsid w:val="00800685"/>
    <w:rsid w:val="0080304A"/>
    <w:rsid w:val="00806E11"/>
    <w:rsid w:val="00810F7A"/>
    <w:rsid w:val="008232AF"/>
    <w:rsid w:val="0083610C"/>
    <w:rsid w:val="00841CAF"/>
    <w:rsid w:val="00851B45"/>
    <w:rsid w:val="008543B8"/>
    <w:rsid w:val="00861652"/>
    <w:rsid w:val="00864CCA"/>
    <w:rsid w:val="008659A0"/>
    <w:rsid w:val="00867A89"/>
    <w:rsid w:val="00872385"/>
    <w:rsid w:val="00886E76"/>
    <w:rsid w:val="00891992"/>
    <w:rsid w:val="008945AC"/>
    <w:rsid w:val="008A464B"/>
    <w:rsid w:val="008A6A42"/>
    <w:rsid w:val="008B5280"/>
    <w:rsid w:val="008B758D"/>
    <w:rsid w:val="008C2B8D"/>
    <w:rsid w:val="008C631E"/>
    <w:rsid w:val="008D1873"/>
    <w:rsid w:val="008D7B63"/>
    <w:rsid w:val="008E047C"/>
    <w:rsid w:val="008E50C0"/>
    <w:rsid w:val="008E5953"/>
    <w:rsid w:val="00907DD3"/>
    <w:rsid w:val="009112CB"/>
    <w:rsid w:val="00911B4D"/>
    <w:rsid w:val="009274B6"/>
    <w:rsid w:val="00931353"/>
    <w:rsid w:val="00937A50"/>
    <w:rsid w:val="009506AF"/>
    <w:rsid w:val="0095783D"/>
    <w:rsid w:val="0096069C"/>
    <w:rsid w:val="00967B9E"/>
    <w:rsid w:val="00971AAD"/>
    <w:rsid w:val="00972268"/>
    <w:rsid w:val="00981328"/>
    <w:rsid w:val="009A200E"/>
    <w:rsid w:val="009A6DAD"/>
    <w:rsid w:val="009C2F72"/>
    <w:rsid w:val="009F4806"/>
    <w:rsid w:val="00A0221B"/>
    <w:rsid w:val="00A05D45"/>
    <w:rsid w:val="00A14DE5"/>
    <w:rsid w:val="00A253DC"/>
    <w:rsid w:val="00A323FE"/>
    <w:rsid w:val="00A32B65"/>
    <w:rsid w:val="00A3533A"/>
    <w:rsid w:val="00A360F9"/>
    <w:rsid w:val="00A444D3"/>
    <w:rsid w:val="00A53A9C"/>
    <w:rsid w:val="00A56CAB"/>
    <w:rsid w:val="00A60665"/>
    <w:rsid w:val="00A6133F"/>
    <w:rsid w:val="00A768F0"/>
    <w:rsid w:val="00A76CCA"/>
    <w:rsid w:val="00A77B3E"/>
    <w:rsid w:val="00A8023F"/>
    <w:rsid w:val="00A82042"/>
    <w:rsid w:val="00A84D1B"/>
    <w:rsid w:val="00A862C7"/>
    <w:rsid w:val="00A86FC9"/>
    <w:rsid w:val="00A95728"/>
    <w:rsid w:val="00AA3EE0"/>
    <w:rsid w:val="00AB6C6E"/>
    <w:rsid w:val="00AC0082"/>
    <w:rsid w:val="00AD0B95"/>
    <w:rsid w:val="00AD1294"/>
    <w:rsid w:val="00AE1DF6"/>
    <w:rsid w:val="00AF4A0E"/>
    <w:rsid w:val="00AF4C2C"/>
    <w:rsid w:val="00B04199"/>
    <w:rsid w:val="00B0460A"/>
    <w:rsid w:val="00B079AC"/>
    <w:rsid w:val="00B11E70"/>
    <w:rsid w:val="00B13D3C"/>
    <w:rsid w:val="00B22EC8"/>
    <w:rsid w:val="00B44725"/>
    <w:rsid w:val="00B51A4F"/>
    <w:rsid w:val="00B7493A"/>
    <w:rsid w:val="00B772DD"/>
    <w:rsid w:val="00B90153"/>
    <w:rsid w:val="00B944F0"/>
    <w:rsid w:val="00B96403"/>
    <w:rsid w:val="00BA06D7"/>
    <w:rsid w:val="00BA30BD"/>
    <w:rsid w:val="00BA502A"/>
    <w:rsid w:val="00BB1483"/>
    <w:rsid w:val="00BB1CBB"/>
    <w:rsid w:val="00BB5D61"/>
    <w:rsid w:val="00BC0834"/>
    <w:rsid w:val="00BE2357"/>
    <w:rsid w:val="00BF18BC"/>
    <w:rsid w:val="00C00EC9"/>
    <w:rsid w:val="00C074A4"/>
    <w:rsid w:val="00C14480"/>
    <w:rsid w:val="00C1550B"/>
    <w:rsid w:val="00C23DE5"/>
    <w:rsid w:val="00C24328"/>
    <w:rsid w:val="00C243E2"/>
    <w:rsid w:val="00C24C4D"/>
    <w:rsid w:val="00C30C10"/>
    <w:rsid w:val="00C3574C"/>
    <w:rsid w:val="00C35855"/>
    <w:rsid w:val="00C362F4"/>
    <w:rsid w:val="00C36F6A"/>
    <w:rsid w:val="00C4052F"/>
    <w:rsid w:val="00C413C5"/>
    <w:rsid w:val="00C43D86"/>
    <w:rsid w:val="00C75876"/>
    <w:rsid w:val="00C81AB0"/>
    <w:rsid w:val="00C82EE7"/>
    <w:rsid w:val="00C95551"/>
    <w:rsid w:val="00CA2A55"/>
    <w:rsid w:val="00CA5A72"/>
    <w:rsid w:val="00CA7222"/>
    <w:rsid w:val="00CC269D"/>
    <w:rsid w:val="00CC3EFD"/>
    <w:rsid w:val="00CD056A"/>
    <w:rsid w:val="00CD2FA7"/>
    <w:rsid w:val="00CE10AA"/>
    <w:rsid w:val="00CE32C0"/>
    <w:rsid w:val="00CF0543"/>
    <w:rsid w:val="00D247C9"/>
    <w:rsid w:val="00D24A5B"/>
    <w:rsid w:val="00D33B0E"/>
    <w:rsid w:val="00D565FC"/>
    <w:rsid w:val="00D661CE"/>
    <w:rsid w:val="00D87F0F"/>
    <w:rsid w:val="00D92075"/>
    <w:rsid w:val="00D94322"/>
    <w:rsid w:val="00DB1DE7"/>
    <w:rsid w:val="00DC4038"/>
    <w:rsid w:val="00DD35D9"/>
    <w:rsid w:val="00DD6EAD"/>
    <w:rsid w:val="00E00031"/>
    <w:rsid w:val="00E17C28"/>
    <w:rsid w:val="00E2231F"/>
    <w:rsid w:val="00E23BFA"/>
    <w:rsid w:val="00E317D2"/>
    <w:rsid w:val="00E328E2"/>
    <w:rsid w:val="00E35729"/>
    <w:rsid w:val="00E36496"/>
    <w:rsid w:val="00E427BA"/>
    <w:rsid w:val="00E434D2"/>
    <w:rsid w:val="00E45B70"/>
    <w:rsid w:val="00E45C5E"/>
    <w:rsid w:val="00E47CE1"/>
    <w:rsid w:val="00E5584A"/>
    <w:rsid w:val="00E669CC"/>
    <w:rsid w:val="00E9207A"/>
    <w:rsid w:val="00E920DF"/>
    <w:rsid w:val="00E96F24"/>
    <w:rsid w:val="00EC5098"/>
    <w:rsid w:val="00ED0EEF"/>
    <w:rsid w:val="00ED177D"/>
    <w:rsid w:val="00ED3946"/>
    <w:rsid w:val="00ED6A72"/>
    <w:rsid w:val="00EE7875"/>
    <w:rsid w:val="00EF2AF0"/>
    <w:rsid w:val="00EF3AA3"/>
    <w:rsid w:val="00F0510F"/>
    <w:rsid w:val="00F314EC"/>
    <w:rsid w:val="00F41F1F"/>
    <w:rsid w:val="00F45553"/>
    <w:rsid w:val="00F56454"/>
    <w:rsid w:val="00F64E29"/>
    <w:rsid w:val="00F66780"/>
    <w:rsid w:val="00F6698B"/>
    <w:rsid w:val="00F7497B"/>
    <w:rsid w:val="00F75058"/>
    <w:rsid w:val="00F77D9A"/>
    <w:rsid w:val="00F77F5A"/>
    <w:rsid w:val="00F86856"/>
    <w:rsid w:val="00F90506"/>
    <w:rsid w:val="00F91DA6"/>
    <w:rsid w:val="00F9406C"/>
    <w:rsid w:val="00F94A45"/>
    <w:rsid w:val="00F969C6"/>
    <w:rsid w:val="00FA24FE"/>
    <w:rsid w:val="00FA6303"/>
    <w:rsid w:val="00FB48D6"/>
    <w:rsid w:val="00FB6BD5"/>
    <w:rsid w:val="00FB7789"/>
    <w:rsid w:val="00FC66B1"/>
    <w:rsid w:val="00FD2E73"/>
    <w:rsid w:val="00FD7A2E"/>
    <w:rsid w:val="00FE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51D82"/>
  <w15:docId w15:val="{AF6B67F4-B7CF-4D17-8ACE-FE48139A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55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95551"/>
    <w:rPr>
      <w:sz w:val="18"/>
      <w:szCs w:val="18"/>
    </w:rPr>
  </w:style>
  <w:style w:type="paragraph" w:styleId="Footer">
    <w:name w:val="footer"/>
    <w:basedOn w:val="Normal"/>
    <w:link w:val="FooterChar"/>
    <w:uiPriority w:val="99"/>
    <w:unhideWhenUsed/>
    <w:rsid w:val="00C9555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95551"/>
    <w:rPr>
      <w:sz w:val="18"/>
      <w:szCs w:val="18"/>
    </w:rPr>
  </w:style>
  <w:style w:type="paragraph" w:styleId="Caption">
    <w:name w:val="caption"/>
    <w:basedOn w:val="Normal"/>
    <w:next w:val="Normal"/>
    <w:uiPriority w:val="35"/>
    <w:qFormat/>
    <w:rsid w:val="007D55E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overflowPunct w:val="0"/>
      <w:autoSpaceDE w:val="0"/>
      <w:autoSpaceDN w:val="0"/>
      <w:adjustRightInd w:val="0"/>
      <w:spacing w:after="72"/>
      <w:textAlignment w:val="baseline"/>
    </w:pPr>
    <w:rPr>
      <w:rFonts w:eastAsia="PMingLiU" w:cs="PMingLiU"/>
      <w:szCs w:val="20"/>
      <w:lang w:eastAsia="zh-TW"/>
    </w:rPr>
  </w:style>
  <w:style w:type="paragraph" w:customStyle="1" w:styleId="table">
    <w:name w:val="table"/>
    <w:rsid w:val="007D55E9"/>
    <w:pPr>
      <w:keepNext/>
      <w:keepLines/>
      <w:tabs>
        <w:tab w:val="left" w:pos="-720"/>
      </w:tabs>
      <w:suppressAutoHyphens/>
      <w:overflowPunct w:val="0"/>
      <w:autoSpaceDE w:val="0"/>
      <w:autoSpaceDN w:val="0"/>
      <w:adjustRightInd w:val="0"/>
      <w:textAlignment w:val="baseline"/>
    </w:pPr>
    <w:rPr>
      <w:rFonts w:ascii="Arial" w:eastAsia="PMingLiU" w:hAnsi="Arial"/>
      <w:lang w:eastAsia="zh-TW"/>
    </w:rPr>
  </w:style>
  <w:style w:type="paragraph" w:styleId="ListParagraph">
    <w:name w:val="List Paragraph"/>
    <w:basedOn w:val="Normal"/>
    <w:qFormat/>
    <w:rsid w:val="001D73CD"/>
    <w:pPr>
      <w:ind w:leftChars="200" w:left="480"/>
    </w:pPr>
    <w:rPr>
      <w:rFonts w:eastAsia="MS Mincho"/>
    </w:rPr>
  </w:style>
  <w:style w:type="character" w:styleId="CommentReference">
    <w:name w:val="annotation reference"/>
    <w:basedOn w:val="DefaultParagraphFont"/>
    <w:semiHidden/>
    <w:unhideWhenUsed/>
    <w:rsid w:val="00372569"/>
    <w:rPr>
      <w:sz w:val="21"/>
      <w:szCs w:val="21"/>
    </w:rPr>
  </w:style>
  <w:style w:type="paragraph" w:styleId="CommentText">
    <w:name w:val="annotation text"/>
    <w:basedOn w:val="Normal"/>
    <w:link w:val="CommentTextChar"/>
    <w:unhideWhenUsed/>
    <w:rsid w:val="00372569"/>
  </w:style>
  <w:style w:type="character" w:customStyle="1" w:styleId="CommentTextChar">
    <w:name w:val="Comment Text Char"/>
    <w:basedOn w:val="DefaultParagraphFont"/>
    <w:link w:val="CommentText"/>
    <w:rsid w:val="00372569"/>
    <w:rPr>
      <w:sz w:val="24"/>
      <w:szCs w:val="24"/>
    </w:rPr>
  </w:style>
  <w:style w:type="paragraph" w:styleId="CommentSubject">
    <w:name w:val="annotation subject"/>
    <w:basedOn w:val="CommentText"/>
    <w:next w:val="CommentText"/>
    <w:link w:val="CommentSubjectChar"/>
    <w:semiHidden/>
    <w:unhideWhenUsed/>
    <w:rsid w:val="00372569"/>
    <w:rPr>
      <w:b/>
      <w:bCs/>
    </w:rPr>
  </w:style>
  <w:style w:type="character" w:customStyle="1" w:styleId="CommentSubjectChar">
    <w:name w:val="Comment Subject Char"/>
    <w:basedOn w:val="CommentTextChar"/>
    <w:link w:val="CommentSubject"/>
    <w:semiHidden/>
    <w:rsid w:val="00372569"/>
    <w:rPr>
      <w:b/>
      <w:bCs/>
      <w:sz w:val="24"/>
      <w:szCs w:val="24"/>
    </w:rPr>
  </w:style>
  <w:style w:type="paragraph" w:styleId="BalloonText">
    <w:name w:val="Balloon Text"/>
    <w:basedOn w:val="Normal"/>
    <w:link w:val="BalloonTextChar"/>
    <w:rsid w:val="00372569"/>
    <w:rPr>
      <w:sz w:val="18"/>
      <w:szCs w:val="18"/>
    </w:rPr>
  </w:style>
  <w:style w:type="character" w:customStyle="1" w:styleId="BalloonTextChar">
    <w:name w:val="Balloon Text Char"/>
    <w:basedOn w:val="DefaultParagraphFont"/>
    <w:link w:val="BalloonText"/>
    <w:rsid w:val="003725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533735">
      <w:bodyDiv w:val="1"/>
      <w:marLeft w:val="0"/>
      <w:marRight w:val="0"/>
      <w:marTop w:val="0"/>
      <w:marBottom w:val="0"/>
      <w:divBdr>
        <w:top w:val="none" w:sz="0" w:space="0" w:color="auto"/>
        <w:left w:val="none" w:sz="0" w:space="0" w:color="auto"/>
        <w:bottom w:val="none" w:sz="0" w:space="0" w:color="auto"/>
        <w:right w:val="none" w:sz="0" w:space="0" w:color="auto"/>
      </w:divBdr>
      <w:divsChild>
        <w:div w:id="42097021">
          <w:marLeft w:val="0"/>
          <w:marRight w:val="0"/>
          <w:marTop w:val="0"/>
          <w:marBottom w:val="0"/>
          <w:divBdr>
            <w:top w:val="none" w:sz="0" w:space="0" w:color="auto"/>
            <w:left w:val="none" w:sz="0" w:space="0" w:color="auto"/>
            <w:bottom w:val="none" w:sz="0" w:space="0" w:color="auto"/>
            <w:right w:val="none" w:sz="0" w:space="0" w:color="auto"/>
          </w:divBdr>
        </w:div>
      </w:divsChild>
    </w:div>
    <w:div w:id="1999071900">
      <w:bodyDiv w:val="1"/>
      <w:marLeft w:val="0"/>
      <w:marRight w:val="0"/>
      <w:marTop w:val="0"/>
      <w:marBottom w:val="0"/>
      <w:divBdr>
        <w:top w:val="none" w:sz="0" w:space="0" w:color="auto"/>
        <w:left w:val="none" w:sz="0" w:space="0" w:color="auto"/>
        <w:bottom w:val="none" w:sz="0" w:space="0" w:color="auto"/>
        <w:right w:val="none" w:sz="0" w:space="0" w:color="auto"/>
      </w:divBdr>
      <w:divsChild>
        <w:div w:id="9552846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ED08-4E11-4262-A231-A74ECB58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8005</Words>
  <Characters>45634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2021-01-14T03:05:00Z</dcterms:created>
  <dcterms:modified xsi:type="dcterms:W3CDTF">2021-01-14T03:05:00Z</dcterms:modified>
</cp:coreProperties>
</file>