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621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Name of Journal: </w:t>
      </w:r>
      <w:r w:rsidRPr="001A1C75">
        <w:rPr>
          <w:rFonts w:ascii="Book Antiqua" w:eastAsia="Book Antiqua" w:hAnsi="Book Antiqua" w:cs="Book Antiqua"/>
          <w:i/>
          <w:color w:val="000000" w:themeColor="text1"/>
        </w:rPr>
        <w:t>World Journal of Gastroenterology</w:t>
      </w:r>
    </w:p>
    <w:p w14:paraId="14C2F06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NO: </w:t>
      </w:r>
      <w:r w:rsidRPr="001A1C75">
        <w:rPr>
          <w:rFonts w:ascii="Book Antiqua" w:eastAsia="Book Antiqua" w:hAnsi="Book Antiqua" w:cs="Book Antiqua"/>
          <w:color w:val="000000" w:themeColor="text1"/>
        </w:rPr>
        <w:t>59965</w:t>
      </w:r>
    </w:p>
    <w:p w14:paraId="158E860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Type: </w:t>
      </w:r>
      <w:r w:rsidRPr="001A1C75">
        <w:rPr>
          <w:rFonts w:ascii="Book Antiqua" w:eastAsia="Book Antiqua" w:hAnsi="Book Antiqua" w:cs="Book Antiqua"/>
          <w:color w:val="000000" w:themeColor="text1"/>
        </w:rPr>
        <w:t>ORIGINAL ARTICLE</w:t>
      </w:r>
    </w:p>
    <w:p w14:paraId="17B87AC2" w14:textId="77777777" w:rsidR="00A77B3E" w:rsidRPr="001A1C75" w:rsidRDefault="00A77B3E" w:rsidP="001A1C75">
      <w:pPr>
        <w:spacing w:line="360" w:lineRule="auto"/>
        <w:jc w:val="both"/>
        <w:rPr>
          <w:rFonts w:ascii="Book Antiqua" w:hAnsi="Book Antiqua"/>
          <w:color w:val="000000" w:themeColor="text1"/>
        </w:rPr>
      </w:pPr>
    </w:p>
    <w:p w14:paraId="1B4A318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Retrospective Study</w:t>
      </w:r>
    </w:p>
    <w:p w14:paraId="0859F137" w14:textId="5BD1EB6A" w:rsidR="00A77B3E" w:rsidRPr="001A1C75" w:rsidRDefault="005942DB"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C</w:t>
      </w:r>
      <w:r w:rsidR="00DE6BC6" w:rsidRPr="001A1C75">
        <w:rPr>
          <w:rFonts w:ascii="Book Antiqua" w:eastAsia="Book Antiqua" w:hAnsi="Book Antiqua" w:cs="Book Antiqua"/>
          <w:b/>
          <w:color w:val="000000" w:themeColor="text1"/>
        </w:rPr>
        <w:t xml:space="preserve">linic-pathological features of </w:t>
      </w:r>
      <w:r w:rsidR="00580DDF">
        <w:rPr>
          <w:rFonts w:ascii="Book Antiqua" w:eastAsia="Book Antiqua" w:hAnsi="Book Antiqua" w:cs="Book Antiqua"/>
          <w:b/>
          <w:color w:val="000000" w:themeColor="text1"/>
          <w:shd w:val="clear" w:color="auto" w:fill="FFFFFF"/>
        </w:rPr>
        <w:t>m</w:t>
      </w:r>
      <w:r w:rsidR="00DE6BC6" w:rsidRPr="001A1C75">
        <w:rPr>
          <w:rFonts w:ascii="Book Antiqua" w:eastAsia="Book Antiqua" w:hAnsi="Book Antiqua" w:cs="Book Antiqua"/>
          <w:b/>
          <w:color w:val="000000" w:themeColor="text1"/>
          <w:shd w:val="clear" w:color="auto" w:fill="FFFFFF"/>
        </w:rPr>
        <w:t xml:space="preserve">etabolic associated fatty liver disease </w:t>
      </w:r>
      <w:r w:rsidR="00DE6BC6" w:rsidRPr="001A1C75">
        <w:rPr>
          <w:rFonts w:ascii="Book Antiqua" w:eastAsia="Book Antiqua" w:hAnsi="Book Antiqua" w:cs="Book Antiqua"/>
          <w:b/>
          <w:color w:val="000000" w:themeColor="text1"/>
        </w:rPr>
        <w:t xml:space="preserve">with </w:t>
      </w:r>
      <w:r w:rsidR="00580DDF" w:rsidRPr="00580DDF">
        <w:rPr>
          <w:rFonts w:ascii="Book Antiqua" w:eastAsia="Book Antiqua" w:hAnsi="Book Antiqua" w:cs="Book Antiqua"/>
          <w:b/>
          <w:bCs/>
          <w:color w:val="000000" w:themeColor="text1"/>
        </w:rPr>
        <w:t>hepatitis B virus</w:t>
      </w:r>
      <w:r w:rsidR="00DE6BC6" w:rsidRPr="001A1C75">
        <w:rPr>
          <w:rFonts w:ascii="Book Antiqua" w:eastAsia="Book Antiqua" w:hAnsi="Book Antiqua" w:cs="Book Antiqua"/>
          <w:b/>
          <w:color w:val="000000" w:themeColor="text1"/>
        </w:rPr>
        <w:t xml:space="preserve"> infection</w:t>
      </w:r>
    </w:p>
    <w:p w14:paraId="7D878C2A" w14:textId="77777777" w:rsidR="00A77B3E" w:rsidRPr="001A1C75" w:rsidRDefault="00A77B3E" w:rsidP="001A1C75">
      <w:pPr>
        <w:spacing w:line="360" w:lineRule="auto"/>
        <w:jc w:val="both"/>
        <w:rPr>
          <w:rFonts w:ascii="Book Antiqua" w:hAnsi="Book Antiqua"/>
          <w:color w:val="000000" w:themeColor="text1"/>
        </w:rPr>
      </w:pPr>
    </w:p>
    <w:p w14:paraId="54192882" w14:textId="46CE38DA" w:rsidR="00A77B3E" w:rsidRPr="001A1C75" w:rsidRDefault="00A2004D"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Wang </w:t>
      </w:r>
      <w:r>
        <w:rPr>
          <w:rFonts w:ascii="Book Antiqua" w:eastAsia="Book Antiqua" w:hAnsi="Book Antiqua" w:cs="Book Antiqua"/>
          <w:color w:val="000000" w:themeColor="text1"/>
        </w:rPr>
        <w:t xml:space="preserve">MF </w:t>
      </w:r>
      <w:r w:rsidRPr="00A2004D">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sidR="00DE6BC6" w:rsidRPr="001A1C75">
        <w:rPr>
          <w:rFonts w:ascii="Book Antiqua" w:eastAsia="Book Antiqua" w:hAnsi="Book Antiqua" w:cs="Book Antiqua"/>
          <w:color w:val="000000" w:themeColor="text1"/>
        </w:rPr>
        <w:t>MAFLD with HBV infection</w:t>
      </w:r>
    </w:p>
    <w:p w14:paraId="6433E9CD" w14:textId="77777777" w:rsidR="00A77B3E" w:rsidRPr="001A1C75" w:rsidRDefault="00A77B3E" w:rsidP="001A1C75">
      <w:pPr>
        <w:spacing w:line="360" w:lineRule="auto"/>
        <w:jc w:val="both"/>
        <w:rPr>
          <w:rFonts w:ascii="Book Antiqua" w:hAnsi="Book Antiqua"/>
          <w:color w:val="000000" w:themeColor="text1"/>
        </w:rPr>
      </w:pPr>
    </w:p>
    <w:p w14:paraId="369D50DD" w14:textId="27C43E7C"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Ming</w:t>
      </w:r>
      <w:r w:rsidR="00580DDF">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ang Wang, Bo Wan, Yin-Lian Wu, Jiao</w:t>
      </w:r>
      <w:r w:rsidR="00580DDF">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eng Huang, Yue</w:t>
      </w:r>
      <w:r w:rsidR="00580DDF">
        <w:rPr>
          <w:rFonts w:ascii="Book Antiqua" w:eastAsia="Book Antiqua" w:hAnsi="Book Antiqua" w:cs="Book Antiqua"/>
          <w:color w:val="000000" w:themeColor="text1"/>
        </w:rPr>
        <w:t>-Y</w:t>
      </w:r>
      <w:r w:rsidRPr="001A1C75">
        <w:rPr>
          <w:rFonts w:ascii="Book Antiqua" w:eastAsia="Book Antiqua" w:hAnsi="Book Antiqua" w:cs="Book Antiqua"/>
          <w:color w:val="000000" w:themeColor="text1"/>
        </w:rPr>
        <w:t>ong Zhu, You</w:t>
      </w:r>
      <w:r w:rsidR="00580DDF">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ing Li</w:t>
      </w:r>
    </w:p>
    <w:p w14:paraId="4C33FDA2" w14:textId="77777777" w:rsidR="00A77B3E" w:rsidRPr="001A1C75" w:rsidRDefault="00A77B3E" w:rsidP="001A1C75">
      <w:pPr>
        <w:spacing w:line="360" w:lineRule="auto"/>
        <w:jc w:val="both"/>
        <w:rPr>
          <w:rFonts w:ascii="Book Antiqua" w:hAnsi="Book Antiqua"/>
          <w:color w:val="000000" w:themeColor="text1"/>
        </w:rPr>
      </w:pPr>
    </w:p>
    <w:p w14:paraId="01961768" w14:textId="295A83CE" w:rsidR="00A77B3E" w:rsidRPr="001A1C75" w:rsidRDefault="009E07BC" w:rsidP="001A1C75">
      <w:pPr>
        <w:spacing w:line="360" w:lineRule="auto"/>
        <w:jc w:val="both"/>
        <w:rPr>
          <w:rFonts w:ascii="Book Antiqua" w:hAnsi="Book Antiqua"/>
          <w:color w:val="000000" w:themeColor="text1"/>
        </w:rPr>
      </w:pPr>
      <w:r w:rsidRPr="009E07BC">
        <w:rPr>
          <w:rFonts w:ascii="Book Antiqua" w:eastAsia="Book Antiqua" w:hAnsi="Book Antiqua" w:cs="Book Antiqua"/>
          <w:b/>
          <w:bCs/>
          <w:color w:val="000000" w:themeColor="text1"/>
        </w:rPr>
        <w:t>Ming-Fang Wang,</w:t>
      </w:r>
      <w:r w:rsidR="00DE6BC6" w:rsidRPr="009E07BC">
        <w:rPr>
          <w:rFonts w:ascii="Book Antiqua" w:eastAsia="Book Antiqua" w:hAnsi="Book Antiqua" w:cs="Book Antiqua"/>
          <w:b/>
          <w:bCs/>
          <w:color w:val="000000" w:themeColor="text1"/>
        </w:rPr>
        <w:t xml:space="preserve"> Yin-Lian Wu, </w:t>
      </w:r>
      <w:r w:rsidR="00F23333" w:rsidRPr="001A1C75">
        <w:rPr>
          <w:rFonts w:ascii="Book Antiqua" w:eastAsia="Book Antiqua" w:hAnsi="Book Antiqua" w:cs="Book Antiqua"/>
          <w:b/>
          <w:bCs/>
          <w:color w:val="000000" w:themeColor="text1"/>
        </w:rPr>
        <w:t>Jiao</w:t>
      </w:r>
      <w:r w:rsidR="00F23333">
        <w:rPr>
          <w:rFonts w:ascii="Book Antiqua" w:eastAsia="Book Antiqua" w:hAnsi="Book Antiqua" w:cs="Book Antiqua"/>
          <w:b/>
          <w:bCs/>
          <w:color w:val="000000" w:themeColor="text1"/>
        </w:rPr>
        <w:t>-F</w:t>
      </w:r>
      <w:r w:rsidR="00F23333" w:rsidRPr="001A1C75">
        <w:rPr>
          <w:rFonts w:ascii="Book Antiqua" w:eastAsia="Book Antiqua" w:hAnsi="Book Antiqua" w:cs="Book Antiqua"/>
          <w:b/>
          <w:bCs/>
          <w:color w:val="000000" w:themeColor="text1"/>
        </w:rPr>
        <w:t>eng Huang,</w:t>
      </w:r>
      <w:r w:rsidR="00F23333">
        <w:rPr>
          <w:rFonts w:ascii="Book Antiqua" w:eastAsia="Book Antiqua" w:hAnsi="Book Antiqua" w:cs="Book Antiqua"/>
          <w:b/>
          <w:bCs/>
          <w:color w:val="000000" w:themeColor="text1"/>
        </w:rPr>
        <w:t xml:space="preserve"> </w:t>
      </w:r>
      <w:r w:rsidRPr="009E07BC">
        <w:rPr>
          <w:rFonts w:ascii="Book Antiqua" w:eastAsia="Book Antiqua" w:hAnsi="Book Antiqua" w:cs="Book Antiqua"/>
          <w:b/>
          <w:bCs/>
          <w:color w:val="000000" w:themeColor="text1"/>
        </w:rPr>
        <w:t>Yue-Yong Zhu, You-Bing Li</w:t>
      </w:r>
      <w:r>
        <w:rPr>
          <w:rFonts w:ascii="Book Antiqua" w:eastAsia="Book Antiqua" w:hAnsi="Book Antiqua" w:cs="Book Antiqua"/>
          <w:b/>
          <w:bCs/>
          <w:color w:val="000000" w:themeColor="text1"/>
        </w:rPr>
        <w:t>,</w:t>
      </w:r>
      <w:r w:rsidR="00DE6BC6" w:rsidRPr="001A1C75">
        <w:rPr>
          <w:rFonts w:ascii="Book Antiqua" w:eastAsia="Book Antiqua" w:hAnsi="Book Antiqua" w:cs="Book Antiqua"/>
          <w:b/>
          <w:bCs/>
          <w:color w:val="000000" w:themeColor="text1"/>
        </w:rPr>
        <w:t xml:space="preserve"> </w:t>
      </w:r>
      <w:r w:rsidR="00471C76" w:rsidRPr="00471C76">
        <w:rPr>
          <w:rFonts w:ascii="Book Antiqua" w:eastAsia="Book Antiqua" w:hAnsi="Book Antiqua" w:cs="Book Antiqua"/>
          <w:color w:val="000000" w:themeColor="text1"/>
        </w:rPr>
        <w:t>Department of</w:t>
      </w:r>
      <w:r w:rsidR="00471C76">
        <w:rPr>
          <w:rFonts w:ascii="Book Antiqua" w:eastAsia="Book Antiqua" w:hAnsi="Book Antiqua" w:cs="Book Antiqua"/>
          <w:b/>
          <w:bCs/>
          <w:color w:val="000000" w:themeColor="text1"/>
        </w:rPr>
        <w:t xml:space="preserve"> </w:t>
      </w:r>
      <w:r w:rsidR="00DE6BC6" w:rsidRPr="001A1C75">
        <w:rPr>
          <w:rFonts w:ascii="Book Antiqua" w:eastAsia="Book Antiqua" w:hAnsi="Book Antiqua" w:cs="Book Antiqua"/>
          <w:color w:val="000000" w:themeColor="text1"/>
        </w:rPr>
        <w:t>Liver Research Center, The First Affiliated Hospital of Fujian Medical University, Fuzhou 350005, Fujian</w:t>
      </w:r>
      <w:r w:rsidR="00471C76">
        <w:rPr>
          <w:rFonts w:ascii="Book Antiqua" w:eastAsia="Book Antiqua" w:hAnsi="Book Antiqua" w:cs="Book Antiqua"/>
          <w:color w:val="000000" w:themeColor="text1"/>
        </w:rPr>
        <w:t xml:space="preserve"> Province</w:t>
      </w:r>
      <w:r w:rsidR="00DE6BC6" w:rsidRPr="001A1C75">
        <w:rPr>
          <w:rFonts w:ascii="Book Antiqua" w:eastAsia="Book Antiqua" w:hAnsi="Book Antiqua" w:cs="Book Antiqua"/>
          <w:color w:val="000000" w:themeColor="text1"/>
        </w:rPr>
        <w:t>, China</w:t>
      </w:r>
    </w:p>
    <w:p w14:paraId="760CA54E" w14:textId="77777777" w:rsidR="00A77B3E" w:rsidRPr="001A1C75" w:rsidRDefault="00A77B3E" w:rsidP="001A1C75">
      <w:pPr>
        <w:spacing w:line="360" w:lineRule="auto"/>
        <w:jc w:val="both"/>
        <w:rPr>
          <w:rFonts w:ascii="Book Antiqua" w:hAnsi="Book Antiqua"/>
          <w:color w:val="000000" w:themeColor="text1"/>
        </w:rPr>
      </w:pPr>
    </w:p>
    <w:p w14:paraId="5E2E87D6" w14:textId="580AA32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Bo Wan, </w:t>
      </w:r>
      <w:r w:rsidRPr="001A1C75">
        <w:rPr>
          <w:rFonts w:ascii="Book Antiqua" w:eastAsia="Book Antiqua" w:hAnsi="Book Antiqua" w:cs="Book Antiqua"/>
          <w:color w:val="000000" w:themeColor="text1"/>
        </w:rPr>
        <w:t>Institute of Neurology, University College London, L</w:t>
      </w:r>
      <w:r w:rsidR="0040292C">
        <w:rPr>
          <w:rFonts w:ascii="Book Antiqua" w:eastAsia="Book Antiqua" w:hAnsi="Book Antiqua" w:cs="Book Antiqua"/>
          <w:color w:val="000000" w:themeColor="text1"/>
        </w:rPr>
        <w:t>ondon</w:t>
      </w:r>
      <w:r w:rsidRPr="001A1C75">
        <w:rPr>
          <w:rFonts w:ascii="Book Antiqua" w:eastAsia="Book Antiqua" w:hAnsi="Book Antiqua" w:cs="Book Antiqua"/>
          <w:color w:val="000000" w:themeColor="text1"/>
        </w:rPr>
        <w:t xml:space="preserve"> WC1N 3BG, United Kingdom</w:t>
      </w:r>
    </w:p>
    <w:p w14:paraId="232470E9" w14:textId="77777777" w:rsidR="00A77B3E" w:rsidRPr="001A1C75" w:rsidRDefault="00A77B3E" w:rsidP="001A1C75">
      <w:pPr>
        <w:spacing w:line="360" w:lineRule="auto"/>
        <w:jc w:val="both"/>
        <w:rPr>
          <w:rFonts w:ascii="Book Antiqua" w:hAnsi="Book Antiqua"/>
          <w:color w:val="000000" w:themeColor="text1"/>
        </w:rPr>
      </w:pPr>
    </w:p>
    <w:p w14:paraId="480C6606" w14:textId="01013356"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Author contributions: </w:t>
      </w:r>
      <w:r w:rsidRPr="001A1C75">
        <w:rPr>
          <w:rFonts w:ascii="Book Antiqua" w:eastAsia="Book Antiqua" w:hAnsi="Book Antiqua" w:cs="Book Antiqua"/>
          <w:color w:val="000000" w:themeColor="text1"/>
        </w:rPr>
        <w:t>Wang MF and Li YB designed the study</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Huang JF and Wu YL collected and analyzed the data</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Wang MF and Wan B drafted the manuscript</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Zhu YY and Li YB </w:t>
      </w:r>
      <w:r w:rsidR="008B4F09">
        <w:rPr>
          <w:rFonts w:ascii="Book Antiqua" w:eastAsia="Book Antiqua" w:hAnsi="Book Antiqua" w:cs="Book Antiqua"/>
          <w:color w:val="000000" w:themeColor="text1"/>
        </w:rPr>
        <w:t>critically revised the</w:t>
      </w:r>
      <w:r w:rsidRPr="001A1C75">
        <w:rPr>
          <w:rFonts w:ascii="Book Antiqua" w:eastAsia="Book Antiqua" w:hAnsi="Book Antiqua" w:cs="Book Antiqua"/>
          <w:color w:val="000000" w:themeColor="text1"/>
        </w:rPr>
        <w:t xml:space="preserve"> manuscript</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71C76">
        <w:rPr>
          <w:rFonts w:ascii="Book Antiqua" w:eastAsia="Book Antiqua" w:hAnsi="Book Antiqua" w:cs="Book Antiqua"/>
          <w:color w:val="000000" w:themeColor="text1"/>
        </w:rPr>
        <w:t>a</w:t>
      </w:r>
      <w:r w:rsidRPr="001A1C75">
        <w:rPr>
          <w:rFonts w:ascii="Book Antiqua" w:eastAsia="Book Antiqua" w:hAnsi="Book Antiqua" w:cs="Book Antiqua"/>
          <w:color w:val="000000" w:themeColor="text1"/>
        </w:rPr>
        <w:t>ll authors approved the final version of the manuscript prior to submission.</w:t>
      </w:r>
    </w:p>
    <w:p w14:paraId="1EB2C3AE" w14:textId="77777777" w:rsidR="00A77B3E" w:rsidRPr="001A1C75" w:rsidRDefault="00A77B3E" w:rsidP="001A1C75">
      <w:pPr>
        <w:spacing w:line="360" w:lineRule="auto"/>
        <w:jc w:val="both"/>
        <w:rPr>
          <w:rFonts w:ascii="Book Antiqua" w:hAnsi="Book Antiqua"/>
          <w:color w:val="000000" w:themeColor="text1"/>
        </w:rPr>
      </w:pPr>
    </w:p>
    <w:p w14:paraId="4B09B956" w14:textId="7C99A91D"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Supported by </w:t>
      </w:r>
      <w:r w:rsidRPr="001A1C75">
        <w:rPr>
          <w:rFonts w:ascii="Book Antiqua" w:eastAsia="Book Antiqua" w:hAnsi="Book Antiqua" w:cs="Book Antiqua"/>
          <w:color w:val="000000" w:themeColor="text1"/>
        </w:rPr>
        <w:t>Chinese National 13</w:t>
      </w:r>
      <w:r w:rsidRPr="00076467">
        <w:rPr>
          <w:rFonts w:ascii="Book Antiqua" w:eastAsia="Book Antiqua" w:hAnsi="Book Antiqua" w:cs="Book Antiqua"/>
          <w:color w:val="000000" w:themeColor="text1"/>
          <w:vertAlign w:val="superscript"/>
        </w:rPr>
        <w:t>th</w:t>
      </w:r>
      <w:r w:rsidRPr="001A1C75">
        <w:rPr>
          <w:rFonts w:ascii="Book Antiqua" w:eastAsia="Book Antiqua" w:hAnsi="Book Antiqua" w:cs="Book Antiqua"/>
          <w:color w:val="000000" w:themeColor="text1"/>
        </w:rPr>
        <w:t xml:space="preserve"> Five-Year Plan's Science and Technology Projects</w:t>
      </w:r>
      <w:r w:rsidR="00923A78">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23A78">
        <w:rPr>
          <w:rFonts w:ascii="Book Antiqua" w:eastAsia="Book Antiqua" w:hAnsi="Book Antiqua" w:cs="Book Antiqua"/>
          <w:color w:val="000000" w:themeColor="text1"/>
        </w:rPr>
        <w:t xml:space="preserve">No. </w:t>
      </w:r>
      <w:r w:rsidRPr="001A1C75">
        <w:rPr>
          <w:rFonts w:ascii="Book Antiqua" w:eastAsia="Book Antiqua" w:hAnsi="Book Antiqua" w:cs="Book Antiqua"/>
          <w:color w:val="000000" w:themeColor="text1"/>
        </w:rPr>
        <w:t>2017ZX10202201.</w:t>
      </w:r>
    </w:p>
    <w:p w14:paraId="4F17EAE3" w14:textId="77777777" w:rsidR="00A77B3E" w:rsidRPr="001A1C75" w:rsidRDefault="00A77B3E" w:rsidP="001A1C75">
      <w:pPr>
        <w:spacing w:line="360" w:lineRule="auto"/>
        <w:jc w:val="both"/>
        <w:rPr>
          <w:rFonts w:ascii="Book Antiqua" w:hAnsi="Book Antiqua"/>
          <w:color w:val="000000" w:themeColor="text1"/>
        </w:rPr>
      </w:pPr>
    </w:p>
    <w:p w14:paraId="639AEDB7" w14:textId="5F49532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Corresponding author: You</w:t>
      </w:r>
      <w:r w:rsidR="008749D7">
        <w:rPr>
          <w:rFonts w:ascii="Book Antiqua" w:eastAsia="Book Antiqua" w:hAnsi="Book Antiqua" w:cs="Book Antiqua"/>
          <w:b/>
          <w:bCs/>
          <w:color w:val="000000" w:themeColor="text1"/>
        </w:rPr>
        <w:t>-B</w:t>
      </w:r>
      <w:r w:rsidRPr="001A1C75">
        <w:rPr>
          <w:rFonts w:ascii="Book Antiqua" w:eastAsia="Book Antiqua" w:hAnsi="Book Antiqua" w:cs="Book Antiqua"/>
          <w:b/>
          <w:bCs/>
          <w:color w:val="000000" w:themeColor="text1"/>
        </w:rPr>
        <w:t xml:space="preserve">ing Li, PhD, Associate Chief Physician, </w:t>
      </w:r>
      <w:r w:rsidR="008749D7" w:rsidRPr="00471C76">
        <w:rPr>
          <w:rFonts w:ascii="Book Antiqua" w:eastAsia="Book Antiqua" w:hAnsi="Book Antiqua" w:cs="Book Antiqua"/>
          <w:color w:val="000000" w:themeColor="text1"/>
        </w:rPr>
        <w:t>Department of</w:t>
      </w:r>
      <w:r w:rsidR="008749D7">
        <w:rPr>
          <w:rFonts w:ascii="Book Antiqua" w:eastAsia="Book Antiqua" w:hAnsi="Book Antiqua" w:cs="Book Antiqua"/>
          <w:b/>
          <w:bCs/>
          <w:color w:val="000000" w:themeColor="text1"/>
        </w:rPr>
        <w:t xml:space="preserve"> </w:t>
      </w:r>
      <w:r w:rsidR="008749D7" w:rsidRPr="001A1C75">
        <w:rPr>
          <w:rFonts w:ascii="Book Antiqua" w:eastAsia="Book Antiqua" w:hAnsi="Book Antiqua" w:cs="Book Antiqua"/>
          <w:color w:val="000000" w:themeColor="text1"/>
        </w:rPr>
        <w:t>Liver Research Center,</w:t>
      </w:r>
      <w:r w:rsidRPr="001A1C75">
        <w:rPr>
          <w:rFonts w:ascii="Book Antiqua" w:eastAsia="Book Antiqua" w:hAnsi="Book Antiqua" w:cs="Book Antiqua"/>
          <w:color w:val="000000" w:themeColor="text1"/>
        </w:rPr>
        <w:t xml:space="preserve"> The First Affiliated Hospital of Fujian Medical University, </w:t>
      </w:r>
      <w:r w:rsidR="008749D7">
        <w:rPr>
          <w:rFonts w:ascii="Book Antiqua" w:eastAsia="Book Antiqua" w:hAnsi="Book Antiqua" w:cs="Book Antiqua"/>
          <w:color w:val="000000" w:themeColor="text1"/>
        </w:rPr>
        <w:t xml:space="preserve">No. </w:t>
      </w:r>
      <w:r w:rsidRPr="001A1C75">
        <w:rPr>
          <w:rFonts w:ascii="Book Antiqua" w:eastAsia="Book Antiqua" w:hAnsi="Book Antiqua" w:cs="Book Antiqua"/>
          <w:color w:val="000000" w:themeColor="text1"/>
        </w:rPr>
        <w:t xml:space="preserve">20 </w:t>
      </w:r>
      <w:r w:rsidRPr="001A1C75">
        <w:rPr>
          <w:rFonts w:ascii="Book Antiqua" w:eastAsia="Book Antiqua" w:hAnsi="Book Antiqua" w:cs="Book Antiqua"/>
          <w:color w:val="000000" w:themeColor="text1"/>
        </w:rPr>
        <w:lastRenderedPageBreak/>
        <w:t>Chazhong Road, Taijiang District, Fuzhou 350005, Fujian</w:t>
      </w:r>
      <w:r w:rsidR="001376E1">
        <w:rPr>
          <w:rFonts w:ascii="Book Antiqua" w:eastAsia="Book Antiqua" w:hAnsi="Book Antiqua" w:cs="Book Antiqua"/>
          <w:color w:val="000000" w:themeColor="text1"/>
        </w:rPr>
        <w:t xml:space="preserve"> Province</w:t>
      </w:r>
      <w:r w:rsidRPr="001A1C75">
        <w:rPr>
          <w:rFonts w:ascii="Book Antiqua" w:eastAsia="Book Antiqua" w:hAnsi="Book Antiqua" w:cs="Book Antiqua"/>
          <w:color w:val="000000" w:themeColor="text1"/>
        </w:rPr>
        <w:t>, China. liyoubing1976@sina.com</w:t>
      </w:r>
    </w:p>
    <w:p w14:paraId="499E6ADC" w14:textId="77777777" w:rsidR="00A77B3E" w:rsidRPr="001A1C75" w:rsidRDefault="00A77B3E" w:rsidP="001A1C75">
      <w:pPr>
        <w:spacing w:line="360" w:lineRule="auto"/>
        <w:jc w:val="both"/>
        <w:rPr>
          <w:rFonts w:ascii="Book Antiqua" w:hAnsi="Book Antiqua"/>
          <w:color w:val="000000" w:themeColor="text1"/>
        </w:rPr>
      </w:pPr>
    </w:p>
    <w:p w14:paraId="5D764A8B"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Received: </w:t>
      </w:r>
      <w:r w:rsidRPr="001A1C75">
        <w:rPr>
          <w:rFonts w:ascii="Book Antiqua" w:eastAsia="Book Antiqua" w:hAnsi="Book Antiqua" w:cs="Book Antiqua"/>
          <w:color w:val="000000" w:themeColor="text1"/>
        </w:rPr>
        <w:t>October 9, 2020</w:t>
      </w:r>
    </w:p>
    <w:p w14:paraId="1E16A16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Revised: </w:t>
      </w:r>
      <w:r w:rsidRPr="001A1C75">
        <w:rPr>
          <w:rFonts w:ascii="Book Antiqua" w:eastAsia="Book Antiqua" w:hAnsi="Book Antiqua" w:cs="Book Antiqua"/>
          <w:color w:val="000000" w:themeColor="text1"/>
        </w:rPr>
        <w:t>December 11, 2020</w:t>
      </w:r>
    </w:p>
    <w:p w14:paraId="653B676D" w14:textId="50C2CEF5"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Accepted: </w:t>
      </w:r>
      <w:r w:rsidR="00721100" w:rsidRPr="00721100">
        <w:rPr>
          <w:rFonts w:ascii="Book Antiqua" w:eastAsia="Book Antiqua" w:hAnsi="Book Antiqua" w:cs="Book Antiqua"/>
          <w:color w:val="000000" w:themeColor="text1"/>
        </w:rPr>
        <w:t>December 22, 2020</w:t>
      </w:r>
    </w:p>
    <w:p w14:paraId="32FBAD7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Published online: </w:t>
      </w:r>
    </w:p>
    <w:p w14:paraId="7C3AAB82" w14:textId="77777777" w:rsidR="00A77B3E" w:rsidRPr="001A1C75" w:rsidRDefault="00A77B3E" w:rsidP="001A1C75">
      <w:pPr>
        <w:spacing w:line="360" w:lineRule="auto"/>
        <w:jc w:val="both"/>
        <w:rPr>
          <w:rFonts w:ascii="Book Antiqua" w:hAnsi="Book Antiqua"/>
          <w:color w:val="000000" w:themeColor="text1"/>
        </w:rPr>
        <w:sectPr w:rsidR="00A77B3E" w:rsidRPr="001A1C75">
          <w:footerReference w:type="default" r:id="rId6"/>
          <w:pgSz w:w="12240" w:h="15840"/>
          <w:pgMar w:top="1440" w:right="1440" w:bottom="1440" w:left="1440" w:header="720" w:footer="720" w:gutter="0"/>
          <w:cols w:space="720"/>
          <w:docGrid w:linePitch="360"/>
        </w:sectPr>
      </w:pPr>
    </w:p>
    <w:p w14:paraId="71D28F09"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lastRenderedPageBreak/>
        <w:t>Abstract</w:t>
      </w:r>
    </w:p>
    <w:p w14:paraId="35C653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BACKGROUND</w:t>
      </w:r>
    </w:p>
    <w:p w14:paraId="147903CF" w14:textId="7B4CB69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Metabolic associated fatty liver disease (MAFLD) is a novel </w:t>
      </w:r>
      <w:r w:rsidR="008B4F09">
        <w:rPr>
          <w:rFonts w:ascii="Book Antiqua" w:eastAsia="Book Antiqua" w:hAnsi="Book Antiqua" w:cs="Book Antiqua"/>
          <w:color w:val="000000" w:themeColor="text1"/>
        </w:rPr>
        <w:t xml:space="preserve">concept proposed </w:t>
      </w:r>
      <w:r w:rsidRPr="001A1C75">
        <w:rPr>
          <w:rFonts w:ascii="Book Antiqua" w:eastAsia="Book Antiqua" w:hAnsi="Book Antiqua" w:cs="Book Antiqua"/>
          <w:color w:val="000000" w:themeColor="text1"/>
        </w:rPr>
        <w:t>in 2020.</w:t>
      </w:r>
    </w:p>
    <w:p w14:paraId="0193DAB2" w14:textId="77777777" w:rsidR="00A77B3E" w:rsidRPr="001A1C75" w:rsidRDefault="00A77B3E" w:rsidP="001A1C75">
      <w:pPr>
        <w:spacing w:line="360" w:lineRule="auto"/>
        <w:jc w:val="both"/>
        <w:rPr>
          <w:rFonts w:ascii="Book Antiqua" w:hAnsi="Book Antiqua"/>
          <w:color w:val="000000" w:themeColor="text1"/>
        </w:rPr>
      </w:pPr>
    </w:p>
    <w:p w14:paraId="20397E83"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AIM</w:t>
      </w:r>
    </w:p>
    <w:p w14:paraId="58B722A2" w14:textId="4906FC7E" w:rsidR="00A77B3E" w:rsidRPr="001A1C75" w:rsidRDefault="00E3045F" w:rsidP="001A1C7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w:t>
      </w:r>
      <w:r w:rsidR="00DE6BC6" w:rsidRPr="001A1C75">
        <w:rPr>
          <w:rFonts w:ascii="Book Antiqua" w:eastAsia="Book Antiqua" w:hAnsi="Book Antiqua" w:cs="Book Antiqua"/>
          <w:color w:val="000000" w:themeColor="text1"/>
        </w:rPr>
        <w:t xml:space="preserve">o compare the characteristics </w:t>
      </w:r>
      <w:r w:rsidR="008B4F09">
        <w:rPr>
          <w:rFonts w:ascii="Book Antiqua" w:eastAsia="Book Antiqua" w:hAnsi="Book Antiqua" w:cs="Book Antiqua"/>
          <w:color w:val="000000" w:themeColor="text1"/>
        </w:rPr>
        <w:t>of</w:t>
      </w:r>
      <w:r w:rsidR="008B4F09" w:rsidRPr="001A1C75">
        <w:rPr>
          <w:rFonts w:ascii="Book Antiqua" w:eastAsia="Book Antiqua" w:hAnsi="Book Antiqua" w:cs="Book Antiqua"/>
          <w:color w:val="000000" w:themeColor="text1"/>
        </w:rPr>
        <w:t xml:space="preserve"> </w:t>
      </w:r>
      <w:r w:rsidR="00DE6BC6" w:rsidRPr="001A1C75">
        <w:rPr>
          <w:rFonts w:ascii="Book Antiqua" w:eastAsia="Book Antiqua" w:hAnsi="Book Antiqua" w:cs="Book Antiqua"/>
          <w:color w:val="000000" w:themeColor="text1"/>
        </w:rPr>
        <w:t>MAFLD and MAFLD with hepatitis B virus (HBV) infection.</w:t>
      </w:r>
    </w:p>
    <w:p w14:paraId="04B88B4B" w14:textId="77777777" w:rsidR="00A77B3E" w:rsidRPr="001A1C75" w:rsidRDefault="00A77B3E" w:rsidP="001A1C75">
      <w:pPr>
        <w:spacing w:line="360" w:lineRule="auto"/>
        <w:jc w:val="both"/>
        <w:rPr>
          <w:rFonts w:ascii="Book Antiqua" w:hAnsi="Book Antiqua"/>
          <w:color w:val="000000" w:themeColor="text1"/>
        </w:rPr>
      </w:pPr>
    </w:p>
    <w:p w14:paraId="36C45D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METHODS</w:t>
      </w:r>
    </w:p>
    <w:p w14:paraId="263E9D91" w14:textId="2CDB7062"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Patients with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MAFLD from a single medical center were included. Patients were divided into MAFLD group (without HBV infection) and HBV-MAFLD group (with HBV infection). Propensity score matching was utilized to balance the baseline characteristics between two groups.</w:t>
      </w:r>
    </w:p>
    <w:p w14:paraId="4B2F82EA" w14:textId="77777777" w:rsidR="00A77B3E" w:rsidRPr="001A1C75" w:rsidRDefault="00A77B3E" w:rsidP="001A1C75">
      <w:pPr>
        <w:spacing w:line="360" w:lineRule="auto"/>
        <w:jc w:val="both"/>
        <w:rPr>
          <w:rFonts w:ascii="Book Antiqua" w:hAnsi="Book Antiqua"/>
          <w:color w:val="000000" w:themeColor="text1"/>
        </w:rPr>
      </w:pPr>
    </w:p>
    <w:p w14:paraId="78BE308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RESULTS</w:t>
      </w:r>
    </w:p>
    <w:p w14:paraId="3358D655" w14:textId="0A92ADF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A total of 417 cases with MAFLD were included, 359 (86.1%) of whom were infected with HBV. There were significantly more males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than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After </w:t>
      </w:r>
      <w:r w:rsidR="008B4F09">
        <w:rPr>
          <w:rFonts w:ascii="Book Antiqua" w:eastAsia="Book Antiqua" w:hAnsi="Book Antiqua" w:cs="Book Antiqua"/>
          <w:color w:val="000000" w:themeColor="text1"/>
        </w:rPr>
        <w:t>p</w:t>
      </w:r>
      <w:r w:rsidR="008B4F09" w:rsidRPr="001A1C75">
        <w:rPr>
          <w:rFonts w:ascii="Book Antiqua" w:eastAsia="Book Antiqua" w:hAnsi="Book Antiqua" w:cs="Book Antiqua"/>
          <w:color w:val="000000" w:themeColor="text1"/>
        </w:rPr>
        <w:t>ropensity score matching</w:t>
      </w:r>
      <w:r w:rsidRPr="001A1C75">
        <w:rPr>
          <w:rFonts w:ascii="Book Antiqua" w:eastAsia="Book Antiqua" w:hAnsi="Book Antiqua" w:cs="Book Antiqua"/>
          <w:color w:val="000000" w:themeColor="text1"/>
        </w:rPr>
        <w:t>, 58 pairs were successfully matched with no significant differences found in gender</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age</w:t>
      </w:r>
      <w:r w:rsidR="008B4F0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body mass index, lipid levels, liver enzymes, and the other metabolic associated comorbidities</w:t>
      </w:r>
      <w:r w:rsidR="008B4F09">
        <w:rPr>
          <w:rFonts w:ascii="Book Antiqua" w:eastAsia="Book Antiqua" w:hAnsi="Book Antiqua" w:cs="Book Antiqua"/>
          <w:color w:val="000000" w:themeColor="text1"/>
        </w:rPr>
        <w:t xml:space="preserve"> between the two groups</w:t>
      </w:r>
      <w:r w:rsidRPr="001A1C75">
        <w:rPr>
          <w:rFonts w:ascii="Book Antiqua" w:eastAsia="Book Antiqua" w:hAnsi="Book Antiqua" w:cs="Book Antiqua"/>
          <w:color w:val="000000" w:themeColor="text1"/>
        </w:rPr>
        <w:t xml:space="preserve">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&gt; 0.05). The rank sum test results showed that the degree of liver steatosis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group was more severe than that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while the degree of inflammation and fibrosis in</w:t>
      </w:r>
      <w:r w:rsidR="008B4F09">
        <w:rPr>
          <w:rFonts w:ascii="Book Antiqua" w:eastAsia="Book Antiqua" w:hAnsi="Book Antiqua" w:cs="Book Antiqua"/>
          <w:color w:val="000000" w:themeColor="text1"/>
        </w:rPr>
        <w:t xml:space="preserve"> the</w:t>
      </w:r>
      <w:r w:rsidRPr="001A1C75">
        <w:rPr>
          <w:rFonts w:ascii="Book Antiqua" w:eastAsia="Book Antiqua" w:hAnsi="Book Antiqua" w:cs="Book Antiqua"/>
          <w:color w:val="000000" w:themeColor="text1"/>
        </w:rPr>
        <w:t xml:space="preserve"> liver was less severe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In multivariate analysis, HBV infection was associated with significantly lower grade of hepatic steatosis </w:t>
      </w:r>
      <w:r w:rsidR="008B4F09">
        <w:rPr>
          <w:rFonts w:ascii="Book Antiqua" w:eastAsia="Book Antiqua" w:hAnsi="Book Antiqua" w:cs="Book Antiqua"/>
          <w:color w:val="000000" w:themeColor="text1"/>
        </w:rPr>
        <w:t xml:space="preserve">[odds ratio </w:t>
      </w:r>
      <w:r w:rsidRPr="001A1C75">
        <w:rPr>
          <w:rFonts w:ascii="Book Antiqua" w:eastAsia="Book Antiqua" w:hAnsi="Book Antiqua" w:cs="Book Antiqua"/>
          <w:color w:val="000000" w:themeColor="text1"/>
        </w:rPr>
        <w:t>(OR</w:t>
      </w:r>
      <w:r w:rsidR="008B4F09">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0.088, 95%</w:t>
      </w:r>
      <w:r w:rsidR="008B4F09">
        <w:rPr>
          <w:rFonts w:ascii="Book Antiqua" w:eastAsia="Book Antiqua" w:hAnsi="Book Antiqua" w:cs="Book Antiqua"/>
          <w:color w:val="000000" w:themeColor="text1"/>
        </w:rPr>
        <w:t xml:space="preserve"> confidence interval (</w:t>
      </w:r>
      <w:r w:rsidRPr="001A1C75">
        <w:rPr>
          <w:rFonts w:ascii="Book Antiqua" w:eastAsia="Book Antiqua" w:hAnsi="Book Antiqua" w:cs="Book Antiqua"/>
          <w:color w:val="000000" w:themeColor="text1"/>
        </w:rPr>
        <w:t>CI</w:t>
      </w:r>
      <w:r w:rsidR="008B4F09">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0.027-0.291</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but higher inflammation level (OR</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4.059, 95%CI</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1.403-11.742) and fibrosis level (OR</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3.016, 95%CI</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1.087-8.370) after adjusting for age, gender</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other metabolic parameters.</w:t>
      </w:r>
    </w:p>
    <w:p w14:paraId="72233758" w14:textId="77777777" w:rsidR="00A77B3E" w:rsidRPr="001A1C75" w:rsidRDefault="00A77B3E" w:rsidP="001A1C75">
      <w:pPr>
        <w:spacing w:line="360" w:lineRule="auto"/>
        <w:jc w:val="both"/>
        <w:rPr>
          <w:rFonts w:ascii="Book Antiqua" w:hAnsi="Book Antiqua"/>
          <w:color w:val="000000" w:themeColor="text1"/>
        </w:rPr>
      </w:pPr>
    </w:p>
    <w:p w14:paraId="4C0F1B36"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CONCLUSION</w:t>
      </w:r>
    </w:p>
    <w:p w14:paraId="7A93C459" w14:textId="3FFC12E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lastRenderedPageBreak/>
        <w:t>HBV infection is associated with similar metabolic risks, lower steatosis grade, higher inflammation</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grade in MAFLD patients. </w:t>
      </w:r>
    </w:p>
    <w:p w14:paraId="11E09374" w14:textId="77777777" w:rsidR="00A77B3E" w:rsidRPr="001A1C75" w:rsidRDefault="00A77B3E" w:rsidP="001A1C75">
      <w:pPr>
        <w:spacing w:line="360" w:lineRule="auto"/>
        <w:jc w:val="both"/>
        <w:rPr>
          <w:rFonts w:ascii="Book Antiqua" w:hAnsi="Book Antiqua"/>
          <w:color w:val="000000" w:themeColor="text1"/>
        </w:rPr>
      </w:pPr>
    </w:p>
    <w:p w14:paraId="6F858C33" w14:textId="47405CD2"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Key Words: </w:t>
      </w:r>
      <w:r w:rsidRPr="001A1C75">
        <w:rPr>
          <w:rFonts w:ascii="Book Antiqua" w:eastAsia="Book Antiqua" w:hAnsi="Book Antiqua" w:cs="Book Antiqua"/>
          <w:color w:val="000000" w:themeColor="text1"/>
        </w:rPr>
        <w:t xml:space="preserve">Fatty liver disease; </w:t>
      </w:r>
      <w:r w:rsidR="005E464A" w:rsidRPr="001A1C75">
        <w:rPr>
          <w:rFonts w:ascii="Book Antiqua" w:eastAsia="Book Antiqua" w:hAnsi="Book Antiqua" w:cs="Book Antiqua"/>
          <w:color w:val="000000" w:themeColor="text1"/>
        </w:rPr>
        <w:t>Metabolic associated fatty liver disease</w:t>
      </w:r>
      <w:r w:rsidRPr="001A1C75">
        <w:rPr>
          <w:rFonts w:ascii="Book Antiqua" w:eastAsia="Book Antiqua" w:hAnsi="Book Antiqua" w:cs="Book Antiqua"/>
          <w:color w:val="000000" w:themeColor="text1"/>
        </w:rPr>
        <w:t xml:space="preserve">; </w:t>
      </w:r>
      <w:r w:rsidR="005E464A">
        <w:rPr>
          <w:rFonts w:ascii="Book Antiqua" w:eastAsia="Book Antiqua" w:hAnsi="Book Antiqua" w:cs="Book Antiqua"/>
          <w:color w:val="000000" w:themeColor="text1"/>
        </w:rPr>
        <w:t>H</w:t>
      </w:r>
      <w:r w:rsidR="005E464A" w:rsidRPr="001A1C75">
        <w:rPr>
          <w:rFonts w:ascii="Book Antiqua" w:eastAsia="Book Antiqua" w:hAnsi="Book Antiqua" w:cs="Book Antiqua"/>
          <w:color w:val="000000" w:themeColor="text1"/>
        </w:rPr>
        <w:t>epatitis B virus</w:t>
      </w:r>
      <w:r w:rsidRPr="001A1C75">
        <w:rPr>
          <w:rFonts w:ascii="Book Antiqua" w:eastAsia="Book Antiqua" w:hAnsi="Book Antiqua" w:cs="Book Antiqua"/>
          <w:color w:val="000000" w:themeColor="text1"/>
        </w:rPr>
        <w:t xml:space="preserve">; </w:t>
      </w:r>
      <w:r w:rsidR="005E464A">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iopsy</w:t>
      </w:r>
      <w:r w:rsidR="00C77523">
        <w:rPr>
          <w:rFonts w:ascii="Book Antiqua" w:eastAsia="Book Antiqua" w:hAnsi="Book Antiqua" w:cs="Book Antiqua"/>
          <w:color w:val="000000" w:themeColor="text1"/>
        </w:rPr>
        <w:t xml:space="preserve">; </w:t>
      </w:r>
      <w:bookmarkStart w:id="0" w:name="OLE_LINK1"/>
      <w:r w:rsidR="00C77523">
        <w:rPr>
          <w:rFonts w:ascii="Book Antiqua" w:eastAsia="Book Antiqua" w:hAnsi="Book Antiqua" w:cs="Book Antiqua"/>
          <w:bCs/>
          <w:color w:val="000000" w:themeColor="text1"/>
        </w:rPr>
        <w:t>C</w:t>
      </w:r>
      <w:r w:rsidR="00C77523" w:rsidRPr="00C77523">
        <w:rPr>
          <w:rFonts w:ascii="Book Antiqua" w:eastAsia="Book Antiqua" w:hAnsi="Book Antiqua" w:cs="Book Antiqua"/>
          <w:bCs/>
          <w:color w:val="000000" w:themeColor="text1"/>
        </w:rPr>
        <w:t>linic-pathological features</w:t>
      </w:r>
      <w:bookmarkEnd w:id="0"/>
    </w:p>
    <w:p w14:paraId="7160702B" w14:textId="77777777" w:rsidR="00A77B3E" w:rsidRPr="001A1C75" w:rsidRDefault="00A77B3E" w:rsidP="001A1C75">
      <w:pPr>
        <w:spacing w:line="360" w:lineRule="auto"/>
        <w:jc w:val="both"/>
        <w:rPr>
          <w:rFonts w:ascii="Book Antiqua" w:hAnsi="Book Antiqua"/>
          <w:color w:val="000000" w:themeColor="text1"/>
        </w:rPr>
      </w:pPr>
    </w:p>
    <w:p w14:paraId="1BBC1457" w14:textId="5F398DAA"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Wang M</w:t>
      </w:r>
      <w:r w:rsidR="00DD374A">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 Wan B, Wu YL, Huang J</w:t>
      </w:r>
      <w:r w:rsidR="00DD374A">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 Zhu Y</w:t>
      </w:r>
      <w:r w:rsidR="00DD374A">
        <w:rPr>
          <w:rFonts w:ascii="Book Antiqua" w:eastAsia="Book Antiqua" w:hAnsi="Book Antiqua" w:cs="Book Antiqua"/>
          <w:color w:val="000000" w:themeColor="text1"/>
        </w:rPr>
        <w:t>Y</w:t>
      </w:r>
      <w:r w:rsidRPr="001A1C75">
        <w:rPr>
          <w:rFonts w:ascii="Book Antiqua" w:eastAsia="Book Antiqua" w:hAnsi="Book Antiqua" w:cs="Book Antiqua"/>
          <w:color w:val="000000" w:themeColor="text1"/>
        </w:rPr>
        <w:t>, Li Y</w:t>
      </w:r>
      <w:r w:rsidR="00DD374A">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w:t>
      </w:r>
      <w:r w:rsidR="00056FCE">
        <w:rPr>
          <w:rFonts w:ascii="Book Antiqua" w:eastAsia="Book Antiqua" w:hAnsi="Book Antiqua" w:cs="Book Antiqua"/>
          <w:bCs/>
          <w:color w:val="000000" w:themeColor="text1"/>
        </w:rPr>
        <w:t xml:space="preserve"> </w:t>
      </w:r>
      <w:r w:rsidR="00056FCE" w:rsidRPr="00C77523">
        <w:rPr>
          <w:rFonts w:ascii="Book Antiqua" w:eastAsia="Book Antiqua" w:hAnsi="Book Antiqua" w:cs="Book Antiqua"/>
          <w:bCs/>
          <w:color w:val="000000" w:themeColor="text1"/>
        </w:rPr>
        <w:t>C</w:t>
      </w:r>
      <w:r w:rsidR="00C77523" w:rsidRPr="00C77523">
        <w:rPr>
          <w:rFonts w:ascii="Book Antiqua" w:eastAsia="Book Antiqua" w:hAnsi="Book Antiqua" w:cs="Book Antiqua"/>
          <w:bCs/>
          <w:color w:val="000000" w:themeColor="text1"/>
        </w:rPr>
        <w:t xml:space="preserve">linic-pathological features of </w:t>
      </w:r>
      <w:r w:rsidR="00C77523" w:rsidRPr="00C77523">
        <w:rPr>
          <w:rFonts w:ascii="Book Antiqua" w:eastAsia="Book Antiqua" w:hAnsi="Book Antiqua" w:cs="Book Antiqua"/>
          <w:bCs/>
          <w:color w:val="000000" w:themeColor="text1"/>
          <w:shd w:val="clear" w:color="auto" w:fill="FFFFFF"/>
        </w:rPr>
        <w:t xml:space="preserve">metabolic associated fatty liver disease </w:t>
      </w:r>
      <w:r w:rsidR="00C77523" w:rsidRPr="00C77523">
        <w:rPr>
          <w:rFonts w:ascii="Book Antiqua" w:eastAsia="Book Antiqua" w:hAnsi="Book Antiqua" w:cs="Book Antiqua"/>
          <w:bCs/>
          <w:color w:val="000000" w:themeColor="text1"/>
        </w:rPr>
        <w:t>with hepatitis B virus infection</w:t>
      </w:r>
      <w:r w:rsidRPr="00C77523">
        <w:rPr>
          <w:rFonts w:ascii="Book Antiqua" w:eastAsia="Book Antiqua" w:hAnsi="Book Antiqua" w:cs="Book Antiqua"/>
          <w:bCs/>
          <w:color w:val="000000" w:themeColor="text1"/>
        </w:rPr>
        <w:t>.</w:t>
      </w:r>
      <w:r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i/>
          <w:iCs/>
          <w:color w:val="000000" w:themeColor="text1"/>
        </w:rPr>
        <w:t>World J Gastroenterol</w:t>
      </w:r>
      <w:r w:rsidRPr="001A1C75">
        <w:rPr>
          <w:rFonts w:ascii="Book Antiqua" w:eastAsia="Book Antiqua" w:hAnsi="Book Antiqua" w:cs="Book Antiqua"/>
          <w:color w:val="000000" w:themeColor="text1"/>
        </w:rPr>
        <w:t xml:space="preserve"> 2020; In press</w:t>
      </w:r>
    </w:p>
    <w:p w14:paraId="196504AE" w14:textId="048D8EB9" w:rsidR="00A77B3E" w:rsidRPr="001A1C75" w:rsidRDefault="00A77B3E" w:rsidP="001A1C75">
      <w:pPr>
        <w:spacing w:line="360" w:lineRule="auto"/>
        <w:jc w:val="both"/>
        <w:rPr>
          <w:rFonts w:ascii="Book Antiqua" w:hAnsi="Book Antiqua"/>
          <w:color w:val="000000" w:themeColor="text1"/>
        </w:rPr>
      </w:pPr>
    </w:p>
    <w:p w14:paraId="53714E18" w14:textId="2E015C4B"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Core Tip: </w:t>
      </w:r>
      <w:r w:rsidRPr="001A1C75">
        <w:rPr>
          <w:rFonts w:ascii="Book Antiqua" w:eastAsia="Book Antiqua" w:hAnsi="Book Antiqua" w:cs="Book Antiqua"/>
          <w:color w:val="000000" w:themeColor="text1"/>
        </w:rPr>
        <w:t xml:space="preserve">Metabolic associated fatty liver disease (MAFLD) is a novel concept proposed in 2020 aiming to replace the previous definition of </w:t>
      </w:r>
      <w:r w:rsidR="00010B69">
        <w:rPr>
          <w:rFonts w:ascii="Book Antiqua" w:eastAsia="Book Antiqua" w:hAnsi="Book Antiqua" w:cs="Book Antiqua"/>
          <w:color w:val="000000" w:themeColor="text1"/>
        </w:rPr>
        <w:t>n</w:t>
      </w:r>
      <w:r w:rsidR="00010B69" w:rsidRPr="00010B69">
        <w:rPr>
          <w:rFonts w:ascii="Book Antiqua" w:eastAsia="Book Antiqua" w:hAnsi="Book Antiqua" w:cs="Book Antiqua"/>
          <w:color w:val="000000" w:themeColor="text1"/>
        </w:rPr>
        <w:t>on-alcoholic fatty liver disease</w:t>
      </w:r>
      <w:r w:rsidRPr="001A1C75">
        <w:rPr>
          <w:rFonts w:ascii="Book Antiqua" w:eastAsia="Book Antiqua" w:hAnsi="Book Antiqua" w:cs="Book Antiqua"/>
          <w:color w:val="000000" w:themeColor="text1"/>
        </w:rPr>
        <w:t xml:space="preserve">. Patients with MAFLD have different features from those with </w:t>
      </w:r>
      <w:r w:rsidR="008B4F09">
        <w:rPr>
          <w:rFonts w:ascii="Book Antiqua" w:eastAsia="Book Antiqua" w:hAnsi="Book Antiqua" w:cs="Book Antiqua"/>
          <w:color w:val="000000" w:themeColor="text1"/>
        </w:rPr>
        <w:t>n</w:t>
      </w:r>
      <w:r w:rsidR="008B4F09" w:rsidRPr="00010B69">
        <w:rPr>
          <w:rFonts w:ascii="Book Antiqua" w:eastAsia="Book Antiqua" w:hAnsi="Book Antiqua" w:cs="Book Antiqua"/>
          <w:color w:val="000000" w:themeColor="text1"/>
        </w:rPr>
        <w:t>on-alcoholic fatty liver disease</w:t>
      </w:r>
      <w:r w:rsidR="008B4F09"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because MAFLD does not require the exclusion of other chronic liver disease, such as </w:t>
      </w:r>
      <w:r w:rsidR="008327F8">
        <w:rPr>
          <w:rFonts w:ascii="Book Antiqua" w:eastAsia="Book Antiqua" w:hAnsi="Book Antiqua" w:cs="Book Antiqua"/>
          <w:color w:val="000000" w:themeColor="text1"/>
        </w:rPr>
        <w:t>h</w:t>
      </w:r>
      <w:r w:rsidR="008327F8" w:rsidRPr="001A1C75">
        <w:rPr>
          <w:rFonts w:ascii="Book Antiqua" w:eastAsia="Book Antiqua" w:hAnsi="Book Antiqua" w:cs="Book Antiqua"/>
          <w:color w:val="000000" w:themeColor="text1"/>
        </w:rPr>
        <w:t xml:space="preserve">epatitis B virus </w:t>
      </w:r>
      <w:r w:rsidR="008327F8">
        <w:rPr>
          <w:rFonts w:ascii="Book Antiqua" w:eastAsia="Book Antiqua" w:hAnsi="Book Antiqua" w:cs="Book Antiqua"/>
          <w:color w:val="000000" w:themeColor="text1"/>
        </w:rPr>
        <w:t>(</w:t>
      </w:r>
      <w:r w:rsidR="008327F8" w:rsidRPr="001A1C75">
        <w:rPr>
          <w:rFonts w:ascii="Book Antiqua" w:eastAsia="Book Antiqua" w:hAnsi="Book Antiqua" w:cs="Book Antiqua"/>
          <w:color w:val="000000" w:themeColor="text1"/>
        </w:rPr>
        <w:t>HBV</w:t>
      </w:r>
      <w:r w:rsidR="008327F8">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infection. In this study, we compared the characteristics of patients with and without HBV infection in a biopsy-proved MAFLD cohort. The results of this study involving 417 participants showed that cases with HBV-MAFLD had similar metabolic features as pure MAFLD, and the presence of HBV infection </w:t>
      </w:r>
      <w:r w:rsidR="008B4F09">
        <w:rPr>
          <w:rFonts w:ascii="Book Antiqua" w:eastAsia="Book Antiqua" w:hAnsi="Book Antiqua" w:cs="Book Antiqua"/>
          <w:color w:val="000000" w:themeColor="text1"/>
        </w:rPr>
        <w:t>wa</w:t>
      </w:r>
      <w:r w:rsidRPr="001A1C75">
        <w:rPr>
          <w:rFonts w:ascii="Book Antiqua" w:eastAsia="Book Antiqua" w:hAnsi="Book Antiqua" w:cs="Book Antiqua"/>
          <w:color w:val="000000" w:themeColor="text1"/>
        </w:rPr>
        <w:t>s associated with lower steatosis grade but higher inflammation and fibrosis grade in MAFLD. These results highlight the importance of the monitoring and manag</w:t>
      </w:r>
      <w:r w:rsidR="008B4F09">
        <w:rPr>
          <w:rFonts w:ascii="Book Antiqua" w:eastAsia="Book Antiqua" w:hAnsi="Book Antiqua" w:cs="Book Antiqua"/>
          <w:color w:val="000000" w:themeColor="text1"/>
        </w:rPr>
        <w:t>ing</w:t>
      </w:r>
      <w:r w:rsidRPr="001A1C75">
        <w:rPr>
          <w:rFonts w:ascii="Book Antiqua" w:eastAsia="Book Antiqua" w:hAnsi="Book Antiqua" w:cs="Book Antiqua"/>
          <w:color w:val="000000" w:themeColor="text1"/>
        </w:rPr>
        <w:t xml:space="preserve"> HBV infection in MAFLD.</w:t>
      </w:r>
    </w:p>
    <w:p w14:paraId="3CCDC21D" w14:textId="77777777" w:rsidR="00A77B3E" w:rsidRPr="001A1C75" w:rsidRDefault="00A77B3E" w:rsidP="001A1C75">
      <w:pPr>
        <w:spacing w:line="360" w:lineRule="auto"/>
        <w:jc w:val="both"/>
        <w:rPr>
          <w:rFonts w:ascii="Book Antiqua" w:hAnsi="Book Antiqua"/>
          <w:color w:val="000000" w:themeColor="text1"/>
        </w:rPr>
      </w:pPr>
    </w:p>
    <w:p w14:paraId="3C9CB2BE" w14:textId="43FDFC9E" w:rsidR="00A77B3E" w:rsidRPr="001A1C75" w:rsidRDefault="00D27D08" w:rsidP="001A1C7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DE6BC6" w:rsidRPr="001A1C75">
        <w:rPr>
          <w:rFonts w:ascii="Book Antiqua" w:eastAsia="Book Antiqua" w:hAnsi="Book Antiqua" w:cs="Book Antiqua"/>
          <w:b/>
          <w:caps/>
          <w:color w:val="000000" w:themeColor="text1"/>
          <w:u w:val="single"/>
        </w:rPr>
        <w:lastRenderedPageBreak/>
        <w:t>INTRODUCTION</w:t>
      </w:r>
    </w:p>
    <w:p w14:paraId="6282058D" w14:textId="4AB90ED8"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Fatty liver disease is one of the most common chronic liver diseases</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affecting nearly 25% </w:t>
      </w:r>
      <w:r w:rsidR="008B4F09">
        <w:rPr>
          <w:rFonts w:ascii="Book Antiqua" w:eastAsia="Book Antiqua" w:hAnsi="Book Antiqua" w:cs="Book Antiqua"/>
          <w:color w:val="000000" w:themeColor="text1"/>
        </w:rPr>
        <w:t xml:space="preserve">of the </w:t>
      </w:r>
      <w:r w:rsidRPr="001A1C75">
        <w:rPr>
          <w:rFonts w:ascii="Book Antiqua" w:eastAsia="Book Antiqua" w:hAnsi="Book Antiqua" w:cs="Book Antiqua"/>
          <w:color w:val="000000" w:themeColor="text1"/>
        </w:rPr>
        <w:t>population worldwide</w:t>
      </w:r>
      <w:r w:rsidRPr="001A1C75">
        <w:rPr>
          <w:rFonts w:ascii="Book Antiqua" w:eastAsia="Book Antiqua" w:hAnsi="Book Antiqua" w:cs="Book Antiqua"/>
          <w:color w:val="000000" w:themeColor="text1"/>
          <w:vertAlign w:val="superscript"/>
        </w:rPr>
        <w:t>[1]</w:t>
      </w:r>
      <w:r w:rsidRPr="001A1C75">
        <w:rPr>
          <w:rFonts w:ascii="Book Antiqua" w:eastAsia="Book Antiqua" w:hAnsi="Book Antiqua" w:cs="Book Antiqua"/>
          <w:color w:val="000000" w:themeColor="text1"/>
        </w:rPr>
        <w:t xml:space="preserve">. Metabolic associated fatty liver disease (MAFLD) is a new definition proposed recently </w:t>
      </w:r>
      <w:r w:rsidR="008B4F09">
        <w:rPr>
          <w:rFonts w:ascii="Book Antiqua" w:eastAsia="Book Antiqua" w:hAnsi="Book Antiqua" w:cs="Book Antiqua"/>
          <w:color w:val="000000" w:themeColor="text1"/>
        </w:rPr>
        <w:t>that</w:t>
      </w:r>
      <w:r w:rsidR="008B4F09"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is different from previous diagnostic criteria for non-alcoholic fatty liver disease (NAFLD)</w:t>
      </w:r>
      <w:r w:rsidRPr="001A1C75">
        <w:rPr>
          <w:rFonts w:ascii="Book Antiqua" w:eastAsia="Book Antiqua" w:hAnsi="Book Antiqua" w:cs="Book Antiqua"/>
          <w:color w:val="000000" w:themeColor="text1"/>
          <w:vertAlign w:val="superscript"/>
        </w:rPr>
        <w:t>[2,3]</w:t>
      </w:r>
      <w:r w:rsidRPr="001A1C75">
        <w:rPr>
          <w:rFonts w:ascii="Book Antiqua" w:eastAsia="Book Antiqua" w:hAnsi="Book Antiqua" w:cs="Book Antiqua"/>
          <w:color w:val="000000" w:themeColor="text1"/>
        </w:rPr>
        <w:t>. The significant difference between NAFLD and MAFLD is that the diagnosis of MAFLD does not need to exclude other etiology of liver disease, such as excessive alcohol intake or viral infection</w:t>
      </w:r>
      <w:r w:rsidRPr="001A1C75">
        <w:rPr>
          <w:rFonts w:ascii="Book Antiqua" w:eastAsia="Book Antiqua" w:hAnsi="Book Antiqua" w:cs="Book Antiqua"/>
          <w:color w:val="000000" w:themeColor="text1"/>
          <w:vertAlign w:val="superscript"/>
        </w:rPr>
        <w:t>[4]</w:t>
      </w:r>
      <w:r w:rsidRPr="001A1C75">
        <w:rPr>
          <w:rFonts w:ascii="Book Antiqua" w:eastAsia="Book Antiqua" w:hAnsi="Book Antiqua" w:cs="Book Antiqua"/>
          <w:color w:val="000000" w:themeColor="text1"/>
        </w:rPr>
        <w:t>, while the presence of metabolic dysfunction is necessary for MAFLD</w:t>
      </w:r>
      <w:r w:rsidRPr="001A1C75">
        <w:rPr>
          <w:rFonts w:ascii="Book Antiqua" w:eastAsia="Book Antiqua" w:hAnsi="Book Antiqua" w:cs="Book Antiqua"/>
          <w:color w:val="000000" w:themeColor="text1"/>
          <w:vertAlign w:val="superscript"/>
        </w:rPr>
        <w:t>[5]</w:t>
      </w:r>
      <w:r w:rsidRPr="001A1C75">
        <w:rPr>
          <w:rFonts w:ascii="Book Antiqua" w:eastAsia="Book Antiqua" w:hAnsi="Book Antiqua" w:cs="Book Antiqua"/>
          <w:color w:val="000000" w:themeColor="text1"/>
        </w:rPr>
        <w:t>. These criteria help</w:t>
      </w:r>
      <w:r w:rsidR="008B4F09">
        <w:rPr>
          <w:rFonts w:ascii="Book Antiqua" w:eastAsia="Book Antiqua" w:hAnsi="Book Antiqua" w:cs="Book Antiqua"/>
          <w:color w:val="000000" w:themeColor="text1"/>
        </w:rPr>
        <w:t xml:space="preserve"> to identify</w:t>
      </w:r>
      <w:r w:rsidRPr="001A1C75">
        <w:rPr>
          <w:rFonts w:ascii="Book Antiqua" w:eastAsia="Book Antiqua" w:hAnsi="Book Antiqua" w:cs="Book Antiqua"/>
          <w:color w:val="000000" w:themeColor="text1"/>
        </w:rPr>
        <w:t xml:space="preserve"> more cases at high risk</w:t>
      </w:r>
      <w:r w:rsidRPr="001A1C75">
        <w:rPr>
          <w:rFonts w:ascii="Book Antiqua" w:eastAsia="Book Antiqua" w:hAnsi="Book Antiqua" w:cs="Book Antiqua"/>
          <w:color w:val="000000" w:themeColor="text1"/>
          <w:vertAlign w:val="superscript"/>
        </w:rPr>
        <w:t>[6,7]</w:t>
      </w:r>
      <w:r w:rsidRPr="001A1C75">
        <w:rPr>
          <w:rFonts w:ascii="Book Antiqua" w:eastAsia="Book Antiqua" w:hAnsi="Book Antiqua" w:cs="Book Antiqua"/>
          <w:color w:val="000000" w:themeColor="text1"/>
        </w:rPr>
        <w:t xml:space="preserve">. </w:t>
      </w:r>
    </w:p>
    <w:p w14:paraId="311BECF5" w14:textId="6E5B1427" w:rsidR="00A77B3E" w:rsidRPr="001A1C75" w:rsidRDefault="00DE6BC6" w:rsidP="00D27D08">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Hepatitis B virus (HBV) infection is prevalent in Asia. In China, the HBV infection rate is as high as 5%-6% in</w:t>
      </w:r>
      <w:r w:rsidR="008B4F09">
        <w:rPr>
          <w:rFonts w:ascii="Book Antiqua" w:eastAsia="Book Antiqua" w:hAnsi="Book Antiqua" w:cs="Book Antiqua"/>
          <w:color w:val="000000" w:themeColor="text1"/>
        </w:rPr>
        <w:t xml:space="preserve"> the</w:t>
      </w:r>
      <w:r w:rsidRPr="001A1C75">
        <w:rPr>
          <w:rFonts w:ascii="Book Antiqua" w:eastAsia="Book Antiqua" w:hAnsi="Book Antiqua" w:cs="Book Antiqua"/>
          <w:color w:val="000000" w:themeColor="text1"/>
        </w:rPr>
        <w:t xml:space="preserve"> general population</w:t>
      </w:r>
      <w:r w:rsidRPr="001A1C75">
        <w:rPr>
          <w:rFonts w:ascii="Book Antiqua" w:eastAsia="Book Antiqua" w:hAnsi="Book Antiqua" w:cs="Book Antiqua"/>
          <w:color w:val="000000" w:themeColor="text1"/>
          <w:vertAlign w:val="superscript"/>
        </w:rPr>
        <w:t>[8]</w:t>
      </w:r>
      <w:r w:rsidRPr="001A1C75">
        <w:rPr>
          <w:rFonts w:ascii="Book Antiqua" w:eastAsia="Book Antiqua" w:hAnsi="Book Antiqua" w:cs="Book Antiqua"/>
          <w:color w:val="000000" w:themeColor="text1"/>
        </w:rPr>
        <w:t xml:space="preserve">. The association between NAFLD and HBV has been controversial for </w:t>
      </w:r>
      <w:r w:rsidR="008B4F09">
        <w:rPr>
          <w:rFonts w:ascii="Book Antiqua" w:eastAsia="Book Antiqua" w:hAnsi="Book Antiqua" w:cs="Book Antiqua"/>
          <w:color w:val="000000" w:themeColor="text1"/>
        </w:rPr>
        <w:t xml:space="preserve">a </w:t>
      </w:r>
      <w:r w:rsidRPr="001A1C75">
        <w:rPr>
          <w:rFonts w:ascii="Book Antiqua" w:eastAsia="Book Antiqua" w:hAnsi="Book Antiqua" w:cs="Book Antiqua"/>
          <w:color w:val="000000" w:themeColor="text1"/>
        </w:rPr>
        <w:t>long</w:t>
      </w:r>
      <w:r w:rsidR="008B4F09">
        <w:rPr>
          <w:rFonts w:ascii="Book Antiqua" w:eastAsia="Book Antiqua" w:hAnsi="Book Antiqua" w:cs="Book Antiqua"/>
          <w:color w:val="000000" w:themeColor="text1"/>
        </w:rPr>
        <w:t xml:space="preserve"> time</w:t>
      </w:r>
      <w:r w:rsidRPr="001A1C75">
        <w:rPr>
          <w:rFonts w:ascii="Book Antiqua" w:eastAsia="Book Antiqua" w:hAnsi="Book Antiqua" w:cs="Book Antiqua"/>
          <w:color w:val="000000" w:themeColor="text1"/>
        </w:rPr>
        <w:t xml:space="preserve"> because, theoretically, the diagnosis of NAFLD requires the exclusion of HBV infection</w:t>
      </w:r>
      <w:r w:rsidRPr="001A1C75">
        <w:rPr>
          <w:rFonts w:ascii="Book Antiqua" w:eastAsia="Book Antiqua" w:hAnsi="Book Antiqua" w:cs="Book Antiqua"/>
          <w:color w:val="000000" w:themeColor="text1"/>
          <w:vertAlign w:val="superscript"/>
        </w:rPr>
        <w:t>[9]</w:t>
      </w:r>
      <w:r w:rsidRPr="001A1C75">
        <w:rPr>
          <w:rFonts w:ascii="Book Antiqua" w:eastAsia="Book Antiqua" w:hAnsi="Book Antiqua" w:cs="Book Antiqua"/>
          <w:color w:val="000000" w:themeColor="text1"/>
        </w:rPr>
        <w:t xml:space="preserve">. As the MAFLD criteria do not need to exclude chronic hepatitis B, there would be a considerable number of HBV-infected cases diagnosed with MAFLD. In the light of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definition, the combination of HBV and MAFLD (HBV-MAFLD) would become an important subtype of MAFLD. The clinicopathological characteristics of this subtype are unclear. To answer this question, this study compared patients with MAFLD and HBV-MAFLD in a large biopsy proven cohort, aiming to characterize MAFLD patients </w:t>
      </w:r>
      <w:r w:rsidR="008B4F09">
        <w:rPr>
          <w:rFonts w:ascii="Book Antiqua" w:eastAsia="Book Antiqua" w:hAnsi="Book Antiqua" w:cs="Book Antiqua"/>
          <w:color w:val="000000" w:themeColor="text1"/>
        </w:rPr>
        <w:t xml:space="preserve">infected </w:t>
      </w:r>
      <w:r w:rsidRPr="001A1C75">
        <w:rPr>
          <w:rFonts w:ascii="Book Antiqua" w:eastAsia="Book Antiqua" w:hAnsi="Book Antiqua" w:cs="Book Antiqua"/>
          <w:color w:val="000000" w:themeColor="text1"/>
        </w:rPr>
        <w:t xml:space="preserve">with HBV. </w:t>
      </w:r>
    </w:p>
    <w:p w14:paraId="175E3AB7" w14:textId="77777777" w:rsidR="00A77B3E" w:rsidRPr="001A1C75" w:rsidRDefault="00A77B3E" w:rsidP="001A1C75">
      <w:pPr>
        <w:spacing w:line="360" w:lineRule="auto"/>
        <w:jc w:val="both"/>
        <w:rPr>
          <w:rFonts w:ascii="Book Antiqua" w:hAnsi="Book Antiqua"/>
          <w:color w:val="000000" w:themeColor="text1"/>
        </w:rPr>
      </w:pPr>
    </w:p>
    <w:p w14:paraId="14FF2B7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MATERIALS AND METHODS</w:t>
      </w:r>
    </w:p>
    <w:p w14:paraId="1C3240EE"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Patients</w:t>
      </w:r>
      <w:r w:rsidRPr="001A1C75">
        <w:rPr>
          <w:rStyle w:val="Geen"/>
          <w:rFonts w:ascii="Book Antiqua" w:eastAsia="Book Antiqua" w:hAnsi="Book Antiqua" w:cs="Book Antiqua"/>
          <w:i/>
          <w:iCs/>
          <w:color w:val="000000" w:themeColor="text1"/>
        </w:rPr>
        <w:t xml:space="preserve"> </w:t>
      </w:r>
    </w:p>
    <w:p w14:paraId="4EF1AAC0" w14:textId="3721094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study included a consecutive cohort of patients with pathologically proven steatosis from the Liver Research Center of the First Affiliated Hospital of Fujian Medical University from 2005 to 2015. The inclusion criteria were meeting MAFLD diagnostic criteria irrespective of HBV infection. </w:t>
      </w:r>
    </w:p>
    <w:p w14:paraId="28305BBF" w14:textId="3E837C58" w:rsidR="00A77B3E" w:rsidRDefault="00DE6BC6" w:rsidP="00D27D08">
      <w:pPr>
        <w:spacing w:line="360" w:lineRule="auto"/>
        <w:ind w:firstLineChars="200" w:firstLine="480"/>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Patients with excessive alcohol intake (male &lt;</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g/d or female &lt;</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20</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g/d) were diagnosed with alcoholic liver disease</w:t>
      </w:r>
      <w:r w:rsidRPr="001A1C75">
        <w:rPr>
          <w:rFonts w:ascii="Book Antiqua" w:eastAsia="Book Antiqua" w:hAnsi="Book Antiqua" w:cs="Book Antiqua"/>
          <w:color w:val="000000" w:themeColor="text1"/>
          <w:vertAlign w:val="superscript"/>
        </w:rPr>
        <w:t>[10]</w:t>
      </w:r>
      <w:r w:rsidR="0064167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and they were advised to stop</w:t>
      </w:r>
      <w:r w:rsidR="00641674">
        <w:rPr>
          <w:rFonts w:ascii="Book Antiqua" w:eastAsia="Book Antiqua" w:hAnsi="Book Antiqua" w:cs="Book Antiqua"/>
          <w:color w:val="000000" w:themeColor="text1"/>
        </w:rPr>
        <w:t xml:space="preserve"> consuming alcohol</w:t>
      </w:r>
      <w:r w:rsidRPr="001A1C75">
        <w:rPr>
          <w:rFonts w:ascii="Book Antiqua" w:eastAsia="Book Antiqua" w:hAnsi="Book Antiqua" w:cs="Book Antiqua"/>
          <w:color w:val="000000" w:themeColor="text1"/>
        </w:rPr>
        <w:t>. None of them received liver biopsy in our department. Thus</w:t>
      </w:r>
      <w:r w:rsidR="0064167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this study did not include any case with excessive alcohol consumption.</w:t>
      </w:r>
    </w:p>
    <w:p w14:paraId="47482062" w14:textId="77777777" w:rsidR="00D27D08" w:rsidRPr="001A1C75" w:rsidRDefault="00D27D08" w:rsidP="00D27D08">
      <w:pPr>
        <w:spacing w:line="360" w:lineRule="auto"/>
        <w:ind w:firstLineChars="200" w:firstLine="480"/>
        <w:jc w:val="both"/>
        <w:rPr>
          <w:rFonts w:ascii="Book Antiqua" w:hAnsi="Book Antiqua"/>
          <w:color w:val="000000" w:themeColor="text1"/>
        </w:rPr>
      </w:pPr>
    </w:p>
    <w:p w14:paraId="623C799D"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Diagnostic criteria</w:t>
      </w:r>
      <w:r w:rsidRPr="001A1C75">
        <w:rPr>
          <w:rFonts w:ascii="Book Antiqua" w:eastAsia="Book Antiqua" w:hAnsi="Book Antiqua" w:cs="Book Antiqua"/>
          <w:color w:val="000000" w:themeColor="text1"/>
        </w:rPr>
        <w:t xml:space="preserve"> </w:t>
      </w:r>
    </w:p>
    <w:p w14:paraId="451263F6" w14:textId="0B1E92E1"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is diagnosed based on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liver steatosis and the presence of one of the following: </w:t>
      </w:r>
      <w:r w:rsidR="009F0B7A">
        <w:rPr>
          <w:rFonts w:ascii="Book Antiqua" w:eastAsia="Book Antiqua" w:hAnsi="Book Antiqua" w:cs="Book Antiqua"/>
          <w:color w:val="000000" w:themeColor="text1"/>
        </w:rPr>
        <w:t>O</w:t>
      </w:r>
      <w:r w:rsidRPr="001A1C75">
        <w:rPr>
          <w:rFonts w:ascii="Book Antiqua" w:eastAsia="Book Antiqua" w:hAnsi="Book Antiqua" w:cs="Book Antiqua"/>
          <w:color w:val="000000" w:themeColor="text1"/>
        </w:rPr>
        <w:t>verweight or obesity, diabetes mellitus, or evidence of metabolic dysregulation</w:t>
      </w:r>
      <w:r w:rsidRPr="001A1C75">
        <w:rPr>
          <w:rFonts w:ascii="Book Antiqua" w:eastAsia="Book Antiqua" w:hAnsi="Book Antiqua" w:cs="Book Antiqua"/>
          <w:color w:val="000000" w:themeColor="text1"/>
          <w:vertAlign w:val="superscript"/>
        </w:rPr>
        <w:t>[5]</w:t>
      </w:r>
      <w:r w:rsidRPr="001A1C75">
        <w:rPr>
          <w:rFonts w:ascii="Book Antiqua" w:eastAsia="Book Antiqua" w:hAnsi="Book Antiqua" w:cs="Book Antiqua"/>
          <w:color w:val="000000" w:themeColor="text1"/>
        </w:rPr>
        <w:t xml:space="preserve">. Overweight was defined as body mass index (BMI) </w:t>
      </w:r>
      <w:r w:rsidR="00457CE4" w:rsidRPr="001A1C75">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23</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kg/m</w:t>
      </w:r>
      <w:r w:rsidRPr="001A1C75">
        <w:rPr>
          <w:rFonts w:ascii="Book Antiqua" w:eastAsia="Book Antiqua" w:hAnsi="Book Antiqua" w:cs="Book Antiqua"/>
          <w:color w:val="000000" w:themeColor="text1"/>
          <w:vertAlign w:val="superscript"/>
        </w:rPr>
        <w:t>2</w:t>
      </w:r>
      <w:r w:rsidRPr="001A1C75">
        <w:rPr>
          <w:rFonts w:ascii="Book Antiqua" w:eastAsia="Book Antiqua" w:hAnsi="Book Antiqua" w:cs="Book Antiqua"/>
          <w:color w:val="000000" w:themeColor="text1"/>
        </w:rPr>
        <w:t xml:space="preserve"> for Asians. The metabolic dysregulation was diagnosed when two of the following criteria were met: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1) </w:t>
      </w:r>
      <w:r w:rsidR="00457CE4">
        <w:rPr>
          <w:rFonts w:ascii="Book Antiqua" w:eastAsia="Book Antiqua" w:hAnsi="Book Antiqua" w:cs="Book Antiqua"/>
          <w:color w:val="000000" w:themeColor="text1"/>
        </w:rPr>
        <w:t>w</w:t>
      </w:r>
      <w:r w:rsidRPr="001A1C75">
        <w:rPr>
          <w:rFonts w:ascii="Book Antiqua" w:eastAsia="Book Antiqua" w:hAnsi="Book Antiqua" w:cs="Book Antiqua"/>
          <w:color w:val="000000" w:themeColor="text1"/>
        </w:rPr>
        <w:t>aist circumference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90/80 cm in Asian men and women</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2) </w:t>
      </w:r>
      <w:r w:rsidR="00457CE4">
        <w:rPr>
          <w:rFonts w:ascii="Book Antiqua" w:eastAsia="Book Antiqua" w:hAnsi="Book Antiqua" w:cs="Book Antiqua"/>
          <w:color w:val="000000" w:themeColor="text1"/>
        </w:rPr>
        <w:t>t</w:t>
      </w:r>
      <w:r w:rsidRPr="001A1C75">
        <w:rPr>
          <w:rFonts w:ascii="Book Antiqua" w:eastAsia="Book Antiqua" w:hAnsi="Book Antiqua" w:cs="Book Antiqua"/>
          <w:color w:val="000000" w:themeColor="text1"/>
        </w:rPr>
        <w:t>riglyceride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1.70 mmo</w:t>
      </w:r>
      <w:r w:rsidR="00457CE4">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or receiving specific drug treatment</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3) </w:t>
      </w:r>
      <w:r w:rsidR="00446D52">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lood pressure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130/85 mmHg or specific drug treatment</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4) </w:t>
      </w:r>
      <w:r w:rsidR="009556EE">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igh-density lipoprotein cholesterol &lt;</w:t>
      </w:r>
      <w:r w:rsidR="009556EE">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1.0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for men and &lt;</w:t>
      </w:r>
      <w:r w:rsidR="009556EE">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1.3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for women</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5) </w:t>
      </w:r>
      <w:r w:rsidR="009556EE">
        <w:rPr>
          <w:rFonts w:ascii="Book Antiqua" w:eastAsia="Book Antiqua" w:hAnsi="Book Antiqua" w:cs="Book Antiqua"/>
          <w:color w:val="000000" w:themeColor="text1"/>
        </w:rPr>
        <w:t>p</w:t>
      </w:r>
      <w:r w:rsidRPr="001A1C75">
        <w:rPr>
          <w:rFonts w:ascii="Book Antiqua" w:eastAsia="Book Antiqua" w:hAnsi="Book Antiqua" w:cs="Book Antiqua"/>
          <w:color w:val="000000" w:themeColor="text1"/>
        </w:rPr>
        <w:t xml:space="preserve">rediabetes </w:t>
      </w:r>
      <w:r w:rsidR="00641674">
        <w:rPr>
          <w:rFonts w:ascii="Book Antiqua" w:eastAsia="Book Antiqua" w:hAnsi="Book Antiqua" w:cs="Book Antiqua"/>
          <w:color w:val="000000" w:themeColor="text1"/>
        </w:rPr>
        <w:t>[</w:t>
      </w:r>
      <w:r w:rsidRPr="009556EE">
        <w:rPr>
          <w:rFonts w:ascii="Book Antiqua" w:eastAsia="Book Antiqua" w:hAnsi="Book Antiqua" w:cs="Book Antiqua"/>
          <w:i/>
          <w:iCs/>
          <w:color w:val="000000" w:themeColor="text1"/>
        </w:rPr>
        <w:t>i.e.</w:t>
      </w:r>
      <w:r w:rsidRPr="001A1C75">
        <w:rPr>
          <w:rFonts w:ascii="Book Antiqua" w:eastAsia="Book Antiqua" w:hAnsi="Book Antiqua" w:cs="Book Antiqua"/>
          <w:color w:val="000000" w:themeColor="text1"/>
        </w:rPr>
        <w:t xml:space="preserve"> glycated hemoglobin 5.7%-6.4%, fasting glucose levels (FPG) 5.6 to 6.9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or 2</w:t>
      </w:r>
      <w:r w:rsidR="009556EE">
        <w:rPr>
          <w:rFonts w:ascii="Book Antiqua" w:eastAsia="Book Antiqua" w:hAnsi="Book Antiqua" w:cs="Book Antiqua"/>
          <w:color w:val="000000" w:themeColor="text1"/>
        </w:rPr>
        <w:t xml:space="preserve"> h</w:t>
      </w:r>
      <w:r w:rsidRPr="001A1C75">
        <w:rPr>
          <w:rFonts w:ascii="Book Antiqua" w:eastAsia="Book Antiqua" w:hAnsi="Book Antiqua" w:cs="Book Antiqua"/>
          <w:color w:val="000000" w:themeColor="text1"/>
        </w:rPr>
        <w:t xml:space="preserve"> glucose levels 7.8 to 11.0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w:t>
      </w:r>
      <w:r w:rsidR="00641674">
        <w:rPr>
          <w:rFonts w:ascii="Book Antiqua" w:eastAsia="Book Antiqua" w:hAnsi="Book Antiqua" w:cs="Book Antiqua"/>
          <w:color w:val="000000" w:themeColor="text1"/>
        </w:rPr>
        <w:t>]</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6) </w:t>
      </w:r>
      <w:r w:rsidR="00446D52">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ypersensitive C-reactive protein level &gt;</w:t>
      </w:r>
      <w:r w:rsidR="008B08D6">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 mg/L</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8B08D6">
        <w:rPr>
          <w:rFonts w:ascii="Book Antiqua" w:eastAsia="Book Antiqua" w:hAnsi="Book Antiqua" w:cs="Book Antiqua"/>
          <w:color w:val="000000" w:themeColor="text1"/>
        </w:rPr>
        <w:t xml:space="preserve">and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7) </w:t>
      </w:r>
      <w:r w:rsidR="008B08D6">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omeostasis model assessment-insulin resistance score ≥</w:t>
      </w:r>
      <w:r w:rsidR="008B08D6">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2.5.</w:t>
      </w:r>
    </w:p>
    <w:p w14:paraId="6D91ABBB" w14:textId="77777777" w:rsidR="00A77B3E" w:rsidRPr="001A1C75" w:rsidRDefault="00DE6BC6" w:rsidP="008B08D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Patients were divided into two groups according to the result of HBV surface antigen (HBsAg): MAFLD group (HBsAg negative) and HBV-MAFLD group (HBsAg positive). </w:t>
      </w:r>
    </w:p>
    <w:p w14:paraId="08761D32" w14:textId="77777777" w:rsidR="00A77B3E" w:rsidRPr="001A1C75" w:rsidRDefault="00A77B3E" w:rsidP="001A1C75">
      <w:pPr>
        <w:spacing w:line="360" w:lineRule="auto"/>
        <w:jc w:val="both"/>
        <w:rPr>
          <w:rFonts w:ascii="Book Antiqua" w:hAnsi="Book Antiqua"/>
          <w:color w:val="000000" w:themeColor="text1"/>
        </w:rPr>
      </w:pPr>
    </w:p>
    <w:p w14:paraId="364ACF2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 xml:space="preserve">Liver biopsy </w:t>
      </w:r>
    </w:p>
    <w:p w14:paraId="6EFA93D0" w14:textId="644D5054" w:rsidR="00A77B3E"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Liver biopsy was performed with a 16</w:t>
      </w:r>
      <w:r w:rsidR="00A540FB">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g Tru-Cut biopsy needle under the guidance of ultrasound. Specimens of 15-20 mm liver tissues were fixed with 10% neutral formalin, embedded in paraffin, </w:t>
      </w:r>
      <w:r w:rsidR="00641674">
        <w:rPr>
          <w:rFonts w:ascii="Book Antiqua" w:eastAsia="Book Antiqua" w:hAnsi="Book Antiqua" w:cs="Book Antiqua"/>
          <w:color w:val="000000" w:themeColor="text1"/>
        </w:rPr>
        <w:t>and sectioned</w:t>
      </w:r>
      <w:r w:rsidRPr="001A1C75">
        <w:rPr>
          <w:rFonts w:ascii="Book Antiqua" w:eastAsia="Book Antiqua" w:hAnsi="Book Antiqua" w:cs="Book Antiqua"/>
          <w:color w:val="000000" w:themeColor="text1"/>
        </w:rPr>
        <w:t xml:space="preserve"> into 4</w:t>
      </w:r>
      <w:r w:rsidR="00084B5A">
        <w:rPr>
          <w:rFonts w:ascii="Book Antiqua" w:eastAsia="Book Antiqua" w:hAnsi="Book Antiqua" w:cs="Book Antiqua"/>
          <w:color w:val="000000" w:themeColor="text1"/>
        </w:rPr>
        <w:t xml:space="preserve"> </w:t>
      </w:r>
      <w:r w:rsidR="00084B5A" w:rsidRPr="00084B5A">
        <w:rPr>
          <w:rFonts w:ascii="Book Antiqua" w:eastAsia="MS Mincho" w:hAnsi="Book Antiqua" w:cs="Book Antiqua"/>
        </w:rPr>
        <w:t>μ</w:t>
      </w:r>
      <w:r w:rsidRPr="00084B5A">
        <w:rPr>
          <w:rFonts w:ascii="Book Antiqua" w:eastAsia="Book Antiqua" w:hAnsi="Book Antiqua" w:cs="Book Antiqua"/>
          <w:color w:val="000000" w:themeColor="text1"/>
        </w:rPr>
        <w:t>m</w:t>
      </w:r>
      <w:r w:rsidRPr="001A1C75">
        <w:rPr>
          <w:rFonts w:ascii="Book Antiqua" w:eastAsia="Book Antiqua" w:hAnsi="Book Antiqua" w:cs="Book Antiqua"/>
          <w:color w:val="000000" w:themeColor="text1"/>
        </w:rPr>
        <w:t xml:space="preserve"> slices by Ultra-Thin Semiautomatic Microtome. All slides were stained with hematoxylin-eosin-safran and Masson’s trichrome. </w:t>
      </w:r>
      <w:r w:rsidR="00F850B4">
        <w:rPr>
          <w:rFonts w:ascii="Book Antiqua" w:hAnsi="Book Antiqua" w:cs="Book Antiqua" w:hint="eastAsia"/>
          <w:color w:val="000000" w:themeColor="text1"/>
          <w:lang w:eastAsia="zh-CN"/>
        </w:rPr>
        <w:t>Q</w:t>
      </w:r>
      <w:r w:rsidR="00F850B4" w:rsidRPr="001A1C75">
        <w:rPr>
          <w:rFonts w:ascii="Book Antiqua" w:eastAsia="Book Antiqua" w:hAnsi="Book Antiqua" w:cs="Book Antiqua"/>
          <w:color w:val="000000" w:themeColor="text1"/>
        </w:rPr>
        <w:t>ualified</w:t>
      </w:r>
      <w:r w:rsidR="00F850B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sample</w:t>
      </w:r>
      <w:r w:rsidR="00446814">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 </w:t>
      </w:r>
      <w:r w:rsidR="00641674">
        <w:rPr>
          <w:rFonts w:ascii="Book Antiqua" w:eastAsia="Book Antiqua" w:hAnsi="Book Antiqua" w:cs="Book Antiqua"/>
          <w:color w:val="000000" w:themeColor="text1"/>
        </w:rPr>
        <w:t>were</w:t>
      </w:r>
      <w:r w:rsidRPr="001A1C75">
        <w:rPr>
          <w:rFonts w:ascii="Book Antiqua" w:eastAsia="Book Antiqua" w:hAnsi="Book Antiqua" w:cs="Book Antiqua"/>
          <w:color w:val="000000" w:themeColor="text1"/>
        </w:rPr>
        <w:t xml:space="preserve"> those with a minimum of six portal tracts. All pathology slides were reviewed by two independent pathologists blind to the clinical history. The stages of liver inflammation and the degree of fibrosis were graded in accordance with the Chinese Guidelines of the Programme of Prevention and Cure for Viral Hepatitis</w:t>
      </w:r>
      <w:r w:rsidRPr="001A1C75">
        <w:rPr>
          <w:rFonts w:ascii="Book Antiqua" w:eastAsia="Book Antiqua" w:hAnsi="Book Antiqua" w:cs="Book Antiqua"/>
          <w:color w:val="000000" w:themeColor="text1"/>
          <w:vertAlign w:val="superscript"/>
        </w:rPr>
        <w:t>[11]</w:t>
      </w:r>
      <w:r w:rsidRPr="001A1C75">
        <w:rPr>
          <w:rFonts w:ascii="Book Antiqua" w:eastAsia="Book Antiqua" w:hAnsi="Book Antiqua" w:cs="Book Antiqua"/>
          <w:color w:val="000000" w:themeColor="text1"/>
        </w:rPr>
        <w:t>. According to the amount of fat accumulation in the hepatocyte, hepatic steatosis can be classified into four grades: S0 (&lt; 5%), S1 (5%-33%), S2 (33%-66%), S3 (&gt; 66%)</w:t>
      </w:r>
      <w:r w:rsidRPr="001A1C75">
        <w:rPr>
          <w:rFonts w:ascii="Book Antiqua" w:eastAsia="Book Antiqua" w:hAnsi="Book Antiqua" w:cs="Book Antiqua"/>
          <w:color w:val="000000" w:themeColor="text1"/>
          <w:vertAlign w:val="superscript"/>
        </w:rPr>
        <w:t>[12]</w:t>
      </w:r>
      <w:r w:rsidRPr="001A1C75">
        <w:rPr>
          <w:rFonts w:ascii="Book Antiqua" w:eastAsia="Book Antiqua" w:hAnsi="Book Antiqua" w:cs="Book Antiqua"/>
          <w:color w:val="000000" w:themeColor="text1"/>
        </w:rPr>
        <w:t>.</w:t>
      </w:r>
    </w:p>
    <w:p w14:paraId="4CD31518" w14:textId="77777777" w:rsidR="008B08D6" w:rsidRPr="001A1C75" w:rsidRDefault="008B08D6" w:rsidP="001A1C75">
      <w:pPr>
        <w:spacing w:line="360" w:lineRule="auto"/>
        <w:jc w:val="both"/>
        <w:rPr>
          <w:rFonts w:ascii="Book Antiqua" w:hAnsi="Book Antiqua"/>
          <w:color w:val="000000" w:themeColor="text1"/>
        </w:rPr>
      </w:pPr>
    </w:p>
    <w:p w14:paraId="1E0581AF"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Demographic and laboratory parameters</w:t>
      </w:r>
    </w:p>
    <w:p w14:paraId="544CD86F" w14:textId="283D35E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lastRenderedPageBreak/>
        <w:t xml:space="preserve">The following variables were obtained from the clinical records: </w:t>
      </w:r>
      <w:r w:rsidR="0080797A">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ex, age, BMI, </w:t>
      </w:r>
      <w:r w:rsidR="00254413">
        <w:rPr>
          <w:rFonts w:ascii="Book Antiqua" w:eastAsia="Book Antiqua" w:hAnsi="Book Antiqua" w:cs="Book Antiqua"/>
          <w:color w:val="000000" w:themeColor="text1"/>
        </w:rPr>
        <w:t xml:space="preserve">and </w:t>
      </w:r>
      <w:r w:rsidRPr="001A1C75">
        <w:rPr>
          <w:rFonts w:ascii="Book Antiqua" w:eastAsia="Book Antiqua" w:hAnsi="Book Antiqua" w:cs="Book Antiqua"/>
          <w:color w:val="000000" w:themeColor="text1"/>
        </w:rPr>
        <w:t xml:space="preserve">history of hypertension and diabetes. BMI was calculated as weight divided by the square of the height. </w:t>
      </w:r>
    </w:p>
    <w:p w14:paraId="23180D91" w14:textId="5760E8D8" w:rsidR="00A77B3E" w:rsidRDefault="00DE6BC6" w:rsidP="008B08D6">
      <w:pPr>
        <w:spacing w:line="360" w:lineRule="auto"/>
        <w:ind w:firstLineChars="200" w:firstLine="480"/>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 xml:space="preserve">Biochemical measurements included alanine transaminase, aspartate aminotransferase, γ-glutamyl transferase, FPG, apolipoprotein A, apolipoprotein B, low-density lipoprotein cholesterol, very low density lipoprotein cholesterol, </w:t>
      </w:r>
      <w:r w:rsidR="00641674">
        <w:rPr>
          <w:rFonts w:ascii="Book Antiqua" w:eastAsia="Book Antiqua" w:hAnsi="Book Antiqua" w:cs="Book Antiqua"/>
          <w:color w:val="000000" w:themeColor="text1"/>
        </w:rPr>
        <w:t>h</w:t>
      </w:r>
      <w:r w:rsidR="00641674" w:rsidRPr="001A1C75">
        <w:rPr>
          <w:rFonts w:ascii="Book Antiqua" w:eastAsia="Book Antiqua" w:hAnsi="Book Antiqua" w:cs="Book Antiqua"/>
          <w:color w:val="000000" w:themeColor="text1"/>
        </w:rPr>
        <w:t>igh-density lipoprotein cholesterol</w:t>
      </w:r>
      <w:r w:rsidRPr="001A1C75">
        <w:rPr>
          <w:rFonts w:ascii="Book Antiqua" w:eastAsia="Book Antiqua" w:hAnsi="Book Antiqua" w:cs="Book Antiqua"/>
          <w:color w:val="000000" w:themeColor="text1"/>
        </w:rPr>
        <w:t xml:space="preserve">, </w:t>
      </w:r>
      <w:r w:rsidR="00641674">
        <w:rPr>
          <w:rFonts w:ascii="Book Antiqua" w:eastAsia="Book Antiqua" w:hAnsi="Book Antiqua" w:cs="Book Antiqua"/>
          <w:color w:val="000000" w:themeColor="text1"/>
        </w:rPr>
        <w:t>t</w:t>
      </w:r>
      <w:r w:rsidR="00641674" w:rsidRPr="001A1C75">
        <w:rPr>
          <w:rFonts w:ascii="Book Antiqua" w:eastAsia="Book Antiqua" w:hAnsi="Book Antiqua" w:cs="Book Antiqua"/>
          <w:color w:val="000000" w:themeColor="text1"/>
        </w:rPr>
        <w:t>riglyceride</w:t>
      </w:r>
      <w:r w:rsidRPr="001A1C75">
        <w:rPr>
          <w:rFonts w:ascii="Book Antiqua" w:eastAsia="Book Antiqua" w:hAnsi="Book Antiqua" w:cs="Book Antiqua"/>
          <w:color w:val="000000" w:themeColor="text1"/>
        </w:rPr>
        <w:t>, total cholesterol, free fatty acids, blood urea nitrogen, creatinine</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uric acid. Those assessments were detected by AU2700 automatic biochemical instrument of Olympus Company</w:t>
      </w:r>
      <w:r w:rsidR="00254413">
        <w:rPr>
          <w:rFonts w:ascii="Book Antiqua" w:eastAsia="Book Antiqua" w:hAnsi="Book Antiqua" w:cs="Book Antiqua"/>
          <w:color w:val="000000" w:themeColor="text1"/>
        </w:rPr>
        <w:t xml:space="preserve"> (Tokyo, </w:t>
      </w:r>
      <w:r w:rsidRPr="001A1C75">
        <w:rPr>
          <w:rFonts w:ascii="Book Antiqua" w:eastAsia="Book Antiqua" w:hAnsi="Book Antiqua" w:cs="Book Antiqua"/>
          <w:color w:val="000000" w:themeColor="text1"/>
        </w:rPr>
        <w:t>Japan</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p>
    <w:p w14:paraId="60A07A68" w14:textId="77777777" w:rsidR="008B08D6" w:rsidRPr="001A1C75" w:rsidRDefault="008B08D6" w:rsidP="008B08D6">
      <w:pPr>
        <w:spacing w:line="360" w:lineRule="auto"/>
        <w:ind w:firstLineChars="200" w:firstLine="480"/>
        <w:jc w:val="both"/>
        <w:rPr>
          <w:rFonts w:ascii="Book Antiqua" w:hAnsi="Book Antiqua"/>
          <w:color w:val="000000" w:themeColor="text1"/>
        </w:rPr>
      </w:pPr>
    </w:p>
    <w:p w14:paraId="6CCD3516"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Statistical analysis</w:t>
      </w:r>
    </w:p>
    <w:p w14:paraId="177A7CCA" w14:textId="7893521D" w:rsidR="00A77B3E"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 xml:space="preserve">Categorical variables </w:t>
      </w:r>
      <w:r w:rsidR="00254413">
        <w:rPr>
          <w:rFonts w:ascii="Book Antiqua" w:eastAsia="Book Antiqua" w:hAnsi="Book Antiqua" w:cs="Book Antiqua"/>
          <w:color w:val="000000" w:themeColor="text1"/>
        </w:rPr>
        <w:t>are</w:t>
      </w:r>
      <w:r w:rsidR="00254413"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expressed as percentages and continuous variables </w:t>
      </w:r>
      <w:r w:rsidR="00254413">
        <w:rPr>
          <w:rFonts w:ascii="Book Antiqua" w:eastAsia="Book Antiqua" w:hAnsi="Book Antiqua" w:cs="Book Antiqua"/>
          <w:color w:val="000000" w:themeColor="text1"/>
        </w:rPr>
        <w:t>are</w:t>
      </w:r>
      <w:r w:rsidR="00254413"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expressed as means ± standard deviation. The Mann-Whitney U-test was used for variables that were non-normally distributed; the </w:t>
      </w:r>
      <w:r w:rsidR="00254413">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tudent t-test was used for the comparison of variables that were normally distributed; and the Chi-squared test was used for categorical variables. </w:t>
      </w:r>
      <w:r w:rsidR="00254413" w:rsidRPr="001A1C75">
        <w:rPr>
          <w:rFonts w:ascii="Book Antiqua" w:eastAsia="Book Antiqua" w:hAnsi="Book Antiqua" w:cs="Book Antiqua"/>
          <w:color w:val="000000" w:themeColor="text1"/>
        </w:rPr>
        <w:t xml:space="preserve">Propensity score matching </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PSM</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was used to balance the age and gender between the two groups with a ratio of 1:1 and a caliper value of 0.2. Logistic regression analysis was used to investigate odds ratio (OR) of HBV infection for liver inflammation, steatosis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All tests were two-tailed</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results with </w:t>
      </w:r>
      <w:r w:rsidR="00122829" w:rsidRPr="00122829">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value less than 0.05 were considered statistically significant. All data were analyzed with SPSS software (version 24.0</w:t>
      </w:r>
      <w:r w:rsidR="00254413">
        <w:rPr>
          <w:rFonts w:ascii="Book Antiqua" w:eastAsia="Book Antiqua" w:hAnsi="Book Antiqua" w:cs="Book Antiqua"/>
          <w:color w:val="000000" w:themeColor="text1"/>
        </w:rPr>
        <w:t>, Armonk, NY, United States</w:t>
      </w:r>
      <w:r w:rsidRPr="001A1C75">
        <w:rPr>
          <w:rFonts w:ascii="Book Antiqua" w:eastAsia="Book Antiqua" w:hAnsi="Book Antiqua" w:cs="Book Antiqua"/>
          <w:color w:val="000000" w:themeColor="text1"/>
        </w:rPr>
        <w:t>).</w:t>
      </w:r>
    </w:p>
    <w:p w14:paraId="544DEF3C" w14:textId="77777777" w:rsidR="008B08D6" w:rsidRPr="001A1C75" w:rsidRDefault="008B08D6" w:rsidP="001A1C75">
      <w:pPr>
        <w:spacing w:line="360" w:lineRule="auto"/>
        <w:jc w:val="both"/>
        <w:rPr>
          <w:rFonts w:ascii="Book Antiqua" w:hAnsi="Book Antiqua"/>
          <w:color w:val="000000" w:themeColor="text1"/>
        </w:rPr>
      </w:pPr>
    </w:p>
    <w:p w14:paraId="51120528"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Ethics</w:t>
      </w:r>
    </w:p>
    <w:p w14:paraId="3B5CBD1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study was reviewed and approved by the Ethics Committee of the First Affiliated Hospital of Fujian Medical University in accordance with the Declaration of Helsinki. </w:t>
      </w:r>
    </w:p>
    <w:p w14:paraId="6FCE712B" w14:textId="77777777" w:rsidR="00A77B3E" w:rsidRPr="001A1C75" w:rsidRDefault="00A77B3E" w:rsidP="001A1C75">
      <w:pPr>
        <w:spacing w:line="360" w:lineRule="auto"/>
        <w:jc w:val="both"/>
        <w:rPr>
          <w:rFonts w:ascii="Book Antiqua" w:hAnsi="Book Antiqua"/>
          <w:color w:val="000000" w:themeColor="text1"/>
        </w:rPr>
      </w:pPr>
    </w:p>
    <w:p w14:paraId="5DD874B5"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RESULTS</w:t>
      </w:r>
    </w:p>
    <w:p w14:paraId="540227C8"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Baseline characteristics of the patients</w:t>
      </w:r>
      <w:r w:rsidRPr="001A1C75">
        <w:rPr>
          <w:rFonts w:ascii="Book Antiqua" w:eastAsia="Book Antiqua" w:hAnsi="Book Antiqua" w:cs="Book Antiqua"/>
          <w:color w:val="000000" w:themeColor="text1"/>
        </w:rPr>
        <w:t xml:space="preserve"> </w:t>
      </w:r>
    </w:p>
    <w:p w14:paraId="71BD104D" w14:textId="4439A733"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This study included 417 patients with MAFLD, 354</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(84.9%) of whom were male</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the average age of this study cohort was 40.5 ± 10.9</w:t>
      </w:r>
      <w:r w:rsidR="00D03257">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years</w:t>
      </w:r>
      <w:r w:rsidR="00D03257">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old. The majority of the cases were </w:t>
      </w:r>
      <w:r w:rsidRPr="001A1C75">
        <w:rPr>
          <w:rFonts w:ascii="Book Antiqua" w:eastAsia="Book Antiqua" w:hAnsi="Book Antiqua" w:cs="Book Antiqua"/>
          <w:color w:val="000000" w:themeColor="text1"/>
        </w:rPr>
        <w:lastRenderedPageBreak/>
        <w:t>infected with HBV (359/417, 86.1%), among whom 184</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(51.3%) were HBeAg positive. The average HBVDNA level was 5.69 ± 1.57 Lg IU/mL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(Table 1). </w:t>
      </w:r>
    </w:p>
    <w:p w14:paraId="7D274258" w14:textId="72D03581" w:rsidR="00A77B3E" w:rsidRPr="001A1C75" w:rsidRDefault="00DE6BC6" w:rsidP="00122829">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There were more males in the HBV-MAFLD group than in the MAFLD group (88.9% </w:t>
      </w:r>
      <w:r w:rsidRPr="00122829">
        <w:rPr>
          <w:rFonts w:ascii="Book Antiqua" w:eastAsia="Book Antiqua" w:hAnsi="Book Antiqua" w:cs="Book Antiqua"/>
          <w:i/>
          <w:iCs/>
          <w:color w:val="000000" w:themeColor="text1"/>
        </w:rPr>
        <w:t>vs</w:t>
      </w:r>
      <w:r w:rsidRPr="001A1C75">
        <w:rPr>
          <w:rFonts w:ascii="Book Antiqua" w:eastAsia="Book Antiqua" w:hAnsi="Book Antiqua" w:cs="Book Antiqua"/>
          <w:color w:val="000000" w:themeColor="text1"/>
        </w:rPr>
        <w:t xml:space="preserve"> 60.3%,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&lt;</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0.001). No significant difference was found in BMI, lipids, liver enzymes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FPG levels between the MAFLD and HBV-MAFLD groups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&gt; 0.05). However, the proportions of hypertriglyceridemia, pre-diabetes, diabetes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hypertension </w:t>
      </w:r>
      <w:r w:rsidR="00F850B4">
        <w:rPr>
          <w:rFonts w:ascii="Book Antiqua" w:eastAsia="Book Antiqua" w:hAnsi="Book Antiqua" w:cs="Book Antiqua"/>
          <w:color w:val="000000" w:themeColor="text1"/>
        </w:rPr>
        <w:t>were</w:t>
      </w:r>
      <w:r w:rsidRPr="001A1C75">
        <w:rPr>
          <w:rFonts w:ascii="Book Antiqua" w:eastAsia="Book Antiqua" w:hAnsi="Book Antiqua" w:cs="Book Antiqua"/>
          <w:color w:val="000000" w:themeColor="text1"/>
        </w:rPr>
        <w:t xml:space="preserve"> higher in the MAFLD group than in the HBV-MAFLD group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0.05). </w:t>
      </w:r>
    </w:p>
    <w:p w14:paraId="66292B38" w14:textId="38A177DF"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After PSM, 58 pairs were successfully matched with no significant differences found in gender and age between the two groups (Table 1). The percentage of hypertension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group was still significantly higher than that in HBV-MAFLD group (27.6% </w:t>
      </w:r>
      <w:r w:rsidRPr="00DE6BC6">
        <w:rPr>
          <w:rFonts w:ascii="Book Antiqua" w:eastAsia="Book Antiqua" w:hAnsi="Book Antiqua" w:cs="Book Antiqua"/>
          <w:i/>
          <w:iCs/>
          <w:color w:val="000000" w:themeColor="text1"/>
        </w:rPr>
        <w:t>vs</w:t>
      </w:r>
      <w:r w:rsidRPr="001A1C75">
        <w:rPr>
          <w:rFonts w:ascii="Book Antiqua" w:eastAsia="Book Antiqua" w:hAnsi="Book Antiqua" w:cs="Book Antiqua"/>
          <w:color w:val="000000" w:themeColor="text1"/>
        </w:rPr>
        <w:t xml:space="preserve"> 6.9%,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The BMI, lipid levels, liver enzymes, and the other metabolic associated comorbidities were comparable between two groups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 xml:space="preserve">&gt; 0.05). </w:t>
      </w:r>
    </w:p>
    <w:p w14:paraId="546BE9EB" w14:textId="77777777" w:rsidR="00A77B3E" w:rsidRPr="001A1C75" w:rsidRDefault="00A77B3E" w:rsidP="001A1C75">
      <w:pPr>
        <w:spacing w:line="360" w:lineRule="auto"/>
        <w:jc w:val="both"/>
        <w:rPr>
          <w:rFonts w:ascii="Book Antiqua" w:hAnsi="Book Antiqua"/>
          <w:color w:val="000000" w:themeColor="text1"/>
        </w:rPr>
      </w:pPr>
    </w:p>
    <w:p w14:paraId="4AF9CFC3"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Comparison of liver pathology between MAFLD and HBV-MAFLD</w:t>
      </w:r>
    </w:p>
    <w:p w14:paraId="6CA43B30" w14:textId="25806FF8"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After PSM, there were 10 (17.2%) cases with severe steatosis (S3) in the HBV-MAFLD group and 32 (55.2%) cases in the MAFLD group. The average rank of liver steatosis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was 43.76, while that in MAFLD group was 73.24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suggesting th</w:t>
      </w:r>
      <w:r w:rsidR="00254413">
        <w:rPr>
          <w:rFonts w:ascii="Book Antiqua" w:eastAsia="Book Antiqua" w:hAnsi="Book Antiqua" w:cs="Book Antiqua"/>
          <w:color w:val="000000" w:themeColor="text1"/>
        </w:rPr>
        <w:t>at</w:t>
      </w:r>
      <w:r w:rsidRPr="001A1C75">
        <w:rPr>
          <w:rFonts w:ascii="Book Antiqua" w:eastAsia="Book Antiqua" w:hAnsi="Book Antiqua" w:cs="Book Antiqua"/>
          <w:color w:val="000000" w:themeColor="text1"/>
        </w:rPr>
        <w:t xml:space="preserve"> liver steatosis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was less severe than that in MAFLD group</w:t>
      </w:r>
      <w:r w:rsidR="00C74240">
        <w:rPr>
          <w:rFonts w:ascii="Book Antiqua" w:eastAsia="Book Antiqua" w:hAnsi="Book Antiqua" w:cs="Book Antiqua"/>
          <w:color w:val="000000" w:themeColor="text1"/>
        </w:rPr>
        <w:t xml:space="preserve"> </w:t>
      </w:r>
      <w:r w:rsidR="00C74240" w:rsidRPr="001A1C75">
        <w:rPr>
          <w:rFonts w:ascii="Book Antiqua" w:eastAsia="Book Antiqua" w:hAnsi="Book Antiqua" w:cs="Book Antiqua"/>
          <w:color w:val="000000" w:themeColor="text1"/>
        </w:rPr>
        <w:t xml:space="preserve">(Figure </w:t>
      </w:r>
      <w:r w:rsidR="00C74240">
        <w:rPr>
          <w:rFonts w:ascii="Book Antiqua" w:eastAsia="Book Antiqua" w:hAnsi="Book Antiqua" w:cs="Book Antiqua"/>
          <w:color w:val="000000" w:themeColor="text1"/>
        </w:rPr>
        <w:t xml:space="preserve">1 and </w:t>
      </w:r>
      <w:r w:rsidR="00C74240" w:rsidRPr="001A1C75">
        <w:rPr>
          <w:rFonts w:ascii="Book Antiqua" w:eastAsia="Book Antiqua" w:hAnsi="Book Antiqua" w:cs="Book Antiqua"/>
          <w:color w:val="000000" w:themeColor="text1"/>
        </w:rPr>
        <w:t xml:space="preserve">Table </w:t>
      </w:r>
      <w:r w:rsidR="00DD374A">
        <w:rPr>
          <w:rFonts w:ascii="Book Antiqua" w:eastAsia="Book Antiqua" w:hAnsi="Book Antiqua" w:cs="Book Antiqua"/>
          <w:color w:val="000000" w:themeColor="text1"/>
        </w:rPr>
        <w:t>2</w:t>
      </w:r>
      <w:r w:rsidR="00C74240" w:rsidRPr="001A1C75">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p>
    <w:p w14:paraId="737F87FC" w14:textId="1B42ADBE"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There were 27 (46.6%) cases with severe inflammation (G3-4) in the HBV-MAFLD group and 11 (19.0%) cases in the MAFLD group. The average rank of liver inflammation degree in HBV-MAFLD group was 70.84, while that in MAFLD group was 46.16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This suggested that the liver inflammation in HBV-MAFLD group was more severe than that in MAFLD group</w:t>
      </w:r>
      <w:r w:rsidR="00C74240" w:rsidRPr="001A1C75">
        <w:rPr>
          <w:rFonts w:ascii="Book Antiqua" w:eastAsia="Book Antiqua" w:hAnsi="Book Antiqua" w:cs="Book Antiqua"/>
          <w:color w:val="000000" w:themeColor="text1"/>
        </w:rPr>
        <w:t xml:space="preserve"> (Figure 2</w:t>
      </w:r>
      <w:r w:rsidR="00C74240">
        <w:rPr>
          <w:rFonts w:ascii="Book Antiqua" w:eastAsia="Book Antiqua" w:hAnsi="Book Antiqua" w:cs="Book Antiqua"/>
          <w:color w:val="000000" w:themeColor="text1"/>
        </w:rPr>
        <w:t xml:space="preserve"> and </w:t>
      </w:r>
      <w:r w:rsidR="00C74240" w:rsidRPr="001A1C75">
        <w:rPr>
          <w:rFonts w:ascii="Book Antiqua" w:eastAsia="Book Antiqua" w:hAnsi="Book Antiqua" w:cs="Book Antiqua"/>
          <w:color w:val="000000" w:themeColor="text1"/>
        </w:rPr>
        <w:t>Table 2)</w:t>
      </w:r>
      <w:r w:rsidRPr="001A1C75">
        <w:rPr>
          <w:rFonts w:ascii="Book Antiqua" w:eastAsia="Book Antiqua" w:hAnsi="Book Antiqua" w:cs="Book Antiqua"/>
          <w:color w:val="000000" w:themeColor="text1"/>
        </w:rPr>
        <w:t>.</w:t>
      </w:r>
    </w:p>
    <w:p w14:paraId="7E90CFF2" w14:textId="4B543B49"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Advanced fibrosis (F3-4) was observed in 23 (39.7%) cases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and </w:t>
      </w:r>
      <w:r w:rsidR="00C14ED9">
        <w:rPr>
          <w:rFonts w:ascii="Book Antiqua" w:eastAsia="Book Antiqua" w:hAnsi="Book Antiqua" w:cs="Book Antiqua"/>
          <w:color w:val="000000" w:themeColor="text1"/>
        </w:rPr>
        <w:t>nine</w:t>
      </w:r>
      <w:r w:rsidRPr="001A1C75">
        <w:rPr>
          <w:rFonts w:ascii="Book Antiqua" w:eastAsia="Book Antiqua" w:hAnsi="Book Antiqua" w:cs="Book Antiqua"/>
          <w:color w:val="000000" w:themeColor="text1"/>
        </w:rPr>
        <w:t xml:space="preserve"> (15.5%) cases in the MAFLD group. The fibrosis was more severe in HBV-MAFLD group than that in MAFLD group (average ranks: 71.01</w:t>
      </w:r>
      <w:r w:rsidRPr="00DE6BC6">
        <w:rPr>
          <w:rFonts w:ascii="Book Antiqua" w:eastAsia="Book Antiqua" w:hAnsi="Book Antiqua" w:cs="Book Antiqua"/>
          <w:i/>
          <w:iCs/>
          <w:color w:val="000000" w:themeColor="text1"/>
        </w:rPr>
        <w:t xml:space="preserve"> vs</w:t>
      </w:r>
      <w:r w:rsidRPr="001A1C75">
        <w:rPr>
          <w:rFonts w:ascii="Book Antiqua" w:eastAsia="Book Antiqua" w:hAnsi="Book Antiqua" w:cs="Book Antiqua"/>
          <w:color w:val="000000" w:themeColor="text1"/>
        </w:rPr>
        <w:t xml:space="preserve"> 45.99,</w:t>
      </w:r>
      <w:r w:rsidRPr="001A1C75">
        <w:rPr>
          <w:rFonts w:ascii="Book Antiqua" w:eastAsia="Book Antiqua" w:hAnsi="Book Antiqua" w:cs="Book Antiqua"/>
          <w:i/>
          <w:iCs/>
          <w:color w:val="000000" w:themeColor="text1"/>
        </w:rPr>
        <w:t xml:space="preserve"> 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0.05) (Table 2). </w:t>
      </w:r>
    </w:p>
    <w:p w14:paraId="14866B6E" w14:textId="530D9FDF"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Spearman analysis showed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w:t>
      </w:r>
      <w:r w:rsidR="00C14ED9">
        <w:rPr>
          <w:rFonts w:ascii="Book Antiqua" w:eastAsia="Book Antiqua" w:hAnsi="Book Antiqua" w:cs="Book Antiqua"/>
          <w:color w:val="000000" w:themeColor="text1"/>
        </w:rPr>
        <w:t xml:space="preserve"> that</w:t>
      </w:r>
      <w:r w:rsidRPr="001A1C75">
        <w:rPr>
          <w:rFonts w:ascii="Book Antiqua" w:eastAsia="Book Antiqua" w:hAnsi="Book Antiqua" w:cs="Book Antiqua"/>
          <w:color w:val="000000" w:themeColor="text1"/>
        </w:rPr>
        <w:t xml:space="preserve"> the fibrosis and inflammation were positively correlated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0.757,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0.001), while the correlation </w:t>
      </w:r>
      <w:r w:rsidRPr="001A1C75">
        <w:rPr>
          <w:rFonts w:ascii="Book Antiqua" w:eastAsia="Book Antiqua" w:hAnsi="Book Antiqua" w:cs="Book Antiqua"/>
          <w:color w:val="000000" w:themeColor="text1"/>
        </w:rPr>
        <w:lastRenderedPageBreak/>
        <w:t>between fibrosis and steatosis was not statistically significant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0.209,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 0.115). Same results were found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0.696 for fibrosis and inflammation,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0.001, and </w:t>
      </w:r>
      <w:r w:rsidRPr="00DE6BC6">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-0.002 for fibrosis and steatosis,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 0.990).</w:t>
      </w:r>
    </w:p>
    <w:p w14:paraId="03D41FD3" w14:textId="77777777" w:rsidR="00A77B3E" w:rsidRPr="001A1C75" w:rsidRDefault="00A77B3E" w:rsidP="001A1C75">
      <w:pPr>
        <w:spacing w:line="360" w:lineRule="auto"/>
        <w:jc w:val="both"/>
        <w:rPr>
          <w:rFonts w:ascii="Book Antiqua" w:hAnsi="Book Antiqua"/>
          <w:color w:val="000000" w:themeColor="text1"/>
        </w:rPr>
      </w:pPr>
    </w:p>
    <w:p w14:paraId="7BD5925A" w14:textId="4621573D"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Impact of HBV infection for the severity of steatosis, inflammation</w:t>
      </w:r>
      <w:r w:rsidR="00C14ED9">
        <w:rPr>
          <w:rFonts w:ascii="Book Antiqua" w:eastAsia="Book Antiqua" w:hAnsi="Book Antiqua" w:cs="Book Antiqua"/>
          <w:b/>
          <w:bCs/>
          <w:i/>
          <w:iCs/>
          <w:color w:val="000000" w:themeColor="text1"/>
        </w:rPr>
        <w:t>,</w:t>
      </w:r>
      <w:r w:rsidRPr="001A1C75">
        <w:rPr>
          <w:rFonts w:ascii="Book Antiqua" w:eastAsia="Book Antiqua" w:hAnsi="Book Antiqua" w:cs="Book Antiqua"/>
          <w:b/>
          <w:bCs/>
          <w:i/>
          <w:iCs/>
          <w:color w:val="000000" w:themeColor="text1"/>
        </w:rPr>
        <w:t xml:space="preserve"> and steatosis in MAFLD</w:t>
      </w:r>
    </w:p>
    <w:p w14:paraId="4B5C8972" w14:textId="3EB301A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Multivariate analysis was used to explore the impact of HBV infection for the severity of steatosis, inflammation</w:t>
      </w:r>
      <w:r w:rsidR="00C14ED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Two different models were utilized to estimate the OR for different outcomes. Model 1 adjusted for the age and gender, while model 2 additionally adjusted for metabolic parameters including BMI, hypertension, diabetes mellitus, lipid levels, glucose level, and </w:t>
      </w:r>
      <w:r w:rsidR="00254413" w:rsidRPr="001A1C75">
        <w:rPr>
          <w:rFonts w:ascii="Book Antiqua" w:eastAsia="Book Antiqua" w:hAnsi="Book Antiqua" w:cs="Book Antiqua"/>
          <w:color w:val="000000" w:themeColor="text1"/>
        </w:rPr>
        <w:t>free fatty acids</w:t>
      </w:r>
      <w:r w:rsidRPr="001A1C75">
        <w:rPr>
          <w:rFonts w:ascii="Book Antiqua" w:eastAsia="Book Antiqua" w:hAnsi="Book Antiqua" w:cs="Book Antiqua"/>
          <w:color w:val="000000" w:themeColor="text1"/>
        </w:rPr>
        <w:t xml:space="preserve">. The results showed that, HBV infection was associated with lower grade of hepatic steatosis (OR 0.088-0.157,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0.001) but higher grade of inflammation (OR 4.087-4.059,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0.01) and fibrosis (OR 3.016-3.659,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in every model (Table 3).</w:t>
      </w:r>
    </w:p>
    <w:p w14:paraId="3811B2E8" w14:textId="77777777" w:rsidR="00A77B3E" w:rsidRPr="001A1C75" w:rsidRDefault="00A77B3E" w:rsidP="001A1C75">
      <w:pPr>
        <w:spacing w:line="360" w:lineRule="auto"/>
        <w:jc w:val="both"/>
        <w:rPr>
          <w:rFonts w:ascii="Book Antiqua" w:hAnsi="Book Antiqua"/>
          <w:color w:val="000000" w:themeColor="text1"/>
        </w:rPr>
      </w:pPr>
    </w:p>
    <w:p w14:paraId="1A09359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DISCUSSION</w:t>
      </w:r>
    </w:p>
    <w:p w14:paraId="6E5A9EE0" w14:textId="745383C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with HBV infection is a special subtype of MAFLD in Asian countries. This study found that the metabolic components are not different between MAFLD cases with or without HBV infection. However, the presence of HBV is associated with lower steatosis grade</w:t>
      </w:r>
      <w:r w:rsidR="00C14ED9">
        <w:rPr>
          <w:rFonts w:ascii="Book Antiqua" w:eastAsia="Book Antiqua" w:hAnsi="Book Antiqua" w:cs="Book Antiqua"/>
          <w:color w:val="000000" w:themeColor="text1"/>
        </w:rPr>
        <w:t xml:space="preserve"> and</w:t>
      </w:r>
      <w:r w:rsidRPr="001A1C75">
        <w:rPr>
          <w:rFonts w:ascii="Book Antiqua" w:eastAsia="Book Antiqua" w:hAnsi="Book Antiqua" w:cs="Book Antiqua"/>
          <w:color w:val="000000" w:themeColor="text1"/>
        </w:rPr>
        <w:t xml:space="preserve"> higher fibrosis and inflammation grade.</w:t>
      </w:r>
    </w:p>
    <w:p w14:paraId="258DE539" w14:textId="4F0FEBAD"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The relationship between liver steatosis and HBV infection is not yet clear. Laboratory data show</w:t>
      </w:r>
      <w:r w:rsidR="00C14ED9">
        <w:rPr>
          <w:rFonts w:ascii="Book Antiqua" w:eastAsia="Book Antiqua" w:hAnsi="Book Antiqua" w:cs="Book Antiqua"/>
          <w:color w:val="000000" w:themeColor="text1"/>
        </w:rPr>
        <w:t>ed</w:t>
      </w:r>
      <w:r w:rsidRPr="001A1C75">
        <w:rPr>
          <w:rFonts w:ascii="Book Antiqua" w:eastAsia="Book Antiqua" w:hAnsi="Book Antiqua" w:cs="Book Antiqua"/>
          <w:color w:val="000000" w:themeColor="text1"/>
        </w:rPr>
        <w:t xml:space="preserve"> HBV X protein induces liver fat deposition by activating peroxisome proliferator-activated receptor γ, sterol regulatory element binding protein 1, and</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liver fatty acid binding protein 1</w:t>
      </w:r>
      <w:r w:rsidRPr="001A1C75">
        <w:rPr>
          <w:rFonts w:ascii="Book Antiqua" w:eastAsia="Book Antiqua" w:hAnsi="Book Antiqua" w:cs="Book Antiqua"/>
          <w:color w:val="000000" w:themeColor="text1"/>
          <w:vertAlign w:val="superscript"/>
        </w:rPr>
        <w:t>[13,14]</w:t>
      </w:r>
      <w:r w:rsidRPr="001A1C75">
        <w:rPr>
          <w:rFonts w:ascii="Book Antiqua" w:eastAsia="Book Antiqua" w:hAnsi="Book Antiqua" w:cs="Book Antiqua"/>
          <w:color w:val="000000" w:themeColor="text1"/>
        </w:rPr>
        <w:t>, suggesting the HBV virus itself may lead to liver steatosis. However, a cross-sectional study showed current HBV infection may reduce the risk of NAFLD, but this effect became no longer significant after spontaneous HBsAg seroclearance</w:t>
      </w:r>
      <w:r w:rsidRPr="001A1C75">
        <w:rPr>
          <w:rFonts w:ascii="Book Antiqua" w:eastAsia="Book Antiqua" w:hAnsi="Book Antiqua" w:cs="Book Antiqua"/>
          <w:color w:val="000000" w:themeColor="text1"/>
          <w:vertAlign w:val="superscript"/>
        </w:rPr>
        <w:t>[15]</w:t>
      </w:r>
      <w:r w:rsidRPr="001A1C75">
        <w:rPr>
          <w:rFonts w:ascii="Book Antiqua" w:eastAsia="Book Antiqua" w:hAnsi="Book Antiqua" w:cs="Book Antiqua"/>
          <w:color w:val="000000" w:themeColor="text1"/>
        </w:rPr>
        <w:t>. Several large sample-sized studies showed a negative correlation between HBsAg and the risk of NAFLD in the future</w:t>
      </w:r>
      <w:r w:rsidRPr="001A1C75">
        <w:rPr>
          <w:rFonts w:ascii="Book Antiqua" w:eastAsia="Book Antiqua" w:hAnsi="Book Antiqua" w:cs="Book Antiqua"/>
          <w:color w:val="000000" w:themeColor="text1"/>
          <w:vertAlign w:val="superscript"/>
        </w:rPr>
        <w:t>[16,17]</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In addition,</w:t>
      </w:r>
      <w:r w:rsidRPr="001A1C75">
        <w:rPr>
          <w:rFonts w:ascii="Book Antiqua" w:eastAsia="Book Antiqua" w:hAnsi="Book Antiqua" w:cs="Book Antiqua"/>
          <w:color w:val="000000" w:themeColor="text1"/>
        </w:rPr>
        <w:t xml:space="preserve"> higher BMI also helps the seroclearance of HBsAg</w:t>
      </w:r>
      <w:r w:rsidRPr="001A1C75">
        <w:rPr>
          <w:rFonts w:ascii="Book Antiqua" w:eastAsia="Book Antiqua" w:hAnsi="Book Antiqua" w:cs="Book Antiqua"/>
          <w:color w:val="000000" w:themeColor="text1"/>
          <w:vertAlign w:val="superscript"/>
        </w:rPr>
        <w:t>[18]</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Consistent</w:t>
      </w:r>
      <w:r w:rsidRPr="001A1C75">
        <w:rPr>
          <w:rFonts w:ascii="Book Antiqua" w:eastAsia="Book Antiqua" w:hAnsi="Book Antiqua" w:cs="Book Antiqua"/>
          <w:color w:val="000000" w:themeColor="text1"/>
        </w:rPr>
        <w:t xml:space="preserve"> with previous studies</w:t>
      </w:r>
      <w:r w:rsidRPr="001A1C75">
        <w:rPr>
          <w:rFonts w:ascii="Book Antiqua" w:eastAsia="Book Antiqua" w:hAnsi="Book Antiqua" w:cs="Book Antiqua"/>
          <w:color w:val="000000" w:themeColor="text1"/>
          <w:vertAlign w:val="superscript"/>
        </w:rPr>
        <w:t>[19]</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our results</w:t>
      </w:r>
      <w:r w:rsidRPr="001A1C75">
        <w:rPr>
          <w:rFonts w:ascii="Book Antiqua" w:eastAsia="Book Antiqua" w:hAnsi="Book Antiqua" w:cs="Book Antiqua"/>
          <w:color w:val="000000" w:themeColor="text1"/>
        </w:rPr>
        <w:t xml:space="preserve"> showed </w:t>
      </w:r>
      <w:r w:rsidR="00C14ED9">
        <w:rPr>
          <w:rFonts w:ascii="Book Antiqua" w:eastAsia="Book Antiqua" w:hAnsi="Book Antiqua" w:cs="Book Antiqua"/>
          <w:color w:val="000000" w:themeColor="text1"/>
        </w:rPr>
        <w:t xml:space="preserve">that </w:t>
      </w:r>
      <w:r w:rsidRPr="001A1C75">
        <w:rPr>
          <w:rFonts w:ascii="Book Antiqua" w:eastAsia="Book Antiqua" w:hAnsi="Book Antiqua" w:cs="Book Antiqua"/>
          <w:color w:val="000000" w:themeColor="text1"/>
        </w:rPr>
        <w:t xml:space="preserve">concomitant HBV infection led to a lower degree of steatosis. This </w:t>
      </w:r>
      <w:r w:rsidRPr="001A1C75">
        <w:rPr>
          <w:rFonts w:ascii="Book Antiqua" w:eastAsia="Book Antiqua" w:hAnsi="Book Antiqua" w:cs="Book Antiqua"/>
          <w:color w:val="000000" w:themeColor="text1"/>
        </w:rPr>
        <w:lastRenderedPageBreak/>
        <w:t>suggests the novel definition of MAFLD does not greatly influence the correlation between HBV infection and fatty liver disease</w:t>
      </w:r>
      <w:r w:rsidR="00C14ED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HBV infection is associated with lower degree of steatosis in MAFLD. </w:t>
      </w:r>
    </w:p>
    <w:p w14:paraId="4F9F7A46" w14:textId="725D3381" w:rsidR="00A77B3E" w:rsidRPr="001A1C75" w:rsidRDefault="00DE6BC6" w:rsidP="00974B0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Although HBV was associated with lower degree of steatosis in MAFLD patients, unsurprisingly, HBV infection independently increased the risk of inflammation and fibrosis. HBV-infection in MAFLD increased the odds of advanced fibrosis by at least 3-fold and inflammation by 4-fold. This result was in line with a previous report that HBV infection is an independent risk factor for fibrosis in NAFLD</w:t>
      </w:r>
      <w:r w:rsidRPr="001A1C75">
        <w:rPr>
          <w:rFonts w:ascii="Book Antiqua" w:eastAsia="Book Antiqua" w:hAnsi="Book Antiqua" w:cs="Book Antiqua"/>
          <w:color w:val="000000" w:themeColor="text1"/>
          <w:vertAlign w:val="superscript"/>
        </w:rPr>
        <w:t>[20]</w:t>
      </w:r>
      <w:r w:rsidRPr="001A1C75">
        <w:rPr>
          <w:rFonts w:ascii="Book Antiqua" w:eastAsia="Book Antiqua" w:hAnsi="Book Antiqua" w:cs="Book Antiqua"/>
          <w:color w:val="000000" w:themeColor="text1"/>
        </w:rPr>
        <w:t xml:space="preserve">. Therefore, for patients with MAFLD combined with HBV infection, </w:t>
      </w:r>
      <w:r w:rsidR="00C01140">
        <w:rPr>
          <w:rFonts w:ascii="Book Antiqua" w:eastAsia="Book Antiqua" w:hAnsi="Book Antiqua" w:cs="Book Antiqua"/>
          <w:color w:val="000000" w:themeColor="text1"/>
        </w:rPr>
        <w:t>closer monitoring</w:t>
      </w:r>
      <w:r w:rsidRPr="001A1C75">
        <w:rPr>
          <w:rFonts w:ascii="Book Antiqua" w:eastAsia="Book Antiqua" w:hAnsi="Book Antiqua" w:cs="Book Antiqua"/>
          <w:color w:val="000000" w:themeColor="text1"/>
        </w:rPr>
        <w:t xml:space="preserve"> and intervention of both factors are required</w:t>
      </w:r>
      <w:r w:rsidR="00C01140">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as the presence of two pathogenic risks might accelerate disease progression. </w:t>
      </w:r>
    </w:p>
    <w:p w14:paraId="34229C9B" w14:textId="3EB7F886" w:rsidR="00A77B3E" w:rsidRPr="001A1C75" w:rsidRDefault="00DE6BC6" w:rsidP="00E7268B">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strength of this study is that, to our knowledge, it is the first </w:t>
      </w:r>
      <w:r w:rsidR="00C01140">
        <w:rPr>
          <w:rFonts w:ascii="Book Antiqua" w:eastAsia="Book Antiqua" w:hAnsi="Book Antiqua" w:cs="Book Antiqua"/>
          <w:color w:val="000000" w:themeColor="text1"/>
        </w:rPr>
        <w:t>to focus</w:t>
      </w:r>
      <w:r w:rsidRPr="001A1C75">
        <w:rPr>
          <w:rFonts w:ascii="Book Antiqua" w:eastAsia="Book Antiqua" w:hAnsi="Book Antiqua" w:cs="Book Antiqua"/>
          <w:color w:val="000000" w:themeColor="text1"/>
        </w:rPr>
        <w:t xml:space="preserve"> on the relationship between MAFLD and HBV infection. As MAFLD is a novel</w:t>
      </w:r>
      <w:r w:rsidR="00C01140">
        <w:rPr>
          <w:rFonts w:ascii="Book Antiqua" w:eastAsia="Book Antiqua" w:hAnsi="Book Antiqua" w:cs="Book Antiqua"/>
          <w:color w:val="000000" w:themeColor="text1"/>
        </w:rPr>
        <w:t>, recently proposed</w:t>
      </w:r>
      <w:r w:rsidRPr="001A1C75">
        <w:rPr>
          <w:rFonts w:ascii="Book Antiqua" w:eastAsia="Book Antiqua" w:hAnsi="Book Antiqua" w:cs="Book Antiqua"/>
          <w:color w:val="000000" w:themeColor="text1"/>
        </w:rPr>
        <w:t xml:space="preserve"> concept and its prevalence will keep increasing in future decades</w:t>
      </w:r>
      <w:r w:rsidRPr="001A1C75">
        <w:rPr>
          <w:rFonts w:ascii="Book Antiqua" w:eastAsia="Book Antiqua" w:hAnsi="Book Antiqua" w:cs="Book Antiqua"/>
          <w:color w:val="000000" w:themeColor="text1"/>
          <w:vertAlign w:val="superscript"/>
        </w:rPr>
        <w:t>[21]</w:t>
      </w:r>
      <w:r w:rsidRPr="001A1C75">
        <w:rPr>
          <w:rFonts w:ascii="Book Antiqua" w:eastAsia="Book Antiqua" w:hAnsi="Book Antiqua" w:cs="Book Antiqua"/>
          <w:color w:val="000000" w:themeColor="text1"/>
        </w:rPr>
        <w:t xml:space="preserve">, the clarification of the association between MAFLD and HBV is of clinical importance. However, there are some limitations </w:t>
      </w:r>
      <w:r w:rsidR="00C01140">
        <w:rPr>
          <w:rFonts w:ascii="Book Antiqua" w:eastAsia="Book Antiqua" w:hAnsi="Book Antiqua" w:cs="Book Antiqua"/>
          <w:color w:val="000000" w:themeColor="text1"/>
        </w:rPr>
        <w:t>that</w:t>
      </w:r>
      <w:r w:rsidRPr="001A1C75">
        <w:rPr>
          <w:rFonts w:ascii="Book Antiqua" w:eastAsia="Book Antiqua" w:hAnsi="Book Antiqua" w:cs="Book Antiqua"/>
          <w:color w:val="000000" w:themeColor="text1"/>
        </w:rPr>
        <w:t xml:space="preserve"> compromise this study. First, this is a single center study. The lack of waist </w:t>
      </w:r>
      <w:r w:rsidRPr="00C01140">
        <w:rPr>
          <w:rFonts w:ascii="Book Antiqua" w:eastAsia="Book Antiqua" w:hAnsi="Book Antiqua" w:cs="Book Antiqua"/>
          <w:color w:val="000000" w:themeColor="text1"/>
        </w:rPr>
        <w:t xml:space="preserve">circumference, </w:t>
      </w:r>
      <w:r w:rsidR="00C01140" w:rsidRPr="00C01140">
        <w:rPr>
          <w:rFonts w:ascii="Book Antiqua" w:eastAsia="Book Antiqua" w:hAnsi="Book Antiqua" w:cs="Book Antiqua"/>
          <w:color w:val="000000" w:themeColor="text1"/>
        </w:rPr>
        <w:t>h</w:t>
      </w:r>
      <w:r w:rsidR="00C01140" w:rsidRPr="000B3C67">
        <w:rPr>
          <w:rFonts w:ascii="Book Antiqua" w:hAnsi="Book Antiqua" w:cs="Arial"/>
          <w:color w:val="4D5156"/>
          <w:shd w:val="clear" w:color="auto" w:fill="FFFFFF"/>
        </w:rPr>
        <w:t>omeostatic model assessment of insulin resistance</w:t>
      </w:r>
      <w:r w:rsidRPr="001A1C75">
        <w:rPr>
          <w:rFonts w:ascii="Book Antiqua" w:eastAsia="Book Antiqua" w:hAnsi="Book Antiqua" w:cs="Book Antiqua"/>
          <w:color w:val="000000" w:themeColor="text1"/>
        </w:rPr>
        <w:t xml:space="preserve">, and </w:t>
      </w:r>
      <w:r w:rsidR="00C01140">
        <w:rPr>
          <w:rFonts w:ascii="Book Antiqua" w:eastAsia="Book Antiqua" w:hAnsi="Book Antiqua" w:cs="Book Antiqua"/>
          <w:color w:val="000000" w:themeColor="text1"/>
        </w:rPr>
        <w:t>C-reactive protein</w:t>
      </w:r>
      <w:r w:rsidRPr="001A1C75">
        <w:rPr>
          <w:rFonts w:ascii="Book Antiqua" w:eastAsia="Book Antiqua" w:hAnsi="Book Antiqua" w:cs="Book Antiqua"/>
          <w:color w:val="000000" w:themeColor="text1"/>
        </w:rPr>
        <w:t xml:space="preserve"> will lead to some missing cases of MAFLD. Second, this cross-sectional study </w:t>
      </w:r>
      <w:r w:rsidR="00C01140">
        <w:rPr>
          <w:rFonts w:ascii="Book Antiqua" w:eastAsia="Book Antiqua" w:hAnsi="Book Antiqua" w:cs="Book Antiqua"/>
          <w:color w:val="000000" w:themeColor="text1"/>
        </w:rPr>
        <w:t>wa</w:t>
      </w:r>
      <w:r w:rsidRPr="001A1C75">
        <w:rPr>
          <w:rFonts w:ascii="Book Antiqua" w:eastAsia="Book Antiqua" w:hAnsi="Book Antiqua" w:cs="Book Antiqua"/>
          <w:color w:val="000000" w:themeColor="text1"/>
        </w:rPr>
        <w:t>s unable to determine the causal relationship between HBV infection and MAFLD. Last</w:t>
      </w:r>
      <w:r w:rsidR="00C01140">
        <w:rPr>
          <w:rFonts w:ascii="Book Antiqua" w:eastAsia="Book Antiqua" w:hAnsi="Book Antiqua" w:cs="Book Antiqua"/>
          <w:color w:val="000000" w:themeColor="text1"/>
        </w:rPr>
        <w:t>ly</w:t>
      </w:r>
      <w:r w:rsidRPr="001A1C75">
        <w:rPr>
          <w:rFonts w:ascii="Book Antiqua" w:eastAsia="Book Antiqua" w:hAnsi="Book Antiqua" w:cs="Book Antiqua"/>
          <w:color w:val="000000" w:themeColor="text1"/>
        </w:rPr>
        <w:t>, the study population was relatively lean and had less metabolic syndrome. The conclusion</w:t>
      </w:r>
      <w:r w:rsidR="00C01140">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 should be validated in other populations with higher prevalence of obesity and metabolic syndromes.</w:t>
      </w:r>
    </w:p>
    <w:p w14:paraId="2EDEC398" w14:textId="77777777" w:rsidR="00A77B3E" w:rsidRPr="001A1C75" w:rsidRDefault="00A77B3E" w:rsidP="001A1C75">
      <w:pPr>
        <w:spacing w:line="360" w:lineRule="auto"/>
        <w:jc w:val="both"/>
        <w:rPr>
          <w:rFonts w:ascii="Book Antiqua" w:hAnsi="Book Antiqua"/>
          <w:color w:val="000000" w:themeColor="text1"/>
        </w:rPr>
      </w:pPr>
    </w:p>
    <w:p w14:paraId="33027D8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CONCLUSION</w:t>
      </w:r>
    </w:p>
    <w:p w14:paraId="01967FAF" w14:textId="6F966946"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color w:val="000000" w:themeColor="text1"/>
        </w:rPr>
        <w:t>In summary, cases with HBV-MAFLD have similar metabolic risks compared to pure MAFLD but are associated with lower steatosis grade</w:t>
      </w:r>
      <w:r w:rsidR="00C01140">
        <w:rPr>
          <w:rStyle w:val="Geen"/>
          <w:rFonts w:ascii="Book Antiqua" w:eastAsia="Book Antiqua" w:hAnsi="Book Antiqua" w:cs="Book Antiqua"/>
          <w:color w:val="000000" w:themeColor="text1"/>
        </w:rPr>
        <w:t xml:space="preserve"> and</w:t>
      </w:r>
      <w:r w:rsidRPr="001A1C75">
        <w:rPr>
          <w:rStyle w:val="Geen"/>
          <w:rFonts w:ascii="Book Antiqua" w:eastAsia="Book Antiqua" w:hAnsi="Book Antiqua" w:cs="Book Antiqua"/>
          <w:color w:val="000000" w:themeColor="text1"/>
        </w:rPr>
        <w:t xml:space="preserve"> higher inflammation and fibrosis grade in histopathology. More attention should be paid to the monitoring and management of MAFLD with HBV infection.</w:t>
      </w:r>
    </w:p>
    <w:p w14:paraId="05AD15AC" w14:textId="77777777" w:rsidR="00A77B3E" w:rsidRPr="001A1C75" w:rsidRDefault="00A77B3E" w:rsidP="001A1C75">
      <w:pPr>
        <w:spacing w:line="360" w:lineRule="auto"/>
        <w:jc w:val="both"/>
        <w:rPr>
          <w:rFonts w:ascii="Book Antiqua" w:hAnsi="Book Antiqua"/>
          <w:color w:val="000000" w:themeColor="text1"/>
        </w:rPr>
      </w:pPr>
    </w:p>
    <w:p w14:paraId="5C252AB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ARTICLE HIGHLIGHTS</w:t>
      </w:r>
    </w:p>
    <w:p w14:paraId="18E3D16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lastRenderedPageBreak/>
        <w:t>Research background</w:t>
      </w:r>
    </w:p>
    <w:p w14:paraId="76E4413D"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Metabolic associated fatty liver disease (MAFLD) is a novel concept proposed in 2020.</w:t>
      </w:r>
    </w:p>
    <w:p w14:paraId="2DA7BA8C" w14:textId="77777777" w:rsidR="00A77B3E" w:rsidRPr="001A1C75" w:rsidRDefault="00A77B3E" w:rsidP="001A1C75">
      <w:pPr>
        <w:spacing w:line="360" w:lineRule="auto"/>
        <w:jc w:val="both"/>
        <w:rPr>
          <w:rFonts w:ascii="Book Antiqua" w:hAnsi="Book Antiqua"/>
          <w:color w:val="000000" w:themeColor="text1"/>
        </w:rPr>
      </w:pPr>
    </w:p>
    <w:p w14:paraId="16AC4A3A"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motivation</w:t>
      </w:r>
    </w:p>
    <w:p w14:paraId="6AA863D7" w14:textId="6CDC299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does not require t</w:t>
      </w:r>
      <w:r w:rsidR="00C01140">
        <w:rPr>
          <w:rFonts w:ascii="Book Antiqua" w:eastAsia="Book Antiqua" w:hAnsi="Book Antiqua" w:cs="Book Antiqua"/>
          <w:color w:val="000000" w:themeColor="text1"/>
        </w:rPr>
        <w:t>he exclusion of</w:t>
      </w:r>
      <w:r w:rsidRPr="001A1C75">
        <w:rPr>
          <w:rFonts w:ascii="Book Antiqua" w:eastAsia="Book Antiqua" w:hAnsi="Book Antiqua" w:cs="Book Antiqua"/>
          <w:color w:val="000000" w:themeColor="text1"/>
        </w:rPr>
        <w:t xml:space="preserve"> </w:t>
      </w:r>
      <w:r w:rsidR="00E7268B" w:rsidRPr="001A1C75">
        <w:rPr>
          <w:rFonts w:ascii="Book Antiqua" w:eastAsia="Book Antiqua" w:hAnsi="Book Antiqua" w:cs="Book Antiqua"/>
          <w:color w:val="000000" w:themeColor="text1"/>
        </w:rPr>
        <w:t xml:space="preserve">hepatitis B virus </w:t>
      </w:r>
      <w:r w:rsidR="00E7268B">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HBV</w:t>
      </w:r>
      <w:r w:rsidR="00E7268B">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infection</w:t>
      </w:r>
      <w:r w:rsidR="00C01140">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thus the combination of HBV and MAFLD (HBV-MAFLD) would become an important subtype of MAFLD. The clinicopathological characteristics of this subtype are unclear.</w:t>
      </w:r>
    </w:p>
    <w:p w14:paraId="590B27F7" w14:textId="77777777" w:rsidR="00A77B3E" w:rsidRPr="001A1C75" w:rsidRDefault="00A77B3E" w:rsidP="001A1C75">
      <w:pPr>
        <w:spacing w:line="360" w:lineRule="auto"/>
        <w:jc w:val="both"/>
        <w:rPr>
          <w:rFonts w:ascii="Book Antiqua" w:hAnsi="Book Antiqua"/>
          <w:color w:val="000000" w:themeColor="text1"/>
        </w:rPr>
      </w:pPr>
    </w:p>
    <w:p w14:paraId="1C09080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objectives</w:t>
      </w:r>
    </w:p>
    <w:p w14:paraId="21867B9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retrospective study aimed to compare the characteristics between MAFLD and HBV-MAFLD. </w:t>
      </w:r>
    </w:p>
    <w:p w14:paraId="3F412C46" w14:textId="77777777" w:rsidR="00A77B3E" w:rsidRPr="001A1C75" w:rsidRDefault="00A77B3E" w:rsidP="001A1C75">
      <w:pPr>
        <w:spacing w:line="360" w:lineRule="auto"/>
        <w:jc w:val="both"/>
        <w:rPr>
          <w:rFonts w:ascii="Book Antiqua" w:hAnsi="Book Antiqua"/>
          <w:color w:val="000000" w:themeColor="text1"/>
        </w:rPr>
      </w:pPr>
    </w:p>
    <w:p w14:paraId="424C450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methods</w:t>
      </w:r>
    </w:p>
    <w:p w14:paraId="03012850" w14:textId="2F26389A"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Patients with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MAFLD from a single medical center were included. Patients were divided into MAFLD group (without HBV infection) and HBV-MAFLD group (with HBV infection). Propensity score matching was utilized to balance the baseline characteristics between two groups.</w:t>
      </w:r>
    </w:p>
    <w:p w14:paraId="5E7447D2" w14:textId="77777777" w:rsidR="00A77B3E" w:rsidRPr="001A1C75" w:rsidRDefault="00A77B3E" w:rsidP="001A1C75">
      <w:pPr>
        <w:spacing w:line="360" w:lineRule="auto"/>
        <w:jc w:val="both"/>
        <w:rPr>
          <w:rFonts w:ascii="Book Antiqua" w:hAnsi="Book Antiqua"/>
          <w:color w:val="000000" w:themeColor="text1"/>
        </w:rPr>
      </w:pPr>
    </w:p>
    <w:p w14:paraId="2DF43D6D"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results</w:t>
      </w:r>
    </w:p>
    <w:p w14:paraId="0DE54BED" w14:textId="225266DE"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A total of 417 cases with MAFLD were included, 359 (86.1%) of whom were infected with HBV. There were significantly more males in the HBV-MAFLD group than in MAFLD group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After </w:t>
      </w:r>
      <w:r w:rsidR="00254413">
        <w:rPr>
          <w:rFonts w:ascii="Book Antiqua" w:eastAsia="Book Antiqua" w:hAnsi="Book Antiqua" w:cs="Book Antiqua"/>
          <w:color w:val="000000" w:themeColor="text1"/>
        </w:rPr>
        <w:t>p</w:t>
      </w:r>
      <w:r w:rsidR="00254413" w:rsidRPr="001A1C75">
        <w:rPr>
          <w:rFonts w:ascii="Book Antiqua" w:eastAsia="Book Antiqua" w:hAnsi="Book Antiqua" w:cs="Book Antiqua"/>
          <w:color w:val="000000" w:themeColor="text1"/>
        </w:rPr>
        <w:t>ropensity score matching</w:t>
      </w:r>
      <w:r w:rsidRPr="001A1C75">
        <w:rPr>
          <w:rFonts w:ascii="Book Antiqua" w:eastAsia="Book Antiqua" w:hAnsi="Book Antiqua" w:cs="Book Antiqua"/>
          <w:color w:val="000000" w:themeColor="text1"/>
        </w:rPr>
        <w:t>, 58 pairs were successfully matched with no significant differences found in gender</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age</w:t>
      </w:r>
      <w:r w:rsidR="00C642AE">
        <w:rPr>
          <w:rFonts w:ascii="Book Antiqua" w:eastAsia="Book Antiqua" w:hAnsi="Book Antiqua" w:cs="Book Antiqua"/>
          <w:color w:val="000000" w:themeColor="text1"/>
        </w:rPr>
        <w:t xml:space="preserve">, </w:t>
      </w:r>
      <w:r w:rsidR="00C642AE" w:rsidRPr="001A1C75">
        <w:rPr>
          <w:rFonts w:ascii="Book Antiqua" w:eastAsia="Book Antiqua" w:hAnsi="Book Antiqua" w:cs="Book Antiqua"/>
          <w:color w:val="000000" w:themeColor="text1"/>
        </w:rPr>
        <w:t>body mass index, lipid levels, liver enzymes, and the other metabolic associated comorbidities</w:t>
      </w:r>
      <w:r w:rsidRPr="001A1C75">
        <w:rPr>
          <w:rFonts w:ascii="Book Antiqua" w:eastAsia="Book Antiqua" w:hAnsi="Book Antiqua" w:cs="Book Antiqua"/>
          <w:color w:val="000000" w:themeColor="text1"/>
        </w:rPr>
        <w:t xml:space="preserve"> between two groups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&gt; 0.05). The rank sum test results showed that the degree of liver steatosis in </w:t>
      </w:r>
      <w:r w:rsidR="00C642AE">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 was more severe than that in HBV-MAFLD group, while the degree of inflammation and fibrosis in liver was less severe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In multivariate analysis, HBV infection was associated with lower grade of hepatic steatosis </w:t>
      </w:r>
      <w:r w:rsidR="00C642AE">
        <w:rPr>
          <w:rFonts w:ascii="Book Antiqua" w:eastAsia="Book Antiqua" w:hAnsi="Book Antiqua" w:cs="Book Antiqua"/>
          <w:color w:val="000000" w:themeColor="text1"/>
        </w:rPr>
        <w:t xml:space="preserve">[odds ratio </w:t>
      </w:r>
      <w:r w:rsidRPr="001A1C75">
        <w:rPr>
          <w:rFonts w:ascii="Book Antiqua" w:eastAsia="Book Antiqua" w:hAnsi="Book Antiqua" w:cs="Book Antiqua"/>
          <w:color w:val="000000" w:themeColor="text1"/>
        </w:rPr>
        <w:t>(OR</w:t>
      </w:r>
      <w:r w:rsidR="00C642AE">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0.088, 95%</w:t>
      </w:r>
      <w:r w:rsidR="00C642AE">
        <w:rPr>
          <w:rFonts w:ascii="Book Antiqua" w:eastAsia="Book Antiqua" w:hAnsi="Book Antiqua" w:cs="Book Antiqua"/>
          <w:color w:val="000000" w:themeColor="text1"/>
        </w:rPr>
        <w:t xml:space="preserve"> confidence interval (</w:t>
      </w:r>
      <w:r w:rsidRPr="001A1C75">
        <w:rPr>
          <w:rFonts w:ascii="Book Antiqua" w:eastAsia="Book Antiqua" w:hAnsi="Book Antiqua" w:cs="Book Antiqua"/>
          <w:color w:val="000000" w:themeColor="text1"/>
        </w:rPr>
        <w:t>CI</w:t>
      </w:r>
      <w:r w:rsidR="00C642AE">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0.027-0.291</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but higher inflammation (OR</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4.059, 95%CI</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lastRenderedPageBreak/>
        <w:t>1.403-11.742) and fibrosis grades (OR</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3.016, 95%CI</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1.087-8.370) after adjusting for age, gender</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other metabolic parameters.</w:t>
      </w:r>
    </w:p>
    <w:p w14:paraId="309E87F5" w14:textId="77777777" w:rsidR="00A77B3E" w:rsidRPr="001A1C75" w:rsidRDefault="00A77B3E" w:rsidP="001A1C75">
      <w:pPr>
        <w:spacing w:line="360" w:lineRule="auto"/>
        <w:jc w:val="both"/>
        <w:rPr>
          <w:rFonts w:ascii="Book Antiqua" w:hAnsi="Book Antiqua"/>
          <w:color w:val="000000" w:themeColor="text1"/>
        </w:rPr>
      </w:pPr>
    </w:p>
    <w:p w14:paraId="4CD2991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conclusions</w:t>
      </w:r>
    </w:p>
    <w:p w14:paraId="464723ED" w14:textId="75F953C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HBV infection is associated with similar metabolic risks, lower steatosis grade, </w:t>
      </w:r>
      <w:r w:rsidR="00C642AE">
        <w:rPr>
          <w:rFonts w:ascii="Book Antiqua" w:eastAsia="Book Antiqua" w:hAnsi="Book Antiqua" w:cs="Book Antiqua"/>
          <w:color w:val="000000" w:themeColor="text1"/>
        </w:rPr>
        <w:t xml:space="preserve">and </w:t>
      </w:r>
      <w:r w:rsidRPr="001A1C75">
        <w:rPr>
          <w:rFonts w:ascii="Book Antiqua" w:eastAsia="Book Antiqua" w:hAnsi="Book Antiqua" w:cs="Book Antiqua"/>
          <w:color w:val="000000" w:themeColor="text1"/>
        </w:rPr>
        <w:t xml:space="preserve">higher inflammation and fibrosis grade in MAFLD patients. </w:t>
      </w:r>
    </w:p>
    <w:p w14:paraId="323A1384" w14:textId="77777777" w:rsidR="00A77B3E" w:rsidRPr="001A1C75" w:rsidRDefault="00A77B3E" w:rsidP="001A1C75">
      <w:pPr>
        <w:spacing w:line="360" w:lineRule="auto"/>
        <w:jc w:val="both"/>
        <w:rPr>
          <w:rFonts w:ascii="Book Antiqua" w:hAnsi="Book Antiqua"/>
          <w:color w:val="000000" w:themeColor="text1"/>
        </w:rPr>
      </w:pPr>
    </w:p>
    <w:p w14:paraId="790B6F5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perspectives</w:t>
      </w:r>
    </w:p>
    <w:p w14:paraId="46BA5163" w14:textId="1A49D77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overall </w:t>
      </w:r>
      <w:r w:rsidR="00D67C6F" w:rsidRPr="001A1C75">
        <w:rPr>
          <w:rFonts w:ascii="Book Antiqua" w:eastAsia="Book Antiqua" w:hAnsi="Book Antiqua" w:cs="Book Antiqua"/>
          <w:color w:val="000000" w:themeColor="text1"/>
        </w:rPr>
        <w:t>body mass index</w:t>
      </w:r>
      <w:r w:rsidRPr="001A1C75">
        <w:rPr>
          <w:rFonts w:ascii="Book Antiqua" w:eastAsia="Book Antiqua" w:hAnsi="Book Antiqua" w:cs="Book Antiqua"/>
          <w:color w:val="000000" w:themeColor="text1"/>
        </w:rPr>
        <w:t xml:space="preserve"> and the prevalence of metabolic disorder were relatively low in this study cohort. The conclusion should be validated in other populations with more metabolic dysfunctions.</w:t>
      </w:r>
    </w:p>
    <w:p w14:paraId="74D13095" w14:textId="77777777" w:rsidR="00A77B3E" w:rsidRPr="001A1C75" w:rsidRDefault="00A77B3E" w:rsidP="001A1C75">
      <w:pPr>
        <w:spacing w:line="360" w:lineRule="auto"/>
        <w:jc w:val="both"/>
        <w:rPr>
          <w:rFonts w:ascii="Book Antiqua" w:hAnsi="Book Antiqua"/>
          <w:color w:val="000000" w:themeColor="text1"/>
        </w:rPr>
      </w:pPr>
    </w:p>
    <w:p w14:paraId="1841BA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REFERENCES</w:t>
      </w:r>
    </w:p>
    <w:p w14:paraId="68207F0C"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 </w:t>
      </w:r>
      <w:r w:rsidRPr="001A1C75">
        <w:rPr>
          <w:rFonts w:ascii="Book Antiqua" w:hAnsi="Book Antiqua"/>
          <w:b/>
          <w:bCs/>
        </w:rPr>
        <w:t>Younossi ZM</w:t>
      </w:r>
      <w:r w:rsidRPr="001A1C75">
        <w:rPr>
          <w:rFonts w:ascii="Book Antiqua" w:hAnsi="Book Antiqua"/>
        </w:rPr>
        <w:t xml:space="preserve">, Koenig AB, Abdelatif D, Fazel Y, Henry L, Wymer M. Global epidemiology of nonalcoholic fatty liver disease-Meta-analytic assessment of prevalence, incidence, and outcomes. </w:t>
      </w:r>
      <w:r w:rsidRPr="001A1C75">
        <w:rPr>
          <w:rFonts w:ascii="Book Antiqua" w:hAnsi="Book Antiqua"/>
          <w:i/>
          <w:iCs/>
        </w:rPr>
        <w:t>Hepatology</w:t>
      </w:r>
      <w:r w:rsidRPr="001A1C75">
        <w:rPr>
          <w:rFonts w:ascii="Book Antiqua" w:hAnsi="Book Antiqua"/>
        </w:rPr>
        <w:t xml:space="preserve"> 2016; </w:t>
      </w:r>
      <w:r w:rsidRPr="001A1C75">
        <w:rPr>
          <w:rFonts w:ascii="Book Antiqua" w:hAnsi="Book Antiqua"/>
          <w:b/>
          <w:bCs/>
        </w:rPr>
        <w:t>64</w:t>
      </w:r>
      <w:r w:rsidRPr="001A1C75">
        <w:rPr>
          <w:rFonts w:ascii="Book Antiqua" w:hAnsi="Book Antiqua"/>
        </w:rPr>
        <w:t>: 73-84 [PMID: 26707365 DOI: 10.1002/hep.28431]</w:t>
      </w:r>
    </w:p>
    <w:p w14:paraId="41B6CB72"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2 </w:t>
      </w:r>
      <w:r w:rsidRPr="001A1C75">
        <w:rPr>
          <w:rFonts w:ascii="Book Antiqua" w:hAnsi="Book Antiqua"/>
          <w:b/>
          <w:bCs/>
        </w:rPr>
        <w:t>Eslam M</w:t>
      </w:r>
      <w:r w:rsidRPr="001A1C75">
        <w:rPr>
          <w:rFonts w:ascii="Book Antiqua" w:hAnsi="Book Antiqua"/>
        </w:rPr>
        <w:t xml:space="preserve">, Sanyal AJ, George J; International Consensus Panel. MAFLD: A Consensus-Driven Proposed Nomenclature for Metabolic Associated Fatty Liver Disease. </w:t>
      </w:r>
      <w:r w:rsidRPr="001A1C75">
        <w:rPr>
          <w:rFonts w:ascii="Book Antiqua" w:hAnsi="Book Antiqua"/>
          <w:i/>
          <w:iCs/>
        </w:rPr>
        <w:t>Gastroenterology</w:t>
      </w:r>
      <w:r w:rsidRPr="001A1C75">
        <w:rPr>
          <w:rFonts w:ascii="Book Antiqua" w:hAnsi="Book Antiqua"/>
        </w:rPr>
        <w:t xml:space="preserve"> 2020; </w:t>
      </w:r>
      <w:r w:rsidRPr="001A1C75">
        <w:rPr>
          <w:rFonts w:ascii="Book Antiqua" w:hAnsi="Book Antiqua"/>
          <w:b/>
          <w:bCs/>
        </w:rPr>
        <w:t>158</w:t>
      </w:r>
      <w:r w:rsidRPr="001A1C75">
        <w:rPr>
          <w:rFonts w:ascii="Book Antiqua" w:hAnsi="Book Antiqua"/>
        </w:rPr>
        <w:t>: 1999-2014.e1 [PMID: 32044314 DOI: 10.1053/j.gastro.2019.11.312]</w:t>
      </w:r>
    </w:p>
    <w:p w14:paraId="1CA7B752" w14:textId="2DA1FF18" w:rsidR="001A1C75" w:rsidRPr="001A1C75" w:rsidRDefault="001A1C75" w:rsidP="001A1C75">
      <w:pPr>
        <w:spacing w:line="360" w:lineRule="auto"/>
        <w:jc w:val="both"/>
        <w:rPr>
          <w:rFonts w:ascii="Book Antiqua" w:hAnsi="Book Antiqua"/>
        </w:rPr>
      </w:pPr>
      <w:r w:rsidRPr="001A1C75">
        <w:rPr>
          <w:rFonts w:ascii="Book Antiqua" w:hAnsi="Book Antiqua"/>
        </w:rPr>
        <w:t xml:space="preserve">3 </w:t>
      </w:r>
      <w:r w:rsidRPr="001A1C75">
        <w:rPr>
          <w:rFonts w:ascii="Book Antiqua" w:hAnsi="Book Antiqua"/>
          <w:b/>
          <w:bCs/>
        </w:rPr>
        <w:t>Fouad Y</w:t>
      </w:r>
      <w:r w:rsidRPr="001A1C75">
        <w:rPr>
          <w:rFonts w:ascii="Book Antiqua" w:hAnsi="Book Antiqua"/>
        </w:rPr>
        <w:t xml:space="preserve">, Waked I, Bollipo S, Gomaa A, Ajlouni Y, Attia D. What's in a name? Renaming 'NAFLD' to 'MAFLD'.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1254-1261 [PMID: 32301554 DOI: 10.1111/</w:t>
      </w:r>
      <w:r w:rsidR="00C565ED">
        <w:rPr>
          <w:rFonts w:ascii="Book Antiqua" w:hAnsi="Book Antiqua"/>
        </w:rPr>
        <w:t>l</w:t>
      </w:r>
      <w:r w:rsidRPr="001A1C75">
        <w:rPr>
          <w:rFonts w:ascii="Book Antiqua" w:hAnsi="Book Antiqua"/>
        </w:rPr>
        <w:t>iv.14478]</w:t>
      </w:r>
    </w:p>
    <w:p w14:paraId="693095A2" w14:textId="69392CDB" w:rsidR="001A1C75" w:rsidRPr="001A1C75" w:rsidRDefault="001A1C75" w:rsidP="001A1C75">
      <w:pPr>
        <w:spacing w:line="360" w:lineRule="auto"/>
        <w:jc w:val="both"/>
        <w:rPr>
          <w:rFonts w:ascii="Book Antiqua" w:hAnsi="Book Antiqua"/>
        </w:rPr>
      </w:pPr>
      <w:r w:rsidRPr="001A1C75">
        <w:rPr>
          <w:rFonts w:ascii="Book Antiqua" w:hAnsi="Book Antiqua"/>
        </w:rPr>
        <w:t xml:space="preserve">4 </w:t>
      </w:r>
      <w:r w:rsidRPr="001A1C75">
        <w:rPr>
          <w:rFonts w:ascii="Book Antiqua" w:hAnsi="Book Antiqua"/>
          <w:b/>
          <w:bCs/>
        </w:rPr>
        <w:t>European Association for the Study of the Liver (EASL)</w:t>
      </w:r>
      <w:r w:rsidRPr="001A1C75">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1A1C75">
        <w:rPr>
          <w:rFonts w:ascii="Book Antiqua" w:hAnsi="Book Antiqua"/>
          <w:i/>
          <w:iCs/>
        </w:rPr>
        <w:t>Diabetologia</w:t>
      </w:r>
      <w:r w:rsidRPr="001A1C75">
        <w:rPr>
          <w:rFonts w:ascii="Book Antiqua" w:hAnsi="Book Antiqua"/>
        </w:rPr>
        <w:t xml:space="preserve"> 2016; </w:t>
      </w:r>
      <w:r w:rsidRPr="001A1C75">
        <w:rPr>
          <w:rFonts w:ascii="Book Antiqua" w:hAnsi="Book Antiqua"/>
          <w:b/>
          <w:bCs/>
        </w:rPr>
        <w:t>59</w:t>
      </w:r>
      <w:r w:rsidRPr="001A1C75">
        <w:rPr>
          <w:rFonts w:ascii="Book Antiqua" w:hAnsi="Book Antiqua"/>
        </w:rPr>
        <w:t>: 1121-1140 [PMID: 27053230 DOI: 10.1007/s00125-016-3902-y]</w:t>
      </w:r>
    </w:p>
    <w:p w14:paraId="07E967AF" w14:textId="77777777" w:rsidR="001A1C75" w:rsidRPr="001A1C75" w:rsidRDefault="001A1C75" w:rsidP="001A1C75">
      <w:pPr>
        <w:spacing w:line="360" w:lineRule="auto"/>
        <w:jc w:val="both"/>
        <w:rPr>
          <w:rFonts w:ascii="Book Antiqua" w:hAnsi="Book Antiqua"/>
        </w:rPr>
      </w:pPr>
      <w:r w:rsidRPr="001A1C75">
        <w:rPr>
          <w:rFonts w:ascii="Book Antiqua" w:hAnsi="Book Antiqua"/>
        </w:rPr>
        <w:lastRenderedPageBreak/>
        <w:t xml:space="preserve">5 </w:t>
      </w:r>
      <w:r w:rsidRPr="001A1C75">
        <w:rPr>
          <w:rFonts w:ascii="Book Antiqua" w:hAnsi="Book Antiqua"/>
          <w:b/>
          <w:bCs/>
        </w:rPr>
        <w:t>Eslam M</w:t>
      </w:r>
      <w:r w:rsidRPr="001A1C75">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1A1C75">
        <w:rPr>
          <w:rFonts w:ascii="Book Antiqua" w:hAnsi="Book Antiqua"/>
          <w:i/>
          <w:iCs/>
        </w:rPr>
        <w:t>J Hepatol</w:t>
      </w:r>
      <w:r w:rsidRPr="001A1C75">
        <w:rPr>
          <w:rFonts w:ascii="Book Antiqua" w:hAnsi="Book Antiqua"/>
        </w:rPr>
        <w:t xml:space="preserve"> 2020; </w:t>
      </w:r>
      <w:r w:rsidRPr="001A1C75">
        <w:rPr>
          <w:rFonts w:ascii="Book Antiqua" w:hAnsi="Book Antiqua"/>
          <w:b/>
          <w:bCs/>
        </w:rPr>
        <w:t>73</w:t>
      </w:r>
      <w:r w:rsidRPr="001A1C75">
        <w:rPr>
          <w:rFonts w:ascii="Book Antiqua" w:hAnsi="Book Antiqua"/>
        </w:rPr>
        <w:t>: 202-209 [PMID: 32278004 DOI: 10.1016/j.jhep.2020.03.039]</w:t>
      </w:r>
    </w:p>
    <w:p w14:paraId="203B5368" w14:textId="79CCF1DC" w:rsidR="001A1C75" w:rsidRPr="001A1C75" w:rsidRDefault="001A1C75" w:rsidP="001A1C75">
      <w:pPr>
        <w:spacing w:line="360" w:lineRule="auto"/>
        <w:jc w:val="both"/>
        <w:rPr>
          <w:rFonts w:ascii="Book Antiqua" w:hAnsi="Book Antiqua"/>
        </w:rPr>
      </w:pPr>
      <w:r w:rsidRPr="001A1C75">
        <w:rPr>
          <w:rFonts w:ascii="Book Antiqua" w:hAnsi="Book Antiqua"/>
        </w:rPr>
        <w:t xml:space="preserve">6 </w:t>
      </w:r>
      <w:r w:rsidRPr="001A1C75">
        <w:rPr>
          <w:rFonts w:ascii="Book Antiqua" w:hAnsi="Book Antiqua"/>
          <w:b/>
          <w:bCs/>
        </w:rPr>
        <w:t>Lin S</w:t>
      </w:r>
      <w:r w:rsidRPr="001A1C75">
        <w:rPr>
          <w:rFonts w:ascii="Book Antiqua" w:hAnsi="Book Antiqua"/>
        </w:rPr>
        <w:t xml:space="preserve">, Huang J, Wang M, Kumar R, Liu Y, Liu S, Wu Y, Wang X, Zhu Y. Comparison of MAFLD and NAFLD diagnostic criteria in real world.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2082-2089 [PMID: 32478487 DOI: 10.1111/</w:t>
      </w:r>
      <w:r w:rsidR="00C565ED">
        <w:rPr>
          <w:rFonts w:ascii="Book Antiqua" w:hAnsi="Book Antiqua"/>
        </w:rPr>
        <w:t>l</w:t>
      </w:r>
      <w:r w:rsidRPr="001A1C75">
        <w:rPr>
          <w:rFonts w:ascii="Book Antiqua" w:hAnsi="Book Antiqua"/>
        </w:rPr>
        <w:t>iv.14548]</w:t>
      </w:r>
    </w:p>
    <w:p w14:paraId="1EFB846A" w14:textId="15B40FB3" w:rsidR="001A1C75" w:rsidRPr="001A1C75" w:rsidRDefault="001A1C75" w:rsidP="001A1C75">
      <w:pPr>
        <w:spacing w:line="360" w:lineRule="auto"/>
        <w:jc w:val="both"/>
        <w:rPr>
          <w:rFonts w:ascii="Book Antiqua" w:hAnsi="Book Antiqua"/>
        </w:rPr>
      </w:pPr>
      <w:r w:rsidRPr="001A1C75">
        <w:rPr>
          <w:rFonts w:ascii="Book Antiqua" w:hAnsi="Book Antiqua"/>
        </w:rPr>
        <w:t xml:space="preserve">7 </w:t>
      </w:r>
      <w:r w:rsidRPr="001A1C75">
        <w:rPr>
          <w:rFonts w:ascii="Book Antiqua" w:hAnsi="Book Antiqua"/>
          <w:b/>
          <w:bCs/>
        </w:rPr>
        <w:t>Yamamura S</w:t>
      </w:r>
      <w:r w:rsidRPr="001A1C75">
        <w:rPr>
          <w:rFonts w:ascii="Book Antiqua" w:hAnsi="Book Antiqua"/>
        </w:rPr>
        <w:t xml:space="preserve">, Eslam M, Kawaguchi T, Tsutsumi T, Nakano D, Yoshinaga S, Takahashi H, Anzai K, George J, Torimura T. MAFLD identifies patients with significant hepatic fibrosis better than NAFLD. </w:t>
      </w:r>
      <w:r w:rsidRPr="001A1C75">
        <w:rPr>
          <w:rFonts w:ascii="Book Antiqua" w:hAnsi="Book Antiqua"/>
          <w:i/>
          <w:iCs/>
        </w:rPr>
        <w:t>Liver Int</w:t>
      </w:r>
      <w:r w:rsidRPr="001A1C75">
        <w:rPr>
          <w:rFonts w:ascii="Book Antiqua" w:hAnsi="Book Antiqua"/>
        </w:rPr>
        <w:t xml:space="preserve"> 2020 [PMID: 32997882 DOI: 10.1111/</w:t>
      </w:r>
      <w:r w:rsidR="00C565ED">
        <w:rPr>
          <w:rFonts w:ascii="Book Antiqua" w:hAnsi="Book Antiqua"/>
        </w:rPr>
        <w:t>l</w:t>
      </w:r>
      <w:r w:rsidRPr="001A1C75">
        <w:rPr>
          <w:rFonts w:ascii="Book Antiqua" w:hAnsi="Book Antiqua"/>
        </w:rPr>
        <w:t>iv.14675]</w:t>
      </w:r>
    </w:p>
    <w:p w14:paraId="3213A2DC"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8 </w:t>
      </w:r>
      <w:r w:rsidRPr="001A1C75">
        <w:rPr>
          <w:rFonts w:ascii="Book Antiqua" w:hAnsi="Book Antiqua"/>
          <w:b/>
          <w:bCs/>
        </w:rPr>
        <w:t>Jia JD</w:t>
      </w:r>
      <w:r w:rsidRPr="001A1C75">
        <w:rPr>
          <w:rFonts w:ascii="Book Antiqua" w:hAnsi="Book Antiqua"/>
        </w:rPr>
        <w:t xml:space="preserve">, Hou JL, Wei L, Zhuang H. [Highlights of the guidelines of prevention and treatment for chronic hepatitis B (2019 version)]. </w:t>
      </w:r>
      <w:r w:rsidRPr="001A1C75">
        <w:rPr>
          <w:rFonts w:ascii="Book Antiqua" w:hAnsi="Book Antiqua"/>
          <w:i/>
          <w:iCs/>
        </w:rPr>
        <w:t>Zhonghua Gan Zang Bing Za Zhi</w:t>
      </w:r>
      <w:r w:rsidRPr="001A1C75">
        <w:rPr>
          <w:rFonts w:ascii="Book Antiqua" w:hAnsi="Book Antiqua"/>
        </w:rPr>
        <w:t xml:space="preserve"> 2020; </w:t>
      </w:r>
      <w:r w:rsidRPr="001A1C75">
        <w:rPr>
          <w:rFonts w:ascii="Book Antiqua" w:hAnsi="Book Antiqua"/>
          <w:b/>
          <w:bCs/>
        </w:rPr>
        <w:t>28</w:t>
      </w:r>
      <w:r w:rsidRPr="001A1C75">
        <w:rPr>
          <w:rFonts w:ascii="Book Antiqua" w:hAnsi="Book Antiqua"/>
        </w:rPr>
        <w:t>: 21-23 [PMID: 32023693 DOI: 10.3760/cma.j.issn.1007-3418.2020.01.006]</w:t>
      </w:r>
    </w:p>
    <w:p w14:paraId="365BAF4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9 </w:t>
      </w:r>
      <w:r w:rsidRPr="001A1C75">
        <w:rPr>
          <w:rFonts w:ascii="Book Antiqua" w:hAnsi="Book Antiqua"/>
          <w:b/>
          <w:bCs/>
        </w:rPr>
        <w:t>Haga Y</w:t>
      </w:r>
      <w:r w:rsidRPr="001A1C75">
        <w:rPr>
          <w:rFonts w:ascii="Book Antiqua" w:hAnsi="Book Antiqua"/>
        </w:rPr>
        <w:t xml:space="preserve">, Kanda T, Sasaki R, Nakamura M, Nakamoto S, Yokosuka O. Nonalcoholic fatty liver disease and hepatic cirrhosis: Comparison with viral hepatitis-associated steatosis. </w:t>
      </w:r>
      <w:r w:rsidRPr="001A1C75">
        <w:rPr>
          <w:rFonts w:ascii="Book Antiqua" w:hAnsi="Book Antiqua"/>
          <w:i/>
          <w:iCs/>
        </w:rPr>
        <w:t>World J Gastroenterol</w:t>
      </w:r>
      <w:r w:rsidRPr="001A1C75">
        <w:rPr>
          <w:rFonts w:ascii="Book Antiqua" w:hAnsi="Book Antiqua"/>
        </w:rPr>
        <w:t xml:space="preserve"> 2015; </w:t>
      </w:r>
      <w:r w:rsidRPr="001A1C75">
        <w:rPr>
          <w:rFonts w:ascii="Book Antiqua" w:hAnsi="Book Antiqua"/>
          <w:b/>
          <w:bCs/>
        </w:rPr>
        <w:t>21</w:t>
      </w:r>
      <w:r w:rsidRPr="001A1C75">
        <w:rPr>
          <w:rFonts w:ascii="Book Antiqua" w:hAnsi="Book Antiqua"/>
        </w:rPr>
        <w:t>: 12989-12995 [PMID: 26675364 DOI: 10.3748/wjg.v21.i46.12989]</w:t>
      </w:r>
    </w:p>
    <w:p w14:paraId="7660436E"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10 </w:t>
      </w:r>
      <w:r w:rsidRPr="001A1C75">
        <w:rPr>
          <w:rFonts w:ascii="Book Antiqua" w:hAnsi="Book Antiqua"/>
          <w:b/>
          <w:bCs/>
        </w:rPr>
        <w:t>Li YM</w:t>
      </w:r>
      <w:r w:rsidRPr="001A1C75">
        <w:rPr>
          <w:rFonts w:ascii="Book Antiqua" w:hAnsi="Book Antiqua"/>
        </w:rPr>
        <w:t xml:space="preserve">, Fan JG, Wang BY, Lu LG, Shi JP, Niu JQ, Shen W; Chinese Association for the Study of Liver Disease. Guidelines for the diagnosis and management of alcoholic liver disease: update 2010: (published in Chinese on Chinese Journal of Hepatology 2010; 18: 167-170). </w:t>
      </w:r>
      <w:r w:rsidRPr="001A1C75">
        <w:rPr>
          <w:rFonts w:ascii="Book Antiqua" w:hAnsi="Book Antiqua"/>
          <w:i/>
          <w:iCs/>
        </w:rPr>
        <w:t>J Dig Dis</w:t>
      </w:r>
      <w:r w:rsidRPr="001A1C75">
        <w:rPr>
          <w:rFonts w:ascii="Book Antiqua" w:hAnsi="Book Antiqua"/>
        </w:rPr>
        <w:t xml:space="preserve"> 2011; </w:t>
      </w:r>
      <w:r w:rsidRPr="001A1C75">
        <w:rPr>
          <w:rFonts w:ascii="Book Antiqua" w:hAnsi="Book Antiqua"/>
          <w:b/>
          <w:bCs/>
        </w:rPr>
        <w:t>12</w:t>
      </w:r>
      <w:r w:rsidRPr="001A1C75">
        <w:rPr>
          <w:rFonts w:ascii="Book Antiqua" w:hAnsi="Book Antiqua"/>
        </w:rPr>
        <w:t>: 45-50 [PMID: 21276208 DOI: 10.1111/j.1751-2980.2010.00477.x]</w:t>
      </w:r>
    </w:p>
    <w:p w14:paraId="6607D0D7"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11 </w:t>
      </w:r>
      <w:r w:rsidRPr="001A1C75">
        <w:rPr>
          <w:rFonts w:ascii="Book Antiqua" w:hAnsi="Book Antiqua"/>
          <w:b/>
          <w:bCs/>
        </w:rPr>
        <w:t>Desmet VJ</w:t>
      </w:r>
      <w:r w:rsidRPr="001A1C75">
        <w:rPr>
          <w:rFonts w:ascii="Book Antiqua" w:hAnsi="Book Antiqua"/>
        </w:rPr>
        <w:t xml:space="preserve">, Gerber M, Hoofnagle JH, Manns M, Scheuer PJ. Classification of chronic hepatitis: diagnosis, grading and staging. </w:t>
      </w:r>
      <w:r w:rsidRPr="001A1C75">
        <w:rPr>
          <w:rFonts w:ascii="Book Antiqua" w:hAnsi="Book Antiqua"/>
          <w:i/>
          <w:iCs/>
        </w:rPr>
        <w:t>Hepatology</w:t>
      </w:r>
      <w:r w:rsidRPr="001A1C75">
        <w:rPr>
          <w:rFonts w:ascii="Book Antiqua" w:hAnsi="Book Antiqua"/>
        </w:rPr>
        <w:t xml:space="preserve"> 1994; </w:t>
      </w:r>
      <w:r w:rsidRPr="001A1C75">
        <w:rPr>
          <w:rFonts w:ascii="Book Antiqua" w:hAnsi="Book Antiqua"/>
          <w:b/>
          <w:bCs/>
        </w:rPr>
        <w:t>19</w:t>
      </w:r>
      <w:r w:rsidRPr="001A1C75">
        <w:rPr>
          <w:rFonts w:ascii="Book Antiqua" w:hAnsi="Book Antiqua"/>
        </w:rPr>
        <w:t>: 1513-1520 [PMID: 8188183]</w:t>
      </w:r>
    </w:p>
    <w:p w14:paraId="54E3A7F0"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12 </w:t>
      </w:r>
      <w:r w:rsidRPr="001A1C75">
        <w:rPr>
          <w:rFonts w:ascii="Book Antiqua" w:hAnsi="Book Antiqua"/>
          <w:b/>
          <w:bCs/>
        </w:rPr>
        <w:t>Kleiner DE</w:t>
      </w:r>
      <w:r w:rsidRPr="001A1C75">
        <w:rPr>
          <w:rFonts w:ascii="Book Antiqua" w:hAnsi="Book Antiqua"/>
        </w:rPr>
        <w:t xml:space="preserve">, Brunt EM, Van Natta M, Behling C, Contos MJ, Cummings OW, Ferrell LD, Liu YC, Torbenson MS, Unalp-Arida A, Yeh M, McCullough AJ, Sanyal AJ; Nonalcoholic Steatohepatitis Clinical Research Network. Design and validation of a </w:t>
      </w:r>
      <w:r w:rsidRPr="001A1C75">
        <w:rPr>
          <w:rFonts w:ascii="Book Antiqua" w:hAnsi="Book Antiqua"/>
        </w:rPr>
        <w:lastRenderedPageBreak/>
        <w:t xml:space="preserve">histological scoring system for nonalcoholic fatty liver disease. </w:t>
      </w:r>
      <w:r w:rsidRPr="001A1C75">
        <w:rPr>
          <w:rFonts w:ascii="Book Antiqua" w:hAnsi="Book Antiqua"/>
          <w:i/>
          <w:iCs/>
        </w:rPr>
        <w:t>Hepatology</w:t>
      </w:r>
      <w:r w:rsidRPr="001A1C75">
        <w:rPr>
          <w:rFonts w:ascii="Book Antiqua" w:hAnsi="Book Antiqua"/>
        </w:rPr>
        <w:t xml:space="preserve"> 2005; </w:t>
      </w:r>
      <w:r w:rsidRPr="001A1C75">
        <w:rPr>
          <w:rFonts w:ascii="Book Antiqua" w:hAnsi="Book Antiqua"/>
          <w:b/>
          <w:bCs/>
        </w:rPr>
        <w:t>41</w:t>
      </w:r>
      <w:r w:rsidRPr="001A1C75">
        <w:rPr>
          <w:rFonts w:ascii="Book Antiqua" w:hAnsi="Book Antiqua"/>
        </w:rPr>
        <w:t>: 1313-1321 [PMID: 15915461 DOI: 10.1002/hep.20701]</w:t>
      </w:r>
    </w:p>
    <w:p w14:paraId="3CAE883E"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13 </w:t>
      </w:r>
      <w:r w:rsidRPr="001A1C75">
        <w:rPr>
          <w:rFonts w:ascii="Book Antiqua" w:hAnsi="Book Antiqua"/>
          <w:b/>
          <w:bCs/>
        </w:rPr>
        <w:t>Kim KH</w:t>
      </w:r>
      <w:r w:rsidRPr="001A1C75">
        <w:rPr>
          <w:rFonts w:ascii="Book Antiqua" w:hAnsi="Book Antiqua"/>
        </w:rPr>
        <w:t xml:space="preserve">, Shin HJ, Kim K, Choi HM, Rhee SH, Moon HB, Kim HH, Yang US, Yu DY, Cheong J. Hepatitis B virus X protein induces hepatic steatosis via transcriptional activation of SREBP1 and PPARgamma. </w:t>
      </w:r>
      <w:r w:rsidRPr="001A1C75">
        <w:rPr>
          <w:rFonts w:ascii="Book Antiqua" w:hAnsi="Book Antiqua"/>
          <w:i/>
          <w:iCs/>
        </w:rPr>
        <w:t>Gastroenterology</w:t>
      </w:r>
      <w:r w:rsidRPr="001A1C75">
        <w:rPr>
          <w:rFonts w:ascii="Book Antiqua" w:hAnsi="Book Antiqua"/>
        </w:rPr>
        <w:t xml:space="preserve"> 2007; </w:t>
      </w:r>
      <w:r w:rsidRPr="001A1C75">
        <w:rPr>
          <w:rFonts w:ascii="Book Antiqua" w:hAnsi="Book Antiqua"/>
          <w:b/>
          <w:bCs/>
        </w:rPr>
        <w:t>132</w:t>
      </w:r>
      <w:r w:rsidRPr="001A1C75">
        <w:rPr>
          <w:rFonts w:ascii="Book Antiqua" w:hAnsi="Book Antiqua"/>
        </w:rPr>
        <w:t>: 1955-1967 [PMID: 17484888 DOI: 10.1053/j.gastro.2007.03.039]</w:t>
      </w:r>
    </w:p>
    <w:p w14:paraId="0EAD7523"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14 </w:t>
      </w:r>
      <w:r w:rsidRPr="001A1C75">
        <w:rPr>
          <w:rFonts w:ascii="Book Antiqua" w:hAnsi="Book Antiqua"/>
          <w:b/>
          <w:bCs/>
        </w:rPr>
        <w:t>Wu YL</w:t>
      </w:r>
      <w:r w:rsidRPr="001A1C75">
        <w:rPr>
          <w:rFonts w:ascii="Book Antiqua" w:hAnsi="Book Antiqua"/>
        </w:rPr>
        <w:t xml:space="preserve">, Peng XE, Zhu YB, Yan XL, Chen WN, Lin X. Hepatitis B Virus X Protein Induces Hepatic Steatosis by Enhancing the Expression of Liver Fatty Acid Binding Protein. </w:t>
      </w:r>
      <w:r w:rsidRPr="001A1C75">
        <w:rPr>
          <w:rFonts w:ascii="Book Antiqua" w:hAnsi="Book Antiqua"/>
          <w:i/>
          <w:iCs/>
        </w:rPr>
        <w:t>J Virol</w:t>
      </w:r>
      <w:r w:rsidRPr="001A1C75">
        <w:rPr>
          <w:rFonts w:ascii="Book Antiqua" w:hAnsi="Book Antiqua"/>
        </w:rPr>
        <w:t xml:space="preserve"> 2016; </w:t>
      </w:r>
      <w:r w:rsidRPr="001A1C75">
        <w:rPr>
          <w:rFonts w:ascii="Book Antiqua" w:hAnsi="Book Antiqua"/>
          <w:b/>
          <w:bCs/>
        </w:rPr>
        <w:t>90</w:t>
      </w:r>
      <w:r w:rsidRPr="001A1C75">
        <w:rPr>
          <w:rFonts w:ascii="Book Antiqua" w:hAnsi="Book Antiqua"/>
        </w:rPr>
        <w:t>: 1729-1740 [PMID: 26637457 DOI: 10.1128/JVI.02604-15]</w:t>
      </w:r>
    </w:p>
    <w:p w14:paraId="2F73858D" w14:textId="540BC2C8" w:rsidR="001A1C75" w:rsidRPr="001A1C75" w:rsidRDefault="001A1C75" w:rsidP="001A1C75">
      <w:pPr>
        <w:spacing w:line="360" w:lineRule="auto"/>
        <w:jc w:val="both"/>
        <w:rPr>
          <w:rFonts w:ascii="Book Antiqua" w:hAnsi="Book Antiqua"/>
        </w:rPr>
      </w:pPr>
      <w:r w:rsidRPr="001A1C75">
        <w:rPr>
          <w:rFonts w:ascii="Book Antiqua" w:hAnsi="Book Antiqua"/>
        </w:rPr>
        <w:t xml:space="preserve">15 </w:t>
      </w:r>
      <w:r w:rsidRPr="001A1C75">
        <w:rPr>
          <w:rFonts w:ascii="Book Antiqua" w:hAnsi="Book Antiqua"/>
          <w:b/>
          <w:bCs/>
        </w:rPr>
        <w:t>Huang J</w:t>
      </w:r>
      <w:r w:rsidRPr="001A1C75">
        <w:rPr>
          <w:rFonts w:ascii="Book Antiqua" w:hAnsi="Book Antiqua"/>
        </w:rPr>
        <w:t xml:space="preserve">, Jing M, Wang C, Wang M, You S, Lin S, Zhu Y. The impact of hepatitis B virus infection status on the prevalence of nonalcoholic fatty liver disease: A population-based study. </w:t>
      </w:r>
      <w:r w:rsidRPr="001A1C75">
        <w:rPr>
          <w:rFonts w:ascii="Book Antiqua" w:hAnsi="Book Antiqua"/>
          <w:i/>
          <w:iCs/>
        </w:rPr>
        <w:t>J Med Virol</w:t>
      </w:r>
      <w:r w:rsidRPr="001A1C75">
        <w:rPr>
          <w:rFonts w:ascii="Book Antiqua" w:hAnsi="Book Antiqua"/>
        </w:rPr>
        <w:t xml:space="preserve"> 2020; </w:t>
      </w:r>
      <w:r w:rsidRPr="001A1C75">
        <w:rPr>
          <w:rFonts w:ascii="Book Antiqua" w:hAnsi="Book Antiqua"/>
          <w:b/>
          <w:bCs/>
        </w:rPr>
        <w:t>92</w:t>
      </w:r>
      <w:r w:rsidRPr="001A1C75">
        <w:rPr>
          <w:rFonts w:ascii="Book Antiqua" w:hAnsi="Book Antiqua"/>
        </w:rPr>
        <w:t>: 1191-1197 [PMID: 31691993 DOI: 10.1002/jmv.25621]</w:t>
      </w:r>
    </w:p>
    <w:p w14:paraId="7DD730C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16 </w:t>
      </w:r>
      <w:r w:rsidRPr="001A1C75">
        <w:rPr>
          <w:rFonts w:ascii="Book Antiqua" w:hAnsi="Book Antiqua"/>
          <w:b/>
          <w:bCs/>
        </w:rPr>
        <w:t>Joo EJ</w:t>
      </w:r>
      <w:r w:rsidRPr="001A1C75">
        <w:rPr>
          <w:rFonts w:ascii="Book Antiqua" w:hAnsi="Book Antiqua"/>
        </w:rPr>
        <w:t xml:space="preserve">, Chang Y, Yeom JS, Ryu S. Hepatitis B virus infection and decreased risk of nonalcoholic fatty liver disease: A cohort study. </w:t>
      </w:r>
      <w:r w:rsidRPr="001A1C75">
        <w:rPr>
          <w:rFonts w:ascii="Book Antiqua" w:hAnsi="Book Antiqua"/>
          <w:i/>
          <w:iCs/>
        </w:rPr>
        <w:t>Hepatology</w:t>
      </w:r>
      <w:r w:rsidRPr="001A1C75">
        <w:rPr>
          <w:rFonts w:ascii="Book Antiqua" w:hAnsi="Book Antiqua"/>
        </w:rPr>
        <w:t xml:space="preserve"> 2017; </w:t>
      </w:r>
      <w:r w:rsidRPr="001A1C75">
        <w:rPr>
          <w:rFonts w:ascii="Book Antiqua" w:hAnsi="Book Antiqua"/>
          <w:b/>
          <w:bCs/>
        </w:rPr>
        <w:t>65</w:t>
      </w:r>
      <w:r w:rsidRPr="001A1C75">
        <w:rPr>
          <w:rFonts w:ascii="Book Antiqua" w:hAnsi="Book Antiqua"/>
        </w:rPr>
        <w:t>: 828-835 [PMID: 28035771 DOI: 10.1002/hep.28917]</w:t>
      </w:r>
    </w:p>
    <w:p w14:paraId="4377828F" w14:textId="40F8C29F" w:rsidR="001A1C75" w:rsidRPr="001A1C75" w:rsidRDefault="001A1C75" w:rsidP="001A1C75">
      <w:pPr>
        <w:spacing w:line="360" w:lineRule="auto"/>
        <w:jc w:val="both"/>
        <w:rPr>
          <w:rFonts w:ascii="Book Antiqua" w:hAnsi="Book Antiqua"/>
        </w:rPr>
      </w:pPr>
      <w:r w:rsidRPr="001A1C75">
        <w:rPr>
          <w:rFonts w:ascii="Book Antiqua" w:hAnsi="Book Antiqua"/>
        </w:rPr>
        <w:t xml:space="preserve">17 </w:t>
      </w:r>
      <w:r w:rsidRPr="001A1C75">
        <w:rPr>
          <w:rFonts w:ascii="Book Antiqua" w:hAnsi="Book Antiqua"/>
          <w:b/>
          <w:bCs/>
        </w:rPr>
        <w:t>Zhu L</w:t>
      </w:r>
      <w:r w:rsidRPr="001A1C75">
        <w:rPr>
          <w:rFonts w:ascii="Book Antiqua" w:hAnsi="Book Antiqua"/>
        </w:rPr>
        <w:t xml:space="preserve">, Jiang J, Zhai X, Baecker A, Peng H, Qian J, Zhou M, Song C, Zhou Y, Xu J, Liu H, Hang D, Hu Z, Shen H, Zhang ZF, Zhu F. Hepatitis B virus infection and risk of non-alcoholic fatty liver disease: A population-based cohort study. </w:t>
      </w:r>
      <w:r w:rsidRPr="001A1C75">
        <w:rPr>
          <w:rFonts w:ascii="Book Antiqua" w:hAnsi="Book Antiqua"/>
          <w:i/>
          <w:iCs/>
        </w:rPr>
        <w:t>Liver Int</w:t>
      </w:r>
      <w:r w:rsidRPr="001A1C75">
        <w:rPr>
          <w:rFonts w:ascii="Book Antiqua" w:hAnsi="Book Antiqua"/>
        </w:rPr>
        <w:t xml:space="preserve"> 2019; </w:t>
      </w:r>
      <w:r w:rsidRPr="001A1C75">
        <w:rPr>
          <w:rFonts w:ascii="Book Antiqua" w:hAnsi="Book Antiqua"/>
          <w:b/>
          <w:bCs/>
        </w:rPr>
        <w:t>39</w:t>
      </w:r>
      <w:r w:rsidRPr="001A1C75">
        <w:rPr>
          <w:rFonts w:ascii="Book Antiqua" w:hAnsi="Book Antiqua"/>
        </w:rPr>
        <w:t>: 70-80 [PMID: 30025200 DOI: 10.1111/</w:t>
      </w:r>
      <w:r w:rsidR="00C565ED">
        <w:rPr>
          <w:rFonts w:ascii="Book Antiqua" w:hAnsi="Book Antiqua"/>
        </w:rPr>
        <w:t>l</w:t>
      </w:r>
      <w:r w:rsidRPr="001A1C75">
        <w:rPr>
          <w:rFonts w:ascii="Book Antiqua" w:hAnsi="Book Antiqua"/>
        </w:rPr>
        <w:t>iv.13933]</w:t>
      </w:r>
    </w:p>
    <w:p w14:paraId="5AD88562"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18 </w:t>
      </w:r>
      <w:r w:rsidRPr="001A1C75">
        <w:rPr>
          <w:rFonts w:ascii="Book Antiqua" w:hAnsi="Book Antiqua"/>
          <w:b/>
          <w:bCs/>
        </w:rPr>
        <w:t>Cao J</w:t>
      </w:r>
      <w:r w:rsidRPr="001A1C75">
        <w:rPr>
          <w:rFonts w:ascii="Book Antiqua" w:hAnsi="Book Antiqua"/>
        </w:rPr>
        <w:t xml:space="preserve">, Gong J, Tsia Hin Fong CJ, Xiao C, Lin G, Li X, Jie Y, Chong Y. Prediction Model of HBsAg Seroclearance in Patients with Chronic HBV Infection. </w:t>
      </w:r>
      <w:r w:rsidRPr="001A1C75">
        <w:rPr>
          <w:rFonts w:ascii="Book Antiqua" w:hAnsi="Book Antiqua"/>
          <w:i/>
          <w:iCs/>
        </w:rPr>
        <w:t>Biomed Res Int</w:t>
      </w:r>
      <w:r w:rsidRPr="001A1C75">
        <w:rPr>
          <w:rFonts w:ascii="Book Antiqua" w:hAnsi="Book Antiqua"/>
        </w:rPr>
        <w:t xml:space="preserve"> 2020; </w:t>
      </w:r>
      <w:r w:rsidRPr="001A1C75">
        <w:rPr>
          <w:rFonts w:ascii="Book Antiqua" w:hAnsi="Book Antiqua"/>
          <w:b/>
          <w:bCs/>
        </w:rPr>
        <w:t>2020</w:t>
      </w:r>
      <w:r w:rsidRPr="001A1C75">
        <w:rPr>
          <w:rFonts w:ascii="Book Antiqua" w:hAnsi="Book Antiqua"/>
        </w:rPr>
        <w:t>: 6820179 [PMID: 32855968 DOI: 10.1155/2020/6820179]</w:t>
      </w:r>
    </w:p>
    <w:p w14:paraId="3F81EDD9" w14:textId="53867B68" w:rsidR="001A1C75" w:rsidRPr="001A1C75" w:rsidRDefault="001A1C75" w:rsidP="001A1C75">
      <w:pPr>
        <w:spacing w:line="360" w:lineRule="auto"/>
        <w:jc w:val="both"/>
        <w:rPr>
          <w:rFonts w:ascii="Book Antiqua" w:hAnsi="Book Antiqua"/>
        </w:rPr>
      </w:pPr>
      <w:r w:rsidRPr="001A1C75">
        <w:rPr>
          <w:rFonts w:ascii="Book Antiqua" w:hAnsi="Book Antiqua"/>
        </w:rPr>
        <w:t xml:space="preserve">19 </w:t>
      </w:r>
      <w:r w:rsidRPr="001A1C75">
        <w:rPr>
          <w:rFonts w:ascii="Book Antiqua" w:hAnsi="Book Antiqua"/>
          <w:b/>
          <w:bCs/>
        </w:rPr>
        <w:t>Worland T</w:t>
      </w:r>
      <w:r w:rsidRPr="001A1C75">
        <w:rPr>
          <w:rFonts w:ascii="Book Antiqua" w:hAnsi="Book Antiqua"/>
        </w:rPr>
        <w:t xml:space="preserve">, Apostolov R, Asadi K, Leung C. Hepatitis B virus activity is not associated with degree of liver steatosis in patients with hepatitis B-related chronic liver disease.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1500-1502 [PMID: 31883410 DOI: 10.1111/</w:t>
      </w:r>
      <w:r w:rsidR="00C565ED">
        <w:rPr>
          <w:rFonts w:ascii="Book Antiqua" w:hAnsi="Book Antiqua"/>
        </w:rPr>
        <w:t>l</w:t>
      </w:r>
      <w:r w:rsidRPr="001A1C75">
        <w:rPr>
          <w:rFonts w:ascii="Book Antiqua" w:hAnsi="Book Antiqua"/>
        </w:rPr>
        <w:t>iv.14344]</w:t>
      </w:r>
    </w:p>
    <w:p w14:paraId="768E713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20 </w:t>
      </w:r>
      <w:r w:rsidRPr="001A1C75">
        <w:rPr>
          <w:rFonts w:ascii="Book Antiqua" w:hAnsi="Book Antiqua"/>
          <w:b/>
          <w:bCs/>
        </w:rPr>
        <w:t>Su HJ</w:t>
      </w:r>
      <w:r w:rsidRPr="001A1C75">
        <w:rPr>
          <w:rFonts w:ascii="Book Antiqua" w:hAnsi="Book Antiqua"/>
        </w:rPr>
        <w:t xml:space="preserve">, Kao JH, Tseng TC, Yang HC, Su TH, Chen PJ, Liu CJ. Pathologic findings of patients with nonalcoholic fatty liver disease and the impact of concurrent hepatitis B virus infection in Taiwan. </w:t>
      </w:r>
      <w:r w:rsidRPr="001A1C75">
        <w:rPr>
          <w:rFonts w:ascii="Book Antiqua" w:hAnsi="Book Antiqua"/>
          <w:i/>
          <w:iCs/>
        </w:rPr>
        <w:t>J Formos Med Assoc</w:t>
      </w:r>
      <w:r w:rsidRPr="001A1C75">
        <w:rPr>
          <w:rFonts w:ascii="Book Antiqua" w:hAnsi="Book Antiqua"/>
        </w:rPr>
        <w:t xml:space="preserve"> 2020; </w:t>
      </w:r>
      <w:r w:rsidRPr="001A1C75">
        <w:rPr>
          <w:rFonts w:ascii="Book Antiqua" w:hAnsi="Book Antiqua"/>
          <w:b/>
          <w:bCs/>
        </w:rPr>
        <w:t>119</w:t>
      </w:r>
      <w:r w:rsidRPr="001A1C75">
        <w:rPr>
          <w:rFonts w:ascii="Book Antiqua" w:hAnsi="Book Antiqua"/>
        </w:rPr>
        <w:t>: 1476-1482 [PMID: 32499209 DOI: 10.1016/j.jfma.2020.05.027]</w:t>
      </w:r>
    </w:p>
    <w:p w14:paraId="519A9E47" w14:textId="77777777" w:rsidR="001A1C75" w:rsidRPr="001A1C75" w:rsidRDefault="001A1C75" w:rsidP="001A1C75">
      <w:pPr>
        <w:spacing w:line="360" w:lineRule="auto"/>
        <w:jc w:val="both"/>
        <w:rPr>
          <w:rFonts w:ascii="Book Antiqua" w:hAnsi="Book Antiqua"/>
        </w:rPr>
      </w:pPr>
      <w:r w:rsidRPr="001A1C75">
        <w:rPr>
          <w:rFonts w:ascii="Book Antiqua" w:hAnsi="Book Antiqua"/>
        </w:rPr>
        <w:lastRenderedPageBreak/>
        <w:t xml:space="preserve">21 </w:t>
      </w:r>
      <w:r w:rsidRPr="001A1C75">
        <w:rPr>
          <w:rFonts w:ascii="Book Antiqua" w:hAnsi="Book Antiqua"/>
          <w:b/>
          <w:bCs/>
        </w:rPr>
        <w:t>Younossi Z</w:t>
      </w:r>
      <w:r w:rsidRPr="001A1C75">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1A1C75">
        <w:rPr>
          <w:rFonts w:ascii="Book Antiqua" w:hAnsi="Book Antiqua"/>
          <w:i/>
          <w:iCs/>
        </w:rPr>
        <w:t>Hepatology</w:t>
      </w:r>
      <w:r w:rsidRPr="001A1C75">
        <w:rPr>
          <w:rFonts w:ascii="Book Antiqua" w:hAnsi="Book Antiqua"/>
        </w:rPr>
        <w:t xml:space="preserve"> 2019; </w:t>
      </w:r>
      <w:r w:rsidRPr="001A1C75">
        <w:rPr>
          <w:rFonts w:ascii="Book Antiqua" w:hAnsi="Book Antiqua"/>
          <w:b/>
          <w:bCs/>
        </w:rPr>
        <w:t>69</w:t>
      </w:r>
      <w:r w:rsidRPr="001A1C75">
        <w:rPr>
          <w:rFonts w:ascii="Book Antiqua" w:hAnsi="Book Antiqua"/>
        </w:rPr>
        <w:t>: 2672-2682 [PMID: 30179269 DOI: 10.1002/hep.30251]</w:t>
      </w:r>
    </w:p>
    <w:p w14:paraId="63B88F6C" w14:textId="77777777" w:rsidR="00A77B3E" w:rsidRPr="001A1C75" w:rsidRDefault="00A77B3E" w:rsidP="001A1C75">
      <w:pPr>
        <w:spacing w:line="360" w:lineRule="auto"/>
        <w:jc w:val="both"/>
        <w:rPr>
          <w:rFonts w:ascii="Book Antiqua" w:hAnsi="Book Antiqua"/>
          <w:color w:val="000000" w:themeColor="text1"/>
        </w:rPr>
        <w:sectPr w:rsidR="00A77B3E" w:rsidRPr="001A1C75">
          <w:pgSz w:w="12240" w:h="15840"/>
          <w:pgMar w:top="1440" w:right="1440" w:bottom="1440" w:left="1440" w:header="720" w:footer="720" w:gutter="0"/>
          <w:cols w:space="720"/>
          <w:docGrid w:linePitch="360"/>
        </w:sectPr>
      </w:pPr>
    </w:p>
    <w:p w14:paraId="3A63003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lastRenderedPageBreak/>
        <w:t>Footnotes</w:t>
      </w:r>
    </w:p>
    <w:p w14:paraId="030B4F7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Institutional review board statement: </w:t>
      </w:r>
      <w:r w:rsidRPr="001A1C75">
        <w:rPr>
          <w:rFonts w:ascii="Book Antiqua" w:eastAsia="Book Antiqua" w:hAnsi="Book Antiqua" w:cs="Book Antiqua"/>
          <w:color w:val="000000" w:themeColor="text1"/>
        </w:rPr>
        <w:t>This study was reviewed and approved by the Ethics Committee of the First Affiliated Hospital of Fujian Medical University in accordance with the Declaration of Helsinki.</w:t>
      </w:r>
    </w:p>
    <w:p w14:paraId="63F43EC7" w14:textId="77777777" w:rsidR="00A77B3E" w:rsidRPr="001A1C75" w:rsidRDefault="00A77B3E" w:rsidP="001A1C75">
      <w:pPr>
        <w:spacing w:line="360" w:lineRule="auto"/>
        <w:jc w:val="both"/>
        <w:rPr>
          <w:rFonts w:ascii="Book Antiqua" w:hAnsi="Book Antiqua"/>
          <w:color w:val="000000" w:themeColor="text1"/>
        </w:rPr>
      </w:pPr>
    </w:p>
    <w:p w14:paraId="2C193B2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Conflict-of-interest statement: </w:t>
      </w:r>
      <w:r w:rsidRPr="001A1C75">
        <w:rPr>
          <w:rFonts w:ascii="Book Antiqua" w:eastAsia="Book Antiqua" w:hAnsi="Book Antiqua" w:cs="Book Antiqua"/>
          <w:color w:val="000000" w:themeColor="text1"/>
        </w:rPr>
        <w:t>The authors have no conflict of interest to declare.</w:t>
      </w:r>
    </w:p>
    <w:p w14:paraId="16125B08" w14:textId="77777777" w:rsidR="00A77B3E" w:rsidRPr="001A1C75" w:rsidRDefault="00A77B3E" w:rsidP="001A1C75">
      <w:pPr>
        <w:spacing w:line="360" w:lineRule="auto"/>
        <w:jc w:val="both"/>
        <w:rPr>
          <w:rFonts w:ascii="Book Antiqua" w:hAnsi="Book Antiqua"/>
          <w:color w:val="000000" w:themeColor="text1"/>
        </w:rPr>
      </w:pPr>
    </w:p>
    <w:p w14:paraId="593B0CF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Open-Access: </w:t>
      </w:r>
      <w:r w:rsidRPr="001A1C7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DF989" w14:textId="77777777" w:rsidR="00A77B3E" w:rsidRPr="001A1C75" w:rsidRDefault="00A77B3E" w:rsidP="001A1C75">
      <w:pPr>
        <w:spacing w:line="360" w:lineRule="auto"/>
        <w:jc w:val="both"/>
        <w:rPr>
          <w:rFonts w:ascii="Book Antiqua" w:hAnsi="Book Antiqua"/>
          <w:color w:val="000000" w:themeColor="text1"/>
        </w:rPr>
      </w:pPr>
    </w:p>
    <w:p w14:paraId="1B0ADC61" w14:textId="54B5789B"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source: </w:t>
      </w:r>
      <w:r w:rsidRPr="001A1C75">
        <w:rPr>
          <w:rFonts w:ascii="Book Antiqua" w:eastAsia="Book Antiqua" w:hAnsi="Book Antiqua" w:cs="Book Antiqua"/>
          <w:color w:val="000000" w:themeColor="text1"/>
        </w:rPr>
        <w:t xml:space="preserve">Unsolicited </w:t>
      </w:r>
      <w:r w:rsidR="00D61DE3" w:rsidRPr="001A1C75">
        <w:rPr>
          <w:rFonts w:ascii="Book Antiqua" w:eastAsia="Book Antiqua" w:hAnsi="Book Antiqua" w:cs="Book Antiqua"/>
          <w:color w:val="000000" w:themeColor="text1"/>
        </w:rPr>
        <w:t>m</w:t>
      </w:r>
      <w:r w:rsidRPr="001A1C75">
        <w:rPr>
          <w:rFonts w:ascii="Book Antiqua" w:eastAsia="Book Antiqua" w:hAnsi="Book Antiqua" w:cs="Book Antiqua"/>
          <w:color w:val="000000" w:themeColor="text1"/>
        </w:rPr>
        <w:t>anuscript</w:t>
      </w:r>
    </w:p>
    <w:p w14:paraId="0AB54664" w14:textId="77777777" w:rsidR="00A77B3E" w:rsidRPr="001A1C75" w:rsidRDefault="00A77B3E" w:rsidP="001A1C75">
      <w:pPr>
        <w:spacing w:line="360" w:lineRule="auto"/>
        <w:jc w:val="both"/>
        <w:rPr>
          <w:rFonts w:ascii="Book Antiqua" w:hAnsi="Book Antiqua"/>
          <w:color w:val="000000" w:themeColor="text1"/>
        </w:rPr>
      </w:pPr>
    </w:p>
    <w:p w14:paraId="675A12F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Peer-review started: </w:t>
      </w:r>
      <w:r w:rsidRPr="001A1C75">
        <w:rPr>
          <w:rFonts w:ascii="Book Antiqua" w:eastAsia="Book Antiqua" w:hAnsi="Book Antiqua" w:cs="Book Antiqua"/>
          <w:color w:val="000000" w:themeColor="text1"/>
        </w:rPr>
        <w:t>October 9, 2020</w:t>
      </w:r>
    </w:p>
    <w:p w14:paraId="05956C4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First decision: </w:t>
      </w:r>
      <w:r w:rsidRPr="001A1C75">
        <w:rPr>
          <w:rFonts w:ascii="Book Antiqua" w:eastAsia="Book Antiqua" w:hAnsi="Book Antiqua" w:cs="Book Antiqua"/>
          <w:color w:val="000000" w:themeColor="text1"/>
        </w:rPr>
        <w:t>December 3, 2020</w:t>
      </w:r>
    </w:p>
    <w:p w14:paraId="50670F7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Article in press: </w:t>
      </w:r>
    </w:p>
    <w:p w14:paraId="1CC9533A" w14:textId="77777777" w:rsidR="00A77B3E" w:rsidRPr="001A1C75" w:rsidRDefault="00A77B3E" w:rsidP="001A1C75">
      <w:pPr>
        <w:spacing w:line="360" w:lineRule="auto"/>
        <w:jc w:val="both"/>
        <w:rPr>
          <w:rFonts w:ascii="Book Antiqua" w:hAnsi="Book Antiqua"/>
          <w:color w:val="000000" w:themeColor="text1"/>
        </w:rPr>
      </w:pPr>
    </w:p>
    <w:p w14:paraId="728A895F" w14:textId="62B813C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Specialty type: </w:t>
      </w:r>
      <w:r w:rsidR="00D61DE3" w:rsidRPr="001A1C75">
        <w:rPr>
          <w:rFonts w:ascii="Book Antiqua" w:eastAsia="Microsoft YaHei" w:hAnsi="Book Antiqua" w:cs="SimSun"/>
        </w:rPr>
        <w:t>Gastroenterology and hepatology</w:t>
      </w:r>
    </w:p>
    <w:p w14:paraId="47C4EF4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Country/Territory of origin: </w:t>
      </w:r>
      <w:r w:rsidRPr="001A1C75">
        <w:rPr>
          <w:rFonts w:ascii="Book Antiqua" w:eastAsia="Book Antiqua" w:hAnsi="Book Antiqua" w:cs="Book Antiqua"/>
          <w:color w:val="000000" w:themeColor="text1"/>
        </w:rPr>
        <w:t>China</w:t>
      </w:r>
    </w:p>
    <w:p w14:paraId="691C7B0A"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Peer-review report’s scientific quality classification</w:t>
      </w:r>
    </w:p>
    <w:p w14:paraId="04A91F5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A (Excellent): 0</w:t>
      </w:r>
    </w:p>
    <w:p w14:paraId="6723942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B (Very good): B</w:t>
      </w:r>
    </w:p>
    <w:p w14:paraId="5AF8B18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C (Good): C</w:t>
      </w:r>
    </w:p>
    <w:p w14:paraId="11BF7BC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D (Fair): 0</w:t>
      </w:r>
    </w:p>
    <w:p w14:paraId="79FD8006"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E (Poor): 0</w:t>
      </w:r>
    </w:p>
    <w:p w14:paraId="0D255F7E" w14:textId="77777777" w:rsidR="00A77B3E" w:rsidRPr="001A1C75" w:rsidRDefault="00A77B3E" w:rsidP="001A1C75">
      <w:pPr>
        <w:spacing w:line="360" w:lineRule="auto"/>
        <w:jc w:val="both"/>
        <w:rPr>
          <w:rFonts w:ascii="Book Antiqua" w:hAnsi="Book Antiqua"/>
          <w:color w:val="000000" w:themeColor="text1"/>
        </w:rPr>
      </w:pPr>
    </w:p>
    <w:p w14:paraId="6DCD1B3E" w14:textId="4E4125E5" w:rsidR="00A77B3E" w:rsidRDefault="00DE6BC6" w:rsidP="001A1C75">
      <w:pPr>
        <w:spacing w:line="360" w:lineRule="auto"/>
        <w:jc w:val="both"/>
        <w:rPr>
          <w:rFonts w:ascii="Book Antiqua" w:eastAsia="Book Antiqua" w:hAnsi="Book Antiqua" w:cs="Book Antiqua"/>
          <w:b/>
          <w:color w:val="000000" w:themeColor="text1"/>
        </w:rPr>
      </w:pPr>
      <w:r w:rsidRPr="001A1C75">
        <w:rPr>
          <w:rFonts w:ascii="Book Antiqua" w:eastAsia="Book Antiqua" w:hAnsi="Book Antiqua" w:cs="Book Antiqua"/>
          <w:b/>
          <w:color w:val="000000" w:themeColor="text1"/>
        </w:rPr>
        <w:t xml:space="preserve">P-Reviewer: </w:t>
      </w:r>
      <w:r w:rsidRPr="001A1C75">
        <w:rPr>
          <w:rFonts w:ascii="Book Antiqua" w:eastAsia="Book Antiqua" w:hAnsi="Book Antiqua" w:cs="Book Antiqua"/>
          <w:color w:val="000000" w:themeColor="text1"/>
        </w:rPr>
        <w:t>Exbrayat JM, Fallatah H</w:t>
      </w:r>
      <w:r w:rsidRPr="001A1C75">
        <w:rPr>
          <w:rFonts w:ascii="Book Antiqua" w:eastAsia="Book Antiqua" w:hAnsi="Book Antiqua" w:cs="Book Antiqua"/>
          <w:b/>
          <w:color w:val="000000" w:themeColor="text1"/>
        </w:rPr>
        <w:t xml:space="preserve"> S-Editor: </w:t>
      </w:r>
      <w:r w:rsidRPr="001A1C75">
        <w:rPr>
          <w:rFonts w:ascii="Book Antiqua" w:eastAsia="Book Antiqua" w:hAnsi="Book Antiqua" w:cs="Book Antiqua"/>
          <w:color w:val="000000" w:themeColor="text1"/>
        </w:rPr>
        <w:t>Fan JR</w:t>
      </w:r>
      <w:r w:rsidRPr="001A1C75">
        <w:rPr>
          <w:rFonts w:ascii="Book Antiqua" w:eastAsia="Book Antiqua" w:hAnsi="Book Antiqua" w:cs="Book Antiqua"/>
          <w:b/>
          <w:color w:val="000000" w:themeColor="text1"/>
        </w:rPr>
        <w:t xml:space="preserve"> L-Editor: </w:t>
      </w:r>
      <w:r w:rsidR="000C01DE">
        <w:rPr>
          <w:rFonts w:ascii="Book Antiqua" w:eastAsia="Book Antiqua" w:hAnsi="Book Antiqua" w:cs="Book Antiqua"/>
          <w:bCs/>
          <w:color w:val="000000" w:themeColor="text1"/>
        </w:rPr>
        <w:t xml:space="preserve">Filipodia </w:t>
      </w:r>
      <w:r w:rsidRPr="001A1C75">
        <w:rPr>
          <w:rFonts w:ascii="Book Antiqua" w:eastAsia="Book Antiqua" w:hAnsi="Book Antiqua" w:cs="Book Antiqua"/>
          <w:b/>
          <w:color w:val="000000" w:themeColor="text1"/>
        </w:rPr>
        <w:t xml:space="preserve">P-Editor: </w:t>
      </w:r>
    </w:p>
    <w:p w14:paraId="220C9CA6" w14:textId="77777777" w:rsidR="00E648DE" w:rsidRPr="001A1C75" w:rsidRDefault="00E648DE" w:rsidP="001A1C75">
      <w:pPr>
        <w:spacing w:line="360" w:lineRule="auto"/>
        <w:jc w:val="both"/>
        <w:rPr>
          <w:rFonts w:ascii="Book Antiqua" w:hAnsi="Book Antiqua"/>
          <w:color w:val="000000" w:themeColor="text1"/>
        </w:rPr>
        <w:sectPr w:rsidR="00E648DE" w:rsidRPr="001A1C75">
          <w:pgSz w:w="12240" w:h="15840"/>
          <w:pgMar w:top="1440" w:right="1440" w:bottom="1440" w:left="1440" w:header="720" w:footer="720" w:gutter="0"/>
          <w:cols w:space="720"/>
          <w:docGrid w:linePitch="360"/>
        </w:sectPr>
      </w:pPr>
    </w:p>
    <w:p w14:paraId="709B1BB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lastRenderedPageBreak/>
        <w:t>Figure Legends</w:t>
      </w:r>
    </w:p>
    <w:p w14:paraId="476AAFF8" w14:textId="082C0718" w:rsidR="002D73AA" w:rsidRPr="001A1C75" w:rsidRDefault="002D73AA" w:rsidP="001A1C75">
      <w:pPr>
        <w:spacing w:line="360" w:lineRule="auto"/>
        <w:jc w:val="both"/>
        <w:rPr>
          <w:rFonts w:ascii="Book Antiqua" w:eastAsia="Book Antiqua" w:hAnsi="Book Antiqua" w:cs="Book Antiqua"/>
          <w:b/>
          <w:bCs/>
          <w:color w:val="000000" w:themeColor="text1"/>
        </w:rPr>
      </w:pPr>
      <w:r w:rsidRPr="001A1C75">
        <w:rPr>
          <w:rFonts w:ascii="Book Antiqua" w:hAnsi="Book Antiqua"/>
          <w:noProof/>
          <w:color w:val="000000" w:themeColor="text1"/>
          <w:lang w:eastAsia="zh-CN"/>
        </w:rPr>
        <w:drawing>
          <wp:inline distT="0" distB="0" distL="0" distR="0" wp14:anchorId="1C18D1F4" wp14:editId="415A6B59">
            <wp:extent cx="4597809" cy="32759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5044" cy="3281093"/>
                    </a:xfrm>
                    <a:prstGeom prst="rect">
                      <a:avLst/>
                    </a:prstGeom>
                  </pic:spPr>
                </pic:pic>
              </a:graphicData>
            </a:graphic>
          </wp:inline>
        </w:drawing>
      </w:r>
    </w:p>
    <w:p w14:paraId="098462E7" w14:textId="30E96EBC"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Figure 1 Flow chart of cases selection</w:t>
      </w:r>
      <w:r w:rsidR="00153AAE">
        <w:rPr>
          <w:rFonts w:ascii="Book Antiqua" w:eastAsia="Book Antiqua" w:hAnsi="Book Antiqua" w:cs="Book Antiqua"/>
          <w:b/>
          <w:bCs/>
          <w:color w:val="000000" w:themeColor="text1"/>
        </w:rPr>
        <w:t>.</w:t>
      </w:r>
    </w:p>
    <w:p w14:paraId="57A58142" w14:textId="2BD56692" w:rsidR="002D73AA" w:rsidRPr="001A1C75" w:rsidRDefault="002D73AA" w:rsidP="001A1C75">
      <w:pPr>
        <w:spacing w:line="360" w:lineRule="auto"/>
        <w:jc w:val="both"/>
        <w:rPr>
          <w:rFonts w:ascii="Book Antiqua" w:eastAsia="Book Antiqua" w:hAnsi="Book Antiqua" w:cs="Book Antiqua"/>
          <w:b/>
          <w:bCs/>
          <w:color w:val="000000" w:themeColor="text1"/>
        </w:rPr>
      </w:pPr>
      <w:r w:rsidRPr="001A1C75">
        <w:rPr>
          <w:rFonts w:ascii="Book Antiqua" w:eastAsia="Book Antiqua" w:hAnsi="Book Antiqua" w:cs="Book Antiqua"/>
          <w:b/>
          <w:bCs/>
          <w:color w:val="000000" w:themeColor="text1"/>
        </w:rPr>
        <w:br w:type="page"/>
      </w:r>
      <w:r w:rsidRPr="001A1C75">
        <w:rPr>
          <w:rFonts w:ascii="Book Antiqua" w:hAnsi="Book Antiqua"/>
          <w:noProof/>
          <w:color w:val="000000" w:themeColor="text1"/>
          <w:lang w:eastAsia="zh-CN"/>
        </w:rPr>
        <w:lastRenderedPageBreak/>
        <w:drawing>
          <wp:inline distT="0" distB="0" distL="0" distR="0" wp14:anchorId="34CCBFF6" wp14:editId="5A459214">
            <wp:extent cx="5987332" cy="296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8410" cy="2969160"/>
                    </a:xfrm>
                    <a:prstGeom prst="rect">
                      <a:avLst/>
                    </a:prstGeom>
                  </pic:spPr>
                </pic:pic>
              </a:graphicData>
            </a:graphic>
          </wp:inline>
        </w:drawing>
      </w:r>
    </w:p>
    <w:p w14:paraId="36D2FCC7" w14:textId="432CF0F6" w:rsidR="00A77B3E" w:rsidRPr="001A1C75"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b/>
          <w:bCs/>
          <w:color w:val="000000" w:themeColor="text1"/>
        </w:rPr>
        <w:t>Figure 2 Inflammation, fibrosis</w:t>
      </w:r>
      <w:r w:rsidR="00C642AE">
        <w:rPr>
          <w:rFonts w:ascii="Book Antiqua" w:eastAsia="Book Antiqua" w:hAnsi="Book Antiqua" w:cs="Book Antiqua"/>
          <w:b/>
          <w:bCs/>
          <w:color w:val="000000" w:themeColor="text1"/>
        </w:rPr>
        <w:t>,</w:t>
      </w:r>
      <w:r w:rsidRPr="001A1C75">
        <w:rPr>
          <w:rFonts w:ascii="Book Antiqua" w:eastAsia="Book Antiqua" w:hAnsi="Book Antiqua" w:cs="Book Antiqua"/>
          <w:b/>
          <w:bCs/>
          <w:color w:val="000000" w:themeColor="text1"/>
        </w:rPr>
        <w:t xml:space="preserve"> and steatosis stage in </w:t>
      </w:r>
      <w:r w:rsidR="005E6692" w:rsidRPr="001A1C75">
        <w:rPr>
          <w:rFonts w:ascii="Book Antiqua" w:eastAsia="Book Antiqua" w:hAnsi="Book Antiqua" w:cs="Book Antiqua"/>
          <w:b/>
          <w:bCs/>
          <w:color w:val="000000" w:themeColor="text1"/>
        </w:rPr>
        <w:t>metabolic associated fatty liver disease</w:t>
      </w:r>
      <w:r w:rsidRPr="001A1C75">
        <w:rPr>
          <w:rFonts w:ascii="Book Antiqua" w:eastAsia="Book Antiqua" w:hAnsi="Book Antiqua" w:cs="Book Antiqua"/>
          <w:b/>
          <w:bCs/>
          <w:color w:val="000000" w:themeColor="text1"/>
        </w:rPr>
        <w:t xml:space="preserve"> and </w:t>
      </w:r>
      <w:r w:rsidR="005E6692" w:rsidRPr="001A1C75">
        <w:rPr>
          <w:rFonts w:ascii="Book Antiqua" w:eastAsia="Book Antiqua" w:hAnsi="Book Antiqua" w:cs="Book Antiqua"/>
          <w:b/>
          <w:bCs/>
          <w:color w:val="000000" w:themeColor="text1"/>
        </w:rPr>
        <w:t>hepatitis B virus</w:t>
      </w:r>
      <w:r w:rsidRPr="001A1C75">
        <w:rPr>
          <w:rFonts w:ascii="Book Antiqua" w:eastAsia="Book Antiqua" w:hAnsi="Book Antiqua" w:cs="Book Antiqua"/>
          <w:b/>
          <w:bCs/>
          <w:color w:val="000000" w:themeColor="text1"/>
        </w:rPr>
        <w:t>-</w:t>
      </w:r>
      <w:r w:rsidR="005E6692" w:rsidRPr="001A1C75">
        <w:rPr>
          <w:rFonts w:ascii="Book Antiqua" w:eastAsia="Book Antiqua" w:hAnsi="Book Antiqua" w:cs="Book Antiqua"/>
          <w:b/>
          <w:bCs/>
          <w:color w:val="000000" w:themeColor="text1"/>
        </w:rPr>
        <w:t>metabolic associated fatty liver disease</w:t>
      </w:r>
      <w:r w:rsidRPr="001A1C75">
        <w:rPr>
          <w:rFonts w:ascii="Book Antiqua" w:eastAsia="Book Antiqua" w:hAnsi="Book Antiqua" w:cs="Book Antiqua"/>
          <w:b/>
          <w:bCs/>
          <w:color w:val="000000" w:themeColor="text1"/>
        </w:rPr>
        <w:t xml:space="preserve"> groups.</w:t>
      </w:r>
      <w:r w:rsidR="00914DAC" w:rsidRPr="001A1C75">
        <w:rPr>
          <w:rFonts w:ascii="Book Antiqua" w:eastAsia="Book Antiqua" w:hAnsi="Book Antiqua" w:cs="Book Antiqua"/>
          <w:b/>
          <w:bCs/>
          <w:color w:val="000000" w:themeColor="text1"/>
        </w:rPr>
        <w:t xml:space="preserve"> </w:t>
      </w:r>
      <w:r w:rsidR="009729F0" w:rsidRPr="001A1C75">
        <w:rPr>
          <w:rFonts w:ascii="Book Antiqua" w:eastAsia="Book Antiqua" w:hAnsi="Book Antiqua" w:cs="Book Antiqua"/>
          <w:color w:val="000000" w:themeColor="text1"/>
        </w:rPr>
        <w:t xml:space="preserve">F: Fibrosis; S: Steatosis; </w:t>
      </w:r>
      <w:r w:rsidR="00914DAC" w:rsidRPr="001A1C75">
        <w:rPr>
          <w:rFonts w:ascii="Book Antiqua" w:eastAsia="Book Antiqua" w:hAnsi="Book Antiqua" w:cs="Book Antiqua"/>
          <w:color w:val="000000" w:themeColor="text1"/>
        </w:rPr>
        <w:t xml:space="preserve">G: Inflammation; </w:t>
      </w:r>
      <w:r w:rsidR="009729F0" w:rsidRPr="001A1C75">
        <w:rPr>
          <w:rFonts w:ascii="Book Antiqua" w:eastAsia="Book Antiqua" w:hAnsi="Book Antiqua" w:cs="Book Antiqua"/>
          <w:color w:val="000000" w:themeColor="text1"/>
        </w:rPr>
        <w:t>HBV: Hepatitis B virus</w:t>
      </w:r>
      <w:r w:rsidR="009729F0">
        <w:rPr>
          <w:rFonts w:ascii="Book Antiqua" w:eastAsia="Book Antiqua" w:hAnsi="Book Antiqua" w:cs="Book Antiqua"/>
          <w:color w:val="000000" w:themeColor="text1"/>
        </w:rPr>
        <w:t>;</w:t>
      </w:r>
      <w:r w:rsidR="009729F0" w:rsidRPr="001A1C75">
        <w:rPr>
          <w:rFonts w:ascii="Book Antiqua" w:eastAsia="Book Antiqua" w:hAnsi="Book Antiqua" w:cs="Book Antiqua"/>
          <w:color w:val="000000" w:themeColor="text1"/>
        </w:rPr>
        <w:t xml:space="preserve"> </w:t>
      </w:r>
      <w:r w:rsidR="005E6692" w:rsidRPr="001A1C75">
        <w:rPr>
          <w:rFonts w:ascii="Book Antiqua" w:eastAsia="Book Antiqua" w:hAnsi="Book Antiqua" w:cs="Book Antiqua"/>
          <w:color w:val="000000" w:themeColor="text1"/>
        </w:rPr>
        <w:t>MAFLD: Metabolic associated fatty liver disease.</w:t>
      </w:r>
    </w:p>
    <w:p w14:paraId="577B7855" w14:textId="40C4ED5C" w:rsidR="00BB5A80" w:rsidRPr="001A1C75" w:rsidRDefault="00BB5A80" w:rsidP="001A1C75">
      <w:pPr>
        <w:autoSpaceDE w:val="0"/>
        <w:autoSpaceDN w:val="0"/>
        <w:adjustRightInd w:val="0"/>
        <w:spacing w:line="360" w:lineRule="auto"/>
        <w:jc w:val="both"/>
        <w:rPr>
          <w:rFonts w:ascii="Book Antiqua" w:hAnsi="Book Antiqua"/>
          <w:b/>
          <w:color w:val="000000" w:themeColor="text1"/>
        </w:rPr>
      </w:pPr>
      <w:r w:rsidRPr="001A1C75">
        <w:rPr>
          <w:rFonts w:ascii="Book Antiqua" w:eastAsia="Book Antiqua" w:hAnsi="Book Antiqua" w:cs="Book Antiqua"/>
          <w:color w:val="000000" w:themeColor="text1"/>
        </w:rPr>
        <w:br w:type="page"/>
      </w:r>
      <w:r w:rsidRPr="001A1C75">
        <w:rPr>
          <w:rFonts w:ascii="Book Antiqua" w:hAnsi="Book Antiqua"/>
          <w:b/>
          <w:noProof/>
          <w:color w:val="000000" w:themeColor="text1"/>
        </w:rPr>
        <w:lastRenderedPageBreak/>
        <w:t xml:space="preserve">Table 1 Comparison of baseline characteristics between </w:t>
      </w:r>
      <w:r w:rsidR="00083D19" w:rsidRPr="001A1C75">
        <w:rPr>
          <w:rFonts w:ascii="Book Antiqua" w:eastAsia="Book Antiqua" w:hAnsi="Book Antiqua" w:cs="Book Antiqua"/>
          <w:b/>
          <w:color w:val="000000" w:themeColor="text1"/>
        </w:rPr>
        <w:t>metabolic associated fatty liver disease</w:t>
      </w:r>
      <w:r w:rsidR="00083D19" w:rsidRPr="001A1C75">
        <w:rPr>
          <w:rFonts w:ascii="Book Antiqua" w:hAnsi="Book Antiqua"/>
          <w:b/>
          <w:color w:val="000000" w:themeColor="text1"/>
        </w:rPr>
        <w:t xml:space="preserve"> and </w:t>
      </w:r>
      <w:r w:rsidR="00083D19" w:rsidRPr="001A1C75">
        <w:rPr>
          <w:rFonts w:ascii="Book Antiqua" w:eastAsia="Book Antiqua" w:hAnsi="Book Antiqua" w:cs="Book Antiqua"/>
          <w:b/>
          <w:color w:val="000000" w:themeColor="text1"/>
        </w:rPr>
        <w:t>hepatitis B virus</w:t>
      </w:r>
      <w:r w:rsidR="00083D19" w:rsidRPr="001A1C75">
        <w:rPr>
          <w:rFonts w:ascii="Book Antiqua" w:hAnsi="Book Antiqua"/>
          <w:b/>
          <w:color w:val="000000" w:themeColor="text1"/>
        </w:rPr>
        <w:t>-</w:t>
      </w:r>
      <w:r w:rsidR="00083D19" w:rsidRPr="001A1C75">
        <w:rPr>
          <w:rFonts w:ascii="Book Antiqua" w:eastAsia="Book Antiqua" w:hAnsi="Book Antiqua" w:cs="Book Antiqua"/>
          <w:b/>
          <w:color w:val="000000" w:themeColor="text1"/>
        </w:rPr>
        <w:t>metabolic associated fatty liver disease</w:t>
      </w:r>
      <w:r w:rsidRPr="001A1C75">
        <w:rPr>
          <w:rFonts w:ascii="Book Antiqua" w:hAnsi="Book Antiqua"/>
          <w:b/>
          <w:noProof/>
          <w:color w:val="000000" w:themeColor="text1"/>
        </w:rPr>
        <w:t xml:space="preserve"> groups before and after propensity score matching</w:t>
      </w:r>
      <w:r w:rsidR="00367F97" w:rsidRPr="001A1C75">
        <w:rPr>
          <w:rFonts w:ascii="Book Antiqua" w:hAnsi="Book Antiqua"/>
          <w:b/>
          <w:noProof/>
          <w:color w:val="000000" w:themeColor="text1"/>
          <w:vertAlign w:val="superscript"/>
        </w:rPr>
        <w:t>1</w:t>
      </w:r>
      <w:r w:rsidRPr="001A1C75">
        <w:rPr>
          <w:rFonts w:ascii="Book Antiqua" w:hAnsi="Book Antiqua"/>
          <w:b/>
          <w:noProof/>
          <w:color w:val="000000" w:themeColor="text1"/>
          <w:vertAlign w:val="superscript"/>
        </w:rPr>
        <w:t xml:space="preserve"> </w:t>
      </w:r>
    </w:p>
    <w:tbl>
      <w:tblPr>
        <w:tblW w:w="5038" w:type="pct"/>
        <w:tblBorders>
          <w:top w:val="single" w:sz="4" w:space="0" w:color="auto"/>
          <w:bottom w:val="single" w:sz="4" w:space="0" w:color="auto"/>
        </w:tblBorders>
        <w:tblLook w:val="04A0" w:firstRow="1" w:lastRow="0" w:firstColumn="1" w:lastColumn="0" w:noHBand="0" w:noVBand="1"/>
      </w:tblPr>
      <w:tblGrid>
        <w:gridCol w:w="3208"/>
        <w:gridCol w:w="1788"/>
        <w:gridCol w:w="1788"/>
        <w:gridCol w:w="876"/>
        <w:gridCol w:w="1037"/>
        <w:gridCol w:w="1824"/>
        <w:gridCol w:w="1739"/>
        <w:gridCol w:w="819"/>
        <w:gridCol w:w="985"/>
      </w:tblGrid>
      <w:tr w:rsidR="00367F97" w:rsidRPr="001A1C75" w14:paraId="3C6A82E5" w14:textId="77777777" w:rsidTr="00422063">
        <w:trPr>
          <w:trHeight w:val="57"/>
        </w:trPr>
        <w:tc>
          <w:tcPr>
            <w:tcW w:w="1125" w:type="pct"/>
            <w:vMerge w:val="restart"/>
            <w:tcBorders>
              <w:top w:val="single" w:sz="4" w:space="0" w:color="auto"/>
              <w:bottom w:val="nil"/>
            </w:tcBorders>
            <w:shd w:val="clear" w:color="auto" w:fill="auto"/>
            <w:noWrap/>
            <w:vAlign w:val="center"/>
          </w:tcPr>
          <w:p w14:paraId="36C42BDF"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Characteristics</w:t>
            </w:r>
          </w:p>
        </w:tc>
        <w:tc>
          <w:tcPr>
            <w:tcW w:w="1890" w:type="pct"/>
            <w:gridSpan w:val="4"/>
            <w:tcBorders>
              <w:top w:val="single" w:sz="4" w:space="0" w:color="auto"/>
              <w:bottom w:val="single" w:sz="4" w:space="0" w:color="auto"/>
            </w:tcBorders>
            <w:shd w:val="clear" w:color="auto" w:fill="auto"/>
            <w:noWrap/>
            <w:vAlign w:val="center"/>
          </w:tcPr>
          <w:p w14:paraId="1ED3DF6F"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Before propensity score matching</w:t>
            </w:r>
          </w:p>
        </w:tc>
        <w:tc>
          <w:tcPr>
            <w:tcW w:w="1985" w:type="pct"/>
            <w:gridSpan w:val="4"/>
            <w:tcBorders>
              <w:top w:val="single" w:sz="4" w:space="0" w:color="auto"/>
              <w:bottom w:val="single" w:sz="4" w:space="0" w:color="auto"/>
            </w:tcBorders>
          </w:tcPr>
          <w:p w14:paraId="50D5FD7D"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After propensity score matching</w:t>
            </w:r>
          </w:p>
        </w:tc>
      </w:tr>
      <w:tr w:rsidR="00D26E15" w:rsidRPr="001A1C75" w14:paraId="471BA4C0" w14:textId="77777777" w:rsidTr="00422063">
        <w:trPr>
          <w:trHeight w:val="57"/>
        </w:trPr>
        <w:tc>
          <w:tcPr>
            <w:tcW w:w="1125" w:type="pct"/>
            <w:vMerge/>
            <w:tcBorders>
              <w:top w:val="nil"/>
              <w:bottom w:val="single" w:sz="4" w:space="0" w:color="auto"/>
            </w:tcBorders>
            <w:shd w:val="clear" w:color="auto" w:fill="auto"/>
            <w:noWrap/>
            <w:vAlign w:val="center"/>
            <w:hideMark/>
          </w:tcPr>
          <w:p w14:paraId="5D2C66E7" w14:textId="77777777" w:rsidR="00367F97" w:rsidRPr="001A1C75" w:rsidRDefault="00367F97" w:rsidP="001A1C75">
            <w:pPr>
              <w:spacing w:line="360" w:lineRule="auto"/>
              <w:jc w:val="both"/>
              <w:rPr>
                <w:rFonts w:ascii="Book Antiqua" w:hAnsi="Book Antiqua"/>
                <w:b/>
                <w:bCs/>
                <w:color w:val="000000" w:themeColor="text1"/>
              </w:rPr>
            </w:pPr>
          </w:p>
        </w:tc>
        <w:tc>
          <w:tcPr>
            <w:tcW w:w="624" w:type="pct"/>
            <w:tcBorders>
              <w:top w:val="single" w:sz="4" w:space="0" w:color="auto"/>
              <w:bottom w:val="single" w:sz="4" w:space="0" w:color="auto"/>
            </w:tcBorders>
            <w:shd w:val="clear" w:color="auto" w:fill="auto"/>
            <w:noWrap/>
            <w:vAlign w:val="center"/>
            <w:hideMark/>
          </w:tcPr>
          <w:p w14:paraId="0B749259"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MAFLD</w:t>
            </w:r>
          </w:p>
        </w:tc>
        <w:tc>
          <w:tcPr>
            <w:tcW w:w="635" w:type="pct"/>
            <w:tcBorders>
              <w:top w:val="single" w:sz="4" w:space="0" w:color="auto"/>
              <w:bottom w:val="single" w:sz="4" w:space="0" w:color="auto"/>
            </w:tcBorders>
            <w:shd w:val="clear" w:color="auto" w:fill="auto"/>
            <w:noWrap/>
            <w:vAlign w:val="center"/>
            <w:hideMark/>
          </w:tcPr>
          <w:p w14:paraId="121F1F6D"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HBV-MAFLD</w:t>
            </w:r>
          </w:p>
        </w:tc>
        <w:tc>
          <w:tcPr>
            <w:tcW w:w="319" w:type="pct"/>
            <w:tcBorders>
              <w:top w:val="single" w:sz="4" w:space="0" w:color="auto"/>
              <w:bottom w:val="single" w:sz="4" w:space="0" w:color="auto"/>
            </w:tcBorders>
            <w:shd w:val="clear" w:color="auto" w:fill="auto"/>
            <w:noWrap/>
            <w:vAlign w:val="center"/>
            <w:hideMark/>
          </w:tcPr>
          <w:p w14:paraId="4F0549D3"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i/>
                <w:color w:val="000000" w:themeColor="text1"/>
              </w:rPr>
              <w:t xml:space="preserve">t </w:t>
            </w:r>
            <w:r w:rsidRPr="001A1C75">
              <w:rPr>
                <w:rFonts w:ascii="Book Antiqua" w:hAnsi="Book Antiqua"/>
                <w:b/>
                <w:bCs/>
                <w:color w:val="000000" w:themeColor="text1"/>
              </w:rPr>
              <w:t>or χ</w:t>
            </w:r>
            <w:r w:rsidRPr="001A1C75">
              <w:rPr>
                <w:rFonts w:ascii="Book Antiqua" w:hAnsi="Book Antiqua"/>
                <w:b/>
                <w:bCs/>
                <w:color w:val="000000" w:themeColor="text1"/>
                <w:vertAlign w:val="superscript"/>
              </w:rPr>
              <w:t>2</w:t>
            </w:r>
          </w:p>
        </w:tc>
        <w:tc>
          <w:tcPr>
            <w:tcW w:w="312" w:type="pct"/>
            <w:tcBorders>
              <w:top w:val="single" w:sz="4" w:space="0" w:color="auto"/>
              <w:bottom w:val="single" w:sz="4" w:space="0" w:color="auto"/>
            </w:tcBorders>
            <w:shd w:val="clear" w:color="auto" w:fill="auto"/>
            <w:noWrap/>
            <w:vAlign w:val="center"/>
            <w:hideMark/>
          </w:tcPr>
          <w:p w14:paraId="18EE0A75" w14:textId="1F6FD542"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P</w:t>
            </w:r>
            <w:r w:rsidR="00083D19" w:rsidRPr="001A1C75">
              <w:rPr>
                <w:rFonts w:ascii="Book Antiqua" w:hAnsi="Book Antiqua"/>
                <w:b/>
                <w:bCs/>
                <w:i/>
                <w:color w:val="000000" w:themeColor="text1"/>
              </w:rPr>
              <w:t xml:space="preserve"> </w:t>
            </w:r>
            <w:r w:rsidR="00083D19" w:rsidRPr="001A1C75">
              <w:rPr>
                <w:rFonts w:ascii="Book Antiqua" w:hAnsi="Book Antiqua"/>
                <w:b/>
                <w:bCs/>
                <w:iCs/>
                <w:color w:val="000000" w:themeColor="text1"/>
              </w:rPr>
              <w:t>value</w:t>
            </w:r>
          </w:p>
        </w:tc>
        <w:tc>
          <w:tcPr>
            <w:tcW w:w="675" w:type="pct"/>
            <w:tcBorders>
              <w:top w:val="single" w:sz="4" w:space="0" w:color="auto"/>
              <w:bottom w:val="single" w:sz="4" w:space="0" w:color="auto"/>
            </w:tcBorders>
            <w:vAlign w:val="center"/>
          </w:tcPr>
          <w:p w14:paraId="396E29E4"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MAFLD</w:t>
            </w:r>
          </w:p>
        </w:tc>
        <w:tc>
          <w:tcPr>
            <w:tcW w:w="635" w:type="pct"/>
            <w:tcBorders>
              <w:top w:val="single" w:sz="4" w:space="0" w:color="auto"/>
              <w:bottom w:val="single" w:sz="4" w:space="0" w:color="auto"/>
            </w:tcBorders>
            <w:vAlign w:val="center"/>
          </w:tcPr>
          <w:p w14:paraId="5249D24A"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HBV-MAFLD</w:t>
            </w:r>
          </w:p>
        </w:tc>
        <w:tc>
          <w:tcPr>
            <w:tcW w:w="308" w:type="pct"/>
            <w:tcBorders>
              <w:top w:val="single" w:sz="4" w:space="0" w:color="auto"/>
              <w:bottom w:val="single" w:sz="4" w:space="0" w:color="auto"/>
            </w:tcBorders>
            <w:vAlign w:val="center"/>
          </w:tcPr>
          <w:p w14:paraId="75153F24" w14:textId="77777777"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 xml:space="preserve">t </w:t>
            </w:r>
            <w:r w:rsidRPr="001A1C75">
              <w:rPr>
                <w:rFonts w:ascii="Book Antiqua" w:hAnsi="Book Antiqua"/>
                <w:b/>
                <w:bCs/>
                <w:color w:val="000000" w:themeColor="text1"/>
              </w:rPr>
              <w:t>or χ</w:t>
            </w:r>
            <w:r w:rsidRPr="001A1C75">
              <w:rPr>
                <w:rFonts w:ascii="Book Antiqua" w:hAnsi="Book Antiqua"/>
                <w:b/>
                <w:bCs/>
                <w:color w:val="000000" w:themeColor="text1"/>
                <w:vertAlign w:val="superscript"/>
              </w:rPr>
              <w:t>2</w:t>
            </w:r>
          </w:p>
        </w:tc>
        <w:tc>
          <w:tcPr>
            <w:tcW w:w="367" w:type="pct"/>
            <w:tcBorders>
              <w:top w:val="single" w:sz="4" w:space="0" w:color="auto"/>
              <w:bottom w:val="single" w:sz="4" w:space="0" w:color="auto"/>
            </w:tcBorders>
            <w:vAlign w:val="center"/>
          </w:tcPr>
          <w:p w14:paraId="4B243540" w14:textId="48D298D1"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P</w:t>
            </w:r>
            <w:r w:rsidR="00083D19" w:rsidRPr="001A1C75">
              <w:rPr>
                <w:rFonts w:ascii="Book Antiqua" w:hAnsi="Book Antiqua"/>
                <w:b/>
                <w:bCs/>
                <w:iCs/>
                <w:color w:val="000000" w:themeColor="text1"/>
              </w:rPr>
              <w:t xml:space="preserve"> value</w:t>
            </w:r>
          </w:p>
        </w:tc>
      </w:tr>
      <w:tr w:rsidR="00D26E15" w:rsidRPr="001A1C75" w14:paraId="00958B5C" w14:textId="77777777" w:rsidTr="00422063">
        <w:trPr>
          <w:trHeight w:val="57"/>
        </w:trPr>
        <w:tc>
          <w:tcPr>
            <w:tcW w:w="1125" w:type="pct"/>
            <w:tcBorders>
              <w:top w:val="single" w:sz="4" w:space="0" w:color="auto"/>
            </w:tcBorders>
            <w:shd w:val="clear" w:color="auto" w:fill="auto"/>
            <w:noWrap/>
            <w:vAlign w:val="center"/>
          </w:tcPr>
          <w:p w14:paraId="0A8C450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Number</w:t>
            </w:r>
          </w:p>
        </w:tc>
        <w:tc>
          <w:tcPr>
            <w:tcW w:w="624" w:type="pct"/>
            <w:tcBorders>
              <w:top w:val="single" w:sz="4" w:space="0" w:color="auto"/>
            </w:tcBorders>
            <w:shd w:val="clear" w:color="auto" w:fill="auto"/>
            <w:noWrap/>
            <w:vAlign w:val="center"/>
          </w:tcPr>
          <w:p w14:paraId="4241BB6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635" w:type="pct"/>
            <w:tcBorders>
              <w:top w:val="single" w:sz="4" w:space="0" w:color="auto"/>
            </w:tcBorders>
            <w:shd w:val="clear" w:color="auto" w:fill="auto"/>
            <w:noWrap/>
            <w:vAlign w:val="center"/>
          </w:tcPr>
          <w:p w14:paraId="6EBEE9F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359</w:t>
            </w:r>
          </w:p>
        </w:tc>
        <w:tc>
          <w:tcPr>
            <w:tcW w:w="319" w:type="pct"/>
            <w:tcBorders>
              <w:top w:val="single" w:sz="4" w:space="0" w:color="auto"/>
            </w:tcBorders>
            <w:shd w:val="clear" w:color="auto" w:fill="auto"/>
            <w:noWrap/>
            <w:vAlign w:val="center"/>
          </w:tcPr>
          <w:p w14:paraId="2D2234CC" w14:textId="77777777" w:rsidR="00367F97" w:rsidRPr="001A1C75" w:rsidRDefault="00367F97" w:rsidP="001A1C75">
            <w:pPr>
              <w:spacing w:line="360" w:lineRule="auto"/>
              <w:jc w:val="both"/>
              <w:rPr>
                <w:rFonts w:ascii="Book Antiqua" w:hAnsi="Book Antiqua"/>
                <w:color w:val="000000" w:themeColor="text1"/>
              </w:rPr>
            </w:pPr>
          </w:p>
        </w:tc>
        <w:tc>
          <w:tcPr>
            <w:tcW w:w="312" w:type="pct"/>
            <w:tcBorders>
              <w:top w:val="single" w:sz="4" w:space="0" w:color="auto"/>
            </w:tcBorders>
            <w:shd w:val="clear" w:color="auto" w:fill="auto"/>
            <w:noWrap/>
            <w:vAlign w:val="center"/>
          </w:tcPr>
          <w:p w14:paraId="14503307" w14:textId="77777777" w:rsidR="00367F97" w:rsidRPr="001A1C75" w:rsidRDefault="00367F97" w:rsidP="001A1C75">
            <w:pPr>
              <w:spacing w:line="360" w:lineRule="auto"/>
              <w:jc w:val="both"/>
              <w:rPr>
                <w:rFonts w:ascii="Book Antiqua" w:hAnsi="Book Antiqua"/>
                <w:color w:val="000000" w:themeColor="text1"/>
              </w:rPr>
            </w:pPr>
          </w:p>
        </w:tc>
        <w:tc>
          <w:tcPr>
            <w:tcW w:w="675" w:type="pct"/>
            <w:tcBorders>
              <w:top w:val="single" w:sz="4" w:space="0" w:color="auto"/>
            </w:tcBorders>
            <w:vAlign w:val="center"/>
          </w:tcPr>
          <w:p w14:paraId="330B0FD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635" w:type="pct"/>
            <w:tcBorders>
              <w:top w:val="single" w:sz="4" w:space="0" w:color="auto"/>
            </w:tcBorders>
            <w:vAlign w:val="center"/>
          </w:tcPr>
          <w:p w14:paraId="4A6CB51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308" w:type="pct"/>
            <w:tcBorders>
              <w:top w:val="single" w:sz="4" w:space="0" w:color="auto"/>
            </w:tcBorders>
            <w:vAlign w:val="center"/>
          </w:tcPr>
          <w:p w14:paraId="476B9CA7" w14:textId="77777777" w:rsidR="00367F97" w:rsidRPr="001A1C75" w:rsidRDefault="00367F97" w:rsidP="001A1C75">
            <w:pPr>
              <w:spacing w:line="360" w:lineRule="auto"/>
              <w:jc w:val="both"/>
              <w:rPr>
                <w:rFonts w:ascii="Book Antiqua" w:hAnsi="Book Antiqua"/>
                <w:color w:val="000000" w:themeColor="text1"/>
              </w:rPr>
            </w:pPr>
          </w:p>
        </w:tc>
        <w:tc>
          <w:tcPr>
            <w:tcW w:w="367" w:type="pct"/>
            <w:tcBorders>
              <w:top w:val="single" w:sz="4" w:space="0" w:color="auto"/>
            </w:tcBorders>
            <w:vAlign w:val="center"/>
          </w:tcPr>
          <w:p w14:paraId="06658B16" w14:textId="77777777" w:rsidR="00367F97" w:rsidRPr="001A1C75" w:rsidRDefault="00367F97" w:rsidP="001A1C75">
            <w:pPr>
              <w:spacing w:line="360" w:lineRule="auto"/>
              <w:jc w:val="both"/>
              <w:rPr>
                <w:rFonts w:ascii="Book Antiqua" w:hAnsi="Book Antiqua"/>
                <w:color w:val="000000" w:themeColor="text1"/>
              </w:rPr>
            </w:pPr>
          </w:p>
        </w:tc>
      </w:tr>
      <w:tr w:rsidR="00D26E15" w:rsidRPr="001A1C75" w14:paraId="69A2BE5D" w14:textId="77777777" w:rsidTr="00422063">
        <w:trPr>
          <w:trHeight w:val="57"/>
        </w:trPr>
        <w:tc>
          <w:tcPr>
            <w:tcW w:w="1125" w:type="pct"/>
            <w:shd w:val="clear" w:color="auto" w:fill="auto"/>
            <w:noWrap/>
            <w:vAlign w:val="center"/>
          </w:tcPr>
          <w:p w14:paraId="040FFD07" w14:textId="69205D1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Male, </w:t>
            </w:r>
            <w:r w:rsidRPr="001A1C75">
              <w:rPr>
                <w:rFonts w:ascii="Book Antiqua" w:hAnsi="Book Antiqua"/>
                <w:i/>
                <w:iCs/>
                <w:color w:val="000000" w:themeColor="text1"/>
              </w:rPr>
              <w:t>n</w:t>
            </w:r>
            <w:r w:rsidR="00D26E15" w:rsidRPr="001A1C75">
              <w:rPr>
                <w:rFonts w:ascii="Book Antiqua" w:hAnsi="Book Antiqua"/>
                <w:color w:val="000000" w:themeColor="text1"/>
              </w:rPr>
              <w:t xml:space="preserve"> </w:t>
            </w:r>
            <w:r w:rsidRPr="001A1C75">
              <w:rPr>
                <w:rFonts w:ascii="Book Antiqua" w:hAnsi="Book Antiqua"/>
                <w:color w:val="000000" w:themeColor="text1"/>
              </w:rPr>
              <w:t>(%)</w:t>
            </w:r>
          </w:p>
        </w:tc>
        <w:tc>
          <w:tcPr>
            <w:tcW w:w="624" w:type="pct"/>
            <w:shd w:val="clear" w:color="auto" w:fill="auto"/>
            <w:noWrap/>
            <w:vAlign w:val="center"/>
          </w:tcPr>
          <w:p w14:paraId="746A9649" w14:textId="05D0676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w:t>
            </w:r>
            <w:r w:rsidR="00D26E15" w:rsidRPr="001A1C75">
              <w:rPr>
                <w:rFonts w:ascii="Book Antiqua" w:hAnsi="Book Antiqua"/>
                <w:color w:val="000000" w:themeColor="text1"/>
              </w:rPr>
              <w:t xml:space="preserve"> </w:t>
            </w:r>
            <w:r w:rsidRPr="001A1C75">
              <w:rPr>
                <w:rFonts w:ascii="Book Antiqua" w:hAnsi="Book Antiqua"/>
                <w:color w:val="000000" w:themeColor="text1"/>
              </w:rPr>
              <w:t>(60.3%)</w:t>
            </w:r>
          </w:p>
        </w:tc>
        <w:tc>
          <w:tcPr>
            <w:tcW w:w="635" w:type="pct"/>
            <w:shd w:val="clear" w:color="auto" w:fill="auto"/>
            <w:noWrap/>
            <w:vAlign w:val="center"/>
          </w:tcPr>
          <w:p w14:paraId="38146251" w14:textId="2E24E30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319</w:t>
            </w:r>
            <w:r w:rsidR="00D26E15" w:rsidRPr="001A1C75">
              <w:rPr>
                <w:rFonts w:ascii="Book Antiqua" w:hAnsi="Book Antiqua"/>
                <w:color w:val="000000" w:themeColor="text1"/>
              </w:rPr>
              <w:t xml:space="preserve"> </w:t>
            </w:r>
            <w:r w:rsidRPr="001A1C75">
              <w:rPr>
                <w:rFonts w:ascii="Book Antiqua" w:hAnsi="Book Antiqua"/>
                <w:color w:val="000000" w:themeColor="text1"/>
              </w:rPr>
              <w:t>(88.9%</w:t>
            </w:r>
            <w:r w:rsidR="00B56060">
              <w:rPr>
                <w:rFonts w:ascii="Book Antiqua" w:hAnsi="Book Antiqua"/>
                <w:color w:val="000000" w:themeColor="text1"/>
              </w:rPr>
              <w:t>)</w:t>
            </w:r>
          </w:p>
        </w:tc>
        <w:tc>
          <w:tcPr>
            <w:tcW w:w="319" w:type="pct"/>
            <w:shd w:val="clear" w:color="auto" w:fill="auto"/>
            <w:noWrap/>
            <w:vAlign w:val="center"/>
          </w:tcPr>
          <w:p w14:paraId="010C985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31.652</w:t>
            </w:r>
          </w:p>
        </w:tc>
        <w:tc>
          <w:tcPr>
            <w:tcW w:w="312" w:type="pct"/>
            <w:shd w:val="clear" w:color="auto" w:fill="auto"/>
            <w:noWrap/>
            <w:vAlign w:val="center"/>
          </w:tcPr>
          <w:p w14:paraId="5B3C1B90" w14:textId="548A11E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3CD1BE3B" w14:textId="4FDD75A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w:t>
            </w:r>
            <w:r w:rsidR="00D26E15" w:rsidRPr="001A1C75">
              <w:rPr>
                <w:rFonts w:ascii="Book Antiqua" w:hAnsi="Book Antiqua"/>
                <w:color w:val="000000" w:themeColor="text1"/>
              </w:rPr>
              <w:t xml:space="preserve"> </w:t>
            </w:r>
            <w:r w:rsidRPr="001A1C75">
              <w:rPr>
                <w:rFonts w:ascii="Book Antiqua" w:hAnsi="Book Antiqua"/>
                <w:color w:val="000000" w:themeColor="text1"/>
              </w:rPr>
              <w:t>(60.3%)</w:t>
            </w:r>
          </w:p>
        </w:tc>
        <w:tc>
          <w:tcPr>
            <w:tcW w:w="635" w:type="pct"/>
            <w:vAlign w:val="center"/>
          </w:tcPr>
          <w:p w14:paraId="557BBC97" w14:textId="5825B5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w:t>
            </w:r>
            <w:r w:rsidR="00D26E15" w:rsidRPr="001A1C75">
              <w:rPr>
                <w:rFonts w:ascii="Book Antiqua" w:hAnsi="Book Antiqua"/>
                <w:color w:val="000000" w:themeColor="text1"/>
              </w:rPr>
              <w:t xml:space="preserve"> </w:t>
            </w:r>
            <w:r w:rsidRPr="001A1C75">
              <w:rPr>
                <w:rFonts w:ascii="Book Antiqua" w:hAnsi="Book Antiqua"/>
                <w:color w:val="000000" w:themeColor="text1"/>
              </w:rPr>
              <w:t>(62.1%</w:t>
            </w:r>
            <w:r w:rsidR="00BE006C">
              <w:rPr>
                <w:rFonts w:ascii="Book Antiqua" w:hAnsi="Book Antiqua"/>
                <w:color w:val="000000" w:themeColor="text1"/>
              </w:rPr>
              <w:t>)</w:t>
            </w:r>
          </w:p>
        </w:tc>
        <w:tc>
          <w:tcPr>
            <w:tcW w:w="308" w:type="pct"/>
            <w:vAlign w:val="center"/>
          </w:tcPr>
          <w:p w14:paraId="06FEE0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0.036</w:t>
            </w:r>
          </w:p>
        </w:tc>
        <w:tc>
          <w:tcPr>
            <w:tcW w:w="367" w:type="pct"/>
            <w:vAlign w:val="center"/>
          </w:tcPr>
          <w:p w14:paraId="7B077F1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0.849</w:t>
            </w:r>
          </w:p>
        </w:tc>
      </w:tr>
      <w:tr w:rsidR="00D26E15" w:rsidRPr="001A1C75" w14:paraId="77CB2FD4" w14:textId="77777777" w:rsidTr="00422063">
        <w:trPr>
          <w:trHeight w:val="57"/>
        </w:trPr>
        <w:tc>
          <w:tcPr>
            <w:tcW w:w="1125" w:type="pct"/>
            <w:shd w:val="clear" w:color="auto" w:fill="auto"/>
            <w:noWrap/>
            <w:vAlign w:val="center"/>
            <w:hideMark/>
          </w:tcPr>
          <w:p w14:paraId="236DD41F" w14:textId="2B6C474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Age</w:t>
            </w:r>
            <w:r w:rsidR="00D26E15" w:rsidRPr="001A1C75">
              <w:rPr>
                <w:rFonts w:ascii="Book Antiqua" w:hAnsi="Book Antiqua"/>
                <w:color w:val="000000" w:themeColor="text1"/>
              </w:rPr>
              <w:t xml:space="preserve"> </w:t>
            </w:r>
            <w:r w:rsidR="009729F0">
              <w:rPr>
                <w:rFonts w:ascii="Book Antiqua" w:hAnsi="Book Antiqua"/>
                <w:color w:val="000000" w:themeColor="text1"/>
              </w:rPr>
              <w:t xml:space="preserve">in </w:t>
            </w:r>
            <w:r w:rsidRPr="001A1C75">
              <w:rPr>
                <w:rFonts w:ascii="Book Antiqua" w:hAnsi="Book Antiqua"/>
                <w:color w:val="000000" w:themeColor="text1"/>
              </w:rPr>
              <w:t>yr</w:t>
            </w:r>
          </w:p>
        </w:tc>
        <w:tc>
          <w:tcPr>
            <w:tcW w:w="624" w:type="pct"/>
            <w:shd w:val="clear" w:color="auto" w:fill="auto"/>
            <w:noWrap/>
            <w:vAlign w:val="center"/>
          </w:tcPr>
          <w:p w14:paraId="476F770A" w14:textId="5CCA3AE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41.53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15.41</w:t>
            </w:r>
          </w:p>
        </w:tc>
        <w:tc>
          <w:tcPr>
            <w:tcW w:w="635" w:type="pct"/>
            <w:shd w:val="clear" w:color="auto" w:fill="auto"/>
            <w:noWrap/>
            <w:vAlign w:val="center"/>
          </w:tcPr>
          <w:p w14:paraId="1A3682F1" w14:textId="7AFF21D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40.39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10.08</w:t>
            </w:r>
          </w:p>
        </w:tc>
        <w:tc>
          <w:tcPr>
            <w:tcW w:w="319" w:type="pct"/>
            <w:shd w:val="clear" w:color="auto" w:fill="auto"/>
            <w:noWrap/>
            <w:vAlign w:val="center"/>
            <w:hideMark/>
          </w:tcPr>
          <w:p w14:paraId="384A15E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0.548 </w:t>
            </w:r>
          </w:p>
        </w:tc>
        <w:tc>
          <w:tcPr>
            <w:tcW w:w="312" w:type="pct"/>
            <w:shd w:val="clear" w:color="auto" w:fill="auto"/>
            <w:noWrap/>
            <w:vAlign w:val="center"/>
            <w:hideMark/>
          </w:tcPr>
          <w:p w14:paraId="0D36AA7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0.586 </w:t>
            </w:r>
          </w:p>
        </w:tc>
        <w:tc>
          <w:tcPr>
            <w:tcW w:w="675" w:type="pct"/>
            <w:vAlign w:val="center"/>
          </w:tcPr>
          <w:p w14:paraId="113B5824" w14:textId="36515C6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41.53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15.41</w:t>
            </w:r>
          </w:p>
        </w:tc>
        <w:tc>
          <w:tcPr>
            <w:tcW w:w="635" w:type="pct"/>
            <w:vAlign w:val="center"/>
          </w:tcPr>
          <w:p w14:paraId="2CB11CEB" w14:textId="101FE8C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40.90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11.17</w:t>
            </w:r>
          </w:p>
        </w:tc>
        <w:tc>
          <w:tcPr>
            <w:tcW w:w="308" w:type="pct"/>
            <w:vAlign w:val="center"/>
          </w:tcPr>
          <w:p w14:paraId="21AF33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0.255 </w:t>
            </w:r>
          </w:p>
        </w:tc>
        <w:tc>
          <w:tcPr>
            <w:tcW w:w="367" w:type="pct"/>
            <w:vAlign w:val="center"/>
          </w:tcPr>
          <w:p w14:paraId="5967A25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0.799 </w:t>
            </w:r>
          </w:p>
        </w:tc>
      </w:tr>
      <w:tr w:rsidR="00D26E15" w:rsidRPr="001A1C75" w14:paraId="3B05814A" w14:textId="77777777" w:rsidTr="00422063">
        <w:trPr>
          <w:trHeight w:val="57"/>
        </w:trPr>
        <w:tc>
          <w:tcPr>
            <w:tcW w:w="1125" w:type="pct"/>
            <w:shd w:val="clear" w:color="auto" w:fill="auto"/>
            <w:noWrap/>
            <w:vAlign w:val="center"/>
            <w:hideMark/>
          </w:tcPr>
          <w:p w14:paraId="48F6C483" w14:textId="1747A3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BMI</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00D26E15" w:rsidRPr="001A1C75">
              <w:rPr>
                <w:rFonts w:ascii="Book Antiqua" w:hAnsi="Book Antiqua"/>
                <w:color w:val="000000" w:themeColor="text1"/>
                <w:lang w:eastAsia="zh-CN"/>
              </w:rPr>
              <w:t>kg</w:t>
            </w:r>
            <w:r w:rsidRPr="001A1C75">
              <w:rPr>
                <w:rFonts w:ascii="Book Antiqua" w:hAnsi="Book Antiqua"/>
                <w:color w:val="000000" w:themeColor="text1"/>
              </w:rPr>
              <w:t>/</w:t>
            </w:r>
            <w:r w:rsidR="00D26E15" w:rsidRPr="001A1C75">
              <w:rPr>
                <w:rFonts w:ascii="Book Antiqua" w:hAnsi="Book Antiqua"/>
                <w:color w:val="000000" w:themeColor="text1"/>
                <w:lang w:eastAsia="zh-CN"/>
              </w:rPr>
              <w:t>m</w:t>
            </w:r>
            <w:r w:rsidR="00D26E15" w:rsidRPr="001A1C75">
              <w:rPr>
                <w:rFonts w:ascii="Book Antiqua" w:hAnsi="Book Antiqua"/>
                <w:color w:val="000000" w:themeColor="text1"/>
                <w:vertAlign w:val="superscript"/>
                <w:lang w:eastAsia="zh-CN"/>
              </w:rPr>
              <w:t>2</w:t>
            </w:r>
          </w:p>
        </w:tc>
        <w:tc>
          <w:tcPr>
            <w:tcW w:w="624" w:type="pct"/>
            <w:shd w:val="clear" w:color="auto" w:fill="auto"/>
            <w:noWrap/>
            <w:vAlign w:val="center"/>
          </w:tcPr>
          <w:p w14:paraId="3DDDB007" w14:textId="5055CBA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25.24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3.36</w:t>
            </w:r>
          </w:p>
        </w:tc>
        <w:tc>
          <w:tcPr>
            <w:tcW w:w="635" w:type="pct"/>
            <w:shd w:val="clear" w:color="auto" w:fill="auto"/>
            <w:noWrap/>
            <w:vAlign w:val="center"/>
          </w:tcPr>
          <w:p w14:paraId="7CB6DF98" w14:textId="6EA67AC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25.50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2.51</w:t>
            </w:r>
          </w:p>
        </w:tc>
        <w:tc>
          <w:tcPr>
            <w:tcW w:w="319" w:type="pct"/>
            <w:shd w:val="clear" w:color="auto" w:fill="auto"/>
            <w:noWrap/>
            <w:vAlign w:val="center"/>
          </w:tcPr>
          <w:p w14:paraId="0EACCF5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w:t>
            </w:r>
          </w:p>
        </w:tc>
        <w:tc>
          <w:tcPr>
            <w:tcW w:w="312" w:type="pct"/>
            <w:shd w:val="clear" w:color="auto" w:fill="auto"/>
            <w:noWrap/>
            <w:vAlign w:val="center"/>
          </w:tcPr>
          <w:p w14:paraId="169C1A7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0.484</w:t>
            </w:r>
          </w:p>
        </w:tc>
        <w:tc>
          <w:tcPr>
            <w:tcW w:w="675" w:type="pct"/>
            <w:vAlign w:val="center"/>
          </w:tcPr>
          <w:p w14:paraId="4CA8A6FB" w14:textId="1A32FFF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25.31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3.40</w:t>
            </w:r>
          </w:p>
        </w:tc>
        <w:tc>
          <w:tcPr>
            <w:tcW w:w="635" w:type="pct"/>
            <w:vAlign w:val="center"/>
          </w:tcPr>
          <w:p w14:paraId="7D1ADB7F" w14:textId="0740AD9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24.97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3.00</w:t>
            </w:r>
          </w:p>
        </w:tc>
        <w:tc>
          <w:tcPr>
            <w:tcW w:w="308" w:type="pct"/>
            <w:vAlign w:val="center"/>
          </w:tcPr>
          <w:p w14:paraId="0A63A20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0.563</w:t>
            </w:r>
          </w:p>
        </w:tc>
        <w:tc>
          <w:tcPr>
            <w:tcW w:w="367" w:type="pct"/>
            <w:vAlign w:val="center"/>
          </w:tcPr>
          <w:p w14:paraId="2B4CC3E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0.575</w:t>
            </w:r>
          </w:p>
        </w:tc>
      </w:tr>
      <w:tr w:rsidR="00D26E15" w:rsidRPr="001A1C75" w14:paraId="08388C1F" w14:textId="77777777" w:rsidTr="00422063">
        <w:trPr>
          <w:trHeight w:val="57"/>
        </w:trPr>
        <w:tc>
          <w:tcPr>
            <w:tcW w:w="1125" w:type="pct"/>
            <w:shd w:val="clear" w:color="auto" w:fill="auto"/>
            <w:noWrap/>
            <w:vAlign w:val="center"/>
          </w:tcPr>
          <w:p w14:paraId="5D3DC913" w14:textId="0E727FF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TC</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w:t>
            </w:r>
            <w:r w:rsidR="00D26E15" w:rsidRPr="001A1C75">
              <w:rPr>
                <w:rFonts w:ascii="Book Antiqua" w:hAnsi="Book Antiqua"/>
                <w:color w:val="000000" w:themeColor="text1"/>
              </w:rPr>
              <w:t>L</w:t>
            </w:r>
          </w:p>
        </w:tc>
        <w:tc>
          <w:tcPr>
            <w:tcW w:w="624" w:type="pct"/>
            <w:shd w:val="clear" w:color="auto" w:fill="auto"/>
            <w:noWrap/>
            <w:vAlign w:val="center"/>
          </w:tcPr>
          <w:p w14:paraId="2657CBE6" w14:textId="6E59AC3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4.84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1.03</w:t>
            </w:r>
          </w:p>
        </w:tc>
        <w:tc>
          <w:tcPr>
            <w:tcW w:w="635" w:type="pct"/>
            <w:shd w:val="clear" w:color="auto" w:fill="auto"/>
            <w:noWrap/>
            <w:vAlign w:val="center"/>
          </w:tcPr>
          <w:p w14:paraId="113602E9" w14:textId="41092AC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1.14</w:t>
            </w:r>
          </w:p>
        </w:tc>
        <w:tc>
          <w:tcPr>
            <w:tcW w:w="319" w:type="pct"/>
            <w:shd w:val="clear" w:color="auto" w:fill="auto"/>
            <w:noWrap/>
            <w:vAlign w:val="center"/>
          </w:tcPr>
          <w:p w14:paraId="601A5BA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0.621</w:t>
            </w:r>
          </w:p>
        </w:tc>
        <w:tc>
          <w:tcPr>
            <w:tcW w:w="312" w:type="pct"/>
            <w:shd w:val="clear" w:color="auto" w:fill="auto"/>
            <w:noWrap/>
            <w:vAlign w:val="center"/>
          </w:tcPr>
          <w:p w14:paraId="6E3A88D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0.535</w:t>
            </w:r>
          </w:p>
        </w:tc>
        <w:tc>
          <w:tcPr>
            <w:tcW w:w="675" w:type="pct"/>
            <w:vAlign w:val="center"/>
          </w:tcPr>
          <w:p w14:paraId="7C18E5BB" w14:textId="48337AD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4.84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1.03</w:t>
            </w:r>
          </w:p>
        </w:tc>
        <w:tc>
          <w:tcPr>
            <w:tcW w:w="635" w:type="pct"/>
            <w:vAlign w:val="center"/>
          </w:tcPr>
          <w:p w14:paraId="62324359" w14:textId="70B6CA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1.25</w:t>
            </w:r>
          </w:p>
        </w:tc>
        <w:tc>
          <w:tcPr>
            <w:tcW w:w="308" w:type="pct"/>
            <w:vAlign w:val="center"/>
          </w:tcPr>
          <w:p w14:paraId="3D4E967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0.363</w:t>
            </w:r>
          </w:p>
        </w:tc>
        <w:tc>
          <w:tcPr>
            <w:tcW w:w="367" w:type="pct"/>
            <w:vAlign w:val="center"/>
          </w:tcPr>
          <w:p w14:paraId="0AEEDA4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0.717</w:t>
            </w:r>
          </w:p>
        </w:tc>
      </w:tr>
      <w:tr w:rsidR="00D26E15" w:rsidRPr="001A1C75" w14:paraId="2DC94162" w14:textId="77777777" w:rsidTr="00422063">
        <w:trPr>
          <w:trHeight w:val="57"/>
        </w:trPr>
        <w:tc>
          <w:tcPr>
            <w:tcW w:w="1125" w:type="pct"/>
            <w:shd w:val="clear" w:color="auto" w:fill="auto"/>
            <w:noWrap/>
            <w:vAlign w:val="center"/>
          </w:tcPr>
          <w:p w14:paraId="7C6428D2" w14:textId="6BC6466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TG</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w:t>
            </w:r>
            <w:r w:rsidR="00D26E15" w:rsidRPr="001A1C75">
              <w:rPr>
                <w:rFonts w:ascii="Book Antiqua" w:hAnsi="Book Antiqua"/>
                <w:color w:val="000000" w:themeColor="text1"/>
              </w:rPr>
              <w:t>L</w:t>
            </w:r>
          </w:p>
        </w:tc>
        <w:tc>
          <w:tcPr>
            <w:tcW w:w="624" w:type="pct"/>
            <w:shd w:val="clear" w:color="auto" w:fill="auto"/>
            <w:noWrap/>
            <w:vAlign w:val="center"/>
          </w:tcPr>
          <w:p w14:paraId="297EFCE6" w14:textId="605638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2.32</w:t>
            </w:r>
          </w:p>
        </w:tc>
        <w:tc>
          <w:tcPr>
            <w:tcW w:w="635" w:type="pct"/>
            <w:shd w:val="clear" w:color="auto" w:fill="auto"/>
            <w:noWrap/>
            <w:vAlign w:val="center"/>
          </w:tcPr>
          <w:p w14:paraId="07B8B9BB" w14:textId="7FF6E48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0.97</w:t>
            </w:r>
          </w:p>
        </w:tc>
        <w:tc>
          <w:tcPr>
            <w:tcW w:w="319" w:type="pct"/>
            <w:shd w:val="clear" w:color="auto" w:fill="auto"/>
            <w:noWrap/>
            <w:vAlign w:val="center"/>
          </w:tcPr>
          <w:p w14:paraId="54B9FA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1.72</w:t>
            </w:r>
          </w:p>
        </w:tc>
        <w:tc>
          <w:tcPr>
            <w:tcW w:w="312" w:type="pct"/>
            <w:shd w:val="clear" w:color="auto" w:fill="auto"/>
            <w:noWrap/>
            <w:vAlign w:val="center"/>
          </w:tcPr>
          <w:p w14:paraId="7DDC0E3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0.091</w:t>
            </w:r>
          </w:p>
        </w:tc>
        <w:tc>
          <w:tcPr>
            <w:tcW w:w="675" w:type="pct"/>
            <w:vAlign w:val="center"/>
          </w:tcPr>
          <w:p w14:paraId="53643D83" w14:textId="72BB727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2.32</w:t>
            </w:r>
          </w:p>
        </w:tc>
        <w:tc>
          <w:tcPr>
            <w:tcW w:w="635" w:type="pct"/>
            <w:vAlign w:val="center"/>
          </w:tcPr>
          <w:p w14:paraId="4798B01E" w14:textId="495CA43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1.02</w:t>
            </w:r>
          </w:p>
        </w:tc>
        <w:tc>
          <w:tcPr>
            <w:tcW w:w="308" w:type="pct"/>
            <w:vAlign w:val="center"/>
          </w:tcPr>
          <w:p w14:paraId="47A94D7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1.545</w:t>
            </w:r>
          </w:p>
        </w:tc>
        <w:tc>
          <w:tcPr>
            <w:tcW w:w="367" w:type="pct"/>
            <w:vAlign w:val="center"/>
          </w:tcPr>
          <w:p w14:paraId="450D642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0.125</w:t>
            </w:r>
          </w:p>
        </w:tc>
      </w:tr>
      <w:tr w:rsidR="00D26E15" w:rsidRPr="001A1C75" w14:paraId="2DD1394C" w14:textId="77777777" w:rsidTr="00422063">
        <w:trPr>
          <w:trHeight w:val="57"/>
        </w:trPr>
        <w:tc>
          <w:tcPr>
            <w:tcW w:w="1125" w:type="pct"/>
            <w:shd w:val="clear" w:color="auto" w:fill="auto"/>
            <w:noWrap/>
            <w:vAlign w:val="center"/>
          </w:tcPr>
          <w:p w14:paraId="1CDE0C11" w14:textId="0F9D5E3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960EAC"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0D81BC40" w14:textId="7008F28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w:t>
            </w:r>
          </w:p>
        </w:tc>
        <w:tc>
          <w:tcPr>
            <w:tcW w:w="635" w:type="pct"/>
            <w:shd w:val="clear" w:color="auto" w:fill="auto"/>
            <w:noWrap/>
            <w:vAlign w:val="center"/>
          </w:tcPr>
          <w:p w14:paraId="451F8F15" w14:textId="570B5FC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0.96</w:t>
            </w:r>
          </w:p>
        </w:tc>
        <w:tc>
          <w:tcPr>
            <w:tcW w:w="319" w:type="pct"/>
            <w:shd w:val="clear" w:color="auto" w:fill="auto"/>
            <w:noWrap/>
            <w:vAlign w:val="center"/>
          </w:tcPr>
          <w:p w14:paraId="66C0FC6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-0.213</w:t>
            </w:r>
          </w:p>
        </w:tc>
        <w:tc>
          <w:tcPr>
            <w:tcW w:w="312" w:type="pct"/>
            <w:shd w:val="clear" w:color="auto" w:fill="auto"/>
            <w:noWrap/>
            <w:vAlign w:val="center"/>
          </w:tcPr>
          <w:p w14:paraId="14A1061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0.831</w:t>
            </w:r>
          </w:p>
        </w:tc>
        <w:tc>
          <w:tcPr>
            <w:tcW w:w="675" w:type="pct"/>
            <w:vAlign w:val="center"/>
          </w:tcPr>
          <w:p w14:paraId="44ED62E9" w14:textId="289FF30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w:t>
            </w:r>
          </w:p>
        </w:tc>
        <w:tc>
          <w:tcPr>
            <w:tcW w:w="635" w:type="pct"/>
            <w:vAlign w:val="center"/>
          </w:tcPr>
          <w:p w14:paraId="61F86EBE" w14:textId="50BA4BB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1.10</w:t>
            </w:r>
          </w:p>
        </w:tc>
        <w:tc>
          <w:tcPr>
            <w:tcW w:w="308" w:type="pct"/>
            <w:vAlign w:val="center"/>
          </w:tcPr>
          <w:p w14:paraId="12BD5C1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0.667</w:t>
            </w:r>
          </w:p>
        </w:tc>
        <w:tc>
          <w:tcPr>
            <w:tcW w:w="367" w:type="pct"/>
            <w:vAlign w:val="center"/>
          </w:tcPr>
          <w:p w14:paraId="0583D6B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0.842</w:t>
            </w:r>
          </w:p>
        </w:tc>
      </w:tr>
      <w:tr w:rsidR="00D26E15" w:rsidRPr="001A1C75" w14:paraId="085A40CF" w14:textId="77777777" w:rsidTr="00422063">
        <w:trPr>
          <w:trHeight w:val="57"/>
        </w:trPr>
        <w:tc>
          <w:tcPr>
            <w:tcW w:w="1125" w:type="pct"/>
            <w:shd w:val="clear" w:color="auto" w:fill="auto"/>
            <w:noWrap/>
            <w:vAlign w:val="center"/>
          </w:tcPr>
          <w:p w14:paraId="4E8FD407" w14:textId="3A78E98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VLDL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7EC5EBF4" w14:textId="688E36B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0.51</w:t>
            </w:r>
          </w:p>
        </w:tc>
        <w:tc>
          <w:tcPr>
            <w:tcW w:w="635" w:type="pct"/>
            <w:shd w:val="clear" w:color="auto" w:fill="auto"/>
            <w:noWrap/>
            <w:vAlign w:val="center"/>
          </w:tcPr>
          <w:p w14:paraId="09F9E090" w14:textId="590E50E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319" w:type="pct"/>
            <w:shd w:val="clear" w:color="auto" w:fill="auto"/>
            <w:noWrap/>
            <w:vAlign w:val="center"/>
          </w:tcPr>
          <w:p w14:paraId="52289D9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2.978</w:t>
            </w:r>
          </w:p>
        </w:tc>
        <w:tc>
          <w:tcPr>
            <w:tcW w:w="312" w:type="pct"/>
            <w:shd w:val="clear" w:color="auto" w:fill="auto"/>
            <w:noWrap/>
            <w:vAlign w:val="center"/>
          </w:tcPr>
          <w:p w14:paraId="7B32D3A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0.003</w:t>
            </w:r>
          </w:p>
        </w:tc>
        <w:tc>
          <w:tcPr>
            <w:tcW w:w="675" w:type="pct"/>
            <w:vAlign w:val="center"/>
          </w:tcPr>
          <w:p w14:paraId="3701B70C" w14:textId="6E4B048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0.51</w:t>
            </w:r>
          </w:p>
        </w:tc>
        <w:tc>
          <w:tcPr>
            <w:tcW w:w="635" w:type="pct"/>
            <w:vAlign w:val="center"/>
          </w:tcPr>
          <w:p w14:paraId="57D8064C" w14:textId="5924CF1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0.33</w:t>
            </w:r>
          </w:p>
        </w:tc>
        <w:tc>
          <w:tcPr>
            <w:tcW w:w="308" w:type="pct"/>
            <w:vAlign w:val="center"/>
          </w:tcPr>
          <w:p w14:paraId="157681A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2.484</w:t>
            </w:r>
          </w:p>
        </w:tc>
        <w:tc>
          <w:tcPr>
            <w:tcW w:w="367" w:type="pct"/>
            <w:vAlign w:val="center"/>
          </w:tcPr>
          <w:p w14:paraId="7E57C62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0.014</w:t>
            </w:r>
          </w:p>
        </w:tc>
      </w:tr>
      <w:tr w:rsidR="00D26E15" w:rsidRPr="001A1C75" w14:paraId="6F427D80" w14:textId="77777777" w:rsidTr="00422063">
        <w:trPr>
          <w:trHeight w:val="57"/>
        </w:trPr>
        <w:tc>
          <w:tcPr>
            <w:tcW w:w="1125" w:type="pct"/>
            <w:shd w:val="clear" w:color="auto" w:fill="auto"/>
            <w:noWrap/>
            <w:vAlign w:val="center"/>
          </w:tcPr>
          <w:p w14:paraId="0974E8F2" w14:textId="63A5FEB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HDL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651931AD" w14:textId="2D54FD3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635" w:type="pct"/>
            <w:shd w:val="clear" w:color="auto" w:fill="auto"/>
            <w:noWrap/>
            <w:vAlign w:val="center"/>
          </w:tcPr>
          <w:p w14:paraId="1293A8AB" w14:textId="7D7796A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0.31</w:t>
            </w:r>
          </w:p>
        </w:tc>
        <w:tc>
          <w:tcPr>
            <w:tcW w:w="319" w:type="pct"/>
            <w:shd w:val="clear" w:color="auto" w:fill="auto"/>
            <w:noWrap/>
            <w:vAlign w:val="center"/>
          </w:tcPr>
          <w:p w14:paraId="45BA7466"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0.127</w:t>
            </w:r>
          </w:p>
        </w:tc>
        <w:tc>
          <w:tcPr>
            <w:tcW w:w="312" w:type="pct"/>
            <w:shd w:val="clear" w:color="auto" w:fill="auto"/>
            <w:noWrap/>
            <w:vAlign w:val="center"/>
          </w:tcPr>
          <w:p w14:paraId="1D10437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0.899</w:t>
            </w:r>
          </w:p>
        </w:tc>
        <w:tc>
          <w:tcPr>
            <w:tcW w:w="675" w:type="pct"/>
            <w:vAlign w:val="center"/>
          </w:tcPr>
          <w:p w14:paraId="392740B4" w14:textId="35A02D0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635" w:type="pct"/>
            <w:vAlign w:val="center"/>
          </w:tcPr>
          <w:p w14:paraId="31EA1CBF" w14:textId="0727E31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0.29</w:t>
            </w:r>
          </w:p>
        </w:tc>
        <w:tc>
          <w:tcPr>
            <w:tcW w:w="308" w:type="pct"/>
            <w:vAlign w:val="center"/>
          </w:tcPr>
          <w:p w14:paraId="7D5D9FA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-0.878</w:t>
            </w:r>
          </w:p>
        </w:tc>
        <w:tc>
          <w:tcPr>
            <w:tcW w:w="367" w:type="pct"/>
            <w:vAlign w:val="center"/>
          </w:tcPr>
          <w:p w14:paraId="0BC3BD5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0.382</w:t>
            </w:r>
          </w:p>
        </w:tc>
      </w:tr>
      <w:tr w:rsidR="00D26E15" w:rsidRPr="001A1C75" w14:paraId="165F8D20" w14:textId="77777777" w:rsidTr="00422063">
        <w:trPr>
          <w:trHeight w:val="57"/>
        </w:trPr>
        <w:tc>
          <w:tcPr>
            <w:tcW w:w="1125" w:type="pct"/>
            <w:shd w:val="clear" w:color="auto" w:fill="auto"/>
            <w:noWrap/>
            <w:vAlign w:val="center"/>
          </w:tcPr>
          <w:p w14:paraId="64D596BA" w14:textId="21E1268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APOA</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g/L</w:t>
            </w:r>
          </w:p>
        </w:tc>
        <w:tc>
          <w:tcPr>
            <w:tcW w:w="624" w:type="pct"/>
            <w:shd w:val="clear" w:color="auto" w:fill="auto"/>
            <w:noWrap/>
            <w:vAlign w:val="center"/>
          </w:tcPr>
          <w:p w14:paraId="710447E4" w14:textId="26BBAF6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0.30</w:t>
            </w:r>
          </w:p>
        </w:tc>
        <w:tc>
          <w:tcPr>
            <w:tcW w:w="635" w:type="pct"/>
            <w:shd w:val="clear" w:color="auto" w:fill="auto"/>
            <w:noWrap/>
            <w:vAlign w:val="center"/>
          </w:tcPr>
          <w:p w14:paraId="4C46EC5D" w14:textId="3B6212D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0.22</w:t>
            </w:r>
          </w:p>
        </w:tc>
        <w:tc>
          <w:tcPr>
            <w:tcW w:w="319" w:type="pct"/>
            <w:shd w:val="clear" w:color="auto" w:fill="auto"/>
            <w:noWrap/>
            <w:vAlign w:val="center"/>
          </w:tcPr>
          <w:p w14:paraId="57E6936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0.408</w:t>
            </w:r>
          </w:p>
        </w:tc>
        <w:tc>
          <w:tcPr>
            <w:tcW w:w="312" w:type="pct"/>
            <w:shd w:val="clear" w:color="auto" w:fill="auto"/>
            <w:noWrap/>
            <w:vAlign w:val="center"/>
          </w:tcPr>
          <w:p w14:paraId="43B2050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0.618</w:t>
            </w:r>
          </w:p>
        </w:tc>
        <w:tc>
          <w:tcPr>
            <w:tcW w:w="675" w:type="pct"/>
            <w:vAlign w:val="center"/>
          </w:tcPr>
          <w:p w14:paraId="27CC7D09" w14:textId="6FCC72D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0.30</w:t>
            </w:r>
          </w:p>
        </w:tc>
        <w:tc>
          <w:tcPr>
            <w:tcW w:w="635" w:type="pct"/>
            <w:vAlign w:val="center"/>
          </w:tcPr>
          <w:p w14:paraId="6AE59237" w14:textId="4B5353E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0.23</w:t>
            </w:r>
          </w:p>
        </w:tc>
        <w:tc>
          <w:tcPr>
            <w:tcW w:w="308" w:type="pct"/>
            <w:vAlign w:val="center"/>
          </w:tcPr>
          <w:p w14:paraId="042740E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0.348</w:t>
            </w:r>
          </w:p>
        </w:tc>
        <w:tc>
          <w:tcPr>
            <w:tcW w:w="367" w:type="pct"/>
            <w:vAlign w:val="center"/>
          </w:tcPr>
          <w:p w14:paraId="70F2317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0.729</w:t>
            </w:r>
          </w:p>
        </w:tc>
      </w:tr>
      <w:tr w:rsidR="00D26E15" w:rsidRPr="001A1C75" w14:paraId="40546038" w14:textId="77777777" w:rsidTr="00422063">
        <w:trPr>
          <w:trHeight w:val="57"/>
        </w:trPr>
        <w:tc>
          <w:tcPr>
            <w:tcW w:w="1125" w:type="pct"/>
            <w:shd w:val="clear" w:color="auto" w:fill="auto"/>
            <w:noWrap/>
            <w:vAlign w:val="center"/>
          </w:tcPr>
          <w:p w14:paraId="6AB5CCC7" w14:textId="24D62BB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APOB</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g/L</w:t>
            </w:r>
          </w:p>
        </w:tc>
        <w:tc>
          <w:tcPr>
            <w:tcW w:w="624" w:type="pct"/>
            <w:shd w:val="clear" w:color="auto" w:fill="auto"/>
            <w:noWrap/>
            <w:vAlign w:val="center"/>
          </w:tcPr>
          <w:p w14:paraId="5B7DEB6C" w14:textId="2ECBA03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0.25</w:t>
            </w:r>
          </w:p>
        </w:tc>
        <w:tc>
          <w:tcPr>
            <w:tcW w:w="635" w:type="pct"/>
            <w:shd w:val="clear" w:color="auto" w:fill="auto"/>
            <w:noWrap/>
            <w:vAlign w:val="center"/>
          </w:tcPr>
          <w:p w14:paraId="08BD751D" w14:textId="3B75D36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0.28</w:t>
            </w:r>
          </w:p>
        </w:tc>
        <w:tc>
          <w:tcPr>
            <w:tcW w:w="319" w:type="pct"/>
            <w:shd w:val="clear" w:color="auto" w:fill="auto"/>
            <w:noWrap/>
            <w:vAlign w:val="center"/>
          </w:tcPr>
          <w:p w14:paraId="67429C1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0.969</w:t>
            </w:r>
          </w:p>
        </w:tc>
        <w:tc>
          <w:tcPr>
            <w:tcW w:w="312" w:type="pct"/>
            <w:shd w:val="clear" w:color="auto" w:fill="auto"/>
            <w:noWrap/>
            <w:vAlign w:val="center"/>
          </w:tcPr>
          <w:p w14:paraId="016A43C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0.333</w:t>
            </w:r>
          </w:p>
        </w:tc>
        <w:tc>
          <w:tcPr>
            <w:tcW w:w="675" w:type="pct"/>
            <w:vAlign w:val="center"/>
          </w:tcPr>
          <w:p w14:paraId="4D084D6A" w14:textId="7252998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0.25</w:t>
            </w:r>
          </w:p>
        </w:tc>
        <w:tc>
          <w:tcPr>
            <w:tcW w:w="635" w:type="pct"/>
            <w:vAlign w:val="center"/>
          </w:tcPr>
          <w:p w14:paraId="528EC7C7" w14:textId="16FDC3C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0.29</w:t>
            </w:r>
          </w:p>
        </w:tc>
        <w:tc>
          <w:tcPr>
            <w:tcW w:w="308" w:type="pct"/>
            <w:vAlign w:val="center"/>
          </w:tcPr>
          <w:p w14:paraId="4A93093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1.098</w:t>
            </w:r>
          </w:p>
        </w:tc>
        <w:tc>
          <w:tcPr>
            <w:tcW w:w="367" w:type="pct"/>
            <w:vAlign w:val="center"/>
          </w:tcPr>
          <w:p w14:paraId="05D465D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0.274</w:t>
            </w:r>
          </w:p>
        </w:tc>
      </w:tr>
      <w:tr w:rsidR="00D26E15" w:rsidRPr="001A1C75" w14:paraId="2BD15346" w14:textId="77777777" w:rsidTr="00422063">
        <w:trPr>
          <w:trHeight w:val="57"/>
        </w:trPr>
        <w:tc>
          <w:tcPr>
            <w:tcW w:w="1125" w:type="pct"/>
            <w:shd w:val="clear" w:color="auto" w:fill="auto"/>
            <w:noWrap/>
            <w:vAlign w:val="center"/>
          </w:tcPr>
          <w:p w14:paraId="7FFC2021" w14:textId="02E83A8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lastRenderedPageBreak/>
              <w:t>FPG</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06697F63" w14:textId="44C8166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5.44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1.04</w:t>
            </w:r>
          </w:p>
        </w:tc>
        <w:tc>
          <w:tcPr>
            <w:tcW w:w="635" w:type="pct"/>
            <w:shd w:val="clear" w:color="auto" w:fill="auto"/>
            <w:noWrap/>
            <w:vAlign w:val="center"/>
          </w:tcPr>
          <w:p w14:paraId="1848B3F0" w14:textId="549E153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5.32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1.53</w:t>
            </w:r>
          </w:p>
        </w:tc>
        <w:tc>
          <w:tcPr>
            <w:tcW w:w="319" w:type="pct"/>
            <w:shd w:val="clear" w:color="auto" w:fill="auto"/>
            <w:noWrap/>
            <w:vAlign w:val="center"/>
          </w:tcPr>
          <w:p w14:paraId="382BAFC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0.543</w:t>
            </w:r>
          </w:p>
        </w:tc>
        <w:tc>
          <w:tcPr>
            <w:tcW w:w="312" w:type="pct"/>
            <w:shd w:val="clear" w:color="auto" w:fill="auto"/>
            <w:noWrap/>
            <w:vAlign w:val="center"/>
          </w:tcPr>
          <w:p w14:paraId="7F03BBA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0.588</w:t>
            </w:r>
          </w:p>
        </w:tc>
        <w:tc>
          <w:tcPr>
            <w:tcW w:w="675" w:type="pct"/>
            <w:vAlign w:val="center"/>
          </w:tcPr>
          <w:p w14:paraId="267EAEDA" w14:textId="39CB840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5.44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1.04</w:t>
            </w:r>
          </w:p>
        </w:tc>
        <w:tc>
          <w:tcPr>
            <w:tcW w:w="635" w:type="pct"/>
            <w:vAlign w:val="center"/>
          </w:tcPr>
          <w:p w14:paraId="6506B843" w14:textId="2243D9D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5.57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1.94</w:t>
            </w:r>
          </w:p>
        </w:tc>
        <w:tc>
          <w:tcPr>
            <w:tcW w:w="308" w:type="pct"/>
            <w:vAlign w:val="center"/>
          </w:tcPr>
          <w:p w14:paraId="4DD7BEB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-0.441</w:t>
            </w:r>
          </w:p>
        </w:tc>
        <w:tc>
          <w:tcPr>
            <w:tcW w:w="367" w:type="pct"/>
            <w:vAlign w:val="center"/>
          </w:tcPr>
          <w:p w14:paraId="68BCBDF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0.660</w:t>
            </w:r>
          </w:p>
        </w:tc>
      </w:tr>
      <w:tr w:rsidR="00D26E15" w:rsidRPr="001A1C75" w14:paraId="13B34388" w14:textId="77777777" w:rsidTr="00422063">
        <w:trPr>
          <w:trHeight w:val="57"/>
        </w:trPr>
        <w:tc>
          <w:tcPr>
            <w:tcW w:w="1125" w:type="pct"/>
            <w:shd w:val="clear" w:color="auto" w:fill="auto"/>
            <w:noWrap/>
            <w:vAlign w:val="center"/>
          </w:tcPr>
          <w:p w14:paraId="18747F65" w14:textId="6965154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FFA</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48480CCC" w14:textId="37F6AB2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468.21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202.54</w:t>
            </w:r>
          </w:p>
        </w:tc>
        <w:tc>
          <w:tcPr>
            <w:tcW w:w="635" w:type="pct"/>
            <w:shd w:val="clear" w:color="auto" w:fill="auto"/>
            <w:noWrap/>
            <w:vAlign w:val="center"/>
          </w:tcPr>
          <w:p w14:paraId="0F1FD66A" w14:textId="43EF5DF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466.48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200.66</w:t>
            </w:r>
          </w:p>
        </w:tc>
        <w:tc>
          <w:tcPr>
            <w:tcW w:w="319" w:type="pct"/>
            <w:shd w:val="clear" w:color="auto" w:fill="auto"/>
            <w:noWrap/>
            <w:vAlign w:val="center"/>
          </w:tcPr>
          <w:p w14:paraId="53714DF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0.052</w:t>
            </w:r>
          </w:p>
        </w:tc>
        <w:tc>
          <w:tcPr>
            <w:tcW w:w="312" w:type="pct"/>
            <w:shd w:val="clear" w:color="auto" w:fill="auto"/>
            <w:noWrap/>
            <w:vAlign w:val="center"/>
          </w:tcPr>
          <w:p w14:paraId="3CC9C69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0.959</w:t>
            </w:r>
          </w:p>
        </w:tc>
        <w:tc>
          <w:tcPr>
            <w:tcW w:w="675" w:type="pct"/>
            <w:vAlign w:val="center"/>
          </w:tcPr>
          <w:p w14:paraId="01DBAF4E" w14:textId="3B8D3F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468.21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202.54</w:t>
            </w:r>
          </w:p>
        </w:tc>
        <w:tc>
          <w:tcPr>
            <w:tcW w:w="635" w:type="pct"/>
            <w:vAlign w:val="center"/>
          </w:tcPr>
          <w:p w14:paraId="63E0F5E9" w14:textId="39E4572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458.59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177.92</w:t>
            </w:r>
          </w:p>
        </w:tc>
        <w:tc>
          <w:tcPr>
            <w:tcW w:w="308" w:type="pct"/>
            <w:vAlign w:val="center"/>
          </w:tcPr>
          <w:p w14:paraId="4846DCC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0.295</w:t>
            </w:r>
          </w:p>
        </w:tc>
        <w:tc>
          <w:tcPr>
            <w:tcW w:w="367" w:type="pct"/>
            <w:vAlign w:val="center"/>
          </w:tcPr>
          <w:p w14:paraId="6191068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0.769</w:t>
            </w:r>
          </w:p>
        </w:tc>
      </w:tr>
      <w:tr w:rsidR="00D26E15" w:rsidRPr="001A1C75" w14:paraId="42274ED4" w14:textId="77777777" w:rsidTr="00422063">
        <w:trPr>
          <w:trHeight w:val="57"/>
        </w:trPr>
        <w:tc>
          <w:tcPr>
            <w:tcW w:w="1125" w:type="pct"/>
            <w:shd w:val="clear" w:color="auto" w:fill="auto"/>
            <w:noWrap/>
            <w:vAlign w:val="center"/>
          </w:tcPr>
          <w:p w14:paraId="5F326284" w14:textId="7FA62A2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CR</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00746793" w:rsidRPr="001A1C75">
              <w:rPr>
                <w:rFonts w:ascii="Book Antiqua" w:eastAsia="MS Mincho" w:hAnsi="Book Antiqua" w:cs="Book Antiqua"/>
              </w:rPr>
              <w:t>μ</w:t>
            </w:r>
            <w:r w:rsidRPr="001A1C75">
              <w:rPr>
                <w:rFonts w:ascii="Book Antiqua" w:hAnsi="Book Antiqua"/>
                <w:color w:val="000000" w:themeColor="text1"/>
              </w:rPr>
              <w:t>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2AFA3EF1" w14:textId="5860E7F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67.03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13.99</w:t>
            </w:r>
          </w:p>
        </w:tc>
        <w:tc>
          <w:tcPr>
            <w:tcW w:w="635" w:type="pct"/>
            <w:shd w:val="clear" w:color="auto" w:fill="auto"/>
            <w:noWrap/>
            <w:vAlign w:val="center"/>
          </w:tcPr>
          <w:p w14:paraId="5D4D66FC" w14:textId="636AA3F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74.51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13.39</w:t>
            </w:r>
          </w:p>
        </w:tc>
        <w:tc>
          <w:tcPr>
            <w:tcW w:w="319" w:type="pct"/>
            <w:shd w:val="clear" w:color="auto" w:fill="auto"/>
            <w:noWrap/>
            <w:vAlign w:val="center"/>
          </w:tcPr>
          <w:p w14:paraId="7D74BDA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-3.836</w:t>
            </w:r>
          </w:p>
        </w:tc>
        <w:tc>
          <w:tcPr>
            <w:tcW w:w="312" w:type="pct"/>
            <w:shd w:val="clear" w:color="auto" w:fill="auto"/>
            <w:noWrap/>
            <w:vAlign w:val="center"/>
          </w:tcPr>
          <w:p w14:paraId="029D2716" w14:textId="0D2087A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7AB51DC0" w14:textId="7FAE483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67.03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13.99</w:t>
            </w:r>
          </w:p>
        </w:tc>
        <w:tc>
          <w:tcPr>
            <w:tcW w:w="635" w:type="pct"/>
            <w:vAlign w:val="center"/>
          </w:tcPr>
          <w:p w14:paraId="11434058" w14:textId="258BCD4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70.12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14.05</w:t>
            </w:r>
          </w:p>
        </w:tc>
        <w:tc>
          <w:tcPr>
            <w:tcW w:w="308" w:type="pct"/>
            <w:vAlign w:val="center"/>
          </w:tcPr>
          <w:p w14:paraId="5C08318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w:t>
            </w:r>
          </w:p>
        </w:tc>
        <w:tc>
          <w:tcPr>
            <w:tcW w:w="367" w:type="pct"/>
            <w:vAlign w:val="center"/>
          </w:tcPr>
          <w:p w14:paraId="416105C6"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0.234</w:t>
            </w:r>
          </w:p>
        </w:tc>
      </w:tr>
      <w:tr w:rsidR="00D26E15" w:rsidRPr="001A1C75" w14:paraId="4BCE8144" w14:textId="77777777" w:rsidTr="00422063">
        <w:trPr>
          <w:trHeight w:val="667"/>
        </w:trPr>
        <w:tc>
          <w:tcPr>
            <w:tcW w:w="1125" w:type="pct"/>
            <w:shd w:val="clear" w:color="auto" w:fill="auto"/>
            <w:noWrap/>
            <w:vAlign w:val="center"/>
          </w:tcPr>
          <w:p w14:paraId="7907E2F2" w14:textId="6B03470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BUN</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3E9A4624" w14:textId="24EBBD0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1.43</w:t>
            </w:r>
          </w:p>
        </w:tc>
        <w:tc>
          <w:tcPr>
            <w:tcW w:w="635" w:type="pct"/>
            <w:shd w:val="clear" w:color="auto" w:fill="auto"/>
            <w:noWrap/>
            <w:vAlign w:val="center"/>
          </w:tcPr>
          <w:p w14:paraId="3F81A008" w14:textId="135C5AB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w:t>
            </w:r>
          </w:p>
        </w:tc>
        <w:tc>
          <w:tcPr>
            <w:tcW w:w="319" w:type="pct"/>
            <w:shd w:val="clear" w:color="auto" w:fill="auto"/>
            <w:noWrap/>
            <w:vAlign w:val="center"/>
          </w:tcPr>
          <w:p w14:paraId="6AE51B4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-0.885</w:t>
            </w:r>
          </w:p>
        </w:tc>
        <w:tc>
          <w:tcPr>
            <w:tcW w:w="312" w:type="pct"/>
            <w:shd w:val="clear" w:color="auto" w:fill="auto"/>
            <w:noWrap/>
            <w:vAlign w:val="center"/>
          </w:tcPr>
          <w:p w14:paraId="7254AB3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0.377</w:t>
            </w:r>
          </w:p>
        </w:tc>
        <w:tc>
          <w:tcPr>
            <w:tcW w:w="675" w:type="pct"/>
            <w:vAlign w:val="center"/>
          </w:tcPr>
          <w:p w14:paraId="4C973408" w14:textId="0315102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1.43</w:t>
            </w:r>
          </w:p>
        </w:tc>
        <w:tc>
          <w:tcPr>
            <w:tcW w:w="635" w:type="pct"/>
            <w:vAlign w:val="center"/>
          </w:tcPr>
          <w:p w14:paraId="5FB3F46A" w14:textId="0643AD3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4.54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0.95</w:t>
            </w:r>
          </w:p>
        </w:tc>
        <w:tc>
          <w:tcPr>
            <w:tcW w:w="308" w:type="pct"/>
            <w:vAlign w:val="center"/>
          </w:tcPr>
          <w:p w14:paraId="15B47AB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0.407</w:t>
            </w:r>
          </w:p>
        </w:tc>
        <w:tc>
          <w:tcPr>
            <w:tcW w:w="367" w:type="pct"/>
            <w:vAlign w:val="center"/>
          </w:tcPr>
          <w:p w14:paraId="47D4DA7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0.685</w:t>
            </w:r>
          </w:p>
        </w:tc>
      </w:tr>
      <w:tr w:rsidR="00D26E15" w:rsidRPr="001A1C75" w14:paraId="217408A5" w14:textId="77777777" w:rsidTr="00422063">
        <w:trPr>
          <w:trHeight w:val="562"/>
        </w:trPr>
        <w:tc>
          <w:tcPr>
            <w:tcW w:w="1125" w:type="pct"/>
            <w:shd w:val="clear" w:color="auto" w:fill="auto"/>
            <w:noWrap/>
            <w:vAlign w:val="center"/>
          </w:tcPr>
          <w:p w14:paraId="4C41ECB6" w14:textId="73BDF60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UA</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1822E83F" w14:textId="32B77E6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355.81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74.56</w:t>
            </w:r>
          </w:p>
        </w:tc>
        <w:tc>
          <w:tcPr>
            <w:tcW w:w="635" w:type="pct"/>
            <w:shd w:val="clear" w:color="auto" w:fill="auto"/>
            <w:noWrap/>
            <w:vAlign w:val="center"/>
          </w:tcPr>
          <w:p w14:paraId="0E348278" w14:textId="58B1D91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370.64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83.20</w:t>
            </w:r>
          </w:p>
        </w:tc>
        <w:tc>
          <w:tcPr>
            <w:tcW w:w="319" w:type="pct"/>
            <w:shd w:val="clear" w:color="auto" w:fill="auto"/>
            <w:noWrap/>
            <w:vAlign w:val="center"/>
          </w:tcPr>
          <w:p w14:paraId="0F7DF74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-1.251</w:t>
            </w:r>
          </w:p>
        </w:tc>
        <w:tc>
          <w:tcPr>
            <w:tcW w:w="312" w:type="pct"/>
            <w:shd w:val="clear" w:color="auto" w:fill="auto"/>
            <w:noWrap/>
            <w:vAlign w:val="center"/>
          </w:tcPr>
          <w:p w14:paraId="6E8550A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0.212</w:t>
            </w:r>
          </w:p>
        </w:tc>
        <w:tc>
          <w:tcPr>
            <w:tcW w:w="675" w:type="pct"/>
            <w:vAlign w:val="center"/>
          </w:tcPr>
          <w:p w14:paraId="66325F8D" w14:textId="3508999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355.81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74.56</w:t>
            </w:r>
          </w:p>
        </w:tc>
        <w:tc>
          <w:tcPr>
            <w:tcW w:w="635" w:type="pct"/>
            <w:vAlign w:val="center"/>
          </w:tcPr>
          <w:p w14:paraId="35888C60" w14:textId="60A6806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367.00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79.35</w:t>
            </w:r>
          </w:p>
        </w:tc>
        <w:tc>
          <w:tcPr>
            <w:tcW w:w="308" w:type="pct"/>
            <w:vAlign w:val="center"/>
          </w:tcPr>
          <w:p w14:paraId="527E04C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-0.789</w:t>
            </w:r>
          </w:p>
        </w:tc>
        <w:tc>
          <w:tcPr>
            <w:tcW w:w="367" w:type="pct"/>
            <w:vAlign w:val="center"/>
          </w:tcPr>
          <w:p w14:paraId="478A588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0.432</w:t>
            </w:r>
          </w:p>
        </w:tc>
      </w:tr>
      <w:tr w:rsidR="00D26E15" w:rsidRPr="001A1C75" w14:paraId="5D2F7C84" w14:textId="77777777" w:rsidTr="00422063">
        <w:trPr>
          <w:trHeight w:val="556"/>
        </w:trPr>
        <w:tc>
          <w:tcPr>
            <w:tcW w:w="1125" w:type="pct"/>
            <w:shd w:val="clear" w:color="auto" w:fill="auto"/>
            <w:noWrap/>
            <w:vAlign w:val="center"/>
          </w:tcPr>
          <w:p w14:paraId="7B7C593C" w14:textId="1E8AA30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ALT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tcPr>
          <w:p w14:paraId="6C7854F2" w14:textId="1FB3E0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118.19</w:t>
            </w:r>
          </w:p>
        </w:tc>
        <w:tc>
          <w:tcPr>
            <w:tcW w:w="635" w:type="pct"/>
            <w:shd w:val="clear" w:color="auto" w:fill="auto"/>
            <w:noWrap/>
            <w:vAlign w:val="center"/>
          </w:tcPr>
          <w:p w14:paraId="5F5FB562" w14:textId="1B961CF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135.82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210.31</w:t>
            </w:r>
          </w:p>
        </w:tc>
        <w:tc>
          <w:tcPr>
            <w:tcW w:w="319" w:type="pct"/>
            <w:shd w:val="clear" w:color="auto" w:fill="auto"/>
            <w:noWrap/>
            <w:vAlign w:val="center"/>
          </w:tcPr>
          <w:p w14:paraId="75BE58F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-0.567</w:t>
            </w:r>
          </w:p>
        </w:tc>
        <w:tc>
          <w:tcPr>
            <w:tcW w:w="312" w:type="pct"/>
            <w:shd w:val="clear" w:color="auto" w:fill="auto"/>
            <w:noWrap/>
            <w:vAlign w:val="center"/>
          </w:tcPr>
          <w:p w14:paraId="226849A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0.571</w:t>
            </w:r>
          </w:p>
        </w:tc>
        <w:tc>
          <w:tcPr>
            <w:tcW w:w="675" w:type="pct"/>
            <w:vAlign w:val="center"/>
          </w:tcPr>
          <w:p w14:paraId="7404BF24" w14:textId="21B4010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118.19</w:t>
            </w:r>
          </w:p>
        </w:tc>
        <w:tc>
          <w:tcPr>
            <w:tcW w:w="635" w:type="pct"/>
            <w:vAlign w:val="center"/>
          </w:tcPr>
          <w:p w14:paraId="7525C189" w14:textId="049F172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168.60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208.80</w:t>
            </w:r>
          </w:p>
        </w:tc>
        <w:tc>
          <w:tcPr>
            <w:tcW w:w="308" w:type="pct"/>
            <w:vAlign w:val="center"/>
          </w:tcPr>
          <w:p w14:paraId="447E8F8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-1.55</w:t>
            </w:r>
          </w:p>
        </w:tc>
        <w:tc>
          <w:tcPr>
            <w:tcW w:w="367" w:type="pct"/>
            <w:vAlign w:val="center"/>
          </w:tcPr>
          <w:p w14:paraId="46559B3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0.125</w:t>
            </w:r>
          </w:p>
        </w:tc>
      </w:tr>
      <w:tr w:rsidR="00D26E15" w:rsidRPr="001A1C75" w14:paraId="60147DFF" w14:textId="77777777" w:rsidTr="00422063">
        <w:trPr>
          <w:trHeight w:val="564"/>
        </w:trPr>
        <w:tc>
          <w:tcPr>
            <w:tcW w:w="1125" w:type="pct"/>
            <w:shd w:val="clear" w:color="auto" w:fill="auto"/>
            <w:noWrap/>
            <w:vAlign w:val="center"/>
            <w:hideMark/>
          </w:tcPr>
          <w:p w14:paraId="01C8CC5E" w14:textId="61C1DF7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AST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hideMark/>
          </w:tcPr>
          <w:p w14:paraId="0F54E1A8" w14:textId="1E48264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65.55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63.28</w:t>
            </w:r>
          </w:p>
        </w:tc>
        <w:tc>
          <w:tcPr>
            <w:tcW w:w="635" w:type="pct"/>
            <w:shd w:val="clear" w:color="auto" w:fill="auto"/>
            <w:noWrap/>
            <w:vAlign w:val="center"/>
            <w:hideMark/>
          </w:tcPr>
          <w:p w14:paraId="4661A3A7" w14:textId="46A1FFD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71.70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88.63</w:t>
            </w:r>
          </w:p>
        </w:tc>
        <w:tc>
          <w:tcPr>
            <w:tcW w:w="319" w:type="pct"/>
            <w:shd w:val="clear" w:color="auto" w:fill="auto"/>
            <w:noWrap/>
            <w:vAlign w:val="center"/>
          </w:tcPr>
          <w:p w14:paraId="2AD0224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-0.507</w:t>
            </w:r>
          </w:p>
        </w:tc>
        <w:tc>
          <w:tcPr>
            <w:tcW w:w="312" w:type="pct"/>
            <w:shd w:val="clear" w:color="auto" w:fill="auto"/>
            <w:noWrap/>
            <w:vAlign w:val="center"/>
          </w:tcPr>
          <w:p w14:paraId="0DC0954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0.612</w:t>
            </w:r>
          </w:p>
        </w:tc>
        <w:tc>
          <w:tcPr>
            <w:tcW w:w="675" w:type="pct"/>
            <w:vAlign w:val="center"/>
          </w:tcPr>
          <w:p w14:paraId="11AE5E57" w14:textId="62BC859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65.55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63.28</w:t>
            </w:r>
          </w:p>
        </w:tc>
        <w:tc>
          <w:tcPr>
            <w:tcW w:w="635" w:type="pct"/>
            <w:vAlign w:val="center"/>
          </w:tcPr>
          <w:p w14:paraId="6965F2F7" w14:textId="1E9C79E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90.94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99.46</w:t>
            </w:r>
          </w:p>
        </w:tc>
        <w:tc>
          <w:tcPr>
            <w:tcW w:w="308" w:type="pct"/>
            <w:vAlign w:val="center"/>
          </w:tcPr>
          <w:p w14:paraId="0726D2E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-1.64</w:t>
            </w:r>
          </w:p>
        </w:tc>
        <w:tc>
          <w:tcPr>
            <w:tcW w:w="367" w:type="pct"/>
            <w:vAlign w:val="center"/>
          </w:tcPr>
          <w:p w14:paraId="77750A2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0.104</w:t>
            </w:r>
          </w:p>
        </w:tc>
      </w:tr>
      <w:tr w:rsidR="00D26E15" w:rsidRPr="001A1C75" w14:paraId="75DD3BDF" w14:textId="77777777" w:rsidTr="00422063">
        <w:trPr>
          <w:trHeight w:val="544"/>
        </w:trPr>
        <w:tc>
          <w:tcPr>
            <w:tcW w:w="1125" w:type="pct"/>
            <w:shd w:val="clear" w:color="auto" w:fill="auto"/>
            <w:noWrap/>
            <w:vAlign w:val="center"/>
            <w:hideMark/>
          </w:tcPr>
          <w:p w14:paraId="0D328013" w14:textId="3E5672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GGT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hideMark/>
          </w:tcPr>
          <w:p w14:paraId="6568039C" w14:textId="403D7A5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179.83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189.39</w:t>
            </w:r>
          </w:p>
        </w:tc>
        <w:tc>
          <w:tcPr>
            <w:tcW w:w="635" w:type="pct"/>
            <w:shd w:val="clear" w:color="auto" w:fill="auto"/>
            <w:noWrap/>
            <w:vAlign w:val="center"/>
            <w:hideMark/>
          </w:tcPr>
          <w:p w14:paraId="625F660A" w14:textId="09EAF39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75.13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82.34</w:t>
            </w:r>
          </w:p>
        </w:tc>
        <w:tc>
          <w:tcPr>
            <w:tcW w:w="319" w:type="pct"/>
            <w:shd w:val="clear" w:color="auto" w:fill="auto"/>
            <w:noWrap/>
            <w:vAlign w:val="center"/>
          </w:tcPr>
          <w:p w14:paraId="00DA7CD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4.147</w:t>
            </w:r>
          </w:p>
        </w:tc>
        <w:tc>
          <w:tcPr>
            <w:tcW w:w="312" w:type="pct"/>
            <w:shd w:val="clear" w:color="auto" w:fill="auto"/>
            <w:noWrap/>
            <w:vAlign w:val="center"/>
          </w:tcPr>
          <w:p w14:paraId="58F399C5" w14:textId="340009F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1BF81E38" w14:textId="46F6DDF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179.83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189.39</w:t>
            </w:r>
          </w:p>
        </w:tc>
        <w:tc>
          <w:tcPr>
            <w:tcW w:w="635" w:type="pct"/>
            <w:vAlign w:val="center"/>
          </w:tcPr>
          <w:p w14:paraId="18AC07DD" w14:textId="00F9B94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78.93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70.11</w:t>
            </w:r>
          </w:p>
        </w:tc>
        <w:tc>
          <w:tcPr>
            <w:tcW w:w="308" w:type="pct"/>
            <w:vAlign w:val="center"/>
          </w:tcPr>
          <w:p w14:paraId="1AB661A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3.805</w:t>
            </w:r>
          </w:p>
        </w:tc>
        <w:tc>
          <w:tcPr>
            <w:tcW w:w="367" w:type="pct"/>
            <w:vAlign w:val="center"/>
          </w:tcPr>
          <w:p w14:paraId="61CC4E1B" w14:textId="1CBB333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r>
      <w:tr w:rsidR="00D26E15" w:rsidRPr="001A1C75" w14:paraId="6C58CBDA" w14:textId="77777777" w:rsidTr="00422063">
        <w:trPr>
          <w:trHeight w:val="566"/>
        </w:trPr>
        <w:tc>
          <w:tcPr>
            <w:tcW w:w="1125" w:type="pct"/>
            <w:shd w:val="clear" w:color="auto" w:fill="auto"/>
            <w:noWrap/>
            <w:vAlign w:val="center"/>
          </w:tcPr>
          <w:p w14:paraId="434EC097" w14:textId="2E5BF8C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GFR </w:t>
            </w:r>
            <w:r w:rsidR="00B56060">
              <w:rPr>
                <w:rFonts w:ascii="Book Antiqua" w:hAnsi="Book Antiqua"/>
                <w:color w:val="000000" w:themeColor="text1"/>
              </w:rPr>
              <w:t xml:space="preserve">in </w:t>
            </w:r>
            <w:r w:rsidRPr="001A1C75">
              <w:rPr>
                <w:rFonts w:ascii="Book Antiqua" w:hAnsi="Book Antiqua"/>
                <w:color w:val="000000" w:themeColor="text1"/>
              </w:rPr>
              <w:t>m</w:t>
            </w:r>
            <w:r w:rsidR="00D26E15" w:rsidRPr="001A1C75">
              <w:rPr>
                <w:rFonts w:ascii="Book Antiqua" w:hAnsi="Book Antiqua"/>
                <w:color w:val="000000" w:themeColor="text1"/>
              </w:rPr>
              <w:t>L</w:t>
            </w:r>
            <w:r w:rsidRPr="001A1C75">
              <w:rPr>
                <w:rFonts w:ascii="Book Antiqua" w:hAnsi="Book Antiqua"/>
                <w:color w:val="000000" w:themeColor="text1"/>
              </w:rPr>
              <w:t>/min</w:t>
            </w:r>
          </w:p>
        </w:tc>
        <w:tc>
          <w:tcPr>
            <w:tcW w:w="624" w:type="pct"/>
            <w:shd w:val="clear" w:color="auto" w:fill="auto"/>
            <w:noWrap/>
            <w:vAlign w:val="center"/>
          </w:tcPr>
          <w:p w14:paraId="3F3F2DF5" w14:textId="43A2C21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136.22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37.84</w:t>
            </w:r>
          </w:p>
        </w:tc>
        <w:tc>
          <w:tcPr>
            <w:tcW w:w="635" w:type="pct"/>
            <w:shd w:val="clear" w:color="auto" w:fill="auto"/>
            <w:noWrap/>
            <w:vAlign w:val="center"/>
          </w:tcPr>
          <w:p w14:paraId="75D2E651" w14:textId="63878FE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117.36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28.91</w:t>
            </w:r>
          </w:p>
        </w:tc>
        <w:tc>
          <w:tcPr>
            <w:tcW w:w="319" w:type="pct"/>
            <w:shd w:val="clear" w:color="auto" w:fill="auto"/>
            <w:noWrap/>
            <w:vAlign w:val="center"/>
          </w:tcPr>
          <w:p w14:paraId="36DABB3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3.63</w:t>
            </w:r>
          </w:p>
        </w:tc>
        <w:tc>
          <w:tcPr>
            <w:tcW w:w="312" w:type="pct"/>
            <w:shd w:val="clear" w:color="auto" w:fill="auto"/>
            <w:noWrap/>
            <w:vAlign w:val="center"/>
          </w:tcPr>
          <w:p w14:paraId="004D2EB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w:t>
            </w:r>
          </w:p>
        </w:tc>
        <w:tc>
          <w:tcPr>
            <w:tcW w:w="675" w:type="pct"/>
            <w:vAlign w:val="center"/>
          </w:tcPr>
          <w:p w14:paraId="4B59FF97" w14:textId="59D3D9B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136.22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37.84</w:t>
            </w:r>
          </w:p>
        </w:tc>
        <w:tc>
          <w:tcPr>
            <w:tcW w:w="635" w:type="pct"/>
            <w:vAlign w:val="center"/>
          </w:tcPr>
          <w:p w14:paraId="56AF27F5" w14:textId="73C6626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127.95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34.19</w:t>
            </w:r>
          </w:p>
        </w:tc>
        <w:tc>
          <w:tcPr>
            <w:tcW w:w="308" w:type="pct"/>
            <w:vAlign w:val="center"/>
          </w:tcPr>
          <w:p w14:paraId="189CD59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1.234</w:t>
            </w:r>
          </w:p>
        </w:tc>
        <w:tc>
          <w:tcPr>
            <w:tcW w:w="367" w:type="pct"/>
            <w:vAlign w:val="center"/>
          </w:tcPr>
          <w:p w14:paraId="53BBF2A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0.220</w:t>
            </w:r>
          </w:p>
        </w:tc>
      </w:tr>
      <w:tr w:rsidR="00D26E15" w:rsidRPr="001A1C75" w14:paraId="42EE3FBE" w14:textId="77777777" w:rsidTr="00422063">
        <w:trPr>
          <w:trHeight w:val="57"/>
        </w:trPr>
        <w:tc>
          <w:tcPr>
            <w:tcW w:w="1125" w:type="pct"/>
            <w:shd w:val="clear" w:color="auto" w:fill="auto"/>
            <w:noWrap/>
            <w:vAlign w:val="center"/>
          </w:tcPr>
          <w:p w14:paraId="25916C9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Hypertension,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56FEF8FA" w14:textId="55FD9EB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635" w:type="pct"/>
            <w:shd w:val="clear" w:color="auto" w:fill="auto"/>
            <w:noWrap/>
            <w:vAlign w:val="center"/>
          </w:tcPr>
          <w:p w14:paraId="0EA263CB" w14:textId="45F9AC6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(7.2%)</w:t>
            </w:r>
          </w:p>
        </w:tc>
        <w:tc>
          <w:tcPr>
            <w:tcW w:w="319" w:type="pct"/>
            <w:shd w:val="clear" w:color="auto" w:fill="auto"/>
            <w:noWrap/>
            <w:vAlign w:val="center"/>
          </w:tcPr>
          <w:p w14:paraId="06DB157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22.816</w:t>
            </w:r>
          </w:p>
        </w:tc>
        <w:tc>
          <w:tcPr>
            <w:tcW w:w="312" w:type="pct"/>
            <w:shd w:val="clear" w:color="auto" w:fill="auto"/>
            <w:noWrap/>
            <w:vAlign w:val="center"/>
          </w:tcPr>
          <w:p w14:paraId="1DD39BA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0.000</w:t>
            </w:r>
          </w:p>
        </w:tc>
        <w:tc>
          <w:tcPr>
            <w:tcW w:w="675" w:type="pct"/>
            <w:vAlign w:val="center"/>
          </w:tcPr>
          <w:p w14:paraId="7DD110AF" w14:textId="6399CCE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635" w:type="pct"/>
            <w:vAlign w:val="center"/>
          </w:tcPr>
          <w:p w14:paraId="5879F88B" w14:textId="54A7F8E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w:t>
            </w:r>
            <w:r w:rsidR="00D26E15" w:rsidRPr="001A1C75">
              <w:rPr>
                <w:rFonts w:ascii="Book Antiqua" w:hAnsi="Book Antiqua"/>
                <w:color w:val="000000" w:themeColor="text1"/>
              </w:rPr>
              <w:t xml:space="preserve"> </w:t>
            </w:r>
            <w:r w:rsidRPr="001A1C75">
              <w:rPr>
                <w:rFonts w:ascii="Book Antiqua" w:hAnsi="Book Antiqua"/>
                <w:color w:val="000000" w:themeColor="text1"/>
              </w:rPr>
              <w:t>(6.9%)</w:t>
            </w:r>
          </w:p>
        </w:tc>
        <w:tc>
          <w:tcPr>
            <w:tcW w:w="308" w:type="pct"/>
            <w:vAlign w:val="center"/>
          </w:tcPr>
          <w:p w14:paraId="5A40C6C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8.700</w:t>
            </w:r>
          </w:p>
        </w:tc>
        <w:tc>
          <w:tcPr>
            <w:tcW w:w="367" w:type="pct"/>
            <w:vAlign w:val="center"/>
          </w:tcPr>
          <w:p w14:paraId="0216E22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0.003</w:t>
            </w:r>
          </w:p>
        </w:tc>
      </w:tr>
      <w:tr w:rsidR="00D26E15" w:rsidRPr="001A1C75" w14:paraId="0A25E9AB" w14:textId="77777777" w:rsidTr="00422063">
        <w:trPr>
          <w:trHeight w:val="57"/>
        </w:trPr>
        <w:tc>
          <w:tcPr>
            <w:tcW w:w="1125" w:type="pct"/>
            <w:shd w:val="clear" w:color="auto" w:fill="auto"/>
            <w:noWrap/>
            <w:vAlign w:val="center"/>
          </w:tcPr>
          <w:p w14:paraId="49102C8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DM,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0C87F821" w14:textId="7DBF881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635" w:type="pct"/>
            <w:shd w:val="clear" w:color="auto" w:fill="auto"/>
            <w:noWrap/>
            <w:vAlign w:val="center"/>
          </w:tcPr>
          <w:p w14:paraId="5746C45B" w14:textId="3E18517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w:t>
            </w:r>
            <w:r w:rsidR="00D26E15" w:rsidRPr="001A1C75">
              <w:rPr>
                <w:rFonts w:ascii="Book Antiqua" w:hAnsi="Book Antiqua"/>
                <w:color w:val="000000" w:themeColor="text1"/>
              </w:rPr>
              <w:t xml:space="preserve"> </w:t>
            </w:r>
            <w:r w:rsidRPr="001A1C75">
              <w:rPr>
                <w:rFonts w:ascii="Book Antiqua" w:hAnsi="Book Antiqua"/>
                <w:color w:val="000000" w:themeColor="text1"/>
              </w:rPr>
              <w:t>(17.5%)</w:t>
            </w:r>
          </w:p>
        </w:tc>
        <w:tc>
          <w:tcPr>
            <w:tcW w:w="319" w:type="pct"/>
            <w:shd w:val="clear" w:color="auto" w:fill="auto"/>
            <w:noWrap/>
            <w:vAlign w:val="center"/>
          </w:tcPr>
          <w:p w14:paraId="50E7C40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3.968</w:t>
            </w:r>
          </w:p>
        </w:tc>
        <w:tc>
          <w:tcPr>
            <w:tcW w:w="312" w:type="pct"/>
            <w:shd w:val="clear" w:color="auto" w:fill="auto"/>
            <w:noWrap/>
            <w:vAlign w:val="center"/>
          </w:tcPr>
          <w:p w14:paraId="6657383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0.046</w:t>
            </w:r>
          </w:p>
        </w:tc>
        <w:tc>
          <w:tcPr>
            <w:tcW w:w="675" w:type="pct"/>
            <w:vAlign w:val="center"/>
          </w:tcPr>
          <w:p w14:paraId="4B7D43CC" w14:textId="7F0E62C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635" w:type="pct"/>
            <w:vAlign w:val="center"/>
          </w:tcPr>
          <w:p w14:paraId="1F9ECB91" w14:textId="4B058E4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308" w:type="pct"/>
            <w:vAlign w:val="center"/>
          </w:tcPr>
          <w:p w14:paraId="29F4471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0.000</w:t>
            </w:r>
          </w:p>
        </w:tc>
        <w:tc>
          <w:tcPr>
            <w:tcW w:w="367" w:type="pct"/>
            <w:vAlign w:val="center"/>
          </w:tcPr>
          <w:p w14:paraId="1B57961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1.000</w:t>
            </w:r>
          </w:p>
        </w:tc>
      </w:tr>
      <w:tr w:rsidR="00D26E15" w:rsidRPr="001A1C75" w14:paraId="25175EB5" w14:textId="77777777" w:rsidTr="00422063">
        <w:trPr>
          <w:trHeight w:val="562"/>
        </w:trPr>
        <w:tc>
          <w:tcPr>
            <w:tcW w:w="1125" w:type="pct"/>
            <w:shd w:val="clear" w:color="auto" w:fill="auto"/>
            <w:noWrap/>
            <w:vAlign w:val="center"/>
          </w:tcPr>
          <w:p w14:paraId="6B81FB8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Low HDL-C,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749AF235" w14:textId="37D47C2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w:t>
            </w:r>
            <w:r w:rsidR="00D26E15" w:rsidRPr="001A1C75">
              <w:rPr>
                <w:rFonts w:ascii="Book Antiqua" w:hAnsi="Book Antiqua"/>
                <w:color w:val="000000" w:themeColor="text1"/>
              </w:rPr>
              <w:t xml:space="preserve"> </w:t>
            </w:r>
            <w:r w:rsidRPr="001A1C75">
              <w:rPr>
                <w:rFonts w:ascii="Book Antiqua" w:hAnsi="Book Antiqua"/>
                <w:color w:val="000000" w:themeColor="text1"/>
              </w:rPr>
              <w:t>(48.3%)</w:t>
            </w:r>
          </w:p>
        </w:tc>
        <w:tc>
          <w:tcPr>
            <w:tcW w:w="635" w:type="pct"/>
            <w:shd w:val="clear" w:color="auto" w:fill="auto"/>
            <w:noWrap/>
            <w:vAlign w:val="center"/>
          </w:tcPr>
          <w:p w14:paraId="774AD3CF" w14:textId="429DE2F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165</w:t>
            </w:r>
            <w:r w:rsidR="00D26E15" w:rsidRPr="001A1C75">
              <w:rPr>
                <w:rFonts w:ascii="Book Antiqua" w:hAnsi="Book Antiqua"/>
                <w:color w:val="000000" w:themeColor="text1"/>
              </w:rPr>
              <w:t xml:space="preserve"> </w:t>
            </w:r>
            <w:r w:rsidRPr="001A1C75">
              <w:rPr>
                <w:rFonts w:ascii="Book Antiqua" w:hAnsi="Book Antiqua"/>
                <w:color w:val="000000" w:themeColor="text1"/>
              </w:rPr>
              <w:t>(46.0%)</w:t>
            </w:r>
          </w:p>
        </w:tc>
        <w:tc>
          <w:tcPr>
            <w:tcW w:w="319" w:type="pct"/>
            <w:shd w:val="clear" w:color="auto" w:fill="auto"/>
            <w:noWrap/>
            <w:vAlign w:val="center"/>
          </w:tcPr>
          <w:p w14:paraId="0CACB67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0.108</w:t>
            </w:r>
          </w:p>
        </w:tc>
        <w:tc>
          <w:tcPr>
            <w:tcW w:w="312" w:type="pct"/>
            <w:shd w:val="clear" w:color="auto" w:fill="auto"/>
            <w:noWrap/>
            <w:vAlign w:val="center"/>
          </w:tcPr>
          <w:p w14:paraId="58DFEBD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0.743</w:t>
            </w:r>
          </w:p>
        </w:tc>
        <w:tc>
          <w:tcPr>
            <w:tcW w:w="675" w:type="pct"/>
            <w:vAlign w:val="center"/>
          </w:tcPr>
          <w:p w14:paraId="115A76AD" w14:textId="0081650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w:t>
            </w:r>
            <w:r w:rsidR="00D26E15" w:rsidRPr="001A1C75">
              <w:rPr>
                <w:rFonts w:ascii="Book Antiqua" w:hAnsi="Book Antiqua"/>
                <w:color w:val="000000" w:themeColor="text1"/>
              </w:rPr>
              <w:t xml:space="preserve"> </w:t>
            </w:r>
            <w:r w:rsidRPr="001A1C75">
              <w:rPr>
                <w:rFonts w:ascii="Book Antiqua" w:hAnsi="Book Antiqua"/>
                <w:color w:val="000000" w:themeColor="text1"/>
              </w:rPr>
              <w:t>(48.3%)</w:t>
            </w:r>
          </w:p>
        </w:tc>
        <w:tc>
          <w:tcPr>
            <w:tcW w:w="635" w:type="pct"/>
            <w:vAlign w:val="center"/>
          </w:tcPr>
          <w:p w14:paraId="56878B6F" w14:textId="2F307FD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30</w:t>
            </w:r>
            <w:r w:rsidR="00D26E15" w:rsidRPr="001A1C75">
              <w:rPr>
                <w:rFonts w:ascii="Book Antiqua" w:hAnsi="Book Antiqua"/>
                <w:color w:val="000000" w:themeColor="text1"/>
              </w:rPr>
              <w:t xml:space="preserve"> </w:t>
            </w:r>
            <w:r w:rsidRPr="001A1C75">
              <w:rPr>
                <w:rFonts w:ascii="Book Antiqua" w:hAnsi="Book Antiqua"/>
                <w:color w:val="000000" w:themeColor="text1"/>
              </w:rPr>
              <w:t>(51.7%)</w:t>
            </w:r>
          </w:p>
        </w:tc>
        <w:tc>
          <w:tcPr>
            <w:tcW w:w="308" w:type="pct"/>
            <w:vAlign w:val="center"/>
          </w:tcPr>
          <w:p w14:paraId="28FD113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0.138</w:t>
            </w:r>
          </w:p>
        </w:tc>
        <w:tc>
          <w:tcPr>
            <w:tcW w:w="367" w:type="pct"/>
            <w:vAlign w:val="center"/>
          </w:tcPr>
          <w:p w14:paraId="0F8965E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0.710</w:t>
            </w:r>
          </w:p>
        </w:tc>
      </w:tr>
      <w:tr w:rsidR="00D26E15" w:rsidRPr="001A1C75" w14:paraId="73607190" w14:textId="77777777" w:rsidTr="00422063">
        <w:trPr>
          <w:trHeight w:val="57"/>
        </w:trPr>
        <w:tc>
          <w:tcPr>
            <w:tcW w:w="1125" w:type="pct"/>
            <w:shd w:val="clear" w:color="auto" w:fill="auto"/>
            <w:noWrap/>
            <w:vAlign w:val="center"/>
          </w:tcPr>
          <w:p w14:paraId="0C990F0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bCs/>
                <w:color w:val="000000" w:themeColor="text1"/>
              </w:rPr>
              <w:lastRenderedPageBreak/>
              <w:t>Prediabetes</w:t>
            </w:r>
            <w:r w:rsidRPr="001A1C75">
              <w:rPr>
                <w:rFonts w:ascii="Book Antiqua" w:hAnsi="Book Antiqua"/>
                <w:color w:val="000000" w:themeColor="text1"/>
              </w:rPr>
              <w:t xml:space="preserve">,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66E29878" w14:textId="6DAB94A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w:t>
            </w:r>
            <w:r w:rsidR="00D26E15" w:rsidRPr="001A1C75">
              <w:rPr>
                <w:rFonts w:ascii="Book Antiqua" w:hAnsi="Book Antiqua"/>
                <w:color w:val="000000" w:themeColor="text1"/>
              </w:rPr>
              <w:t xml:space="preserve"> </w:t>
            </w:r>
            <w:r w:rsidRPr="001A1C75">
              <w:rPr>
                <w:rFonts w:ascii="Book Antiqua" w:hAnsi="Book Antiqua"/>
                <w:color w:val="000000" w:themeColor="text1"/>
              </w:rPr>
              <w:t>(36.2%)</w:t>
            </w:r>
          </w:p>
        </w:tc>
        <w:tc>
          <w:tcPr>
            <w:tcW w:w="635" w:type="pct"/>
            <w:shd w:val="clear" w:color="auto" w:fill="auto"/>
            <w:noWrap/>
            <w:vAlign w:val="center"/>
          </w:tcPr>
          <w:p w14:paraId="1E002962" w14:textId="6A726BC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77</w:t>
            </w:r>
            <w:r w:rsidR="00D26E15" w:rsidRPr="001A1C75">
              <w:rPr>
                <w:rFonts w:ascii="Book Antiqua" w:hAnsi="Book Antiqua"/>
                <w:color w:val="000000" w:themeColor="text1"/>
              </w:rPr>
              <w:t xml:space="preserve"> </w:t>
            </w:r>
            <w:r w:rsidRPr="001A1C75">
              <w:rPr>
                <w:rFonts w:ascii="Book Antiqua" w:hAnsi="Book Antiqua"/>
                <w:color w:val="000000" w:themeColor="text1"/>
              </w:rPr>
              <w:t>(21.4%)</w:t>
            </w:r>
          </w:p>
        </w:tc>
        <w:tc>
          <w:tcPr>
            <w:tcW w:w="319" w:type="pct"/>
            <w:shd w:val="clear" w:color="auto" w:fill="auto"/>
            <w:noWrap/>
            <w:vAlign w:val="center"/>
          </w:tcPr>
          <w:p w14:paraId="07405CC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6.050</w:t>
            </w:r>
          </w:p>
        </w:tc>
        <w:tc>
          <w:tcPr>
            <w:tcW w:w="312" w:type="pct"/>
            <w:shd w:val="clear" w:color="auto" w:fill="auto"/>
            <w:noWrap/>
            <w:vAlign w:val="center"/>
          </w:tcPr>
          <w:p w14:paraId="4B33553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0.014</w:t>
            </w:r>
          </w:p>
        </w:tc>
        <w:tc>
          <w:tcPr>
            <w:tcW w:w="675" w:type="pct"/>
            <w:vAlign w:val="center"/>
          </w:tcPr>
          <w:p w14:paraId="1980BBF5" w14:textId="008B712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w:t>
            </w:r>
            <w:r w:rsidR="00D26E15" w:rsidRPr="001A1C75">
              <w:rPr>
                <w:rFonts w:ascii="Book Antiqua" w:hAnsi="Book Antiqua"/>
                <w:color w:val="000000" w:themeColor="text1"/>
              </w:rPr>
              <w:t xml:space="preserve"> </w:t>
            </w:r>
            <w:r w:rsidRPr="001A1C75">
              <w:rPr>
                <w:rFonts w:ascii="Book Antiqua" w:hAnsi="Book Antiqua"/>
                <w:color w:val="000000" w:themeColor="text1"/>
              </w:rPr>
              <w:t>(36.2%)</w:t>
            </w:r>
          </w:p>
        </w:tc>
        <w:tc>
          <w:tcPr>
            <w:tcW w:w="635" w:type="pct"/>
            <w:vAlign w:val="center"/>
          </w:tcPr>
          <w:p w14:paraId="7AB764DE" w14:textId="72A4C4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w:t>
            </w:r>
            <w:r w:rsidR="00D26E15"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08" w:type="pct"/>
            <w:vAlign w:val="center"/>
          </w:tcPr>
          <w:p w14:paraId="68A581B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1.450</w:t>
            </w:r>
          </w:p>
        </w:tc>
        <w:tc>
          <w:tcPr>
            <w:tcW w:w="367" w:type="pct"/>
            <w:vAlign w:val="center"/>
          </w:tcPr>
          <w:p w14:paraId="306D7CF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0.229</w:t>
            </w:r>
          </w:p>
        </w:tc>
      </w:tr>
      <w:tr w:rsidR="00D26E15" w:rsidRPr="001A1C75" w14:paraId="60761639" w14:textId="77777777" w:rsidTr="00422063">
        <w:trPr>
          <w:trHeight w:val="632"/>
        </w:trPr>
        <w:tc>
          <w:tcPr>
            <w:tcW w:w="1125" w:type="pct"/>
            <w:shd w:val="clear" w:color="auto" w:fill="auto"/>
            <w:noWrap/>
            <w:vAlign w:val="center"/>
          </w:tcPr>
          <w:p w14:paraId="55F18CF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Obesity,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2EBA7A23" w14:textId="2698396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50</w:t>
            </w:r>
            <w:r w:rsidR="00D26E15" w:rsidRPr="001A1C75">
              <w:rPr>
                <w:rFonts w:ascii="Book Antiqua" w:hAnsi="Book Antiqua"/>
                <w:color w:val="000000" w:themeColor="text1"/>
              </w:rPr>
              <w:t xml:space="preserve"> </w:t>
            </w:r>
            <w:r w:rsidRPr="001A1C75">
              <w:rPr>
                <w:rFonts w:ascii="Book Antiqua" w:hAnsi="Book Antiqua"/>
                <w:color w:val="000000" w:themeColor="text1"/>
              </w:rPr>
              <w:t>(86.2%)</w:t>
            </w:r>
          </w:p>
        </w:tc>
        <w:tc>
          <w:tcPr>
            <w:tcW w:w="635" w:type="pct"/>
            <w:shd w:val="clear" w:color="auto" w:fill="auto"/>
            <w:noWrap/>
            <w:vAlign w:val="center"/>
          </w:tcPr>
          <w:p w14:paraId="42EC5B58" w14:textId="66FAC24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328</w:t>
            </w:r>
            <w:r w:rsidR="00D26E15" w:rsidRPr="001A1C75">
              <w:rPr>
                <w:rFonts w:ascii="Book Antiqua" w:hAnsi="Book Antiqua"/>
                <w:color w:val="000000" w:themeColor="text1"/>
              </w:rPr>
              <w:t xml:space="preserve"> </w:t>
            </w:r>
            <w:r w:rsidRPr="001A1C75">
              <w:rPr>
                <w:rFonts w:ascii="Book Antiqua" w:hAnsi="Book Antiqua"/>
                <w:color w:val="000000" w:themeColor="text1"/>
              </w:rPr>
              <w:t>(91.4%)</w:t>
            </w:r>
          </w:p>
        </w:tc>
        <w:tc>
          <w:tcPr>
            <w:tcW w:w="319" w:type="pct"/>
            <w:shd w:val="clear" w:color="auto" w:fill="auto"/>
            <w:noWrap/>
            <w:vAlign w:val="center"/>
          </w:tcPr>
          <w:p w14:paraId="0079158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1.567</w:t>
            </w:r>
          </w:p>
        </w:tc>
        <w:tc>
          <w:tcPr>
            <w:tcW w:w="312" w:type="pct"/>
            <w:shd w:val="clear" w:color="auto" w:fill="auto"/>
            <w:noWrap/>
            <w:vAlign w:val="center"/>
          </w:tcPr>
          <w:p w14:paraId="403B149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0.211</w:t>
            </w:r>
          </w:p>
        </w:tc>
        <w:tc>
          <w:tcPr>
            <w:tcW w:w="675" w:type="pct"/>
            <w:vAlign w:val="center"/>
          </w:tcPr>
          <w:p w14:paraId="096BB230" w14:textId="361DDB3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50</w:t>
            </w:r>
            <w:r w:rsidR="00D26E15" w:rsidRPr="001A1C75">
              <w:rPr>
                <w:rFonts w:ascii="Book Antiqua" w:hAnsi="Book Antiqua"/>
                <w:color w:val="000000" w:themeColor="text1"/>
              </w:rPr>
              <w:t xml:space="preserve"> </w:t>
            </w:r>
            <w:r w:rsidRPr="001A1C75">
              <w:rPr>
                <w:rFonts w:ascii="Book Antiqua" w:hAnsi="Book Antiqua"/>
                <w:color w:val="000000" w:themeColor="text1"/>
              </w:rPr>
              <w:t>(86.2%)</w:t>
            </w:r>
          </w:p>
        </w:tc>
        <w:tc>
          <w:tcPr>
            <w:tcW w:w="635" w:type="pct"/>
            <w:vAlign w:val="center"/>
          </w:tcPr>
          <w:p w14:paraId="039FA0AD" w14:textId="247CE8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51</w:t>
            </w:r>
            <w:r w:rsidR="00D26E15" w:rsidRPr="001A1C75">
              <w:rPr>
                <w:rFonts w:ascii="Book Antiqua" w:hAnsi="Book Antiqua"/>
                <w:color w:val="000000" w:themeColor="text1"/>
              </w:rPr>
              <w:t xml:space="preserve"> </w:t>
            </w:r>
            <w:r w:rsidRPr="001A1C75">
              <w:rPr>
                <w:rFonts w:ascii="Book Antiqua" w:hAnsi="Book Antiqua"/>
                <w:color w:val="000000" w:themeColor="text1"/>
              </w:rPr>
              <w:t>(87.9%)</w:t>
            </w:r>
          </w:p>
        </w:tc>
        <w:tc>
          <w:tcPr>
            <w:tcW w:w="308" w:type="pct"/>
            <w:vAlign w:val="center"/>
          </w:tcPr>
          <w:p w14:paraId="1DE3BA0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0.077</w:t>
            </w:r>
          </w:p>
        </w:tc>
        <w:tc>
          <w:tcPr>
            <w:tcW w:w="367" w:type="pct"/>
            <w:vAlign w:val="center"/>
          </w:tcPr>
          <w:p w14:paraId="44648CB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0.782</w:t>
            </w:r>
          </w:p>
        </w:tc>
      </w:tr>
      <w:tr w:rsidR="00D26E15" w:rsidRPr="001A1C75" w14:paraId="047C0FDE" w14:textId="77777777" w:rsidTr="00422063">
        <w:trPr>
          <w:trHeight w:val="697"/>
        </w:trPr>
        <w:tc>
          <w:tcPr>
            <w:tcW w:w="1125" w:type="pct"/>
            <w:shd w:val="clear" w:color="auto" w:fill="auto"/>
            <w:noWrap/>
            <w:vAlign w:val="center"/>
          </w:tcPr>
          <w:p w14:paraId="2D3F843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Hypertriglyceridemia,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78BF0C76" w14:textId="5190444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(44.8%)</w:t>
            </w:r>
          </w:p>
        </w:tc>
        <w:tc>
          <w:tcPr>
            <w:tcW w:w="635" w:type="pct"/>
            <w:shd w:val="clear" w:color="auto" w:fill="auto"/>
            <w:noWrap/>
            <w:vAlign w:val="center"/>
          </w:tcPr>
          <w:p w14:paraId="544E01B4" w14:textId="3CFD040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109</w:t>
            </w:r>
            <w:r w:rsidR="00D26E15" w:rsidRPr="001A1C75">
              <w:rPr>
                <w:rFonts w:ascii="Book Antiqua" w:hAnsi="Book Antiqua"/>
                <w:color w:val="000000" w:themeColor="text1"/>
              </w:rPr>
              <w:t xml:space="preserve"> </w:t>
            </w:r>
            <w:r w:rsidRPr="001A1C75">
              <w:rPr>
                <w:rFonts w:ascii="Book Antiqua" w:hAnsi="Book Antiqua"/>
                <w:color w:val="000000" w:themeColor="text1"/>
              </w:rPr>
              <w:t>(30.4%)</w:t>
            </w:r>
          </w:p>
        </w:tc>
        <w:tc>
          <w:tcPr>
            <w:tcW w:w="319" w:type="pct"/>
            <w:shd w:val="clear" w:color="auto" w:fill="auto"/>
            <w:noWrap/>
            <w:vAlign w:val="center"/>
          </w:tcPr>
          <w:p w14:paraId="4FA4338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4.772</w:t>
            </w:r>
          </w:p>
        </w:tc>
        <w:tc>
          <w:tcPr>
            <w:tcW w:w="312" w:type="pct"/>
            <w:shd w:val="clear" w:color="auto" w:fill="auto"/>
            <w:noWrap/>
            <w:vAlign w:val="center"/>
          </w:tcPr>
          <w:p w14:paraId="6959936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0.029</w:t>
            </w:r>
          </w:p>
        </w:tc>
        <w:tc>
          <w:tcPr>
            <w:tcW w:w="675" w:type="pct"/>
            <w:vAlign w:val="center"/>
          </w:tcPr>
          <w:p w14:paraId="3FCF0DAD" w14:textId="326E92A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(44.8%)</w:t>
            </w:r>
          </w:p>
        </w:tc>
        <w:tc>
          <w:tcPr>
            <w:tcW w:w="635" w:type="pct"/>
            <w:vAlign w:val="center"/>
          </w:tcPr>
          <w:p w14:paraId="054C701B" w14:textId="56FC34A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308" w:type="pct"/>
            <w:vAlign w:val="center"/>
          </w:tcPr>
          <w:p w14:paraId="60756F8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3.732</w:t>
            </w:r>
          </w:p>
        </w:tc>
        <w:tc>
          <w:tcPr>
            <w:tcW w:w="367" w:type="pct"/>
            <w:vAlign w:val="center"/>
          </w:tcPr>
          <w:p w14:paraId="1443B4C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0.053</w:t>
            </w:r>
          </w:p>
        </w:tc>
      </w:tr>
    </w:tbl>
    <w:p w14:paraId="197D0E68" w14:textId="4459A36A" w:rsidR="00D75C2E" w:rsidRPr="001A1C75" w:rsidRDefault="00D75C2E" w:rsidP="000B3C67">
      <w:pPr>
        <w:spacing w:line="360" w:lineRule="auto"/>
        <w:jc w:val="both"/>
        <w:rPr>
          <w:rFonts w:ascii="Book Antiqua" w:hAnsi="Book Antiqua"/>
          <w:color w:val="000000" w:themeColor="text1"/>
        </w:rPr>
        <w:sectPr w:rsidR="00D75C2E" w:rsidRPr="001A1C75" w:rsidSect="00DE6BC6">
          <w:pgSz w:w="16838" w:h="11906" w:orient="landscape"/>
          <w:pgMar w:top="1800" w:right="1440" w:bottom="1800" w:left="1440" w:header="851" w:footer="992" w:gutter="0"/>
          <w:cols w:space="425"/>
          <w:docGrid w:type="lines" w:linePitch="312"/>
        </w:sectPr>
      </w:pPr>
      <w:r w:rsidRPr="001A1C75">
        <w:rPr>
          <w:rFonts w:ascii="Book Antiqua" w:hAnsi="Book Antiqua"/>
          <w:color w:val="000000" w:themeColor="text1"/>
          <w:vertAlign w:val="superscript"/>
        </w:rPr>
        <w:t>1</w:t>
      </w:r>
      <w:r w:rsidR="00BB5A80" w:rsidRPr="001A1C75">
        <w:rPr>
          <w:rFonts w:ascii="Book Antiqua" w:hAnsi="Book Antiqua"/>
          <w:color w:val="000000" w:themeColor="text1"/>
        </w:rPr>
        <w:t>The age and sex were matched between two groups.</w:t>
      </w:r>
      <w:r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ALT: Alanine aminotransferase; APOA: Apolipoprotein A; APOB: Apolipoprotein B;</w:t>
      </w:r>
      <w:r w:rsidR="00B56060">
        <w:rPr>
          <w:rFonts w:ascii="Book Antiqua" w:hAnsi="Book Antiqua"/>
          <w:color w:val="000000" w:themeColor="text1"/>
        </w:rPr>
        <w:t xml:space="preserve"> </w:t>
      </w:r>
      <w:r w:rsidR="00B56060" w:rsidRPr="001A1C75">
        <w:rPr>
          <w:rFonts w:ascii="Book Antiqua" w:hAnsi="Book Antiqua"/>
          <w:color w:val="000000" w:themeColor="text1"/>
        </w:rPr>
        <w:t xml:space="preserve">AST: Aspartate aminotransferase; </w:t>
      </w:r>
      <w:r w:rsidR="00BB5A80" w:rsidRPr="001A1C75">
        <w:rPr>
          <w:rFonts w:ascii="Book Antiqua" w:hAnsi="Book Antiqua"/>
          <w:color w:val="000000" w:themeColor="text1"/>
        </w:rPr>
        <w:t>BMI</w:t>
      </w:r>
      <w:r w:rsidRPr="001A1C75">
        <w:rPr>
          <w:rFonts w:ascii="Book Antiqua" w:hAnsi="Book Antiqua"/>
          <w:color w:val="000000" w:themeColor="text1"/>
        </w:rPr>
        <w:t>:</w:t>
      </w:r>
      <w:r w:rsidR="00BB5A80" w:rsidRPr="001A1C75">
        <w:rPr>
          <w:rFonts w:ascii="Book Antiqua" w:hAnsi="Book Antiqua"/>
          <w:color w:val="000000" w:themeColor="text1"/>
        </w:rPr>
        <w:t xml:space="preserve"> </w:t>
      </w:r>
      <w:r w:rsidRPr="001A1C75">
        <w:rPr>
          <w:rFonts w:ascii="Book Antiqua" w:hAnsi="Book Antiqua"/>
          <w:color w:val="000000" w:themeColor="text1"/>
        </w:rPr>
        <w:t>B</w:t>
      </w:r>
      <w:r w:rsidR="00BB5A80" w:rsidRPr="001A1C75">
        <w:rPr>
          <w:rFonts w:ascii="Book Antiqua" w:hAnsi="Book Antiqua"/>
          <w:color w:val="000000" w:themeColor="text1"/>
        </w:rPr>
        <w:t xml:space="preserve">ody mass index; </w:t>
      </w:r>
      <w:r w:rsidR="00B56060" w:rsidRPr="001A1C75">
        <w:rPr>
          <w:rFonts w:ascii="Book Antiqua" w:hAnsi="Book Antiqua"/>
          <w:color w:val="000000" w:themeColor="text1"/>
        </w:rPr>
        <w:t>BUN: Blood urea nitrogen; CR</w:t>
      </w:r>
      <w:r w:rsidR="00B56060"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Creatinine</w:t>
      </w:r>
      <w:r w:rsidR="00B56060"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DM: Diabetes mellitus; FFA: Free fatty acids; FPG: Fasting plasma glucose;</w:t>
      </w:r>
      <w:r w:rsidR="00B56060">
        <w:rPr>
          <w:rFonts w:ascii="Book Antiqua" w:hAnsi="Book Antiqua"/>
          <w:color w:val="000000" w:themeColor="text1"/>
        </w:rPr>
        <w:t xml:space="preserve"> </w:t>
      </w:r>
      <w:r w:rsidR="00B56060" w:rsidRPr="001A1C75">
        <w:rPr>
          <w:rFonts w:ascii="Book Antiqua" w:hAnsi="Book Antiqua"/>
          <w:color w:val="000000" w:themeColor="text1"/>
        </w:rPr>
        <w:t xml:space="preserve">GFR: Glomerular filtration rate; GGT: γ-glutamyl transpeptidase; </w:t>
      </w:r>
      <w:r w:rsidR="00B56060" w:rsidRPr="001A1C75">
        <w:rPr>
          <w:rFonts w:ascii="Book Antiqua" w:eastAsia="Book Antiqua" w:hAnsi="Book Antiqua" w:cs="Book Antiqua"/>
          <w:color w:val="000000" w:themeColor="text1"/>
        </w:rPr>
        <w:t>HBV: Hepatitis B virus</w:t>
      </w:r>
      <w:r w:rsidR="00B56060">
        <w:rPr>
          <w:rFonts w:ascii="Book Antiqua" w:eastAsia="Book Antiqua" w:hAnsi="Book Antiqua" w:cs="Book Antiqua"/>
          <w:color w:val="000000" w:themeColor="text1"/>
        </w:rPr>
        <w:t>;</w:t>
      </w:r>
      <w:r w:rsidR="00B56060" w:rsidRPr="001A1C75" w:rsidDel="00B56060">
        <w:rPr>
          <w:rFonts w:ascii="Book Antiqua" w:hAnsi="Book Antiqua"/>
          <w:color w:val="000000" w:themeColor="text1"/>
        </w:rPr>
        <w:t xml:space="preserve"> </w:t>
      </w:r>
      <w:r w:rsidR="00BB5A80" w:rsidRPr="001A1C75">
        <w:rPr>
          <w:rFonts w:ascii="Book Antiqua" w:hAnsi="Book Antiqua"/>
          <w:color w:val="000000" w:themeColor="text1"/>
        </w:rPr>
        <w:t>HDL-C</w:t>
      </w:r>
      <w:r w:rsidRPr="001A1C75">
        <w:rPr>
          <w:rFonts w:ascii="Book Antiqua" w:hAnsi="Book Antiqua"/>
          <w:color w:val="000000" w:themeColor="text1"/>
        </w:rPr>
        <w:t>:</w:t>
      </w:r>
      <w:r w:rsidR="00BB5A80" w:rsidRPr="001A1C75">
        <w:rPr>
          <w:rFonts w:ascii="Book Antiqua" w:hAnsi="Book Antiqua"/>
          <w:color w:val="000000" w:themeColor="text1"/>
        </w:rPr>
        <w:t xml:space="preserve"> </w:t>
      </w:r>
      <w:r w:rsidRPr="001A1C75">
        <w:rPr>
          <w:rFonts w:ascii="Book Antiqua" w:hAnsi="Book Antiqua"/>
          <w:color w:val="000000" w:themeColor="text1"/>
        </w:rPr>
        <w:t>H</w:t>
      </w:r>
      <w:r w:rsidR="00BB5A80" w:rsidRPr="001A1C75">
        <w:rPr>
          <w:rFonts w:ascii="Book Antiqua" w:hAnsi="Book Antiqua"/>
          <w:color w:val="000000" w:themeColor="text1"/>
        </w:rPr>
        <w:t xml:space="preserve">igh-density lipoprotein cholesterol; </w:t>
      </w:r>
      <w:r w:rsidR="00B56060" w:rsidRPr="001A1C75">
        <w:rPr>
          <w:rFonts w:ascii="Book Antiqua" w:hAnsi="Book Antiqua"/>
          <w:color w:val="000000" w:themeColor="text1"/>
        </w:rPr>
        <w:t>LDL-C: Low-density lipoprotein cholesterol;</w:t>
      </w:r>
      <w:r w:rsidR="00BB5A80" w:rsidRPr="001A1C75">
        <w:rPr>
          <w:rFonts w:ascii="Book Antiqua" w:hAnsi="Book Antiqua"/>
          <w:color w:val="000000" w:themeColor="text1"/>
        </w:rPr>
        <w:t xml:space="preserve"> </w:t>
      </w:r>
      <w:r w:rsidR="00515753" w:rsidRPr="001A1C75">
        <w:rPr>
          <w:rFonts w:ascii="Book Antiqua" w:eastAsia="Book Antiqua" w:hAnsi="Book Antiqua" w:cs="Book Antiqua"/>
          <w:color w:val="000000" w:themeColor="text1"/>
        </w:rPr>
        <w:t>MAFLD: Metabolic associated fatty liver disease;</w:t>
      </w:r>
      <w:r w:rsidR="00B56060">
        <w:rPr>
          <w:rFonts w:ascii="Book Antiqua" w:hAnsi="Book Antiqua"/>
          <w:color w:val="000000" w:themeColor="text1"/>
        </w:rPr>
        <w:t xml:space="preserve"> </w:t>
      </w:r>
      <w:r w:rsidR="00B56060" w:rsidRPr="001A1C75">
        <w:rPr>
          <w:rFonts w:ascii="Book Antiqua" w:hAnsi="Book Antiqua"/>
          <w:color w:val="000000" w:themeColor="text1"/>
        </w:rPr>
        <w:t>TC</w:t>
      </w:r>
      <w:r w:rsidR="00B56060" w:rsidRPr="001A1C75">
        <w:rPr>
          <w:rFonts w:ascii="Book Antiqua" w:hAnsi="Book Antiqua"/>
          <w:color w:val="000000" w:themeColor="text1"/>
          <w:lang w:eastAsia="zh-CN"/>
        </w:rPr>
        <w:t>:</w:t>
      </w:r>
      <w:r w:rsidR="00B56060" w:rsidRPr="001A1C75">
        <w:rPr>
          <w:rFonts w:ascii="Book Antiqua" w:hAnsi="Book Antiqua"/>
          <w:color w:val="000000" w:themeColor="text1"/>
        </w:rPr>
        <w:t xml:space="preserve"> Total cholesterol; TG: Triglyceride;</w:t>
      </w:r>
      <w:r w:rsidR="00B56060" w:rsidRPr="00B56060">
        <w:rPr>
          <w:rFonts w:ascii="Book Antiqua" w:hAnsi="Book Antiqua"/>
          <w:color w:val="000000" w:themeColor="text1"/>
        </w:rPr>
        <w:t xml:space="preserve"> </w:t>
      </w:r>
      <w:r w:rsidR="00B56060" w:rsidRPr="001A1C75">
        <w:rPr>
          <w:rFonts w:ascii="Book Antiqua" w:hAnsi="Book Antiqua"/>
          <w:color w:val="000000" w:themeColor="text1"/>
        </w:rPr>
        <w:t>UA: Uric acid; VLDL-C: Very low-density lipoprotein cholesterol</w:t>
      </w:r>
      <w:r w:rsidR="00B56060">
        <w:rPr>
          <w:rFonts w:ascii="Book Antiqua" w:hAnsi="Book Antiqua"/>
          <w:color w:val="000000" w:themeColor="text1"/>
        </w:rPr>
        <w:t>.</w:t>
      </w:r>
    </w:p>
    <w:p w14:paraId="6D9E604E" w14:textId="2F040EE5" w:rsidR="00BB5A80" w:rsidRPr="001A1C75" w:rsidRDefault="00BB5A80" w:rsidP="001A1C75">
      <w:pPr>
        <w:autoSpaceDE w:val="0"/>
        <w:autoSpaceDN w:val="0"/>
        <w:adjustRightInd w:val="0"/>
        <w:spacing w:line="360" w:lineRule="auto"/>
        <w:jc w:val="both"/>
        <w:rPr>
          <w:rFonts w:ascii="Book Antiqua" w:hAnsi="Book Antiqua"/>
          <w:b/>
          <w:color w:val="000000" w:themeColor="text1"/>
        </w:rPr>
      </w:pPr>
      <w:r w:rsidRPr="001A1C75">
        <w:rPr>
          <w:rFonts w:ascii="Book Antiqua" w:hAnsi="Book Antiqua"/>
          <w:b/>
          <w:color w:val="000000" w:themeColor="text1"/>
        </w:rPr>
        <w:lastRenderedPageBreak/>
        <w:t xml:space="preserve">Table 2 Comparison of histopathological characteristics between </w:t>
      </w:r>
      <w:r w:rsidR="00EC541E" w:rsidRPr="001A1C75">
        <w:rPr>
          <w:rFonts w:ascii="Book Antiqua" w:eastAsia="Book Antiqua" w:hAnsi="Book Antiqua" w:cs="Book Antiqua"/>
          <w:b/>
          <w:color w:val="000000" w:themeColor="text1"/>
        </w:rPr>
        <w:t>metabolic associated fatty liver disease</w:t>
      </w:r>
      <w:r w:rsidRPr="001A1C75">
        <w:rPr>
          <w:rFonts w:ascii="Book Antiqua" w:hAnsi="Book Antiqua"/>
          <w:b/>
          <w:color w:val="000000" w:themeColor="text1"/>
        </w:rPr>
        <w:t xml:space="preserve"> and </w:t>
      </w:r>
      <w:r w:rsidR="00EC541E" w:rsidRPr="001A1C75">
        <w:rPr>
          <w:rFonts w:ascii="Book Antiqua" w:eastAsia="Book Antiqua" w:hAnsi="Book Antiqua" w:cs="Book Antiqua"/>
          <w:b/>
          <w:color w:val="000000" w:themeColor="text1"/>
        </w:rPr>
        <w:t>hepatitis B virus</w:t>
      </w:r>
      <w:r w:rsidRPr="001A1C75">
        <w:rPr>
          <w:rFonts w:ascii="Book Antiqua" w:hAnsi="Book Antiqua"/>
          <w:b/>
          <w:color w:val="000000" w:themeColor="text1"/>
        </w:rPr>
        <w:t>-</w:t>
      </w:r>
      <w:r w:rsidR="00EC541E" w:rsidRPr="001A1C75">
        <w:rPr>
          <w:rFonts w:ascii="Book Antiqua" w:eastAsia="Book Antiqua" w:hAnsi="Book Antiqua" w:cs="Book Antiqua"/>
          <w:b/>
          <w:color w:val="000000" w:themeColor="text1"/>
        </w:rPr>
        <w:t>metabolic associated fatty liver disease</w:t>
      </w:r>
      <w:r w:rsidRPr="001A1C75">
        <w:rPr>
          <w:rFonts w:ascii="Book Antiqua" w:hAnsi="Book Antiqua"/>
          <w:b/>
          <w:color w:val="000000" w:themeColor="text1"/>
        </w:rPr>
        <w:t xml:space="preserve"> groups</w:t>
      </w:r>
    </w:p>
    <w:tbl>
      <w:tblPr>
        <w:tblW w:w="5367" w:type="pct"/>
        <w:jc w:val="center"/>
        <w:tblBorders>
          <w:top w:val="single" w:sz="4" w:space="0" w:color="auto"/>
          <w:bottom w:val="single" w:sz="4" w:space="0" w:color="auto"/>
        </w:tblBorders>
        <w:tblLook w:val="04A0" w:firstRow="1" w:lastRow="0" w:firstColumn="1" w:lastColumn="0" w:noHBand="0" w:noVBand="1"/>
      </w:tblPr>
      <w:tblGrid>
        <w:gridCol w:w="1157"/>
        <w:gridCol w:w="779"/>
        <w:gridCol w:w="1016"/>
        <w:gridCol w:w="1018"/>
        <w:gridCol w:w="1018"/>
        <w:gridCol w:w="904"/>
        <w:gridCol w:w="1018"/>
        <w:gridCol w:w="1018"/>
        <w:gridCol w:w="1018"/>
        <w:gridCol w:w="1018"/>
        <w:gridCol w:w="904"/>
        <w:gridCol w:w="1018"/>
        <w:gridCol w:w="1018"/>
        <w:gridCol w:w="1007"/>
      </w:tblGrid>
      <w:tr w:rsidR="001A1C75" w:rsidRPr="001A1C75" w14:paraId="685F5BC3" w14:textId="77777777" w:rsidTr="0060066A">
        <w:trPr>
          <w:jc w:val="center"/>
        </w:trPr>
        <w:tc>
          <w:tcPr>
            <w:tcW w:w="415" w:type="pct"/>
            <w:vMerge w:val="restart"/>
            <w:tcBorders>
              <w:top w:val="single" w:sz="4" w:space="0" w:color="auto"/>
              <w:bottom w:val="nil"/>
            </w:tcBorders>
          </w:tcPr>
          <w:p w14:paraId="6FE176D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p>
        </w:tc>
        <w:tc>
          <w:tcPr>
            <w:tcW w:w="1701" w:type="pct"/>
            <w:gridSpan w:val="5"/>
            <w:tcBorders>
              <w:top w:val="single" w:sz="4" w:space="0" w:color="auto"/>
              <w:bottom w:val="single" w:sz="4" w:space="0" w:color="auto"/>
            </w:tcBorders>
          </w:tcPr>
          <w:p w14:paraId="3798DC2A" w14:textId="3DDEE58F"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Inflammatory stage</w:t>
            </w:r>
          </w:p>
        </w:tc>
        <w:tc>
          <w:tcPr>
            <w:tcW w:w="1787" w:type="pct"/>
            <w:gridSpan w:val="5"/>
            <w:tcBorders>
              <w:top w:val="single" w:sz="4" w:space="0" w:color="auto"/>
              <w:bottom w:val="single" w:sz="4" w:space="0" w:color="auto"/>
            </w:tcBorders>
          </w:tcPr>
          <w:p w14:paraId="6D02489D" w14:textId="2B1986CD"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Fibrosis stage</w:t>
            </w:r>
          </w:p>
        </w:tc>
        <w:tc>
          <w:tcPr>
            <w:tcW w:w="1097" w:type="pct"/>
            <w:gridSpan w:val="3"/>
            <w:tcBorders>
              <w:top w:val="single" w:sz="4" w:space="0" w:color="auto"/>
              <w:bottom w:val="single" w:sz="4" w:space="0" w:color="auto"/>
            </w:tcBorders>
          </w:tcPr>
          <w:p w14:paraId="616E87DF" w14:textId="0D5536E0"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Steatosis stage</w:t>
            </w:r>
          </w:p>
        </w:tc>
      </w:tr>
      <w:tr w:rsidR="0013465E" w:rsidRPr="001A1C75" w14:paraId="781A462E" w14:textId="77777777" w:rsidTr="0060066A">
        <w:trPr>
          <w:jc w:val="center"/>
        </w:trPr>
        <w:tc>
          <w:tcPr>
            <w:tcW w:w="415" w:type="pct"/>
            <w:vMerge/>
            <w:tcBorders>
              <w:top w:val="nil"/>
              <w:bottom w:val="single" w:sz="4" w:space="0" w:color="auto"/>
            </w:tcBorders>
          </w:tcPr>
          <w:p w14:paraId="2D503B4E"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p>
        </w:tc>
        <w:tc>
          <w:tcPr>
            <w:tcW w:w="280" w:type="pct"/>
            <w:tcBorders>
              <w:top w:val="single" w:sz="4" w:space="0" w:color="auto"/>
              <w:bottom w:val="single" w:sz="4" w:space="0" w:color="auto"/>
            </w:tcBorders>
          </w:tcPr>
          <w:p w14:paraId="79FFF5A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0</w:t>
            </w:r>
          </w:p>
        </w:tc>
        <w:tc>
          <w:tcPr>
            <w:tcW w:w="365" w:type="pct"/>
            <w:tcBorders>
              <w:top w:val="single" w:sz="4" w:space="0" w:color="auto"/>
              <w:bottom w:val="single" w:sz="4" w:space="0" w:color="auto"/>
            </w:tcBorders>
          </w:tcPr>
          <w:p w14:paraId="6B7FEB18"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256AF96C"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13EF67E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c>
          <w:tcPr>
            <w:tcW w:w="325" w:type="pct"/>
            <w:tcBorders>
              <w:top w:val="single" w:sz="4" w:space="0" w:color="auto"/>
              <w:bottom w:val="single" w:sz="4" w:space="0" w:color="auto"/>
            </w:tcBorders>
          </w:tcPr>
          <w:p w14:paraId="627196DA"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4</w:t>
            </w:r>
          </w:p>
        </w:tc>
        <w:tc>
          <w:tcPr>
            <w:tcW w:w="366" w:type="pct"/>
            <w:tcBorders>
              <w:top w:val="single" w:sz="4" w:space="0" w:color="auto"/>
              <w:bottom w:val="single" w:sz="4" w:space="0" w:color="auto"/>
            </w:tcBorders>
          </w:tcPr>
          <w:p w14:paraId="51C5CDF4"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0</w:t>
            </w:r>
          </w:p>
        </w:tc>
        <w:tc>
          <w:tcPr>
            <w:tcW w:w="366" w:type="pct"/>
            <w:tcBorders>
              <w:top w:val="single" w:sz="4" w:space="0" w:color="auto"/>
              <w:bottom w:val="single" w:sz="4" w:space="0" w:color="auto"/>
            </w:tcBorders>
          </w:tcPr>
          <w:p w14:paraId="2C7ADBF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0056444B"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08869A63"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c>
          <w:tcPr>
            <w:tcW w:w="325" w:type="pct"/>
            <w:tcBorders>
              <w:top w:val="single" w:sz="4" w:space="0" w:color="auto"/>
              <w:bottom w:val="single" w:sz="4" w:space="0" w:color="auto"/>
            </w:tcBorders>
          </w:tcPr>
          <w:p w14:paraId="2EDD70BB"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4</w:t>
            </w:r>
          </w:p>
        </w:tc>
        <w:tc>
          <w:tcPr>
            <w:tcW w:w="366" w:type="pct"/>
            <w:tcBorders>
              <w:top w:val="single" w:sz="4" w:space="0" w:color="auto"/>
              <w:bottom w:val="single" w:sz="4" w:space="0" w:color="auto"/>
            </w:tcBorders>
          </w:tcPr>
          <w:p w14:paraId="5CFE4A6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227A1992"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4133B7A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r>
      <w:tr w:rsidR="0013465E" w:rsidRPr="001A1C75" w14:paraId="30D182C7" w14:textId="77777777" w:rsidTr="0060066A">
        <w:trPr>
          <w:trHeight w:val="794"/>
          <w:jc w:val="center"/>
        </w:trPr>
        <w:tc>
          <w:tcPr>
            <w:tcW w:w="415" w:type="pct"/>
            <w:tcBorders>
              <w:top w:val="single" w:sz="4" w:space="0" w:color="auto"/>
            </w:tcBorders>
          </w:tcPr>
          <w:p w14:paraId="4FC1E1A6" w14:textId="020046CD"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MAFLD;</w:t>
            </w:r>
            <w:r w:rsidRPr="001A1C75">
              <w:rPr>
                <w:rFonts w:ascii="Book Antiqua" w:hAnsi="Book Antiqua"/>
                <w:color w:val="000000" w:themeColor="text1"/>
                <w:lang w:eastAsia="zh-CN"/>
              </w:rPr>
              <w:t xml:space="preserve"> </w:t>
            </w:r>
            <w:r w:rsidR="006E6B96"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280" w:type="pct"/>
            <w:tcBorders>
              <w:top w:val="single" w:sz="4" w:space="0" w:color="auto"/>
            </w:tcBorders>
          </w:tcPr>
          <w:p w14:paraId="5BFA8FF2" w14:textId="3E72BD3D"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5" w:type="pct"/>
            <w:tcBorders>
              <w:top w:val="single" w:sz="4" w:space="0" w:color="auto"/>
            </w:tcBorders>
          </w:tcPr>
          <w:p w14:paraId="36710D4F" w14:textId="52D299D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36</w:t>
            </w:r>
            <w:r w:rsidR="00A44F64" w:rsidRPr="001A1C75">
              <w:rPr>
                <w:rFonts w:ascii="Book Antiqua" w:hAnsi="Book Antiqua"/>
                <w:color w:val="000000" w:themeColor="text1"/>
              </w:rPr>
              <w:t xml:space="preserve"> </w:t>
            </w:r>
            <w:r w:rsidRPr="001A1C75">
              <w:rPr>
                <w:rFonts w:ascii="Book Antiqua" w:hAnsi="Book Antiqua"/>
                <w:color w:val="000000" w:themeColor="text1"/>
              </w:rPr>
              <w:t>(62.2)</w:t>
            </w:r>
          </w:p>
        </w:tc>
        <w:tc>
          <w:tcPr>
            <w:tcW w:w="366" w:type="pct"/>
            <w:tcBorders>
              <w:top w:val="single" w:sz="4" w:space="0" w:color="auto"/>
            </w:tcBorders>
          </w:tcPr>
          <w:p w14:paraId="2A1853BC" w14:textId="7463936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Borders>
              <w:top w:val="single" w:sz="4" w:space="0" w:color="auto"/>
            </w:tcBorders>
          </w:tcPr>
          <w:p w14:paraId="02512A71" w14:textId="66FCFA5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25" w:type="pct"/>
            <w:tcBorders>
              <w:top w:val="single" w:sz="4" w:space="0" w:color="auto"/>
            </w:tcBorders>
          </w:tcPr>
          <w:p w14:paraId="7ED5EE0A" w14:textId="129AD55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6" w:type="pct"/>
            <w:tcBorders>
              <w:top w:val="single" w:sz="4" w:space="0" w:color="auto"/>
            </w:tcBorders>
          </w:tcPr>
          <w:p w14:paraId="2E2444FD" w14:textId="731A0C28"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Borders>
              <w:top w:val="single" w:sz="4" w:space="0" w:color="auto"/>
            </w:tcBorders>
          </w:tcPr>
          <w:p w14:paraId="40776C5C" w14:textId="4DEAF475"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23</w:t>
            </w:r>
            <w:r w:rsidR="00A44F64" w:rsidRPr="001A1C75">
              <w:rPr>
                <w:rFonts w:ascii="Book Antiqua" w:hAnsi="Book Antiqua"/>
                <w:color w:val="000000" w:themeColor="text1"/>
              </w:rPr>
              <w:t xml:space="preserve"> </w:t>
            </w:r>
            <w:r w:rsidRPr="001A1C75">
              <w:rPr>
                <w:rFonts w:ascii="Book Antiqua" w:hAnsi="Book Antiqua"/>
                <w:color w:val="000000" w:themeColor="text1"/>
              </w:rPr>
              <w:t>(39.7)</w:t>
            </w:r>
          </w:p>
        </w:tc>
        <w:tc>
          <w:tcPr>
            <w:tcW w:w="366" w:type="pct"/>
            <w:tcBorders>
              <w:top w:val="single" w:sz="4" w:space="0" w:color="auto"/>
            </w:tcBorders>
          </w:tcPr>
          <w:p w14:paraId="4084E614" w14:textId="2A63AC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(19.0)</w:t>
            </w:r>
          </w:p>
        </w:tc>
        <w:tc>
          <w:tcPr>
            <w:tcW w:w="366" w:type="pct"/>
            <w:tcBorders>
              <w:top w:val="single" w:sz="4" w:space="0" w:color="auto"/>
            </w:tcBorders>
          </w:tcPr>
          <w:p w14:paraId="457B733E" w14:textId="791943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7</w:t>
            </w:r>
            <w:r w:rsidR="00A44F64" w:rsidRPr="001A1C75">
              <w:rPr>
                <w:rFonts w:ascii="Book Antiqua" w:hAnsi="Book Antiqua"/>
                <w:color w:val="000000" w:themeColor="text1"/>
              </w:rPr>
              <w:t xml:space="preserve"> </w:t>
            </w:r>
            <w:r w:rsidRPr="001A1C75">
              <w:rPr>
                <w:rFonts w:ascii="Book Antiqua" w:hAnsi="Book Antiqua"/>
                <w:color w:val="000000" w:themeColor="text1"/>
              </w:rPr>
              <w:t>(12.0)</w:t>
            </w:r>
          </w:p>
        </w:tc>
        <w:tc>
          <w:tcPr>
            <w:tcW w:w="325" w:type="pct"/>
            <w:tcBorders>
              <w:top w:val="single" w:sz="4" w:space="0" w:color="auto"/>
            </w:tcBorders>
          </w:tcPr>
          <w:p w14:paraId="2C00F388" w14:textId="049153E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6" w:type="pct"/>
            <w:tcBorders>
              <w:top w:val="single" w:sz="4" w:space="0" w:color="auto"/>
            </w:tcBorders>
          </w:tcPr>
          <w:p w14:paraId="6FAF17F9" w14:textId="48CE7042"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(18.9)</w:t>
            </w:r>
          </w:p>
        </w:tc>
        <w:tc>
          <w:tcPr>
            <w:tcW w:w="366" w:type="pct"/>
            <w:tcBorders>
              <w:top w:val="single" w:sz="4" w:space="0" w:color="auto"/>
            </w:tcBorders>
          </w:tcPr>
          <w:p w14:paraId="2B37A285" w14:textId="7779031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Borders>
              <w:top w:val="single" w:sz="4" w:space="0" w:color="auto"/>
            </w:tcBorders>
          </w:tcPr>
          <w:p w14:paraId="106293EC" w14:textId="6A8060C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32</w:t>
            </w:r>
            <w:r w:rsidR="00A44F64" w:rsidRPr="001A1C75">
              <w:rPr>
                <w:rFonts w:ascii="Book Antiqua" w:hAnsi="Book Antiqua"/>
                <w:color w:val="000000" w:themeColor="text1"/>
              </w:rPr>
              <w:t xml:space="preserve"> </w:t>
            </w:r>
            <w:r w:rsidRPr="001A1C75">
              <w:rPr>
                <w:rFonts w:ascii="Book Antiqua" w:hAnsi="Book Antiqua"/>
                <w:color w:val="000000" w:themeColor="text1"/>
              </w:rPr>
              <w:t>(55.2)</w:t>
            </w:r>
          </w:p>
        </w:tc>
      </w:tr>
      <w:tr w:rsidR="0013465E" w:rsidRPr="001A1C75" w14:paraId="5EEC6E8B" w14:textId="77777777" w:rsidTr="0060066A">
        <w:trPr>
          <w:trHeight w:val="1172"/>
          <w:jc w:val="center"/>
        </w:trPr>
        <w:tc>
          <w:tcPr>
            <w:tcW w:w="415" w:type="pct"/>
          </w:tcPr>
          <w:p w14:paraId="7092CF0D" w14:textId="6BBB31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 xml:space="preserve">HBV-MAFLD; </w:t>
            </w:r>
            <w:r w:rsidR="006E6B96"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280" w:type="pct"/>
          </w:tcPr>
          <w:p w14:paraId="4B1E1FDB" w14:textId="50EE74A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0</w:t>
            </w:r>
            <w:r w:rsidR="00A44F64" w:rsidRPr="001A1C75">
              <w:rPr>
                <w:rFonts w:ascii="Book Antiqua" w:hAnsi="Book Antiqua"/>
                <w:color w:val="000000" w:themeColor="text1"/>
              </w:rPr>
              <w:t xml:space="preserve"> </w:t>
            </w:r>
            <w:r w:rsidRPr="001A1C75">
              <w:rPr>
                <w:rFonts w:ascii="Book Antiqua" w:hAnsi="Book Antiqua"/>
                <w:color w:val="000000" w:themeColor="text1"/>
              </w:rPr>
              <w:t>(0)</w:t>
            </w:r>
          </w:p>
        </w:tc>
        <w:tc>
          <w:tcPr>
            <w:tcW w:w="365" w:type="pct"/>
          </w:tcPr>
          <w:p w14:paraId="5DB8F165" w14:textId="674B5AF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16</w:t>
            </w:r>
            <w:r w:rsidR="00A44F64"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366" w:type="pct"/>
          </w:tcPr>
          <w:p w14:paraId="1B118B8E" w14:textId="2B1BDF1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Pr>
          <w:p w14:paraId="0B239497" w14:textId="121D8C4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18</w:t>
            </w:r>
            <w:r w:rsidR="00A44F64" w:rsidRPr="001A1C75">
              <w:rPr>
                <w:rFonts w:ascii="Book Antiqua" w:hAnsi="Book Antiqua"/>
                <w:color w:val="000000" w:themeColor="text1"/>
              </w:rPr>
              <w:t xml:space="preserve"> </w:t>
            </w:r>
            <w:r w:rsidRPr="001A1C75">
              <w:rPr>
                <w:rFonts w:ascii="Book Antiqua" w:hAnsi="Book Antiqua"/>
                <w:color w:val="000000" w:themeColor="text1"/>
              </w:rPr>
              <w:t>(31.0)</w:t>
            </w:r>
          </w:p>
        </w:tc>
        <w:tc>
          <w:tcPr>
            <w:tcW w:w="325" w:type="pct"/>
          </w:tcPr>
          <w:p w14:paraId="6F081BB3" w14:textId="58F611E9"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Pr>
          <w:p w14:paraId="2FF205C5" w14:textId="495145A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w:t>
            </w:r>
            <w:r w:rsidR="00A44F64" w:rsidRPr="001A1C75">
              <w:rPr>
                <w:rFonts w:ascii="Book Antiqua" w:hAnsi="Book Antiqua"/>
                <w:color w:val="000000" w:themeColor="text1"/>
              </w:rPr>
              <w:t xml:space="preserve"> </w:t>
            </w:r>
            <w:r w:rsidRPr="001A1C75">
              <w:rPr>
                <w:rFonts w:ascii="Book Antiqua" w:hAnsi="Book Antiqua"/>
                <w:color w:val="000000" w:themeColor="text1"/>
              </w:rPr>
              <w:t>(5.2)</w:t>
            </w:r>
          </w:p>
        </w:tc>
        <w:tc>
          <w:tcPr>
            <w:tcW w:w="366" w:type="pct"/>
          </w:tcPr>
          <w:p w14:paraId="72D41641" w14:textId="49B11AF3"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Pr>
          <w:p w14:paraId="4D66A496" w14:textId="4CCD3FE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17</w:t>
            </w:r>
            <w:r w:rsidR="00A44F64"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366" w:type="pct"/>
          </w:tcPr>
          <w:p w14:paraId="75C4FAC3" w14:textId="592F3F0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14</w:t>
            </w:r>
            <w:r w:rsidR="00A44F64" w:rsidRPr="001A1C75">
              <w:rPr>
                <w:rFonts w:ascii="Book Antiqua" w:hAnsi="Book Antiqua"/>
                <w:color w:val="000000" w:themeColor="text1"/>
              </w:rPr>
              <w:t xml:space="preserve"> </w:t>
            </w:r>
            <w:r w:rsidRPr="001A1C75">
              <w:rPr>
                <w:rFonts w:ascii="Book Antiqua" w:hAnsi="Book Antiqua"/>
                <w:color w:val="000000" w:themeColor="text1"/>
              </w:rPr>
              <w:t>(24.1)</w:t>
            </w:r>
          </w:p>
        </w:tc>
        <w:tc>
          <w:tcPr>
            <w:tcW w:w="325" w:type="pct"/>
          </w:tcPr>
          <w:p w14:paraId="20D4F6BD" w14:textId="564C510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Pr>
          <w:p w14:paraId="1DEC3F25" w14:textId="32B57C9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37</w:t>
            </w:r>
            <w:r w:rsidR="00A44F64" w:rsidRPr="001A1C75">
              <w:rPr>
                <w:rFonts w:ascii="Book Antiqua" w:hAnsi="Book Antiqua"/>
                <w:color w:val="000000" w:themeColor="text1"/>
              </w:rPr>
              <w:t xml:space="preserve"> </w:t>
            </w:r>
            <w:r w:rsidRPr="001A1C75">
              <w:rPr>
                <w:rFonts w:ascii="Book Antiqua" w:hAnsi="Book Antiqua"/>
                <w:color w:val="000000" w:themeColor="text1"/>
              </w:rPr>
              <w:t>(63.8)</w:t>
            </w:r>
          </w:p>
        </w:tc>
        <w:tc>
          <w:tcPr>
            <w:tcW w:w="366" w:type="pct"/>
          </w:tcPr>
          <w:p w14:paraId="0B3F23DE" w14:textId="78798F6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(19.0)</w:t>
            </w:r>
          </w:p>
        </w:tc>
        <w:tc>
          <w:tcPr>
            <w:tcW w:w="366" w:type="pct"/>
          </w:tcPr>
          <w:p w14:paraId="104FC2AF" w14:textId="5A0D88D5"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10</w:t>
            </w:r>
            <w:r w:rsidR="00A44F64" w:rsidRPr="001A1C75">
              <w:rPr>
                <w:rFonts w:ascii="Book Antiqua" w:hAnsi="Book Antiqua"/>
                <w:color w:val="000000" w:themeColor="text1"/>
              </w:rPr>
              <w:t xml:space="preserve"> </w:t>
            </w:r>
            <w:r w:rsidRPr="001A1C75">
              <w:rPr>
                <w:rFonts w:ascii="Book Antiqua" w:hAnsi="Book Antiqua"/>
                <w:color w:val="000000" w:themeColor="text1"/>
              </w:rPr>
              <w:t>(17.2)</w:t>
            </w:r>
          </w:p>
        </w:tc>
      </w:tr>
      <w:tr w:rsidR="00EC541E" w:rsidRPr="001A1C75" w14:paraId="04C6F09A" w14:textId="77777777" w:rsidTr="0060066A">
        <w:trPr>
          <w:trHeight w:val="578"/>
          <w:jc w:val="center"/>
        </w:trPr>
        <w:tc>
          <w:tcPr>
            <w:tcW w:w="415" w:type="pct"/>
          </w:tcPr>
          <w:p w14:paraId="2F59A277" w14:textId="77777777" w:rsidR="00EC541E" w:rsidRPr="001A1C75" w:rsidRDefault="00EC541E" w:rsidP="001A1C75">
            <w:pPr>
              <w:autoSpaceDE w:val="0"/>
              <w:autoSpaceDN w:val="0"/>
              <w:adjustRightInd w:val="0"/>
              <w:spacing w:line="360" w:lineRule="auto"/>
              <w:jc w:val="both"/>
              <w:rPr>
                <w:rFonts w:ascii="Book Antiqua" w:hAnsi="Book Antiqua"/>
                <w:i/>
                <w:color w:val="000000" w:themeColor="text1"/>
              </w:rPr>
            </w:pPr>
            <w:r w:rsidRPr="001A1C75">
              <w:rPr>
                <w:rFonts w:ascii="Book Antiqua" w:hAnsi="Book Antiqua"/>
                <w:i/>
                <w:color w:val="000000" w:themeColor="text1"/>
              </w:rPr>
              <w:t>Z</w:t>
            </w:r>
          </w:p>
        </w:tc>
        <w:tc>
          <w:tcPr>
            <w:tcW w:w="1701" w:type="pct"/>
            <w:gridSpan w:val="5"/>
          </w:tcPr>
          <w:p w14:paraId="1CBA6C26"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-4.193</w:t>
            </w:r>
          </w:p>
        </w:tc>
        <w:tc>
          <w:tcPr>
            <w:tcW w:w="1787" w:type="pct"/>
            <w:gridSpan w:val="5"/>
          </w:tcPr>
          <w:p w14:paraId="73BECC35"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-4.131</w:t>
            </w:r>
          </w:p>
        </w:tc>
        <w:tc>
          <w:tcPr>
            <w:tcW w:w="1097" w:type="pct"/>
            <w:gridSpan w:val="3"/>
          </w:tcPr>
          <w:p w14:paraId="7E7FB81B"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-5.060</w:t>
            </w:r>
          </w:p>
        </w:tc>
      </w:tr>
      <w:tr w:rsidR="00EC541E" w:rsidRPr="001A1C75" w14:paraId="4A0EC3FB" w14:textId="77777777" w:rsidTr="0060066A">
        <w:trPr>
          <w:jc w:val="center"/>
        </w:trPr>
        <w:tc>
          <w:tcPr>
            <w:tcW w:w="415" w:type="pct"/>
          </w:tcPr>
          <w:p w14:paraId="5F09031C" w14:textId="391ECC5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i/>
                <w:color w:val="000000" w:themeColor="text1"/>
              </w:rPr>
              <w:t>P</w:t>
            </w:r>
            <w:r w:rsidR="00A44F64" w:rsidRPr="001A1C75">
              <w:rPr>
                <w:rFonts w:ascii="Book Antiqua" w:hAnsi="Book Antiqua"/>
                <w:i/>
                <w:color w:val="000000" w:themeColor="text1"/>
              </w:rPr>
              <w:t xml:space="preserve"> </w:t>
            </w:r>
            <w:r w:rsidR="00A44F64" w:rsidRPr="001A1C75">
              <w:rPr>
                <w:rFonts w:ascii="Book Antiqua" w:hAnsi="Book Antiqua"/>
                <w:iCs/>
                <w:color w:val="000000" w:themeColor="text1"/>
              </w:rPr>
              <w:t>value</w:t>
            </w:r>
          </w:p>
        </w:tc>
        <w:tc>
          <w:tcPr>
            <w:tcW w:w="1701" w:type="pct"/>
            <w:gridSpan w:val="5"/>
          </w:tcPr>
          <w:p w14:paraId="77C927BA" w14:textId="34D3BF58"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1787" w:type="pct"/>
            <w:gridSpan w:val="5"/>
          </w:tcPr>
          <w:p w14:paraId="332B506B" w14:textId="4E307A61"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1097" w:type="pct"/>
            <w:gridSpan w:val="3"/>
          </w:tcPr>
          <w:p w14:paraId="125E6329" w14:textId="54474BB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r>
    </w:tbl>
    <w:p w14:paraId="338154D8" w14:textId="1926DF08" w:rsidR="00BB5A80" w:rsidRPr="001A1C75" w:rsidRDefault="0060066A" w:rsidP="001A1C75">
      <w:pPr>
        <w:spacing w:line="360" w:lineRule="auto"/>
        <w:jc w:val="both"/>
        <w:rPr>
          <w:rFonts w:ascii="Book Antiqua" w:hAnsi="Book Antiqua"/>
          <w:b/>
          <w:color w:val="000000" w:themeColor="text1"/>
        </w:rPr>
      </w:pPr>
      <w:r w:rsidRPr="001A1C75">
        <w:rPr>
          <w:rFonts w:ascii="Book Antiqua" w:eastAsia="Book Antiqua" w:hAnsi="Book Antiqua" w:cs="Book Antiqua"/>
          <w:color w:val="000000" w:themeColor="text1"/>
        </w:rPr>
        <w:t>HBV: Hepatitis B virus</w:t>
      </w:r>
      <w:r>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EC541E" w:rsidRPr="001A1C75">
        <w:rPr>
          <w:rFonts w:ascii="Book Antiqua" w:eastAsia="Book Antiqua" w:hAnsi="Book Antiqua" w:cs="Book Antiqua"/>
          <w:color w:val="000000" w:themeColor="text1"/>
        </w:rPr>
        <w:t>MAFLD: Metabolic associated fatty liver disease.</w:t>
      </w:r>
    </w:p>
    <w:p w14:paraId="4832B49D" w14:textId="77777777" w:rsidR="00BB5A80" w:rsidRPr="001A1C75" w:rsidRDefault="00BB5A80" w:rsidP="001A1C75">
      <w:pPr>
        <w:spacing w:line="360" w:lineRule="auto"/>
        <w:jc w:val="both"/>
        <w:rPr>
          <w:rFonts w:ascii="Book Antiqua" w:hAnsi="Book Antiqua"/>
          <w:b/>
          <w:color w:val="000000" w:themeColor="text1"/>
        </w:rPr>
      </w:pPr>
    </w:p>
    <w:p w14:paraId="5C47D97A" w14:textId="52EC6F73" w:rsidR="00BB5A80" w:rsidRPr="001A1C75" w:rsidRDefault="00C24B0C" w:rsidP="001A1C75">
      <w:pPr>
        <w:spacing w:line="360" w:lineRule="auto"/>
        <w:jc w:val="both"/>
        <w:rPr>
          <w:rFonts w:ascii="Book Antiqua" w:hAnsi="Book Antiqua"/>
          <w:b/>
          <w:color w:val="000000" w:themeColor="text1"/>
        </w:rPr>
      </w:pPr>
      <w:r w:rsidRPr="001A1C75">
        <w:rPr>
          <w:rFonts w:ascii="Book Antiqua" w:hAnsi="Book Antiqua"/>
          <w:b/>
          <w:color w:val="000000" w:themeColor="text1"/>
        </w:rPr>
        <w:br w:type="page"/>
      </w:r>
      <w:r w:rsidR="00BB5A80" w:rsidRPr="001A1C75">
        <w:rPr>
          <w:rFonts w:ascii="Book Antiqua" w:hAnsi="Book Antiqua"/>
          <w:b/>
          <w:color w:val="000000" w:themeColor="text1"/>
        </w:rPr>
        <w:lastRenderedPageBreak/>
        <w:t>Table</w:t>
      </w:r>
      <w:r w:rsidR="00EC541E" w:rsidRPr="001A1C75">
        <w:rPr>
          <w:rFonts w:ascii="Book Antiqua" w:hAnsi="Book Antiqua"/>
          <w:b/>
          <w:color w:val="000000" w:themeColor="text1"/>
        </w:rPr>
        <w:t xml:space="preserve"> </w:t>
      </w:r>
      <w:r w:rsidR="00BB5A80" w:rsidRPr="001A1C75">
        <w:rPr>
          <w:rFonts w:ascii="Book Antiqua" w:hAnsi="Book Antiqua"/>
          <w:b/>
          <w:color w:val="000000" w:themeColor="text1"/>
        </w:rPr>
        <w:t xml:space="preserve">3 </w:t>
      </w:r>
      <w:r w:rsidR="00B71320" w:rsidRPr="001A1C75">
        <w:rPr>
          <w:rFonts w:ascii="Book Antiqua" w:eastAsia="Book Antiqua" w:hAnsi="Book Antiqua" w:cs="Book Antiqua"/>
          <w:b/>
          <w:bCs/>
          <w:color w:val="000000" w:themeColor="text1"/>
        </w:rPr>
        <w:t>O</w:t>
      </w:r>
      <w:r w:rsidR="00B77449" w:rsidRPr="001A1C75">
        <w:rPr>
          <w:rFonts w:ascii="Book Antiqua" w:eastAsia="Book Antiqua" w:hAnsi="Book Antiqua" w:cs="Book Antiqua"/>
          <w:b/>
          <w:bCs/>
          <w:color w:val="000000" w:themeColor="text1"/>
        </w:rPr>
        <w:t>dds ratio</w:t>
      </w:r>
      <w:r w:rsidR="00BB5A80" w:rsidRPr="001A1C75">
        <w:rPr>
          <w:rFonts w:ascii="Book Antiqua" w:hAnsi="Book Antiqua"/>
          <w:b/>
          <w:color w:val="000000" w:themeColor="text1"/>
        </w:rPr>
        <w:t xml:space="preserve"> of </w:t>
      </w:r>
      <w:r w:rsidR="00925609" w:rsidRPr="001A1C75">
        <w:rPr>
          <w:rFonts w:ascii="Book Antiqua" w:eastAsia="Book Antiqua" w:hAnsi="Book Antiqua" w:cs="Book Antiqua"/>
          <w:b/>
          <w:bCs/>
          <w:color w:val="000000" w:themeColor="text1"/>
        </w:rPr>
        <w:t>hepatitis B virus</w:t>
      </w:r>
      <w:r w:rsidR="00BB5A80" w:rsidRPr="001A1C75">
        <w:rPr>
          <w:rFonts w:ascii="Book Antiqua" w:hAnsi="Book Antiqua"/>
          <w:b/>
          <w:color w:val="000000" w:themeColor="text1"/>
        </w:rPr>
        <w:t xml:space="preserve"> infection for the pathological changes in </w:t>
      </w:r>
      <w:r w:rsidR="00925609" w:rsidRPr="001A1C75">
        <w:rPr>
          <w:rFonts w:ascii="Book Antiqua" w:eastAsia="Book Antiqua" w:hAnsi="Book Antiqua" w:cs="Book Antiqua"/>
          <w:b/>
          <w:bCs/>
          <w:color w:val="000000" w:themeColor="text1"/>
        </w:rPr>
        <w:t>metabolic associated fatty liver disease</w:t>
      </w:r>
      <w:r w:rsidR="00BB5A80" w:rsidRPr="001A1C75">
        <w:rPr>
          <w:rFonts w:ascii="Book Antiqua" w:hAnsi="Book Antiqua"/>
          <w:b/>
          <w:bCs/>
          <w:color w:val="000000" w:themeColor="text1"/>
        </w:rPr>
        <w:t xml:space="preserve"> </w:t>
      </w:r>
      <w:r w:rsidR="00BB5A80" w:rsidRPr="001A1C75">
        <w:rPr>
          <w:rFonts w:ascii="Book Antiqua" w:hAnsi="Book Antiqua"/>
          <w:b/>
          <w:color w:val="000000" w:themeColor="text1"/>
        </w:rPr>
        <w:t>population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915"/>
        <w:gridCol w:w="1091"/>
        <w:gridCol w:w="1384"/>
        <w:gridCol w:w="975"/>
        <w:gridCol w:w="1138"/>
        <w:gridCol w:w="1651"/>
        <w:gridCol w:w="837"/>
        <w:gridCol w:w="1151"/>
        <w:gridCol w:w="1664"/>
      </w:tblGrid>
      <w:tr w:rsidR="004F0621" w:rsidRPr="001A1C75" w14:paraId="4D08BF71" w14:textId="77777777" w:rsidTr="008402B2">
        <w:tc>
          <w:tcPr>
            <w:tcW w:w="831" w:type="pct"/>
            <w:vMerge w:val="restart"/>
            <w:tcBorders>
              <w:top w:val="single" w:sz="4" w:space="0" w:color="auto"/>
              <w:bottom w:val="nil"/>
            </w:tcBorders>
            <w:vAlign w:val="center"/>
          </w:tcPr>
          <w:p w14:paraId="4B6F137B" w14:textId="77777777" w:rsidR="004F0621" w:rsidRPr="001A1C75" w:rsidRDefault="004F0621" w:rsidP="001A1C75">
            <w:pPr>
              <w:spacing w:line="360" w:lineRule="auto"/>
              <w:rPr>
                <w:rFonts w:ascii="Book Antiqua" w:hAnsi="Book Antiqua"/>
                <w:color w:val="000000" w:themeColor="text1"/>
              </w:rPr>
            </w:pPr>
          </w:p>
        </w:tc>
        <w:tc>
          <w:tcPr>
            <w:tcW w:w="1308" w:type="pct"/>
            <w:gridSpan w:val="3"/>
            <w:tcBorders>
              <w:top w:val="single" w:sz="4" w:space="0" w:color="auto"/>
              <w:bottom w:val="single" w:sz="4" w:space="0" w:color="auto"/>
            </w:tcBorders>
            <w:vAlign w:val="center"/>
          </w:tcPr>
          <w:p w14:paraId="04FD3BBD" w14:textId="0346FD78"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 xml:space="preserve">Steatosis stage </w:t>
            </w:r>
          </w:p>
        </w:tc>
        <w:tc>
          <w:tcPr>
            <w:tcW w:w="1452" w:type="pct"/>
            <w:gridSpan w:val="3"/>
            <w:tcBorders>
              <w:top w:val="single" w:sz="4" w:space="0" w:color="auto"/>
              <w:bottom w:val="single" w:sz="4" w:space="0" w:color="auto"/>
            </w:tcBorders>
            <w:vAlign w:val="center"/>
          </w:tcPr>
          <w:p w14:paraId="767E7785" w14:textId="5576839D"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 xml:space="preserve">Inflammatory stage </w:t>
            </w:r>
          </w:p>
        </w:tc>
        <w:tc>
          <w:tcPr>
            <w:tcW w:w="1409" w:type="pct"/>
            <w:gridSpan w:val="3"/>
            <w:tcBorders>
              <w:top w:val="single" w:sz="4" w:space="0" w:color="auto"/>
              <w:bottom w:val="single" w:sz="4" w:space="0" w:color="auto"/>
            </w:tcBorders>
            <w:vAlign w:val="center"/>
          </w:tcPr>
          <w:p w14:paraId="06B79CD8" w14:textId="3EA3FF85"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Fibrosis stage</w:t>
            </w:r>
          </w:p>
        </w:tc>
      </w:tr>
      <w:tr w:rsidR="004F0621" w:rsidRPr="001A1C75" w14:paraId="278E718B" w14:textId="77777777" w:rsidTr="008402B2">
        <w:tc>
          <w:tcPr>
            <w:tcW w:w="831" w:type="pct"/>
            <w:vMerge/>
            <w:tcBorders>
              <w:top w:val="nil"/>
              <w:bottom w:val="single" w:sz="4" w:space="0" w:color="auto"/>
            </w:tcBorders>
            <w:vAlign w:val="center"/>
          </w:tcPr>
          <w:p w14:paraId="63A53BFF" w14:textId="77777777" w:rsidR="004F0621" w:rsidRPr="001A1C75" w:rsidRDefault="004F0621" w:rsidP="001A1C75">
            <w:pPr>
              <w:spacing w:line="360" w:lineRule="auto"/>
              <w:rPr>
                <w:rFonts w:ascii="Book Antiqua" w:hAnsi="Book Antiqua"/>
                <w:color w:val="000000" w:themeColor="text1"/>
              </w:rPr>
            </w:pPr>
          </w:p>
        </w:tc>
        <w:tc>
          <w:tcPr>
            <w:tcW w:w="353" w:type="pct"/>
            <w:tcBorders>
              <w:top w:val="single" w:sz="4" w:space="0" w:color="auto"/>
              <w:bottom w:val="single" w:sz="4" w:space="0" w:color="auto"/>
            </w:tcBorders>
            <w:vAlign w:val="center"/>
          </w:tcPr>
          <w:p w14:paraId="542A4562"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21" w:type="pct"/>
            <w:tcBorders>
              <w:top w:val="single" w:sz="4" w:space="0" w:color="auto"/>
              <w:bottom w:val="single" w:sz="4" w:space="0" w:color="auto"/>
            </w:tcBorders>
            <w:vAlign w:val="center"/>
          </w:tcPr>
          <w:p w14:paraId="74B492A5" w14:textId="172A3D6E"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00063252" w:rsidRPr="001A1C75">
              <w:rPr>
                <w:rFonts w:ascii="Book Antiqua" w:hAnsi="Book Antiqua"/>
                <w:b/>
                <w:bCs/>
                <w:color w:val="000000" w:themeColor="text1"/>
              </w:rPr>
              <w:t xml:space="preserve"> value</w:t>
            </w:r>
          </w:p>
        </w:tc>
        <w:tc>
          <w:tcPr>
            <w:tcW w:w="534" w:type="pct"/>
            <w:tcBorders>
              <w:top w:val="single" w:sz="4" w:space="0" w:color="auto"/>
              <w:bottom w:val="single" w:sz="4" w:space="0" w:color="auto"/>
            </w:tcBorders>
            <w:vAlign w:val="center"/>
          </w:tcPr>
          <w:p w14:paraId="4E6AC02C"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c>
          <w:tcPr>
            <w:tcW w:w="376" w:type="pct"/>
            <w:tcBorders>
              <w:top w:val="single" w:sz="4" w:space="0" w:color="auto"/>
              <w:bottom w:val="single" w:sz="4" w:space="0" w:color="auto"/>
            </w:tcBorders>
            <w:vAlign w:val="center"/>
          </w:tcPr>
          <w:p w14:paraId="7684B275"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39" w:type="pct"/>
            <w:tcBorders>
              <w:top w:val="single" w:sz="4" w:space="0" w:color="auto"/>
              <w:bottom w:val="single" w:sz="4" w:space="0" w:color="auto"/>
            </w:tcBorders>
            <w:vAlign w:val="center"/>
          </w:tcPr>
          <w:p w14:paraId="5BBF3182" w14:textId="733C97A9" w:rsidR="004F0621" w:rsidRPr="001A1C75" w:rsidRDefault="00063252"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Pr="001A1C75">
              <w:rPr>
                <w:rFonts w:ascii="Book Antiqua" w:hAnsi="Book Antiqua"/>
                <w:b/>
                <w:bCs/>
                <w:color w:val="000000" w:themeColor="text1"/>
              </w:rPr>
              <w:t xml:space="preserve"> value</w:t>
            </w:r>
          </w:p>
        </w:tc>
        <w:tc>
          <w:tcPr>
            <w:tcW w:w="637" w:type="pct"/>
            <w:tcBorders>
              <w:top w:val="single" w:sz="4" w:space="0" w:color="auto"/>
              <w:bottom w:val="single" w:sz="4" w:space="0" w:color="auto"/>
            </w:tcBorders>
            <w:vAlign w:val="center"/>
          </w:tcPr>
          <w:p w14:paraId="50DB1D92"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c>
          <w:tcPr>
            <w:tcW w:w="323" w:type="pct"/>
            <w:tcBorders>
              <w:top w:val="single" w:sz="4" w:space="0" w:color="auto"/>
              <w:bottom w:val="single" w:sz="4" w:space="0" w:color="auto"/>
            </w:tcBorders>
            <w:vAlign w:val="center"/>
          </w:tcPr>
          <w:p w14:paraId="013707C9" w14:textId="014D4204"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44" w:type="pct"/>
            <w:tcBorders>
              <w:top w:val="single" w:sz="4" w:space="0" w:color="auto"/>
              <w:bottom w:val="single" w:sz="4" w:space="0" w:color="auto"/>
            </w:tcBorders>
            <w:vAlign w:val="center"/>
          </w:tcPr>
          <w:p w14:paraId="373261C5" w14:textId="195F0AB6" w:rsidR="004F0621" w:rsidRPr="001A1C75" w:rsidRDefault="00063252"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Pr="001A1C75">
              <w:rPr>
                <w:rFonts w:ascii="Book Antiqua" w:hAnsi="Book Antiqua"/>
                <w:b/>
                <w:bCs/>
                <w:color w:val="000000" w:themeColor="text1"/>
              </w:rPr>
              <w:t xml:space="preserve"> value</w:t>
            </w:r>
          </w:p>
        </w:tc>
        <w:tc>
          <w:tcPr>
            <w:tcW w:w="642" w:type="pct"/>
            <w:tcBorders>
              <w:top w:val="single" w:sz="4" w:space="0" w:color="auto"/>
              <w:bottom w:val="single" w:sz="4" w:space="0" w:color="auto"/>
            </w:tcBorders>
            <w:vAlign w:val="center"/>
          </w:tcPr>
          <w:p w14:paraId="22DD86F0"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r>
      <w:tr w:rsidR="004F0621" w:rsidRPr="001A1C75" w14:paraId="5ABB959A" w14:textId="77777777" w:rsidTr="008402B2">
        <w:tc>
          <w:tcPr>
            <w:tcW w:w="831" w:type="pct"/>
            <w:tcBorders>
              <w:top w:val="single" w:sz="4" w:space="0" w:color="auto"/>
            </w:tcBorders>
            <w:vAlign w:val="center"/>
          </w:tcPr>
          <w:p w14:paraId="1EA6987F"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Crude OR</w:t>
            </w:r>
          </w:p>
        </w:tc>
        <w:tc>
          <w:tcPr>
            <w:tcW w:w="353" w:type="pct"/>
            <w:tcBorders>
              <w:top w:val="single" w:sz="4" w:space="0" w:color="auto"/>
            </w:tcBorders>
            <w:vAlign w:val="center"/>
          </w:tcPr>
          <w:p w14:paraId="244FCA3E"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0.169</w:t>
            </w:r>
          </w:p>
        </w:tc>
        <w:tc>
          <w:tcPr>
            <w:tcW w:w="421" w:type="pct"/>
            <w:tcBorders>
              <w:top w:val="single" w:sz="4" w:space="0" w:color="auto"/>
            </w:tcBorders>
            <w:vAlign w:val="center"/>
          </w:tcPr>
          <w:p w14:paraId="240E65FF" w14:textId="2B253A31"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tcBorders>
              <w:top w:val="single" w:sz="4" w:space="0" w:color="auto"/>
            </w:tcBorders>
            <w:vAlign w:val="center"/>
          </w:tcPr>
          <w:p w14:paraId="576BA75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0.072-0.398</w:t>
            </w:r>
          </w:p>
        </w:tc>
        <w:tc>
          <w:tcPr>
            <w:tcW w:w="376" w:type="pct"/>
            <w:tcBorders>
              <w:top w:val="single" w:sz="4" w:space="0" w:color="auto"/>
            </w:tcBorders>
            <w:vAlign w:val="center"/>
          </w:tcPr>
          <w:p w14:paraId="6D4E2BD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3.721</w:t>
            </w:r>
          </w:p>
        </w:tc>
        <w:tc>
          <w:tcPr>
            <w:tcW w:w="439" w:type="pct"/>
            <w:tcBorders>
              <w:top w:val="single" w:sz="4" w:space="0" w:color="auto"/>
            </w:tcBorders>
            <w:vAlign w:val="center"/>
          </w:tcPr>
          <w:p w14:paraId="6AF3FC37"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0.002</w:t>
            </w:r>
          </w:p>
        </w:tc>
        <w:tc>
          <w:tcPr>
            <w:tcW w:w="637" w:type="pct"/>
            <w:tcBorders>
              <w:top w:val="single" w:sz="4" w:space="0" w:color="auto"/>
            </w:tcBorders>
            <w:vAlign w:val="center"/>
          </w:tcPr>
          <w:p w14:paraId="2D1FBD99"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1.615-8.577</w:t>
            </w:r>
          </w:p>
        </w:tc>
        <w:tc>
          <w:tcPr>
            <w:tcW w:w="323" w:type="pct"/>
            <w:tcBorders>
              <w:top w:val="single" w:sz="4" w:space="0" w:color="auto"/>
            </w:tcBorders>
            <w:vAlign w:val="center"/>
          </w:tcPr>
          <w:p w14:paraId="21ED6105" w14:textId="32AD8CCB"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3.578</w:t>
            </w:r>
          </w:p>
        </w:tc>
        <w:tc>
          <w:tcPr>
            <w:tcW w:w="444" w:type="pct"/>
            <w:tcBorders>
              <w:top w:val="single" w:sz="4" w:space="0" w:color="auto"/>
            </w:tcBorders>
            <w:vAlign w:val="center"/>
          </w:tcPr>
          <w:p w14:paraId="2AAFAE5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0.005</w:t>
            </w:r>
          </w:p>
        </w:tc>
        <w:tc>
          <w:tcPr>
            <w:tcW w:w="642" w:type="pct"/>
            <w:tcBorders>
              <w:top w:val="single" w:sz="4" w:space="0" w:color="auto"/>
            </w:tcBorders>
            <w:vAlign w:val="center"/>
          </w:tcPr>
          <w:p w14:paraId="30C0424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1.478-8.663</w:t>
            </w:r>
          </w:p>
        </w:tc>
      </w:tr>
      <w:tr w:rsidR="004F0621" w:rsidRPr="001A1C75" w14:paraId="70112A2F" w14:textId="77777777" w:rsidTr="008402B2">
        <w:tc>
          <w:tcPr>
            <w:tcW w:w="831" w:type="pct"/>
            <w:vAlign w:val="center"/>
          </w:tcPr>
          <w:p w14:paraId="69671FC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Adjusted OR 1</w:t>
            </w:r>
          </w:p>
        </w:tc>
        <w:tc>
          <w:tcPr>
            <w:tcW w:w="353" w:type="pct"/>
            <w:vAlign w:val="center"/>
          </w:tcPr>
          <w:p w14:paraId="6B1072DE"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0.157</w:t>
            </w:r>
          </w:p>
        </w:tc>
        <w:tc>
          <w:tcPr>
            <w:tcW w:w="421" w:type="pct"/>
            <w:vAlign w:val="center"/>
          </w:tcPr>
          <w:p w14:paraId="7113AB8D" w14:textId="4E36289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vAlign w:val="center"/>
          </w:tcPr>
          <w:p w14:paraId="1AA938A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0.065-0.378</w:t>
            </w:r>
          </w:p>
        </w:tc>
        <w:tc>
          <w:tcPr>
            <w:tcW w:w="376" w:type="pct"/>
            <w:vAlign w:val="center"/>
          </w:tcPr>
          <w:p w14:paraId="1F0376B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4.087</w:t>
            </w:r>
          </w:p>
        </w:tc>
        <w:tc>
          <w:tcPr>
            <w:tcW w:w="439" w:type="pct"/>
            <w:vAlign w:val="center"/>
          </w:tcPr>
          <w:p w14:paraId="62ED7A8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0.001</w:t>
            </w:r>
          </w:p>
        </w:tc>
        <w:tc>
          <w:tcPr>
            <w:tcW w:w="637" w:type="pct"/>
            <w:vAlign w:val="center"/>
          </w:tcPr>
          <w:p w14:paraId="4B82948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1.720-9.713</w:t>
            </w:r>
          </w:p>
        </w:tc>
        <w:tc>
          <w:tcPr>
            <w:tcW w:w="323" w:type="pct"/>
            <w:vAlign w:val="center"/>
          </w:tcPr>
          <w:p w14:paraId="674C15BB" w14:textId="4529D40E"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3.659</w:t>
            </w:r>
          </w:p>
        </w:tc>
        <w:tc>
          <w:tcPr>
            <w:tcW w:w="444" w:type="pct"/>
            <w:vAlign w:val="center"/>
          </w:tcPr>
          <w:p w14:paraId="6CEA99A5"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0.004</w:t>
            </w:r>
          </w:p>
        </w:tc>
        <w:tc>
          <w:tcPr>
            <w:tcW w:w="642" w:type="pct"/>
            <w:vAlign w:val="center"/>
          </w:tcPr>
          <w:p w14:paraId="7F1552A9"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1.501-8.919</w:t>
            </w:r>
          </w:p>
        </w:tc>
      </w:tr>
      <w:tr w:rsidR="004F0621" w:rsidRPr="001A1C75" w14:paraId="0AF5B37B" w14:textId="77777777" w:rsidTr="008402B2">
        <w:tc>
          <w:tcPr>
            <w:tcW w:w="831" w:type="pct"/>
            <w:vAlign w:val="center"/>
          </w:tcPr>
          <w:p w14:paraId="5D8C329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Adjusted OR 2</w:t>
            </w:r>
          </w:p>
        </w:tc>
        <w:tc>
          <w:tcPr>
            <w:tcW w:w="353" w:type="pct"/>
            <w:vAlign w:val="center"/>
          </w:tcPr>
          <w:p w14:paraId="0F1B436B"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0.088</w:t>
            </w:r>
          </w:p>
        </w:tc>
        <w:tc>
          <w:tcPr>
            <w:tcW w:w="421" w:type="pct"/>
            <w:vAlign w:val="center"/>
          </w:tcPr>
          <w:p w14:paraId="23F617B2" w14:textId="0EC00AF1"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vAlign w:val="center"/>
          </w:tcPr>
          <w:p w14:paraId="32F7C781"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0.027-0.291</w:t>
            </w:r>
          </w:p>
        </w:tc>
        <w:tc>
          <w:tcPr>
            <w:tcW w:w="376" w:type="pct"/>
            <w:vAlign w:val="center"/>
          </w:tcPr>
          <w:p w14:paraId="26BE501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4.059</w:t>
            </w:r>
          </w:p>
        </w:tc>
        <w:tc>
          <w:tcPr>
            <w:tcW w:w="439" w:type="pct"/>
            <w:vAlign w:val="center"/>
          </w:tcPr>
          <w:p w14:paraId="6E13B4C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0.010</w:t>
            </w:r>
          </w:p>
        </w:tc>
        <w:tc>
          <w:tcPr>
            <w:tcW w:w="637" w:type="pct"/>
            <w:vAlign w:val="center"/>
          </w:tcPr>
          <w:p w14:paraId="050A62F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1.403-11.742</w:t>
            </w:r>
          </w:p>
        </w:tc>
        <w:tc>
          <w:tcPr>
            <w:tcW w:w="323" w:type="pct"/>
            <w:vAlign w:val="center"/>
          </w:tcPr>
          <w:p w14:paraId="2C256840" w14:textId="044D039C"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3.016</w:t>
            </w:r>
          </w:p>
        </w:tc>
        <w:tc>
          <w:tcPr>
            <w:tcW w:w="444" w:type="pct"/>
            <w:vAlign w:val="center"/>
          </w:tcPr>
          <w:p w14:paraId="321D17D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0.034</w:t>
            </w:r>
          </w:p>
        </w:tc>
        <w:tc>
          <w:tcPr>
            <w:tcW w:w="642" w:type="pct"/>
            <w:vAlign w:val="center"/>
          </w:tcPr>
          <w:p w14:paraId="2127B27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1.087-8.370</w:t>
            </w:r>
          </w:p>
        </w:tc>
      </w:tr>
    </w:tbl>
    <w:p w14:paraId="758218BA" w14:textId="05810418" w:rsidR="00BB5A80" w:rsidRPr="001A1C75" w:rsidRDefault="00645FA0"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O</w:t>
      </w:r>
      <w:r w:rsidR="00B71320" w:rsidRPr="001A1C75">
        <w:rPr>
          <w:rFonts w:ascii="Book Antiqua" w:eastAsia="Book Antiqua" w:hAnsi="Book Antiqua" w:cs="Book Antiqua"/>
          <w:color w:val="000000" w:themeColor="text1"/>
        </w:rPr>
        <w:t>dds ratio</w:t>
      </w:r>
      <w:r w:rsidR="00B71320" w:rsidRPr="001A1C75">
        <w:rPr>
          <w:rFonts w:ascii="Book Antiqua" w:hAnsi="Book Antiqua"/>
          <w:color w:val="000000" w:themeColor="text1"/>
        </w:rPr>
        <w:t xml:space="preserve"> (</w:t>
      </w:r>
      <w:r w:rsidR="00BB5A80" w:rsidRPr="001A1C75">
        <w:rPr>
          <w:rFonts w:ascii="Book Antiqua" w:hAnsi="Book Antiqua"/>
          <w:color w:val="000000" w:themeColor="text1"/>
        </w:rPr>
        <w:t>OR</w:t>
      </w:r>
      <w:r w:rsidRPr="001A1C75">
        <w:rPr>
          <w:rFonts w:ascii="Book Antiqua" w:hAnsi="Book Antiqua"/>
          <w:color w:val="000000" w:themeColor="text1"/>
        </w:rPr>
        <w:t xml:space="preserve">) </w:t>
      </w:r>
      <w:r w:rsidR="00BB5A80" w:rsidRPr="001A1C75">
        <w:rPr>
          <w:rFonts w:ascii="Book Antiqua" w:hAnsi="Book Antiqua"/>
          <w:color w:val="000000" w:themeColor="text1"/>
        </w:rPr>
        <w:t>1 adjusts age and gender</w:t>
      </w:r>
      <w:r w:rsidR="00925609" w:rsidRPr="001A1C75">
        <w:rPr>
          <w:rFonts w:ascii="Book Antiqua" w:hAnsi="Book Antiqua"/>
          <w:color w:val="000000" w:themeColor="text1"/>
          <w:lang w:eastAsia="zh-CN"/>
        </w:rPr>
        <w:t xml:space="preserve">; </w:t>
      </w:r>
      <w:r w:rsidR="00BB5A80" w:rsidRPr="001A1C75">
        <w:rPr>
          <w:rFonts w:ascii="Book Antiqua" w:hAnsi="Book Antiqua"/>
          <w:color w:val="000000" w:themeColor="text1"/>
        </w:rPr>
        <w:t>OR</w:t>
      </w:r>
      <w:r w:rsidR="006E0A9D">
        <w:rPr>
          <w:rFonts w:ascii="Book Antiqua" w:hAnsi="Book Antiqua"/>
          <w:color w:val="000000" w:themeColor="text1"/>
        </w:rPr>
        <w:t xml:space="preserve"> </w:t>
      </w:r>
      <w:r w:rsidR="00BB5A80" w:rsidRPr="001A1C75">
        <w:rPr>
          <w:rFonts w:ascii="Book Antiqua" w:hAnsi="Book Antiqua"/>
          <w:color w:val="000000" w:themeColor="text1"/>
        </w:rPr>
        <w:t>2 adjusts age, gender, hypertension, diabetes mellitus, triglyceride, total cholesterol, very low-density lipoprotein cholesterol, high-density lipoprotein cholesterol, low-density lipoprotein cholesterol, body mass index, fasting plasma glucose, apolipoprotein A, apolipoprotein B and free fatty acids.</w:t>
      </w:r>
      <w:r w:rsidR="00B77449" w:rsidRPr="001A1C75">
        <w:rPr>
          <w:rFonts w:ascii="Book Antiqua" w:hAnsi="Book Antiqua"/>
          <w:color w:val="000000" w:themeColor="text1"/>
        </w:rPr>
        <w:t xml:space="preserve"> </w:t>
      </w:r>
      <w:r w:rsidR="006B577D">
        <w:rPr>
          <w:rFonts w:ascii="Book Antiqua" w:eastAsia="Book Antiqua" w:hAnsi="Book Antiqua" w:cs="Book Antiqua"/>
          <w:color w:val="000000" w:themeColor="text1"/>
        </w:rPr>
        <w:t>CI: Confidence interval</w:t>
      </w:r>
      <w:r w:rsidR="00B77449" w:rsidRPr="001A1C75">
        <w:rPr>
          <w:rFonts w:ascii="Book Antiqua" w:eastAsia="Book Antiqua" w:hAnsi="Book Antiqua" w:cs="Book Antiqua"/>
          <w:color w:val="000000" w:themeColor="text1"/>
        </w:rPr>
        <w:t>.</w:t>
      </w:r>
    </w:p>
    <w:sectPr w:rsidR="00BB5A80" w:rsidRPr="001A1C75" w:rsidSect="00C24B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DF18" w14:textId="77777777" w:rsidR="00830286" w:rsidRDefault="00830286" w:rsidP="002D73AA">
      <w:r>
        <w:separator/>
      </w:r>
    </w:p>
  </w:endnote>
  <w:endnote w:type="continuationSeparator" w:id="0">
    <w:p w14:paraId="79FC791E" w14:textId="77777777" w:rsidR="00830286" w:rsidRDefault="00830286" w:rsidP="002D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1720399"/>
      <w:docPartObj>
        <w:docPartGallery w:val="Page Numbers (Bottom of Page)"/>
        <w:docPartUnique/>
      </w:docPartObj>
    </w:sdtPr>
    <w:sdtEndPr>
      <w:rPr>
        <w:noProof/>
      </w:rPr>
    </w:sdtEndPr>
    <w:sdtContent>
      <w:p w14:paraId="7A2DB0CC" w14:textId="27830928" w:rsidR="00C14ED9" w:rsidRPr="000B3C67" w:rsidRDefault="00C14ED9">
        <w:pPr>
          <w:pStyle w:val="Footer"/>
          <w:jc w:val="right"/>
          <w:rPr>
            <w:rFonts w:ascii="Book Antiqua" w:hAnsi="Book Antiqua"/>
            <w:sz w:val="24"/>
            <w:szCs w:val="24"/>
          </w:rPr>
        </w:pPr>
        <w:r w:rsidRPr="000B3C67">
          <w:rPr>
            <w:rFonts w:ascii="Book Antiqua" w:hAnsi="Book Antiqua"/>
            <w:sz w:val="24"/>
            <w:szCs w:val="24"/>
          </w:rPr>
          <w:fldChar w:fldCharType="begin"/>
        </w:r>
        <w:r w:rsidRPr="000B3C67">
          <w:rPr>
            <w:rFonts w:ascii="Book Antiqua" w:hAnsi="Book Antiqua"/>
            <w:sz w:val="24"/>
            <w:szCs w:val="24"/>
          </w:rPr>
          <w:instrText xml:space="preserve"> PAGE   \* MERGEFORMAT </w:instrText>
        </w:r>
        <w:r w:rsidRPr="000B3C67">
          <w:rPr>
            <w:rFonts w:ascii="Book Antiqua" w:hAnsi="Book Antiqua"/>
            <w:sz w:val="24"/>
            <w:szCs w:val="24"/>
          </w:rPr>
          <w:fldChar w:fldCharType="separate"/>
        </w:r>
        <w:r w:rsidRPr="000B3C67">
          <w:rPr>
            <w:rFonts w:ascii="Book Antiqua" w:hAnsi="Book Antiqua"/>
            <w:noProof/>
            <w:sz w:val="24"/>
            <w:szCs w:val="24"/>
          </w:rPr>
          <w:t>2</w:t>
        </w:r>
        <w:r w:rsidRPr="000B3C67">
          <w:rPr>
            <w:rFonts w:ascii="Book Antiqua" w:hAnsi="Book Antiqua"/>
            <w:noProof/>
            <w:sz w:val="24"/>
            <w:szCs w:val="24"/>
          </w:rPr>
          <w:fldChar w:fldCharType="end"/>
        </w:r>
        <w:r w:rsidRPr="000B3C67">
          <w:rPr>
            <w:rFonts w:ascii="Book Antiqua" w:hAnsi="Book Antiqua"/>
            <w:noProof/>
            <w:sz w:val="24"/>
            <w:szCs w:val="24"/>
          </w:rPr>
          <w:t xml:space="preserve"> / 2</w:t>
        </w:r>
        <w:r w:rsidR="006B577D">
          <w:rPr>
            <w:rFonts w:ascii="Book Antiqua" w:hAnsi="Book Antiqua"/>
            <w:noProof/>
            <w:sz w:val="24"/>
            <w:szCs w:val="24"/>
          </w:rPr>
          <w:t>3</w:t>
        </w:r>
      </w:p>
    </w:sdtContent>
  </w:sdt>
  <w:p w14:paraId="4F8FAA74" w14:textId="77777777" w:rsidR="00C14ED9" w:rsidRDefault="00C1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065D" w14:textId="77777777" w:rsidR="00830286" w:rsidRDefault="00830286" w:rsidP="002D73AA">
      <w:r>
        <w:separator/>
      </w:r>
    </w:p>
  </w:footnote>
  <w:footnote w:type="continuationSeparator" w:id="0">
    <w:p w14:paraId="247F2FD9" w14:textId="77777777" w:rsidR="00830286" w:rsidRDefault="00830286" w:rsidP="002D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69"/>
    <w:rsid w:val="000259CC"/>
    <w:rsid w:val="00054C29"/>
    <w:rsid w:val="00056FCE"/>
    <w:rsid w:val="00063252"/>
    <w:rsid w:val="00076467"/>
    <w:rsid w:val="00083D19"/>
    <w:rsid w:val="00084B5A"/>
    <w:rsid w:val="000B3C67"/>
    <w:rsid w:val="000C01DE"/>
    <w:rsid w:val="00122829"/>
    <w:rsid w:val="0013465E"/>
    <w:rsid w:val="001376E1"/>
    <w:rsid w:val="00153AAE"/>
    <w:rsid w:val="001A1C75"/>
    <w:rsid w:val="0023717E"/>
    <w:rsid w:val="00254413"/>
    <w:rsid w:val="002D0F4B"/>
    <w:rsid w:val="002D73AA"/>
    <w:rsid w:val="002F50B9"/>
    <w:rsid w:val="00306C04"/>
    <w:rsid w:val="00340B79"/>
    <w:rsid w:val="00345D3B"/>
    <w:rsid w:val="00367F97"/>
    <w:rsid w:val="00371F09"/>
    <w:rsid w:val="0040292C"/>
    <w:rsid w:val="00402CB8"/>
    <w:rsid w:val="00422063"/>
    <w:rsid w:val="004267BD"/>
    <w:rsid w:val="00430814"/>
    <w:rsid w:val="00446814"/>
    <w:rsid w:val="00446D52"/>
    <w:rsid w:val="00457CE4"/>
    <w:rsid w:val="00471C76"/>
    <w:rsid w:val="004F0621"/>
    <w:rsid w:val="00515753"/>
    <w:rsid w:val="0054765E"/>
    <w:rsid w:val="00570091"/>
    <w:rsid w:val="00580DDF"/>
    <w:rsid w:val="005942DB"/>
    <w:rsid w:val="005E464A"/>
    <w:rsid w:val="005E6692"/>
    <w:rsid w:val="0060066A"/>
    <w:rsid w:val="006053B2"/>
    <w:rsid w:val="00641674"/>
    <w:rsid w:val="00645FA0"/>
    <w:rsid w:val="006733C1"/>
    <w:rsid w:val="006B577D"/>
    <w:rsid w:val="006C3CCB"/>
    <w:rsid w:val="006D2784"/>
    <w:rsid w:val="006E0A9D"/>
    <w:rsid w:val="006E6B96"/>
    <w:rsid w:val="00721100"/>
    <w:rsid w:val="00746793"/>
    <w:rsid w:val="00780305"/>
    <w:rsid w:val="0080797A"/>
    <w:rsid w:val="00830286"/>
    <w:rsid w:val="008327F8"/>
    <w:rsid w:val="008402B2"/>
    <w:rsid w:val="008749D7"/>
    <w:rsid w:val="008B08D6"/>
    <w:rsid w:val="008B4F09"/>
    <w:rsid w:val="008E3E5F"/>
    <w:rsid w:val="00914DAC"/>
    <w:rsid w:val="00923A78"/>
    <w:rsid w:val="00925609"/>
    <w:rsid w:val="00955159"/>
    <w:rsid w:val="009556EE"/>
    <w:rsid w:val="00960EAC"/>
    <w:rsid w:val="009729F0"/>
    <w:rsid w:val="00974B06"/>
    <w:rsid w:val="009B3456"/>
    <w:rsid w:val="009E07BC"/>
    <w:rsid w:val="009F0B7A"/>
    <w:rsid w:val="00A2004D"/>
    <w:rsid w:val="00A44F64"/>
    <w:rsid w:val="00A540FB"/>
    <w:rsid w:val="00A77B3E"/>
    <w:rsid w:val="00AA053F"/>
    <w:rsid w:val="00AF744E"/>
    <w:rsid w:val="00B03831"/>
    <w:rsid w:val="00B56060"/>
    <w:rsid w:val="00B71320"/>
    <w:rsid w:val="00B77449"/>
    <w:rsid w:val="00B82806"/>
    <w:rsid w:val="00B95513"/>
    <w:rsid w:val="00BB5A80"/>
    <w:rsid w:val="00BE006C"/>
    <w:rsid w:val="00C01140"/>
    <w:rsid w:val="00C14ED9"/>
    <w:rsid w:val="00C24B0C"/>
    <w:rsid w:val="00C565ED"/>
    <w:rsid w:val="00C642AE"/>
    <w:rsid w:val="00C74240"/>
    <w:rsid w:val="00C77523"/>
    <w:rsid w:val="00CA2A55"/>
    <w:rsid w:val="00CB118F"/>
    <w:rsid w:val="00CD75D6"/>
    <w:rsid w:val="00D03257"/>
    <w:rsid w:val="00D22615"/>
    <w:rsid w:val="00D26E15"/>
    <w:rsid w:val="00D27BA7"/>
    <w:rsid w:val="00D27D08"/>
    <w:rsid w:val="00D61DE3"/>
    <w:rsid w:val="00D64701"/>
    <w:rsid w:val="00D67C6F"/>
    <w:rsid w:val="00D75C2E"/>
    <w:rsid w:val="00D940EB"/>
    <w:rsid w:val="00DA0532"/>
    <w:rsid w:val="00DA7DA4"/>
    <w:rsid w:val="00DD374A"/>
    <w:rsid w:val="00DE0CE5"/>
    <w:rsid w:val="00DE6BC6"/>
    <w:rsid w:val="00E0344A"/>
    <w:rsid w:val="00E10E62"/>
    <w:rsid w:val="00E24C7C"/>
    <w:rsid w:val="00E3045F"/>
    <w:rsid w:val="00E648DE"/>
    <w:rsid w:val="00E7268B"/>
    <w:rsid w:val="00E93003"/>
    <w:rsid w:val="00EA436D"/>
    <w:rsid w:val="00EA675D"/>
    <w:rsid w:val="00EC541E"/>
    <w:rsid w:val="00F23333"/>
    <w:rsid w:val="00F81231"/>
    <w:rsid w:val="00F850B4"/>
    <w:rsid w:val="00FD0555"/>
    <w:rsid w:val="00FE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E4FFD"/>
  <w15:docId w15:val="{7EB38D5F-7FA6-4902-B580-B0C2095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
    <w:name w:val="Geen"/>
    <w:basedOn w:val="DefaultParagraphFont"/>
  </w:style>
  <w:style w:type="paragraph" w:styleId="Header">
    <w:name w:val="header"/>
    <w:basedOn w:val="Normal"/>
    <w:link w:val="HeaderChar"/>
    <w:unhideWhenUsed/>
    <w:rsid w:val="002D73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D73AA"/>
    <w:rPr>
      <w:sz w:val="18"/>
      <w:szCs w:val="18"/>
    </w:rPr>
  </w:style>
  <w:style w:type="paragraph" w:styleId="Footer">
    <w:name w:val="footer"/>
    <w:basedOn w:val="Normal"/>
    <w:link w:val="FooterChar"/>
    <w:uiPriority w:val="99"/>
    <w:unhideWhenUsed/>
    <w:rsid w:val="002D73A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73AA"/>
    <w:rPr>
      <w:sz w:val="18"/>
      <w:szCs w:val="18"/>
    </w:rPr>
  </w:style>
  <w:style w:type="table" w:styleId="TableGrid">
    <w:name w:val="Table Grid"/>
    <w:basedOn w:val="TableNormal"/>
    <w:uiPriority w:val="59"/>
    <w:rsid w:val="00BB5A80"/>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40EB"/>
    <w:rPr>
      <w:sz w:val="18"/>
      <w:szCs w:val="18"/>
    </w:rPr>
  </w:style>
  <w:style w:type="character" w:customStyle="1" w:styleId="BalloonTextChar">
    <w:name w:val="Balloon Text Char"/>
    <w:basedOn w:val="DefaultParagraphFont"/>
    <w:link w:val="BalloonText"/>
    <w:rsid w:val="00D940EB"/>
    <w:rPr>
      <w:sz w:val="18"/>
      <w:szCs w:val="18"/>
    </w:rPr>
  </w:style>
  <w:style w:type="paragraph" w:styleId="Revision">
    <w:name w:val="Revision"/>
    <w:hidden/>
    <w:uiPriority w:val="99"/>
    <w:semiHidden/>
    <w:rsid w:val="00641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8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2021-01-14T03:00:00Z</dcterms:created>
  <dcterms:modified xsi:type="dcterms:W3CDTF">2021-01-14T03:00:00Z</dcterms:modified>
</cp:coreProperties>
</file>