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E4E32" w14:textId="77777777" w:rsidR="0012737F" w:rsidRDefault="0066346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07ADD5D" w14:textId="77777777" w:rsidR="0012737F" w:rsidRDefault="0066346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60117</w:t>
      </w:r>
    </w:p>
    <w:p w14:paraId="048ADC61" w14:textId="77777777" w:rsidR="0012737F" w:rsidRDefault="0066346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E35336E" w14:textId="77777777" w:rsidR="0012737F" w:rsidRDefault="0012737F">
      <w:pPr>
        <w:spacing w:line="360" w:lineRule="auto"/>
        <w:jc w:val="both"/>
      </w:pPr>
    </w:p>
    <w:p w14:paraId="3A02DF28" w14:textId="77777777" w:rsidR="0012737F" w:rsidRDefault="00663462">
      <w:pPr>
        <w:spacing w:line="360" w:lineRule="auto"/>
        <w:jc w:val="both"/>
      </w:pPr>
      <w:r>
        <w:rPr>
          <w:rFonts w:ascii="Book Antiqua" w:eastAsia="Book Antiqua" w:hAnsi="Book Antiqua" w:cs="Book Antiqua"/>
          <w:b/>
          <w:i/>
          <w:color w:val="000000"/>
        </w:rPr>
        <w:t>Retrospective Study</w:t>
      </w:r>
    </w:p>
    <w:p w14:paraId="1B37D41B" w14:textId="4D13AE3E" w:rsidR="0012737F" w:rsidRDefault="00663462">
      <w:pPr>
        <w:spacing w:line="360" w:lineRule="auto"/>
        <w:jc w:val="both"/>
      </w:pPr>
      <w:r>
        <w:rPr>
          <w:rFonts w:ascii="Book Antiqua" w:eastAsia="Book Antiqua" w:hAnsi="Book Antiqua" w:cs="Book Antiqua"/>
          <w:b/>
          <w:color w:val="000000"/>
        </w:rPr>
        <w:t xml:space="preserve">Valuable clinical indicators for </w:t>
      </w:r>
      <w:bookmarkStart w:id="0" w:name="_Hlk58002879"/>
      <w:r>
        <w:rPr>
          <w:rFonts w:ascii="Book Antiqua" w:eastAsia="Book Antiqua" w:hAnsi="Book Antiqua" w:cs="Book Antiqua"/>
          <w:b/>
          <w:color w:val="000000"/>
        </w:rPr>
        <w:t>identifying infantile-onset inflammatory bowel disease</w:t>
      </w:r>
      <w:bookmarkEnd w:id="0"/>
      <w:r>
        <w:rPr>
          <w:rFonts w:ascii="Book Antiqua" w:eastAsia="Book Antiqua" w:hAnsi="Book Antiqua" w:cs="Book Antiqua"/>
          <w:b/>
          <w:color w:val="000000"/>
        </w:rPr>
        <w:t xml:space="preserve"> patients with monogenic diseases</w:t>
      </w:r>
    </w:p>
    <w:p w14:paraId="47D0C9BA" w14:textId="77777777" w:rsidR="0012737F" w:rsidRDefault="0012737F">
      <w:pPr>
        <w:spacing w:line="360" w:lineRule="auto"/>
        <w:jc w:val="both"/>
      </w:pPr>
    </w:p>
    <w:p w14:paraId="2FD7CE12" w14:textId="3712FAFB" w:rsidR="0012737F" w:rsidRDefault="00663462">
      <w:pPr>
        <w:spacing w:line="360" w:lineRule="auto"/>
        <w:jc w:val="both"/>
      </w:pPr>
      <w:r>
        <w:rPr>
          <w:rFonts w:ascii="Book Antiqua" w:eastAsia="Book Antiqua" w:hAnsi="Book Antiqua" w:cs="Book Antiqua"/>
          <w:color w:val="000000"/>
        </w:rPr>
        <w:t xml:space="preserve">Su W </w:t>
      </w:r>
      <w:r>
        <w:rPr>
          <w:rFonts w:ascii="Book Antiqua" w:eastAsia="Book Antiqua" w:hAnsi="Book Antiqua" w:cs="Book Antiqua"/>
          <w:i/>
          <w:iCs/>
          <w:color w:val="000000"/>
        </w:rPr>
        <w:t>et al</w:t>
      </w:r>
      <w:r>
        <w:rPr>
          <w:rFonts w:ascii="Book Antiqua" w:eastAsia="Book Antiqua" w:hAnsi="Book Antiqua" w:cs="Book Antiqua"/>
          <w:color w:val="000000"/>
        </w:rPr>
        <w:t>. Clinical indicators for IO-IBD</w:t>
      </w:r>
    </w:p>
    <w:p w14:paraId="050958CB" w14:textId="77777777" w:rsidR="0012737F" w:rsidRDefault="0012737F">
      <w:pPr>
        <w:spacing w:line="360" w:lineRule="auto"/>
        <w:jc w:val="both"/>
      </w:pPr>
    </w:p>
    <w:p w14:paraId="52A00577" w14:textId="77777777" w:rsidR="0012737F" w:rsidRDefault="00663462">
      <w:pPr>
        <w:spacing w:line="360" w:lineRule="auto"/>
        <w:jc w:val="both"/>
      </w:pPr>
      <w:r>
        <w:rPr>
          <w:rFonts w:ascii="Book Antiqua" w:eastAsia="Book Antiqua" w:hAnsi="Book Antiqua" w:cs="Book Antiqua"/>
          <w:color w:val="000000"/>
        </w:rPr>
        <w:t xml:space="preserve">Wen Su, Yi Yu, Xu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Xin-</w:t>
      </w:r>
      <w:proofErr w:type="spellStart"/>
      <w:r>
        <w:rPr>
          <w:rFonts w:ascii="Book Antiqua" w:eastAsia="Book Antiqua" w:hAnsi="Book Antiqua" w:cs="Book Antiqua"/>
          <w:color w:val="000000"/>
        </w:rPr>
        <w:t>Qiong</w:t>
      </w:r>
      <w:proofErr w:type="spellEnd"/>
      <w:r>
        <w:rPr>
          <w:rFonts w:ascii="Book Antiqua" w:eastAsia="Book Antiqua" w:hAnsi="Book Antiqua" w:cs="Book Antiqua"/>
          <w:color w:val="000000"/>
        </w:rPr>
        <w:t xml:space="preserve"> Wang,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-Bin Huang, Chun-Di Xu, Yuan Xiao</w:t>
      </w:r>
    </w:p>
    <w:p w14:paraId="5FFE7607" w14:textId="77777777" w:rsidR="0012737F" w:rsidRDefault="0012737F">
      <w:pPr>
        <w:spacing w:line="360" w:lineRule="auto"/>
        <w:jc w:val="both"/>
      </w:pPr>
    </w:p>
    <w:p w14:paraId="4002D58A" w14:textId="77777777" w:rsidR="0012737F" w:rsidRDefault="00663462">
      <w:pPr>
        <w:spacing w:line="360" w:lineRule="auto"/>
        <w:jc w:val="both"/>
      </w:pPr>
      <w:r>
        <w:rPr>
          <w:rFonts w:ascii="Book Antiqua" w:eastAsia="Book Antiqua" w:hAnsi="Book Antiqua" w:cs="Book Antiqua"/>
          <w:b/>
          <w:bCs/>
          <w:color w:val="000000"/>
        </w:rPr>
        <w:t xml:space="preserve">Wen Su, Yi Yu, Xu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Xin-</w:t>
      </w:r>
      <w:proofErr w:type="spellStart"/>
      <w:r>
        <w:rPr>
          <w:rFonts w:ascii="Book Antiqua" w:eastAsia="Book Antiqua" w:hAnsi="Book Antiqua" w:cs="Book Antiqua"/>
          <w:b/>
          <w:bCs/>
          <w:color w:val="000000"/>
        </w:rPr>
        <w:t>Qiong</w:t>
      </w:r>
      <w:proofErr w:type="spellEnd"/>
      <w:r>
        <w:rPr>
          <w:rFonts w:ascii="Book Antiqua" w:eastAsia="Book Antiqua" w:hAnsi="Book Antiqua" w:cs="Book Antiqua"/>
          <w:b/>
          <w:bCs/>
          <w:color w:val="000000"/>
        </w:rPr>
        <w:t xml:space="preserve"> Wang,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-Bin Huang, Chun-Di Xu, Yuan Xiao, </w:t>
      </w:r>
      <w:r>
        <w:rPr>
          <w:rFonts w:ascii="Book Antiqua" w:eastAsia="Book Antiqua" w:hAnsi="Book Antiqua" w:cs="Book Antiqua"/>
          <w:color w:val="000000"/>
        </w:rPr>
        <w:t xml:space="preserve">Department of Pediatrics,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Hospital, Shanghai Jiao Tong University, School of Medicine, Shanghai 200025, China</w:t>
      </w:r>
    </w:p>
    <w:p w14:paraId="47C6F7A8" w14:textId="77777777" w:rsidR="0012737F" w:rsidRDefault="0012737F">
      <w:pPr>
        <w:spacing w:line="360" w:lineRule="auto"/>
        <w:jc w:val="both"/>
      </w:pPr>
    </w:p>
    <w:p w14:paraId="3717D0C8" w14:textId="77777777" w:rsidR="0012737F" w:rsidRDefault="00663462">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Su W and Yu Y contributed equally to this work; Su W and Yu Y were in charge of the data analysis and writing; Xu X and Wang XQ contributed to data collection; Huang JB contributed to literature search and figure preparation; Xu CD and Xiao Y contributed to study design and data interpretation, and they contributed equally to this work; </w:t>
      </w:r>
      <w:r>
        <w:rPr>
          <w:rFonts w:ascii="Book Antiqua" w:eastAsia="Book Antiqua" w:hAnsi="Book Antiqua" w:cs="Book Antiqua"/>
          <w:color w:val="000000"/>
          <w:shd w:val="clear" w:color="auto" w:fill="FFFFFF"/>
        </w:rPr>
        <w:t>all authors have read and approved the final manuscript.</w:t>
      </w:r>
    </w:p>
    <w:p w14:paraId="27B15FF3" w14:textId="77777777" w:rsidR="0012737F" w:rsidRDefault="0012737F">
      <w:pPr>
        <w:spacing w:line="360" w:lineRule="auto"/>
        <w:jc w:val="both"/>
      </w:pPr>
    </w:p>
    <w:p w14:paraId="5ABAB834" w14:textId="6E33304B" w:rsidR="0012737F" w:rsidRDefault="00663462">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Scientific Research Fund of Shanghai Municipal Health Commission, No. 201640368; National Natural Science Foundation of China, No. 81741103; and The Shanghai Plan for Women and Children's Health Service Capacity Construction (Enhancing the Service Capacity of Shanghai Women and Children Health Care Institutions).</w:t>
      </w:r>
    </w:p>
    <w:p w14:paraId="4839954E" w14:textId="77777777" w:rsidR="0012737F" w:rsidRDefault="0012737F">
      <w:pPr>
        <w:spacing w:line="360" w:lineRule="auto"/>
        <w:jc w:val="both"/>
      </w:pPr>
    </w:p>
    <w:p w14:paraId="6421B92F" w14:textId="77777777" w:rsidR="0012737F" w:rsidRDefault="00663462">
      <w:pPr>
        <w:spacing w:line="360" w:lineRule="auto"/>
        <w:jc w:val="both"/>
      </w:pPr>
      <w:r>
        <w:rPr>
          <w:rFonts w:ascii="Book Antiqua" w:eastAsia="Book Antiqua" w:hAnsi="Book Antiqua" w:cs="Book Antiqua"/>
          <w:b/>
          <w:bCs/>
          <w:color w:val="000000"/>
        </w:rPr>
        <w:lastRenderedPageBreak/>
        <w:t xml:space="preserve">Corresponding author: Yuan Xiao, MD, PhD, Associate Chief Physician, Doctor, </w:t>
      </w:r>
      <w:r>
        <w:rPr>
          <w:rFonts w:ascii="Book Antiqua" w:eastAsia="Book Antiqua" w:hAnsi="Book Antiqua" w:cs="Book Antiqua"/>
          <w:color w:val="000000"/>
        </w:rPr>
        <w:t xml:space="preserve">Department of Pediatrics,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Hospital, Shanghai Jiao Tong University, School of Medicine, No. 197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2 Road, Shanghai 200025, China. yxiao.penicilinum@gmail.com</w:t>
      </w:r>
    </w:p>
    <w:p w14:paraId="7CCA36D5" w14:textId="77777777" w:rsidR="0012737F" w:rsidRDefault="0012737F">
      <w:pPr>
        <w:spacing w:line="360" w:lineRule="auto"/>
        <w:jc w:val="both"/>
      </w:pPr>
    </w:p>
    <w:p w14:paraId="74A685C2" w14:textId="77777777" w:rsidR="0012737F" w:rsidRDefault="0066346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16, 2020</w:t>
      </w:r>
    </w:p>
    <w:p w14:paraId="33665166" w14:textId="77777777" w:rsidR="0012737F" w:rsidRDefault="0066346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 2020</w:t>
      </w:r>
    </w:p>
    <w:p w14:paraId="774D7B83" w14:textId="77777777" w:rsidR="0012737F" w:rsidRDefault="00663462">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December 11, 2020</w:t>
      </w:r>
    </w:p>
    <w:p w14:paraId="7288390A" w14:textId="77CDD572" w:rsidR="0012737F" w:rsidRPr="000779DA" w:rsidRDefault="00663462">
      <w:pPr>
        <w:spacing w:line="360" w:lineRule="auto"/>
        <w:jc w:val="both"/>
        <w:rPr>
          <w:lang w:eastAsia="zh-CN"/>
        </w:rPr>
      </w:pPr>
      <w:r>
        <w:rPr>
          <w:rFonts w:ascii="Book Antiqua" w:eastAsia="Book Antiqua" w:hAnsi="Book Antiqua" w:cs="Book Antiqua"/>
          <w:b/>
          <w:bCs/>
          <w:color w:val="000000"/>
        </w:rPr>
        <w:t xml:space="preserve">Published online: </w:t>
      </w:r>
      <w:r w:rsidR="000779DA" w:rsidRPr="000779DA">
        <w:rPr>
          <w:rFonts w:ascii="Book Antiqua" w:eastAsia="Book Antiqua" w:hAnsi="Book Antiqua" w:cs="Book Antiqua"/>
          <w:bCs/>
          <w:color w:val="000000"/>
        </w:rPr>
        <w:t>January 7</w:t>
      </w:r>
      <w:r w:rsidR="000779DA" w:rsidRPr="000779DA">
        <w:rPr>
          <w:rFonts w:ascii="Book Antiqua" w:hAnsi="Book Antiqua" w:cs="Book Antiqua" w:hint="eastAsia"/>
          <w:bCs/>
          <w:color w:val="000000"/>
          <w:lang w:eastAsia="zh-CN"/>
        </w:rPr>
        <w:t>, 202</w:t>
      </w:r>
      <w:r w:rsidR="000779DA">
        <w:rPr>
          <w:rFonts w:ascii="Book Antiqua" w:hAnsi="Book Antiqua" w:cs="Book Antiqua" w:hint="eastAsia"/>
          <w:bCs/>
          <w:color w:val="000000"/>
          <w:lang w:eastAsia="zh-CN"/>
        </w:rPr>
        <w:t>1</w:t>
      </w:r>
    </w:p>
    <w:p w14:paraId="6F011690" w14:textId="77777777" w:rsidR="0012737F" w:rsidRDefault="0012737F">
      <w:pPr>
        <w:spacing w:line="360" w:lineRule="auto"/>
        <w:jc w:val="both"/>
        <w:sectPr w:rsidR="0012737F">
          <w:footerReference w:type="default" r:id="rId8"/>
          <w:pgSz w:w="12240" w:h="15840"/>
          <w:pgMar w:top="1440" w:right="1440" w:bottom="1440" w:left="1440" w:header="720" w:footer="720" w:gutter="0"/>
          <w:cols w:space="720"/>
          <w:docGrid w:linePitch="360"/>
        </w:sectPr>
      </w:pPr>
    </w:p>
    <w:p w14:paraId="17CB7BBD" w14:textId="77777777" w:rsidR="0012737F" w:rsidRDefault="00663462">
      <w:pPr>
        <w:spacing w:line="360" w:lineRule="auto"/>
        <w:jc w:val="both"/>
      </w:pPr>
      <w:r>
        <w:rPr>
          <w:rFonts w:ascii="Book Antiqua" w:eastAsia="Book Antiqua" w:hAnsi="Book Antiqua" w:cs="Book Antiqua"/>
          <w:b/>
          <w:color w:val="000000"/>
        </w:rPr>
        <w:lastRenderedPageBreak/>
        <w:t>Abstract</w:t>
      </w:r>
    </w:p>
    <w:p w14:paraId="7456CB03" w14:textId="77777777" w:rsidR="0012737F" w:rsidRDefault="00663462">
      <w:pPr>
        <w:spacing w:line="360" w:lineRule="auto"/>
        <w:jc w:val="both"/>
      </w:pPr>
      <w:r>
        <w:rPr>
          <w:rFonts w:ascii="Book Antiqua" w:eastAsia="Book Antiqua" w:hAnsi="Book Antiqua" w:cs="Book Antiqua"/>
          <w:color w:val="000000"/>
        </w:rPr>
        <w:t>BACKGROUND</w:t>
      </w:r>
    </w:p>
    <w:p w14:paraId="40B72BA0" w14:textId="2BB7D0AB" w:rsidR="0012737F" w:rsidRDefault="00663462">
      <w:pPr>
        <w:spacing w:line="360" w:lineRule="auto"/>
        <w:jc w:val="both"/>
      </w:pPr>
      <w:bookmarkStart w:id="1" w:name="_Hlk58234537"/>
      <w:r>
        <w:rPr>
          <w:rFonts w:ascii="Book Antiqua" w:eastAsia="Book Antiqua" w:hAnsi="Book Antiqua" w:cs="Book Antiqua"/>
          <w:color w:val="000000"/>
          <w:szCs w:val="22"/>
        </w:rPr>
        <w:t>Infantile-onset inflammatory bowel disease</w:t>
      </w:r>
      <w:bookmarkEnd w:id="1"/>
      <w:r>
        <w:rPr>
          <w:rFonts w:ascii="Book Antiqua" w:eastAsia="Book Antiqua" w:hAnsi="Book Antiqua" w:cs="Book Antiqua"/>
          <w:color w:val="000000"/>
          <w:szCs w:val="22"/>
        </w:rPr>
        <w:t xml:space="preserve"> (IO-IBD) occurs in very young children and causes severe clinical manifestations, which has poor responses to traditional inflammatory bowel disease (IBD) treatments. At present, there are no simple and reliable laboratory indicators for early screening IO-IBD patients, especially those in whom the disease is caused by monogenic diseases.</w:t>
      </w:r>
    </w:p>
    <w:p w14:paraId="4E116494" w14:textId="77777777" w:rsidR="0012737F" w:rsidRDefault="0012737F">
      <w:pPr>
        <w:spacing w:line="360" w:lineRule="auto"/>
        <w:jc w:val="both"/>
      </w:pPr>
    </w:p>
    <w:p w14:paraId="0C4C583D" w14:textId="77777777" w:rsidR="0012737F" w:rsidRDefault="00663462">
      <w:pPr>
        <w:spacing w:line="360" w:lineRule="auto"/>
        <w:jc w:val="both"/>
      </w:pPr>
      <w:r>
        <w:rPr>
          <w:rFonts w:ascii="Book Antiqua" w:eastAsia="Book Antiqua" w:hAnsi="Book Antiqua" w:cs="Book Antiqua"/>
          <w:color w:val="000000"/>
        </w:rPr>
        <w:t>AIM</w:t>
      </w:r>
    </w:p>
    <w:p w14:paraId="67E1C0CC" w14:textId="60B8B86F" w:rsidR="0012737F" w:rsidRDefault="00663462">
      <w:pPr>
        <w:spacing w:line="360" w:lineRule="auto"/>
        <w:jc w:val="both"/>
      </w:pPr>
      <w:r>
        <w:rPr>
          <w:rFonts w:ascii="Book Antiqua" w:eastAsia="Book Antiqua" w:hAnsi="Book Antiqua" w:cs="Book Antiqua"/>
          <w:color w:val="000000"/>
        </w:rPr>
        <w:t xml:space="preserve">To search for valuable indicators for early identifying IO-IBD patients, especially those in whom </w:t>
      </w:r>
      <w:r>
        <w:rPr>
          <w:rFonts w:ascii="Book Antiqua" w:eastAsia="Book Antiqua" w:hAnsi="Book Antiqua" w:cs="Book Antiqua"/>
          <w:color w:val="000000"/>
          <w:szCs w:val="22"/>
        </w:rPr>
        <w:t>the disease is</w:t>
      </w:r>
      <w:r>
        <w:rPr>
          <w:rFonts w:ascii="Book Antiqua" w:eastAsia="Book Antiqua" w:hAnsi="Book Antiqua" w:cs="Book Antiqua"/>
          <w:color w:val="000000"/>
        </w:rPr>
        <w:t xml:space="preserve"> caused by monogenic diseases.</w:t>
      </w:r>
    </w:p>
    <w:p w14:paraId="5AAE4B7E" w14:textId="77777777" w:rsidR="0012737F" w:rsidRDefault="0012737F">
      <w:pPr>
        <w:spacing w:line="360" w:lineRule="auto"/>
        <w:jc w:val="both"/>
      </w:pPr>
    </w:p>
    <w:p w14:paraId="6B930480" w14:textId="77777777" w:rsidR="0012737F" w:rsidRDefault="00663462">
      <w:pPr>
        <w:spacing w:line="360" w:lineRule="auto"/>
        <w:jc w:val="both"/>
      </w:pPr>
      <w:r>
        <w:rPr>
          <w:rFonts w:ascii="Book Antiqua" w:eastAsia="Book Antiqua" w:hAnsi="Book Antiqua" w:cs="Book Antiqua"/>
          <w:color w:val="000000"/>
        </w:rPr>
        <w:t>METHODS</w:t>
      </w:r>
    </w:p>
    <w:p w14:paraId="022099A4" w14:textId="74F0F7CB" w:rsidR="0012737F" w:rsidRDefault="00663462">
      <w:pPr>
        <w:spacing w:line="360" w:lineRule="auto"/>
        <w:jc w:val="both"/>
      </w:pPr>
      <w:r>
        <w:rPr>
          <w:rFonts w:ascii="Book Antiqua" w:eastAsia="Book Antiqua" w:hAnsi="Book Antiqua" w:cs="Book Antiqua"/>
          <w:color w:val="000000"/>
          <w:szCs w:val="22"/>
        </w:rPr>
        <w:t xml:space="preserve">A retrospective analysis was performed in 73 patients with IO-IBD admitted to our hospital in the past 5 years. Based on the next-generation sequencing results, they were divided into a monogenic IBD group (M-IBD) and a non-monogenic IBD group (NM-IBD). Forty age-matched patients with allergic </w:t>
      </w:r>
      <w:proofErr w:type="spellStart"/>
      <w:r>
        <w:rPr>
          <w:rFonts w:ascii="Book Antiqua" w:eastAsia="Book Antiqua" w:hAnsi="Book Antiqua" w:cs="Book Antiqua"/>
          <w:color w:val="000000"/>
          <w:szCs w:val="22"/>
        </w:rPr>
        <w:t>proctocolitis</w:t>
      </w:r>
      <w:proofErr w:type="spellEnd"/>
      <w:r>
        <w:rPr>
          <w:rFonts w:ascii="Book Antiqua" w:eastAsia="Book Antiqua" w:hAnsi="Book Antiqua" w:cs="Book Antiqua"/>
          <w:color w:val="000000"/>
          <w:szCs w:val="22"/>
        </w:rPr>
        <w:t xml:space="preserve"> (AP) were included in a control group. The clinical manifestations and the inflammatory factors in peripheral blood were evaluated. Logistic regression analysis and receiver operating characteristic (ROC) curve analysis were used to identify the screening factors and cut-off values of IO-IBD as well as monogenic IO-IBD, respectively.</w:t>
      </w:r>
    </w:p>
    <w:p w14:paraId="37B2D4DD" w14:textId="77777777" w:rsidR="0012737F" w:rsidRDefault="0012737F">
      <w:pPr>
        <w:spacing w:line="360" w:lineRule="auto"/>
        <w:jc w:val="both"/>
      </w:pPr>
    </w:p>
    <w:p w14:paraId="629CE32C" w14:textId="77777777" w:rsidR="0012737F" w:rsidRDefault="00663462">
      <w:pPr>
        <w:spacing w:line="360" w:lineRule="auto"/>
        <w:jc w:val="both"/>
      </w:pPr>
      <w:r>
        <w:rPr>
          <w:rFonts w:ascii="Book Antiqua" w:eastAsia="Book Antiqua" w:hAnsi="Book Antiqua" w:cs="Book Antiqua"/>
          <w:color w:val="000000"/>
        </w:rPr>
        <w:t>RESULTS</w:t>
      </w:r>
    </w:p>
    <w:p w14:paraId="37C40B5E" w14:textId="4A487C9D" w:rsidR="0012737F" w:rsidRDefault="00663462">
      <w:pPr>
        <w:spacing w:line="360" w:lineRule="auto"/>
        <w:jc w:val="both"/>
      </w:pPr>
      <w:r>
        <w:rPr>
          <w:rFonts w:ascii="Book Antiqua" w:eastAsia="Book Antiqua" w:hAnsi="Book Antiqua" w:cs="Book Antiqua"/>
          <w:color w:val="000000"/>
        </w:rPr>
        <w:t xml:space="preserve">Among the 44 M-IBD patients, 35 carried </w:t>
      </w:r>
      <w:r>
        <w:rPr>
          <w:rFonts w:ascii="Book Antiqua" w:eastAsia="Book Antiqua" w:hAnsi="Book Antiqua" w:cs="Book Antiqua"/>
          <w:i/>
          <w:iCs/>
          <w:color w:val="000000"/>
        </w:rPr>
        <w:t>IL-10RA</w:t>
      </w:r>
      <w:r>
        <w:rPr>
          <w:rFonts w:ascii="Book Antiqua" w:eastAsia="Book Antiqua" w:hAnsi="Book Antiqua" w:cs="Book Antiqua"/>
          <w:color w:val="000000"/>
        </w:rPr>
        <w:t> mutations, and the most common mutations were c.301C&gt;T (p.R101W, 30/70) and the c.537G&gt;A (p.T179T, 17/70). Patients with higher serum tumor necrosis factor (TNF)-α value were more likely to have IBD [</w:t>
      </w:r>
      <w:bookmarkStart w:id="2" w:name="_Hlk50367577"/>
      <w:r>
        <w:rPr>
          <w:rFonts w:ascii="Book Antiqua" w:eastAsia="Malgun Gothic" w:hAnsi="Book Antiqua"/>
        </w:rPr>
        <w:t>odds ratio</w:t>
      </w:r>
      <w:bookmarkEnd w:id="2"/>
      <w:r>
        <w:rPr>
          <w:rFonts w:ascii="Book Antiqua" w:eastAsia="Book Antiqua" w:hAnsi="Book Antiqua" w:cs="Book Antiqua"/>
          <w:color w:val="000000"/>
        </w:rPr>
        <w:t xml:space="preserve"> (OR) = 1.25, 95% </w:t>
      </w:r>
      <w:r>
        <w:rPr>
          <w:rFonts w:ascii="Book Antiqua" w:eastAsia="Malgun Gothic" w:hAnsi="Book Antiqua"/>
        </w:rPr>
        <w:t>confidence interval</w:t>
      </w:r>
      <w:r>
        <w:rPr>
          <w:rFonts w:ascii="Book Antiqua" w:eastAsia="Book Antiqua" w:hAnsi="Book Antiqua" w:cs="Book Antiqua"/>
          <w:color w:val="000000"/>
        </w:rPr>
        <w:t xml:space="preserve"> (CI): 1.05-1.50, </w:t>
      </w:r>
      <w:r>
        <w:rPr>
          <w:rFonts w:ascii="Book Antiqua" w:eastAsia="Book Antiqua" w:hAnsi="Book Antiqua" w:cs="Book Antiqua"/>
          <w:i/>
          <w:iCs/>
          <w:color w:val="000000"/>
        </w:rPr>
        <w:t xml:space="preserve">P </w:t>
      </w:r>
      <w:r>
        <w:rPr>
          <w:rFonts w:ascii="Book Antiqua" w:eastAsia="Book Antiqua" w:hAnsi="Book Antiqua" w:cs="Book Antiqua"/>
          <w:color w:val="000000"/>
        </w:rPr>
        <w:t>= 0.013], while higher serum albumin level was associated with lower risk of IBD (OR = 0.86, 95%CI: 0.74-1.00,</w:t>
      </w:r>
      <w:r>
        <w:rPr>
          <w:rFonts w:ascii="Book Antiqua" w:eastAsia="Book Antiqua" w:hAnsi="Book Antiqua" w:cs="Book Antiqua"/>
          <w:i/>
          <w:iCs/>
          <w:color w:val="000000"/>
        </w:rPr>
        <w:t xml:space="preserve"> P </w:t>
      </w:r>
      <w:r>
        <w:rPr>
          <w:rFonts w:ascii="Book Antiqua" w:eastAsia="Book Antiqua" w:hAnsi="Book Antiqua" w:cs="Book Antiqua"/>
          <w:color w:val="000000"/>
        </w:rPr>
        <w:t xml:space="preserve">= 0.048). The cut-off values of TNF-α and albumin were 17.40 </w:t>
      </w:r>
      <w:proofErr w:type="spellStart"/>
      <w:r>
        <w:rPr>
          <w:rFonts w:ascii="Book Antiqua" w:eastAsia="Book Antiqua" w:hAnsi="Book Antiqua" w:cs="Book Antiqua"/>
          <w:color w:val="000000"/>
        </w:rPr>
        <w:lastRenderedPageBreak/>
        <w:t>pg</w:t>
      </w:r>
      <w:proofErr w:type="spellEnd"/>
      <w:r>
        <w:rPr>
          <w:rFonts w:ascii="Book Antiqua" w:eastAsia="Book Antiqua" w:hAnsi="Book Antiqua" w:cs="Book Antiqua"/>
          <w:color w:val="000000"/>
        </w:rPr>
        <w:t xml:space="preserve">/mL (sensitivity: 0.78; specificity: 0.88) and 36.50 g/L (sensitivity: 0.80; specificity: 0.90), respectively. The increased ferritin level was indicative of a genetic mutation in IO-IBD patients. Its cut-off value was 28.20 ng/mL (sensitivity: 0.93; specificity: 0.92). When interleukin (IL)-10 level was higher than 33.05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(sensitivity: 1.00; specificity: 0.84), or the onset age was earlier than 0.21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(sensitivity: 0.82; specificity: 0.94), the presence of disease-causing mutations</w:t>
      </w:r>
      <w:r>
        <w:rPr>
          <w:rFonts w:ascii="Book Antiqua" w:eastAsia="Book Antiqua" w:hAnsi="Book Antiqua" w:cs="Book Antiqua"/>
          <w:i/>
          <w:iCs/>
          <w:color w:val="000000"/>
        </w:rPr>
        <w:t> </w:t>
      </w:r>
      <w:r>
        <w:rPr>
          <w:rFonts w:ascii="Book Antiqua" w:eastAsia="Book Antiqua" w:hAnsi="Book Antiqua" w:cs="Book Antiqua"/>
          <w:color w:val="000000"/>
        </w:rPr>
        <w:t>in</w:t>
      </w:r>
      <w:r>
        <w:rPr>
          <w:rFonts w:ascii="Book Antiqua" w:eastAsia="Book Antiqua" w:hAnsi="Book Antiqua" w:cs="Book Antiqua"/>
          <w:i/>
          <w:iCs/>
          <w:color w:val="000000"/>
        </w:rPr>
        <w:t> IL-10RA</w:t>
      </w:r>
      <w:r>
        <w:rPr>
          <w:rFonts w:ascii="Book Antiqua" w:eastAsia="Book Antiqua" w:hAnsi="Book Antiqua" w:cs="Book Antiqua"/>
          <w:color w:val="000000"/>
        </w:rPr>
        <w:t xml:space="preserve"> in IO-IBD patients was strongly suggested. </w:t>
      </w:r>
    </w:p>
    <w:p w14:paraId="76F4DCB4" w14:textId="77777777" w:rsidR="0012737F" w:rsidRDefault="0012737F">
      <w:pPr>
        <w:spacing w:line="360" w:lineRule="auto"/>
        <w:jc w:val="both"/>
      </w:pPr>
    </w:p>
    <w:p w14:paraId="2AC3D124" w14:textId="77777777" w:rsidR="0012737F" w:rsidRDefault="00663462">
      <w:pPr>
        <w:spacing w:line="360" w:lineRule="auto"/>
        <w:jc w:val="both"/>
      </w:pPr>
      <w:r>
        <w:rPr>
          <w:rFonts w:ascii="Book Antiqua" w:eastAsia="Book Antiqua" w:hAnsi="Book Antiqua" w:cs="Book Antiqua"/>
          <w:color w:val="000000"/>
        </w:rPr>
        <w:t>CONCLUSION</w:t>
      </w:r>
    </w:p>
    <w:p w14:paraId="353B0D59" w14:textId="79F9AADC" w:rsidR="0012737F" w:rsidRDefault="00663462">
      <w:pPr>
        <w:spacing w:line="360" w:lineRule="auto"/>
        <w:jc w:val="both"/>
      </w:pPr>
      <w:r>
        <w:rPr>
          <w:rFonts w:ascii="Book Antiqua" w:eastAsia="Book Antiqua" w:hAnsi="Book Antiqua" w:cs="Book Antiqua"/>
          <w:color w:val="000000"/>
        </w:rPr>
        <w:t>Serum TNF-</w:t>
      </w:r>
      <w:proofErr w:type="gramStart"/>
      <w:r>
        <w:rPr>
          <w:rFonts w:ascii="Book Antiqua" w:eastAsia="Book Antiqua" w:hAnsi="Book Antiqua" w:cs="Book Antiqua"/>
          <w:color w:val="000000"/>
        </w:rPr>
        <w:t>α and</w:t>
      </w:r>
      <w:proofErr w:type="gramEnd"/>
      <w:r>
        <w:rPr>
          <w:rFonts w:ascii="Book Antiqua" w:eastAsia="Book Antiqua" w:hAnsi="Book Antiqua" w:cs="Book Antiqua"/>
          <w:color w:val="000000"/>
        </w:rPr>
        <w:t xml:space="preserve"> albumin level could differentiate IO-IBD patients from allergic proctocolitis patients, and serum ferritin and IL-10 level</w:t>
      </w:r>
      <w:r w:rsidR="0014237A">
        <w:rPr>
          <w:rFonts w:ascii="Book Antiqua" w:eastAsia="Book Antiqua" w:hAnsi="Book Antiqua" w:cs="Book Antiqua"/>
          <w:color w:val="000000"/>
        </w:rPr>
        <w:t>s</w:t>
      </w:r>
      <w:r>
        <w:rPr>
          <w:rFonts w:ascii="Book Antiqua" w:eastAsia="Book Antiqua" w:hAnsi="Book Antiqua" w:cs="Book Antiqua"/>
          <w:color w:val="000000"/>
        </w:rPr>
        <w:t xml:space="preserve"> are useful indicators for early diagnosing monogenic IO-IBD.</w:t>
      </w:r>
    </w:p>
    <w:p w14:paraId="357BDCCF" w14:textId="77777777" w:rsidR="0012737F" w:rsidRDefault="0012737F">
      <w:pPr>
        <w:spacing w:line="360" w:lineRule="auto"/>
        <w:jc w:val="both"/>
      </w:pPr>
    </w:p>
    <w:p w14:paraId="6BD2C3FE" w14:textId="77777777" w:rsidR="0012737F" w:rsidRDefault="0066346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Infantile-onset inflammatory bowel disease; Immunodeficiency; Clinical indicators; Interleukin 10; Ferritin; </w:t>
      </w:r>
      <w:r>
        <w:rPr>
          <w:rFonts w:ascii="Book Antiqua" w:eastAsia="Book Antiqua" w:hAnsi="Book Antiqua" w:cs="Book Antiqua"/>
          <w:i/>
          <w:iCs/>
          <w:color w:val="000000"/>
        </w:rPr>
        <w:t>IL10RA</w:t>
      </w:r>
    </w:p>
    <w:p w14:paraId="0FB5DC77" w14:textId="77777777" w:rsidR="0012737F" w:rsidRDefault="0012737F">
      <w:pPr>
        <w:spacing w:line="360" w:lineRule="auto"/>
        <w:jc w:val="both"/>
      </w:pPr>
    </w:p>
    <w:p w14:paraId="0C0158DD" w14:textId="77777777" w:rsidR="00470E34" w:rsidRDefault="00470E34">
      <w:pPr>
        <w:spacing w:line="360" w:lineRule="auto"/>
        <w:jc w:val="both"/>
        <w:rPr>
          <w:rFonts w:ascii="Book Antiqua" w:hAnsi="Book Antiqua" w:cs="Book Antiqua" w:hint="eastAsia"/>
          <w:color w:val="000000"/>
          <w:lang w:eastAsia="zh-CN"/>
        </w:rPr>
      </w:pPr>
      <w:r w:rsidRPr="00470E34">
        <w:rPr>
          <w:rFonts w:ascii="Book Antiqua" w:hAnsi="Book Antiqua" w:cs="Book Antiqua" w:hint="eastAsia"/>
          <w:b/>
          <w:color w:val="000000"/>
          <w:lang w:eastAsia="zh-CN"/>
        </w:rPr>
        <w:t xml:space="preserve">Citation: </w:t>
      </w:r>
      <w:r w:rsidR="00663462">
        <w:rPr>
          <w:rFonts w:ascii="Book Antiqua" w:eastAsia="Book Antiqua" w:hAnsi="Book Antiqua" w:cs="Book Antiqua"/>
          <w:color w:val="000000"/>
        </w:rPr>
        <w:t xml:space="preserve">Su W, Yu Y, Xu X, Wang XQ, Huang JB, Xu CD, Xiao Y. Valuable clinical indicators for identifying infantile-onset inflammatory bowel disease patients with monogenic diseases. </w:t>
      </w:r>
      <w:r w:rsidR="00663462">
        <w:rPr>
          <w:rFonts w:ascii="Book Antiqua" w:eastAsia="Book Antiqua" w:hAnsi="Book Antiqua" w:cs="Book Antiqua"/>
          <w:i/>
          <w:iCs/>
          <w:color w:val="000000"/>
        </w:rPr>
        <w:t xml:space="preserve">World J </w:t>
      </w:r>
      <w:proofErr w:type="spellStart"/>
      <w:r w:rsidR="00663462">
        <w:rPr>
          <w:rFonts w:ascii="Book Antiqua" w:eastAsia="Book Antiqua" w:hAnsi="Book Antiqua" w:cs="Book Antiqua"/>
          <w:i/>
          <w:iCs/>
          <w:color w:val="000000"/>
        </w:rPr>
        <w:t>Gastroenterol</w:t>
      </w:r>
      <w:proofErr w:type="spellEnd"/>
      <w:r w:rsidR="00663462">
        <w:rPr>
          <w:rFonts w:ascii="Book Antiqua" w:eastAsia="Book Antiqua" w:hAnsi="Book Antiqua" w:cs="Book Antiqua"/>
          <w:color w:val="000000"/>
        </w:rPr>
        <w:t xml:space="preserve"> 202</w:t>
      </w:r>
      <w:r w:rsidR="000779DA">
        <w:rPr>
          <w:rFonts w:ascii="Book Antiqua" w:hAnsi="Book Antiqua" w:cs="Book Antiqua" w:hint="eastAsia"/>
          <w:color w:val="000000"/>
          <w:lang w:eastAsia="zh-CN"/>
        </w:rPr>
        <w:t>1</w:t>
      </w:r>
      <w:r w:rsidR="00663462">
        <w:rPr>
          <w:rFonts w:ascii="Book Antiqua" w:eastAsia="Book Antiqua" w:hAnsi="Book Antiqua" w:cs="Book Antiqua"/>
          <w:color w:val="000000"/>
        </w:rPr>
        <w:t xml:space="preserve">; </w:t>
      </w:r>
      <w:r w:rsidR="000779DA" w:rsidRPr="000779DA">
        <w:rPr>
          <w:rFonts w:ascii="Book Antiqua" w:eastAsia="Book Antiqua" w:hAnsi="Book Antiqua" w:cs="Book Antiqua"/>
          <w:color w:val="000000"/>
        </w:rPr>
        <w:t>2</w:t>
      </w:r>
      <w:r w:rsidR="000779DA">
        <w:rPr>
          <w:rFonts w:ascii="Book Antiqua" w:hAnsi="Book Antiqua" w:cs="Book Antiqua" w:hint="eastAsia"/>
          <w:color w:val="000000"/>
          <w:lang w:eastAsia="zh-CN"/>
        </w:rPr>
        <w:t>7</w:t>
      </w:r>
      <w:r w:rsidR="000779DA" w:rsidRPr="000779DA">
        <w:rPr>
          <w:rFonts w:ascii="Book Antiqua" w:eastAsia="Book Antiqua" w:hAnsi="Book Antiqua" w:cs="Book Antiqua"/>
          <w:color w:val="000000"/>
        </w:rPr>
        <w:t xml:space="preserve">(1): </w:t>
      </w:r>
      <w:r w:rsidR="00E553BA">
        <w:rPr>
          <w:rFonts w:ascii="Book Antiqua" w:hAnsi="Book Antiqua" w:cs="Book Antiqua" w:hint="eastAsia"/>
          <w:color w:val="000000"/>
          <w:lang w:eastAsia="zh-CN"/>
        </w:rPr>
        <w:t>92</w:t>
      </w:r>
      <w:r w:rsidR="000779DA" w:rsidRPr="000779DA">
        <w:rPr>
          <w:rFonts w:ascii="Book Antiqua" w:eastAsia="Book Antiqua" w:hAnsi="Book Antiqua" w:cs="Book Antiqua"/>
          <w:color w:val="000000"/>
        </w:rPr>
        <w:t>-</w:t>
      </w:r>
      <w:r w:rsidR="00E553BA">
        <w:rPr>
          <w:rFonts w:ascii="Book Antiqua" w:hAnsi="Book Antiqua" w:cs="Book Antiqua" w:hint="eastAsia"/>
          <w:color w:val="000000"/>
          <w:lang w:eastAsia="zh-CN"/>
        </w:rPr>
        <w:t>106</w:t>
      </w:r>
      <w:r w:rsidR="000779DA" w:rsidRPr="000779DA">
        <w:rPr>
          <w:rFonts w:ascii="Book Antiqua" w:eastAsia="Book Antiqua" w:hAnsi="Book Antiqua" w:cs="Book Antiqua"/>
          <w:color w:val="000000"/>
        </w:rPr>
        <w:t xml:space="preserve"> </w:t>
      </w:r>
    </w:p>
    <w:p w14:paraId="5D36B45A" w14:textId="1669E4EF" w:rsidR="00470E34" w:rsidRDefault="000779DA">
      <w:pPr>
        <w:spacing w:line="360" w:lineRule="auto"/>
        <w:jc w:val="both"/>
        <w:rPr>
          <w:rFonts w:ascii="Book Antiqua" w:hAnsi="Book Antiqua" w:cs="Book Antiqua" w:hint="eastAsia"/>
          <w:color w:val="000000"/>
          <w:lang w:eastAsia="zh-CN"/>
        </w:rPr>
      </w:pPr>
      <w:r w:rsidRPr="00470E34">
        <w:rPr>
          <w:rFonts w:ascii="Book Antiqua" w:eastAsia="Book Antiqua" w:hAnsi="Book Antiqua" w:cs="Book Antiqua"/>
          <w:b/>
          <w:color w:val="000000"/>
        </w:rPr>
        <w:t>URL:</w:t>
      </w:r>
      <w:r w:rsidRPr="000779DA">
        <w:rPr>
          <w:rFonts w:ascii="Book Antiqua" w:eastAsia="Book Antiqua" w:hAnsi="Book Antiqua" w:cs="Book Antiqua"/>
          <w:color w:val="000000"/>
        </w:rPr>
        <w:t xml:space="preserve"> </w:t>
      </w:r>
      <w:hyperlink r:id="rId9" w:history="1">
        <w:r w:rsidR="00470E34" w:rsidRPr="00C57BD0">
          <w:rPr>
            <w:rStyle w:val="a8"/>
            <w:rFonts w:ascii="Book Antiqua" w:eastAsia="Book Antiqua" w:hAnsi="Book Antiqua" w:cs="Book Antiqua"/>
          </w:rPr>
          <w:t>https://www.wjgnet.com/1007-9327/full/v2</w:t>
        </w:r>
        <w:r w:rsidR="00470E34" w:rsidRPr="00C57BD0">
          <w:rPr>
            <w:rStyle w:val="a8"/>
            <w:rFonts w:ascii="Book Antiqua" w:hAnsi="Book Antiqua" w:cs="Book Antiqua" w:hint="eastAsia"/>
            <w:lang w:eastAsia="zh-CN"/>
          </w:rPr>
          <w:t>7</w:t>
        </w:r>
        <w:r w:rsidR="00470E34" w:rsidRPr="00C57BD0">
          <w:rPr>
            <w:rStyle w:val="a8"/>
            <w:rFonts w:ascii="Book Antiqua" w:eastAsia="Book Antiqua" w:hAnsi="Book Antiqua" w:cs="Book Antiqua"/>
          </w:rPr>
          <w:t>/i1/</w:t>
        </w:r>
        <w:r w:rsidR="00470E34" w:rsidRPr="00C57BD0">
          <w:rPr>
            <w:rStyle w:val="a8"/>
            <w:rFonts w:ascii="Book Antiqua" w:hAnsi="Book Antiqua" w:cs="Book Antiqua" w:hint="eastAsia"/>
            <w:lang w:eastAsia="zh-CN"/>
          </w:rPr>
          <w:t>92</w:t>
        </w:r>
        <w:r w:rsidR="00470E34" w:rsidRPr="00C57BD0">
          <w:rPr>
            <w:rStyle w:val="a8"/>
            <w:rFonts w:ascii="Book Antiqua" w:eastAsia="Book Antiqua" w:hAnsi="Book Antiqua" w:cs="Book Antiqua"/>
          </w:rPr>
          <w:t>.htm</w:t>
        </w:r>
      </w:hyperlink>
      <w:r w:rsidRPr="000779DA">
        <w:rPr>
          <w:rFonts w:ascii="Book Antiqua" w:eastAsia="Book Antiqua" w:hAnsi="Book Antiqua" w:cs="Book Antiqua"/>
          <w:color w:val="000000"/>
        </w:rPr>
        <w:t xml:space="preserve"> </w:t>
      </w:r>
    </w:p>
    <w:p w14:paraId="4ED77801" w14:textId="16B1CB05" w:rsidR="0012737F" w:rsidRPr="00E553BA" w:rsidRDefault="000779DA">
      <w:pPr>
        <w:spacing w:line="360" w:lineRule="auto"/>
        <w:jc w:val="both"/>
        <w:rPr>
          <w:rFonts w:hint="eastAsia"/>
          <w:lang w:eastAsia="zh-CN"/>
        </w:rPr>
      </w:pPr>
      <w:bookmarkStart w:id="3" w:name="_GoBack"/>
      <w:r w:rsidRPr="00470E34">
        <w:rPr>
          <w:rFonts w:ascii="Book Antiqua" w:eastAsia="Book Antiqua" w:hAnsi="Book Antiqua" w:cs="Book Antiqua"/>
          <w:b/>
          <w:color w:val="000000"/>
        </w:rPr>
        <w:t>DOI:</w:t>
      </w:r>
      <w:bookmarkEnd w:id="3"/>
      <w:r w:rsidRPr="000779DA">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Pr>
          <w:rFonts w:ascii="Book Antiqua" w:eastAsia="Book Antiqua" w:hAnsi="Book Antiqua" w:cs="Book Antiqua"/>
          <w:color w:val="000000"/>
        </w:rPr>
        <w:t>.i</w:t>
      </w:r>
      <w:r w:rsidRPr="000779DA">
        <w:rPr>
          <w:rFonts w:ascii="Book Antiqua" w:eastAsia="Book Antiqua" w:hAnsi="Book Antiqua" w:cs="Book Antiqua"/>
          <w:color w:val="000000"/>
        </w:rPr>
        <w:t>1.</w:t>
      </w:r>
      <w:r w:rsidR="00E553BA">
        <w:rPr>
          <w:rFonts w:ascii="Book Antiqua" w:hAnsi="Book Antiqua" w:cs="Book Antiqua" w:hint="eastAsia"/>
          <w:color w:val="000000"/>
          <w:lang w:eastAsia="zh-CN"/>
        </w:rPr>
        <w:t>92</w:t>
      </w:r>
    </w:p>
    <w:p w14:paraId="3B238FBC" w14:textId="77777777" w:rsidR="0012737F" w:rsidRDefault="0012737F">
      <w:pPr>
        <w:spacing w:line="360" w:lineRule="auto"/>
        <w:jc w:val="both"/>
      </w:pPr>
    </w:p>
    <w:p w14:paraId="5E4E032D" w14:textId="4F8F00D8" w:rsidR="0012737F" w:rsidRDefault="0066346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Core Tip: </w:t>
      </w:r>
      <w:r>
        <w:rPr>
          <w:rFonts w:ascii="Book Antiqua" w:eastAsia="Book Antiqua" w:hAnsi="Book Antiqua" w:cs="Book Antiqua"/>
          <w:b/>
          <w:bCs/>
          <w:color w:val="000000"/>
        </w:rPr>
        <w:t> </w:t>
      </w:r>
      <w:r>
        <w:rPr>
          <w:rFonts w:ascii="Book Antiqua" w:eastAsia="Book Antiqua" w:hAnsi="Book Antiqua" w:cs="Book Antiqua"/>
          <w:color w:val="000000"/>
        </w:rPr>
        <w:t xml:space="preserve">It is very important to identify </w:t>
      </w:r>
      <w:r>
        <w:rPr>
          <w:rFonts w:ascii="Book Antiqua" w:eastAsia="Book Antiqua" w:hAnsi="Book Antiqua" w:cs="Book Antiqua"/>
          <w:color w:val="000000"/>
          <w:szCs w:val="22"/>
        </w:rPr>
        <w:t>infantile-onset inflammatory bowel disease</w:t>
      </w:r>
      <w:r>
        <w:rPr>
          <w:rFonts w:ascii="Book Antiqua" w:eastAsia="Book Antiqua" w:hAnsi="Book Antiqua" w:cs="Book Antiqua"/>
          <w:color w:val="000000"/>
        </w:rPr>
        <w:t xml:space="preserve"> (IO-IBD) patients, especially those in whom the disease is caused by monogenic diseases, as early as possible because these patients have poor responses to traditional </w:t>
      </w:r>
      <w:r>
        <w:rPr>
          <w:rFonts w:ascii="Book Antiqua" w:eastAsia="Book Antiqua" w:hAnsi="Book Antiqua" w:cs="Book Antiqua"/>
          <w:color w:val="000000"/>
          <w:szCs w:val="22"/>
        </w:rPr>
        <w:t>inflammatory bowel disease</w:t>
      </w:r>
      <w:r>
        <w:rPr>
          <w:rFonts w:ascii="Book Antiqua" w:eastAsia="Book Antiqua" w:hAnsi="Book Antiqua" w:cs="Book Antiqua"/>
          <w:color w:val="000000"/>
        </w:rPr>
        <w:t xml:space="preserve"> treatments. However, there are no simple and reliable laboratory indicators for early differential diagnosis. This is the first study focusing on the laboratory indicators that could be used to distinguish O-IBD patients from allergic </w:t>
      </w:r>
      <w:r>
        <w:rPr>
          <w:rFonts w:ascii="Book Antiqua" w:eastAsia="Book Antiqua" w:hAnsi="Book Antiqua" w:cs="Book Antiqua"/>
          <w:color w:val="000000"/>
        </w:rPr>
        <w:lastRenderedPageBreak/>
        <w:t>enteritis patients and screening IO-IBD patients with monogenic diseases. We believe that these results may be valuable in the initial investigations and diagnosis of IO-IBD.</w:t>
      </w:r>
    </w:p>
    <w:p w14:paraId="71DCB40E" w14:textId="77777777" w:rsidR="0012737F" w:rsidRDefault="00663462">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b/>
          <w:caps/>
          <w:color w:val="000000"/>
          <w:u w:val="single"/>
        </w:rPr>
        <w:lastRenderedPageBreak/>
        <w:t>INTRODUCTION</w:t>
      </w:r>
    </w:p>
    <w:p w14:paraId="3AF46DB4" w14:textId="187AF558" w:rsidR="0012737F" w:rsidRDefault="00663462">
      <w:pPr>
        <w:spacing w:line="360" w:lineRule="auto"/>
        <w:jc w:val="both"/>
      </w:pPr>
      <w:r>
        <w:rPr>
          <w:rFonts w:ascii="Book Antiqua" w:eastAsia="Book Antiqua" w:hAnsi="Book Antiqua" w:cs="Book Antiqua"/>
          <w:color w:val="000000"/>
        </w:rPr>
        <w:t>Inflammatory bowel disease (IBD) is a chronic recurrent gastrointestinal inflammatory disease, which could be classified into Crohn's disease (CD), ulcerative colitis (UC), and IBD-unclassified (IBD-U</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Common clinical manifestations include diarrhea, hematochezia, abdominal pain, growth retardation, and weight loss. Many studies have reported that the phenotypic characteristics are different in very early onset-IBD (VEO-IBD, the onset age was younger than 6 years old) children from those in adolescent-onset or adult-onset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An increasing number of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 xml:space="preserve">3] </w:t>
      </w:r>
      <w:r>
        <w:rPr>
          <w:rFonts w:ascii="Book Antiqua" w:eastAsia="Book Antiqua" w:hAnsi="Book Antiqua" w:cs="Book Antiqua"/>
          <w:color w:val="000000"/>
        </w:rPr>
        <w:t xml:space="preserve">have indicated the presence of monogenic defects in VEO-IBD children, especially in infantile patients (&lt; 2 years old). Gene sequencing, especially next generation-sequencing (NGS), could help to find the mutations to explain the cause of the disease; however, this method has high costs, and is time-consuming and not suitable for regular application at the early stage of the disease, particularly in economically underdeveloped areas. Besides, many variants of uncertain significance (VUS) after NGS was applied need laboratory indicators to verify their pathogenicity. However, there have been no reliable clinical indicators reported to identify pediatric IBD patients early, especially those who have potential gene mutations. In this retrospective study, we intended to search for early diagnostic indicators for IO-IBD children with or without the gene mutation, in order to shorten the diagnosis time, reduce medical costs, simplify the analysis of NGS, and administer targeted intervention as early as possible. </w:t>
      </w:r>
    </w:p>
    <w:p w14:paraId="4E216C87" w14:textId="77777777" w:rsidR="0012737F" w:rsidRDefault="0012737F">
      <w:pPr>
        <w:spacing w:line="360" w:lineRule="auto"/>
        <w:jc w:val="both"/>
      </w:pPr>
    </w:p>
    <w:p w14:paraId="734D6496" w14:textId="77777777" w:rsidR="0012737F" w:rsidRDefault="00663462">
      <w:pPr>
        <w:spacing w:line="360" w:lineRule="auto"/>
        <w:jc w:val="both"/>
      </w:pPr>
      <w:r>
        <w:rPr>
          <w:rFonts w:ascii="Book Antiqua" w:eastAsia="Book Antiqua" w:hAnsi="Book Antiqua" w:cs="Book Antiqua"/>
          <w:b/>
          <w:caps/>
          <w:color w:val="000000"/>
          <w:u w:val="single"/>
        </w:rPr>
        <w:t>MATERIALS AND METHODS</w:t>
      </w:r>
    </w:p>
    <w:p w14:paraId="7B18BDC2" w14:textId="77777777" w:rsidR="0012737F" w:rsidRDefault="00663462">
      <w:pPr>
        <w:spacing w:line="360" w:lineRule="auto"/>
        <w:jc w:val="both"/>
        <w:rPr>
          <w:i/>
          <w:iCs/>
        </w:rPr>
      </w:pPr>
      <w:r>
        <w:rPr>
          <w:rFonts w:ascii="Book Antiqua" w:eastAsia="Book Antiqua" w:hAnsi="Book Antiqua" w:cs="Book Antiqua"/>
          <w:b/>
          <w:bCs/>
          <w:i/>
          <w:iCs/>
          <w:color w:val="000000"/>
        </w:rPr>
        <w:t>Study participants and groups</w:t>
      </w:r>
    </w:p>
    <w:p w14:paraId="7F34B1A3" w14:textId="17EDD701" w:rsidR="0012737F" w:rsidRDefault="0066346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study was approved by the ethics committee of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Hospital, Shanghai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School of Medicine. All guardians of the enrolled pediatric patients who experienced the gene test signed an informed consent form. This study retrospectively analyzed 73 IO-IBD patients with a disease onset before 2 years of age who were admitted to the Department of Pediatrics,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Hospital, </w:t>
      </w:r>
      <w:proofErr w:type="gramStart"/>
      <w:r>
        <w:rPr>
          <w:rFonts w:ascii="Book Antiqua" w:eastAsia="Book Antiqua" w:hAnsi="Book Antiqua" w:cs="Book Antiqua"/>
          <w:color w:val="000000"/>
        </w:rPr>
        <w:t>Shanghai</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School of Medicine from January 2014 to February 2019. The diagnostic criteria were </w:t>
      </w:r>
      <w:r>
        <w:rPr>
          <w:rFonts w:ascii="Book Antiqua" w:eastAsia="Book Antiqua" w:hAnsi="Book Antiqua" w:cs="Book Antiqua"/>
          <w:color w:val="000000"/>
        </w:rPr>
        <w:lastRenderedPageBreak/>
        <w:t xml:space="preserve">based on the </w:t>
      </w:r>
      <w:r w:rsidRPr="0014237A">
        <w:rPr>
          <w:rFonts w:ascii="Book Antiqua" w:eastAsia="Book Antiqua" w:hAnsi="Book Antiqua" w:cs="Book Antiqua"/>
          <w:iCs/>
          <w:color w:val="000000"/>
        </w:rPr>
        <w:t xml:space="preserve">Consensus on the Diagnosis and Management of Pediatric Inflammatory Bowel </w:t>
      </w:r>
      <w:proofErr w:type="gramStart"/>
      <w:r w:rsidRPr="0014237A">
        <w:rPr>
          <w:rFonts w:ascii="Book Antiqua" w:eastAsia="Book Antiqua" w:hAnsi="Book Antiqua" w:cs="Book Antiqua"/>
          <w:iCs/>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formulated by the Chinese Society of Pediatric Gastroenterology, the Chinese Medical Association. According to the NGS  results, the patients were divided into either a monogenic IBD (M-IBD) group, which comprised IO-IBD patients caused by Mendelian diseases, or a non-monogenic IBD (NM-IBD) group, which comprised IO-IBD patients without disease-causing gene mutations. Forty age-matched children who were hospitalized due to diarrhea and hematochezia during the same period and ultimately diagnosed with allergic proctocolitis (AP) were enrolled in the study as a control group. </w:t>
      </w:r>
    </w:p>
    <w:p w14:paraId="238FA54A" w14:textId="77777777" w:rsidR="0012737F" w:rsidRDefault="0012737F">
      <w:pPr>
        <w:spacing w:line="360" w:lineRule="auto"/>
        <w:jc w:val="both"/>
      </w:pPr>
    </w:p>
    <w:p w14:paraId="58C4D116" w14:textId="77777777" w:rsidR="0012737F" w:rsidRDefault="00663462">
      <w:pPr>
        <w:spacing w:line="360" w:lineRule="auto"/>
        <w:jc w:val="both"/>
        <w:rPr>
          <w:i/>
          <w:iCs/>
        </w:rPr>
      </w:pPr>
      <w:r>
        <w:rPr>
          <w:rFonts w:ascii="Book Antiqua" w:eastAsia="Book Antiqua" w:hAnsi="Book Antiqua" w:cs="Book Antiqua"/>
          <w:b/>
          <w:bCs/>
          <w:i/>
          <w:iCs/>
          <w:color w:val="000000"/>
        </w:rPr>
        <w:t>Clinical data analysis</w:t>
      </w:r>
    </w:p>
    <w:p w14:paraId="11962498" w14:textId="4DABB28D" w:rsidR="0012737F" w:rsidRDefault="0066346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clinical data of all patients were collected, including sex, age of onset, body weight and height on admission, average daily frequency of diarrhea, hematochezia, perianal lesions, recurrent fever, and treatment outcomes (remission, non-remission, and death). The results of complete blood count, C-reactive protein (CRP), erythrocyte sedimentation rate (ESR), serum albumin, and serum iron levels were collected and analyzed. Tumor necrosis factor (TNF)-α, interleukin (IL)-6, and IL-10 levels were determined using chemiluminescence immunoassays with a</w:t>
      </w:r>
      <w:r>
        <w:rPr>
          <w:rFonts w:ascii="Book Antiqua" w:hAnsi="Book Antiqua" w:cs="Book Antiqua"/>
          <w:color w:val="000000"/>
          <w:lang w:eastAsia="zh-CN"/>
        </w:rPr>
        <w:t xml:space="preserve"> commercial kit</w:t>
      </w:r>
      <w:r>
        <w:rPr>
          <w:rFonts w:ascii="Book Antiqua" w:eastAsia="Book Antiqua" w:hAnsi="Book Antiqua" w:cs="Book Antiqua"/>
          <w:color w:val="000000"/>
        </w:rPr>
        <w:t xml:space="preserve"> (Siemens). The serum ferritin concentration was detected using a double-site enzyme immunoassay with a</w:t>
      </w:r>
      <w:r>
        <w:rPr>
          <w:rFonts w:ascii="Book Antiqua" w:hAnsi="Book Antiqua" w:cs="Book Antiqua"/>
          <w:color w:val="000000"/>
          <w:lang w:eastAsia="zh-CN"/>
        </w:rPr>
        <w:t xml:space="preserve"> commercial </w:t>
      </w:r>
      <w:r>
        <w:rPr>
          <w:rFonts w:ascii="Book Antiqua" w:eastAsia="Book Antiqua" w:hAnsi="Book Antiqua" w:cs="Book Antiqua"/>
          <w:color w:val="000000"/>
        </w:rPr>
        <w:t>ferritin</w:t>
      </w:r>
      <w:r>
        <w:rPr>
          <w:rFonts w:ascii="Book Antiqua" w:hAnsi="Book Antiqua" w:cs="Book Antiqua"/>
          <w:color w:val="000000"/>
          <w:lang w:eastAsia="zh-CN"/>
        </w:rPr>
        <w:t xml:space="preserve"> kit</w:t>
      </w:r>
      <w:r>
        <w:rPr>
          <w:rFonts w:ascii="Book Antiqua" w:eastAsia="Book Antiqua" w:hAnsi="Book Antiqua" w:cs="Book Antiqua"/>
          <w:color w:val="000000"/>
        </w:rPr>
        <w:t xml:space="preserve"> (ACCES).</w:t>
      </w:r>
    </w:p>
    <w:p w14:paraId="48068866" w14:textId="77777777" w:rsidR="0012737F" w:rsidRDefault="0012737F">
      <w:pPr>
        <w:spacing w:line="360" w:lineRule="auto"/>
        <w:jc w:val="both"/>
      </w:pPr>
    </w:p>
    <w:p w14:paraId="3DAB9F33" w14:textId="77777777" w:rsidR="0012737F" w:rsidRDefault="00663462">
      <w:pPr>
        <w:spacing w:line="360" w:lineRule="auto"/>
        <w:jc w:val="both"/>
        <w:rPr>
          <w:i/>
          <w:iCs/>
        </w:rPr>
      </w:pPr>
      <w:r>
        <w:rPr>
          <w:rFonts w:ascii="Book Antiqua" w:eastAsia="Book Antiqua" w:hAnsi="Book Antiqua" w:cs="Book Antiqua"/>
          <w:b/>
          <w:bCs/>
          <w:i/>
          <w:iCs/>
          <w:color w:val="000000"/>
        </w:rPr>
        <w:t>Next-generation sequencing and validation</w:t>
      </w:r>
    </w:p>
    <w:p w14:paraId="7C0741D0" w14:textId="1A985144" w:rsidR="0012737F" w:rsidRDefault="0066346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Peripheral blood was collected from all IO-IBD patients for the genetic test. A </w:t>
      </w:r>
      <w:proofErr w:type="spellStart"/>
      <w:r>
        <w:rPr>
          <w:rFonts w:ascii="Book Antiqua" w:eastAsia="Book Antiqua" w:hAnsi="Book Antiqua" w:cs="Book Antiqua"/>
          <w:color w:val="000000"/>
        </w:rPr>
        <w:t>FlexiGene</w:t>
      </w:r>
      <w:proofErr w:type="spellEnd"/>
      <w:r>
        <w:rPr>
          <w:rFonts w:ascii="Book Antiqua" w:eastAsia="Book Antiqua" w:hAnsi="Book Antiqua" w:cs="Book Antiqua"/>
          <w:color w:val="000000"/>
        </w:rPr>
        <w:t xml:space="preserve"> DNA Kit (</w:t>
      </w:r>
      <w:proofErr w:type="spellStart"/>
      <w:r>
        <w:rPr>
          <w:rFonts w:ascii="Book Antiqua" w:eastAsia="Book Antiqua" w:hAnsi="Book Antiqua" w:cs="Book Antiqua"/>
          <w:color w:val="000000"/>
        </w:rPr>
        <w:t>Qiagen</w:t>
      </w:r>
      <w:proofErr w:type="spellEnd"/>
      <w:r>
        <w:rPr>
          <w:rFonts w:ascii="Book Antiqua" w:eastAsia="Book Antiqua" w:hAnsi="Book Antiqua" w:cs="Book Antiqua"/>
          <w:color w:val="000000"/>
        </w:rPr>
        <w:t xml:space="preserve"> GmbH, D-40724 Hilden) was used to extract DNA according to the manufacturer’s instructions. NGS of targeted genes including primary immunodeficiency diseases and congenital diarrheal diseases (20 cases) was performed by Beijing </w:t>
      </w:r>
      <w:proofErr w:type="spellStart"/>
      <w:r>
        <w:rPr>
          <w:rFonts w:ascii="Book Antiqua" w:eastAsia="Book Antiqua" w:hAnsi="Book Antiqua" w:cs="Book Antiqua"/>
          <w:color w:val="000000"/>
        </w:rPr>
        <w:t>Mygeno</w:t>
      </w:r>
      <w:proofErr w:type="spellEnd"/>
      <w:r>
        <w:rPr>
          <w:rFonts w:ascii="Book Antiqua" w:eastAsia="Book Antiqua" w:hAnsi="Book Antiqua" w:cs="Book Antiqua"/>
          <w:color w:val="000000"/>
        </w:rPr>
        <w:t xml:space="preserve"> Gene Technology Co., Ltd and whole-exome sequencing (53 cases) was performed by Beijing Berry Genomics Co., Ltd. For the mutations found </w:t>
      </w:r>
      <w:r>
        <w:rPr>
          <w:rFonts w:ascii="Book Antiqua" w:eastAsia="Book Antiqua" w:hAnsi="Book Antiqua" w:cs="Book Antiqua"/>
          <w:i/>
          <w:iCs/>
          <w:color w:val="000000"/>
        </w:rPr>
        <w:t>via</w:t>
      </w:r>
      <w:r>
        <w:rPr>
          <w:rFonts w:ascii="Book Antiqua" w:eastAsia="Book Antiqua" w:hAnsi="Book Antiqua" w:cs="Book Antiqua"/>
          <w:color w:val="000000"/>
        </w:rPr>
        <w:t xml:space="preserve"> NGS, Sanger sequencing was used to retest the corresponding gene sequences of the patients </w:t>
      </w:r>
      <w:r>
        <w:rPr>
          <w:rFonts w:ascii="Book Antiqua" w:eastAsia="Book Antiqua" w:hAnsi="Book Antiqua" w:cs="Book Antiqua"/>
          <w:color w:val="000000"/>
        </w:rPr>
        <w:lastRenderedPageBreak/>
        <w:t>and their parents to verify and confirm the genetic origin. The genetic variations were identified using online databases, such as the Single Nucleotide Polymorphism Database (</w:t>
      </w:r>
      <w:proofErr w:type="spellStart"/>
      <w:r>
        <w:rPr>
          <w:rFonts w:ascii="Book Antiqua" w:eastAsia="Book Antiqua" w:hAnsi="Book Antiqua" w:cs="Book Antiqua"/>
          <w:color w:val="000000"/>
        </w:rPr>
        <w:t>dbSNP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Clinvar</w:t>
      </w:r>
      <w:proofErr w:type="spellEnd"/>
      <w:r>
        <w:rPr>
          <w:rFonts w:ascii="Book Antiqua" w:eastAsia="Book Antiqua" w:hAnsi="Book Antiqua" w:cs="Book Antiqua"/>
          <w:color w:val="000000"/>
        </w:rPr>
        <w:t xml:space="preserve">, the Human Gene Mutation Database (HGMD), the 1000 Genomes Project, and Online Mendelian Inheritance in Man (OMIM), to verify whether they were the known pathogenic mutations. For novel mutations not included in the databases, pathogenicity was further evaluated according to the American College of Medical Genetics and Genomics (ACMG)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w:t>
      </w:r>
    </w:p>
    <w:p w14:paraId="3D74C40B" w14:textId="77777777" w:rsidR="0012737F" w:rsidRDefault="0012737F">
      <w:pPr>
        <w:spacing w:line="360" w:lineRule="auto"/>
        <w:jc w:val="both"/>
      </w:pPr>
    </w:p>
    <w:p w14:paraId="4391C106" w14:textId="77777777" w:rsidR="0012737F" w:rsidRDefault="00663462">
      <w:pPr>
        <w:spacing w:line="360" w:lineRule="auto"/>
        <w:jc w:val="both"/>
        <w:rPr>
          <w:i/>
          <w:iCs/>
        </w:rPr>
      </w:pPr>
      <w:r>
        <w:rPr>
          <w:rFonts w:ascii="Book Antiqua" w:eastAsia="Book Antiqua" w:hAnsi="Book Antiqua" w:cs="Book Antiqua"/>
          <w:b/>
          <w:bCs/>
          <w:i/>
          <w:iCs/>
          <w:color w:val="000000"/>
        </w:rPr>
        <w:t>Statistical analysis</w:t>
      </w:r>
    </w:p>
    <w:p w14:paraId="49A6D3A7" w14:textId="6625CD02" w:rsidR="0012737F" w:rsidRDefault="00663462">
      <w:pPr>
        <w:spacing w:line="360" w:lineRule="auto"/>
        <w:jc w:val="both"/>
      </w:pPr>
      <w:r>
        <w:rPr>
          <w:rFonts w:ascii="Book Antiqua" w:eastAsia="Book Antiqua" w:hAnsi="Book Antiqua" w:cs="Book Antiqua"/>
          <w:i/>
          <w:iCs/>
          <w:color w:val="000000"/>
        </w:rPr>
        <w:t>Z</w:t>
      </w:r>
      <w:r>
        <w:rPr>
          <w:rFonts w:ascii="Book Antiqua" w:eastAsia="Book Antiqua" w:hAnsi="Book Antiqua" w:cs="Book Antiqua"/>
          <w:color w:val="000000"/>
        </w:rPr>
        <w:t xml:space="preserve"> scores for height and weight were calculated using WHO </w:t>
      </w:r>
      <w:proofErr w:type="spellStart"/>
      <w:r>
        <w:rPr>
          <w:rFonts w:ascii="Book Antiqua" w:eastAsia="Book Antiqua" w:hAnsi="Book Antiqua" w:cs="Book Antiqua"/>
          <w:color w:val="000000"/>
        </w:rPr>
        <w:t>Anthro</w:t>
      </w:r>
      <w:proofErr w:type="spellEnd"/>
      <w:r>
        <w:rPr>
          <w:rFonts w:ascii="Book Antiqua" w:eastAsia="Book Antiqua" w:hAnsi="Book Antiqua" w:cs="Book Antiqua"/>
          <w:color w:val="000000"/>
        </w:rPr>
        <w:t xml:space="preserve"> V3.2.2 software. All data were statistically analyzed using IBM SPSS Statistics 25.0. Measurement data with a normal distribution are expressed as the mean ± standard deviation (SD), and nonnormally distributed data are expressed as the median and interquartile range (IQR). Data with a normal distribution and homogeneity of variance were analyzed using ANOVA analysis, and abnormally distributed data were analyzed by nonparametric Kruskal-Wallis analysis. Categorical data were analyzed using the chi-square test, or Fisher's exact </w:t>
      </w:r>
      <w:r>
        <w:rPr>
          <w:rFonts w:ascii="Book Antiqua" w:eastAsia="Book Antiqua" w:hAnsi="Book Antiqua" w:cs="Book Antiqua"/>
          <w:caps/>
          <w:color w:val="000000"/>
        </w:rPr>
        <w:t>c</w:t>
      </w:r>
      <w:r>
        <w:rPr>
          <w:rFonts w:ascii="Book Antiqua" w:eastAsia="Book Antiqua" w:hAnsi="Book Antiqua" w:cs="Book Antiqua"/>
          <w:color w:val="000000"/>
        </w:rPr>
        <w:t xml:space="preserve">hi-square test. Multivariate binary logistic regression analysis was performed to identify risk factors for IO-IBD and monogenic IO-IBD. Receiver operating characteristic (ROC) curve analysis was performed to assess the diagnostic value of the identified indicators.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were adjusted using the Bonferroni method for pairwise comparison.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 statistically significant.</w:t>
      </w:r>
      <w:r>
        <w:rPr>
          <w:rFonts w:ascii="Book Antiqua" w:eastAsia="Book Antiqua" w:hAnsi="Book Antiqua" w:cs="Book Antiqua"/>
          <w:color w:val="000000"/>
          <w:szCs w:val="21"/>
        </w:rPr>
        <w:t> </w:t>
      </w:r>
      <w:r>
        <w:rPr>
          <w:rFonts w:ascii="Book Antiqua" w:eastAsia="Book Antiqua" w:hAnsi="Book Antiqua" w:cs="Book Antiqua"/>
          <w:color w:val="000000"/>
        </w:rPr>
        <w:t xml:space="preserve">The statistical methods of this study were reviewed by Li J from the Clinical Research Center,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Hospital, </w:t>
      </w:r>
      <w:proofErr w:type="gramStart"/>
      <w:r>
        <w:rPr>
          <w:rFonts w:ascii="Book Antiqua" w:eastAsia="Book Antiqua" w:hAnsi="Book Antiqua" w:cs="Book Antiqua"/>
          <w:color w:val="000000"/>
        </w:rPr>
        <w:t>Shanghai</w:t>
      </w:r>
      <w:proofErr w:type="gramEnd"/>
      <w:r>
        <w:rPr>
          <w:rFonts w:ascii="Book Antiqua" w:eastAsia="Book Antiqua" w:hAnsi="Book Antiqua" w:cs="Book Antiqua"/>
          <w:color w:val="000000"/>
        </w:rPr>
        <w:t xml:space="preserve"> Jiao Tong University School of Medicine.</w:t>
      </w:r>
    </w:p>
    <w:p w14:paraId="20128AA8" w14:textId="77777777" w:rsidR="0012737F" w:rsidRDefault="0012737F">
      <w:pPr>
        <w:spacing w:line="360" w:lineRule="auto"/>
        <w:jc w:val="both"/>
      </w:pPr>
    </w:p>
    <w:p w14:paraId="025E1279" w14:textId="77777777" w:rsidR="0012737F" w:rsidRDefault="00663462">
      <w:pPr>
        <w:spacing w:line="360" w:lineRule="auto"/>
        <w:jc w:val="both"/>
      </w:pPr>
      <w:r>
        <w:rPr>
          <w:rFonts w:ascii="Book Antiqua" w:eastAsia="Book Antiqua" w:hAnsi="Book Antiqua" w:cs="Book Antiqua"/>
          <w:b/>
          <w:caps/>
          <w:color w:val="000000"/>
          <w:u w:val="single"/>
        </w:rPr>
        <w:t>RESULTS</w:t>
      </w:r>
    </w:p>
    <w:p w14:paraId="6DF74B59" w14:textId="5336C5C7" w:rsidR="0012737F" w:rsidRDefault="00663462">
      <w:pPr>
        <w:spacing w:line="360" w:lineRule="auto"/>
        <w:jc w:val="both"/>
        <w:rPr>
          <w:i/>
          <w:iCs/>
        </w:rPr>
      </w:pPr>
      <w:r>
        <w:rPr>
          <w:rFonts w:ascii="Book Antiqua" w:eastAsia="Book Antiqua" w:hAnsi="Book Antiqua" w:cs="Book Antiqua"/>
          <w:b/>
          <w:bCs/>
          <w:i/>
          <w:iCs/>
          <w:color w:val="000000"/>
        </w:rPr>
        <w:t>Genotypes of IO-IBD patients</w:t>
      </w:r>
    </w:p>
    <w:p w14:paraId="431299A8" w14:textId="73A9DE6A" w:rsidR="0012737F" w:rsidRDefault="0066346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Among the 73 IO-IBD patients, 24 did not carry any disease-causing mutations in IBD-associated genes, and 49 had the gene mutations related to the disease. Among 49 patients with mutations, 39 carried </w:t>
      </w:r>
      <w:r>
        <w:rPr>
          <w:rFonts w:ascii="Book Antiqua" w:eastAsia="Book Antiqua" w:hAnsi="Book Antiqua" w:cs="Book Antiqua"/>
          <w:i/>
          <w:iCs/>
          <w:color w:val="000000"/>
        </w:rPr>
        <w:t>IL-10RA</w:t>
      </w:r>
      <w:r>
        <w:rPr>
          <w:rFonts w:ascii="Book Antiqua" w:eastAsia="Book Antiqua" w:hAnsi="Book Antiqua" w:cs="Book Antiqua"/>
          <w:color w:val="000000"/>
        </w:rPr>
        <w:t xml:space="preserve"> mutations, 2 carried </w:t>
      </w:r>
      <w:r>
        <w:rPr>
          <w:rFonts w:ascii="Book Antiqua" w:eastAsia="Book Antiqua" w:hAnsi="Book Antiqua" w:cs="Book Antiqua"/>
          <w:i/>
          <w:iCs/>
          <w:color w:val="000000"/>
        </w:rPr>
        <w:t>CYBB</w:t>
      </w:r>
      <w:r>
        <w:rPr>
          <w:rFonts w:ascii="Book Antiqua" w:eastAsia="Book Antiqua" w:hAnsi="Book Antiqua" w:cs="Book Antiqua"/>
          <w:color w:val="000000"/>
        </w:rPr>
        <w:t xml:space="preserve"> mutations, and </w:t>
      </w:r>
      <w:r>
        <w:rPr>
          <w:rFonts w:ascii="Book Antiqua" w:eastAsia="Book Antiqua" w:hAnsi="Book Antiqua" w:cs="Book Antiqua"/>
          <w:i/>
          <w:iCs/>
          <w:color w:val="000000"/>
        </w:rPr>
        <w:lastRenderedPageBreak/>
        <w:t>WAS</w:t>
      </w:r>
      <w:r>
        <w:rPr>
          <w:rFonts w:ascii="Book Antiqua" w:eastAsia="Book Antiqua" w:hAnsi="Book Antiqua" w:cs="Book Antiqua"/>
          <w:color w:val="000000"/>
        </w:rPr>
        <w:t xml:space="preserve">, </w:t>
      </w:r>
      <w:r>
        <w:rPr>
          <w:rFonts w:ascii="Book Antiqua" w:eastAsia="Book Antiqua" w:hAnsi="Book Antiqua" w:cs="Book Antiqua"/>
          <w:i/>
          <w:iCs/>
          <w:color w:val="000000"/>
        </w:rPr>
        <w:t>IKBKG</w:t>
      </w:r>
      <w:r>
        <w:rPr>
          <w:rFonts w:ascii="Book Antiqua" w:eastAsia="Book Antiqua" w:hAnsi="Book Antiqua" w:cs="Book Antiqua"/>
          <w:color w:val="000000"/>
        </w:rPr>
        <w:t xml:space="preserve">, </w:t>
      </w:r>
      <w:r>
        <w:rPr>
          <w:rFonts w:ascii="Book Antiqua" w:eastAsia="Book Antiqua" w:hAnsi="Book Antiqua" w:cs="Book Antiqua"/>
          <w:i/>
          <w:iCs/>
          <w:color w:val="000000"/>
        </w:rPr>
        <w:t>SLC37A4</w:t>
      </w:r>
      <w:r>
        <w:rPr>
          <w:rFonts w:ascii="Book Antiqua" w:eastAsia="Book Antiqua" w:hAnsi="Book Antiqua" w:cs="Book Antiqua"/>
          <w:color w:val="000000"/>
        </w:rPr>
        <w:t xml:space="preserve">, </w:t>
      </w:r>
      <w:r>
        <w:rPr>
          <w:rFonts w:ascii="Book Antiqua" w:eastAsia="Book Antiqua" w:hAnsi="Book Antiqua" w:cs="Book Antiqua"/>
          <w:i/>
          <w:iCs/>
          <w:color w:val="000000"/>
        </w:rPr>
        <w:t>CD40LG</w:t>
      </w:r>
      <w:r>
        <w:rPr>
          <w:rFonts w:ascii="Book Antiqua" w:eastAsia="Book Antiqua" w:hAnsi="Book Antiqua" w:cs="Book Antiqua"/>
          <w:color w:val="000000"/>
        </w:rPr>
        <w:t xml:space="preserve">, </w:t>
      </w:r>
      <w:r>
        <w:rPr>
          <w:rFonts w:ascii="Book Antiqua" w:eastAsia="Book Antiqua" w:hAnsi="Book Antiqua" w:cs="Book Antiqua"/>
          <w:i/>
          <w:iCs/>
          <w:color w:val="000000"/>
        </w:rPr>
        <w:t>LIG4</w:t>
      </w:r>
      <w:r>
        <w:rPr>
          <w:rFonts w:ascii="Book Antiqua" w:eastAsia="Book Antiqua" w:hAnsi="Book Antiqua" w:cs="Book Antiqua"/>
          <w:color w:val="000000"/>
        </w:rPr>
        <w:t xml:space="preserve">, </w:t>
      </w:r>
      <w:r>
        <w:rPr>
          <w:rFonts w:ascii="Book Antiqua" w:eastAsia="Book Antiqua" w:hAnsi="Book Antiqua" w:cs="Book Antiqua"/>
          <w:i/>
          <w:iCs/>
          <w:color w:val="000000"/>
        </w:rPr>
        <w:t>CARD11</w:t>
      </w:r>
      <w:r>
        <w:rPr>
          <w:rFonts w:ascii="Book Antiqua" w:eastAsia="Book Antiqua" w:hAnsi="Book Antiqua" w:cs="Book Antiqua"/>
          <w:color w:val="000000"/>
        </w:rPr>
        <w:t xml:space="preserve">, </w:t>
      </w:r>
      <w:r>
        <w:rPr>
          <w:rFonts w:ascii="Book Antiqua" w:eastAsia="Book Antiqua" w:hAnsi="Book Antiqua" w:cs="Book Antiqua"/>
          <w:i/>
          <w:iCs/>
          <w:color w:val="000000"/>
        </w:rPr>
        <w:t>PIK3CD</w:t>
      </w:r>
      <w:r>
        <w:rPr>
          <w:rFonts w:ascii="Book Antiqua" w:eastAsia="Book Antiqua" w:hAnsi="Book Antiqua" w:cs="Book Antiqua"/>
          <w:color w:val="000000"/>
        </w:rPr>
        <w:t xml:space="preserve">, and </w:t>
      </w:r>
      <w:r>
        <w:rPr>
          <w:rFonts w:ascii="Book Antiqua" w:eastAsia="Book Antiqua" w:hAnsi="Book Antiqua" w:cs="Book Antiqua"/>
          <w:i/>
          <w:iCs/>
          <w:color w:val="000000"/>
        </w:rPr>
        <w:t>CXCR4</w:t>
      </w:r>
      <w:r>
        <w:rPr>
          <w:rFonts w:ascii="Book Antiqua" w:eastAsia="Book Antiqua" w:hAnsi="Book Antiqua" w:cs="Book Antiqua"/>
          <w:color w:val="000000"/>
        </w:rPr>
        <w:t xml:space="preserve"> mutations were observed in one patient each (Table 1). Four of them carried the </w:t>
      </w:r>
      <w:r>
        <w:rPr>
          <w:rFonts w:ascii="Book Antiqua" w:eastAsia="Book Antiqua" w:hAnsi="Book Antiqua" w:cs="Book Antiqua"/>
          <w:i/>
          <w:iCs/>
          <w:color w:val="000000"/>
        </w:rPr>
        <w:t>IL-10RA</w:t>
      </w:r>
      <w:r>
        <w:rPr>
          <w:rFonts w:ascii="Book Antiqua" w:eastAsia="Book Antiqua" w:hAnsi="Book Antiqua" w:cs="Book Antiqua"/>
          <w:color w:val="000000"/>
        </w:rPr>
        <w:t> heterozygous mutation which did not meet the criteria of Mendelian disease, and one of them had a heterozygous</w:t>
      </w:r>
      <w:r>
        <w:rPr>
          <w:rFonts w:ascii="Book Antiqua" w:eastAsia="Book Antiqua" w:hAnsi="Book Antiqua" w:cs="Book Antiqua"/>
          <w:i/>
          <w:iCs/>
          <w:color w:val="000000"/>
        </w:rPr>
        <w:t> CXCR4</w:t>
      </w:r>
      <w:r>
        <w:rPr>
          <w:rFonts w:ascii="Book Antiqua" w:eastAsia="Book Antiqua" w:hAnsi="Book Antiqua" w:cs="Book Antiqua"/>
          <w:color w:val="000000"/>
        </w:rPr>
        <w:t xml:space="preserve"> mutation which was inherited from his father with ankylosing spondylitis and recognized as a VUS according to the ACMG guidelines because of absence of typical manifestations of autosome dominant WHIM syndrome. Therefore, these five patients were included in the NM-IBD group. There were 14 different missense mutations found in </w:t>
      </w:r>
      <w:r>
        <w:rPr>
          <w:rFonts w:ascii="Book Antiqua" w:eastAsia="Book Antiqua" w:hAnsi="Book Antiqua" w:cs="Book Antiqua"/>
          <w:i/>
          <w:iCs/>
          <w:color w:val="000000"/>
        </w:rPr>
        <w:t>IL-10RA</w:t>
      </w:r>
      <w:r>
        <w:rPr>
          <w:rFonts w:ascii="Book Antiqua" w:eastAsia="Book Antiqua" w:hAnsi="Book Antiqua" w:cs="Book Antiqua"/>
          <w:color w:val="000000"/>
        </w:rPr>
        <w:t> among M-IBD patients. Two variations, the c.301C&gt;T (p.R101W) and the c.537G&gt;A (p.T179T), were considered hotspot mutations in the M-IBD patient cohort</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the mutation frequencies were 42.86% (30/70) and 24.29% (17/70) respectively. We also found nine novel mutations: c.109G&gt;T, c.302G&gt;A, c.569T&gt;G, and c.787C&gt;T in </w:t>
      </w:r>
      <w:r>
        <w:rPr>
          <w:rFonts w:ascii="Book Antiqua" w:eastAsia="Book Antiqua" w:hAnsi="Book Antiqua" w:cs="Book Antiqua"/>
          <w:i/>
          <w:iCs/>
          <w:color w:val="000000"/>
        </w:rPr>
        <w:t>IL-10RA</w:t>
      </w:r>
      <w:r>
        <w:rPr>
          <w:rFonts w:ascii="Book Antiqua" w:eastAsia="Book Antiqua" w:hAnsi="Book Antiqua" w:cs="Book Antiqua"/>
          <w:color w:val="000000"/>
        </w:rPr>
        <w:t xml:space="preserve"> gene; c.674+2T&gt;C in </w:t>
      </w:r>
      <w:r>
        <w:rPr>
          <w:rFonts w:ascii="Book Antiqua" w:eastAsia="Book Antiqua" w:hAnsi="Book Antiqua" w:cs="Book Antiqua"/>
          <w:i/>
          <w:iCs/>
          <w:color w:val="000000"/>
        </w:rPr>
        <w:t>CYBB</w:t>
      </w:r>
      <w:r>
        <w:rPr>
          <w:rFonts w:ascii="Book Antiqua" w:eastAsia="Book Antiqua" w:hAnsi="Book Antiqua" w:cs="Book Antiqua"/>
          <w:color w:val="000000"/>
        </w:rPr>
        <w:t xml:space="preserve"> gene; c.267delC in </w:t>
      </w:r>
      <w:r>
        <w:rPr>
          <w:rFonts w:ascii="Book Antiqua" w:eastAsia="Book Antiqua" w:hAnsi="Book Antiqua" w:cs="Book Antiqua"/>
          <w:i/>
          <w:iCs/>
          <w:color w:val="000000"/>
        </w:rPr>
        <w:t>CD40LG</w:t>
      </w:r>
      <w:r>
        <w:rPr>
          <w:rFonts w:ascii="Book Antiqua" w:eastAsia="Book Antiqua" w:hAnsi="Book Antiqua" w:cs="Book Antiqua"/>
          <w:color w:val="000000"/>
        </w:rPr>
        <w:t xml:space="preserve"> gene; c.1144_1145delCT in </w:t>
      </w:r>
      <w:r w:rsidRPr="0014237A">
        <w:rPr>
          <w:rFonts w:ascii="Book Antiqua" w:eastAsia="Book Antiqua" w:hAnsi="Book Antiqua" w:cs="Book Antiqua"/>
          <w:i/>
          <w:color w:val="000000"/>
        </w:rPr>
        <w:t>LIG4</w:t>
      </w:r>
      <w:r>
        <w:rPr>
          <w:rFonts w:ascii="Book Antiqua" w:eastAsia="Book Antiqua" w:hAnsi="Book Antiqua" w:cs="Book Antiqua"/>
          <w:color w:val="000000"/>
        </w:rPr>
        <w:t xml:space="preserve"> gene; c.155T&gt;C in </w:t>
      </w:r>
      <w:r>
        <w:rPr>
          <w:rFonts w:ascii="Book Antiqua" w:eastAsia="Book Antiqua" w:hAnsi="Book Antiqua" w:cs="Book Antiqua"/>
          <w:i/>
          <w:iCs/>
          <w:color w:val="000000"/>
        </w:rPr>
        <w:t>CARD11</w:t>
      </w:r>
      <w:r>
        <w:rPr>
          <w:rFonts w:ascii="Book Antiqua" w:eastAsia="Book Antiqua" w:hAnsi="Book Antiqua" w:cs="Book Antiqua"/>
          <w:color w:val="000000"/>
        </w:rPr>
        <w:t xml:space="preserve"> gene; and c.1001G&gt;A in </w:t>
      </w:r>
      <w:r>
        <w:rPr>
          <w:rFonts w:ascii="Book Antiqua" w:eastAsia="Book Antiqua" w:hAnsi="Book Antiqua" w:cs="Book Antiqua"/>
          <w:i/>
          <w:iCs/>
          <w:color w:val="000000"/>
        </w:rPr>
        <w:t>CXCR4</w:t>
      </w:r>
      <w:r>
        <w:rPr>
          <w:rFonts w:ascii="Book Antiqua" w:eastAsia="Book Antiqua" w:hAnsi="Book Antiqua" w:cs="Book Antiqua"/>
          <w:color w:val="000000"/>
        </w:rPr>
        <w:t> gene. The amino acid substitutions and pathogenicity of these variations that were assessed according to the ACMG guidelines are summarized in Table 1.</w:t>
      </w:r>
    </w:p>
    <w:p w14:paraId="3B9DAA68" w14:textId="77777777" w:rsidR="0012737F" w:rsidRDefault="0012737F">
      <w:pPr>
        <w:spacing w:line="360" w:lineRule="auto"/>
        <w:jc w:val="both"/>
      </w:pPr>
    </w:p>
    <w:p w14:paraId="2A9F3299" w14:textId="77777777" w:rsidR="0012737F" w:rsidRDefault="00663462">
      <w:pPr>
        <w:spacing w:line="360" w:lineRule="auto"/>
        <w:jc w:val="both"/>
        <w:rPr>
          <w:i/>
          <w:iCs/>
        </w:rPr>
      </w:pPr>
      <w:r>
        <w:rPr>
          <w:rFonts w:ascii="Book Antiqua" w:eastAsia="Book Antiqua" w:hAnsi="Book Antiqua" w:cs="Book Antiqua"/>
          <w:b/>
          <w:bCs/>
          <w:i/>
          <w:iCs/>
          <w:color w:val="000000"/>
        </w:rPr>
        <w:t>Clinical characteristics</w:t>
      </w:r>
    </w:p>
    <w:p w14:paraId="3864D0C1" w14:textId="745537B4" w:rsidR="0012737F" w:rsidRDefault="00663462">
      <w:pPr>
        <w:spacing w:line="360" w:lineRule="auto"/>
        <w:jc w:val="both"/>
      </w:pPr>
      <w:r>
        <w:rPr>
          <w:rFonts w:ascii="Book Antiqua" w:eastAsia="Book Antiqua" w:hAnsi="Book Antiqua" w:cs="Book Antiqua"/>
          <w:color w:val="000000"/>
        </w:rPr>
        <w:t xml:space="preserve">As shown in Table 2, the proportions of male patients in the AP group, the M-IBD group, and the NM-IBD group was higher than those of female patients; however, no significant difference was observed among the three groups. The median onset age of patients in the M-IBD group was 0.51 (0.04-1.79)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was much younger than that in the AP group [4.44 (1.25-11.76)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0.003] and the NM-IBD group [3.99 (3-9)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The proportions of all IO-IBD patients who had severe diarrhea (more than 8 times/d, 86.4% in the M-IBD group and 58.6% in the NM-IBD group) and recurrent fever (63.6% in the M-IBD group and 41.4% in the NM-IBD group) were significantly higher than those in AP patients (25% of patients had severe diarrhea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and 5% of patients had a recurrent fever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 The percentages of the patients who had severe diarrhea and perianal lesions in the M-IBD group (86.4% and </w:t>
      </w:r>
      <w:r>
        <w:rPr>
          <w:rFonts w:ascii="Book Antiqua" w:eastAsia="Book Antiqua" w:hAnsi="Book Antiqua" w:cs="Book Antiqua"/>
          <w:color w:val="000000"/>
        </w:rPr>
        <w:lastRenderedPageBreak/>
        <w:t>79.5%, respectively) were much higher than those in the NM-IBD group (58.6% [</w:t>
      </w:r>
      <w:r>
        <w:rPr>
          <w:rFonts w:ascii="Book Antiqua" w:eastAsia="Book Antiqua" w:hAnsi="Book Antiqua" w:cs="Book Antiqua"/>
          <w:i/>
          <w:iCs/>
          <w:color w:val="000000"/>
        </w:rPr>
        <w:t xml:space="preserve">P </w:t>
      </w:r>
      <w:r>
        <w:rPr>
          <w:rFonts w:ascii="Book Antiqua" w:eastAsia="Book Antiqua" w:hAnsi="Book Antiqua" w:cs="Book Antiqua"/>
          <w:color w:val="000000"/>
        </w:rPr>
        <w:t>= 0.007] and 24.1%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0.005]). The anthropometric results showed that the </w:t>
      </w:r>
      <w:r>
        <w:rPr>
          <w:rFonts w:ascii="Book Antiqua" w:eastAsia="Book Antiqua" w:hAnsi="Book Antiqua" w:cs="Book Antiqua"/>
          <w:i/>
          <w:iCs/>
          <w:color w:val="000000"/>
        </w:rPr>
        <w:t>Z</w:t>
      </w:r>
      <w:r>
        <w:rPr>
          <w:rFonts w:ascii="Book Antiqua" w:eastAsia="Book Antiqua" w:hAnsi="Book Antiqua" w:cs="Book Antiqua"/>
          <w:color w:val="000000"/>
        </w:rPr>
        <w:t> scores for body weight (-1.95 ± 0.26 for the M-IBD group and -1.15 ± 0.29 for the NM-IBD group) and body height (-1.95 ± 0.25 for the M-IBD group and -1.32 ± 0.31 for the NM-IBD group) of the IBD patients were all lower than those of the children in the AP group (-0.05 ± 0.21 for weight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and 0.17 ± 0.19 for height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while there was no significant difference between the M-IBD group and the NM-IBD group. Regarding the outcomes of treatment, mortality in the M-IBD group was significantly higher than that in the NM-IBD group (20.5% </w:t>
      </w:r>
      <w:r>
        <w:rPr>
          <w:rFonts w:ascii="Book Antiqua" w:eastAsia="Book Antiqua" w:hAnsi="Book Antiqua" w:cs="Book Antiqua"/>
          <w:i/>
          <w:iCs/>
          <w:color w:val="000000"/>
        </w:rPr>
        <w:t>vs</w:t>
      </w:r>
      <w:r>
        <w:rPr>
          <w:rFonts w:ascii="Book Antiqua" w:eastAsia="Book Antiqua" w:hAnsi="Book Antiqua" w:cs="Book Antiqua"/>
          <w:color w:val="000000"/>
        </w:rPr>
        <w:t xml:space="preserve"> 3.4%,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whereas no death occurred in the AP group.</w:t>
      </w:r>
    </w:p>
    <w:p w14:paraId="0EA9464C" w14:textId="0589B041" w:rsidR="0012737F" w:rsidRDefault="0066346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As shown in Table 3, the blood test results showed that peripheral white blood cell count (WBC), platelet count (PLT), CRP, ESR, TNF-α, and IL-6 levels in the IO-IBD group were significantly higher than those in the AP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for all), while serum albumin level was lower than that in the AP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Differences in serum iron levels were not significant among the three groups. Notably, serum IL-10 [85.50 (42.75-127.25)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and ferritin [55.90 (36.10-231.20) ng/mL] levels in the M-IBD group were significantly higher than those in the AP group [IL-10: 5.00 (5.00-5.00)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ferritin: 22.90 (14.90-37.05) ng/mL,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0.002] and in the NM-IBD group [IL-10: 6.37 (5.00-14.80)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ferritin: 15.30 (9.40-27.60) ng/mL,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w:t>
      </w:r>
    </w:p>
    <w:p w14:paraId="0EFA7E58" w14:textId="77777777" w:rsidR="0012737F" w:rsidRDefault="0012737F">
      <w:pPr>
        <w:spacing w:line="360" w:lineRule="auto"/>
        <w:ind w:firstLineChars="100" w:firstLine="240"/>
        <w:jc w:val="both"/>
      </w:pPr>
    </w:p>
    <w:p w14:paraId="3ACDBA4E" w14:textId="77777777" w:rsidR="0012737F" w:rsidRDefault="00663462">
      <w:pPr>
        <w:spacing w:line="360" w:lineRule="auto"/>
        <w:jc w:val="both"/>
        <w:rPr>
          <w:i/>
          <w:iCs/>
        </w:rPr>
      </w:pPr>
      <w:r>
        <w:rPr>
          <w:rFonts w:ascii="Book Antiqua" w:eastAsia="Book Antiqua" w:hAnsi="Book Antiqua" w:cs="Book Antiqua"/>
          <w:b/>
          <w:bCs/>
          <w:i/>
          <w:iCs/>
          <w:color w:val="000000"/>
        </w:rPr>
        <w:t>Binary logistic regression analysis and ROC curve analysis</w:t>
      </w:r>
    </w:p>
    <w:p w14:paraId="01710EFE" w14:textId="346BC1D0" w:rsidR="0012737F" w:rsidRDefault="0066346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Clinical indicators for risk of IO-IBD: </w:t>
      </w:r>
      <w:r>
        <w:rPr>
          <w:rFonts w:ascii="Book Antiqua" w:eastAsia="Book Antiqua" w:hAnsi="Book Antiqua" w:cs="Book Antiqua"/>
          <w:color w:val="000000"/>
        </w:rPr>
        <w:t xml:space="preserve">Binary logistic regression analysis was performed for the parameters with significant differences between the AP group and the IO-IBD group [including diarrhea (&gt; 8 times/d), recurrent fever, </w:t>
      </w:r>
      <w:r>
        <w:rPr>
          <w:rFonts w:ascii="Book Antiqua" w:eastAsia="Book Antiqua" w:hAnsi="Book Antiqua" w:cs="Book Antiqua"/>
          <w:i/>
          <w:iCs/>
          <w:color w:val="000000"/>
        </w:rPr>
        <w:t>Z</w:t>
      </w:r>
      <w:r>
        <w:rPr>
          <w:rFonts w:ascii="Book Antiqua" w:eastAsia="Book Antiqua" w:hAnsi="Book Antiqua" w:cs="Book Antiqua"/>
          <w:color w:val="000000"/>
        </w:rPr>
        <w:t xml:space="preserve">-scores for weight, </w:t>
      </w:r>
      <w:r>
        <w:rPr>
          <w:rFonts w:ascii="Book Antiqua" w:eastAsia="Book Antiqua" w:hAnsi="Book Antiqua" w:cs="Book Antiqua"/>
          <w:i/>
          <w:iCs/>
          <w:color w:val="000000"/>
        </w:rPr>
        <w:t>Z</w:t>
      </w:r>
      <w:r>
        <w:rPr>
          <w:rFonts w:ascii="Book Antiqua" w:eastAsia="Book Antiqua" w:hAnsi="Book Antiqua" w:cs="Book Antiqua"/>
          <w:color w:val="000000"/>
        </w:rPr>
        <w:t>-scores for height, WBC, hemoglobin (Hb), PLT, CRP, ESR, TNF-α, IL-6, and albumin levels]. The results showed that increased peripheral WBC (</w:t>
      </w:r>
      <w:r>
        <w:rPr>
          <w:rFonts w:ascii="Book Antiqua" w:eastAsia="Malgun Gothic" w:hAnsi="Book Antiqua"/>
        </w:rPr>
        <w:t>odds ratio</w:t>
      </w:r>
      <w:r>
        <w:rPr>
          <w:rFonts w:ascii="Book Antiqua" w:eastAsia="Book Antiqua" w:hAnsi="Book Antiqua" w:cs="Book Antiqua"/>
          <w:color w:val="000000"/>
        </w:rPr>
        <w:t xml:space="preserve"> [OR] = 1.19, 95% confidence interval [CI]: 1.01-1.40, </w:t>
      </w:r>
      <w:r>
        <w:rPr>
          <w:rFonts w:ascii="Book Antiqua" w:eastAsia="Book Antiqua" w:hAnsi="Book Antiqua" w:cs="Book Antiqua"/>
          <w:i/>
          <w:iCs/>
          <w:color w:val="000000"/>
        </w:rPr>
        <w:t xml:space="preserve">P </w:t>
      </w:r>
      <w:r>
        <w:rPr>
          <w:rFonts w:ascii="Book Antiqua" w:eastAsia="Book Antiqua" w:hAnsi="Book Antiqua" w:cs="Book Antiqua"/>
          <w:color w:val="000000"/>
        </w:rPr>
        <w:t>= 0.040), ESR (OR = 1.10, 95%CI: 1.01-1.20,</w:t>
      </w:r>
      <w:r>
        <w:rPr>
          <w:rFonts w:ascii="Book Antiqua" w:eastAsia="Book Antiqua" w:hAnsi="Book Antiqua" w:cs="Book Antiqua"/>
          <w:i/>
          <w:iCs/>
          <w:color w:val="000000"/>
        </w:rPr>
        <w:t xml:space="preserve"> P </w:t>
      </w:r>
      <w:r>
        <w:rPr>
          <w:rFonts w:ascii="Book Antiqua" w:eastAsia="Book Antiqua" w:hAnsi="Book Antiqua" w:cs="Book Antiqua"/>
          <w:color w:val="000000"/>
        </w:rPr>
        <w:t xml:space="preserve">= 0.037) and levels of TNF-α (OR =1.25, 95%CI: 1.05-1.50,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=0.013), as well as reduced albumin </w:t>
      </w:r>
      <w:r>
        <w:rPr>
          <w:rFonts w:ascii="Book Antiqua" w:eastAsia="Book Antiqua" w:hAnsi="Book Antiqua" w:cs="Book Antiqua"/>
          <w:color w:val="000000"/>
        </w:rPr>
        <w:lastRenderedPageBreak/>
        <w:t xml:space="preserve">levels were risk factors (OR = 0.86, 95%CI: 0.74-1.00,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0.048) for the diagnosis of IO-IBD (Table 4). We further investigated these four indicators using ROC curve analysis to explore their diagnostic value. The areas under the curves (AUCs) and the cut-off values are shown in Figure 1A and B. For WBC, the AUC was 0.78 (95%CI: 0.69-0.86,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and the cut-off value was 11.96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/L (sensitivity: 0.66; specificity: 0.88). For ESR, the AUC was 0.81 (95%CI: 0.73-0.89,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and the cut-off value was 12.50 mm/h (sensitivity: 0.70; specificity: 0.90). For TNF-α, the AUC was 0.80 (95%CI: 0.72-0.89,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and the cut-off value was 17.40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(sensitivity: 0.78; specificity: 0.88). For albumin, the AUC was 0.88 (95%CI: 0.81-0.94,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and the cut-off value was 36.50 g/L (sensitivity: 0.80; specificity: 0.90). Based on the results, WBC and ESR had a low sensitivity for recognizing IO-IBD. While TNF-α and albumin level had a higher sensitivity and specificity, and we speculated they may be used for early identifying IO-IBD patients.</w:t>
      </w:r>
    </w:p>
    <w:p w14:paraId="6958D2C7" w14:textId="77777777" w:rsidR="0012737F" w:rsidRDefault="0012737F">
      <w:pPr>
        <w:spacing w:line="360" w:lineRule="auto"/>
        <w:jc w:val="both"/>
      </w:pPr>
    </w:p>
    <w:p w14:paraId="0F9B1874" w14:textId="70CDD8C8" w:rsidR="0012737F" w:rsidRDefault="00663462">
      <w:pPr>
        <w:spacing w:line="360" w:lineRule="auto"/>
        <w:jc w:val="both"/>
        <w:rPr>
          <w:i/>
          <w:iCs/>
        </w:rPr>
      </w:pPr>
      <w:bookmarkStart w:id="4" w:name="_Hlk58396575"/>
      <w:r>
        <w:rPr>
          <w:rFonts w:ascii="Book Antiqua" w:eastAsia="Book Antiqua" w:hAnsi="Book Antiqua" w:cs="Book Antiqua"/>
          <w:b/>
          <w:bCs/>
          <w:color w:val="000000"/>
        </w:rPr>
        <w:t>Clinical indicators for risk of M-IBD</w:t>
      </w:r>
      <w:bookmarkEnd w:id="4"/>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Binary logistic regression analysis was performed using the parameters with significant differences between the M-IBD group and the NM-IBD group [including median onset age, diarrhea (&gt; 8 times/d), </w:t>
      </w:r>
      <w:proofErr w:type="gramStart"/>
      <w:r>
        <w:rPr>
          <w:rFonts w:ascii="Book Antiqua" w:eastAsia="Book Antiqua" w:hAnsi="Book Antiqua" w:cs="Book Antiqua"/>
          <w:color w:val="000000"/>
        </w:rPr>
        <w:t>perianal</w:t>
      </w:r>
      <w:proofErr w:type="gramEnd"/>
      <w:r>
        <w:rPr>
          <w:rFonts w:ascii="Book Antiqua" w:eastAsia="Book Antiqua" w:hAnsi="Book Antiqua" w:cs="Book Antiqua"/>
          <w:color w:val="000000"/>
        </w:rPr>
        <w:t xml:space="preserve"> disease, CRP, IL-10, and ferritin levels]. The results showed that very early onset age (OR = 3.47, 95%CI: 1.29-9.29,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0.013], presence of perianal diseases (OR = 11.42, 95%CI: 1.71-76.23,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0.012), and high levels of serum ferritin (OR = 1.14, 95%CI: 1.06-1.24,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and IL-10 (OR = 1.04, 95%CI: 1.01-1.08,</w:t>
      </w:r>
      <w:r>
        <w:rPr>
          <w:rFonts w:ascii="Book Antiqua" w:eastAsia="Book Antiqua" w:hAnsi="Book Antiqua" w:cs="Book Antiqua"/>
          <w:i/>
          <w:iCs/>
          <w:color w:val="000000"/>
        </w:rPr>
        <w:t xml:space="preserve"> P </w:t>
      </w:r>
      <w:r>
        <w:rPr>
          <w:rFonts w:ascii="Book Antiqua" w:eastAsia="Book Antiqua" w:hAnsi="Book Antiqua" w:cs="Book Antiqua"/>
          <w:color w:val="000000"/>
        </w:rPr>
        <w:t xml:space="preserve">= 0.005) were the main risk factors for M-IBD diagnosis (Table 5). Because the </w:t>
      </w:r>
      <w:r>
        <w:rPr>
          <w:rFonts w:ascii="Book Antiqua" w:eastAsia="Book Antiqua" w:hAnsi="Book Antiqua" w:cs="Book Antiqua"/>
          <w:i/>
          <w:iCs/>
          <w:color w:val="000000"/>
        </w:rPr>
        <w:t>IL-10RA</w:t>
      </w:r>
      <w:r>
        <w:rPr>
          <w:rFonts w:ascii="Book Antiqua" w:eastAsia="Book Antiqua" w:hAnsi="Book Antiqua" w:cs="Book Antiqua"/>
          <w:color w:val="000000"/>
        </w:rPr>
        <w:t xml:space="preserve"> mutations in this study accounted for a dominant proportion (79.6%) in the M-IBD group, to avoid bias caused by sample selection, we further compared the above high-risk factors among patients with </w:t>
      </w:r>
      <w:r>
        <w:rPr>
          <w:rFonts w:ascii="Book Antiqua" w:eastAsia="Book Antiqua" w:hAnsi="Book Antiqua" w:cs="Book Antiqua"/>
          <w:i/>
          <w:iCs/>
          <w:color w:val="000000"/>
        </w:rPr>
        <w:t>IL-10RA</w:t>
      </w:r>
      <w:r>
        <w:rPr>
          <w:rFonts w:ascii="Book Antiqua" w:eastAsia="Book Antiqua" w:hAnsi="Book Antiqua" w:cs="Book Antiqua"/>
          <w:color w:val="000000"/>
        </w:rPr>
        <w:t> mutations or non-</w:t>
      </w:r>
      <w:r>
        <w:rPr>
          <w:rFonts w:ascii="Book Antiqua" w:eastAsia="Book Antiqua" w:hAnsi="Book Antiqua" w:cs="Book Antiqua"/>
          <w:i/>
          <w:iCs/>
          <w:color w:val="000000"/>
        </w:rPr>
        <w:t>IL-10RA</w:t>
      </w:r>
      <w:r>
        <w:rPr>
          <w:rFonts w:ascii="Book Antiqua" w:eastAsia="Book Antiqua" w:hAnsi="Book Antiqua" w:cs="Book Antiqua"/>
          <w:color w:val="000000"/>
        </w:rPr>
        <w:t xml:space="preserve"> mutations in the M-IBD group, and those without any disease-causing mutations in the NM-IBD group. The results showed that only serum ferritin could discriminate M-IBD and NM-IBD regardless of genotypes. The level of serum ferritin was significantly lower in the NM-IBD group than in the other two groups (Table 6) and could be used as an indicator for recognizing IO-IBD </w:t>
      </w:r>
      <w:r>
        <w:rPr>
          <w:rFonts w:ascii="Book Antiqua" w:eastAsia="Book Antiqua" w:hAnsi="Book Antiqua" w:cs="Book Antiqua"/>
          <w:color w:val="000000"/>
        </w:rPr>
        <w:lastRenderedPageBreak/>
        <w:t xml:space="preserve">children with genetic mutations. The ROC curve analysis was also performed to explore the indicators for the diagnosis of M-IBD. Using gene sequencing results as the gold standard, all IO-IBD patients were included in the analysis. The AUC of ferritin for diagnosing M-IBD was 0.94 (95%CI: 0.87-1.00,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with a cut-off value of 28.20 ng/mL (sensitivity: 0.93; specificity: 0.92; Figure 1C), which showed high diagnostic value. Besides, we further analyzed the value of serum IL-10 level and onset age for early noticing </w:t>
      </w:r>
      <w:r>
        <w:rPr>
          <w:rFonts w:ascii="Book Antiqua" w:eastAsia="Book Antiqua" w:hAnsi="Book Antiqua" w:cs="Book Antiqua"/>
          <w:i/>
          <w:iCs/>
          <w:color w:val="000000"/>
        </w:rPr>
        <w:t>IL-10RA</w:t>
      </w:r>
      <w:r>
        <w:rPr>
          <w:rFonts w:ascii="Book Antiqua" w:eastAsia="Book Antiqua" w:hAnsi="Book Antiqua" w:cs="Book Antiqua"/>
          <w:color w:val="000000"/>
        </w:rPr>
        <w:t xml:space="preserve"> mutation in M-IBD patients. The AUC for IL-10 was 0.91 (95%CI: 0.86-0.99,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and the cut-off value was 33.05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(sensitivity: 1.00; specificity: 0.84); the AUC for onset age was 0.87 (95%CI: 0.78-0.96,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the cut-off value was 0.21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(sensitivity: 0.82; specificity: 0.94; Figure 1D and E). These results indicated that the two indicators had high diagnostic value and may be used in clinical practice. All above results suggested that, when serum ferritin levels were higher than 28.20 ng/mL, it might indicate the existence of pathogenic gene mutations in IO-IBD patients. If the infant got IO-IBD within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birth or their serum IL-10 levels were higher than 33.05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it might strongly suggest the presence of </w:t>
      </w:r>
      <w:r>
        <w:rPr>
          <w:rFonts w:ascii="Book Antiqua" w:eastAsia="Book Antiqua" w:hAnsi="Book Antiqua" w:cs="Book Antiqua"/>
          <w:i/>
          <w:iCs/>
          <w:color w:val="000000"/>
        </w:rPr>
        <w:t>IL-10RA</w:t>
      </w:r>
      <w:r>
        <w:rPr>
          <w:rFonts w:ascii="Book Antiqua" w:eastAsia="Book Antiqua" w:hAnsi="Book Antiqua" w:cs="Book Antiqua"/>
          <w:color w:val="000000"/>
        </w:rPr>
        <w:t> gene mutations.</w:t>
      </w:r>
    </w:p>
    <w:p w14:paraId="4C05D841" w14:textId="77777777" w:rsidR="0012737F" w:rsidRDefault="0012737F">
      <w:pPr>
        <w:spacing w:line="360" w:lineRule="auto"/>
        <w:jc w:val="both"/>
      </w:pPr>
    </w:p>
    <w:p w14:paraId="174625B5" w14:textId="77777777" w:rsidR="0012737F" w:rsidRDefault="00663462">
      <w:pPr>
        <w:spacing w:line="360" w:lineRule="auto"/>
        <w:jc w:val="both"/>
      </w:pPr>
      <w:r>
        <w:rPr>
          <w:rFonts w:ascii="Book Antiqua" w:eastAsia="Book Antiqua" w:hAnsi="Book Antiqua" w:cs="Book Antiqua"/>
          <w:b/>
          <w:caps/>
          <w:color w:val="000000"/>
          <w:u w:val="single"/>
        </w:rPr>
        <w:t>DISCUSSION</w:t>
      </w:r>
    </w:p>
    <w:p w14:paraId="79216066" w14:textId="43E504B5" w:rsidR="0012737F" w:rsidRDefault="00663462">
      <w:pPr>
        <w:spacing w:line="360" w:lineRule="auto"/>
        <w:jc w:val="both"/>
      </w:pPr>
      <w:r>
        <w:rPr>
          <w:rFonts w:ascii="Book Antiqua" w:eastAsia="Book Antiqua" w:hAnsi="Book Antiqua" w:cs="Book Antiqua"/>
          <w:color w:val="000000"/>
        </w:rPr>
        <w:t>Approximately 15% of pediatric patients were categorized as having VEO-</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and approximately 1% of pediatric patients developed symptoms during infancy (IO-IBD). Over the past decade, the prevalence of VEO-IBD had increased by more than 50</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 </w:t>
      </w:r>
      <w:r>
        <w:rPr>
          <w:rFonts w:ascii="Book Antiqua" w:eastAsia="Book Antiqua" w:hAnsi="Book Antiqua" w:cs="Book Antiqua"/>
          <w:color w:val="000000"/>
        </w:rPr>
        <w:t xml:space="preserve">Increasing studies believed that genetic factors, such as monogenic diseases, play important roles in the development of VEO-IBD, especially IO-IBD. Currently, there is no epidemiological data for IO-IBD patients in China. However, in the past 5 years, more than 200 cases of VEO-IBD have been reported by our hospital and other hospitals in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8-13]</w:t>
      </w:r>
      <w:r>
        <w:rPr>
          <w:rFonts w:ascii="Book Antiqua" w:eastAsia="Book Antiqua" w:hAnsi="Book Antiqua" w:cs="Book Antiqua"/>
          <w:color w:val="000000"/>
        </w:rPr>
        <w:t xml:space="preserve">, and more than half of the patients presented genetic defects. Among the 73 pediatric patients in this study, 49 (67.12%) carried disease-related gene mutations, which was much higher than the reported proportions in European and American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14,15]</w:t>
      </w:r>
      <w:r>
        <w:rPr>
          <w:rFonts w:ascii="Book Antiqua" w:eastAsia="Book Antiqua" w:hAnsi="Book Antiqua" w:cs="Book Antiqua"/>
          <w:color w:val="000000"/>
          <w:szCs w:val="36"/>
        </w:rPr>
        <w:t xml:space="preserve"> </w:t>
      </w:r>
      <w:r>
        <w:rPr>
          <w:rFonts w:ascii="Book Antiqua" w:eastAsia="Book Antiqua" w:hAnsi="Book Antiqua" w:cs="Book Antiqua"/>
          <w:color w:val="000000"/>
        </w:rPr>
        <w:t xml:space="preserve">but similar to the proportion reported by Huang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suggesting that the presence of monogenic diseases is more common in Chinese VEO-IBD patients.</w:t>
      </w:r>
    </w:p>
    <w:p w14:paraId="107C2C7B" w14:textId="66A0F345" w:rsidR="0012737F" w:rsidRDefault="00663462">
      <w:pPr>
        <w:spacing w:line="360" w:lineRule="auto"/>
        <w:ind w:firstLineChars="100" w:firstLine="240"/>
        <w:jc w:val="both"/>
      </w:pPr>
      <w:r>
        <w:rPr>
          <w:rFonts w:ascii="Book Antiqua" w:eastAsia="Book Antiqua" w:hAnsi="Book Antiqua" w:cs="Book Antiqua"/>
          <w:color w:val="000000"/>
        </w:rPr>
        <w:t xml:space="preserve">A total of ten mutated genes were identified in this study, among which the </w:t>
      </w:r>
      <w:r>
        <w:rPr>
          <w:rFonts w:ascii="Book Antiqua" w:eastAsia="Book Antiqua" w:hAnsi="Book Antiqua" w:cs="Book Antiqua"/>
          <w:i/>
          <w:iCs/>
          <w:color w:val="000000"/>
        </w:rPr>
        <w:t>IL-10RA</w:t>
      </w:r>
      <w:r>
        <w:rPr>
          <w:rFonts w:ascii="Book Antiqua" w:eastAsia="Book Antiqua" w:hAnsi="Book Antiqua" w:cs="Book Antiqua"/>
          <w:color w:val="000000"/>
        </w:rPr>
        <w:t xml:space="preserve"> mutation was the most common (39/49). This finding was similar to those reported by other researchers in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while </w:t>
      </w:r>
      <w:r>
        <w:rPr>
          <w:rFonts w:ascii="Book Antiqua" w:eastAsia="Book Antiqua" w:hAnsi="Book Antiqua" w:cs="Book Antiqua"/>
          <w:i/>
          <w:iCs/>
          <w:color w:val="000000"/>
        </w:rPr>
        <w:t>IL-10RB</w:t>
      </w:r>
      <w:r>
        <w:rPr>
          <w:rFonts w:ascii="Book Antiqua" w:eastAsia="Book Antiqua" w:hAnsi="Book Antiqua" w:cs="Book Antiqua"/>
          <w:color w:val="000000"/>
        </w:rPr>
        <w:t xml:space="preserve"> and </w:t>
      </w:r>
      <w:r>
        <w:rPr>
          <w:rFonts w:ascii="Book Antiqua" w:eastAsia="Book Antiqua" w:hAnsi="Book Antiqua" w:cs="Book Antiqua"/>
          <w:i/>
          <w:iCs/>
          <w:color w:val="000000"/>
        </w:rPr>
        <w:t>IL-10</w:t>
      </w:r>
      <w:r>
        <w:rPr>
          <w:rFonts w:ascii="Book Antiqua" w:eastAsia="Book Antiqua" w:hAnsi="Book Antiqua" w:cs="Book Antiqua"/>
          <w:color w:val="000000"/>
        </w:rPr>
        <w:t xml:space="preserve"> mutations were not observed. Among the 14 </w:t>
      </w:r>
      <w:r>
        <w:rPr>
          <w:rFonts w:ascii="Book Antiqua" w:eastAsia="Book Antiqua" w:hAnsi="Book Antiqua" w:cs="Book Antiqua"/>
          <w:i/>
          <w:iCs/>
          <w:color w:val="000000"/>
        </w:rPr>
        <w:t>IL-10RA</w:t>
      </w:r>
      <w:r>
        <w:rPr>
          <w:rFonts w:ascii="Book Antiqua" w:eastAsia="Book Antiqua" w:hAnsi="Book Antiqua" w:cs="Book Antiqua"/>
          <w:color w:val="000000"/>
        </w:rPr>
        <w:t> variants, ten have been reported previously, among which c.537G&gt;A, c.493C&gt;T, c.436delC, c.299T&gt;G, and c.191A&gt;G mutations were observed in children only in China or other Asian countries</w:t>
      </w:r>
      <w:r>
        <w:rPr>
          <w:rFonts w:ascii="Book Antiqua" w:eastAsia="Book Antiqua" w:hAnsi="Book Antiqua" w:cs="Book Antiqua"/>
          <w:color w:val="000000"/>
          <w:szCs w:val="36"/>
          <w:vertAlign w:val="superscript"/>
        </w:rPr>
        <w:t>[11,16,17]</w:t>
      </w:r>
      <w:r>
        <w:rPr>
          <w:rFonts w:ascii="Book Antiqua" w:eastAsia="Book Antiqua" w:hAnsi="Book Antiqua" w:cs="Book Antiqua"/>
          <w:color w:val="000000"/>
          <w:szCs w:val="36"/>
        </w:rPr>
        <w:t xml:space="preserve"> </w:t>
      </w:r>
      <w:r>
        <w:rPr>
          <w:rFonts w:ascii="Book Antiqua" w:eastAsia="Book Antiqua" w:hAnsi="Book Antiqua" w:cs="Book Antiqua"/>
          <w:color w:val="000000"/>
        </w:rPr>
        <w:t xml:space="preserve">but have not been reported in Western countries, suggesting a genetic founder effect in </w:t>
      </w:r>
      <w:r>
        <w:rPr>
          <w:rFonts w:ascii="Book Antiqua" w:eastAsia="Book Antiqua" w:hAnsi="Book Antiqua" w:cs="Book Antiqua"/>
          <w:i/>
          <w:iCs/>
          <w:color w:val="000000"/>
        </w:rPr>
        <w:t>IL-10RA</w:t>
      </w:r>
      <w:r>
        <w:rPr>
          <w:rFonts w:ascii="Book Antiqua" w:eastAsia="Book Antiqua" w:hAnsi="Book Antiqua" w:cs="Book Antiqua"/>
          <w:color w:val="000000"/>
        </w:rPr>
        <w:t>. The four identified novel variants were c.109G&gt;T, c.302G&gt;A, c.569T&gt;G, and c.787C&gt;T, which were likely pathogenic mutations according to the ACMG guidelines. In this study, the most common</w:t>
      </w:r>
      <w:r>
        <w:rPr>
          <w:rFonts w:ascii="Book Antiqua" w:eastAsia="Book Antiqua" w:hAnsi="Book Antiqua" w:cs="Book Antiqua"/>
          <w:i/>
          <w:iCs/>
          <w:color w:val="000000"/>
        </w:rPr>
        <w:t xml:space="preserve"> IL-10RA </w:t>
      </w:r>
      <w:r>
        <w:rPr>
          <w:rFonts w:ascii="Book Antiqua" w:eastAsia="Book Antiqua" w:hAnsi="Book Antiqua" w:cs="Book Antiqua"/>
          <w:color w:val="000000"/>
        </w:rPr>
        <w:t xml:space="preserve">mutation locus was c.301C&gt;T, followed by c.537G&gt;A, which was consistent with the previous reports in Asian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Notably, c.537G&gt;A mutation was located in exon 4, which was always missed in the reports as it was mistaken for a synonymous mutation; however, it had been confirmed as a splicing mutation that has a deleterious effect on IL-10 receptor</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For IBD children who are highly suspected of having abnormal IL-10 signaling pathways, especially those who have a heterozygous </w:t>
      </w:r>
      <w:r>
        <w:rPr>
          <w:rFonts w:ascii="Book Antiqua" w:eastAsia="Book Antiqua" w:hAnsi="Book Antiqua" w:cs="Book Antiqua"/>
          <w:i/>
          <w:iCs/>
          <w:color w:val="000000"/>
        </w:rPr>
        <w:t>IL-10RA</w:t>
      </w:r>
      <w:r>
        <w:rPr>
          <w:rFonts w:ascii="Book Antiqua" w:eastAsia="Book Antiqua" w:hAnsi="Book Antiqua" w:cs="Book Antiqua"/>
          <w:color w:val="000000"/>
        </w:rPr>
        <w:t> mutation after gene sequencing, clinicians should be aware of the sequencing report and not to miss the c.537G&gt;A mutation.</w:t>
      </w:r>
    </w:p>
    <w:p w14:paraId="06C3353E" w14:textId="1B676F97" w:rsidR="0012737F" w:rsidRDefault="00663462">
      <w:pPr>
        <w:spacing w:line="360" w:lineRule="auto"/>
        <w:ind w:firstLineChars="100" w:firstLine="240"/>
        <w:jc w:val="both"/>
      </w:pPr>
      <w:r>
        <w:rPr>
          <w:rFonts w:ascii="Book Antiqua" w:eastAsia="Book Antiqua" w:hAnsi="Book Antiqua" w:cs="Book Antiqua"/>
          <w:color w:val="000000"/>
        </w:rPr>
        <w:t xml:space="preserve">In addition to </w:t>
      </w:r>
      <w:r>
        <w:rPr>
          <w:rFonts w:ascii="Book Antiqua" w:eastAsia="Book Antiqua" w:hAnsi="Book Antiqua" w:cs="Book Antiqua"/>
          <w:i/>
          <w:iCs/>
          <w:color w:val="000000"/>
        </w:rPr>
        <w:t>IL-10RA</w:t>
      </w:r>
      <w:r>
        <w:rPr>
          <w:rFonts w:ascii="Book Antiqua" w:eastAsia="Book Antiqua" w:hAnsi="Book Antiqua" w:cs="Book Antiqua"/>
          <w:color w:val="000000"/>
        </w:rPr>
        <w:t xml:space="preserve">, the other eight genetic mutations that could cause immunodeficiency diseases were also observed in this study. These included </w:t>
      </w:r>
      <w:r>
        <w:rPr>
          <w:rFonts w:ascii="Book Antiqua" w:eastAsia="Book Antiqua" w:hAnsi="Book Antiqua" w:cs="Book Antiqua"/>
          <w:i/>
          <w:iCs/>
          <w:color w:val="000000"/>
        </w:rPr>
        <w:t>CYBB</w:t>
      </w:r>
      <w:r>
        <w:rPr>
          <w:rFonts w:ascii="Book Antiqua" w:eastAsia="Book Antiqua" w:hAnsi="Book Antiqua" w:cs="Book Antiqua"/>
          <w:color w:val="000000"/>
        </w:rPr>
        <w:t xml:space="preserve"> mutation, which caused X-linked chronic granulomatous disease</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w:t>
      </w:r>
      <w:r>
        <w:rPr>
          <w:rFonts w:ascii="Book Antiqua" w:eastAsia="Book Antiqua" w:hAnsi="Book Antiqua" w:cs="Book Antiqua"/>
          <w:i/>
          <w:iCs/>
          <w:color w:val="000000"/>
        </w:rPr>
        <w:t>IKBKG</w:t>
      </w:r>
      <w:r>
        <w:rPr>
          <w:rFonts w:ascii="Book Antiqua" w:eastAsia="Book Antiqua" w:hAnsi="Book Antiqua" w:cs="Book Antiqua"/>
          <w:color w:val="000000"/>
        </w:rPr>
        <w:t xml:space="preserve"> mutation, which caused ectodermal dysplasia and immunodeficiency</w:t>
      </w:r>
      <w:r>
        <w:rPr>
          <w:rFonts w:ascii="Book Antiqua" w:eastAsia="Book Antiqua" w:hAnsi="Book Antiqua" w:cs="Book Antiqua"/>
          <w:color w:val="000000"/>
          <w:szCs w:val="36"/>
          <w:vertAlign w:val="superscript"/>
        </w:rPr>
        <w:t>[19,20]</w:t>
      </w:r>
      <w:r>
        <w:rPr>
          <w:rFonts w:ascii="Book Antiqua" w:eastAsia="Book Antiqua" w:hAnsi="Book Antiqua" w:cs="Book Antiqua"/>
          <w:color w:val="000000"/>
        </w:rPr>
        <w:t xml:space="preserve">, </w:t>
      </w:r>
      <w:r>
        <w:rPr>
          <w:rFonts w:ascii="Book Antiqua" w:eastAsia="Book Antiqua" w:hAnsi="Book Antiqua" w:cs="Book Antiqua"/>
          <w:i/>
          <w:iCs/>
          <w:color w:val="000000"/>
        </w:rPr>
        <w:t>PIK3CD</w:t>
      </w:r>
      <w:r>
        <w:rPr>
          <w:rFonts w:ascii="Book Antiqua" w:eastAsia="Book Antiqua" w:hAnsi="Book Antiqua" w:cs="Book Antiqua"/>
          <w:color w:val="000000"/>
        </w:rPr>
        <w:t xml:space="preserve"> mutation, which caused activated phosphoinositide 3-kinase δ syndrome</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w:t>
      </w:r>
      <w:r>
        <w:rPr>
          <w:rFonts w:ascii="Book Antiqua" w:eastAsia="Book Antiqua" w:hAnsi="Book Antiqua" w:cs="Book Antiqua"/>
          <w:i/>
          <w:iCs/>
          <w:color w:val="000000"/>
        </w:rPr>
        <w:t>CD40LG</w:t>
      </w:r>
      <w:r>
        <w:rPr>
          <w:rFonts w:ascii="Book Antiqua" w:eastAsia="Book Antiqua" w:hAnsi="Book Antiqua" w:cs="Book Antiqua"/>
          <w:color w:val="000000"/>
        </w:rPr>
        <w:t xml:space="preserve"> mutation, which caused X-linked hyper-IgM syndrome</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w:t>
      </w:r>
      <w:r>
        <w:rPr>
          <w:rFonts w:ascii="Book Antiqua" w:eastAsia="Book Antiqua" w:hAnsi="Book Antiqua" w:cs="Book Antiqua"/>
          <w:i/>
          <w:iCs/>
          <w:color w:val="000000"/>
        </w:rPr>
        <w:t>SLC37A4</w:t>
      </w:r>
      <w:r>
        <w:rPr>
          <w:rFonts w:ascii="Book Antiqua" w:eastAsia="Book Antiqua" w:hAnsi="Book Antiqua" w:cs="Book Antiqua"/>
          <w:color w:val="000000"/>
        </w:rPr>
        <w:t> mutation, which caused glycogen storage disease type 1B</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LIG4 </w:t>
      </w:r>
      <w:r>
        <w:rPr>
          <w:rFonts w:ascii="Book Antiqua" w:eastAsia="Book Antiqua" w:hAnsi="Book Antiqua" w:cs="Book Antiqua"/>
          <w:color w:val="000000"/>
        </w:rPr>
        <w:t>mutation, which caused LIG4 syndrome</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w:t>
      </w:r>
      <w:r>
        <w:rPr>
          <w:rFonts w:ascii="Book Antiqua" w:eastAsia="Book Antiqua" w:hAnsi="Book Antiqua" w:cs="Book Antiqua"/>
          <w:i/>
          <w:iCs/>
          <w:color w:val="000000"/>
        </w:rPr>
        <w:t xml:space="preserve"> WAS</w:t>
      </w:r>
      <w:r>
        <w:rPr>
          <w:rFonts w:ascii="Book Antiqua" w:eastAsia="Book Antiqua" w:hAnsi="Book Antiqua" w:cs="Book Antiqua"/>
          <w:color w:val="000000"/>
        </w:rPr>
        <w:t> mutation, which caused </w:t>
      </w:r>
      <w:proofErr w:type="spellStart"/>
      <w:r>
        <w:rPr>
          <w:rFonts w:ascii="Book Antiqua" w:eastAsia="Book Antiqua" w:hAnsi="Book Antiqua" w:cs="Book Antiqua"/>
          <w:color w:val="000000"/>
        </w:rPr>
        <w:t>Wiskott</w:t>
      </w:r>
      <w:proofErr w:type="spellEnd"/>
      <w:r>
        <w:rPr>
          <w:rFonts w:ascii="Book Antiqua" w:eastAsia="Book Antiqua" w:hAnsi="Book Antiqua" w:cs="Book Antiqua"/>
          <w:color w:val="000000"/>
        </w:rPr>
        <w:t>-Aldrich syndrome</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and</w:t>
      </w:r>
      <w:r>
        <w:rPr>
          <w:rFonts w:ascii="Book Antiqua" w:eastAsia="Book Antiqua" w:hAnsi="Book Antiqua" w:cs="Book Antiqua"/>
          <w:i/>
          <w:iCs/>
          <w:color w:val="000000"/>
        </w:rPr>
        <w:t xml:space="preserve"> CARD11</w:t>
      </w:r>
      <w:r>
        <w:rPr>
          <w:rFonts w:ascii="Book Antiqua" w:eastAsia="Book Antiqua" w:hAnsi="Book Antiqua" w:cs="Book Antiqua"/>
          <w:color w:val="000000"/>
        </w:rPr>
        <w:t xml:space="preserve"> mutation, which caused immunodeficiency type 11B with atopic dermatitis</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These diseases </w:t>
      </w:r>
      <w:r>
        <w:rPr>
          <w:rFonts w:ascii="Book Antiqua" w:eastAsia="Book Antiqua" w:hAnsi="Book Antiqua" w:cs="Book Antiqua"/>
          <w:color w:val="000000"/>
        </w:rPr>
        <w:lastRenderedPageBreak/>
        <w:t>have been confirmed to cause IBD-like colitis in infants, such as recurrent diarrhea, hematochezia, infections, perianal abscess, and growth retardation.</w:t>
      </w:r>
    </w:p>
    <w:p w14:paraId="09DE34BD" w14:textId="67A3B39C" w:rsidR="0012737F" w:rsidRDefault="00663462">
      <w:pPr>
        <w:spacing w:line="360" w:lineRule="auto"/>
        <w:ind w:firstLineChars="100" w:firstLine="240"/>
        <w:jc w:val="both"/>
      </w:pPr>
      <w:r>
        <w:rPr>
          <w:rFonts w:ascii="Book Antiqua" w:eastAsia="Book Antiqua" w:hAnsi="Book Antiqua" w:cs="Book Antiqua"/>
          <w:color w:val="000000"/>
        </w:rPr>
        <w:t xml:space="preserve">Because of an insufficient understanding of IO-IBD, especially that caused by monogenic diseases, most patients could not be diagnosed as early as possible. It has been reported that the median time from the occurrence of symptoms to disease diagnosis was approximately 6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The most common misdiagnosis was allergic diseases, therefore, this study included a group of age-matched patients who were admitted to the hospital due to diarrhea and hematochezia and were eventually diagnosed as allergic proctocolitis. Although the AP children had diarrhea</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hematochezia, or other similar symptoms with the IBD children, there was less onset of failure to thrive, perianal lesions, and death in AP patients; meanwhile, the daily frequency of diarrhea was significantly higher in IO-IBD children than in AP children. Inflammatory markers in peripheral blood such as WBC, CRP, ESR, PLT, </w:t>
      </w:r>
      <w:proofErr w:type="gramStart"/>
      <w:r>
        <w:rPr>
          <w:rFonts w:ascii="Book Antiqua" w:eastAsia="Book Antiqua" w:hAnsi="Book Antiqua" w:cs="Book Antiqua"/>
          <w:color w:val="000000"/>
        </w:rPr>
        <w:t>TNF</w:t>
      </w:r>
      <w:proofErr w:type="gramEnd"/>
      <w:r>
        <w:rPr>
          <w:rFonts w:ascii="Book Antiqua" w:eastAsia="Book Antiqua" w:hAnsi="Book Antiqua" w:cs="Book Antiqua"/>
          <w:color w:val="000000"/>
        </w:rPr>
        <w:t>-α, and IL-6 in IO-IBD children were significantly higher than those in AP children, while the nutritional indicators such as albumin and hemoglobin were lower in IBD patients than in AP patients. Logistic regression analysis further confirmed that increased levels of WBC, ESR, and TNF-α, as well as lower serum albumin level were associated with a higher likelihood of IBD. Although it has been reported that hematological examinations had little value in the differential diagnosis of food allergy and IBD</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,the ROC curve analysis in this study showed that TNF-α and serum albumin level had moderate value for differentiating IBD from allergic disease. Moreover, the high sensitivities and specificities of cut-off values for TNF-α and serum albumin may help clinicians, especially those in areas with limited medical resources, to identify IO-IBD patients earlier.</w:t>
      </w:r>
    </w:p>
    <w:p w14:paraId="2C99E664" w14:textId="285D3857" w:rsidR="0012737F" w:rsidRDefault="00663462">
      <w:pPr>
        <w:spacing w:line="360" w:lineRule="auto"/>
        <w:ind w:firstLineChars="100" w:firstLine="240"/>
        <w:jc w:val="both"/>
      </w:pPr>
      <w:r>
        <w:rPr>
          <w:rFonts w:ascii="Book Antiqua" w:eastAsia="Book Antiqua" w:hAnsi="Book Antiqua" w:cs="Book Antiqua"/>
          <w:color w:val="000000"/>
        </w:rPr>
        <w:t xml:space="preserve">Genetic diagnosis is currently the gold standard for the diagnosis of IO-IBD caused by gene defects. However, the economic and time costs of this detection are relatively high in China. Most parents are not willing to choose this method at initial visits, and this would delay the diagnosis and treatment. The binary logistic regression analysis showed the serum ferritin (OR = 1.14) and IL-10 (OR = 1.04) may indicate the presence </w:t>
      </w:r>
      <w:r>
        <w:rPr>
          <w:rFonts w:ascii="Book Antiqua" w:eastAsia="Book Antiqua" w:hAnsi="Book Antiqua" w:cs="Book Antiqua"/>
          <w:color w:val="000000"/>
        </w:rPr>
        <w:lastRenderedPageBreak/>
        <w:t xml:space="preserve">of gene defects in IO-IBD children; however, in view of the high proportion of IL-10RA mutations in our cohort, we further compared these factors among patients with </w:t>
      </w:r>
      <w:r>
        <w:rPr>
          <w:rFonts w:ascii="Book Antiqua" w:eastAsia="Book Antiqua" w:hAnsi="Book Antiqua" w:cs="Book Antiqua"/>
          <w:i/>
          <w:iCs/>
          <w:color w:val="000000"/>
        </w:rPr>
        <w:t>IL-10RA</w:t>
      </w:r>
      <w:r>
        <w:rPr>
          <w:rFonts w:ascii="Book Antiqua" w:eastAsia="Book Antiqua" w:hAnsi="Book Antiqua" w:cs="Book Antiqua"/>
          <w:color w:val="000000"/>
        </w:rPr>
        <w:t> mutations, those with non-</w:t>
      </w:r>
      <w:r>
        <w:rPr>
          <w:rFonts w:ascii="Book Antiqua" w:eastAsia="Book Antiqua" w:hAnsi="Book Antiqua" w:cs="Book Antiqua"/>
          <w:i/>
          <w:iCs/>
          <w:color w:val="000000"/>
        </w:rPr>
        <w:t>IL-10RA</w:t>
      </w:r>
      <w:r>
        <w:rPr>
          <w:rFonts w:ascii="Book Antiqua" w:eastAsia="Book Antiqua" w:hAnsi="Book Antiqua" w:cs="Book Antiqua"/>
          <w:color w:val="000000"/>
        </w:rPr>
        <w:t xml:space="preserve"> mutations, and those without any disease-causing mutations. The final results showed that serum ferritin was abnormally elevated in IO-IBD patients with gene mutations and was not affected by the genotypes. Further ROC curve analysis showed that serum ferritin might be a valuable diagnostic indicator for monogenic IBD. Serum ferritin was acknowledged as an inflammatory marker, which would reflect the acute and chronic inflammatory state in infectious diseases, immunological diseases, hematological diseases, and malignant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A variety of cells could synthesize and secrete ferritin, of which macrophages were the main source and could induce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The role of ferritin in inflammatory responses is still unclear. It was hypothesized that in the inflammatory state, the Toll-like receptor (TLR) 9 signaling pathway is activated, IL-1β and IL-18 levels increased, then macrophages were activated, and synthesized more ferritin, which could further amplify the inflammatory response through the TLR9 signaling pathway, thereby forming a positive feedback loop and resulting in continuous aggravation of inflammation</w:t>
      </w:r>
      <w:r>
        <w:rPr>
          <w:rFonts w:ascii="Book Antiqua" w:eastAsia="Book Antiqua" w:hAnsi="Book Antiqua" w:cs="Book Antiqua"/>
          <w:color w:val="000000"/>
          <w:szCs w:val="36"/>
          <w:vertAlign w:val="superscript"/>
        </w:rPr>
        <w:t>[28-32]</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 </w:t>
      </w:r>
      <w:r>
        <w:rPr>
          <w:rFonts w:ascii="Book Antiqua" w:eastAsia="Book Antiqua" w:hAnsi="Book Antiqua" w:cs="Book Antiqua"/>
          <w:color w:val="000000"/>
        </w:rPr>
        <w:t xml:space="preserve">Some researchers believed that serum ferritin could bind to T and B lymphocytes </w:t>
      </w:r>
      <w:proofErr w:type="gramStart"/>
      <w:r>
        <w:rPr>
          <w:rFonts w:ascii="Book Antiqua" w:eastAsia="Book Antiqua" w:hAnsi="Book Antiqua" w:cs="Book Antiqua"/>
          <w:color w:val="000000"/>
        </w:rPr>
        <w:t>directly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32,33]</w:t>
      </w:r>
      <w:r>
        <w:rPr>
          <w:rFonts w:ascii="Book Antiqua" w:eastAsia="Book Antiqua" w:hAnsi="Book Antiqua" w:cs="Book Antiqua"/>
          <w:color w:val="000000"/>
        </w:rPr>
        <w:t>, then inhibit T cell proliferation, B cell maturation, and immunoglobulin synthesis</w:t>
      </w:r>
      <w:r>
        <w:rPr>
          <w:rFonts w:ascii="Book Antiqua" w:eastAsia="Book Antiqua" w:hAnsi="Book Antiqua" w:cs="Book Antiqua"/>
          <w:color w:val="000000"/>
          <w:szCs w:val="36"/>
          <w:vertAlign w:val="superscript"/>
        </w:rPr>
        <w:t>[33-35]</w:t>
      </w:r>
      <w:r>
        <w:rPr>
          <w:rFonts w:ascii="Book Antiqua" w:eastAsia="Book Antiqua" w:hAnsi="Book Antiqua" w:cs="Book Antiqua"/>
          <w:color w:val="000000"/>
        </w:rPr>
        <w:t xml:space="preserve">. In addition, serum ferritin could also promote regulatory T cell differentiation through the IL-10 signaling pathway and play an immunoregulatory </w:t>
      </w:r>
      <w:proofErr w:type="gramStart"/>
      <w:r>
        <w:rPr>
          <w:rFonts w:ascii="Book Antiqua" w:eastAsia="Book Antiqua" w:hAnsi="Book Antiqua" w:cs="Book Antiqua"/>
          <w:color w:val="000000"/>
        </w:rPr>
        <w:t>role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xml:space="preserve">. In our study, the serum ferritin level was significantly elevated in M-IBD children, but whether it plays a pro-inflammatory or immunomodulatory role needs further study. </w:t>
      </w:r>
    </w:p>
    <w:p w14:paraId="272858DB" w14:textId="02EEC258" w:rsidR="0012737F" w:rsidRDefault="00663462">
      <w:pPr>
        <w:spacing w:line="360" w:lineRule="auto"/>
        <w:ind w:firstLineChars="100" w:firstLine="240"/>
        <w:jc w:val="both"/>
      </w:pPr>
      <w:r>
        <w:rPr>
          <w:rFonts w:ascii="Book Antiqua" w:eastAsia="Book Antiqua" w:hAnsi="Book Antiqua" w:cs="Book Antiqua"/>
          <w:color w:val="000000"/>
        </w:rPr>
        <w:t xml:space="preserve">Both in our study and other studies in China, </w:t>
      </w:r>
      <w:r>
        <w:rPr>
          <w:rFonts w:ascii="Book Antiqua" w:eastAsia="Book Antiqua" w:hAnsi="Book Antiqua" w:cs="Book Antiqua"/>
          <w:i/>
          <w:iCs/>
          <w:color w:val="000000"/>
        </w:rPr>
        <w:t xml:space="preserve">IL-10RA </w:t>
      </w:r>
      <w:r>
        <w:rPr>
          <w:rFonts w:ascii="Book Antiqua" w:eastAsia="Book Antiqua" w:hAnsi="Book Antiqua" w:cs="Book Antiqua"/>
          <w:color w:val="000000"/>
        </w:rPr>
        <w:t xml:space="preserve">is the most common mutated gene in Chinese VEO-IBD patients. We also found that compared to the patients with other gene mutations, patients with the </w:t>
      </w:r>
      <w:r>
        <w:rPr>
          <w:rFonts w:ascii="Book Antiqua" w:eastAsia="Book Antiqua" w:hAnsi="Book Antiqua" w:cs="Book Antiqua"/>
          <w:i/>
          <w:iCs/>
          <w:color w:val="000000"/>
        </w:rPr>
        <w:t>IL-10RA</w:t>
      </w:r>
      <w:r>
        <w:rPr>
          <w:rFonts w:ascii="Book Antiqua" w:eastAsia="Book Antiqua" w:hAnsi="Book Antiqua" w:cs="Book Antiqua"/>
          <w:color w:val="000000"/>
        </w:rPr>
        <w:t xml:space="preserve"> deficiency had unique features. First, the age of onset was particularly early. The median onset age was 0.04-mo-old, while it was 2-mo-old in patients with other gene mutations, indicating that diarrhea and hematochezia existed from birth in </w:t>
      </w:r>
      <w:r>
        <w:rPr>
          <w:rFonts w:ascii="Book Antiqua" w:eastAsia="Book Antiqua" w:hAnsi="Book Antiqua" w:cs="Book Antiqua"/>
          <w:i/>
          <w:iCs/>
          <w:color w:val="000000"/>
        </w:rPr>
        <w:t>IL-10RA</w:t>
      </w:r>
      <w:r>
        <w:rPr>
          <w:rFonts w:ascii="Book Antiqua" w:eastAsia="Book Antiqua" w:hAnsi="Book Antiqua" w:cs="Book Antiqua"/>
          <w:color w:val="000000"/>
        </w:rPr>
        <w:t xml:space="preserve"> mutated children. Second, serum IL-10 </w:t>
      </w:r>
      <w:r>
        <w:rPr>
          <w:rFonts w:ascii="Book Antiqua" w:eastAsia="Book Antiqua" w:hAnsi="Book Antiqua" w:cs="Book Antiqua"/>
          <w:color w:val="000000"/>
        </w:rPr>
        <w:lastRenderedPageBreak/>
        <w:t>level in these patients was particularly high. IL-10 is an important anti-inflammatory factor secreted by a variety of immune cells. After binding to IL-10R, IL-10 can activate a series of cascade reactions to maintain immune homeostasis by inhibiting inflammatory factors such as TNF-</w:t>
      </w:r>
      <w:proofErr w:type="gramStart"/>
      <w:r>
        <w:rPr>
          <w:rFonts w:ascii="Book Antiqua" w:eastAsia="Book Antiqua" w:hAnsi="Book Antiqua" w:cs="Book Antiqua"/>
          <w:color w:val="000000"/>
        </w:rPr>
        <w:t>α</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IL-10R is composed of two subunits, IL-10RA and IL-10RB, and IL-10RA only binds to IL-10</w:t>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xml:space="preserve">. It was previously believed that the increased expression of IL-10 in IBD patients indicated a good steroid response and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xml:space="preserve">. However, when IL-10R is deficient, the anti-inflammatory function of IL-10 could not be achieved. </w:t>
      </w:r>
      <w:proofErr w:type="spellStart"/>
      <w:r>
        <w:rPr>
          <w:rFonts w:ascii="Book Antiqua" w:eastAsia="Book Antiqua" w:hAnsi="Book Antiqua" w:cs="Book Antiqua"/>
          <w:color w:val="000000"/>
        </w:rPr>
        <w:t>Glocker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40]</w:t>
      </w:r>
      <w:r>
        <w:rPr>
          <w:rFonts w:ascii="Book Antiqua" w:eastAsia="Book Antiqua" w:hAnsi="Book Antiqua" w:cs="Book Antiqua"/>
          <w:color w:val="000000"/>
          <w:szCs w:val="36"/>
        </w:rPr>
        <w:t xml:space="preserve"> </w:t>
      </w:r>
      <w:r>
        <w:rPr>
          <w:rFonts w:ascii="Book Antiqua" w:eastAsia="Book Antiqua" w:hAnsi="Book Antiqua" w:cs="Book Antiqua"/>
          <w:color w:val="000000"/>
        </w:rPr>
        <w:t xml:space="preserve">confirmed that human peripheral blood mononuclear cells (PBMCs) could secrete large amounts of TNF-α after stimulation with lipopolysaccharide (LPS)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but its level decreased significantly when exogenous IL-10 was added into the culture medium, while this phenomenon could not be observed in the PBMC culture supernatant from </w:t>
      </w:r>
      <w:r>
        <w:rPr>
          <w:rFonts w:ascii="Book Antiqua" w:eastAsia="Book Antiqua" w:hAnsi="Book Antiqua" w:cs="Book Antiqua"/>
          <w:i/>
          <w:iCs/>
          <w:color w:val="000000"/>
        </w:rPr>
        <w:t>IL-10RA</w:t>
      </w:r>
      <w:r>
        <w:rPr>
          <w:rFonts w:ascii="Book Antiqua" w:eastAsia="Book Antiqua" w:hAnsi="Book Antiqua" w:cs="Book Antiqua"/>
          <w:color w:val="000000"/>
        </w:rPr>
        <w:t> deficient children, indicating the important role of the IL-10 signaling pathway in anti-inflammatory processes. In our study, both high IL-10 and TNF-α levels were observed in patients with</w:t>
      </w:r>
      <w:r>
        <w:rPr>
          <w:rFonts w:ascii="Book Antiqua" w:eastAsia="Book Antiqua" w:hAnsi="Book Antiqua" w:cs="Book Antiqua"/>
          <w:i/>
          <w:iCs/>
          <w:color w:val="000000"/>
        </w:rPr>
        <w:t> IL-10RA</w:t>
      </w:r>
      <w:r>
        <w:rPr>
          <w:rFonts w:ascii="Book Antiqua" w:eastAsia="Book Antiqua" w:hAnsi="Book Antiqua" w:cs="Book Antiqua"/>
          <w:color w:val="000000"/>
        </w:rPr>
        <w:t xml:space="preserve"> mutation, which indicated that even such a high level of IL-10 could not inhibit TNF-α release and alleviate the inflammation in these children. These findings were similar to the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research mentioned above. Therefore, we speculated that IL-10 level could be used as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detective indicator to verify the function of novel mutations of the </w:t>
      </w:r>
      <w:r>
        <w:rPr>
          <w:rFonts w:ascii="Book Antiqua" w:eastAsia="Book Antiqua" w:hAnsi="Book Antiqua" w:cs="Book Antiqua"/>
          <w:i/>
          <w:iCs/>
          <w:color w:val="000000"/>
        </w:rPr>
        <w:t xml:space="preserve">IL-10RA </w:t>
      </w:r>
      <w:r>
        <w:rPr>
          <w:rFonts w:ascii="Book Antiqua" w:eastAsia="Book Antiqua" w:hAnsi="Book Antiqua" w:cs="Book Antiqua"/>
          <w:color w:val="000000"/>
        </w:rPr>
        <w:t xml:space="preserve">gene. In this study, ROC curve analysis also confirmed that serum IL-10 level had a high sensitivity and specificity for identifying the presence of </w:t>
      </w:r>
      <w:r>
        <w:rPr>
          <w:rFonts w:ascii="Book Antiqua" w:eastAsia="Book Antiqua" w:hAnsi="Book Antiqua" w:cs="Book Antiqua"/>
          <w:i/>
          <w:iCs/>
          <w:color w:val="000000"/>
        </w:rPr>
        <w:t>IL-10RA</w:t>
      </w:r>
      <w:r>
        <w:rPr>
          <w:rFonts w:ascii="Book Antiqua" w:eastAsia="Book Antiqua" w:hAnsi="Book Antiqua" w:cs="Book Antiqua"/>
          <w:color w:val="000000"/>
        </w:rPr>
        <w:t xml:space="preserve"> mutations, which suggested that if IO-IBD patients have a remarkably elevated IL-10 level, the gene sequencing is strongly recommended to identify the existence of </w:t>
      </w:r>
      <w:r>
        <w:rPr>
          <w:rFonts w:ascii="Book Antiqua" w:eastAsia="Book Antiqua" w:hAnsi="Book Antiqua" w:cs="Book Antiqua"/>
          <w:i/>
          <w:iCs/>
          <w:color w:val="000000"/>
        </w:rPr>
        <w:t>IL-10RA</w:t>
      </w:r>
      <w:r>
        <w:rPr>
          <w:rFonts w:ascii="Book Antiqua" w:eastAsia="Book Antiqua" w:hAnsi="Book Antiqua" w:cs="Book Antiqua"/>
          <w:color w:val="000000"/>
        </w:rPr>
        <w:t xml:space="preserve"> deficiency. In fact, we did further investigation by whole-genome sequencing (WGS) in two patients of this cohort, whose clinical manifestations were similar to those of </w:t>
      </w:r>
      <w:r>
        <w:rPr>
          <w:rFonts w:ascii="Book Antiqua" w:eastAsia="Book Antiqua" w:hAnsi="Book Antiqua" w:cs="Book Antiqua"/>
          <w:i/>
          <w:iCs/>
          <w:color w:val="000000"/>
        </w:rPr>
        <w:t>IL-10RA</w:t>
      </w:r>
      <w:r>
        <w:rPr>
          <w:rFonts w:ascii="Book Antiqua" w:eastAsia="Book Antiqua" w:hAnsi="Book Antiqua" w:cs="Book Antiqua"/>
          <w:color w:val="000000"/>
        </w:rPr>
        <w:t> mutated patients, especially the increased significantly IL-10 level</w:t>
      </w:r>
      <w:r w:rsidR="003A2D58">
        <w:rPr>
          <w:rFonts w:ascii="Book Antiqua" w:eastAsia="Book Antiqua" w:hAnsi="Book Antiqua" w:cs="Book Antiqua"/>
          <w:color w:val="000000"/>
        </w:rPr>
        <w:t xml:space="preserve"> but</w:t>
      </w:r>
      <w:r>
        <w:rPr>
          <w:rFonts w:ascii="Book Antiqua" w:eastAsia="Book Antiqua" w:hAnsi="Book Antiqua" w:cs="Book Antiqua"/>
          <w:color w:val="000000"/>
        </w:rPr>
        <w:t xml:space="preserve"> </w:t>
      </w:r>
      <w:r w:rsidR="0014237A">
        <w:rPr>
          <w:rFonts w:ascii="Book Antiqua" w:eastAsia="Book Antiqua" w:hAnsi="Book Antiqua" w:cs="Book Antiqua"/>
          <w:color w:val="000000"/>
        </w:rPr>
        <w:t>whole-</w:t>
      </w:r>
      <w:proofErr w:type="spellStart"/>
      <w:r w:rsidR="0014237A">
        <w:rPr>
          <w:rFonts w:ascii="Book Antiqua" w:eastAsia="Book Antiqua" w:hAnsi="Book Antiqua" w:cs="Book Antiqua"/>
          <w:color w:val="000000"/>
        </w:rPr>
        <w:t>exsome</w:t>
      </w:r>
      <w:proofErr w:type="spellEnd"/>
      <w:r w:rsidR="0014237A">
        <w:rPr>
          <w:rFonts w:ascii="Book Antiqua" w:eastAsia="Book Antiqua" w:hAnsi="Book Antiqua" w:cs="Book Antiqua"/>
          <w:color w:val="000000"/>
        </w:rPr>
        <w:t xml:space="preserve"> sequencing</w:t>
      </w:r>
      <w:r>
        <w:rPr>
          <w:rFonts w:ascii="Book Antiqua" w:eastAsia="Book Antiqua" w:hAnsi="Book Antiqua" w:cs="Book Antiqua"/>
          <w:color w:val="000000"/>
        </w:rPr>
        <w:t xml:space="preserve"> only found heterozygous mutations in </w:t>
      </w:r>
      <w:r>
        <w:rPr>
          <w:rFonts w:ascii="Book Antiqua" w:eastAsia="Book Antiqua" w:hAnsi="Book Antiqua" w:cs="Book Antiqua"/>
          <w:i/>
          <w:iCs/>
          <w:color w:val="000000"/>
        </w:rPr>
        <w:t>IL-10RA</w:t>
      </w:r>
      <w:r>
        <w:rPr>
          <w:rFonts w:ascii="Book Antiqua" w:eastAsia="Book Antiqua" w:hAnsi="Book Antiqua" w:cs="Book Antiqua"/>
          <w:color w:val="000000"/>
        </w:rPr>
        <w:t xml:space="preserve">. </w:t>
      </w:r>
      <w:r w:rsidR="003A2D58" w:rsidRPr="0014237A">
        <w:rPr>
          <w:rFonts w:ascii="Book Antiqua" w:eastAsia="Book Antiqua" w:hAnsi="Book Antiqua" w:cs="Book Antiqua"/>
          <w:color w:val="000000"/>
        </w:rPr>
        <w:t>However, t</w:t>
      </w:r>
      <w:r w:rsidRPr="0014237A">
        <w:rPr>
          <w:rFonts w:ascii="Book Antiqua" w:eastAsia="Book Antiqua" w:hAnsi="Book Antiqua" w:cs="Book Antiqua"/>
          <w:color w:val="000000"/>
        </w:rPr>
        <w:t>he results of WGS</w:t>
      </w:r>
      <w:r>
        <w:rPr>
          <w:rFonts w:ascii="Book Antiqua" w:eastAsia="Book Antiqua" w:hAnsi="Book Antiqua" w:cs="Book Antiqua"/>
          <w:color w:val="000000"/>
        </w:rPr>
        <w:t xml:space="preserve"> showed that there was another heterozygous deletion of 333bp in </w:t>
      </w:r>
      <w:r>
        <w:rPr>
          <w:rFonts w:ascii="Book Antiqua" w:eastAsia="Book Antiqua" w:hAnsi="Book Antiqua" w:cs="Book Antiqua"/>
          <w:i/>
          <w:iCs/>
          <w:color w:val="000000"/>
        </w:rPr>
        <w:t>IL-10RA</w:t>
      </w:r>
      <w:r>
        <w:rPr>
          <w:rFonts w:ascii="Book Antiqua" w:eastAsia="Book Antiqua" w:hAnsi="Book Antiqua" w:cs="Book Antiqua"/>
          <w:color w:val="000000"/>
        </w:rPr>
        <w:t xml:space="preserve"> which led to exon 1 absence. This result further supported that serum IL-10 level may help distinguish </w:t>
      </w:r>
      <w:r>
        <w:rPr>
          <w:rFonts w:ascii="Book Antiqua" w:eastAsia="Book Antiqua" w:hAnsi="Book Antiqua" w:cs="Book Antiqua"/>
          <w:i/>
          <w:iCs/>
          <w:color w:val="000000"/>
        </w:rPr>
        <w:t>IL-10RA</w:t>
      </w:r>
      <w:r>
        <w:rPr>
          <w:rFonts w:ascii="Book Antiqua" w:eastAsia="Book Antiqua" w:hAnsi="Book Antiqua" w:cs="Book Antiqua"/>
          <w:color w:val="000000"/>
        </w:rPr>
        <w:t> mutated patients.</w:t>
      </w:r>
    </w:p>
    <w:p w14:paraId="51E58AD2" w14:textId="5AA25AD9" w:rsidR="0012737F" w:rsidRDefault="00663462">
      <w:pPr>
        <w:spacing w:line="360" w:lineRule="auto"/>
        <w:ind w:firstLineChars="100" w:firstLine="240"/>
        <w:jc w:val="both"/>
      </w:pPr>
      <w:r>
        <w:rPr>
          <w:rFonts w:ascii="Book Antiqua" w:eastAsia="Book Antiqua" w:hAnsi="Book Antiqua" w:cs="Book Antiqua"/>
          <w:color w:val="000000"/>
        </w:rPr>
        <w:lastRenderedPageBreak/>
        <w:t>IO-IBD patients, especially those caused by gene mutations, are rare. Although the cohort included in this study was larger than many published studies, the absolute number was not large, which may lead to statistical bias. Besides, we needed further prospective studies to evaluate the diagnostic value of the indicators identified in this study.</w:t>
      </w:r>
    </w:p>
    <w:p w14:paraId="6E0B7C25" w14:textId="77777777" w:rsidR="0012737F" w:rsidRDefault="0012737F">
      <w:pPr>
        <w:spacing w:line="360" w:lineRule="auto"/>
        <w:jc w:val="both"/>
      </w:pPr>
    </w:p>
    <w:p w14:paraId="49A679D2" w14:textId="77777777" w:rsidR="0012737F" w:rsidRDefault="00663462">
      <w:pPr>
        <w:spacing w:line="360" w:lineRule="auto"/>
        <w:jc w:val="both"/>
      </w:pPr>
      <w:r>
        <w:rPr>
          <w:rFonts w:ascii="Book Antiqua" w:eastAsia="Book Antiqua" w:hAnsi="Book Antiqua" w:cs="Book Antiqua"/>
          <w:b/>
          <w:caps/>
          <w:color w:val="000000"/>
          <w:u w:val="single"/>
        </w:rPr>
        <w:t>CONCLUSION</w:t>
      </w:r>
    </w:p>
    <w:p w14:paraId="129C5A2A" w14:textId="5BA67E0C" w:rsidR="0012737F" w:rsidRDefault="00663462">
      <w:pPr>
        <w:spacing w:line="360" w:lineRule="auto"/>
        <w:jc w:val="both"/>
      </w:pPr>
      <w:r>
        <w:rPr>
          <w:rFonts w:ascii="Book Antiqua" w:eastAsia="Book Antiqua" w:hAnsi="Book Antiqua" w:cs="Book Antiqua"/>
          <w:color w:val="000000"/>
        </w:rPr>
        <w:t xml:space="preserve">Children with IO-IBD have a higher proportion of Mendelian diseases. For Chinese Han pediatric patients, </w:t>
      </w:r>
      <w:r>
        <w:rPr>
          <w:rFonts w:ascii="Book Antiqua" w:eastAsia="Book Antiqua" w:hAnsi="Book Antiqua" w:cs="Book Antiqua"/>
          <w:i/>
          <w:iCs/>
          <w:color w:val="000000"/>
        </w:rPr>
        <w:t>IL-10RA</w:t>
      </w:r>
      <w:r>
        <w:rPr>
          <w:rFonts w:ascii="Book Antiqua" w:eastAsia="Book Antiqua" w:hAnsi="Book Antiqua" w:cs="Book Antiqua"/>
          <w:color w:val="000000"/>
        </w:rPr>
        <w:t xml:space="preserve"> mutation is the most common pathogenic gene. A complete medical history and clinical evaluation are necessary to differentiate IBD and allergic proctocolitis earlier. Diarrhea frequency, body weight, height, serum albumin, and TNF-α level could help distinguish IO-IBD and allergy. Elevated serum ferritin level could be used for identifying IO-IBD caused by gene mutations, and the remarkably increased serum IL-10 level strongly suggests the presence of </w:t>
      </w:r>
      <w:r>
        <w:rPr>
          <w:rFonts w:ascii="Book Antiqua" w:eastAsia="Book Antiqua" w:hAnsi="Book Antiqua" w:cs="Book Antiqua"/>
          <w:i/>
          <w:iCs/>
          <w:color w:val="000000"/>
        </w:rPr>
        <w:t xml:space="preserve">IL-10RA </w:t>
      </w:r>
      <w:r>
        <w:rPr>
          <w:rFonts w:ascii="Book Antiqua" w:eastAsia="Book Antiqua" w:hAnsi="Book Antiqua" w:cs="Book Antiqua"/>
          <w:color w:val="000000"/>
        </w:rPr>
        <w:t>gene mutation. These clinical characteristics and hematological parameters would help to shorten the time of diagnosis so that the patients are able to receive timely and correct treatment and then reduce social and financial burdens.</w:t>
      </w:r>
    </w:p>
    <w:p w14:paraId="133BADD0" w14:textId="77777777" w:rsidR="0012737F" w:rsidRDefault="0012737F">
      <w:pPr>
        <w:spacing w:line="360" w:lineRule="auto"/>
        <w:jc w:val="both"/>
      </w:pPr>
    </w:p>
    <w:p w14:paraId="7387D302" w14:textId="77777777" w:rsidR="0012737F" w:rsidRDefault="00663462">
      <w:pPr>
        <w:spacing w:line="360" w:lineRule="auto"/>
        <w:jc w:val="both"/>
      </w:pPr>
      <w:r>
        <w:rPr>
          <w:rFonts w:ascii="Book Antiqua" w:eastAsia="Book Antiqua" w:hAnsi="Book Antiqua" w:cs="Book Antiqua"/>
          <w:b/>
          <w:caps/>
          <w:color w:val="000000"/>
          <w:u w:val="single"/>
        </w:rPr>
        <w:t>ARTICLE HIGHLIGHTS</w:t>
      </w:r>
    </w:p>
    <w:p w14:paraId="3CB6FABF" w14:textId="77777777" w:rsidR="0012737F" w:rsidRDefault="00663462">
      <w:pPr>
        <w:spacing w:line="360" w:lineRule="auto"/>
        <w:jc w:val="both"/>
      </w:pPr>
      <w:r>
        <w:rPr>
          <w:rFonts w:ascii="Book Antiqua" w:eastAsia="Book Antiqua" w:hAnsi="Book Antiqua" w:cs="Book Antiqua"/>
          <w:b/>
          <w:i/>
          <w:color w:val="000000"/>
        </w:rPr>
        <w:t>Research background</w:t>
      </w:r>
    </w:p>
    <w:p w14:paraId="52BE5783" w14:textId="1D3E7D0F" w:rsidR="0012737F" w:rsidRDefault="00663462">
      <w:pPr>
        <w:spacing w:line="360" w:lineRule="auto"/>
        <w:jc w:val="both"/>
      </w:pPr>
      <w:r>
        <w:rPr>
          <w:rFonts w:ascii="Book Antiqua" w:eastAsia="Book Antiqua" w:hAnsi="Book Antiqua" w:cs="Book Antiqua"/>
          <w:color w:val="000000"/>
          <w:szCs w:val="22"/>
        </w:rPr>
        <w:t>Infantile-onset inflammatory bowel disease (IO-IBD) causes severe clinical manifestations and responds poorly to traditional inflammatory bowel disease (IBD) treatments. At present, there are no simple and reliable laboratory indicators for early screening IO-IBD patients, especially those in whom the disease is caused by monogenic diseases.</w:t>
      </w:r>
    </w:p>
    <w:p w14:paraId="6B302C88" w14:textId="77777777" w:rsidR="0012737F" w:rsidRDefault="0012737F">
      <w:pPr>
        <w:spacing w:line="360" w:lineRule="auto"/>
        <w:jc w:val="both"/>
      </w:pPr>
    </w:p>
    <w:p w14:paraId="3229457C" w14:textId="77777777" w:rsidR="0012737F" w:rsidRDefault="00663462">
      <w:pPr>
        <w:spacing w:line="360" w:lineRule="auto"/>
        <w:jc w:val="both"/>
      </w:pPr>
      <w:r>
        <w:rPr>
          <w:rFonts w:ascii="Book Antiqua" w:eastAsia="Book Antiqua" w:hAnsi="Book Antiqua" w:cs="Book Antiqua"/>
          <w:b/>
          <w:i/>
          <w:color w:val="000000"/>
        </w:rPr>
        <w:t>Research motivation</w:t>
      </w:r>
    </w:p>
    <w:p w14:paraId="745B650F" w14:textId="06A93952" w:rsidR="0012737F" w:rsidRDefault="00663462">
      <w:pPr>
        <w:spacing w:line="360" w:lineRule="auto"/>
        <w:jc w:val="both"/>
      </w:pPr>
      <w:r>
        <w:rPr>
          <w:rFonts w:ascii="Book Antiqua" w:eastAsia="Book Antiqua" w:hAnsi="Book Antiqua" w:cs="Book Antiqua"/>
          <w:color w:val="000000"/>
        </w:rPr>
        <w:t xml:space="preserve">Because of an insufficient understanding of IO-IBD, especially that caused by monogenic diseases, most patients could not be diagnosed as early as possible. It is hard </w:t>
      </w:r>
      <w:r>
        <w:rPr>
          <w:rFonts w:ascii="Book Antiqua" w:eastAsia="Book Antiqua" w:hAnsi="Book Antiqua" w:cs="Book Antiqua"/>
          <w:color w:val="000000"/>
        </w:rPr>
        <w:lastRenderedPageBreak/>
        <w:t>to persuade the parents to accept endoscopic examination or genetic diagnosis at initial visits, especially those in areas with limited medical resources.</w:t>
      </w:r>
    </w:p>
    <w:p w14:paraId="7140E76F" w14:textId="77777777" w:rsidR="0012737F" w:rsidRDefault="0012737F">
      <w:pPr>
        <w:spacing w:line="360" w:lineRule="auto"/>
        <w:jc w:val="both"/>
      </w:pPr>
    </w:p>
    <w:p w14:paraId="61FB783F" w14:textId="77777777" w:rsidR="0012737F" w:rsidRDefault="00663462">
      <w:pPr>
        <w:spacing w:line="360" w:lineRule="auto"/>
        <w:jc w:val="both"/>
      </w:pPr>
      <w:r>
        <w:rPr>
          <w:rFonts w:ascii="Book Antiqua" w:eastAsia="Book Antiqua" w:hAnsi="Book Antiqua" w:cs="Book Antiqua"/>
          <w:b/>
          <w:i/>
          <w:color w:val="000000"/>
        </w:rPr>
        <w:t>Research objectives</w:t>
      </w:r>
    </w:p>
    <w:p w14:paraId="0740EA86" w14:textId="59107EDB" w:rsidR="0012737F" w:rsidRDefault="00663462">
      <w:pPr>
        <w:spacing w:line="360" w:lineRule="auto"/>
        <w:jc w:val="both"/>
      </w:pPr>
      <w:r>
        <w:rPr>
          <w:rFonts w:ascii="Book Antiqua" w:eastAsia="Book Antiqua" w:hAnsi="Book Antiqua" w:cs="Book Antiqua"/>
          <w:color w:val="000000"/>
        </w:rPr>
        <w:t>We intended to search for early diagnostic indicators for IO-IBD children with or without gene mutations, in order to shorten the diagnosis time, reduce medical costs, simplify the analysis of next generation-sequencing, and administer targeted intervention as early as possible.</w:t>
      </w:r>
    </w:p>
    <w:p w14:paraId="6071BDCA" w14:textId="77777777" w:rsidR="0012737F" w:rsidRDefault="0012737F">
      <w:pPr>
        <w:spacing w:line="360" w:lineRule="auto"/>
        <w:jc w:val="both"/>
      </w:pPr>
    </w:p>
    <w:p w14:paraId="068AE78C" w14:textId="77777777" w:rsidR="0012737F" w:rsidRDefault="00663462">
      <w:pPr>
        <w:spacing w:line="360" w:lineRule="auto"/>
        <w:jc w:val="both"/>
      </w:pPr>
      <w:r>
        <w:rPr>
          <w:rFonts w:ascii="Book Antiqua" w:eastAsia="Book Antiqua" w:hAnsi="Book Antiqua" w:cs="Book Antiqua"/>
          <w:b/>
          <w:i/>
          <w:color w:val="000000"/>
        </w:rPr>
        <w:t>Research methods</w:t>
      </w:r>
    </w:p>
    <w:p w14:paraId="19E18E53" w14:textId="6E587A0C" w:rsidR="0012737F" w:rsidRDefault="00663462">
      <w:pPr>
        <w:spacing w:line="360" w:lineRule="auto"/>
        <w:jc w:val="both"/>
      </w:pPr>
      <w:r>
        <w:rPr>
          <w:rFonts w:ascii="Book Antiqua" w:eastAsia="Book Antiqua" w:hAnsi="Book Antiqua" w:cs="Book Antiqua"/>
          <w:color w:val="000000"/>
          <w:szCs w:val="22"/>
        </w:rPr>
        <w:t xml:space="preserve">A retrospective analysis was performed in 73 patients with IO-IBD admitted to our hospital in the past 5 years. Based on the next-generation sequencing results, they were divided into either a monogenic IBD group (M-IBD) or non-monogenic IBD group (NM-IBD). Forty age-matched patients with allergic </w:t>
      </w:r>
      <w:proofErr w:type="spellStart"/>
      <w:r>
        <w:rPr>
          <w:rFonts w:ascii="Book Antiqua" w:eastAsia="Book Antiqua" w:hAnsi="Book Antiqua" w:cs="Book Antiqua"/>
          <w:color w:val="000000"/>
          <w:szCs w:val="22"/>
        </w:rPr>
        <w:t>proctocolitis</w:t>
      </w:r>
      <w:proofErr w:type="spellEnd"/>
      <w:r>
        <w:rPr>
          <w:rFonts w:ascii="Book Antiqua" w:eastAsia="Book Antiqua" w:hAnsi="Book Antiqua" w:cs="Book Antiqua"/>
          <w:color w:val="000000"/>
          <w:szCs w:val="22"/>
        </w:rPr>
        <w:t xml:space="preserve"> (AP) were included as a control group. The clinical manifestations and the inflammatory factors in peripheral blood were evaluated. Logistic regression analysis and receiver operating characteristic (ROC) curve analysis were performed to find the screening factors and cut-off values of IO-IBD as well as monogenic IO-IBD.</w:t>
      </w:r>
    </w:p>
    <w:p w14:paraId="7D1DBCEC" w14:textId="77777777" w:rsidR="0012737F" w:rsidRDefault="0012737F">
      <w:pPr>
        <w:spacing w:line="360" w:lineRule="auto"/>
        <w:jc w:val="both"/>
      </w:pPr>
    </w:p>
    <w:p w14:paraId="78E5A177" w14:textId="77777777" w:rsidR="0012737F" w:rsidRDefault="00663462">
      <w:pPr>
        <w:spacing w:line="360" w:lineRule="auto"/>
        <w:jc w:val="both"/>
      </w:pPr>
      <w:r>
        <w:rPr>
          <w:rFonts w:ascii="Book Antiqua" w:eastAsia="Book Antiqua" w:hAnsi="Book Antiqua" w:cs="Book Antiqua"/>
          <w:b/>
          <w:i/>
          <w:color w:val="000000"/>
        </w:rPr>
        <w:t>Research results</w:t>
      </w:r>
    </w:p>
    <w:p w14:paraId="1C705CA0" w14:textId="1ED222CF" w:rsidR="0012737F" w:rsidRDefault="00663462">
      <w:pPr>
        <w:spacing w:line="360" w:lineRule="auto"/>
        <w:jc w:val="both"/>
      </w:pPr>
      <w:r>
        <w:rPr>
          <w:rFonts w:ascii="Book Antiqua" w:eastAsia="Book Antiqua" w:hAnsi="Book Antiqua" w:cs="Book Antiqua"/>
          <w:color w:val="000000"/>
        </w:rPr>
        <w:t xml:space="preserve">Among the 44 M-IBD patients, 35 carried </w:t>
      </w:r>
      <w:r>
        <w:rPr>
          <w:rStyle w:val="15"/>
          <w:rFonts w:ascii="Book Antiqua" w:eastAsia="Book Antiqua" w:hAnsi="Book Antiqua" w:cs="Book Antiqua"/>
          <w:i/>
          <w:iCs/>
          <w:color w:val="000000"/>
        </w:rPr>
        <w:t>IL-10RA</w:t>
      </w:r>
      <w:r>
        <w:rPr>
          <w:rFonts w:ascii="Book Antiqua" w:eastAsia="Book Antiqua" w:hAnsi="Book Antiqua" w:cs="Book Antiqua"/>
          <w:color w:val="000000"/>
        </w:rPr>
        <w:t> mutations, and the most common mutations were c.301C&gt;T (p.R101W, 30/70) and c.537G&gt;A (p.T179T, 17/70). Patients with higher serum tumor necrosis factor (TNF)-α value were more likely have IBD [</w:t>
      </w:r>
      <w:r>
        <w:rPr>
          <w:rFonts w:ascii="Book Antiqua" w:eastAsia="Malgun Gothic" w:hAnsi="Book Antiqua"/>
        </w:rPr>
        <w:t>odds ratio</w:t>
      </w:r>
      <w:r>
        <w:rPr>
          <w:rFonts w:ascii="Book Antiqua" w:eastAsia="Book Antiqua" w:hAnsi="Book Antiqua" w:cs="Book Antiqua"/>
          <w:color w:val="000000"/>
        </w:rPr>
        <w:t xml:space="preserve"> (</w:t>
      </w:r>
      <w:r>
        <w:rPr>
          <w:rStyle w:val="15"/>
          <w:rFonts w:ascii="Book Antiqua" w:eastAsia="Book Antiqua" w:hAnsi="Book Antiqua" w:cs="Book Antiqua"/>
          <w:color w:val="000000"/>
        </w:rPr>
        <w:t>OR)</w:t>
      </w:r>
      <w:r>
        <w:rPr>
          <w:rFonts w:ascii="Book Antiqua" w:eastAsia="Book Antiqua" w:hAnsi="Book Antiqua" w:cs="Book Antiqua"/>
          <w:color w:val="000000"/>
        </w:rPr>
        <w:t xml:space="preserve"> = 1.25, 95% </w:t>
      </w:r>
      <w:bookmarkStart w:id="5" w:name="_Hlk58003882"/>
      <w:r>
        <w:rPr>
          <w:rFonts w:ascii="Book Antiqua" w:eastAsia="Malgun Gothic" w:hAnsi="Book Antiqua"/>
        </w:rPr>
        <w:t>confidence interval</w:t>
      </w:r>
      <w:bookmarkEnd w:id="5"/>
      <w:r>
        <w:rPr>
          <w:rFonts w:ascii="Book Antiqua" w:eastAsia="Book Antiqua" w:hAnsi="Book Antiqua" w:cs="Book Antiqua"/>
          <w:color w:val="000000"/>
        </w:rPr>
        <w:t xml:space="preserve"> (CI): 1.05-1.50, </w:t>
      </w:r>
      <w:r>
        <w:rPr>
          <w:rStyle w:val="15"/>
          <w:rFonts w:ascii="Book Antiqua" w:eastAsia="Book Antiqua" w:hAnsi="Book Antiqua" w:cs="Book Antiqua"/>
          <w:i/>
          <w:iCs/>
          <w:color w:val="000000"/>
        </w:rPr>
        <w:t xml:space="preserve">P </w:t>
      </w:r>
      <w:r>
        <w:rPr>
          <w:rFonts w:ascii="Book Antiqua" w:eastAsia="Book Antiqua" w:hAnsi="Book Antiqua" w:cs="Book Antiqua"/>
          <w:color w:val="000000"/>
        </w:rPr>
        <w:t>= 0.013), while higher serum albumin level was associated with lower risk of IBD (</w:t>
      </w:r>
      <w:r>
        <w:rPr>
          <w:rStyle w:val="15"/>
          <w:rFonts w:ascii="Book Antiqua" w:eastAsia="Book Antiqua" w:hAnsi="Book Antiqua" w:cs="Book Antiqua"/>
          <w:color w:val="000000"/>
        </w:rPr>
        <w:t>OR</w:t>
      </w:r>
      <w:r>
        <w:rPr>
          <w:rFonts w:ascii="Book Antiqua" w:eastAsia="Book Antiqua" w:hAnsi="Book Antiqua" w:cs="Book Antiqua"/>
          <w:color w:val="000000"/>
        </w:rPr>
        <w:t> = 0.86, 95%CI: 0.74-1.00,</w:t>
      </w:r>
      <w:r>
        <w:rPr>
          <w:rStyle w:val="15"/>
          <w:rFonts w:ascii="Book Antiqua" w:eastAsia="Book Antiqua" w:hAnsi="Book Antiqua" w:cs="Book Antiqua"/>
          <w:i/>
          <w:iCs/>
          <w:color w:val="000000"/>
        </w:rPr>
        <w:t xml:space="preserve"> P </w:t>
      </w:r>
      <w:r>
        <w:rPr>
          <w:rFonts w:ascii="Book Antiqua" w:eastAsia="Book Antiqua" w:hAnsi="Book Antiqua" w:cs="Book Antiqua"/>
          <w:color w:val="000000"/>
        </w:rPr>
        <w:t xml:space="preserve">= 0.048). The cut-off values of TNF-α and albumin were 17.40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(sensitivity: 0.78; specificity: 0.88) and 36.50 g/L (sensitivity: 0.80; specificity: 0.90), respectively. The increased ferritin level was indicative of a genetic mutation in IO-IBD patients. Its cut-off value was 28.20 ng/mL (sensitivity: 0.93; specificity: 0.92). When </w:t>
      </w:r>
      <w:bookmarkStart w:id="6" w:name="_Hlk58003126"/>
      <w:r>
        <w:rPr>
          <w:rFonts w:ascii="Book Antiqua" w:eastAsia="Book Antiqua" w:hAnsi="Book Antiqua" w:cs="Book Antiqua"/>
          <w:color w:val="000000"/>
        </w:rPr>
        <w:t>interleukin</w:t>
      </w:r>
      <w:bookmarkEnd w:id="6"/>
      <w:r>
        <w:rPr>
          <w:rFonts w:ascii="Book Antiqua" w:eastAsia="Book Antiqua" w:hAnsi="Book Antiqua" w:cs="Book Antiqua"/>
          <w:color w:val="000000"/>
        </w:rPr>
        <w:t xml:space="preserve"> (IL)-10 </w:t>
      </w:r>
      <w:r>
        <w:rPr>
          <w:rFonts w:ascii="Book Antiqua" w:eastAsia="Book Antiqua" w:hAnsi="Book Antiqua" w:cs="Book Antiqua"/>
          <w:color w:val="000000"/>
        </w:rPr>
        <w:lastRenderedPageBreak/>
        <w:t xml:space="preserve">level was higher than 33.05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(sensitivity: 1.00; specificity: 0.84), or the onset age was earlier than 0.21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(sensitivity: 0.82; specificity: 0.94), the presence of disease-causing mutations</w:t>
      </w:r>
      <w:r>
        <w:rPr>
          <w:rStyle w:val="15"/>
          <w:rFonts w:ascii="Book Antiqua" w:eastAsia="Book Antiqua" w:hAnsi="Book Antiqua" w:cs="Book Antiqua"/>
          <w:i/>
          <w:iCs/>
          <w:color w:val="000000"/>
        </w:rPr>
        <w:t> </w:t>
      </w:r>
      <w:r>
        <w:rPr>
          <w:rFonts w:ascii="Book Antiqua" w:eastAsia="Book Antiqua" w:hAnsi="Book Antiqua" w:cs="Book Antiqua"/>
          <w:color w:val="000000"/>
        </w:rPr>
        <w:t>in</w:t>
      </w:r>
      <w:r>
        <w:rPr>
          <w:rStyle w:val="15"/>
          <w:rFonts w:ascii="Book Antiqua" w:eastAsia="Book Antiqua" w:hAnsi="Book Antiqua" w:cs="Book Antiqua"/>
          <w:i/>
          <w:iCs/>
          <w:color w:val="000000"/>
        </w:rPr>
        <w:t> IL-10RA</w:t>
      </w:r>
      <w:r>
        <w:rPr>
          <w:rFonts w:ascii="Book Antiqua" w:eastAsia="Book Antiqua" w:hAnsi="Book Antiqua" w:cs="Book Antiqua"/>
          <w:color w:val="000000"/>
        </w:rPr>
        <w:t> in IO-IBD patients was strongly suggested.</w:t>
      </w:r>
    </w:p>
    <w:p w14:paraId="1D9E2C7C" w14:textId="77777777" w:rsidR="0012737F" w:rsidRDefault="0012737F">
      <w:pPr>
        <w:spacing w:line="360" w:lineRule="auto"/>
        <w:jc w:val="both"/>
      </w:pPr>
    </w:p>
    <w:p w14:paraId="581D5A07" w14:textId="77777777" w:rsidR="0012737F" w:rsidRDefault="00663462">
      <w:pPr>
        <w:spacing w:line="360" w:lineRule="auto"/>
        <w:jc w:val="both"/>
      </w:pPr>
      <w:r>
        <w:rPr>
          <w:rFonts w:ascii="Book Antiqua" w:eastAsia="Book Antiqua" w:hAnsi="Book Antiqua" w:cs="Book Antiqua"/>
          <w:b/>
          <w:i/>
          <w:color w:val="000000"/>
        </w:rPr>
        <w:t>Research conclusions</w:t>
      </w:r>
    </w:p>
    <w:p w14:paraId="7913953B" w14:textId="77777777" w:rsidR="0012737F" w:rsidRDefault="00663462">
      <w:pPr>
        <w:spacing w:line="360" w:lineRule="auto"/>
        <w:jc w:val="both"/>
      </w:pPr>
      <w:r>
        <w:rPr>
          <w:rFonts w:ascii="Book Antiqua" w:eastAsia="Book Antiqua" w:hAnsi="Book Antiqua" w:cs="Book Antiqua"/>
          <w:color w:val="000000"/>
        </w:rPr>
        <w:t>Serum TNF-α and albumin level could differentiate IO-IBD patients from allergic proctocolitis patients, and serum ferritin and IL-10 level are useful indicators for early diagnosing monogenic IO-IBD.</w:t>
      </w:r>
    </w:p>
    <w:p w14:paraId="7F50FEB4" w14:textId="77777777" w:rsidR="0012737F" w:rsidRDefault="0012737F">
      <w:pPr>
        <w:spacing w:line="360" w:lineRule="auto"/>
        <w:jc w:val="both"/>
      </w:pPr>
    </w:p>
    <w:p w14:paraId="61482C69" w14:textId="77777777" w:rsidR="0012737F" w:rsidRDefault="00663462">
      <w:pPr>
        <w:spacing w:line="360" w:lineRule="auto"/>
        <w:jc w:val="both"/>
      </w:pPr>
      <w:r>
        <w:rPr>
          <w:rFonts w:ascii="Book Antiqua" w:eastAsia="Book Antiqua" w:hAnsi="Book Antiqua" w:cs="Book Antiqua"/>
          <w:b/>
          <w:i/>
          <w:color w:val="000000"/>
        </w:rPr>
        <w:t>Research perspectives</w:t>
      </w:r>
    </w:p>
    <w:p w14:paraId="28DC9D13" w14:textId="302F31D1" w:rsidR="0012737F" w:rsidRDefault="00663462">
      <w:pPr>
        <w:spacing w:line="360" w:lineRule="auto"/>
        <w:jc w:val="both"/>
      </w:pPr>
      <w:r>
        <w:rPr>
          <w:rFonts w:ascii="Book Antiqua" w:eastAsia="Book Antiqua" w:hAnsi="Book Antiqua" w:cs="Book Antiqua"/>
          <w:color w:val="000000"/>
        </w:rPr>
        <w:t xml:space="preserve">Using serum TNF-α and albumin level may contribute to distinguishing IO-IBD which needs further investigations, such as gastrointestinal endoscopy. High levels of serum ferritin and IL-10 can infer a monogenic disease in IO-IBD patients, especially the mutations in the </w:t>
      </w:r>
      <w:r>
        <w:rPr>
          <w:rStyle w:val="15"/>
          <w:rFonts w:ascii="Book Antiqua" w:eastAsia="Book Antiqua" w:hAnsi="Book Antiqua" w:cs="Book Antiqua"/>
          <w:i/>
          <w:iCs/>
          <w:color w:val="000000"/>
        </w:rPr>
        <w:t>IL-10RA</w:t>
      </w:r>
      <w:r>
        <w:rPr>
          <w:rFonts w:ascii="Book Antiqua" w:eastAsia="Book Antiqua" w:hAnsi="Book Antiqua" w:cs="Book Antiqua"/>
          <w:color w:val="000000"/>
        </w:rPr>
        <w:t> gene. The diagnostic value of the indicators identified in this study should be evaluated by prospective studies.</w:t>
      </w:r>
    </w:p>
    <w:p w14:paraId="3282AF14" w14:textId="77777777" w:rsidR="0012737F" w:rsidRDefault="0012737F">
      <w:pPr>
        <w:spacing w:line="360" w:lineRule="auto"/>
        <w:jc w:val="both"/>
      </w:pPr>
    </w:p>
    <w:p w14:paraId="5A836F8D" w14:textId="77777777" w:rsidR="0012737F" w:rsidRDefault="00663462">
      <w:pPr>
        <w:spacing w:line="360" w:lineRule="auto"/>
        <w:jc w:val="both"/>
      </w:pPr>
      <w:r>
        <w:rPr>
          <w:rFonts w:ascii="Book Antiqua" w:eastAsia="Book Antiqua" w:hAnsi="Book Antiqua" w:cs="Book Antiqua"/>
          <w:b/>
          <w:caps/>
          <w:color w:val="000000"/>
          <w:u w:val="single"/>
        </w:rPr>
        <w:t>ACKNOWLEDGEMENTS</w:t>
      </w:r>
    </w:p>
    <w:p w14:paraId="7F5B5387" w14:textId="77777777" w:rsidR="0012737F" w:rsidRDefault="00663462">
      <w:pPr>
        <w:spacing w:line="360" w:lineRule="auto"/>
        <w:jc w:val="both"/>
      </w:pPr>
      <w:r>
        <w:rPr>
          <w:rFonts w:ascii="Book Antiqua" w:eastAsia="Book Antiqua" w:hAnsi="Book Antiqua" w:cs="Book Antiqua"/>
          <w:color w:val="000000"/>
          <w:szCs w:val="22"/>
        </w:rPr>
        <w:t xml:space="preserve">We thank Li J at the </w:t>
      </w:r>
      <w:proofErr w:type="spellStart"/>
      <w:r>
        <w:rPr>
          <w:rFonts w:ascii="Book Antiqua" w:eastAsia="Book Antiqua" w:hAnsi="Book Antiqua" w:cs="Book Antiqua"/>
          <w:color w:val="000000"/>
          <w:szCs w:val="22"/>
        </w:rPr>
        <w:t>Ruijin</w:t>
      </w:r>
      <w:proofErr w:type="spellEnd"/>
      <w:r>
        <w:rPr>
          <w:rFonts w:ascii="Book Antiqua" w:eastAsia="Book Antiqua" w:hAnsi="Book Antiqua" w:cs="Book Antiqua"/>
          <w:color w:val="000000"/>
          <w:szCs w:val="22"/>
        </w:rPr>
        <w:t xml:space="preserve"> Hospital for statistics assistance and Chen XY at the </w:t>
      </w:r>
      <w:proofErr w:type="spellStart"/>
      <w:r>
        <w:rPr>
          <w:rFonts w:ascii="Book Antiqua" w:eastAsia="Book Antiqua" w:hAnsi="Book Antiqua" w:cs="Book Antiqua"/>
          <w:color w:val="000000"/>
          <w:szCs w:val="22"/>
        </w:rPr>
        <w:t>Ruijin</w:t>
      </w:r>
      <w:proofErr w:type="spellEnd"/>
      <w:r>
        <w:rPr>
          <w:rFonts w:ascii="Book Antiqua" w:eastAsia="Book Antiqua" w:hAnsi="Book Antiqua" w:cs="Book Antiqua"/>
          <w:color w:val="000000"/>
          <w:szCs w:val="22"/>
        </w:rPr>
        <w:t xml:space="preserve"> Hospital for pathological diagnosis.</w:t>
      </w:r>
    </w:p>
    <w:p w14:paraId="6DA0640B" w14:textId="77777777" w:rsidR="0012737F" w:rsidRDefault="0012737F">
      <w:pPr>
        <w:spacing w:line="360" w:lineRule="auto"/>
        <w:jc w:val="both"/>
      </w:pPr>
    </w:p>
    <w:p w14:paraId="3D2AD988" w14:textId="77777777" w:rsidR="0012737F" w:rsidRDefault="00663462">
      <w:pPr>
        <w:spacing w:line="360" w:lineRule="auto"/>
        <w:jc w:val="both"/>
      </w:pPr>
      <w:r>
        <w:rPr>
          <w:rFonts w:ascii="Book Antiqua" w:eastAsia="Book Antiqua" w:hAnsi="Book Antiqua" w:cs="Book Antiqua"/>
          <w:b/>
          <w:color w:val="000000"/>
        </w:rPr>
        <w:t>REFERENCES</w:t>
      </w:r>
    </w:p>
    <w:p w14:paraId="2FE800A9" w14:textId="77777777" w:rsidR="0012737F" w:rsidRDefault="0066346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Levine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Koletzko</w:t>
      </w:r>
      <w:proofErr w:type="spellEnd"/>
      <w:r>
        <w:rPr>
          <w:rFonts w:ascii="Book Antiqua" w:eastAsia="Book Antiqua" w:hAnsi="Book Antiqua" w:cs="Book Antiqua"/>
          <w:color w:val="000000"/>
        </w:rPr>
        <w:t xml:space="preserve"> S, Turner D, Escher JC, </w:t>
      </w:r>
      <w:proofErr w:type="spellStart"/>
      <w:r>
        <w:rPr>
          <w:rFonts w:ascii="Book Antiqua" w:eastAsia="Book Antiqua" w:hAnsi="Book Antiqua" w:cs="Book Antiqua"/>
          <w:color w:val="000000"/>
        </w:rPr>
        <w:t>Cucchiara</w:t>
      </w:r>
      <w:proofErr w:type="spellEnd"/>
      <w:r>
        <w:rPr>
          <w:rFonts w:ascii="Book Antiqua" w:eastAsia="Book Antiqua" w:hAnsi="Book Antiqua" w:cs="Book Antiqua"/>
          <w:color w:val="000000"/>
        </w:rPr>
        <w:t xml:space="preserve"> S, de Ridder L, </w:t>
      </w:r>
      <w:proofErr w:type="spellStart"/>
      <w:r>
        <w:rPr>
          <w:rFonts w:ascii="Book Antiqua" w:eastAsia="Book Antiqua" w:hAnsi="Book Antiqua" w:cs="Book Antiqua"/>
          <w:color w:val="000000"/>
        </w:rPr>
        <w:t>Kolho</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Veres</w:t>
      </w:r>
      <w:proofErr w:type="spellEnd"/>
      <w:r>
        <w:rPr>
          <w:rFonts w:ascii="Book Antiqua" w:eastAsia="Book Antiqua" w:hAnsi="Book Antiqua" w:cs="Book Antiqua"/>
          <w:color w:val="000000"/>
        </w:rPr>
        <w:t xml:space="preserve"> G, Russell RK, </w:t>
      </w:r>
      <w:proofErr w:type="spellStart"/>
      <w:r>
        <w:rPr>
          <w:rFonts w:ascii="Book Antiqua" w:eastAsia="Book Antiqua" w:hAnsi="Book Antiqua" w:cs="Book Antiqua"/>
          <w:color w:val="000000"/>
        </w:rPr>
        <w:t>Paerregaard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Buderus</w:t>
      </w:r>
      <w:proofErr w:type="spellEnd"/>
      <w:r>
        <w:rPr>
          <w:rFonts w:ascii="Book Antiqua" w:eastAsia="Book Antiqua" w:hAnsi="Book Antiqua" w:cs="Book Antiqua"/>
          <w:color w:val="000000"/>
        </w:rPr>
        <w:t xml:space="preserve"> S, Greer ML, Dias JA, </w:t>
      </w:r>
      <w:proofErr w:type="spellStart"/>
      <w:r>
        <w:rPr>
          <w:rFonts w:ascii="Book Antiqua" w:eastAsia="Book Antiqua" w:hAnsi="Book Antiqua" w:cs="Book Antiqua"/>
          <w:color w:val="000000"/>
        </w:rPr>
        <w:t>Veereman-Wauters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Lionetti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Sladek</w:t>
      </w:r>
      <w:proofErr w:type="spellEnd"/>
      <w:r>
        <w:rPr>
          <w:rFonts w:ascii="Book Antiqua" w:eastAsia="Book Antiqua" w:hAnsi="Book Antiqua" w:cs="Book Antiqua"/>
          <w:color w:val="000000"/>
        </w:rPr>
        <w:t xml:space="preserve"> M, Martin de Carpi J, </w:t>
      </w:r>
      <w:proofErr w:type="spellStart"/>
      <w:r>
        <w:rPr>
          <w:rFonts w:ascii="Book Antiqua" w:eastAsia="Book Antiqua" w:hAnsi="Book Antiqua" w:cs="Book Antiqua"/>
          <w:color w:val="000000"/>
        </w:rPr>
        <w:t>Staiano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Ruemmele</w:t>
      </w:r>
      <w:proofErr w:type="spellEnd"/>
      <w:r>
        <w:rPr>
          <w:rFonts w:ascii="Book Antiqua" w:eastAsia="Book Antiqua" w:hAnsi="Book Antiqua" w:cs="Book Antiqua"/>
          <w:color w:val="000000"/>
        </w:rPr>
        <w:t xml:space="preserve"> FM, Wilson DC; European Society of Pediatric Gastroenterology, Hepatology, and Nutrition. ESPGHAN revised </w:t>
      </w:r>
      <w:proofErr w:type="spellStart"/>
      <w:r>
        <w:rPr>
          <w:rFonts w:ascii="Book Antiqua" w:eastAsia="Book Antiqua" w:hAnsi="Book Antiqua" w:cs="Book Antiqua"/>
          <w:color w:val="000000"/>
        </w:rPr>
        <w:t>porto</w:t>
      </w:r>
      <w:proofErr w:type="spellEnd"/>
      <w:r>
        <w:rPr>
          <w:rFonts w:ascii="Book Antiqua" w:eastAsia="Book Antiqua" w:hAnsi="Book Antiqua" w:cs="Book Antiqua"/>
          <w:color w:val="000000"/>
        </w:rPr>
        <w:t xml:space="preserve"> criteria for the diagnosis of inflammatory bowel disease in children and adolescents.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58</w:t>
      </w:r>
      <w:r>
        <w:rPr>
          <w:rFonts w:ascii="Book Antiqua" w:eastAsia="Book Antiqua" w:hAnsi="Book Antiqua" w:cs="Book Antiqua"/>
          <w:color w:val="000000"/>
        </w:rPr>
        <w:t>: 795-806 [PMID: 24231644 DOI: 10.1097/MPG.0000000000000239]</w:t>
      </w:r>
    </w:p>
    <w:p w14:paraId="726E2D75" w14:textId="77777777" w:rsidR="0012737F" w:rsidRDefault="00663462">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Heyman MB</w:t>
      </w:r>
      <w:r>
        <w:rPr>
          <w:rFonts w:ascii="Book Antiqua" w:eastAsia="Book Antiqua" w:hAnsi="Book Antiqua" w:cs="Book Antiqua"/>
          <w:color w:val="000000"/>
        </w:rPr>
        <w:t xml:space="preserve">, Kirschner BS, Gold BD, Ferry G, </w:t>
      </w:r>
      <w:proofErr w:type="spellStart"/>
      <w:r>
        <w:rPr>
          <w:rFonts w:ascii="Book Antiqua" w:eastAsia="Book Antiqua" w:hAnsi="Book Antiqua" w:cs="Book Antiqua"/>
          <w:color w:val="000000"/>
        </w:rPr>
        <w:t>Baldassano</w:t>
      </w:r>
      <w:proofErr w:type="spellEnd"/>
      <w:r>
        <w:rPr>
          <w:rFonts w:ascii="Book Antiqua" w:eastAsia="Book Antiqua" w:hAnsi="Book Antiqua" w:cs="Book Antiqua"/>
          <w:color w:val="000000"/>
        </w:rPr>
        <w:t xml:space="preserve"> R, Cohen SA, Winter HS, Fain P, King C, Smith 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Children with early-onset inflammatory bowel disease (IBD): analysis of a pediatric IBD consortium registry.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146</w:t>
      </w:r>
      <w:r>
        <w:rPr>
          <w:rFonts w:ascii="Book Antiqua" w:eastAsia="Book Antiqua" w:hAnsi="Book Antiqua" w:cs="Book Antiqua"/>
          <w:color w:val="000000"/>
        </w:rPr>
        <w:t>: 35-40 [PMID: 15644819 DOI: 10.1016/j.jpeds.2004.08.043]</w:t>
      </w:r>
    </w:p>
    <w:p w14:paraId="07D2C816" w14:textId="77777777" w:rsidR="0012737F" w:rsidRDefault="0066346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Chandrakasan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Venkateswaran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Kugathasan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Nonclassic</w:t>
      </w:r>
      <w:proofErr w:type="spellEnd"/>
      <w:r>
        <w:rPr>
          <w:rFonts w:ascii="Book Antiqua" w:eastAsia="Book Antiqua" w:hAnsi="Book Antiqua" w:cs="Book Antiqua"/>
          <w:color w:val="000000"/>
        </w:rPr>
        <w:t xml:space="preserve"> Inflammatory Bowel Disease in Young Infants: Immune Dysregulation, </w:t>
      </w:r>
      <w:proofErr w:type="spellStart"/>
      <w:r>
        <w:rPr>
          <w:rFonts w:ascii="Book Antiqua" w:eastAsia="Book Antiqua" w:hAnsi="Book Antiqua" w:cs="Book Antiqua"/>
          <w:color w:val="000000"/>
        </w:rPr>
        <w:t>Polyendocrinopathy</w:t>
      </w:r>
      <w:proofErr w:type="spellEnd"/>
      <w:r>
        <w:rPr>
          <w:rFonts w:ascii="Book Antiqua" w:eastAsia="Book Antiqua" w:hAnsi="Book Antiqua" w:cs="Book Antiqua"/>
          <w:color w:val="000000"/>
        </w:rPr>
        <w:t xml:space="preserve">, Enteropathy, X-Linked Syndrome, and Other Disorders.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139-160 [PMID: 27894441 DOI: 10.1016/j.pcl.2016.08.010]</w:t>
      </w:r>
    </w:p>
    <w:p w14:paraId="3C529ABB" w14:textId="77777777" w:rsidR="0012737F" w:rsidRDefault="0066346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Pediatircs</w:t>
      </w:r>
      <w:proofErr w:type="spellEnd"/>
      <w:r>
        <w:rPr>
          <w:rFonts w:ascii="Book Antiqua" w:eastAsia="Book Antiqua" w:hAnsi="Book Antiqua" w:cs="Book Antiqua"/>
          <w:b/>
          <w:bCs/>
          <w:color w:val="000000"/>
        </w:rPr>
        <w:t xml:space="preserve">' Inflammation bowl </w:t>
      </w:r>
      <w:proofErr w:type="spellStart"/>
      <w:r>
        <w:rPr>
          <w:rFonts w:ascii="Book Antiqua" w:eastAsia="Book Antiqua" w:hAnsi="Book Antiqua" w:cs="Book Antiqua"/>
          <w:b/>
          <w:bCs/>
          <w:color w:val="000000"/>
        </w:rPr>
        <w:t>diesease</w:t>
      </w:r>
      <w:proofErr w:type="spellEnd"/>
      <w:r>
        <w:rPr>
          <w:rFonts w:ascii="Book Antiqua" w:eastAsia="Book Antiqua" w:hAnsi="Book Antiqua" w:cs="Book Antiqua"/>
          <w:b/>
          <w:bCs/>
          <w:color w:val="000000"/>
        </w:rPr>
        <w:t xml:space="preserve"> collaborating group attached to the Chinese society of pediatric gastroenterology of Chinese Medical Association</w:t>
      </w:r>
      <w:r>
        <w:rPr>
          <w:rFonts w:ascii="Book Antiqua" w:eastAsia="Book Antiqua" w:hAnsi="Book Antiqua" w:cs="Book Antiqua"/>
          <w:color w:val="000000"/>
        </w:rPr>
        <w:t xml:space="preserve">, Chen J, Xu CD, Huang ZH, Gong ST, Dong YS, Dong M, Sun M, Ye LY, Huang YK, Wang BX, Wang LL, Xu XW, Jiang MZ, Yang WL, Zhu CM, You JY, Wu QB, Jiang LR, Li ZL, Shao CH, Huang Y, Zhang YL, Xu XH, Liu FL, </w:t>
      </w:r>
      <w:proofErr w:type="spellStart"/>
      <w:r>
        <w:rPr>
          <w:rFonts w:ascii="Book Antiqua" w:eastAsia="Book Antiqua" w:hAnsi="Book Antiqua" w:cs="Book Antiqua"/>
          <w:color w:val="000000"/>
        </w:rPr>
        <w:t>Mang</w:t>
      </w:r>
      <w:proofErr w:type="spellEnd"/>
      <w:r>
        <w:rPr>
          <w:rFonts w:ascii="Book Antiqua" w:eastAsia="Book Antiqua" w:hAnsi="Book Antiqua" w:cs="Book Antiqua"/>
          <w:color w:val="000000"/>
        </w:rPr>
        <w:t xml:space="preserve"> M. Consensus on the Diagnosis and Management of Pediatric Inflammatory Bowel Disease.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Shiyong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Erke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263-265</w:t>
      </w:r>
    </w:p>
    <w:p w14:paraId="4806CE40" w14:textId="77777777" w:rsidR="0012737F" w:rsidRDefault="0066346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Richards S</w:t>
      </w:r>
      <w:r>
        <w:rPr>
          <w:rFonts w:ascii="Book Antiqua" w:eastAsia="Book Antiqua" w:hAnsi="Book Antiqua" w:cs="Book Antiqua"/>
          <w:color w:val="000000"/>
        </w:rPr>
        <w:t xml:space="preserve">, Aziz N, Bale S, Bick D, Das S, </w:t>
      </w:r>
      <w:proofErr w:type="spellStart"/>
      <w:r>
        <w:rPr>
          <w:rFonts w:ascii="Book Antiqua" w:eastAsia="Book Antiqua" w:hAnsi="Book Antiqua" w:cs="Book Antiqua"/>
          <w:color w:val="000000"/>
        </w:rPr>
        <w:t>Gastier</w:t>
      </w:r>
      <w:proofErr w:type="spellEnd"/>
      <w:r>
        <w:rPr>
          <w:rFonts w:ascii="Book Antiqua" w:eastAsia="Book Antiqua" w:hAnsi="Book Antiqua" w:cs="Book Antiqua"/>
          <w:color w:val="000000"/>
        </w:rPr>
        <w:t xml:space="preserve">-Foster J, </w:t>
      </w:r>
      <w:proofErr w:type="spellStart"/>
      <w:r>
        <w:rPr>
          <w:rFonts w:ascii="Book Antiqua" w:eastAsia="Book Antiqua" w:hAnsi="Book Antiqua" w:cs="Book Antiqua"/>
          <w:color w:val="000000"/>
        </w:rPr>
        <w:t>Grody</w:t>
      </w:r>
      <w:proofErr w:type="spellEnd"/>
      <w:r>
        <w:rPr>
          <w:rFonts w:ascii="Book Antiqua" w:eastAsia="Book Antiqua" w:hAnsi="Book Antiqua" w:cs="Book Antiqua"/>
          <w:color w:val="000000"/>
        </w:rPr>
        <w:t xml:space="preserve"> WW, Hegde M, Lyon E, Spector E, </w:t>
      </w:r>
      <w:proofErr w:type="spellStart"/>
      <w:r>
        <w:rPr>
          <w:rFonts w:ascii="Book Antiqua" w:eastAsia="Book Antiqua" w:hAnsi="Book Antiqua" w:cs="Book Antiqua"/>
          <w:color w:val="000000"/>
        </w:rPr>
        <w:t>Voelkerding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Rehm</w:t>
      </w:r>
      <w:proofErr w:type="spellEnd"/>
      <w:r>
        <w:rPr>
          <w:rFonts w:ascii="Book Antiqua" w:eastAsia="Book Antiqua" w:hAnsi="Book Antiqua" w:cs="Book Antiqua"/>
          <w:color w:val="000000"/>
        </w:rPr>
        <w:t xml:space="preserve"> HL; ACMG Laboratory Quality Assurance Committee. Standards and guidelines for the interpretation of sequence variants: a joint consensus recommendation of the American College of Medical Genetics and Genomics and the Association for Molecular Pathology. </w:t>
      </w:r>
      <w:r>
        <w:rPr>
          <w:rFonts w:ascii="Book Antiqua" w:eastAsia="Book Antiqua" w:hAnsi="Book Antiqua" w:cs="Book Antiqua"/>
          <w:i/>
          <w:iCs/>
          <w:color w:val="000000"/>
        </w:rPr>
        <w:t>Genet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405-424 [PMID: 25741868 DOI: 10.1038/gim.2015.30]</w:t>
      </w:r>
    </w:p>
    <w:p w14:paraId="482350AE" w14:textId="77777777" w:rsidR="0012737F" w:rsidRDefault="0066346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Benchimol</w:t>
      </w:r>
      <w:proofErr w:type="spellEnd"/>
      <w:r>
        <w:rPr>
          <w:rFonts w:ascii="Book Antiqua" w:eastAsia="Book Antiqua" w:hAnsi="Book Antiqua" w:cs="Book Antiqua"/>
          <w:b/>
          <w:bCs/>
          <w:color w:val="000000"/>
        </w:rPr>
        <w:t xml:space="preserve"> EI</w:t>
      </w:r>
      <w:r>
        <w:rPr>
          <w:rFonts w:ascii="Book Antiqua" w:eastAsia="Book Antiqua" w:hAnsi="Book Antiqua" w:cs="Book Antiqua"/>
          <w:color w:val="000000"/>
        </w:rPr>
        <w:t xml:space="preserve">, Guttmann A, Griffiths AM, </w:t>
      </w:r>
      <w:proofErr w:type="spellStart"/>
      <w:r>
        <w:rPr>
          <w:rFonts w:ascii="Book Antiqua" w:eastAsia="Book Antiqua" w:hAnsi="Book Antiqua" w:cs="Book Antiqua"/>
          <w:color w:val="000000"/>
        </w:rPr>
        <w:t>Rabeneck</w:t>
      </w:r>
      <w:proofErr w:type="spellEnd"/>
      <w:r>
        <w:rPr>
          <w:rFonts w:ascii="Book Antiqua" w:eastAsia="Book Antiqua" w:hAnsi="Book Antiqua" w:cs="Book Antiqua"/>
          <w:color w:val="000000"/>
        </w:rPr>
        <w:t xml:space="preserve"> L, Mack DR, Brill H, Howard J, Guan J, To T. Increasing incidence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inflammatory bowel disease in Ontario, Canada: evidence from health administrative data. </w:t>
      </w:r>
      <w:r>
        <w:rPr>
          <w:rFonts w:ascii="Book Antiqua" w:eastAsia="Book Antiqua" w:hAnsi="Book Antiqua" w:cs="Book Antiqua"/>
          <w:i/>
          <w:iCs/>
          <w:color w:val="000000"/>
        </w:rPr>
        <w:t>Gut</w:t>
      </w:r>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1490-1497 [PMID: 19651626 DOI: 10.1136/gut.2009.188383]</w:t>
      </w:r>
    </w:p>
    <w:p w14:paraId="0DDAFE7A" w14:textId="77777777" w:rsidR="0012737F" w:rsidRDefault="0066346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Benchimol</w:t>
      </w:r>
      <w:proofErr w:type="spellEnd"/>
      <w:r>
        <w:rPr>
          <w:rFonts w:ascii="Book Antiqua" w:eastAsia="Book Antiqua" w:hAnsi="Book Antiqua" w:cs="Book Antiqua"/>
          <w:b/>
          <w:bCs/>
          <w:color w:val="000000"/>
        </w:rPr>
        <w:t xml:space="preserve"> EI</w:t>
      </w:r>
      <w:r>
        <w:rPr>
          <w:rFonts w:ascii="Book Antiqua" w:eastAsia="Book Antiqua" w:hAnsi="Book Antiqua" w:cs="Book Antiqua"/>
          <w:color w:val="000000"/>
        </w:rPr>
        <w:t xml:space="preserve">, Mack DR, Nguyen GC, Snapper SB, Li W, </w:t>
      </w:r>
      <w:proofErr w:type="spellStart"/>
      <w:r>
        <w:rPr>
          <w:rFonts w:ascii="Book Antiqua" w:eastAsia="Book Antiqua" w:hAnsi="Book Antiqua" w:cs="Book Antiqua"/>
          <w:color w:val="000000"/>
        </w:rPr>
        <w:t>Mojaverian</w:t>
      </w:r>
      <w:proofErr w:type="spellEnd"/>
      <w:r>
        <w:rPr>
          <w:rFonts w:ascii="Book Antiqua" w:eastAsia="Book Antiqua" w:hAnsi="Book Antiqua" w:cs="Book Antiqua"/>
          <w:color w:val="000000"/>
        </w:rPr>
        <w:t xml:space="preserve"> N, Quach P, Muise AM. Incidence, outcomes, and health services burden of very early onset inflammatory bowel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147</w:t>
      </w:r>
      <w:r>
        <w:rPr>
          <w:rFonts w:ascii="Book Antiqua" w:eastAsia="Book Antiqua" w:hAnsi="Book Antiqua" w:cs="Book Antiqua"/>
          <w:color w:val="000000"/>
        </w:rPr>
        <w:t>: 803-813.e7; quiz e14-5 [PMID: 24951840 DOI: 10.1053/j.gastro.2014.06.023]</w:t>
      </w:r>
    </w:p>
    <w:p w14:paraId="25614AF0" w14:textId="77777777" w:rsidR="0012737F" w:rsidRDefault="00663462">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Zheng C</w:t>
      </w:r>
      <w:r>
        <w:rPr>
          <w:rFonts w:ascii="Book Antiqua" w:eastAsia="Book Antiqua" w:hAnsi="Book Antiqua" w:cs="Book Antiqua"/>
          <w:color w:val="000000"/>
        </w:rPr>
        <w:t xml:space="preserve">, Huang Y, Hu W, Shi J, Ye Z, Qian X, Huang Z,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A, Wang Y, Lu J, Tang Z, Wu J, Wang L, Peng K, Zhou Y, Miao S, Sun H. Phenotypic Characterization of Very Early-Onset Inflammatory Bowel Disease with Interleukin-10 Signaling Deficiency: Based on a Large Cohort Study.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756-766 [PMID: 30212871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/izy289]</w:t>
      </w:r>
    </w:p>
    <w:p w14:paraId="2084B101" w14:textId="77777777" w:rsidR="0012737F" w:rsidRDefault="0066346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Su W</w:t>
      </w:r>
      <w:r>
        <w:rPr>
          <w:rFonts w:ascii="Book Antiqua" w:eastAsia="Book Antiqua" w:hAnsi="Book Antiqua" w:cs="Book Antiqua"/>
          <w:color w:val="000000"/>
        </w:rPr>
        <w:t xml:space="preserve">, Xu CD, Wang XQ, Yu Y, Guo Y, Xu X, Xiao Y. Analysis of clinical phenotype and genotype of 30 Chinese pediatric patients suffering very early onset inflammatory bowel disease.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Yanxingchangbing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83-88 [DOI: 10.3760/cma.j.issn.2096-367X.2018.02.003]</w:t>
      </w:r>
    </w:p>
    <w:p w14:paraId="1D8748B6" w14:textId="77777777" w:rsidR="0012737F" w:rsidRDefault="0066346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Huang Z</w:t>
      </w:r>
      <w:r>
        <w:rPr>
          <w:rFonts w:ascii="Book Antiqua" w:eastAsia="Book Antiqua" w:hAnsi="Book Antiqua" w:cs="Book Antiqua"/>
          <w:color w:val="000000"/>
        </w:rPr>
        <w:t xml:space="preserve">, Peng K, Li X, Zhao R, You J, Cheng X, Wang Z, Wang Y, Wu B, Wang H, Zeng H, Yu Z, Zheng C, Wang Y, Huang Y. Mutations in Interleukin-10 Receptor and Clinical Phenotypes in Patients with Very Early Onset Inflammatory Bowel Disease: A Chinese VEO-IBD Collaboration Group Survey.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578-590 [PMID: 28267044 DOI: 10.1097/MIB.0000000000001058]</w:t>
      </w:r>
    </w:p>
    <w:p w14:paraId="69FD1D52" w14:textId="77777777" w:rsidR="0012737F" w:rsidRDefault="0066346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Xu YB</w:t>
      </w:r>
      <w:r>
        <w:rPr>
          <w:rFonts w:ascii="Book Antiqua" w:eastAsia="Book Antiqua" w:hAnsi="Book Antiqua" w:cs="Book Antiqua"/>
          <w:color w:val="000000"/>
        </w:rPr>
        <w:t xml:space="preserve">, Chen YB, Zeng P, Chen HS, Zeng HS. Interleukin-10 receptor mutations in children with neonatal onset inflammatory bowel disease: genetic diagnosis and pathogenesis.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Erke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53</w:t>
      </w:r>
      <w:r>
        <w:rPr>
          <w:rFonts w:ascii="Book Antiqua" w:eastAsia="Book Antiqua" w:hAnsi="Book Antiqua" w:cs="Book Antiqua"/>
          <w:color w:val="000000"/>
        </w:rPr>
        <w:t>: 348-354 [DOI: 10.3760/cma.j.issn.0578-1310.2015.05.007]</w:t>
      </w:r>
    </w:p>
    <w:p w14:paraId="2E5ABD43" w14:textId="77777777" w:rsidR="0012737F" w:rsidRDefault="0066346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Liu LL</w:t>
      </w:r>
      <w:r>
        <w:rPr>
          <w:rFonts w:ascii="Book Antiqua" w:eastAsia="Book Antiqua" w:hAnsi="Book Antiqua" w:cs="Book Antiqua"/>
          <w:color w:val="000000"/>
        </w:rPr>
        <w:t xml:space="preserve">, Jiang Y, HOU XL, Tang ZZ, Zhou CL, Sun GW. Clinical characteristics and genetic diagnosis of infantile inflammatory bowel disease within four months after birth: seven case report.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Xunzheng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Erke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285-289 [DOI: 10.3969/j.issn.1673-5501.2016.04.009]</w:t>
      </w:r>
    </w:p>
    <w:p w14:paraId="6A1B9173" w14:textId="77777777" w:rsidR="0012737F" w:rsidRDefault="0066346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Xiao Y</w:t>
      </w:r>
      <w:r>
        <w:rPr>
          <w:rFonts w:ascii="Book Antiqua" w:eastAsia="Book Antiqua" w:hAnsi="Book Antiqua" w:cs="Book Antiqua"/>
          <w:color w:val="000000"/>
        </w:rPr>
        <w:t xml:space="preserve">, Wang XQ, Yu Y, Guo Y, Xu X, Gong L, Zhou T, Li XQ, Xu CD. Comprehensive mutation screening for 10 genes in Chinese patients suffering very early onset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5578-5588 [PMID: 27350736 DOI: 10.3748/wjg.v22.i24.5578]</w:t>
      </w:r>
    </w:p>
    <w:p w14:paraId="3EA7C803" w14:textId="77777777" w:rsidR="0012737F" w:rsidRDefault="0066346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Kotlarz</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Beier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Murugan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Diestelhorst</w:t>
      </w:r>
      <w:proofErr w:type="spellEnd"/>
      <w:r>
        <w:rPr>
          <w:rFonts w:ascii="Book Antiqua" w:eastAsia="Book Antiqua" w:hAnsi="Book Antiqua" w:cs="Book Antiqua"/>
          <w:color w:val="000000"/>
        </w:rPr>
        <w:t xml:space="preserve"> J, Jensen O, </w:t>
      </w:r>
      <w:proofErr w:type="spellStart"/>
      <w:r>
        <w:rPr>
          <w:rFonts w:ascii="Book Antiqua" w:eastAsia="Book Antiqua" w:hAnsi="Book Antiqua" w:cs="Book Antiqua"/>
          <w:color w:val="000000"/>
        </w:rPr>
        <w:t>Boztug</w:t>
      </w:r>
      <w:proofErr w:type="spellEnd"/>
      <w:r>
        <w:rPr>
          <w:rFonts w:ascii="Book Antiqua" w:eastAsia="Book Antiqua" w:hAnsi="Book Antiqua" w:cs="Book Antiqua"/>
          <w:color w:val="000000"/>
        </w:rPr>
        <w:t xml:space="preserve"> K, Pfeifer D, </w:t>
      </w:r>
      <w:proofErr w:type="spellStart"/>
      <w:r>
        <w:rPr>
          <w:rFonts w:ascii="Book Antiqua" w:eastAsia="Book Antiqua" w:hAnsi="Book Antiqua" w:cs="Book Antiqua"/>
          <w:color w:val="000000"/>
        </w:rPr>
        <w:t>Kreipe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Pfister</w:t>
      </w:r>
      <w:proofErr w:type="spellEnd"/>
      <w:r>
        <w:rPr>
          <w:rFonts w:ascii="Book Antiqua" w:eastAsia="Book Antiqua" w:hAnsi="Book Antiqua" w:cs="Book Antiqua"/>
          <w:color w:val="000000"/>
        </w:rPr>
        <w:t xml:space="preserve"> ED, Baumann U, </w:t>
      </w:r>
      <w:proofErr w:type="spellStart"/>
      <w:r>
        <w:rPr>
          <w:rFonts w:ascii="Book Antiqua" w:eastAsia="Book Antiqua" w:hAnsi="Book Antiqua" w:cs="Book Antiqua"/>
          <w:color w:val="000000"/>
        </w:rPr>
        <w:t>Puchalka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Bohne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Egritas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Dalgic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Kolho</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Sauerbrey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Buderus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Güngör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Enninger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Koda</w:t>
      </w:r>
      <w:proofErr w:type="spellEnd"/>
      <w:r>
        <w:rPr>
          <w:rFonts w:ascii="Book Antiqua" w:eastAsia="Book Antiqua" w:hAnsi="Book Antiqua" w:cs="Book Antiqua"/>
          <w:color w:val="000000"/>
        </w:rPr>
        <w:t xml:space="preserve"> YK, </w:t>
      </w:r>
      <w:proofErr w:type="spellStart"/>
      <w:r>
        <w:rPr>
          <w:rFonts w:ascii="Book Antiqua" w:eastAsia="Book Antiqua" w:hAnsi="Book Antiqua" w:cs="Book Antiqua"/>
          <w:color w:val="000000"/>
        </w:rPr>
        <w:t>Guariso</w:t>
      </w:r>
      <w:proofErr w:type="spellEnd"/>
      <w:r>
        <w:rPr>
          <w:rFonts w:ascii="Book Antiqua" w:eastAsia="Book Antiqua" w:hAnsi="Book Antiqua" w:cs="Book Antiqua"/>
          <w:color w:val="000000"/>
        </w:rPr>
        <w:t xml:space="preserve"> G, Weiss B, </w:t>
      </w:r>
      <w:proofErr w:type="spellStart"/>
      <w:r>
        <w:rPr>
          <w:rFonts w:ascii="Book Antiqua" w:eastAsia="Book Antiqua" w:hAnsi="Book Antiqua" w:cs="Book Antiqua"/>
          <w:color w:val="000000"/>
        </w:rPr>
        <w:lastRenderedPageBreak/>
        <w:t>Corbacioglu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Socha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Uslu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Metin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Wahbeh</w:t>
      </w:r>
      <w:proofErr w:type="spellEnd"/>
      <w:r>
        <w:rPr>
          <w:rFonts w:ascii="Book Antiqua" w:eastAsia="Book Antiqua" w:hAnsi="Book Antiqua" w:cs="Book Antiqua"/>
          <w:color w:val="000000"/>
        </w:rPr>
        <w:t xml:space="preserve"> GT, Husain K, Ramadan D, Al-</w:t>
      </w:r>
      <w:proofErr w:type="spellStart"/>
      <w:r>
        <w:rPr>
          <w:rFonts w:ascii="Book Antiqua" w:eastAsia="Book Antiqua" w:hAnsi="Book Antiqua" w:cs="Book Antiqua"/>
          <w:color w:val="000000"/>
        </w:rPr>
        <w:t>Herz</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Grimbacher</w:t>
      </w:r>
      <w:proofErr w:type="spellEnd"/>
      <w:r>
        <w:rPr>
          <w:rFonts w:ascii="Book Antiqua" w:eastAsia="Book Antiqua" w:hAnsi="Book Antiqua" w:cs="Book Antiqua"/>
          <w:color w:val="000000"/>
        </w:rPr>
        <w:t xml:space="preserve"> B, Sauer M, </w:t>
      </w:r>
      <w:proofErr w:type="spellStart"/>
      <w:r>
        <w:rPr>
          <w:rFonts w:ascii="Book Antiqua" w:eastAsia="Book Antiqua" w:hAnsi="Book Antiqua" w:cs="Book Antiqua"/>
          <w:color w:val="000000"/>
        </w:rPr>
        <w:t>Sykora</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Koletzko</w:t>
      </w:r>
      <w:proofErr w:type="spellEnd"/>
      <w:r>
        <w:rPr>
          <w:rFonts w:ascii="Book Antiqua" w:eastAsia="Book Antiqua" w:hAnsi="Book Antiqua" w:cs="Book Antiqua"/>
          <w:color w:val="000000"/>
        </w:rPr>
        <w:t xml:space="preserve"> S, Klein C. Loss of interleukin-10 signaling and infantile inflammatory bowel disease: implications for diagnosis and therapy.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347-355 [PMID: 22549091 DOI: 10.1053/j.gastro.2012.04.045]</w:t>
      </w:r>
    </w:p>
    <w:p w14:paraId="45B0EFC2" w14:textId="77777777" w:rsidR="0012737F" w:rsidRDefault="00663462">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Kammermeier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Dziubak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Pescarin</w:t>
      </w:r>
      <w:proofErr w:type="spellEnd"/>
      <w:r>
        <w:rPr>
          <w:rFonts w:ascii="Book Antiqua" w:eastAsia="Book Antiqua" w:hAnsi="Book Antiqua" w:cs="Book Antiqua"/>
          <w:color w:val="000000"/>
        </w:rPr>
        <w:t xml:space="preserve"> M, Drury S, Godwin H, Reeve K, </w:t>
      </w:r>
      <w:proofErr w:type="spellStart"/>
      <w:r>
        <w:rPr>
          <w:rFonts w:ascii="Book Antiqua" w:eastAsia="Book Antiqua" w:hAnsi="Book Antiqua" w:cs="Book Antiqua"/>
          <w:color w:val="000000"/>
        </w:rPr>
        <w:t>Chadokufa</w:t>
      </w:r>
      <w:proofErr w:type="spellEnd"/>
      <w:r>
        <w:rPr>
          <w:rFonts w:ascii="Book Antiqua" w:eastAsia="Book Antiqua" w:hAnsi="Book Antiqua" w:cs="Book Antiqua"/>
          <w:color w:val="000000"/>
        </w:rPr>
        <w:t xml:space="preserve"> S, Huggett B, Sider S, James C, Acton N, </w:t>
      </w:r>
      <w:proofErr w:type="spellStart"/>
      <w:r>
        <w:rPr>
          <w:rFonts w:ascii="Book Antiqua" w:eastAsia="Book Antiqua" w:hAnsi="Book Antiqua" w:cs="Book Antiqua"/>
          <w:color w:val="000000"/>
        </w:rPr>
        <w:t>Cernat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Gasparetto</w:t>
      </w:r>
      <w:proofErr w:type="spellEnd"/>
      <w:r>
        <w:rPr>
          <w:rFonts w:ascii="Book Antiqua" w:eastAsia="Book Antiqua" w:hAnsi="Book Antiqua" w:cs="Book Antiqua"/>
          <w:color w:val="000000"/>
        </w:rPr>
        <w:t xml:space="preserve"> M, Noble-Jamieson G, </w:t>
      </w:r>
      <w:proofErr w:type="spellStart"/>
      <w:r>
        <w:rPr>
          <w:rFonts w:ascii="Book Antiqua" w:eastAsia="Book Antiqua" w:hAnsi="Book Antiqua" w:cs="Book Antiqua"/>
          <w:color w:val="000000"/>
        </w:rPr>
        <w:t>Kiparissi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Elawad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Beales</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Sebire</w:t>
      </w:r>
      <w:proofErr w:type="spellEnd"/>
      <w:r>
        <w:rPr>
          <w:rFonts w:ascii="Book Antiqua" w:eastAsia="Book Antiqua" w:hAnsi="Book Antiqua" w:cs="Book Antiqua"/>
          <w:color w:val="000000"/>
        </w:rPr>
        <w:t xml:space="preserve"> NJ, Gilmour K, </w:t>
      </w:r>
      <w:proofErr w:type="spellStart"/>
      <w:r>
        <w:rPr>
          <w:rFonts w:ascii="Book Antiqua" w:eastAsia="Book Antiqua" w:hAnsi="Book Antiqua" w:cs="Book Antiqua"/>
          <w:color w:val="000000"/>
        </w:rPr>
        <w:t>Uhlig</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Bacchelli</w:t>
      </w:r>
      <w:proofErr w:type="spellEnd"/>
      <w:r>
        <w:rPr>
          <w:rFonts w:ascii="Book Antiqua" w:eastAsia="Book Antiqua" w:hAnsi="Book Antiqua" w:cs="Book Antiqua"/>
          <w:color w:val="000000"/>
        </w:rPr>
        <w:t xml:space="preserve"> C, Shah N. Phenotypic and Genotypic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Inflammatory Bowel Disease Presenting Before the Age of 2 years.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60-69 [PMID: 27302973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/jjw118]</w:t>
      </w:r>
    </w:p>
    <w:p w14:paraId="2FEAC90F" w14:textId="77777777" w:rsidR="0012737F" w:rsidRDefault="00663462">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Yanagi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Mizuochi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Takaki</w:t>
      </w:r>
      <w:proofErr w:type="spellEnd"/>
      <w:r>
        <w:rPr>
          <w:rFonts w:ascii="Book Antiqua" w:eastAsia="Book Antiqua" w:hAnsi="Book Antiqua" w:cs="Book Antiqua"/>
          <w:color w:val="000000"/>
        </w:rPr>
        <w:t xml:space="preserve"> Y, Eda K, </w:t>
      </w:r>
      <w:proofErr w:type="spellStart"/>
      <w:r>
        <w:rPr>
          <w:rFonts w:ascii="Book Antiqua" w:eastAsia="Book Antiqua" w:hAnsi="Book Antiqua" w:cs="Book Antiqua"/>
          <w:color w:val="000000"/>
        </w:rPr>
        <w:t>Mitsuyama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Ishimura</w:t>
      </w:r>
      <w:proofErr w:type="spellEnd"/>
      <w:r>
        <w:rPr>
          <w:rFonts w:ascii="Book Antiqua" w:eastAsia="Book Antiqua" w:hAnsi="Book Antiqua" w:cs="Book Antiqua"/>
          <w:color w:val="000000"/>
        </w:rPr>
        <w:t xml:space="preserve"> M, Takada H, </w:t>
      </w:r>
      <w:proofErr w:type="spellStart"/>
      <w:r>
        <w:rPr>
          <w:rFonts w:ascii="Book Antiqua" w:eastAsia="Book Antiqua" w:hAnsi="Book Antiqua" w:cs="Book Antiqua"/>
          <w:color w:val="000000"/>
        </w:rPr>
        <w:t>Shouval</w:t>
      </w:r>
      <w:proofErr w:type="spellEnd"/>
      <w:r>
        <w:rPr>
          <w:rFonts w:ascii="Book Antiqua" w:eastAsia="Book Antiqua" w:hAnsi="Book Antiqua" w:cs="Book Antiqua"/>
          <w:color w:val="000000"/>
        </w:rPr>
        <w:t xml:space="preserve"> DS, Griffith AE, Snapper SB, Yamashita Y, Yamamoto K. Novel </w:t>
      </w:r>
      <w:proofErr w:type="spellStart"/>
      <w:r>
        <w:rPr>
          <w:rFonts w:ascii="Book Antiqua" w:eastAsia="Book Antiqua" w:hAnsi="Book Antiqua" w:cs="Book Antiqua"/>
          <w:color w:val="000000"/>
        </w:rPr>
        <w:t>exonic</w:t>
      </w:r>
      <w:proofErr w:type="spellEnd"/>
      <w:r>
        <w:rPr>
          <w:rFonts w:ascii="Book Antiqua" w:eastAsia="Book Antiqua" w:hAnsi="Book Antiqua" w:cs="Book Antiqua"/>
          <w:color w:val="000000"/>
        </w:rPr>
        <w:t xml:space="preserve"> mutation inducing aberrant splicing in the IL10RA gene and resulting in infantile-onset inflammatory bowel disease: a case report.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10 [PMID: 26822028 DOI: 10.1186/s12876-016-0424-5]</w:t>
      </w:r>
    </w:p>
    <w:p w14:paraId="5D300749" w14:textId="77777777" w:rsidR="0012737F" w:rsidRDefault="0066346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Oh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Liany</w:t>
      </w:r>
      <w:proofErr w:type="spellEnd"/>
      <w:r>
        <w:rPr>
          <w:rFonts w:ascii="Book Antiqua" w:eastAsia="Book Antiqua" w:hAnsi="Book Antiqua" w:cs="Book Antiqua"/>
          <w:color w:val="000000"/>
        </w:rPr>
        <w:t xml:space="preserve"> H, Foo JN, Kim KM, Yang SC, Liu J, Song K. A Synonymous Variant in IL10RA Affects RNA Splicing in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Patients with Refractory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1366-1371 [PMID: 27177777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/jjw102]</w:t>
      </w:r>
    </w:p>
    <w:p w14:paraId="16945643" w14:textId="77777777" w:rsidR="0012737F" w:rsidRDefault="00663462">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Schäppi</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Smith VV, Goldblatt D, Lindley KJ, Milla PJ. Colitis in chronic granulomatous disease. </w:t>
      </w:r>
      <w:r>
        <w:rPr>
          <w:rFonts w:ascii="Book Antiqua" w:eastAsia="Book Antiqua" w:hAnsi="Book Antiqua" w:cs="Book Antiqua"/>
          <w:i/>
          <w:iCs/>
          <w:color w:val="000000"/>
        </w:rPr>
        <w:t>Arch Dis Child</w:t>
      </w:r>
      <w:r>
        <w:rPr>
          <w:rFonts w:ascii="Book Antiqua" w:eastAsia="Book Antiqua" w:hAnsi="Book Antiqua" w:cs="Book Antiqua"/>
          <w:color w:val="000000"/>
        </w:rPr>
        <w:t xml:space="preserve"> 2001; </w:t>
      </w:r>
      <w:r>
        <w:rPr>
          <w:rFonts w:ascii="Book Antiqua" w:eastAsia="Book Antiqua" w:hAnsi="Book Antiqua" w:cs="Book Antiqua"/>
          <w:b/>
          <w:bCs/>
          <w:color w:val="000000"/>
        </w:rPr>
        <w:t>84</w:t>
      </w:r>
      <w:r>
        <w:rPr>
          <w:rFonts w:ascii="Book Antiqua" w:eastAsia="Book Antiqua" w:hAnsi="Book Antiqua" w:cs="Book Antiqua"/>
          <w:color w:val="000000"/>
        </w:rPr>
        <w:t>: 147-151 [PMID: 11159292 DOI: 10.1136/adc.84.2.147]</w:t>
      </w:r>
    </w:p>
    <w:p w14:paraId="53BDFA8A" w14:textId="77777777" w:rsidR="0012737F" w:rsidRDefault="0066346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Mizukami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Obara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Nishikomori</w:t>
      </w:r>
      <w:proofErr w:type="spellEnd"/>
      <w:r>
        <w:rPr>
          <w:rFonts w:ascii="Book Antiqua" w:eastAsia="Book Antiqua" w:hAnsi="Book Antiqua" w:cs="Book Antiqua"/>
          <w:color w:val="000000"/>
        </w:rPr>
        <w:t xml:space="preserve"> R, Kawai T, </w:t>
      </w:r>
      <w:proofErr w:type="spellStart"/>
      <w:r>
        <w:rPr>
          <w:rFonts w:ascii="Book Antiqua" w:eastAsia="Book Antiqua" w:hAnsi="Book Antiqua" w:cs="Book Antiqua"/>
          <w:color w:val="000000"/>
        </w:rPr>
        <w:t>Tahara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Sameshima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Marutsuka</w:t>
      </w:r>
      <w:proofErr w:type="spellEnd"/>
      <w:r>
        <w:rPr>
          <w:rFonts w:ascii="Book Antiqua" w:eastAsia="Book Antiqua" w:hAnsi="Book Antiqua" w:cs="Book Antiqua"/>
          <w:color w:val="000000"/>
        </w:rPr>
        <w:t xml:space="preserve"> K, Nakase H, Kimura N, Heike T, </w:t>
      </w:r>
      <w:proofErr w:type="spellStart"/>
      <w:r>
        <w:rPr>
          <w:rFonts w:ascii="Book Antiqua" w:eastAsia="Book Antiqua" w:hAnsi="Book Antiqua" w:cs="Book Antiqua"/>
          <w:color w:val="000000"/>
        </w:rPr>
        <w:t>Nunoi</w:t>
      </w:r>
      <w:proofErr w:type="spellEnd"/>
      <w:r>
        <w:rPr>
          <w:rFonts w:ascii="Book Antiqua" w:eastAsia="Book Antiqua" w:hAnsi="Book Antiqua" w:cs="Book Antiqua"/>
          <w:color w:val="000000"/>
        </w:rPr>
        <w:t xml:space="preserve"> H. Successful treatment with infliximab for inflammatory colitis in a patient with X-linked anhidrotic ectodermal dysplasia with immunodeficiency. </w:t>
      </w:r>
      <w:r>
        <w:rPr>
          <w:rFonts w:ascii="Book Antiqua" w:eastAsia="Book Antiqua" w:hAnsi="Book Antiqua" w:cs="Book Antiqua"/>
          <w:i/>
          <w:iCs/>
          <w:color w:val="000000"/>
        </w:rPr>
        <w:t>J Clin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39-49 [PMID: 21993693 DOI: 10.1007/s10875-011-9600-0]</w:t>
      </w:r>
    </w:p>
    <w:p w14:paraId="3A4174CC" w14:textId="77777777" w:rsidR="0012737F" w:rsidRDefault="00663462">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Orange JS</w:t>
      </w:r>
      <w:r>
        <w:rPr>
          <w:rFonts w:ascii="Book Antiqua" w:eastAsia="Book Antiqua" w:hAnsi="Book Antiqua" w:cs="Book Antiqua"/>
          <w:color w:val="000000"/>
        </w:rPr>
        <w:t xml:space="preserve">, Jain A, Ballas ZK, Schneider LC, </w:t>
      </w:r>
      <w:proofErr w:type="spellStart"/>
      <w:r>
        <w:rPr>
          <w:rFonts w:ascii="Book Antiqua" w:eastAsia="Book Antiqua" w:hAnsi="Book Antiqua" w:cs="Book Antiqua"/>
          <w:color w:val="000000"/>
        </w:rPr>
        <w:t>Geha</w:t>
      </w:r>
      <w:proofErr w:type="spellEnd"/>
      <w:r>
        <w:rPr>
          <w:rFonts w:ascii="Book Antiqua" w:eastAsia="Book Antiqua" w:hAnsi="Book Antiqua" w:cs="Book Antiqua"/>
          <w:color w:val="000000"/>
        </w:rPr>
        <w:t xml:space="preserve"> RS, Bonilla FA. The presentation and natural history of immunodeficiency caused by nuclear factor </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essential modulator mutation.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113</w:t>
      </w:r>
      <w:r>
        <w:rPr>
          <w:rFonts w:ascii="Book Antiqua" w:eastAsia="Book Antiqua" w:hAnsi="Book Antiqua" w:cs="Book Antiqua"/>
          <w:color w:val="000000"/>
        </w:rPr>
        <w:t>: 725-733 [PMID: 15100680 DOI: 10.1016/j.jaci.2004.01.762]</w:t>
      </w:r>
    </w:p>
    <w:p w14:paraId="7C2A88D4" w14:textId="77777777" w:rsidR="0012737F" w:rsidRDefault="00663462">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Nunes</w:t>
      </w:r>
      <w:proofErr w:type="spellEnd"/>
      <w:r>
        <w:rPr>
          <w:rFonts w:ascii="Book Antiqua" w:eastAsia="Book Antiqua" w:hAnsi="Book Antiqua" w:cs="Book Antiqua"/>
          <w:b/>
          <w:bCs/>
          <w:color w:val="000000"/>
        </w:rPr>
        <w:t>-Santos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Uzel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Rosenzweig</w:t>
      </w:r>
      <w:proofErr w:type="spellEnd"/>
      <w:r>
        <w:rPr>
          <w:rFonts w:ascii="Book Antiqua" w:eastAsia="Book Antiqua" w:hAnsi="Book Antiqua" w:cs="Book Antiqua"/>
          <w:color w:val="000000"/>
        </w:rPr>
        <w:t xml:space="preserve"> SD. PI3K pathway defects leading to immunodeficiency and immune dysregulation.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143</w:t>
      </w:r>
      <w:r>
        <w:rPr>
          <w:rFonts w:ascii="Book Antiqua" w:eastAsia="Book Antiqua" w:hAnsi="Book Antiqua" w:cs="Book Antiqua"/>
          <w:color w:val="000000"/>
        </w:rPr>
        <w:t>: 1676-1687 [PMID: 31060715 DOI: 10.1016/j.jaci.2019.03.017]</w:t>
      </w:r>
    </w:p>
    <w:p w14:paraId="06D01B3D" w14:textId="77777777" w:rsidR="0012737F" w:rsidRDefault="0066346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Levy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Espanol</w:t>
      </w:r>
      <w:proofErr w:type="spellEnd"/>
      <w:r>
        <w:rPr>
          <w:rFonts w:ascii="Book Antiqua" w:eastAsia="Book Antiqua" w:hAnsi="Book Antiqua" w:cs="Book Antiqua"/>
          <w:color w:val="000000"/>
        </w:rPr>
        <w:t xml:space="preserve">-Boren T, Thomas C, Fischer A, </w:t>
      </w:r>
      <w:proofErr w:type="spellStart"/>
      <w:r>
        <w:rPr>
          <w:rFonts w:ascii="Book Antiqua" w:eastAsia="Book Antiqua" w:hAnsi="Book Antiqua" w:cs="Book Antiqua"/>
          <w:color w:val="000000"/>
        </w:rPr>
        <w:t>Tovo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Bordigoni</w:t>
      </w:r>
      <w:proofErr w:type="spellEnd"/>
      <w:r>
        <w:rPr>
          <w:rFonts w:ascii="Book Antiqua" w:eastAsia="Book Antiqua" w:hAnsi="Book Antiqua" w:cs="Book Antiqua"/>
          <w:color w:val="000000"/>
        </w:rPr>
        <w:t xml:space="preserve"> P, Resnick I, </w:t>
      </w:r>
      <w:proofErr w:type="spellStart"/>
      <w:r>
        <w:rPr>
          <w:rFonts w:ascii="Book Antiqua" w:eastAsia="Book Antiqua" w:hAnsi="Book Antiqua" w:cs="Book Antiqua"/>
          <w:color w:val="000000"/>
        </w:rPr>
        <w:t>Fasth</w:t>
      </w:r>
      <w:proofErr w:type="spellEnd"/>
      <w:r>
        <w:rPr>
          <w:rFonts w:ascii="Book Antiqua" w:eastAsia="Book Antiqua" w:hAnsi="Book Antiqua" w:cs="Book Antiqua"/>
          <w:color w:val="000000"/>
        </w:rPr>
        <w:t xml:space="preserve"> A, Baer M, Gomez L, Sanders EA, </w:t>
      </w:r>
      <w:proofErr w:type="spellStart"/>
      <w:r>
        <w:rPr>
          <w:rFonts w:ascii="Book Antiqua" w:eastAsia="Book Antiqua" w:hAnsi="Book Antiqua" w:cs="Book Antiqua"/>
          <w:color w:val="000000"/>
        </w:rPr>
        <w:t>Tabone</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Plantaz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Etzioni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Monafo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Abinun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Hammarstrom</w:t>
      </w:r>
      <w:proofErr w:type="spellEnd"/>
      <w:r>
        <w:rPr>
          <w:rFonts w:ascii="Book Antiqua" w:eastAsia="Book Antiqua" w:hAnsi="Book Antiqua" w:cs="Book Antiqua"/>
          <w:color w:val="000000"/>
        </w:rPr>
        <w:t xml:space="preserve"> L, Abrahamsen T, Jones A, Finn A, </w:t>
      </w:r>
      <w:proofErr w:type="spellStart"/>
      <w:r>
        <w:rPr>
          <w:rFonts w:ascii="Book Antiqua" w:eastAsia="Book Antiqua" w:hAnsi="Book Antiqua" w:cs="Book Antiqua"/>
          <w:color w:val="000000"/>
        </w:rPr>
        <w:t>Klemola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DeVries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Sanal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Peitsch</w:t>
      </w:r>
      <w:proofErr w:type="spellEnd"/>
      <w:r>
        <w:rPr>
          <w:rFonts w:ascii="Book Antiqua" w:eastAsia="Book Antiqua" w:hAnsi="Book Antiqua" w:cs="Book Antiqua"/>
          <w:color w:val="000000"/>
        </w:rPr>
        <w:t xml:space="preserve"> MC, Notarangelo LD. Clinical spectrum of X-linked hyper-IgM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131</w:t>
      </w:r>
      <w:r>
        <w:rPr>
          <w:rFonts w:ascii="Book Antiqua" w:eastAsia="Book Antiqua" w:hAnsi="Book Antiqua" w:cs="Book Antiqua"/>
          <w:color w:val="000000"/>
        </w:rPr>
        <w:t>: 47-54 [PMID: 9255191 DOI: 10.1016/s0022-3476(97)70123-9]</w:t>
      </w:r>
    </w:p>
    <w:p w14:paraId="78B1AE20" w14:textId="77777777" w:rsidR="0012737F" w:rsidRDefault="00663462">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Gerin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Veiga</w:t>
      </w:r>
      <w:proofErr w:type="spellEnd"/>
      <w:r>
        <w:rPr>
          <w:rFonts w:ascii="Book Antiqua" w:eastAsia="Book Antiqua" w:hAnsi="Book Antiqua" w:cs="Book Antiqua"/>
          <w:color w:val="000000"/>
        </w:rPr>
        <w:t xml:space="preserve">-da-Cunha M, </w:t>
      </w:r>
      <w:proofErr w:type="spellStart"/>
      <w:r>
        <w:rPr>
          <w:rFonts w:ascii="Book Antiqua" w:eastAsia="Book Antiqua" w:hAnsi="Book Antiqua" w:cs="Book Antiqua"/>
          <w:color w:val="000000"/>
        </w:rPr>
        <w:t>Achouri</w:t>
      </w:r>
      <w:proofErr w:type="spellEnd"/>
      <w:r>
        <w:rPr>
          <w:rFonts w:ascii="Book Antiqua" w:eastAsia="Book Antiqua" w:hAnsi="Book Antiqua" w:cs="Book Antiqua"/>
          <w:color w:val="000000"/>
        </w:rPr>
        <w:t xml:space="preserve"> Y, Collet J-F, Van </w:t>
      </w:r>
      <w:proofErr w:type="spellStart"/>
      <w:r>
        <w:rPr>
          <w:rFonts w:ascii="Book Antiqua" w:eastAsia="Book Antiqua" w:hAnsi="Book Antiqua" w:cs="Book Antiqua"/>
          <w:color w:val="000000"/>
        </w:rPr>
        <w:t>Schaftingen</w:t>
      </w:r>
      <w:proofErr w:type="spellEnd"/>
      <w:r>
        <w:rPr>
          <w:rFonts w:ascii="Book Antiqua" w:eastAsia="Book Antiqua" w:hAnsi="Book Antiqua" w:cs="Book Antiqua"/>
          <w:color w:val="000000"/>
        </w:rPr>
        <w:t xml:space="preserve"> E. Sequence of a putative glucose 6-phosphate translocase, mutated in glycogen storage disease type Ib1.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1997; </w:t>
      </w:r>
      <w:r>
        <w:rPr>
          <w:rFonts w:ascii="Book Antiqua" w:eastAsia="Book Antiqua" w:hAnsi="Book Antiqua" w:cs="Book Antiqua"/>
          <w:b/>
          <w:bCs/>
          <w:color w:val="000000"/>
        </w:rPr>
        <w:t>419</w:t>
      </w:r>
      <w:r>
        <w:rPr>
          <w:rFonts w:ascii="Book Antiqua" w:eastAsia="Book Antiqua" w:hAnsi="Book Antiqua" w:cs="Book Antiqua"/>
          <w:color w:val="000000"/>
        </w:rPr>
        <w:t>: 235-238 [DOI: 10.1016/s0014-5793(97)01463-4]</w:t>
      </w:r>
    </w:p>
    <w:p w14:paraId="5371FFF4" w14:textId="77777777" w:rsidR="0012737F" w:rsidRDefault="00663462">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Felgentreff</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Perez-Becker R, </w:t>
      </w:r>
      <w:proofErr w:type="spellStart"/>
      <w:r>
        <w:rPr>
          <w:rFonts w:ascii="Book Antiqua" w:eastAsia="Book Antiqua" w:hAnsi="Book Antiqua" w:cs="Book Antiqua"/>
          <w:color w:val="000000"/>
        </w:rPr>
        <w:t>Speckmann</w:t>
      </w:r>
      <w:proofErr w:type="spellEnd"/>
      <w:r>
        <w:rPr>
          <w:rFonts w:ascii="Book Antiqua" w:eastAsia="Book Antiqua" w:hAnsi="Book Antiqua" w:cs="Book Antiqua"/>
          <w:color w:val="000000"/>
        </w:rPr>
        <w:t xml:space="preserve"> C, Schwarz K, </w:t>
      </w:r>
      <w:proofErr w:type="spellStart"/>
      <w:r>
        <w:rPr>
          <w:rFonts w:ascii="Book Antiqua" w:eastAsia="Book Antiqua" w:hAnsi="Book Antiqua" w:cs="Book Antiqua"/>
          <w:color w:val="000000"/>
        </w:rPr>
        <w:t>Kalwak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Markelj</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Avcin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Qasim</w:t>
      </w:r>
      <w:proofErr w:type="spellEnd"/>
      <w:r>
        <w:rPr>
          <w:rFonts w:ascii="Book Antiqua" w:eastAsia="Book Antiqua" w:hAnsi="Book Antiqua" w:cs="Book Antiqua"/>
          <w:color w:val="000000"/>
        </w:rPr>
        <w:t xml:space="preserve"> W, Davies EG, </w:t>
      </w:r>
      <w:proofErr w:type="spellStart"/>
      <w:r>
        <w:rPr>
          <w:rFonts w:ascii="Book Antiqua" w:eastAsia="Book Antiqua" w:hAnsi="Book Antiqua" w:cs="Book Antiqua"/>
          <w:color w:val="000000"/>
        </w:rPr>
        <w:t>Niehues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Ehl</w:t>
      </w:r>
      <w:proofErr w:type="spellEnd"/>
      <w:r>
        <w:rPr>
          <w:rFonts w:ascii="Book Antiqua" w:eastAsia="Book Antiqua" w:hAnsi="Book Antiqua" w:cs="Book Antiqua"/>
          <w:color w:val="000000"/>
        </w:rPr>
        <w:t xml:space="preserve"> S. Clinical and immunological manifestations of patients with atypical severe combined immunodeficiency.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73-82 [PMID: 21664875 DOI: 10.1016/j.clim.2011.05.007]</w:t>
      </w:r>
    </w:p>
    <w:p w14:paraId="57751712" w14:textId="77777777" w:rsidR="0012737F" w:rsidRDefault="00663462">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Catucci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Castiello</w:t>
      </w:r>
      <w:proofErr w:type="spellEnd"/>
      <w:r>
        <w:rPr>
          <w:rFonts w:ascii="Book Antiqua" w:eastAsia="Book Antiqua" w:hAnsi="Book Antiqua" w:cs="Book Antiqua"/>
          <w:color w:val="000000"/>
        </w:rPr>
        <w:t xml:space="preserve"> MC, Pala F, </w:t>
      </w:r>
      <w:proofErr w:type="spellStart"/>
      <w:r>
        <w:rPr>
          <w:rFonts w:ascii="Book Antiqua" w:eastAsia="Book Antiqua" w:hAnsi="Book Antiqua" w:cs="Book Antiqua"/>
          <w:color w:val="000000"/>
        </w:rPr>
        <w:t>Bosticardo</w:t>
      </w:r>
      <w:proofErr w:type="spellEnd"/>
      <w:r>
        <w:rPr>
          <w:rFonts w:ascii="Book Antiqua" w:eastAsia="Book Antiqua" w:hAnsi="Book Antiqua" w:cs="Book Antiqua"/>
          <w:color w:val="000000"/>
        </w:rPr>
        <w:t xml:space="preserve"> M, Villa A. Autoimmunity in </w:t>
      </w:r>
      <w:proofErr w:type="spellStart"/>
      <w:r>
        <w:rPr>
          <w:rFonts w:ascii="Book Antiqua" w:eastAsia="Book Antiqua" w:hAnsi="Book Antiqua" w:cs="Book Antiqua"/>
          <w:color w:val="000000"/>
        </w:rPr>
        <w:t>wiskott</w:t>
      </w:r>
      <w:proofErr w:type="spellEnd"/>
      <w:r>
        <w:rPr>
          <w:rFonts w:ascii="Book Antiqua" w:eastAsia="Book Antiqua" w:hAnsi="Book Antiqua" w:cs="Book Antiqua"/>
          <w:color w:val="000000"/>
        </w:rPr>
        <w:t xml:space="preserve">-Aldrich syndrome: an unsolved enigma.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209 [PMID: 22826711 DOI: 10.3389/fimmu.2012.00209]</w:t>
      </w:r>
    </w:p>
    <w:p w14:paraId="4202E8CD" w14:textId="77777777" w:rsidR="0012737F" w:rsidRDefault="00663462">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Dorjbal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Stinson JR, Ma CA, </w:t>
      </w:r>
      <w:proofErr w:type="spellStart"/>
      <w:r>
        <w:rPr>
          <w:rFonts w:ascii="Book Antiqua" w:eastAsia="Book Antiqua" w:hAnsi="Book Antiqua" w:cs="Book Antiqua"/>
          <w:color w:val="000000"/>
        </w:rPr>
        <w:t>Weinreich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Miraghazadeh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Hartberger</w:t>
      </w:r>
      <w:proofErr w:type="spellEnd"/>
      <w:r>
        <w:rPr>
          <w:rFonts w:ascii="Book Antiqua" w:eastAsia="Book Antiqua" w:hAnsi="Book Antiqua" w:cs="Book Antiqua"/>
          <w:color w:val="000000"/>
        </w:rPr>
        <w:t xml:space="preserve"> JM, Frey-</w:t>
      </w:r>
      <w:proofErr w:type="spellStart"/>
      <w:r>
        <w:rPr>
          <w:rFonts w:ascii="Book Antiqua" w:eastAsia="Book Antiqua" w:hAnsi="Book Antiqua" w:cs="Book Antiqua"/>
          <w:color w:val="000000"/>
        </w:rPr>
        <w:t>Jakobs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Weidinger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Moebus</w:t>
      </w:r>
      <w:proofErr w:type="spellEnd"/>
      <w:r>
        <w:rPr>
          <w:rFonts w:ascii="Book Antiqua" w:eastAsia="Book Antiqua" w:hAnsi="Book Antiqua" w:cs="Book Antiqua"/>
          <w:color w:val="000000"/>
        </w:rPr>
        <w:t xml:space="preserve"> L, Franke A, </w:t>
      </w:r>
      <w:proofErr w:type="spellStart"/>
      <w:r>
        <w:rPr>
          <w:rFonts w:ascii="Book Antiqua" w:eastAsia="Book Antiqua" w:hAnsi="Book Antiqua" w:cs="Book Antiqua"/>
          <w:color w:val="000000"/>
        </w:rPr>
        <w:t>Schäffer</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Bulashevska</w:t>
      </w:r>
      <w:proofErr w:type="spellEnd"/>
      <w:r>
        <w:rPr>
          <w:rFonts w:ascii="Book Antiqua" w:eastAsia="Book Antiqua" w:hAnsi="Book Antiqua" w:cs="Book Antiqua"/>
          <w:color w:val="000000"/>
        </w:rPr>
        <w:t xml:space="preserve"> A, Fuchs S, </w:t>
      </w:r>
      <w:proofErr w:type="spellStart"/>
      <w:r>
        <w:rPr>
          <w:rFonts w:ascii="Book Antiqua" w:eastAsia="Book Antiqua" w:hAnsi="Book Antiqua" w:cs="Book Antiqua"/>
          <w:color w:val="000000"/>
        </w:rPr>
        <w:t>Ehl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Limaye</w:t>
      </w:r>
      <w:proofErr w:type="spellEnd"/>
      <w:r>
        <w:rPr>
          <w:rFonts w:ascii="Book Antiqua" w:eastAsia="Book Antiqua" w:hAnsi="Book Antiqua" w:cs="Book Antiqua"/>
          <w:color w:val="000000"/>
        </w:rPr>
        <w:t xml:space="preserve"> S, Arkwright PD, Briggs TA, Langley C, Bethune C, Whyte AF, </w:t>
      </w:r>
      <w:proofErr w:type="spellStart"/>
      <w:r>
        <w:rPr>
          <w:rFonts w:ascii="Book Antiqua" w:eastAsia="Book Antiqua" w:hAnsi="Book Antiqua" w:cs="Book Antiqua"/>
          <w:color w:val="000000"/>
        </w:rPr>
        <w:t>Alachkar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Nejentsev</w:t>
      </w:r>
      <w:proofErr w:type="spellEnd"/>
      <w:r>
        <w:rPr>
          <w:rFonts w:ascii="Book Antiqua" w:eastAsia="Book Antiqua" w:hAnsi="Book Antiqua" w:cs="Book Antiqua"/>
          <w:color w:val="000000"/>
        </w:rPr>
        <w:t xml:space="preserve"> S, DiMaggio T, Nelson CG, Stone KD, </w:t>
      </w:r>
      <w:proofErr w:type="spellStart"/>
      <w:r>
        <w:rPr>
          <w:rFonts w:ascii="Book Antiqua" w:eastAsia="Book Antiqua" w:hAnsi="Book Antiqua" w:cs="Book Antiqua"/>
          <w:color w:val="000000"/>
        </w:rPr>
        <w:t>Nason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Brittain</w:t>
      </w:r>
      <w:proofErr w:type="spellEnd"/>
      <w:r>
        <w:rPr>
          <w:rFonts w:ascii="Book Antiqua" w:eastAsia="Book Antiqua" w:hAnsi="Book Antiqua" w:cs="Book Antiqua"/>
          <w:color w:val="000000"/>
        </w:rPr>
        <w:t xml:space="preserve"> EH, </w:t>
      </w:r>
      <w:proofErr w:type="spellStart"/>
      <w:r>
        <w:rPr>
          <w:rFonts w:ascii="Book Antiqua" w:eastAsia="Book Antiqua" w:hAnsi="Book Antiqua" w:cs="Book Antiqua"/>
          <w:color w:val="000000"/>
        </w:rPr>
        <w:t>Oler</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Veltri</w:t>
      </w:r>
      <w:proofErr w:type="spellEnd"/>
      <w:r>
        <w:rPr>
          <w:rFonts w:ascii="Book Antiqua" w:eastAsia="Book Antiqua" w:hAnsi="Book Antiqua" w:cs="Book Antiqua"/>
          <w:color w:val="000000"/>
        </w:rPr>
        <w:t xml:space="preserve"> DP, Leahy TR, Conlon N, </w:t>
      </w:r>
      <w:proofErr w:type="spellStart"/>
      <w:r>
        <w:rPr>
          <w:rFonts w:ascii="Book Antiqua" w:eastAsia="Book Antiqua" w:hAnsi="Book Antiqua" w:cs="Book Antiqua"/>
          <w:color w:val="000000"/>
        </w:rPr>
        <w:t>Poli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Borzutzky</w:t>
      </w:r>
      <w:proofErr w:type="spellEnd"/>
      <w:r>
        <w:rPr>
          <w:rFonts w:ascii="Book Antiqua" w:eastAsia="Book Antiqua" w:hAnsi="Book Antiqua" w:cs="Book Antiqua"/>
          <w:color w:val="000000"/>
        </w:rPr>
        <w:t xml:space="preserve"> A, Cohen JI, Davis J, Lambert MP, Romberg N, Sullivan KE, Paris K, Freeman AF, Lucas L, </w:t>
      </w:r>
      <w:proofErr w:type="spellStart"/>
      <w:r>
        <w:rPr>
          <w:rFonts w:ascii="Book Antiqua" w:eastAsia="Book Antiqua" w:hAnsi="Book Antiqua" w:cs="Book Antiqua"/>
          <w:color w:val="000000"/>
        </w:rPr>
        <w:t>Chandrakasan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Savic</w:t>
      </w:r>
      <w:proofErr w:type="spellEnd"/>
      <w:r>
        <w:rPr>
          <w:rFonts w:ascii="Book Antiqua" w:eastAsia="Book Antiqua" w:hAnsi="Book Antiqua" w:cs="Book Antiqua"/>
          <w:color w:val="000000"/>
        </w:rPr>
        <w:t xml:space="preserve"> S, Hambleton S, Patel SY, Jordan MB, </w:t>
      </w:r>
      <w:proofErr w:type="spellStart"/>
      <w:r>
        <w:rPr>
          <w:rFonts w:ascii="Book Antiqua" w:eastAsia="Book Antiqua" w:hAnsi="Book Antiqua" w:cs="Book Antiqua"/>
          <w:color w:val="000000"/>
        </w:rPr>
        <w:t>Theos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Lebensburger</w:t>
      </w:r>
      <w:proofErr w:type="spellEnd"/>
      <w:r>
        <w:rPr>
          <w:rFonts w:ascii="Book Antiqua" w:eastAsia="Book Antiqua" w:hAnsi="Book Antiqua" w:cs="Book Antiqua"/>
          <w:color w:val="000000"/>
        </w:rPr>
        <w:t xml:space="preserve"> J, Atkinson TP, Torgerson </w:t>
      </w:r>
      <w:r>
        <w:rPr>
          <w:rFonts w:ascii="Book Antiqua" w:eastAsia="Book Antiqua" w:hAnsi="Book Antiqua" w:cs="Book Antiqua"/>
          <w:color w:val="000000"/>
        </w:rPr>
        <w:lastRenderedPageBreak/>
        <w:t xml:space="preserve">TR, Chinn IK, Milner JD, </w:t>
      </w:r>
      <w:proofErr w:type="spellStart"/>
      <w:r>
        <w:rPr>
          <w:rFonts w:ascii="Book Antiqua" w:eastAsia="Book Antiqua" w:hAnsi="Book Antiqua" w:cs="Book Antiqua"/>
          <w:color w:val="000000"/>
        </w:rPr>
        <w:t>Grimbacher</w:t>
      </w:r>
      <w:proofErr w:type="spellEnd"/>
      <w:r>
        <w:rPr>
          <w:rFonts w:ascii="Book Antiqua" w:eastAsia="Book Antiqua" w:hAnsi="Book Antiqua" w:cs="Book Antiqua"/>
          <w:color w:val="000000"/>
        </w:rPr>
        <w:t xml:space="preserve"> B, Cook MC, Snow AL. </w:t>
      </w:r>
      <w:proofErr w:type="spellStart"/>
      <w:r>
        <w:rPr>
          <w:rFonts w:ascii="Book Antiqua" w:eastAsia="Book Antiqua" w:hAnsi="Book Antiqua" w:cs="Book Antiqua"/>
          <w:color w:val="000000"/>
        </w:rPr>
        <w:t>Hypomorphic</w:t>
      </w:r>
      <w:proofErr w:type="spellEnd"/>
      <w:r>
        <w:rPr>
          <w:rFonts w:ascii="Book Antiqua" w:eastAsia="Book Antiqua" w:hAnsi="Book Antiqua" w:cs="Book Antiqua"/>
          <w:color w:val="000000"/>
        </w:rPr>
        <w:t xml:space="preserve"> caspase activation and recruitment domain 11 (CARD11) mutations associated with diverse immunologic phenotypes with or without atopic disease.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143</w:t>
      </w:r>
      <w:r>
        <w:rPr>
          <w:rFonts w:ascii="Book Antiqua" w:eastAsia="Book Antiqua" w:hAnsi="Book Antiqua" w:cs="Book Antiqua"/>
          <w:color w:val="000000"/>
        </w:rPr>
        <w:t>: 1482-1495 [PMID: 30170123 DOI: 10.1016/j.jaci.2018.08.013]</w:t>
      </w:r>
    </w:p>
    <w:p w14:paraId="04A9E375" w14:textId="77777777" w:rsidR="0012737F" w:rsidRDefault="00663462">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Kernan</w:t>
      </w:r>
      <w:proofErr w:type="spellEnd"/>
      <w:r>
        <w:rPr>
          <w:rFonts w:ascii="Book Antiqua" w:eastAsia="Book Antiqua" w:hAnsi="Book Antiqua" w:cs="Book Antiqua"/>
          <w:b/>
          <w:bCs/>
          <w:color w:val="000000"/>
        </w:rPr>
        <w:t xml:space="preserve"> KF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Carcillo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Hyperferritinemia</w:t>
      </w:r>
      <w:proofErr w:type="spellEnd"/>
      <w:r>
        <w:rPr>
          <w:rFonts w:ascii="Book Antiqua" w:eastAsia="Book Antiqua" w:hAnsi="Book Antiqua" w:cs="Book Antiqua"/>
          <w:color w:val="000000"/>
        </w:rPr>
        <w:t xml:space="preserve"> and inflammation. </w:t>
      </w:r>
      <w:r>
        <w:rPr>
          <w:rFonts w:ascii="Book Antiqua" w:eastAsia="Book Antiqua" w:hAnsi="Book Antiqua" w:cs="Book Antiqua"/>
          <w:i/>
          <w:iCs/>
          <w:color w:val="000000"/>
        </w:rPr>
        <w:t>Int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401-409 [PMID: 28541437 DOI: 10.1093/</w:t>
      </w:r>
      <w:proofErr w:type="spellStart"/>
      <w:r>
        <w:rPr>
          <w:rFonts w:ascii="Book Antiqua" w:eastAsia="Book Antiqua" w:hAnsi="Book Antiqua" w:cs="Book Antiqua"/>
          <w:color w:val="000000"/>
        </w:rPr>
        <w:t>intimm</w:t>
      </w:r>
      <w:proofErr w:type="spellEnd"/>
      <w:r>
        <w:rPr>
          <w:rFonts w:ascii="Book Antiqua" w:eastAsia="Book Antiqua" w:hAnsi="Book Antiqua" w:cs="Book Antiqua"/>
          <w:color w:val="000000"/>
        </w:rPr>
        <w:t>/dxx031]</w:t>
      </w:r>
    </w:p>
    <w:p w14:paraId="0487B0F6" w14:textId="77777777" w:rsidR="0012737F" w:rsidRDefault="0066346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Gray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Arosio</w:t>
      </w:r>
      <w:proofErr w:type="spellEnd"/>
      <w:r>
        <w:rPr>
          <w:rFonts w:ascii="Book Antiqua" w:eastAsia="Book Antiqua" w:hAnsi="Book Antiqua" w:cs="Book Antiqua"/>
          <w:color w:val="000000"/>
        </w:rPr>
        <w:t xml:space="preserve"> P, Hersey P. Heavy chain ferritin activates regulatory T cells by induction of changes in dendritic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2002; </w:t>
      </w:r>
      <w:r>
        <w:rPr>
          <w:rFonts w:ascii="Book Antiqua" w:eastAsia="Book Antiqua" w:hAnsi="Book Antiqua" w:cs="Book Antiqua"/>
          <w:b/>
          <w:bCs/>
          <w:color w:val="000000"/>
        </w:rPr>
        <w:t>99</w:t>
      </w:r>
      <w:r>
        <w:rPr>
          <w:rFonts w:ascii="Book Antiqua" w:eastAsia="Book Antiqua" w:hAnsi="Book Antiqua" w:cs="Book Antiqua"/>
          <w:color w:val="000000"/>
        </w:rPr>
        <w:t>: 3326-3334 [PMID: 11964300 DOI: 10.1182/blood.v99.9.3326]</w:t>
      </w:r>
    </w:p>
    <w:p w14:paraId="649C7C58" w14:textId="77777777" w:rsidR="0012737F" w:rsidRDefault="00663462">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Carcillo</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Sward K, Halstead ES, Telford R, Jimenez-Bacardi A, </w:t>
      </w:r>
      <w:proofErr w:type="spellStart"/>
      <w:r>
        <w:rPr>
          <w:rFonts w:ascii="Book Antiqua" w:eastAsia="Book Antiqua" w:hAnsi="Book Antiqua" w:cs="Book Antiqua"/>
          <w:color w:val="000000"/>
        </w:rPr>
        <w:t>Shakoory</w:t>
      </w:r>
      <w:proofErr w:type="spellEnd"/>
      <w:r>
        <w:rPr>
          <w:rFonts w:ascii="Book Antiqua" w:eastAsia="Book Antiqua" w:hAnsi="Book Antiqua" w:cs="Book Antiqua"/>
          <w:color w:val="000000"/>
        </w:rPr>
        <w:t xml:space="preserve"> B, Simon D, Hall M; Eunice Kennedy Shriver National Institute of Child Health and Human Development Collaborative Pediatric Critical Care Research Network Investigators. A Systemic Inflammation Mortality Risk Assessment Contingency Table for Severe Sepsis.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143-150 [PMID: 27941423 DOI: 10.1097/PCC.0000000000001029]</w:t>
      </w:r>
    </w:p>
    <w:p w14:paraId="625B37E6" w14:textId="77777777" w:rsidR="0012737F" w:rsidRDefault="00663462">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Fautrel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Moël</w:t>
      </w:r>
      <w:proofErr w:type="spellEnd"/>
      <w:r>
        <w:rPr>
          <w:rFonts w:ascii="Book Antiqua" w:eastAsia="Book Antiqua" w:hAnsi="Book Antiqua" w:cs="Book Antiqua"/>
          <w:color w:val="000000"/>
        </w:rPr>
        <w:t xml:space="preserve"> G, Saint-</w:t>
      </w:r>
      <w:proofErr w:type="spellStart"/>
      <w:r>
        <w:rPr>
          <w:rFonts w:ascii="Book Antiqua" w:eastAsia="Book Antiqua" w:hAnsi="Book Antiqua" w:cs="Book Antiqua"/>
          <w:color w:val="000000"/>
        </w:rPr>
        <w:t>Marcoux</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Taupin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Vignes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Rozenberg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Koeger</w:t>
      </w:r>
      <w:proofErr w:type="spellEnd"/>
      <w:r>
        <w:rPr>
          <w:rFonts w:ascii="Book Antiqua" w:eastAsia="Book Antiqua" w:hAnsi="Book Antiqua" w:cs="Book Antiqua"/>
          <w:color w:val="000000"/>
        </w:rPr>
        <w:t xml:space="preserve"> AC, Meyer O, Guillevin L, </w:t>
      </w:r>
      <w:proofErr w:type="spellStart"/>
      <w:r>
        <w:rPr>
          <w:rFonts w:ascii="Book Antiqua" w:eastAsia="Book Antiqua" w:hAnsi="Book Antiqua" w:cs="Book Antiqua"/>
          <w:color w:val="000000"/>
        </w:rPr>
        <w:t>Piette</w:t>
      </w:r>
      <w:proofErr w:type="spellEnd"/>
      <w:r>
        <w:rPr>
          <w:rFonts w:ascii="Book Antiqua" w:eastAsia="Book Antiqua" w:hAnsi="Book Antiqua" w:cs="Book Antiqua"/>
          <w:color w:val="000000"/>
        </w:rPr>
        <w:t xml:space="preserve"> JC, Bourgeois P. Diagnostic value of ferritin and glycosylated ferritin in adult onset Still's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28</w:t>
      </w:r>
      <w:r>
        <w:rPr>
          <w:rFonts w:ascii="Book Antiqua" w:eastAsia="Book Antiqua" w:hAnsi="Book Antiqua" w:cs="Book Antiqua"/>
          <w:color w:val="000000"/>
        </w:rPr>
        <w:t>: 322-329 [PMID: 11246670]</w:t>
      </w:r>
    </w:p>
    <w:p w14:paraId="607C5D07" w14:textId="77777777" w:rsidR="0012737F" w:rsidRDefault="0066346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Garcia PC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Longhi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Branco</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Piva</w:t>
      </w:r>
      <w:proofErr w:type="spellEnd"/>
      <w:r>
        <w:rPr>
          <w:rFonts w:ascii="Book Antiqua" w:eastAsia="Book Antiqua" w:hAnsi="Book Antiqua" w:cs="Book Antiqua"/>
          <w:color w:val="000000"/>
        </w:rPr>
        <w:t xml:space="preserve"> JP, Lacks D, Tasker RC. Ferritin levels in children with severe sepsis and septic shock.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96</w:t>
      </w:r>
      <w:r>
        <w:rPr>
          <w:rFonts w:ascii="Book Antiqua" w:eastAsia="Book Antiqua" w:hAnsi="Book Antiqua" w:cs="Book Antiqua"/>
          <w:color w:val="000000"/>
        </w:rPr>
        <w:t>: 1829-1831 [PMID: 18001337 DOI: 10.1111/j.1651-2227.2007.00564.x]</w:t>
      </w:r>
    </w:p>
    <w:p w14:paraId="1E09B3A8" w14:textId="77777777" w:rsidR="0012737F" w:rsidRDefault="00663462">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Recalcati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Arosio</w:t>
      </w:r>
      <w:proofErr w:type="spellEnd"/>
      <w:r>
        <w:rPr>
          <w:rFonts w:ascii="Book Antiqua" w:eastAsia="Book Antiqua" w:hAnsi="Book Antiqua" w:cs="Book Antiqua"/>
          <w:color w:val="000000"/>
        </w:rPr>
        <w:t xml:space="preserve"> P, Cairo G. New functions for an iron storage protein: the role of ferritin in immunity and autoimmunity.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30</w:t>
      </w:r>
      <w:r>
        <w:rPr>
          <w:rFonts w:ascii="Book Antiqua" w:eastAsia="Book Antiqua" w:hAnsi="Book Antiqua" w:cs="Book Antiqua"/>
          <w:color w:val="000000"/>
        </w:rPr>
        <w:t>: 84-89 [PMID: 18191543 DOI: 10.1016/j.jaut.2007.11.003]</w:t>
      </w:r>
    </w:p>
    <w:p w14:paraId="753DECE6" w14:textId="625745D5" w:rsidR="0012737F" w:rsidRDefault="00663462">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Fargion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Fracanzani</w:t>
      </w:r>
      <w:proofErr w:type="spellEnd"/>
      <w:r>
        <w:rPr>
          <w:rFonts w:ascii="Book Antiqua" w:eastAsia="Book Antiqua" w:hAnsi="Book Antiqua" w:cs="Book Antiqua"/>
          <w:color w:val="000000"/>
        </w:rPr>
        <w:t xml:space="preserve"> AL, Brando B, </w:t>
      </w:r>
      <w:proofErr w:type="spellStart"/>
      <w:r>
        <w:rPr>
          <w:rFonts w:ascii="Book Antiqua" w:eastAsia="Book Antiqua" w:hAnsi="Book Antiqua" w:cs="Book Antiqua"/>
          <w:color w:val="000000"/>
        </w:rPr>
        <w:t>Arosio</w:t>
      </w:r>
      <w:proofErr w:type="spellEnd"/>
      <w:r>
        <w:rPr>
          <w:rFonts w:ascii="Book Antiqua" w:eastAsia="Book Antiqua" w:hAnsi="Book Antiqua" w:cs="Book Antiqua"/>
          <w:color w:val="000000"/>
        </w:rPr>
        <w:t xml:space="preserve"> P, Levi S, </w:t>
      </w:r>
      <w:proofErr w:type="spellStart"/>
      <w:r>
        <w:rPr>
          <w:rFonts w:ascii="Book Antiqua" w:eastAsia="Book Antiqua" w:hAnsi="Book Antiqua" w:cs="Book Antiqua"/>
          <w:color w:val="000000"/>
        </w:rPr>
        <w:t>Fiorelli</w:t>
      </w:r>
      <w:proofErr w:type="spellEnd"/>
      <w:r>
        <w:rPr>
          <w:rFonts w:ascii="Book Antiqua" w:eastAsia="Book Antiqua" w:hAnsi="Book Antiqua" w:cs="Book Antiqua"/>
          <w:color w:val="000000"/>
        </w:rPr>
        <w:t xml:space="preserve"> G. Specific binding sites for H-ferritin on human lymphocytes: modulation during cellular proliferation and potential implication in cell growth control.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1991; </w:t>
      </w:r>
      <w:r>
        <w:rPr>
          <w:rFonts w:ascii="Book Antiqua" w:eastAsia="Book Antiqua" w:hAnsi="Book Antiqua" w:cs="Book Antiqua"/>
          <w:b/>
          <w:bCs/>
          <w:color w:val="000000"/>
        </w:rPr>
        <w:t>78</w:t>
      </w:r>
      <w:r>
        <w:rPr>
          <w:rFonts w:ascii="Book Antiqua" w:eastAsia="Book Antiqua" w:hAnsi="Book Antiqua" w:cs="Book Antiqua"/>
          <w:color w:val="000000"/>
        </w:rPr>
        <w:t>: 1056-1061 [PMID: 1831058</w:t>
      </w:r>
      <w:r w:rsidR="005B4970">
        <w:rPr>
          <w:rFonts w:ascii="Book Antiqua" w:hAnsi="Book Antiqua" w:cs="Book Antiqua" w:hint="eastAsia"/>
          <w:color w:val="000000"/>
          <w:lang w:eastAsia="zh-CN"/>
        </w:rPr>
        <w:t xml:space="preserve"> DOI: </w:t>
      </w:r>
      <w:r w:rsidR="005B4970" w:rsidRPr="005B4970">
        <w:rPr>
          <w:rFonts w:ascii="Book Antiqua" w:hAnsi="Book Antiqua" w:cs="Book Antiqua"/>
          <w:color w:val="000000"/>
          <w:lang w:eastAsia="zh-CN"/>
        </w:rPr>
        <w:t>10.1182/blood.V78.4.1056.bloodjournal7841056</w:t>
      </w:r>
      <w:r>
        <w:rPr>
          <w:rFonts w:ascii="Book Antiqua" w:eastAsia="Book Antiqua" w:hAnsi="Book Antiqua" w:cs="Book Antiqua"/>
          <w:color w:val="000000"/>
        </w:rPr>
        <w:t>]</w:t>
      </w:r>
    </w:p>
    <w:p w14:paraId="63B62E96" w14:textId="0CFAE585" w:rsidR="0012737F" w:rsidRDefault="00663462">
      <w:pPr>
        <w:spacing w:line="360" w:lineRule="auto"/>
        <w:jc w:val="both"/>
      </w:pPr>
      <w:r>
        <w:rPr>
          <w:rFonts w:ascii="Book Antiqua" w:eastAsia="Book Antiqua" w:hAnsi="Book Antiqua" w:cs="Book Antiqua"/>
          <w:color w:val="000000"/>
        </w:rPr>
        <w:lastRenderedPageBreak/>
        <w:t xml:space="preserve">34 </w:t>
      </w:r>
      <w:proofErr w:type="spellStart"/>
      <w:r>
        <w:rPr>
          <w:rFonts w:ascii="Book Antiqua" w:eastAsia="Book Antiqua" w:hAnsi="Book Antiqua" w:cs="Book Antiqua"/>
          <w:b/>
          <w:bCs/>
          <w:color w:val="000000"/>
        </w:rPr>
        <w:t>Broxmeyer</w:t>
      </w:r>
      <w:proofErr w:type="spellEnd"/>
      <w:r>
        <w:rPr>
          <w:rFonts w:ascii="Book Antiqua" w:eastAsia="Book Antiqua" w:hAnsi="Book Antiqua" w:cs="Book Antiqua"/>
          <w:b/>
          <w:bCs/>
          <w:color w:val="000000"/>
        </w:rPr>
        <w:t xml:space="preserve"> HE</w:t>
      </w:r>
      <w:r>
        <w:rPr>
          <w:rFonts w:ascii="Book Antiqua" w:eastAsia="Book Antiqua" w:hAnsi="Book Antiqua" w:cs="Book Antiqua"/>
          <w:color w:val="000000"/>
        </w:rPr>
        <w:t xml:space="preserve">, Williams DE, </w:t>
      </w:r>
      <w:proofErr w:type="spellStart"/>
      <w:r>
        <w:rPr>
          <w:rFonts w:ascii="Book Antiqua" w:eastAsia="Book Antiqua" w:hAnsi="Book Antiqua" w:cs="Book Antiqua"/>
          <w:color w:val="000000"/>
        </w:rPr>
        <w:t>Geissler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Hangoc</w:t>
      </w:r>
      <w:proofErr w:type="spellEnd"/>
      <w:r>
        <w:rPr>
          <w:rFonts w:ascii="Book Antiqua" w:eastAsia="Book Antiqua" w:hAnsi="Book Antiqua" w:cs="Book Antiqua"/>
          <w:color w:val="000000"/>
        </w:rPr>
        <w:t xml:space="preserve"> G, Cooper S, Bicknell DC, Levi S, </w:t>
      </w:r>
      <w:proofErr w:type="spellStart"/>
      <w:r>
        <w:rPr>
          <w:rFonts w:ascii="Book Antiqua" w:eastAsia="Book Antiqua" w:hAnsi="Book Antiqua" w:cs="Book Antiqua"/>
          <w:color w:val="000000"/>
        </w:rPr>
        <w:t>Arosio</w:t>
      </w:r>
      <w:proofErr w:type="spellEnd"/>
      <w:r>
        <w:rPr>
          <w:rFonts w:ascii="Book Antiqua" w:eastAsia="Book Antiqua" w:hAnsi="Book Antiqua" w:cs="Book Antiqua"/>
          <w:color w:val="000000"/>
        </w:rPr>
        <w:t xml:space="preserve"> P. Suppressive effects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of purified recombinant human H-subunit (acidic) ferritin on murine myelopoiesis.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1989; </w:t>
      </w:r>
      <w:r>
        <w:rPr>
          <w:rFonts w:ascii="Book Antiqua" w:eastAsia="Book Antiqua" w:hAnsi="Book Antiqua" w:cs="Book Antiqua"/>
          <w:b/>
          <w:bCs/>
          <w:color w:val="000000"/>
        </w:rPr>
        <w:t>73</w:t>
      </w:r>
      <w:r>
        <w:rPr>
          <w:rFonts w:ascii="Book Antiqua" w:eastAsia="Book Antiqua" w:hAnsi="Book Antiqua" w:cs="Book Antiqua"/>
          <w:color w:val="000000"/>
        </w:rPr>
        <w:t>: 74-79 [PMID: 2910370</w:t>
      </w:r>
      <w:r w:rsidR="005B4970">
        <w:rPr>
          <w:rFonts w:ascii="Book Antiqua" w:hAnsi="Book Antiqua" w:cs="Book Antiqua" w:hint="eastAsia"/>
          <w:color w:val="000000"/>
          <w:lang w:eastAsia="zh-CN"/>
        </w:rPr>
        <w:t xml:space="preserve"> DOI: </w:t>
      </w:r>
      <w:r w:rsidR="005B4970" w:rsidRPr="005B4970">
        <w:rPr>
          <w:rFonts w:ascii="Book Antiqua" w:hAnsi="Book Antiqua" w:cs="Book Antiqua"/>
          <w:color w:val="000000"/>
          <w:lang w:eastAsia="zh-CN"/>
        </w:rPr>
        <w:t>10.1182/blood.V73.1.74.bloodjournal73174</w:t>
      </w:r>
      <w:r>
        <w:rPr>
          <w:rFonts w:ascii="Book Antiqua" w:eastAsia="Book Antiqua" w:hAnsi="Book Antiqua" w:cs="Book Antiqua"/>
          <w:color w:val="000000"/>
        </w:rPr>
        <w:t>]</w:t>
      </w:r>
    </w:p>
    <w:p w14:paraId="5F261438" w14:textId="77777777" w:rsidR="0012737F" w:rsidRDefault="0066346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Yamashita M</w:t>
      </w:r>
      <w:r>
        <w:rPr>
          <w:rFonts w:ascii="Book Antiqua" w:eastAsia="Book Antiqua" w:hAnsi="Book Antiqua" w:cs="Book Antiqua"/>
          <w:color w:val="000000"/>
        </w:rPr>
        <w:t xml:space="preserve">, Harada G, Matsumoto SE, </w:t>
      </w:r>
      <w:proofErr w:type="spellStart"/>
      <w:r>
        <w:rPr>
          <w:rFonts w:ascii="Book Antiqua" w:eastAsia="Book Antiqua" w:hAnsi="Book Antiqua" w:cs="Book Antiqua"/>
          <w:color w:val="000000"/>
        </w:rPr>
        <w:t>Aiba</w:t>
      </w:r>
      <w:proofErr w:type="spellEnd"/>
      <w:r>
        <w:rPr>
          <w:rFonts w:ascii="Book Antiqua" w:eastAsia="Book Antiqua" w:hAnsi="Book Antiqua" w:cs="Book Antiqua"/>
          <w:color w:val="000000"/>
        </w:rPr>
        <w:t xml:space="preserve"> Y, Ichikawa A, </w:t>
      </w:r>
      <w:proofErr w:type="spellStart"/>
      <w:r>
        <w:rPr>
          <w:rFonts w:ascii="Book Antiqua" w:eastAsia="Book Antiqua" w:hAnsi="Book Antiqua" w:cs="Book Antiqua"/>
          <w:color w:val="000000"/>
        </w:rPr>
        <w:t>Fujiki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Udono</w:t>
      </w:r>
      <w:proofErr w:type="spellEnd"/>
      <w:r>
        <w:rPr>
          <w:rFonts w:ascii="Book Antiqua" w:eastAsia="Book Antiqua" w:hAnsi="Book Antiqua" w:cs="Book Antiqua"/>
          <w:color w:val="000000"/>
        </w:rPr>
        <w:t xml:space="preserve"> M, Kabayama S, Yoshida T, Zhang P,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Shirahata</w:t>
      </w:r>
      <w:proofErr w:type="spellEnd"/>
      <w:r>
        <w:rPr>
          <w:rFonts w:ascii="Book Antiqua" w:eastAsia="Book Antiqua" w:hAnsi="Book Antiqua" w:cs="Book Antiqua"/>
          <w:color w:val="000000"/>
        </w:rPr>
        <w:t xml:space="preserve"> S, Katakura Y. Suppression of immunoglobulin production in human peripheral blood mononuclear cells by monocytes </w:t>
      </w:r>
      <w:r>
        <w:rPr>
          <w:rFonts w:ascii="Book Antiqua" w:eastAsia="Book Antiqua" w:hAnsi="Book Antiqua" w:cs="Book Antiqua"/>
          <w:i/>
          <w:iCs/>
          <w:color w:val="000000"/>
        </w:rPr>
        <w:t>via</w:t>
      </w:r>
      <w:r>
        <w:rPr>
          <w:rFonts w:ascii="Book Antiqua" w:eastAsia="Book Antiqua" w:hAnsi="Book Antiqua" w:cs="Book Antiqua"/>
          <w:color w:val="000000"/>
        </w:rPr>
        <w:t xml:space="preserve"> secretion of heavy-chain ferritin. </w:t>
      </w:r>
      <w:r>
        <w:rPr>
          <w:rFonts w:ascii="Book Antiqua" w:eastAsia="Book Antiqua" w:hAnsi="Book Antiqua" w:cs="Book Antiqua"/>
          <w:i/>
          <w:iCs/>
          <w:color w:val="000000"/>
        </w:rPr>
        <w:t>Immunobiology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219</w:t>
      </w:r>
      <w:r>
        <w:rPr>
          <w:rFonts w:ascii="Book Antiqua" w:eastAsia="Book Antiqua" w:hAnsi="Book Antiqua" w:cs="Book Antiqua"/>
          <w:color w:val="000000"/>
        </w:rPr>
        <w:t>: 149-157 [PMID: 24157279 DOI: 10.1016/j.imbio.2013.08.011]</w:t>
      </w:r>
    </w:p>
    <w:p w14:paraId="52E29F7B" w14:textId="77777777" w:rsidR="0012737F" w:rsidRDefault="0066346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Li R</w:t>
      </w:r>
      <w:r>
        <w:rPr>
          <w:rFonts w:ascii="Book Antiqua" w:eastAsia="Book Antiqua" w:hAnsi="Book Antiqua" w:cs="Book Antiqua"/>
          <w:color w:val="000000"/>
        </w:rPr>
        <w:t xml:space="preserve">, Luo C, Mines M, Zhang J, Fan GH. Chemokine CXCL12 induces binding of ferritin heavy chain to the chemokine receptor CXCR4, alters CXCR4 signaling, and induces phosphorylation and nuclear translocation of ferritin heavy chain.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281</w:t>
      </w:r>
      <w:r>
        <w:rPr>
          <w:rFonts w:ascii="Book Antiqua" w:eastAsia="Book Antiqua" w:hAnsi="Book Antiqua" w:cs="Book Antiqua"/>
          <w:color w:val="000000"/>
        </w:rPr>
        <w:t>: 37616-37627 [PMID: 17056593 DOI: 10.1074/jbc.M607266200]</w:t>
      </w:r>
    </w:p>
    <w:p w14:paraId="5B0D042E" w14:textId="77777777" w:rsidR="0012737F" w:rsidRDefault="0066346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Hutchins AP</w:t>
      </w:r>
      <w:r>
        <w:rPr>
          <w:rFonts w:ascii="Book Antiqua" w:eastAsia="Book Antiqua" w:hAnsi="Book Antiqua" w:cs="Book Antiqua"/>
          <w:color w:val="000000"/>
        </w:rPr>
        <w:t xml:space="preserve">, Diez D, Miranda-Saavedra D. The IL-10/STAT3-mediated anti-inflammatory response: recent developments and future challenges. </w:t>
      </w:r>
      <w:r>
        <w:rPr>
          <w:rFonts w:ascii="Book Antiqua" w:eastAsia="Book Antiqua" w:hAnsi="Book Antiqua" w:cs="Book Antiqua"/>
          <w:i/>
          <w:iCs/>
          <w:color w:val="000000"/>
        </w:rPr>
        <w:t xml:space="preserve">Brief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i/>
          <w:iCs/>
          <w:color w:val="000000"/>
        </w:rPr>
        <w:t xml:space="preserve"> Genomics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489-498 [PMID: 23943603 DOI: 10.1093/</w:t>
      </w:r>
      <w:proofErr w:type="spellStart"/>
      <w:r>
        <w:rPr>
          <w:rFonts w:ascii="Book Antiqua" w:eastAsia="Book Antiqua" w:hAnsi="Book Antiqua" w:cs="Book Antiqua"/>
          <w:color w:val="000000"/>
        </w:rPr>
        <w:t>bfgp</w:t>
      </w:r>
      <w:proofErr w:type="spellEnd"/>
      <w:r>
        <w:rPr>
          <w:rFonts w:ascii="Book Antiqua" w:eastAsia="Book Antiqua" w:hAnsi="Book Antiqua" w:cs="Book Antiqua"/>
          <w:color w:val="000000"/>
        </w:rPr>
        <w:t>/elt028]</w:t>
      </w:r>
    </w:p>
    <w:p w14:paraId="1D663207" w14:textId="77777777" w:rsidR="0012737F" w:rsidRDefault="00663462">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Commins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Steinke JW, </w:t>
      </w:r>
      <w:proofErr w:type="spellStart"/>
      <w:r>
        <w:rPr>
          <w:rFonts w:ascii="Book Antiqua" w:eastAsia="Book Antiqua" w:hAnsi="Book Antiqua" w:cs="Book Antiqua"/>
          <w:color w:val="000000"/>
        </w:rPr>
        <w:t>Borish</w:t>
      </w:r>
      <w:proofErr w:type="spellEnd"/>
      <w:r>
        <w:rPr>
          <w:rFonts w:ascii="Book Antiqua" w:eastAsia="Book Antiqua" w:hAnsi="Book Antiqua" w:cs="Book Antiqua"/>
          <w:color w:val="000000"/>
        </w:rPr>
        <w:t xml:space="preserve"> L. The extended IL-10 superfamily: IL-10, IL-19, IL-20, IL-22, IL-24, IL-26, IL-28, and IL-29.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121</w:t>
      </w:r>
      <w:r>
        <w:rPr>
          <w:rFonts w:ascii="Book Antiqua" w:eastAsia="Book Antiqua" w:hAnsi="Book Antiqua" w:cs="Book Antiqua"/>
          <w:color w:val="000000"/>
        </w:rPr>
        <w:t>: 1108-1111 [PMID: 18405958 DOI: 10.1016/j.jaci.2008.02.026]</w:t>
      </w:r>
    </w:p>
    <w:p w14:paraId="7499FDCC" w14:textId="77777777" w:rsidR="0012737F" w:rsidRDefault="00663462">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Santaolalla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Mañé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Pedrosa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Lorén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Fernández-Bañares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Mallolas</w:t>
      </w:r>
      <w:proofErr w:type="spellEnd"/>
      <w:r>
        <w:rPr>
          <w:rFonts w:ascii="Book Antiqua" w:eastAsia="Book Antiqua" w:hAnsi="Book Antiqua" w:cs="Book Antiqua"/>
          <w:color w:val="000000"/>
        </w:rPr>
        <w:t xml:space="preserve"> J, Carrasco A, Salas A, </w:t>
      </w:r>
      <w:proofErr w:type="spellStart"/>
      <w:r>
        <w:rPr>
          <w:rFonts w:ascii="Book Antiqua" w:eastAsia="Book Antiqua" w:hAnsi="Book Antiqua" w:cs="Book Antiqua"/>
          <w:color w:val="000000"/>
        </w:rPr>
        <w:t>Rosinach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Forné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Espinós</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Loras</w:t>
      </w:r>
      <w:proofErr w:type="spellEnd"/>
      <w:r>
        <w:rPr>
          <w:rFonts w:ascii="Book Antiqua" w:eastAsia="Book Antiqua" w:hAnsi="Book Antiqua" w:cs="Book Antiqua"/>
          <w:color w:val="000000"/>
        </w:rPr>
        <w:t xml:space="preserve"> C, Donovan M, </w:t>
      </w:r>
      <w:proofErr w:type="spellStart"/>
      <w:r>
        <w:rPr>
          <w:rFonts w:ascii="Book Antiqua" w:eastAsia="Book Antiqua" w:hAnsi="Book Antiqua" w:cs="Book Antiqua"/>
          <w:color w:val="000000"/>
        </w:rPr>
        <w:t>Puig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Mañosa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Gassull</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Viver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Esteve</w:t>
      </w:r>
      <w:proofErr w:type="spellEnd"/>
      <w:r>
        <w:rPr>
          <w:rFonts w:ascii="Book Antiqua" w:eastAsia="Book Antiqua" w:hAnsi="Book Antiqua" w:cs="Book Antiqua"/>
          <w:color w:val="000000"/>
        </w:rPr>
        <w:t xml:space="preserve"> M. Apoptosis resistance of mucosal lymphocytes and IL-10 deficiency in patients with steroid-refractory Crohn's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1490-1500 [PMID: 21674705 DOI: 10.1002/ibd.21507]</w:t>
      </w:r>
    </w:p>
    <w:p w14:paraId="52AA7158" w14:textId="77777777" w:rsidR="0012737F" w:rsidRDefault="00663462">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Glocker</w:t>
      </w:r>
      <w:proofErr w:type="spellEnd"/>
      <w:r>
        <w:rPr>
          <w:rFonts w:ascii="Book Antiqua" w:eastAsia="Book Antiqua" w:hAnsi="Book Antiqua" w:cs="Book Antiqua"/>
          <w:b/>
          <w:bCs/>
          <w:color w:val="000000"/>
        </w:rPr>
        <w:t xml:space="preserve"> EO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Kotlarz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Boztug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Gertz</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Schäffer</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Noyan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Perro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Diestelhorst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Allroth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Murugan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Hätscher</w:t>
      </w:r>
      <w:proofErr w:type="spellEnd"/>
      <w:r>
        <w:rPr>
          <w:rFonts w:ascii="Book Antiqua" w:eastAsia="Book Antiqua" w:hAnsi="Book Antiqua" w:cs="Book Antiqua"/>
          <w:color w:val="000000"/>
        </w:rPr>
        <w:t xml:space="preserve"> N, Pfeifer D, </w:t>
      </w:r>
      <w:proofErr w:type="spellStart"/>
      <w:r>
        <w:rPr>
          <w:rFonts w:ascii="Book Antiqua" w:eastAsia="Book Antiqua" w:hAnsi="Book Antiqua" w:cs="Book Antiqua"/>
          <w:color w:val="000000"/>
        </w:rPr>
        <w:t>Sykora</w:t>
      </w:r>
      <w:proofErr w:type="spellEnd"/>
      <w:r>
        <w:rPr>
          <w:rFonts w:ascii="Book Antiqua" w:eastAsia="Book Antiqua" w:hAnsi="Book Antiqua" w:cs="Book Antiqua"/>
          <w:color w:val="000000"/>
        </w:rPr>
        <w:t xml:space="preserve"> KW, Sauer M, </w:t>
      </w:r>
      <w:proofErr w:type="spellStart"/>
      <w:r>
        <w:rPr>
          <w:rFonts w:ascii="Book Antiqua" w:eastAsia="Book Antiqua" w:hAnsi="Book Antiqua" w:cs="Book Antiqua"/>
          <w:color w:val="000000"/>
        </w:rPr>
        <w:t>Kreipe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Lacher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Nustede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Woellner</w:t>
      </w:r>
      <w:proofErr w:type="spellEnd"/>
      <w:r>
        <w:rPr>
          <w:rFonts w:ascii="Book Antiqua" w:eastAsia="Book Antiqua" w:hAnsi="Book Antiqua" w:cs="Book Antiqua"/>
          <w:color w:val="000000"/>
        </w:rPr>
        <w:t xml:space="preserve"> C, Baumann U, </w:t>
      </w:r>
      <w:proofErr w:type="spellStart"/>
      <w:r>
        <w:rPr>
          <w:rFonts w:ascii="Book Antiqua" w:eastAsia="Book Antiqua" w:hAnsi="Book Antiqua" w:cs="Book Antiqua"/>
          <w:color w:val="000000"/>
        </w:rPr>
        <w:t>Salzer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Koletzko</w:t>
      </w:r>
      <w:proofErr w:type="spellEnd"/>
      <w:r>
        <w:rPr>
          <w:rFonts w:ascii="Book Antiqua" w:eastAsia="Book Antiqua" w:hAnsi="Book Antiqua" w:cs="Book Antiqua"/>
          <w:color w:val="000000"/>
        </w:rPr>
        <w:t xml:space="preserve"> S, Shah N, Segal AW, </w:t>
      </w:r>
      <w:proofErr w:type="spellStart"/>
      <w:r>
        <w:rPr>
          <w:rFonts w:ascii="Book Antiqua" w:eastAsia="Book Antiqua" w:hAnsi="Book Antiqua" w:cs="Book Antiqua"/>
          <w:color w:val="000000"/>
        </w:rPr>
        <w:t>Sauerbrey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Buderus</w:t>
      </w:r>
      <w:proofErr w:type="spellEnd"/>
      <w:r>
        <w:rPr>
          <w:rFonts w:ascii="Book Antiqua" w:eastAsia="Book Antiqua" w:hAnsi="Book Antiqua" w:cs="Book Antiqua"/>
          <w:color w:val="000000"/>
        </w:rPr>
        <w:t xml:space="preserve"> S, Snapper SB, </w:t>
      </w:r>
      <w:proofErr w:type="spellStart"/>
      <w:r>
        <w:rPr>
          <w:rFonts w:ascii="Book Antiqua" w:eastAsia="Book Antiqua" w:hAnsi="Book Antiqua" w:cs="Book Antiqua"/>
          <w:color w:val="000000"/>
        </w:rPr>
        <w:t>Grimbacher</w:t>
      </w:r>
      <w:proofErr w:type="spellEnd"/>
      <w:r>
        <w:rPr>
          <w:rFonts w:ascii="Book Antiqua" w:eastAsia="Book Antiqua" w:hAnsi="Book Antiqua" w:cs="Book Antiqua"/>
          <w:color w:val="000000"/>
        </w:rPr>
        <w:t xml:space="preserve"> B, Klein C. Inflammatory </w:t>
      </w:r>
      <w:r>
        <w:rPr>
          <w:rFonts w:ascii="Book Antiqua" w:eastAsia="Book Antiqua" w:hAnsi="Book Antiqua" w:cs="Book Antiqua"/>
          <w:color w:val="000000"/>
        </w:rPr>
        <w:lastRenderedPageBreak/>
        <w:t xml:space="preserve">bowel disease and mutations affecting the interleukin-10 receptor.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361</w:t>
      </w:r>
      <w:r>
        <w:rPr>
          <w:rFonts w:ascii="Book Antiqua" w:eastAsia="Book Antiqua" w:hAnsi="Book Antiqua" w:cs="Book Antiqua"/>
          <w:color w:val="000000"/>
        </w:rPr>
        <w:t>: 2033-2045 [PMID: 19890111 DOI: 10.1056/NEJMoa0907206]</w:t>
      </w:r>
    </w:p>
    <w:p w14:paraId="6FCB2F15" w14:textId="77777777" w:rsidR="0012737F" w:rsidRDefault="0012737F">
      <w:pPr>
        <w:spacing w:line="360" w:lineRule="auto"/>
        <w:jc w:val="both"/>
        <w:sectPr w:rsidR="0012737F">
          <w:pgSz w:w="12240" w:h="15840"/>
          <w:pgMar w:top="1440" w:right="1440" w:bottom="1440" w:left="1440" w:header="720" w:footer="720" w:gutter="0"/>
          <w:cols w:space="720"/>
          <w:docGrid w:linePitch="360"/>
        </w:sectPr>
      </w:pPr>
    </w:p>
    <w:p w14:paraId="60DA2AF8" w14:textId="77777777" w:rsidR="0012737F" w:rsidRDefault="00663462">
      <w:pPr>
        <w:spacing w:line="360" w:lineRule="auto"/>
        <w:jc w:val="both"/>
      </w:pPr>
      <w:r>
        <w:rPr>
          <w:rFonts w:ascii="Book Antiqua" w:eastAsia="Book Antiqua" w:hAnsi="Book Antiqua" w:cs="Book Antiqua"/>
          <w:b/>
          <w:color w:val="000000"/>
        </w:rPr>
        <w:lastRenderedPageBreak/>
        <w:t>Footnotes</w:t>
      </w:r>
    </w:p>
    <w:p w14:paraId="2CAF4D21" w14:textId="1D96E789" w:rsidR="0012737F" w:rsidRDefault="00663462">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 xml:space="preserve">This study was approved by the ethics committee of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Hospital, Shanghai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School of Medicine.</w:t>
      </w:r>
    </w:p>
    <w:p w14:paraId="5C2EA714" w14:textId="77777777" w:rsidR="0012737F" w:rsidRDefault="0012737F">
      <w:pPr>
        <w:spacing w:line="360" w:lineRule="auto"/>
        <w:jc w:val="both"/>
      </w:pPr>
    </w:p>
    <w:p w14:paraId="04CC9E09" w14:textId="77777777" w:rsidR="0012737F" w:rsidRDefault="00663462">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All guardians of the enrolled pediatric patients who experienced the gene test signed an informed consent form.</w:t>
      </w:r>
    </w:p>
    <w:p w14:paraId="38D764BC" w14:textId="77777777" w:rsidR="0012737F" w:rsidRDefault="0012737F">
      <w:pPr>
        <w:spacing w:line="360" w:lineRule="auto"/>
        <w:jc w:val="both"/>
      </w:pPr>
    </w:p>
    <w:p w14:paraId="3A40533E" w14:textId="77777777" w:rsidR="0012737F" w:rsidRDefault="00663462">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have no conflicts of interest to declare.</w:t>
      </w:r>
    </w:p>
    <w:p w14:paraId="50C64E49" w14:textId="77777777" w:rsidR="0012737F" w:rsidRDefault="0012737F">
      <w:pPr>
        <w:spacing w:line="360" w:lineRule="auto"/>
        <w:jc w:val="both"/>
      </w:pPr>
    </w:p>
    <w:p w14:paraId="62B61B69" w14:textId="77777777" w:rsidR="0012737F" w:rsidRDefault="0066346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7F4683A0" w14:textId="77777777" w:rsidR="0012737F" w:rsidRDefault="0012737F">
      <w:pPr>
        <w:spacing w:line="360" w:lineRule="auto"/>
        <w:jc w:val="both"/>
      </w:pPr>
    </w:p>
    <w:p w14:paraId="4F349453" w14:textId="77777777" w:rsidR="0012737F" w:rsidRDefault="0066346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2B1017" w14:textId="77777777" w:rsidR="0012737F" w:rsidRDefault="0012737F">
      <w:pPr>
        <w:spacing w:line="360" w:lineRule="auto"/>
        <w:jc w:val="both"/>
      </w:pPr>
    </w:p>
    <w:p w14:paraId="22151754" w14:textId="77777777" w:rsidR="0012737F" w:rsidRDefault="0066346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E2CA43F" w14:textId="77777777" w:rsidR="0012737F" w:rsidRDefault="0012737F">
      <w:pPr>
        <w:spacing w:line="360" w:lineRule="auto"/>
        <w:jc w:val="both"/>
      </w:pPr>
    </w:p>
    <w:p w14:paraId="31A5B73D" w14:textId="77777777" w:rsidR="0012737F" w:rsidRDefault="0066346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16, 2020</w:t>
      </w:r>
    </w:p>
    <w:p w14:paraId="3D737B66" w14:textId="77777777" w:rsidR="0012737F" w:rsidRDefault="0066346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23, 2020</w:t>
      </w:r>
    </w:p>
    <w:p w14:paraId="1251C289" w14:textId="48AF5FFF" w:rsidR="0012737F" w:rsidRDefault="00663462">
      <w:pPr>
        <w:spacing w:line="360" w:lineRule="auto"/>
        <w:jc w:val="both"/>
      </w:pPr>
      <w:r>
        <w:rPr>
          <w:rFonts w:ascii="Book Antiqua" w:eastAsia="Book Antiqua" w:hAnsi="Book Antiqua" w:cs="Book Antiqua"/>
          <w:b/>
          <w:color w:val="000000"/>
        </w:rPr>
        <w:t xml:space="preserve">Article in press: </w:t>
      </w:r>
      <w:r w:rsidR="00D175A1" w:rsidRPr="00D175A1">
        <w:rPr>
          <w:rFonts w:ascii="Book Antiqua" w:eastAsia="Book Antiqua" w:hAnsi="Book Antiqua" w:cs="Book Antiqua"/>
          <w:color w:val="000000"/>
        </w:rPr>
        <w:t>December 11, 2020</w:t>
      </w:r>
    </w:p>
    <w:p w14:paraId="65A0CA60" w14:textId="77777777" w:rsidR="0012737F" w:rsidRDefault="0012737F">
      <w:pPr>
        <w:spacing w:line="360" w:lineRule="auto"/>
        <w:jc w:val="both"/>
      </w:pPr>
    </w:p>
    <w:p w14:paraId="64809F16" w14:textId="77777777" w:rsidR="0012737F" w:rsidRDefault="00663462">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35640382" w14:textId="77777777" w:rsidR="0012737F" w:rsidRDefault="0066346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8E75702" w14:textId="77777777" w:rsidR="0012737F" w:rsidRDefault="00663462">
      <w:pPr>
        <w:spacing w:line="360" w:lineRule="auto"/>
        <w:jc w:val="both"/>
      </w:pPr>
      <w:r>
        <w:rPr>
          <w:rFonts w:ascii="Book Antiqua" w:eastAsia="Book Antiqua" w:hAnsi="Book Antiqua" w:cs="Book Antiqua"/>
          <w:b/>
          <w:color w:val="000000"/>
        </w:rPr>
        <w:t>Peer-review report’s scientific quality classification</w:t>
      </w:r>
    </w:p>
    <w:p w14:paraId="3E01DE30" w14:textId="77777777" w:rsidR="0012737F" w:rsidRDefault="00663462">
      <w:pPr>
        <w:spacing w:line="360" w:lineRule="auto"/>
        <w:jc w:val="both"/>
      </w:pPr>
      <w:r>
        <w:rPr>
          <w:rFonts w:ascii="Book Antiqua" w:eastAsia="Book Antiqua" w:hAnsi="Book Antiqua" w:cs="Book Antiqua"/>
          <w:color w:val="000000"/>
        </w:rPr>
        <w:t>Grade A (Excellent): 0</w:t>
      </w:r>
    </w:p>
    <w:p w14:paraId="68B5B7F1" w14:textId="77777777" w:rsidR="0012737F" w:rsidRDefault="00663462">
      <w:pPr>
        <w:spacing w:line="360" w:lineRule="auto"/>
        <w:jc w:val="both"/>
      </w:pPr>
      <w:r>
        <w:rPr>
          <w:rFonts w:ascii="Book Antiqua" w:eastAsia="Book Antiqua" w:hAnsi="Book Antiqua" w:cs="Book Antiqua"/>
          <w:color w:val="000000"/>
        </w:rPr>
        <w:lastRenderedPageBreak/>
        <w:t>Grade B (Very good): B</w:t>
      </w:r>
    </w:p>
    <w:p w14:paraId="1E5E96F5" w14:textId="77777777" w:rsidR="0012737F" w:rsidRDefault="00663462">
      <w:pPr>
        <w:spacing w:line="360" w:lineRule="auto"/>
        <w:jc w:val="both"/>
      </w:pPr>
      <w:r>
        <w:rPr>
          <w:rFonts w:ascii="Book Antiqua" w:eastAsia="Book Antiqua" w:hAnsi="Book Antiqua" w:cs="Book Antiqua"/>
          <w:color w:val="000000"/>
        </w:rPr>
        <w:t>Grade C (Good): 0</w:t>
      </w:r>
    </w:p>
    <w:p w14:paraId="2DD1F8E4" w14:textId="77777777" w:rsidR="0012737F" w:rsidRDefault="00663462">
      <w:pPr>
        <w:spacing w:line="360" w:lineRule="auto"/>
        <w:jc w:val="both"/>
      </w:pPr>
      <w:r>
        <w:rPr>
          <w:rFonts w:ascii="Book Antiqua" w:eastAsia="Book Antiqua" w:hAnsi="Book Antiqua" w:cs="Book Antiqua"/>
          <w:color w:val="000000"/>
        </w:rPr>
        <w:t>Grade D (Fair): 0</w:t>
      </w:r>
    </w:p>
    <w:p w14:paraId="6B460C08" w14:textId="77777777" w:rsidR="0012737F" w:rsidRDefault="00663462">
      <w:pPr>
        <w:spacing w:line="360" w:lineRule="auto"/>
        <w:jc w:val="both"/>
      </w:pPr>
      <w:r>
        <w:rPr>
          <w:rFonts w:ascii="Book Antiqua" w:eastAsia="Book Antiqua" w:hAnsi="Book Antiqua" w:cs="Book Antiqua"/>
          <w:color w:val="000000"/>
        </w:rPr>
        <w:t>Grade E (Poor): 0</w:t>
      </w:r>
    </w:p>
    <w:p w14:paraId="79487A80" w14:textId="77777777" w:rsidR="0012737F" w:rsidRDefault="0012737F">
      <w:pPr>
        <w:spacing w:line="360" w:lineRule="auto"/>
        <w:jc w:val="both"/>
      </w:pPr>
    </w:p>
    <w:p w14:paraId="35CBEABC" w14:textId="4C6662B8" w:rsidR="00D175A1" w:rsidRPr="00D175A1" w:rsidRDefault="0066346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Tanabe S</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Pr="0014237A">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D175A1" w:rsidRPr="00D175A1">
        <w:rPr>
          <w:rFonts w:ascii="Book Antiqua" w:hAnsi="Book Antiqua" w:cs="Book Antiqua" w:hint="eastAsia"/>
          <w:color w:val="000000"/>
          <w:lang w:eastAsia="zh-CN"/>
        </w:rPr>
        <w:t xml:space="preserve"> Wang LL</w:t>
      </w:r>
    </w:p>
    <w:p w14:paraId="6C907A68" w14:textId="6AF904B0" w:rsidR="0012737F" w:rsidRDefault="00663462">
      <w:pPr>
        <w:spacing w:line="360" w:lineRule="auto"/>
        <w:jc w:val="both"/>
        <w:sectPr w:rsidR="0012737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7DB4D5FF" w14:textId="77777777" w:rsidR="0012737F" w:rsidRDefault="0066346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D829F56" w14:textId="77777777" w:rsidR="0012737F" w:rsidRDefault="00663462">
      <w:pPr>
        <w:spacing w:line="360" w:lineRule="auto"/>
        <w:jc w:val="both"/>
      </w:pPr>
      <w:r>
        <w:rPr>
          <w:noProof/>
          <w:lang w:eastAsia="zh-CN"/>
        </w:rPr>
        <w:drawing>
          <wp:inline distT="0" distB="0" distL="0" distR="0" wp14:anchorId="0C33ABCB" wp14:editId="35523395">
            <wp:extent cx="5911215" cy="33439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25368" cy="3351895"/>
                    </a:xfrm>
                    <a:prstGeom prst="rect">
                      <a:avLst/>
                    </a:prstGeom>
                    <a:noFill/>
                  </pic:spPr>
                </pic:pic>
              </a:graphicData>
            </a:graphic>
          </wp:inline>
        </w:drawing>
      </w:r>
    </w:p>
    <w:p w14:paraId="372757EC" w14:textId="4DF2BC36" w:rsidR="0012737F" w:rsidRDefault="00663462">
      <w:pPr>
        <w:spacing w:line="360" w:lineRule="auto"/>
        <w:ind w:firstLine="3"/>
        <w:jc w:val="both"/>
        <w:rPr>
          <w:rFonts w:ascii="Book Antiqua" w:eastAsia="Malgun Gothic" w:hAnsi="Book Antiqua"/>
        </w:rPr>
      </w:pPr>
      <w:r>
        <w:rPr>
          <w:rFonts w:ascii="Book Antiqua" w:eastAsia="Book Antiqua" w:hAnsi="Book Antiqua" w:cs="Book Antiqua"/>
          <w:b/>
          <w:bCs/>
          <w:color w:val="000000"/>
        </w:rPr>
        <w:t xml:space="preserve">Figure 1 </w:t>
      </w:r>
      <w:r>
        <w:rPr>
          <w:rFonts w:ascii="Book Antiqua" w:eastAsia="Book Antiqua" w:hAnsi="Book Antiqua" w:cs="Book Antiqua"/>
          <w:b/>
          <w:bCs/>
          <w:color w:val="000000"/>
          <w:szCs w:val="22"/>
        </w:rPr>
        <w:t>Receiver operating characteristic</w:t>
      </w:r>
      <w:r>
        <w:rPr>
          <w:rFonts w:ascii="Book Antiqua" w:eastAsia="Book Antiqua" w:hAnsi="Book Antiqua" w:cs="Book Antiqua"/>
          <w:b/>
          <w:bCs/>
          <w:color w:val="000000"/>
        </w:rPr>
        <w:t xml:space="preserve"> curve analysis for diagnostic indicators. </w:t>
      </w:r>
      <w:r>
        <w:rPr>
          <w:rFonts w:ascii="Book Antiqua" w:eastAsia="Book Antiqua" w:hAnsi="Book Antiqua" w:cs="Book Antiqua"/>
          <w:color w:val="000000"/>
        </w:rPr>
        <w:t xml:space="preserve">A and B: Parameters that may be used to distinguish </w:t>
      </w:r>
      <w:r>
        <w:rPr>
          <w:rFonts w:ascii="Book Antiqua" w:eastAsia="Book Antiqua" w:hAnsi="Book Antiqua" w:cs="Book Antiqua"/>
          <w:color w:val="000000"/>
          <w:szCs w:val="22"/>
        </w:rPr>
        <w:t>allergic proctocolitis</w:t>
      </w:r>
      <w:r>
        <w:rPr>
          <w:rFonts w:ascii="Book Antiqua" w:eastAsia="Book Antiqua" w:hAnsi="Book Antiqua" w:cs="Book Antiqua"/>
          <w:color w:val="000000"/>
        </w:rPr>
        <w:t xml:space="preserve"> from </w:t>
      </w:r>
      <w:r>
        <w:rPr>
          <w:rFonts w:ascii="Book Antiqua" w:eastAsia="Book Antiqua" w:hAnsi="Book Antiqua" w:cs="Book Antiqua"/>
          <w:color w:val="000000"/>
          <w:szCs w:val="22"/>
        </w:rPr>
        <w:t>infantile-onset inflammatory bowel disease</w:t>
      </w:r>
      <w:r>
        <w:rPr>
          <w:rFonts w:ascii="Book Antiqua" w:eastAsia="Book Antiqua" w:hAnsi="Book Antiqua" w:cs="Book Antiqua"/>
          <w:color w:val="000000"/>
        </w:rPr>
        <w:t xml:space="preserve"> (IO-IBD). The increased peripheral white blood cell count, erythrocyte sedimentation, rate and tumor necrosis factor (TNF)-α, as well as the reduced albumin levels were risk factors for the diagnosis of IO-IBD, and TNF-α and albumin levels had higher sensitivity and specificity; C: Serum ferritin level has high diagnostic value in discriminating IO-IBD patients with gene mutation (M-IBD) or without (NM-IBD) when serum ferritin levels are above 28.20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It might indicate the existence of pathogenic gene mutations in IO-IBD patients; D and E: Serum interleukin (IL)-10 level and onset age can be used to screen </w:t>
      </w:r>
      <w:r>
        <w:rPr>
          <w:rFonts w:ascii="Book Antiqua" w:eastAsia="Book Antiqua" w:hAnsi="Book Antiqua" w:cs="Book Antiqua"/>
          <w:i/>
          <w:iCs/>
          <w:color w:val="000000"/>
        </w:rPr>
        <w:t>IL-10RA</w:t>
      </w:r>
      <w:r>
        <w:rPr>
          <w:rFonts w:ascii="Book Antiqua" w:eastAsia="Book Antiqua" w:hAnsi="Book Antiqua" w:cs="Book Antiqua"/>
          <w:color w:val="000000"/>
        </w:rPr>
        <w:t xml:space="preserve"> mutation in M-IBD patients. If an infant got IO-IBD within a week in life or a patient’s serum IL-10 levels were higher than 33.05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the presence of </w:t>
      </w:r>
      <w:r>
        <w:rPr>
          <w:rFonts w:ascii="Book Antiqua" w:eastAsia="Book Antiqua" w:hAnsi="Book Antiqua" w:cs="Book Antiqua"/>
          <w:i/>
          <w:iCs/>
          <w:color w:val="000000"/>
        </w:rPr>
        <w:t>IL-10RA</w:t>
      </w:r>
      <w:r>
        <w:rPr>
          <w:rFonts w:ascii="Book Antiqua" w:eastAsia="Book Antiqua" w:hAnsi="Book Antiqua" w:cs="Book Antiqua"/>
          <w:color w:val="000000"/>
        </w:rPr>
        <w:t xml:space="preserve"> gene mutations was strongly suggested. WBC: White blood cell; ESR: Erythrocyte sedimentation rate; TNF: Tumor necrosis factor; ALB: Albumin; IL: Interleukin; CI: </w:t>
      </w:r>
      <w:r>
        <w:rPr>
          <w:rFonts w:ascii="Book Antiqua" w:eastAsia="Malgun Gothic" w:hAnsi="Book Antiqua"/>
        </w:rPr>
        <w:t>Confidence interval.</w:t>
      </w:r>
    </w:p>
    <w:p w14:paraId="7B64BC9E" w14:textId="77777777" w:rsidR="0012737F" w:rsidRDefault="0012737F">
      <w:pPr>
        <w:spacing w:line="360" w:lineRule="auto"/>
        <w:ind w:firstLine="3"/>
        <w:jc w:val="both"/>
        <w:rPr>
          <w:rFonts w:ascii="Book Antiqua" w:eastAsia="Malgun Gothic" w:hAnsi="Book Antiqua"/>
        </w:rPr>
        <w:sectPr w:rsidR="0012737F">
          <w:pgSz w:w="12240" w:h="15840"/>
          <w:pgMar w:top="1440" w:right="1440" w:bottom="1440" w:left="1440" w:header="720" w:footer="720" w:gutter="0"/>
          <w:cols w:space="720"/>
          <w:docGrid w:linePitch="360"/>
        </w:sectPr>
      </w:pPr>
    </w:p>
    <w:p w14:paraId="62A4E8F7" w14:textId="77777777" w:rsidR="0012737F" w:rsidRDefault="00663462">
      <w:pPr>
        <w:spacing w:line="360" w:lineRule="auto"/>
        <w:ind w:firstLine="3"/>
        <w:jc w:val="both"/>
        <w:rPr>
          <w:rFonts w:ascii="Book Antiqua" w:hAnsi="Book Antiqua"/>
          <w:b/>
          <w:bCs/>
        </w:rPr>
      </w:pPr>
      <w:r>
        <w:rPr>
          <w:rFonts w:ascii="Book Antiqua" w:hAnsi="Book Antiqua"/>
          <w:b/>
          <w:bCs/>
        </w:rPr>
        <w:lastRenderedPageBreak/>
        <w:t xml:space="preserve">Table 1 Genotypes of 49 </w:t>
      </w:r>
      <w:r>
        <w:rPr>
          <w:rFonts w:ascii="Book Antiqua" w:eastAsia="Book Antiqua" w:hAnsi="Book Antiqua" w:cs="Book Antiqua"/>
          <w:b/>
          <w:bCs/>
          <w:color w:val="000000"/>
          <w:szCs w:val="22"/>
        </w:rPr>
        <w:t>infantile-onset inflammatory bowel disease</w:t>
      </w:r>
      <w:r>
        <w:rPr>
          <w:rFonts w:ascii="Book Antiqua" w:hAnsi="Book Antiqua"/>
          <w:b/>
          <w:bCs/>
        </w:rPr>
        <w:t xml:space="preserve"> patients</w:t>
      </w:r>
    </w:p>
    <w:tbl>
      <w:tblPr>
        <w:tblW w:w="5000" w:type="pct"/>
        <w:tblLayout w:type="fixed"/>
        <w:tblLook w:val="04A0" w:firstRow="1" w:lastRow="0" w:firstColumn="1" w:lastColumn="0" w:noHBand="0" w:noVBand="1"/>
      </w:tblPr>
      <w:tblGrid>
        <w:gridCol w:w="643"/>
        <w:gridCol w:w="966"/>
        <w:gridCol w:w="1294"/>
        <w:gridCol w:w="1119"/>
        <w:gridCol w:w="3220"/>
        <w:gridCol w:w="1367"/>
        <w:gridCol w:w="1054"/>
        <w:gridCol w:w="3513"/>
      </w:tblGrid>
      <w:tr w:rsidR="0012737F" w14:paraId="03BF3922" w14:textId="77777777">
        <w:trPr>
          <w:trHeight w:val="499"/>
        </w:trPr>
        <w:tc>
          <w:tcPr>
            <w:tcW w:w="643" w:type="dxa"/>
            <w:vMerge w:val="restart"/>
            <w:tcBorders>
              <w:top w:val="single" w:sz="4" w:space="0" w:color="auto"/>
              <w:bottom w:val="single" w:sz="4" w:space="0" w:color="auto"/>
            </w:tcBorders>
            <w:shd w:val="clear" w:color="auto" w:fill="auto"/>
          </w:tcPr>
          <w:p w14:paraId="6B8A3766" w14:textId="77777777" w:rsidR="0012737F" w:rsidRDefault="00663462">
            <w:pPr>
              <w:widowControl w:val="0"/>
              <w:spacing w:line="360" w:lineRule="auto"/>
              <w:jc w:val="both"/>
              <w:rPr>
                <w:rFonts w:ascii="Book Antiqua" w:eastAsia="宋体" w:hAnsi="Book Antiqua"/>
                <w:b/>
                <w:bCs/>
                <w:color w:val="000000"/>
              </w:rPr>
            </w:pPr>
            <w:r>
              <w:rPr>
                <w:rFonts w:ascii="Book Antiqua" w:eastAsia="宋体" w:hAnsi="Book Antiqua"/>
                <w:b/>
                <w:bCs/>
                <w:color w:val="000000"/>
              </w:rPr>
              <w:t>Patient</w:t>
            </w:r>
          </w:p>
        </w:tc>
        <w:tc>
          <w:tcPr>
            <w:tcW w:w="966" w:type="dxa"/>
            <w:vMerge w:val="restart"/>
            <w:tcBorders>
              <w:top w:val="single" w:sz="4" w:space="0" w:color="auto"/>
              <w:bottom w:val="single" w:sz="4" w:space="0" w:color="auto"/>
            </w:tcBorders>
            <w:shd w:val="clear" w:color="auto" w:fill="auto"/>
          </w:tcPr>
          <w:p w14:paraId="307C44EF" w14:textId="77777777" w:rsidR="0012737F" w:rsidRDefault="00663462">
            <w:pPr>
              <w:widowControl w:val="0"/>
              <w:spacing w:line="360" w:lineRule="auto"/>
              <w:jc w:val="both"/>
              <w:rPr>
                <w:rFonts w:ascii="Book Antiqua" w:eastAsia="宋体" w:hAnsi="Book Antiqua"/>
                <w:b/>
                <w:bCs/>
                <w:color w:val="000000"/>
              </w:rPr>
            </w:pPr>
            <w:r>
              <w:rPr>
                <w:rFonts w:ascii="Book Antiqua" w:eastAsia="宋体" w:hAnsi="Book Antiqua"/>
                <w:b/>
                <w:bCs/>
                <w:color w:val="000000"/>
              </w:rPr>
              <w:t>Gene</w:t>
            </w:r>
          </w:p>
        </w:tc>
        <w:tc>
          <w:tcPr>
            <w:tcW w:w="1294" w:type="dxa"/>
            <w:vMerge w:val="restart"/>
            <w:tcBorders>
              <w:top w:val="single" w:sz="4" w:space="0" w:color="auto"/>
              <w:bottom w:val="single" w:sz="4" w:space="0" w:color="auto"/>
            </w:tcBorders>
            <w:shd w:val="clear" w:color="auto" w:fill="auto"/>
          </w:tcPr>
          <w:p w14:paraId="2A6D487C" w14:textId="77777777" w:rsidR="0012737F" w:rsidRDefault="00663462">
            <w:pPr>
              <w:widowControl w:val="0"/>
              <w:spacing w:line="360" w:lineRule="auto"/>
              <w:jc w:val="both"/>
              <w:rPr>
                <w:rFonts w:ascii="Book Antiqua" w:eastAsia="宋体" w:hAnsi="Book Antiqua"/>
                <w:b/>
                <w:bCs/>
                <w:color w:val="000000"/>
                <w:lang w:eastAsia="zh-CN"/>
              </w:rPr>
            </w:pPr>
            <w:r>
              <w:rPr>
                <w:rFonts w:ascii="Book Antiqua" w:eastAsia="宋体" w:hAnsi="Book Antiqua"/>
                <w:b/>
                <w:bCs/>
                <w:color w:val="000000"/>
              </w:rPr>
              <w:t xml:space="preserve">Variant </w:t>
            </w:r>
            <w:r>
              <w:rPr>
                <w:rFonts w:ascii="Book Antiqua" w:eastAsia="宋体" w:hAnsi="Book Antiqua" w:hint="eastAsia"/>
                <w:b/>
                <w:bCs/>
                <w:color w:val="000000"/>
                <w:lang w:eastAsia="zh-CN"/>
              </w:rPr>
              <w:t>(</w:t>
            </w:r>
            <w:r>
              <w:rPr>
                <w:rFonts w:ascii="Book Antiqua" w:eastAsia="宋体" w:hAnsi="Book Antiqua"/>
                <w:b/>
                <w:bCs/>
                <w:color w:val="000000"/>
              </w:rPr>
              <w:t>allele 1</w:t>
            </w:r>
            <w:r>
              <w:rPr>
                <w:rFonts w:ascii="Book Antiqua" w:eastAsia="宋体" w:hAnsi="Book Antiqua" w:hint="eastAsia"/>
                <w:b/>
                <w:bCs/>
                <w:color w:val="000000"/>
                <w:lang w:eastAsia="zh-CN"/>
              </w:rPr>
              <w:t>)</w:t>
            </w:r>
          </w:p>
        </w:tc>
        <w:tc>
          <w:tcPr>
            <w:tcW w:w="1119" w:type="dxa"/>
            <w:vMerge w:val="restart"/>
            <w:tcBorders>
              <w:top w:val="single" w:sz="4" w:space="0" w:color="auto"/>
              <w:bottom w:val="single" w:sz="4" w:space="0" w:color="auto"/>
            </w:tcBorders>
            <w:shd w:val="clear" w:color="auto" w:fill="auto"/>
          </w:tcPr>
          <w:p w14:paraId="3D8297B6" w14:textId="742B4AF1" w:rsidR="0012737F" w:rsidRDefault="00663462">
            <w:pPr>
              <w:widowControl w:val="0"/>
              <w:spacing w:line="360" w:lineRule="auto"/>
              <w:jc w:val="both"/>
              <w:rPr>
                <w:rFonts w:ascii="Book Antiqua" w:eastAsia="宋体" w:hAnsi="Book Antiqua"/>
                <w:b/>
                <w:bCs/>
                <w:color w:val="000000"/>
              </w:rPr>
            </w:pPr>
            <w:r>
              <w:rPr>
                <w:rFonts w:ascii="Book Antiqua" w:eastAsia="宋体" w:hAnsi="Book Antiqua"/>
                <w:b/>
                <w:bCs/>
                <w:color w:val="000000"/>
              </w:rPr>
              <w:t>Amino acid</w:t>
            </w:r>
          </w:p>
        </w:tc>
        <w:tc>
          <w:tcPr>
            <w:tcW w:w="3220" w:type="dxa"/>
            <w:vMerge w:val="restart"/>
            <w:tcBorders>
              <w:top w:val="single" w:sz="4" w:space="0" w:color="auto"/>
              <w:bottom w:val="single" w:sz="4" w:space="0" w:color="auto"/>
            </w:tcBorders>
            <w:shd w:val="clear" w:color="auto" w:fill="auto"/>
          </w:tcPr>
          <w:p w14:paraId="5602F2B7" w14:textId="77777777" w:rsidR="0012737F" w:rsidRDefault="00663462">
            <w:pPr>
              <w:widowControl w:val="0"/>
              <w:spacing w:line="360" w:lineRule="auto"/>
              <w:jc w:val="both"/>
              <w:rPr>
                <w:rFonts w:ascii="Book Antiqua" w:eastAsia="宋体" w:hAnsi="Book Antiqua"/>
                <w:b/>
                <w:bCs/>
                <w:color w:val="000000"/>
              </w:rPr>
            </w:pPr>
            <w:r>
              <w:rPr>
                <w:rFonts w:ascii="Book Antiqua" w:eastAsia="宋体" w:hAnsi="Book Antiqua"/>
                <w:b/>
                <w:bCs/>
                <w:color w:val="000000"/>
              </w:rPr>
              <w:t>ACMG (P/LP)</w:t>
            </w:r>
          </w:p>
        </w:tc>
        <w:tc>
          <w:tcPr>
            <w:tcW w:w="1367" w:type="dxa"/>
            <w:vMerge w:val="restart"/>
            <w:tcBorders>
              <w:top w:val="single" w:sz="4" w:space="0" w:color="auto"/>
              <w:bottom w:val="single" w:sz="4" w:space="0" w:color="auto"/>
            </w:tcBorders>
            <w:shd w:val="clear" w:color="auto" w:fill="auto"/>
          </w:tcPr>
          <w:p w14:paraId="4A2628E7" w14:textId="77777777" w:rsidR="0012737F" w:rsidRDefault="00663462">
            <w:pPr>
              <w:widowControl w:val="0"/>
              <w:spacing w:line="360" w:lineRule="auto"/>
              <w:jc w:val="both"/>
              <w:rPr>
                <w:rFonts w:ascii="Book Antiqua" w:eastAsia="宋体" w:hAnsi="Book Antiqua"/>
                <w:b/>
                <w:bCs/>
                <w:color w:val="000000"/>
                <w:lang w:eastAsia="zh-CN"/>
              </w:rPr>
            </w:pPr>
            <w:r>
              <w:rPr>
                <w:rFonts w:ascii="Book Antiqua" w:eastAsia="宋体" w:hAnsi="Book Antiqua"/>
                <w:b/>
                <w:bCs/>
                <w:color w:val="000000"/>
              </w:rPr>
              <w:t xml:space="preserve">Variant </w:t>
            </w:r>
            <w:r>
              <w:rPr>
                <w:rFonts w:ascii="Book Antiqua" w:eastAsia="宋体" w:hAnsi="Book Antiqua" w:hint="eastAsia"/>
                <w:b/>
                <w:bCs/>
                <w:color w:val="000000"/>
                <w:lang w:eastAsia="zh-CN"/>
              </w:rPr>
              <w:t>(</w:t>
            </w:r>
            <w:r>
              <w:rPr>
                <w:rFonts w:ascii="Book Antiqua" w:eastAsia="宋体" w:hAnsi="Book Antiqua"/>
                <w:b/>
                <w:bCs/>
                <w:color w:val="000000"/>
              </w:rPr>
              <w:t>allele 2</w:t>
            </w:r>
            <w:r>
              <w:rPr>
                <w:rFonts w:ascii="Book Antiqua" w:eastAsia="宋体" w:hAnsi="Book Antiqua" w:hint="eastAsia"/>
                <w:b/>
                <w:bCs/>
                <w:color w:val="000000"/>
                <w:lang w:eastAsia="zh-CN"/>
              </w:rPr>
              <w:t>)</w:t>
            </w:r>
          </w:p>
        </w:tc>
        <w:tc>
          <w:tcPr>
            <w:tcW w:w="1054" w:type="dxa"/>
            <w:vMerge w:val="restart"/>
            <w:tcBorders>
              <w:top w:val="single" w:sz="4" w:space="0" w:color="auto"/>
              <w:bottom w:val="single" w:sz="4" w:space="0" w:color="auto"/>
            </w:tcBorders>
            <w:shd w:val="clear" w:color="auto" w:fill="auto"/>
          </w:tcPr>
          <w:p w14:paraId="34FBF844" w14:textId="3BE6EBE6" w:rsidR="0012737F" w:rsidRDefault="00663462">
            <w:pPr>
              <w:widowControl w:val="0"/>
              <w:spacing w:line="360" w:lineRule="auto"/>
              <w:jc w:val="both"/>
              <w:rPr>
                <w:rFonts w:ascii="Book Antiqua" w:eastAsia="宋体" w:hAnsi="Book Antiqua"/>
                <w:b/>
                <w:bCs/>
                <w:color w:val="000000"/>
              </w:rPr>
            </w:pPr>
            <w:r>
              <w:rPr>
                <w:rFonts w:ascii="Book Antiqua" w:eastAsia="宋体" w:hAnsi="Book Antiqua"/>
                <w:b/>
                <w:bCs/>
                <w:color w:val="000000"/>
              </w:rPr>
              <w:t>Amino acid</w:t>
            </w:r>
          </w:p>
        </w:tc>
        <w:tc>
          <w:tcPr>
            <w:tcW w:w="3513" w:type="dxa"/>
            <w:vMerge w:val="restart"/>
            <w:tcBorders>
              <w:top w:val="single" w:sz="4" w:space="0" w:color="auto"/>
              <w:bottom w:val="single" w:sz="4" w:space="0" w:color="auto"/>
            </w:tcBorders>
            <w:shd w:val="clear" w:color="auto" w:fill="auto"/>
          </w:tcPr>
          <w:p w14:paraId="41701415" w14:textId="77777777" w:rsidR="0012737F" w:rsidRDefault="00663462">
            <w:pPr>
              <w:widowControl w:val="0"/>
              <w:spacing w:line="360" w:lineRule="auto"/>
              <w:jc w:val="both"/>
              <w:rPr>
                <w:rFonts w:ascii="Book Antiqua" w:eastAsia="宋体" w:hAnsi="Book Antiqua"/>
                <w:b/>
                <w:bCs/>
                <w:color w:val="000000"/>
              </w:rPr>
            </w:pPr>
            <w:r>
              <w:rPr>
                <w:rFonts w:ascii="Book Antiqua" w:eastAsia="宋体" w:hAnsi="Book Antiqua"/>
                <w:b/>
                <w:bCs/>
                <w:color w:val="000000"/>
              </w:rPr>
              <w:t>ACMG (P/LP)</w:t>
            </w:r>
          </w:p>
        </w:tc>
      </w:tr>
      <w:tr w:rsidR="0012737F" w14:paraId="763D4CA9" w14:textId="77777777">
        <w:trPr>
          <w:trHeight w:val="499"/>
        </w:trPr>
        <w:tc>
          <w:tcPr>
            <w:tcW w:w="643" w:type="dxa"/>
            <w:vMerge/>
            <w:tcBorders>
              <w:bottom w:val="single" w:sz="4" w:space="0" w:color="auto"/>
            </w:tcBorders>
          </w:tcPr>
          <w:p w14:paraId="59FF761C" w14:textId="77777777" w:rsidR="0012737F" w:rsidRDefault="0012737F">
            <w:pPr>
              <w:widowControl w:val="0"/>
              <w:spacing w:line="360" w:lineRule="auto"/>
              <w:rPr>
                <w:rFonts w:ascii="Book Antiqua" w:eastAsia="宋体" w:hAnsi="Book Antiqua"/>
                <w:color w:val="000000"/>
              </w:rPr>
            </w:pPr>
          </w:p>
        </w:tc>
        <w:tc>
          <w:tcPr>
            <w:tcW w:w="966" w:type="dxa"/>
            <w:vMerge/>
            <w:tcBorders>
              <w:bottom w:val="single" w:sz="4" w:space="0" w:color="auto"/>
            </w:tcBorders>
          </w:tcPr>
          <w:p w14:paraId="3863092F" w14:textId="77777777" w:rsidR="0012737F" w:rsidRDefault="0012737F">
            <w:pPr>
              <w:widowControl w:val="0"/>
              <w:spacing w:line="360" w:lineRule="auto"/>
              <w:rPr>
                <w:rFonts w:ascii="Book Antiqua" w:eastAsia="宋体" w:hAnsi="Book Antiqua"/>
                <w:i/>
                <w:iCs/>
                <w:color w:val="000000"/>
              </w:rPr>
            </w:pPr>
          </w:p>
        </w:tc>
        <w:tc>
          <w:tcPr>
            <w:tcW w:w="1294" w:type="dxa"/>
            <w:vMerge/>
            <w:tcBorders>
              <w:bottom w:val="single" w:sz="4" w:space="0" w:color="auto"/>
            </w:tcBorders>
          </w:tcPr>
          <w:p w14:paraId="4A6410F6" w14:textId="77777777" w:rsidR="0012737F" w:rsidRDefault="0012737F">
            <w:pPr>
              <w:widowControl w:val="0"/>
              <w:spacing w:line="360" w:lineRule="auto"/>
              <w:rPr>
                <w:rFonts w:ascii="Book Antiqua" w:eastAsia="宋体" w:hAnsi="Book Antiqua"/>
                <w:color w:val="000000"/>
              </w:rPr>
            </w:pPr>
          </w:p>
        </w:tc>
        <w:tc>
          <w:tcPr>
            <w:tcW w:w="1119" w:type="dxa"/>
            <w:vMerge/>
            <w:tcBorders>
              <w:bottom w:val="single" w:sz="4" w:space="0" w:color="auto"/>
            </w:tcBorders>
          </w:tcPr>
          <w:p w14:paraId="7BEB92BE" w14:textId="77777777" w:rsidR="0012737F" w:rsidRDefault="0012737F">
            <w:pPr>
              <w:widowControl w:val="0"/>
              <w:spacing w:line="360" w:lineRule="auto"/>
              <w:rPr>
                <w:rFonts w:ascii="Book Antiqua" w:eastAsia="宋体" w:hAnsi="Book Antiqua"/>
                <w:color w:val="000000"/>
              </w:rPr>
            </w:pPr>
          </w:p>
        </w:tc>
        <w:tc>
          <w:tcPr>
            <w:tcW w:w="3220" w:type="dxa"/>
            <w:vMerge/>
            <w:tcBorders>
              <w:bottom w:val="single" w:sz="4" w:space="0" w:color="auto"/>
            </w:tcBorders>
          </w:tcPr>
          <w:p w14:paraId="17697A03" w14:textId="77777777" w:rsidR="0012737F" w:rsidRDefault="0012737F">
            <w:pPr>
              <w:widowControl w:val="0"/>
              <w:spacing w:line="360" w:lineRule="auto"/>
              <w:rPr>
                <w:rFonts w:ascii="Book Antiqua" w:eastAsia="宋体" w:hAnsi="Book Antiqua"/>
                <w:color w:val="000000"/>
              </w:rPr>
            </w:pPr>
          </w:p>
        </w:tc>
        <w:tc>
          <w:tcPr>
            <w:tcW w:w="1367" w:type="dxa"/>
            <w:vMerge/>
            <w:tcBorders>
              <w:bottom w:val="single" w:sz="4" w:space="0" w:color="auto"/>
            </w:tcBorders>
          </w:tcPr>
          <w:p w14:paraId="447A89A6" w14:textId="77777777" w:rsidR="0012737F" w:rsidRDefault="0012737F">
            <w:pPr>
              <w:widowControl w:val="0"/>
              <w:spacing w:line="360" w:lineRule="auto"/>
              <w:rPr>
                <w:rFonts w:ascii="Book Antiqua" w:eastAsia="宋体" w:hAnsi="Book Antiqua"/>
                <w:color w:val="000000"/>
              </w:rPr>
            </w:pPr>
          </w:p>
        </w:tc>
        <w:tc>
          <w:tcPr>
            <w:tcW w:w="1054" w:type="dxa"/>
            <w:vMerge/>
            <w:tcBorders>
              <w:bottom w:val="single" w:sz="4" w:space="0" w:color="auto"/>
            </w:tcBorders>
          </w:tcPr>
          <w:p w14:paraId="2BFF86DD" w14:textId="77777777" w:rsidR="0012737F" w:rsidRDefault="0012737F">
            <w:pPr>
              <w:widowControl w:val="0"/>
              <w:spacing w:line="360" w:lineRule="auto"/>
              <w:rPr>
                <w:rFonts w:ascii="Book Antiqua" w:eastAsia="宋体" w:hAnsi="Book Antiqua"/>
                <w:color w:val="000000"/>
              </w:rPr>
            </w:pPr>
          </w:p>
        </w:tc>
        <w:tc>
          <w:tcPr>
            <w:tcW w:w="3513" w:type="dxa"/>
            <w:vMerge/>
            <w:tcBorders>
              <w:bottom w:val="single" w:sz="4" w:space="0" w:color="auto"/>
            </w:tcBorders>
          </w:tcPr>
          <w:p w14:paraId="04E592CC" w14:textId="77777777" w:rsidR="0012737F" w:rsidRDefault="0012737F">
            <w:pPr>
              <w:widowControl w:val="0"/>
              <w:spacing w:line="360" w:lineRule="auto"/>
              <w:rPr>
                <w:rFonts w:ascii="Book Antiqua" w:eastAsia="宋体" w:hAnsi="Book Antiqua"/>
                <w:color w:val="000000"/>
              </w:rPr>
            </w:pPr>
          </w:p>
        </w:tc>
      </w:tr>
      <w:tr w:rsidR="0012737F" w14:paraId="38A14D1D" w14:textId="77777777">
        <w:trPr>
          <w:trHeight w:val="499"/>
        </w:trPr>
        <w:tc>
          <w:tcPr>
            <w:tcW w:w="643" w:type="dxa"/>
            <w:tcBorders>
              <w:top w:val="single" w:sz="4" w:space="0" w:color="auto"/>
            </w:tcBorders>
            <w:shd w:val="clear" w:color="auto" w:fill="auto"/>
          </w:tcPr>
          <w:p w14:paraId="28B2E43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w:t>
            </w:r>
          </w:p>
        </w:tc>
        <w:tc>
          <w:tcPr>
            <w:tcW w:w="966" w:type="dxa"/>
            <w:tcBorders>
              <w:top w:val="single" w:sz="4" w:space="0" w:color="auto"/>
            </w:tcBorders>
            <w:shd w:val="clear" w:color="auto" w:fill="auto"/>
          </w:tcPr>
          <w:p w14:paraId="71E9A5FC"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tcBorders>
              <w:top w:val="single" w:sz="4" w:space="0" w:color="auto"/>
            </w:tcBorders>
            <w:shd w:val="clear" w:color="auto" w:fill="auto"/>
          </w:tcPr>
          <w:p w14:paraId="2B91A17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tcBorders>
              <w:top w:val="single" w:sz="4" w:space="0" w:color="auto"/>
            </w:tcBorders>
            <w:shd w:val="clear" w:color="auto" w:fill="auto"/>
          </w:tcPr>
          <w:p w14:paraId="0CED3CD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tcBorders>
              <w:top w:val="single" w:sz="4" w:space="0" w:color="auto"/>
            </w:tcBorders>
            <w:shd w:val="clear" w:color="auto" w:fill="auto"/>
          </w:tcPr>
          <w:p w14:paraId="0442A97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tcBorders>
              <w:top w:val="single" w:sz="4" w:space="0" w:color="auto"/>
            </w:tcBorders>
            <w:shd w:val="clear" w:color="auto" w:fill="auto"/>
          </w:tcPr>
          <w:p w14:paraId="0C6C130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054" w:type="dxa"/>
            <w:tcBorders>
              <w:top w:val="single" w:sz="4" w:space="0" w:color="auto"/>
            </w:tcBorders>
            <w:shd w:val="clear" w:color="auto" w:fill="auto"/>
          </w:tcPr>
          <w:p w14:paraId="29228A0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513" w:type="dxa"/>
            <w:tcBorders>
              <w:top w:val="single" w:sz="4" w:space="0" w:color="auto"/>
            </w:tcBorders>
            <w:shd w:val="clear" w:color="auto" w:fill="auto"/>
          </w:tcPr>
          <w:p w14:paraId="2D15CE8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r>
      <w:tr w:rsidR="0012737F" w14:paraId="5E5F9B32" w14:textId="77777777">
        <w:trPr>
          <w:trHeight w:val="499"/>
        </w:trPr>
        <w:tc>
          <w:tcPr>
            <w:tcW w:w="643" w:type="dxa"/>
            <w:shd w:val="clear" w:color="auto" w:fill="auto"/>
          </w:tcPr>
          <w:p w14:paraId="1F18283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2</w:t>
            </w:r>
          </w:p>
        </w:tc>
        <w:tc>
          <w:tcPr>
            <w:tcW w:w="966" w:type="dxa"/>
            <w:shd w:val="clear" w:color="auto" w:fill="auto"/>
          </w:tcPr>
          <w:p w14:paraId="7CCC18FA"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3CE71BD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c.299T&gt;G</w:t>
            </w:r>
          </w:p>
        </w:tc>
        <w:tc>
          <w:tcPr>
            <w:tcW w:w="1119" w:type="dxa"/>
            <w:shd w:val="clear" w:color="auto" w:fill="auto"/>
          </w:tcPr>
          <w:p w14:paraId="0923EC0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V100G</w:t>
            </w:r>
          </w:p>
        </w:tc>
        <w:tc>
          <w:tcPr>
            <w:tcW w:w="3220" w:type="dxa"/>
            <w:shd w:val="clear" w:color="auto" w:fill="auto"/>
          </w:tcPr>
          <w:p w14:paraId="4222E27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c>
          <w:tcPr>
            <w:tcW w:w="1367" w:type="dxa"/>
            <w:shd w:val="clear" w:color="auto" w:fill="auto"/>
          </w:tcPr>
          <w:p w14:paraId="4F560CB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054" w:type="dxa"/>
            <w:shd w:val="clear" w:color="auto" w:fill="auto"/>
          </w:tcPr>
          <w:p w14:paraId="33320E5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513" w:type="dxa"/>
            <w:shd w:val="clear" w:color="auto" w:fill="auto"/>
          </w:tcPr>
          <w:p w14:paraId="225CD4E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r>
      <w:tr w:rsidR="0012737F" w14:paraId="18A775CD" w14:textId="77777777">
        <w:trPr>
          <w:trHeight w:val="499"/>
        </w:trPr>
        <w:tc>
          <w:tcPr>
            <w:tcW w:w="643" w:type="dxa"/>
            <w:shd w:val="clear" w:color="auto" w:fill="auto"/>
          </w:tcPr>
          <w:p w14:paraId="14D1B6B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w:t>
            </w:r>
          </w:p>
        </w:tc>
        <w:tc>
          <w:tcPr>
            <w:tcW w:w="966" w:type="dxa"/>
            <w:shd w:val="clear" w:color="auto" w:fill="auto"/>
          </w:tcPr>
          <w:p w14:paraId="4C5C47E0"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0B3E46B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c.191A&gt;G</w:t>
            </w:r>
          </w:p>
        </w:tc>
        <w:tc>
          <w:tcPr>
            <w:tcW w:w="1119" w:type="dxa"/>
            <w:shd w:val="clear" w:color="auto" w:fill="auto"/>
          </w:tcPr>
          <w:p w14:paraId="6F2B113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Y64C</w:t>
            </w:r>
          </w:p>
        </w:tc>
        <w:tc>
          <w:tcPr>
            <w:tcW w:w="3220" w:type="dxa"/>
            <w:shd w:val="clear" w:color="auto" w:fill="auto"/>
          </w:tcPr>
          <w:p w14:paraId="623FB90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LP (PM1+PM2+PM3+PP3+PP4)</w:t>
            </w:r>
          </w:p>
        </w:tc>
        <w:tc>
          <w:tcPr>
            <w:tcW w:w="1367" w:type="dxa"/>
            <w:shd w:val="clear" w:color="auto" w:fill="auto"/>
          </w:tcPr>
          <w:p w14:paraId="41A92F5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128AA7A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6C4E733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277C7141" w14:textId="77777777">
        <w:trPr>
          <w:trHeight w:val="499"/>
        </w:trPr>
        <w:tc>
          <w:tcPr>
            <w:tcW w:w="643" w:type="dxa"/>
            <w:shd w:val="clear" w:color="auto" w:fill="auto"/>
          </w:tcPr>
          <w:p w14:paraId="6B5F0B8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4</w:t>
            </w:r>
          </w:p>
        </w:tc>
        <w:tc>
          <w:tcPr>
            <w:tcW w:w="966" w:type="dxa"/>
            <w:shd w:val="clear" w:color="auto" w:fill="auto"/>
          </w:tcPr>
          <w:p w14:paraId="3849C32F"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00D1C23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0A1446D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46ED986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23FD13B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3EE9C5D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2957C71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03BA3A1D" w14:textId="77777777">
        <w:trPr>
          <w:trHeight w:val="499"/>
        </w:trPr>
        <w:tc>
          <w:tcPr>
            <w:tcW w:w="643" w:type="dxa"/>
            <w:shd w:val="clear" w:color="auto" w:fill="auto"/>
          </w:tcPr>
          <w:p w14:paraId="6C11862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5</w:t>
            </w:r>
          </w:p>
        </w:tc>
        <w:tc>
          <w:tcPr>
            <w:tcW w:w="966" w:type="dxa"/>
            <w:shd w:val="clear" w:color="auto" w:fill="auto"/>
          </w:tcPr>
          <w:p w14:paraId="77557C0F"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2585344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02333FC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03220FF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4CCBD87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054" w:type="dxa"/>
            <w:shd w:val="clear" w:color="auto" w:fill="auto"/>
          </w:tcPr>
          <w:p w14:paraId="433D2F1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513" w:type="dxa"/>
            <w:shd w:val="clear" w:color="auto" w:fill="auto"/>
          </w:tcPr>
          <w:p w14:paraId="1D45397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r>
      <w:tr w:rsidR="0012737F" w14:paraId="1702973D" w14:textId="77777777">
        <w:trPr>
          <w:trHeight w:val="499"/>
        </w:trPr>
        <w:tc>
          <w:tcPr>
            <w:tcW w:w="643" w:type="dxa"/>
            <w:shd w:val="clear" w:color="auto" w:fill="auto"/>
          </w:tcPr>
          <w:p w14:paraId="1A5420A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6</w:t>
            </w:r>
          </w:p>
        </w:tc>
        <w:tc>
          <w:tcPr>
            <w:tcW w:w="966" w:type="dxa"/>
            <w:shd w:val="clear" w:color="auto" w:fill="auto"/>
          </w:tcPr>
          <w:p w14:paraId="2874C63D"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22E5CE6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c.493C&gt;T</w:t>
            </w:r>
          </w:p>
        </w:tc>
        <w:tc>
          <w:tcPr>
            <w:tcW w:w="1119" w:type="dxa"/>
            <w:shd w:val="clear" w:color="auto" w:fill="auto"/>
          </w:tcPr>
          <w:p w14:paraId="652C20C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R165X</w:t>
            </w:r>
          </w:p>
        </w:tc>
        <w:tc>
          <w:tcPr>
            <w:tcW w:w="3220" w:type="dxa"/>
            <w:shd w:val="clear" w:color="auto" w:fill="auto"/>
          </w:tcPr>
          <w:p w14:paraId="68F1760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(PVS1+PS1+PM2+PP4)</w:t>
            </w:r>
          </w:p>
        </w:tc>
        <w:tc>
          <w:tcPr>
            <w:tcW w:w="1367" w:type="dxa"/>
            <w:shd w:val="clear" w:color="auto" w:fill="auto"/>
          </w:tcPr>
          <w:p w14:paraId="124B178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054" w:type="dxa"/>
            <w:shd w:val="clear" w:color="auto" w:fill="auto"/>
          </w:tcPr>
          <w:p w14:paraId="65D1ABF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513" w:type="dxa"/>
            <w:shd w:val="clear" w:color="auto" w:fill="auto"/>
          </w:tcPr>
          <w:p w14:paraId="37BE34F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w:t>
            </w:r>
            <w:r>
              <w:rPr>
                <w:rFonts w:ascii="Book Antiqua" w:eastAsia="宋体" w:hAnsi="Book Antiqua"/>
                <w:color w:val="000000"/>
              </w:rPr>
              <w:lastRenderedPageBreak/>
              <w:t>4)</w:t>
            </w:r>
          </w:p>
        </w:tc>
      </w:tr>
      <w:tr w:rsidR="0012737F" w14:paraId="6A14203A" w14:textId="77777777">
        <w:trPr>
          <w:trHeight w:val="499"/>
        </w:trPr>
        <w:tc>
          <w:tcPr>
            <w:tcW w:w="643" w:type="dxa"/>
            <w:shd w:val="clear" w:color="auto" w:fill="auto"/>
          </w:tcPr>
          <w:p w14:paraId="5970B8C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lastRenderedPageBreak/>
              <w:t>7</w:t>
            </w:r>
          </w:p>
        </w:tc>
        <w:tc>
          <w:tcPr>
            <w:tcW w:w="966" w:type="dxa"/>
            <w:shd w:val="clear" w:color="auto" w:fill="auto"/>
          </w:tcPr>
          <w:p w14:paraId="546D9E48"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0C5E10E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0FBAC16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0A9AB70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6C6C783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184D76D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6ED4858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275481F8" w14:textId="77777777">
        <w:trPr>
          <w:trHeight w:val="499"/>
        </w:trPr>
        <w:tc>
          <w:tcPr>
            <w:tcW w:w="643" w:type="dxa"/>
            <w:shd w:val="clear" w:color="auto" w:fill="auto"/>
          </w:tcPr>
          <w:p w14:paraId="21253F4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8</w:t>
            </w:r>
          </w:p>
        </w:tc>
        <w:tc>
          <w:tcPr>
            <w:tcW w:w="966" w:type="dxa"/>
            <w:shd w:val="clear" w:color="auto" w:fill="auto"/>
          </w:tcPr>
          <w:p w14:paraId="2CF9DB24"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0858C51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c.350G&gt;A</w:t>
            </w:r>
          </w:p>
        </w:tc>
        <w:tc>
          <w:tcPr>
            <w:tcW w:w="1119" w:type="dxa"/>
            <w:shd w:val="clear" w:color="auto" w:fill="auto"/>
          </w:tcPr>
          <w:p w14:paraId="508D514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R117H</w:t>
            </w:r>
          </w:p>
        </w:tc>
        <w:tc>
          <w:tcPr>
            <w:tcW w:w="3220" w:type="dxa"/>
            <w:shd w:val="clear" w:color="auto" w:fill="auto"/>
          </w:tcPr>
          <w:p w14:paraId="5874EA4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(PS1+PM1+PM2+PP3+PP4)</w:t>
            </w:r>
          </w:p>
        </w:tc>
        <w:tc>
          <w:tcPr>
            <w:tcW w:w="1367" w:type="dxa"/>
            <w:shd w:val="clear" w:color="auto" w:fill="auto"/>
          </w:tcPr>
          <w:p w14:paraId="184CE14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c.493C&gt;T</w:t>
            </w:r>
          </w:p>
        </w:tc>
        <w:tc>
          <w:tcPr>
            <w:tcW w:w="1054" w:type="dxa"/>
            <w:shd w:val="clear" w:color="auto" w:fill="auto"/>
          </w:tcPr>
          <w:p w14:paraId="586AB30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R165X</w:t>
            </w:r>
          </w:p>
        </w:tc>
        <w:tc>
          <w:tcPr>
            <w:tcW w:w="3513" w:type="dxa"/>
            <w:shd w:val="clear" w:color="auto" w:fill="auto"/>
          </w:tcPr>
          <w:p w14:paraId="1062549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(PVS1+PS1+PM2+PP4)</w:t>
            </w:r>
          </w:p>
        </w:tc>
      </w:tr>
      <w:tr w:rsidR="0012737F" w14:paraId="063BC593" w14:textId="77777777">
        <w:trPr>
          <w:trHeight w:val="499"/>
        </w:trPr>
        <w:tc>
          <w:tcPr>
            <w:tcW w:w="643" w:type="dxa"/>
            <w:shd w:val="clear" w:color="auto" w:fill="auto"/>
          </w:tcPr>
          <w:p w14:paraId="700AE1C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9</w:t>
            </w:r>
          </w:p>
        </w:tc>
        <w:tc>
          <w:tcPr>
            <w:tcW w:w="966" w:type="dxa"/>
            <w:shd w:val="clear" w:color="auto" w:fill="auto"/>
          </w:tcPr>
          <w:p w14:paraId="6C83A112"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10C7286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4365AA7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2E48A5A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3407505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c.436delC</w:t>
            </w:r>
          </w:p>
        </w:tc>
        <w:tc>
          <w:tcPr>
            <w:tcW w:w="1054" w:type="dxa"/>
            <w:shd w:val="clear" w:color="auto" w:fill="auto"/>
          </w:tcPr>
          <w:p w14:paraId="17A198D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P146fs</w:t>
            </w:r>
          </w:p>
        </w:tc>
        <w:tc>
          <w:tcPr>
            <w:tcW w:w="3513" w:type="dxa"/>
            <w:shd w:val="clear" w:color="auto" w:fill="auto"/>
          </w:tcPr>
          <w:p w14:paraId="2D71EA7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(PVS1+PS1+PM2+PP4)</w:t>
            </w:r>
          </w:p>
        </w:tc>
      </w:tr>
      <w:tr w:rsidR="0012737F" w14:paraId="6E9E103F" w14:textId="77777777">
        <w:trPr>
          <w:trHeight w:val="499"/>
        </w:trPr>
        <w:tc>
          <w:tcPr>
            <w:tcW w:w="643" w:type="dxa"/>
            <w:shd w:val="clear" w:color="auto" w:fill="auto"/>
          </w:tcPr>
          <w:p w14:paraId="3E1747A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10</w:t>
            </w:r>
          </w:p>
        </w:tc>
        <w:tc>
          <w:tcPr>
            <w:tcW w:w="966" w:type="dxa"/>
            <w:shd w:val="clear" w:color="auto" w:fill="auto"/>
          </w:tcPr>
          <w:p w14:paraId="1E25CFA8"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2B9C13A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1DAAF3A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4251ABB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5235CD8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751B389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3056022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60D96D99" w14:textId="77777777">
        <w:trPr>
          <w:trHeight w:val="499"/>
        </w:trPr>
        <w:tc>
          <w:tcPr>
            <w:tcW w:w="643" w:type="dxa"/>
            <w:shd w:val="clear" w:color="auto" w:fill="auto"/>
          </w:tcPr>
          <w:p w14:paraId="40E23EE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11</w:t>
            </w:r>
          </w:p>
        </w:tc>
        <w:tc>
          <w:tcPr>
            <w:tcW w:w="966" w:type="dxa"/>
            <w:shd w:val="clear" w:color="auto" w:fill="auto"/>
          </w:tcPr>
          <w:p w14:paraId="429484EE"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56BC63D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c.421G&gt;A</w:t>
            </w:r>
          </w:p>
        </w:tc>
        <w:tc>
          <w:tcPr>
            <w:tcW w:w="1119" w:type="dxa"/>
            <w:shd w:val="clear" w:color="auto" w:fill="auto"/>
          </w:tcPr>
          <w:p w14:paraId="144F36F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G141R</w:t>
            </w:r>
          </w:p>
        </w:tc>
        <w:tc>
          <w:tcPr>
            <w:tcW w:w="3220" w:type="dxa"/>
            <w:shd w:val="clear" w:color="auto" w:fill="auto"/>
          </w:tcPr>
          <w:p w14:paraId="3DFBEE2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(PS1+PM2+PM3+PP3+PP4)</w:t>
            </w:r>
          </w:p>
        </w:tc>
        <w:tc>
          <w:tcPr>
            <w:tcW w:w="1367" w:type="dxa"/>
            <w:shd w:val="clear" w:color="auto" w:fill="auto"/>
          </w:tcPr>
          <w:p w14:paraId="04ED35C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1B33D4D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2E7886D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07F1DD85" w14:textId="77777777">
        <w:trPr>
          <w:trHeight w:val="499"/>
        </w:trPr>
        <w:tc>
          <w:tcPr>
            <w:tcW w:w="643" w:type="dxa"/>
            <w:shd w:val="clear" w:color="auto" w:fill="auto"/>
          </w:tcPr>
          <w:p w14:paraId="104E66B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12</w:t>
            </w:r>
          </w:p>
        </w:tc>
        <w:tc>
          <w:tcPr>
            <w:tcW w:w="966" w:type="dxa"/>
            <w:shd w:val="clear" w:color="auto" w:fill="auto"/>
          </w:tcPr>
          <w:p w14:paraId="2AC7560B"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3C3CBC7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0117CEB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096325D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3BB07D2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054" w:type="dxa"/>
            <w:shd w:val="clear" w:color="auto" w:fill="auto"/>
          </w:tcPr>
          <w:p w14:paraId="7CBD4B4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513" w:type="dxa"/>
            <w:shd w:val="clear" w:color="auto" w:fill="auto"/>
          </w:tcPr>
          <w:p w14:paraId="04FD63F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r>
      <w:tr w:rsidR="0012737F" w14:paraId="6AAB2104" w14:textId="77777777">
        <w:trPr>
          <w:trHeight w:val="499"/>
        </w:trPr>
        <w:tc>
          <w:tcPr>
            <w:tcW w:w="643" w:type="dxa"/>
            <w:shd w:val="clear" w:color="auto" w:fill="auto"/>
          </w:tcPr>
          <w:p w14:paraId="64CBED6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13</w:t>
            </w:r>
          </w:p>
        </w:tc>
        <w:tc>
          <w:tcPr>
            <w:tcW w:w="966" w:type="dxa"/>
            <w:shd w:val="clear" w:color="auto" w:fill="auto"/>
          </w:tcPr>
          <w:p w14:paraId="7E5FDAE3"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3E5D3F6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1A5760A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25241D5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75868CA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c.350G&gt;A</w:t>
            </w:r>
          </w:p>
        </w:tc>
        <w:tc>
          <w:tcPr>
            <w:tcW w:w="1054" w:type="dxa"/>
            <w:shd w:val="clear" w:color="auto" w:fill="auto"/>
          </w:tcPr>
          <w:p w14:paraId="45CF2B7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R117H</w:t>
            </w:r>
          </w:p>
        </w:tc>
        <w:tc>
          <w:tcPr>
            <w:tcW w:w="3513" w:type="dxa"/>
            <w:shd w:val="clear" w:color="auto" w:fill="auto"/>
          </w:tcPr>
          <w:p w14:paraId="37C3B95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(PS1+PM1+PM2+PP3+PP4)</w:t>
            </w:r>
          </w:p>
        </w:tc>
      </w:tr>
      <w:tr w:rsidR="0012737F" w14:paraId="1EC626E3" w14:textId="77777777">
        <w:trPr>
          <w:trHeight w:val="499"/>
        </w:trPr>
        <w:tc>
          <w:tcPr>
            <w:tcW w:w="643" w:type="dxa"/>
            <w:shd w:val="clear" w:color="auto" w:fill="auto"/>
          </w:tcPr>
          <w:p w14:paraId="421E767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lastRenderedPageBreak/>
              <w:t>14</w:t>
            </w:r>
          </w:p>
        </w:tc>
        <w:tc>
          <w:tcPr>
            <w:tcW w:w="966" w:type="dxa"/>
            <w:shd w:val="clear" w:color="auto" w:fill="auto"/>
          </w:tcPr>
          <w:p w14:paraId="25B27451"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4A2501C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119" w:type="dxa"/>
            <w:shd w:val="clear" w:color="auto" w:fill="auto"/>
          </w:tcPr>
          <w:p w14:paraId="08C2B5B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220" w:type="dxa"/>
            <w:shd w:val="clear" w:color="auto" w:fill="auto"/>
          </w:tcPr>
          <w:p w14:paraId="30C1253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c>
          <w:tcPr>
            <w:tcW w:w="1367" w:type="dxa"/>
            <w:shd w:val="clear" w:color="auto" w:fill="auto"/>
          </w:tcPr>
          <w:p w14:paraId="7CBC6CC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63A57C3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5E9BEC5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14B3B668" w14:textId="77777777">
        <w:trPr>
          <w:trHeight w:val="499"/>
        </w:trPr>
        <w:tc>
          <w:tcPr>
            <w:tcW w:w="643" w:type="dxa"/>
            <w:shd w:val="clear" w:color="auto" w:fill="auto"/>
          </w:tcPr>
          <w:p w14:paraId="32CE9A2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15</w:t>
            </w:r>
          </w:p>
        </w:tc>
        <w:tc>
          <w:tcPr>
            <w:tcW w:w="966" w:type="dxa"/>
            <w:shd w:val="clear" w:color="auto" w:fill="auto"/>
          </w:tcPr>
          <w:p w14:paraId="3AFD5D4E"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24F1529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58F9B80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7F16C51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279381D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60E9967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7C3EEA6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0720A9BE" w14:textId="77777777">
        <w:trPr>
          <w:trHeight w:val="499"/>
        </w:trPr>
        <w:tc>
          <w:tcPr>
            <w:tcW w:w="643" w:type="dxa"/>
            <w:shd w:val="clear" w:color="auto" w:fill="auto"/>
          </w:tcPr>
          <w:p w14:paraId="4D697BC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16</w:t>
            </w:r>
          </w:p>
        </w:tc>
        <w:tc>
          <w:tcPr>
            <w:tcW w:w="966" w:type="dxa"/>
            <w:shd w:val="clear" w:color="auto" w:fill="auto"/>
          </w:tcPr>
          <w:p w14:paraId="62BEBD36"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4A6DAFB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c.99G&gt;A</w:t>
            </w:r>
          </w:p>
        </w:tc>
        <w:tc>
          <w:tcPr>
            <w:tcW w:w="1119" w:type="dxa"/>
            <w:shd w:val="clear" w:color="auto" w:fill="auto"/>
          </w:tcPr>
          <w:p w14:paraId="6CFBA77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W33X</w:t>
            </w:r>
          </w:p>
        </w:tc>
        <w:tc>
          <w:tcPr>
            <w:tcW w:w="3220" w:type="dxa"/>
            <w:shd w:val="clear" w:color="auto" w:fill="auto"/>
          </w:tcPr>
          <w:p w14:paraId="0D53ACB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(PVS1+PS1+PM2+PP4)</w:t>
            </w:r>
          </w:p>
        </w:tc>
        <w:tc>
          <w:tcPr>
            <w:tcW w:w="1367" w:type="dxa"/>
            <w:shd w:val="clear" w:color="auto" w:fill="auto"/>
          </w:tcPr>
          <w:p w14:paraId="5E14A18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054" w:type="dxa"/>
            <w:shd w:val="clear" w:color="auto" w:fill="auto"/>
          </w:tcPr>
          <w:p w14:paraId="588647E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513" w:type="dxa"/>
            <w:shd w:val="clear" w:color="auto" w:fill="auto"/>
          </w:tcPr>
          <w:p w14:paraId="328082A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r>
      <w:tr w:rsidR="0012737F" w14:paraId="78EE5ECE" w14:textId="77777777">
        <w:trPr>
          <w:trHeight w:val="499"/>
        </w:trPr>
        <w:tc>
          <w:tcPr>
            <w:tcW w:w="643" w:type="dxa"/>
            <w:shd w:val="clear" w:color="auto" w:fill="auto"/>
          </w:tcPr>
          <w:p w14:paraId="0B1CA18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17</w:t>
            </w:r>
          </w:p>
        </w:tc>
        <w:tc>
          <w:tcPr>
            <w:tcW w:w="966" w:type="dxa"/>
            <w:shd w:val="clear" w:color="auto" w:fill="auto"/>
          </w:tcPr>
          <w:p w14:paraId="646DD17F"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640ACEF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c.493C&gt;T</w:t>
            </w:r>
          </w:p>
        </w:tc>
        <w:tc>
          <w:tcPr>
            <w:tcW w:w="1119" w:type="dxa"/>
            <w:shd w:val="clear" w:color="auto" w:fill="auto"/>
          </w:tcPr>
          <w:p w14:paraId="0DB31E7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R165X</w:t>
            </w:r>
          </w:p>
        </w:tc>
        <w:tc>
          <w:tcPr>
            <w:tcW w:w="3220" w:type="dxa"/>
            <w:shd w:val="clear" w:color="auto" w:fill="auto"/>
          </w:tcPr>
          <w:p w14:paraId="2BA5A12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(PVS1+PS1+PM2+PP4)</w:t>
            </w:r>
          </w:p>
        </w:tc>
        <w:tc>
          <w:tcPr>
            <w:tcW w:w="1367" w:type="dxa"/>
            <w:shd w:val="clear" w:color="auto" w:fill="auto"/>
          </w:tcPr>
          <w:p w14:paraId="0C24967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c.493C&gt;T</w:t>
            </w:r>
          </w:p>
        </w:tc>
        <w:tc>
          <w:tcPr>
            <w:tcW w:w="1054" w:type="dxa"/>
            <w:shd w:val="clear" w:color="auto" w:fill="auto"/>
          </w:tcPr>
          <w:p w14:paraId="72ADDEC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R165X</w:t>
            </w:r>
          </w:p>
        </w:tc>
        <w:tc>
          <w:tcPr>
            <w:tcW w:w="3513" w:type="dxa"/>
            <w:shd w:val="clear" w:color="auto" w:fill="auto"/>
          </w:tcPr>
          <w:p w14:paraId="13492A7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(PVS1+PS1+PM2+PP4)</w:t>
            </w:r>
          </w:p>
        </w:tc>
      </w:tr>
      <w:tr w:rsidR="0012737F" w14:paraId="6A6FB476" w14:textId="77777777">
        <w:trPr>
          <w:trHeight w:val="499"/>
        </w:trPr>
        <w:tc>
          <w:tcPr>
            <w:tcW w:w="643" w:type="dxa"/>
            <w:shd w:val="clear" w:color="auto" w:fill="auto"/>
          </w:tcPr>
          <w:p w14:paraId="6BB80DA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18</w:t>
            </w:r>
          </w:p>
        </w:tc>
        <w:tc>
          <w:tcPr>
            <w:tcW w:w="966" w:type="dxa"/>
            <w:shd w:val="clear" w:color="auto" w:fill="auto"/>
          </w:tcPr>
          <w:p w14:paraId="0EF0B396"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432634F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c.109G&gt;T</w:t>
            </w:r>
          </w:p>
        </w:tc>
        <w:tc>
          <w:tcPr>
            <w:tcW w:w="1119" w:type="dxa"/>
            <w:shd w:val="clear" w:color="auto" w:fill="auto"/>
          </w:tcPr>
          <w:p w14:paraId="2BCADFC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E37X</w:t>
            </w:r>
          </w:p>
        </w:tc>
        <w:tc>
          <w:tcPr>
            <w:tcW w:w="3220" w:type="dxa"/>
            <w:shd w:val="clear" w:color="auto" w:fill="auto"/>
          </w:tcPr>
          <w:p w14:paraId="20F73B9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LP (PVS1+PM2+PM3+PP4)</w:t>
            </w:r>
          </w:p>
        </w:tc>
        <w:tc>
          <w:tcPr>
            <w:tcW w:w="1367" w:type="dxa"/>
            <w:shd w:val="clear" w:color="auto" w:fill="auto"/>
          </w:tcPr>
          <w:p w14:paraId="47B6047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054" w:type="dxa"/>
            <w:shd w:val="clear" w:color="auto" w:fill="auto"/>
          </w:tcPr>
          <w:p w14:paraId="2CD5552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513" w:type="dxa"/>
            <w:shd w:val="clear" w:color="auto" w:fill="auto"/>
          </w:tcPr>
          <w:p w14:paraId="0F311E9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r>
      <w:tr w:rsidR="0012737F" w14:paraId="30F7371A" w14:textId="77777777">
        <w:trPr>
          <w:trHeight w:val="499"/>
        </w:trPr>
        <w:tc>
          <w:tcPr>
            <w:tcW w:w="643" w:type="dxa"/>
            <w:shd w:val="clear" w:color="auto" w:fill="auto"/>
          </w:tcPr>
          <w:p w14:paraId="5A6B0DC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19</w:t>
            </w:r>
          </w:p>
        </w:tc>
        <w:tc>
          <w:tcPr>
            <w:tcW w:w="966" w:type="dxa"/>
            <w:shd w:val="clear" w:color="auto" w:fill="auto"/>
          </w:tcPr>
          <w:p w14:paraId="57FB5464"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5FE171C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66D66C8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4B0F633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285D465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1D5F3A0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6942565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352D2EBC" w14:textId="77777777">
        <w:trPr>
          <w:trHeight w:val="499"/>
        </w:trPr>
        <w:tc>
          <w:tcPr>
            <w:tcW w:w="643" w:type="dxa"/>
            <w:shd w:val="clear" w:color="auto" w:fill="auto"/>
          </w:tcPr>
          <w:p w14:paraId="17099EB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20</w:t>
            </w:r>
          </w:p>
        </w:tc>
        <w:tc>
          <w:tcPr>
            <w:tcW w:w="966" w:type="dxa"/>
            <w:shd w:val="clear" w:color="auto" w:fill="auto"/>
          </w:tcPr>
          <w:p w14:paraId="671A83C8"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7F3E7D6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1B5E9C6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17A32B8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69C8D90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593A508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2D3068B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27B3387F" w14:textId="77777777">
        <w:trPr>
          <w:trHeight w:val="499"/>
        </w:trPr>
        <w:tc>
          <w:tcPr>
            <w:tcW w:w="643" w:type="dxa"/>
            <w:shd w:val="clear" w:color="auto" w:fill="auto"/>
          </w:tcPr>
          <w:p w14:paraId="2166B35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21</w:t>
            </w:r>
          </w:p>
        </w:tc>
        <w:tc>
          <w:tcPr>
            <w:tcW w:w="966" w:type="dxa"/>
            <w:shd w:val="clear" w:color="auto" w:fill="auto"/>
          </w:tcPr>
          <w:p w14:paraId="7BFC0B84"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0F52B62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7322988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11438E1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 xml:space="preserve">P </w:t>
            </w:r>
            <w:r>
              <w:rPr>
                <w:rFonts w:ascii="Book Antiqua" w:eastAsia="宋体" w:hAnsi="Book Antiqua"/>
                <w:color w:val="000000"/>
              </w:rPr>
              <w:lastRenderedPageBreak/>
              <w:t>(PS1+PS3+PM1+PM2+PP3+PP4)</w:t>
            </w:r>
          </w:p>
        </w:tc>
        <w:tc>
          <w:tcPr>
            <w:tcW w:w="1367" w:type="dxa"/>
            <w:shd w:val="clear" w:color="auto" w:fill="auto"/>
          </w:tcPr>
          <w:p w14:paraId="67AF418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lastRenderedPageBreak/>
              <w:t>c.537G&gt;A</w:t>
            </w:r>
          </w:p>
        </w:tc>
        <w:tc>
          <w:tcPr>
            <w:tcW w:w="1054" w:type="dxa"/>
            <w:shd w:val="clear" w:color="auto" w:fill="auto"/>
          </w:tcPr>
          <w:p w14:paraId="4970C55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064F350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2B6ECD32" w14:textId="77777777">
        <w:trPr>
          <w:trHeight w:val="499"/>
        </w:trPr>
        <w:tc>
          <w:tcPr>
            <w:tcW w:w="643" w:type="dxa"/>
            <w:shd w:val="clear" w:color="auto" w:fill="auto"/>
          </w:tcPr>
          <w:p w14:paraId="218B34E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lastRenderedPageBreak/>
              <w:t>22</w:t>
            </w:r>
          </w:p>
        </w:tc>
        <w:tc>
          <w:tcPr>
            <w:tcW w:w="966" w:type="dxa"/>
            <w:shd w:val="clear" w:color="auto" w:fill="auto"/>
          </w:tcPr>
          <w:p w14:paraId="74788649"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4EC4839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63F95FC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70DBE49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3EDCDDB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c.350G&gt;A</w:t>
            </w:r>
          </w:p>
        </w:tc>
        <w:tc>
          <w:tcPr>
            <w:tcW w:w="1054" w:type="dxa"/>
            <w:shd w:val="clear" w:color="auto" w:fill="auto"/>
          </w:tcPr>
          <w:p w14:paraId="3A32176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R117H</w:t>
            </w:r>
          </w:p>
        </w:tc>
        <w:tc>
          <w:tcPr>
            <w:tcW w:w="3513" w:type="dxa"/>
            <w:shd w:val="clear" w:color="auto" w:fill="auto"/>
          </w:tcPr>
          <w:p w14:paraId="2EB9DD6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(PS1+PM1+PM2+PP3+PP4)</w:t>
            </w:r>
          </w:p>
        </w:tc>
      </w:tr>
      <w:tr w:rsidR="0012737F" w14:paraId="6AAF4492" w14:textId="77777777">
        <w:trPr>
          <w:trHeight w:val="499"/>
        </w:trPr>
        <w:tc>
          <w:tcPr>
            <w:tcW w:w="643" w:type="dxa"/>
            <w:shd w:val="clear" w:color="auto" w:fill="auto"/>
          </w:tcPr>
          <w:p w14:paraId="54C2D3C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23</w:t>
            </w:r>
          </w:p>
        </w:tc>
        <w:tc>
          <w:tcPr>
            <w:tcW w:w="966" w:type="dxa"/>
            <w:shd w:val="clear" w:color="auto" w:fill="auto"/>
          </w:tcPr>
          <w:p w14:paraId="51434040"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1C04B19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c.99G&gt;A</w:t>
            </w:r>
          </w:p>
        </w:tc>
        <w:tc>
          <w:tcPr>
            <w:tcW w:w="1119" w:type="dxa"/>
            <w:shd w:val="clear" w:color="auto" w:fill="auto"/>
          </w:tcPr>
          <w:p w14:paraId="7B1EB01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W33X</w:t>
            </w:r>
          </w:p>
        </w:tc>
        <w:tc>
          <w:tcPr>
            <w:tcW w:w="3220" w:type="dxa"/>
            <w:shd w:val="clear" w:color="auto" w:fill="auto"/>
          </w:tcPr>
          <w:p w14:paraId="6357782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(PVS1+PS1+PM2+PP4)</w:t>
            </w:r>
          </w:p>
        </w:tc>
        <w:tc>
          <w:tcPr>
            <w:tcW w:w="1367" w:type="dxa"/>
            <w:shd w:val="clear" w:color="auto" w:fill="auto"/>
          </w:tcPr>
          <w:p w14:paraId="2DA9DA7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c.299T&gt;G</w:t>
            </w:r>
          </w:p>
        </w:tc>
        <w:tc>
          <w:tcPr>
            <w:tcW w:w="1054" w:type="dxa"/>
            <w:shd w:val="clear" w:color="auto" w:fill="auto"/>
          </w:tcPr>
          <w:p w14:paraId="682F070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V100G</w:t>
            </w:r>
          </w:p>
        </w:tc>
        <w:tc>
          <w:tcPr>
            <w:tcW w:w="3513" w:type="dxa"/>
            <w:shd w:val="clear" w:color="auto" w:fill="auto"/>
          </w:tcPr>
          <w:p w14:paraId="6F2E9FA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21CA16E7" w14:textId="77777777">
        <w:trPr>
          <w:trHeight w:val="499"/>
        </w:trPr>
        <w:tc>
          <w:tcPr>
            <w:tcW w:w="643" w:type="dxa"/>
            <w:shd w:val="clear" w:color="auto" w:fill="auto"/>
          </w:tcPr>
          <w:p w14:paraId="60E687C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24</w:t>
            </w:r>
          </w:p>
        </w:tc>
        <w:tc>
          <w:tcPr>
            <w:tcW w:w="966" w:type="dxa"/>
            <w:shd w:val="clear" w:color="auto" w:fill="auto"/>
          </w:tcPr>
          <w:p w14:paraId="06F2D47A"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2CCE0C3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77B8314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7048A9E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2EAA9C5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623BBF7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292C411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0E8E1C18" w14:textId="77777777">
        <w:trPr>
          <w:trHeight w:val="499"/>
        </w:trPr>
        <w:tc>
          <w:tcPr>
            <w:tcW w:w="643" w:type="dxa"/>
            <w:shd w:val="clear" w:color="auto" w:fill="auto"/>
          </w:tcPr>
          <w:p w14:paraId="60DD65F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25</w:t>
            </w:r>
          </w:p>
        </w:tc>
        <w:tc>
          <w:tcPr>
            <w:tcW w:w="966" w:type="dxa"/>
            <w:shd w:val="clear" w:color="auto" w:fill="auto"/>
          </w:tcPr>
          <w:p w14:paraId="289CE070"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255AF54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2D7FFD9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2230FD3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4C6F4C5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64D0C79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38862D8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5B4F09DE" w14:textId="77777777">
        <w:trPr>
          <w:trHeight w:val="499"/>
        </w:trPr>
        <w:tc>
          <w:tcPr>
            <w:tcW w:w="643" w:type="dxa"/>
            <w:shd w:val="clear" w:color="auto" w:fill="auto"/>
          </w:tcPr>
          <w:p w14:paraId="7CD87C1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26</w:t>
            </w:r>
          </w:p>
        </w:tc>
        <w:tc>
          <w:tcPr>
            <w:tcW w:w="966" w:type="dxa"/>
            <w:shd w:val="clear" w:color="auto" w:fill="auto"/>
          </w:tcPr>
          <w:p w14:paraId="181D611D"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3A23589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790AAED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29E3207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P(PS1+PS3+PM1+PM2+PP3+PP4)</w:t>
            </w:r>
          </w:p>
        </w:tc>
        <w:tc>
          <w:tcPr>
            <w:tcW w:w="1367" w:type="dxa"/>
            <w:shd w:val="clear" w:color="auto" w:fill="auto"/>
          </w:tcPr>
          <w:p w14:paraId="09622AE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c.493C&gt;T</w:t>
            </w:r>
          </w:p>
        </w:tc>
        <w:tc>
          <w:tcPr>
            <w:tcW w:w="1054" w:type="dxa"/>
            <w:shd w:val="clear" w:color="auto" w:fill="auto"/>
          </w:tcPr>
          <w:p w14:paraId="1614FBC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R165X</w:t>
            </w:r>
          </w:p>
        </w:tc>
        <w:tc>
          <w:tcPr>
            <w:tcW w:w="3513" w:type="dxa"/>
            <w:shd w:val="clear" w:color="auto" w:fill="auto"/>
          </w:tcPr>
          <w:p w14:paraId="3E0B873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(PVS1+PS1+PM2+PP4)</w:t>
            </w:r>
          </w:p>
        </w:tc>
      </w:tr>
      <w:tr w:rsidR="0012737F" w14:paraId="4CB406EC" w14:textId="77777777">
        <w:trPr>
          <w:trHeight w:val="499"/>
        </w:trPr>
        <w:tc>
          <w:tcPr>
            <w:tcW w:w="643" w:type="dxa"/>
            <w:shd w:val="clear" w:color="auto" w:fill="auto"/>
          </w:tcPr>
          <w:p w14:paraId="023A6F0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27</w:t>
            </w:r>
          </w:p>
        </w:tc>
        <w:tc>
          <w:tcPr>
            <w:tcW w:w="966" w:type="dxa"/>
            <w:shd w:val="clear" w:color="auto" w:fill="auto"/>
          </w:tcPr>
          <w:p w14:paraId="16C2302B"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32BEA62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56FA2B4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565AD9D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766517C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1F4D157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6B3E363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7EF2D0EC" w14:textId="77777777">
        <w:trPr>
          <w:trHeight w:val="499"/>
        </w:trPr>
        <w:tc>
          <w:tcPr>
            <w:tcW w:w="643" w:type="dxa"/>
            <w:shd w:val="clear" w:color="auto" w:fill="auto"/>
          </w:tcPr>
          <w:p w14:paraId="317A654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28</w:t>
            </w:r>
          </w:p>
        </w:tc>
        <w:tc>
          <w:tcPr>
            <w:tcW w:w="966" w:type="dxa"/>
            <w:shd w:val="clear" w:color="auto" w:fill="auto"/>
          </w:tcPr>
          <w:p w14:paraId="3F8C0A98"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7A7F2CB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c.493C&gt;T</w:t>
            </w:r>
          </w:p>
        </w:tc>
        <w:tc>
          <w:tcPr>
            <w:tcW w:w="1119" w:type="dxa"/>
            <w:shd w:val="clear" w:color="auto" w:fill="auto"/>
          </w:tcPr>
          <w:p w14:paraId="7BE3CEA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R165X</w:t>
            </w:r>
          </w:p>
        </w:tc>
        <w:tc>
          <w:tcPr>
            <w:tcW w:w="3220" w:type="dxa"/>
            <w:shd w:val="clear" w:color="auto" w:fill="auto"/>
          </w:tcPr>
          <w:p w14:paraId="6D7C033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(PVS1+PS1+PM2+PP4)</w:t>
            </w:r>
          </w:p>
        </w:tc>
        <w:tc>
          <w:tcPr>
            <w:tcW w:w="1367" w:type="dxa"/>
            <w:shd w:val="clear" w:color="auto" w:fill="auto"/>
          </w:tcPr>
          <w:p w14:paraId="4994E68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705D42E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44DD758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5676747F" w14:textId="77777777">
        <w:trPr>
          <w:trHeight w:val="499"/>
        </w:trPr>
        <w:tc>
          <w:tcPr>
            <w:tcW w:w="643" w:type="dxa"/>
            <w:shd w:val="clear" w:color="auto" w:fill="auto"/>
          </w:tcPr>
          <w:p w14:paraId="4445EAD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lastRenderedPageBreak/>
              <w:t>29</w:t>
            </w:r>
          </w:p>
        </w:tc>
        <w:tc>
          <w:tcPr>
            <w:tcW w:w="966" w:type="dxa"/>
            <w:shd w:val="clear" w:color="auto" w:fill="auto"/>
          </w:tcPr>
          <w:p w14:paraId="49500750"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1E35588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7F925CC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2CFD41E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0AD673C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054" w:type="dxa"/>
            <w:shd w:val="clear" w:color="auto" w:fill="auto"/>
          </w:tcPr>
          <w:p w14:paraId="6024042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513" w:type="dxa"/>
            <w:shd w:val="clear" w:color="auto" w:fill="auto"/>
          </w:tcPr>
          <w:p w14:paraId="60C0908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r>
      <w:tr w:rsidR="0012737F" w14:paraId="2DEF2E64" w14:textId="77777777">
        <w:trPr>
          <w:trHeight w:val="499"/>
        </w:trPr>
        <w:tc>
          <w:tcPr>
            <w:tcW w:w="643" w:type="dxa"/>
            <w:shd w:val="clear" w:color="auto" w:fill="auto"/>
          </w:tcPr>
          <w:p w14:paraId="19600EF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30</w:t>
            </w:r>
          </w:p>
        </w:tc>
        <w:tc>
          <w:tcPr>
            <w:tcW w:w="966" w:type="dxa"/>
            <w:shd w:val="clear" w:color="auto" w:fill="auto"/>
          </w:tcPr>
          <w:p w14:paraId="152B09FA"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2F2A730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c.302G&gt;A</w:t>
            </w:r>
          </w:p>
        </w:tc>
        <w:tc>
          <w:tcPr>
            <w:tcW w:w="1119" w:type="dxa"/>
            <w:shd w:val="clear" w:color="auto" w:fill="auto"/>
          </w:tcPr>
          <w:p w14:paraId="0A8C41D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R101Q</w:t>
            </w:r>
          </w:p>
        </w:tc>
        <w:tc>
          <w:tcPr>
            <w:tcW w:w="3220" w:type="dxa"/>
            <w:shd w:val="clear" w:color="auto" w:fill="auto"/>
          </w:tcPr>
          <w:p w14:paraId="41C5BA1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LP (PM1+PM2+PM3+PM5+PP3+PP4)</w:t>
            </w:r>
          </w:p>
        </w:tc>
        <w:tc>
          <w:tcPr>
            <w:tcW w:w="1367" w:type="dxa"/>
            <w:shd w:val="clear" w:color="auto" w:fill="auto"/>
          </w:tcPr>
          <w:p w14:paraId="5980723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c.349C&gt;T</w:t>
            </w:r>
          </w:p>
        </w:tc>
        <w:tc>
          <w:tcPr>
            <w:tcW w:w="1054" w:type="dxa"/>
            <w:shd w:val="clear" w:color="auto" w:fill="auto"/>
          </w:tcPr>
          <w:p w14:paraId="2FAAD03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R117C</w:t>
            </w:r>
          </w:p>
        </w:tc>
        <w:tc>
          <w:tcPr>
            <w:tcW w:w="3513" w:type="dxa"/>
            <w:shd w:val="clear" w:color="auto" w:fill="auto"/>
          </w:tcPr>
          <w:p w14:paraId="4701DFB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(PS1+PM1+PM2+PP3+PP4)</w:t>
            </w:r>
          </w:p>
        </w:tc>
      </w:tr>
      <w:tr w:rsidR="0012737F" w14:paraId="43F8CE91" w14:textId="77777777">
        <w:trPr>
          <w:trHeight w:val="499"/>
        </w:trPr>
        <w:tc>
          <w:tcPr>
            <w:tcW w:w="643" w:type="dxa"/>
            <w:shd w:val="clear" w:color="auto" w:fill="auto"/>
          </w:tcPr>
          <w:p w14:paraId="4BD388C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31</w:t>
            </w:r>
          </w:p>
        </w:tc>
        <w:tc>
          <w:tcPr>
            <w:tcW w:w="966" w:type="dxa"/>
            <w:shd w:val="clear" w:color="auto" w:fill="auto"/>
          </w:tcPr>
          <w:p w14:paraId="0D33C51E"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161DBC8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0DD7775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1E092F3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61648A0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054" w:type="dxa"/>
            <w:shd w:val="clear" w:color="auto" w:fill="auto"/>
          </w:tcPr>
          <w:p w14:paraId="690FE17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513" w:type="dxa"/>
            <w:shd w:val="clear" w:color="auto" w:fill="auto"/>
          </w:tcPr>
          <w:p w14:paraId="214A8C6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r>
      <w:tr w:rsidR="0012737F" w14:paraId="79DA73B8" w14:textId="77777777">
        <w:trPr>
          <w:trHeight w:val="499"/>
        </w:trPr>
        <w:tc>
          <w:tcPr>
            <w:tcW w:w="643" w:type="dxa"/>
            <w:shd w:val="clear" w:color="auto" w:fill="auto"/>
          </w:tcPr>
          <w:p w14:paraId="3B195C4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32</w:t>
            </w:r>
          </w:p>
        </w:tc>
        <w:tc>
          <w:tcPr>
            <w:tcW w:w="966" w:type="dxa"/>
            <w:shd w:val="clear" w:color="auto" w:fill="auto"/>
          </w:tcPr>
          <w:p w14:paraId="56F5F432"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34A60B4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610BE9A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210F885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6BEED8F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054" w:type="dxa"/>
            <w:shd w:val="clear" w:color="auto" w:fill="auto"/>
          </w:tcPr>
          <w:p w14:paraId="450711C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513" w:type="dxa"/>
            <w:shd w:val="clear" w:color="auto" w:fill="auto"/>
          </w:tcPr>
          <w:p w14:paraId="3B424EE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r>
      <w:tr w:rsidR="0012737F" w14:paraId="684EDA5C" w14:textId="77777777">
        <w:trPr>
          <w:trHeight w:val="499"/>
        </w:trPr>
        <w:tc>
          <w:tcPr>
            <w:tcW w:w="643" w:type="dxa"/>
            <w:shd w:val="clear" w:color="auto" w:fill="auto"/>
          </w:tcPr>
          <w:p w14:paraId="4C965EB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33</w:t>
            </w:r>
          </w:p>
        </w:tc>
        <w:tc>
          <w:tcPr>
            <w:tcW w:w="966" w:type="dxa"/>
            <w:shd w:val="clear" w:color="auto" w:fill="auto"/>
          </w:tcPr>
          <w:p w14:paraId="3FBB8817"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1860A16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c.299T&gt;G</w:t>
            </w:r>
          </w:p>
        </w:tc>
        <w:tc>
          <w:tcPr>
            <w:tcW w:w="1119" w:type="dxa"/>
            <w:shd w:val="clear" w:color="auto" w:fill="auto"/>
          </w:tcPr>
          <w:p w14:paraId="4E1C344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V100G</w:t>
            </w:r>
          </w:p>
        </w:tc>
        <w:tc>
          <w:tcPr>
            <w:tcW w:w="3220" w:type="dxa"/>
            <w:shd w:val="clear" w:color="auto" w:fill="auto"/>
          </w:tcPr>
          <w:p w14:paraId="2B0F1F9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c>
          <w:tcPr>
            <w:tcW w:w="1367" w:type="dxa"/>
            <w:shd w:val="clear" w:color="auto" w:fill="auto"/>
          </w:tcPr>
          <w:p w14:paraId="7E3B2DA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c.569T&gt;G</w:t>
            </w:r>
          </w:p>
        </w:tc>
        <w:tc>
          <w:tcPr>
            <w:tcW w:w="1054" w:type="dxa"/>
            <w:shd w:val="clear" w:color="auto" w:fill="auto"/>
          </w:tcPr>
          <w:p w14:paraId="3F545FE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F190C</w:t>
            </w:r>
          </w:p>
        </w:tc>
        <w:tc>
          <w:tcPr>
            <w:tcW w:w="3513" w:type="dxa"/>
            <w:shd w:val="clear" w:color="auto" w:fill="auto"/>
          </w:tcPr>
          <w:p w14:paraId="22EFE5C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LP (PS1+PM2+PM3_VeryStrong+PP3+PP4)</w:t>
            </w:r>
          </w:p>
        </w:tc>
      </w:tr>
      <w:tr w:rsidR="0012737F" w14:paraId="306A40E4" w14:textId="77777777">
        <w:trPr>
          <w:trHeight w:val="499"/>
        </w:trPr>
        <w:tc>
          <w:tcPr>
            <w:tcW w:w="643" w:type="dxa"/>
            <w:shd w:val="clear" w:color="auto" w:fill="auto"/>
          </w:tcPr>
          <w:p w14:paraId="341BD7C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34</w:t>
            </w:r>
          </w:p>
        </w:tc>
        <w:tc>
          <w:tcPr>
            <w:tcW w:w="966" w:type="dxa"/>
            <w:shd w:val="clear" w:color="auto" w:fill="auto"/>
          </w:tcPr>
          <w:p w14:paraId="2B32F89E"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5D7885C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119" w:type="dxa"/>
            <w:shd w:val="clear" w:color="auto" w:fill="auto"/>
          </w:tcPr>
          <w:p w14:paraId="73B064C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220" w:type="dxa"/>
            <w:shd w:val="clear" w:color="auto" w:fill="auto"/>
          </w:tcPr>
          <w:p w14:paraId="5117F9F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c>
          <w:tcPr>
            <w:tcW w:w="1367" w:type="dxa"/>
            <w:shd w:val="clear" w:color="auto" w:fill="auto"/>
          </w:tcPr>
          <w:p w14:paraId="1FDC7AE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6864B0E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79E3BA2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0B9FEC52" w14:textId="77777777">
        <w:trPr>
          <w:trHeight w:val="499"/>
        </w:trPr>
        <w:tc>
          <w:tcPr>
            <w:tcW w:w="643" w:type="dxa"/>
            <w:shd w:val="clear" w:color="auto" w:fill="auto"/>
          </w:tcPr>
          <w:p w14:paraId="77483E1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35</w:t>
            </w:r>
          </w:p>
        </w:tc>
        <w:tc>
          <w:tcPr>
            <w:tcW w:w="966" w:type="dxa"/>
            <w:shd w:val="clear" w:color="auto" w:fill="auto"/>
          </w:tcPr>
          <w:p w14:paraId="2982312D"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02A54FE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c.299T&gt;G</w:t>
            </w:r>
          </w:p>
        </w:tc>
        <w:tc>
          <w:tcPr>
            <w:tcW w:w="1119" w:type="dxa"/>
            <w:shd w:val="clear" w:color="auto" w:fill="auto"/>
          </w:tcPr>
          <w:p w14:paraId="1AF758D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V100G</w:t>
            </w:r>
          </w:p>
        </w:tc>
        <w:tc>
          <w:tcPr>
            <w:tcW w:w="3220" w:type="dxa"/>
            <w:shd w:val="clear" w:color="auto" w:fill="auto"/>
          </w:tcPr>
          <w:p w14:paraId="1E17F69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c>
          <w:tcPr>
            <w:tcW w:w="1367" w:type="dxa"/>
            <w:shd w:val="clear" w:color="auto" w:fill="auto"/>
          </w:tcPr>
          <w:p w14:paraId="185CD2F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c.299T&gt;G</w:t>
            </w:r>
          </w:p>
        </w:tc>
        <w:tc>
          <w:tcPr>
            <w:tcW w:w="1054" w:type="dxa"/>
            <w:shd w:val="clear" w:color="auto" w:fill="auto"/>
          </w:tcPr>
          <w:p w14:paraId="3C15C66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V100G</w:t>
            </w:r>
          </w:p>
        </w:tc>
        <w:tc>
          <w:tcPr>
            <w:tcW w:w="3513" w:type="dxa"/>
            <w:shd w:val="clear" w:color="auto" w:fill="auto"/>
          </w:tcPr>
          <w:p w14:paraId="2A68A57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71231F3A" w14:textId="77777777">
        <w:trPr>
          <w:trHeight w:val="499"/>
        </w:trPr>
        <w:tc>
          <w:tcPr>
            <w:tcW w:w="643" w:type="dxa"/>
            <w:shd w:val="clear" w:color="auto" w:fill="auto"/>
          </w:tcPr>
          <w:p w14:paraId="1139BA7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36</w:t>
            </w:r>
          </w:p>
        </w:tc>
        <w:tc>
          <w:tcPr>
            <w:tcW w:w="966" w:type="dxa"/>
            <w:shd w:val="clear" w:color="auto" w:fill="auto"/>
          </w:tcPr>
          <w:p w14:paraId="6EB3354E"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WAS</w:t>
            </w:r>
          </w:p>
        </w:tc>
        <w:tc>
          <w:tcPr>
            <w:tcW w:w="1294" w:type="dxa"/>
            <w:shd w:val="clear" w:color="auto" w:fill="auto"/>
          </w:tcPr>
          <w:p w14:paraId="6C10D58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IVS8</w:t>
            </w:r>
            <w:r>
              <w:rPr>
                <w:rFonts w:ascii="Book Antiqua" w:eastAsia="宋体" w:hAnsi="Book Antiqua" w:hint="eastAsia"/>
                <w:color w:val="000000"/>
                <w:lang w:eastAsia="zh-CN"/>
              </w:rPr>
              <w:t>:</w:t>
            </w:r>
            <w:r>
              <w:rPr>
                <w:rFonts w:ascii="Book Antiqua" w:eastAsia="宋体" w:hAnsi="Book Antiqua"/>
                <w:color w:val="000000"/>
                <w:lang w:eastAsia="zh-CN"/>
              </w:rPr>
              <w:t xml:space="preserve"> </w:t>
            </w:r>
            <w:r>
              <w:rPr>
                <w:rFonts w:ascii="Book Antiqua" w:eastAsia="宋体" w:hAnsi="Book Antiqua"/>
                <w:color w:val="000000"/>
              </w:rPr>
              <w:t xml:space="preserve">+3- </w:t>
            </w:r>
            <w:r>
              <w:rPr>
                <w:rFonts w:ascii="Book Antiqua" w:eastAsia="宋体" w:hAnsi="Book Antiqua"/>
                <w:color w:val="000000"/>
              </w:rPr>
              <w:lastRenderedPageBreak/>
              <w:t>+6 GAGT del</w:t>
            </w:r>
          </w:p>
        </w:tc>
        <w:tc>
          <w:tcPr>
            <w:tcW w:w="1119" w:type="dxa"/>
            <w:shd w:val="clear" w:color="auto" w:fill="auto"/>
          </w:tcPr>
          <w:p w14:paraId="5CDBFD3F" w14:textId="77777777" w:rsidR="0012737F" w:rsidRDefault="0012737F">
            <w:pPr>
              <w:widowControl w:val="0"/>
              <w:spacing w:line="360" w:lineRule="auto"/>
              <w:jc w:val="both"/>
              <w:rPr>
                <w:rFonts w:ascii="Book Antiqua" w:eastAsia="宋体" w:hAnsi="Book Antiqua"/>
                <w:color w:val="000000"/>
              </w:rPr>
            </w:pPr>
          </w:p>
        </w:tc>
        <w:tc>
          <w:tcPr>
            <w:tcW w:w="3220" w:type="dxa"/>
            <w:shd w:val="clear" w:color="auto" w:fill="auto"/>
          </w:tcPr>
          <w:p w14:paraId="7E8F410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LP (PS1+PM2+PP3+PP4)</w:t>
            </w:r>
          </w:p>
        </w:tc>
        <w:tc>
          <w:tcPr>
            <w:tcW w:w="1367" w:type="dxa"/>
            <w:shd w:val="clear" w:color="auto" w:fill="auto"/>
          </w:tcPr>
          <w:p w14:paraId="58BFE139"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54301C73"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54C05253" w14:textId="77777777" w:rsidR="0012737F" w:rsidRDefault="0012737F">
            <w:pPr>
              <w:widowControl w:val="0"/>
              <w:spacing w:line="360" w:lineRule="auto"/>
              <w:jc w:val="both"/>
              <w:rPr>
                <w:rFonts w:ascii="Book Antiqua" w:eastAsia="Times New Roman" w:hAnsi="Book Antiqua"/>
              </w:rPr>
            </w:pPr>
          </w:p>
        </w:tc>
      </w:tr>
      <w:tr w:rsidR="0012737F" w14:paraId="2666772B" w14:textId="77777777">
        <w:trPr>
          <w:trHeight w:val="499"/>
        </w:trPr>
        <w:tc>
          <w:tcPr>
            <w:tcW w:w="643" w:type="dxa"/>
            <w:shd w:val="clear" w:color="auto" w:fill="auto"/>
          </w:tcPr>
          <w:p w14:paraId="6B71F58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lastRenderedPageBreak/>
              <w:t>37</w:t>
            </w:r>
          </w:p>
        </w:tc>
        <w:tc>
          <w:tcPr>
            <w:tcW w:w="966" w:type="dxa"/>
            <w:shd w:val="clear" w:color="auto" w:fill="auto"/>
          </w:tcPr>
          <w:p w14:paraId="0DE5D0E8"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IKBKG</w:t>
            </w:r>
          </w:p>
        </w:tc>
        <w:tc>
          <w:tcPr>
            <w:tcW w:w="1294" w:type="dxa"/>
            <w:shd w:val="clear" w:color="auto" w:fill="auto"/>
          </w:tcPr>
          <w:p w14:paraId="448C0E0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c.1217A&gt;T</w:t>
            </w:r>
          </w:p>
        </w:tc>
        <w:tc>
          <w:tcPr>
            <w:tcW w:w="1119" w:type="dxa"/>
            <w:shd w:val="clear" w:color="auto" w:fill="auto"/>
            <w:noWrap/>
          </w:tcPr>
          <w:p w14:paraId="4C03E44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D406V</w:t>
            </w:r>
          </w:p>
        </w:tc>
        <w:tc>
          <w:tcPr>
            <w:tcW w:w="3220" w:type="dxa"/>
            <w:shd w:val="clear" w:color="auto" w:fill="auto"/>
          </w:tcPr>
          <w:p w14:paraId="4C599D0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(PS1+PM1+PM2+PP3+PP4)</w:t>
            </w:r>
          </w:p>
        </w:tc>
        <w:tc>
          <w:tcPr>
            <w:tcW w:w="1367" w:type="dxa"/>
            <w:shd w:val="clear" w:color="auto" w:fill="auto"/>
          </w:tcPr>
          <w:p w14:paraId="24E9436C"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23CC5D14"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721B8FBF" w14:textId="77777777" w:rsidR="0012737F" w:rsidRDefault="0012737F">
            <w:pPr>
              <w:widowControl w:val="0"/>
              <w:spacing w:line="360" w:lineRule="auto"/>
              <w:jc w:val="both"/>
              <w:rPr>
                <w:rFonts w:ascii="Book Antiqua" w:eastAsia="Times New Roman" w:hAnsi="Book Antiqua"/>
              </w:rPr>
            </w:pPr>
          </w:p>
        </w:tc>
      </w:tr>
      <w:tr w:rsidR="0012737F" w14:paraId="06192035" w14:textId="77777777">
        <w:trPr>
          <w:trHeight w:val="499"/>
        </w:trPr>
        <w:tc>
          <w:tcPr>
            <w:tcW w:w="643" w:type="dxa"/>
            <w:shd w:val="clear" w:color="auto" w:fill="auto"/>
          </w:tcPr>
          <w:p w14:paraId="43F66BF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38</w:t>
            </w:r>
          </w:p>
        </w:tc>
        <w:tc>
          <w:tcPr>
            <w:tcW w:w="966" w:type="dxa"/>
            <w:shd w:val="clear" w:color="auto" w:fill="auto"/>
          </w:tcPr>
          <w:p w14:paraId="5F979C52"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SLC37A4</w:t>
            </w:r>
          </w:p>
        </w:tc>
        <w:tc>
          <w:tcPr>
            <w:tcW w:w="1294" w:type="dxa"/>
            <w:shd w:val="clear" w:color="auto" w:fill="auto"/>
          </w:tcPr>
          <w:p w14:paraId="5654D03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c.310 ins T</w:t>
            </w:r>
          </w:p>
        </w:tc>
        <w:tc>
          <w:tcPr>
            <w:tcW w:w="1119" w:type="dxa"/>
            <w:shd w:val="clear" w:color="auto" w:fill="auto"/>
            <w:noWrap/>
          </w:tcPr>
          <w:p w14:paraId="0EC52421" w14:textId="77777777" w:rsidR="0012737F" w:rsidRDefault="0012737F">
            <w:pPr>
              <w:widowControl w:val="0"/>
              <w:spacing w:line="360" w:lineRule="auto"/>
              <w:jc w:val="both"/>
              <w:rPr>
                <w:rFonts w:ascii="Book Antiqua" w:eastAsia="宋体" w:hAnsi="Book Antiqua"/>
                <w:color w:val="000000"/>
              </w:rPr>
            </w:pPr>
          </w:p>
        </w:tc>
        <w:tc>
          <w:tcPr>
            <w:tcW w:w="3220" w:type="dxa"/>
            <w:shd w:val="clear" w:color="auto" w:fill="auto"/>
          </w:tcPr>
          <w:p w14:paraId="3C07BE6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(PVS1+PM2+PP4)</w:t>
            </w:r>
          </w:p>
        </w:tc>
        <w:tc>
          <w:tcPr>
            <w:tcW w:w="1367" w:type="dxa"/>
            <w:shd w:val="clear" w:color="auto" w:fill="auto"/>
          </w:tcPr>
          <w:p w14:paraId="1020935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c.1014-1120 del107</w:t>
            </w:r>
          </w:p>
        </w:tc>
        <w:tc>
          <w:tcPr>
            <w:tcW w:w="1054" w:type="dxa"/>
            <w:shd w:val="clear" w:color="auto" w:fill="auto"/>
          </w:tcPr>
          <w:p w14:paraId="4CC25317" w14:textId="77777777" w:rsidR="0012737F" w:rsidRDefault="0012737F">
            <w:pPr>
              <w:widowControl w:val="0"/>
              <w:spacing w:line="360" w:lineRule="auto"/>
              <w:jc w:val="both"/>
              <w:rPr>
                <w:rFonts w:ascii="Book Antiqua" w:eastAsia="宋体" w:hAnsi="Book Antiqua"/>
                <w:color w:val="000000"/>
              </w:rPr>
            </w:pPr>
          </w:p>
        </w:tc>
        <w:tc>
          <w:tcPr>
            <w:tcW w:w="3513" w:type="dxa"/>
            <w:shd w:val="clear" w:color="auto" w:fill="auto"/>
          </w:tcPr>
          <w:p w14:paraId="55FA804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(PVS1+PM2+PP4)</w:t>
            </w:r>
          </w:p>
        </w:tc>
      </w:tr>
      <w:tr w:rsidR="0012737F" w14:paraId="4B7ED86B" w14:textId="77777777">
        <w:trPr>
          <w:trHeight w:val="499"/>
        </w:trPr>
        <w:tc>
          <w:tcPr>
            <w:tcW w:w="643" w:type="dxa"/>
            <w:shd w:val="clear" w:color="auto" w:fill="auto"/>
          </w:tcPr>
          <w:p w14:paraId="0CF54C0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39</w:t>
            </w:r>
          </w:p>
        </w:tc>
        <w:tc>
          <w:tcPr>
            <w:tcW w:w="966" w:type="dxa"/>
            <w:shd w:val="clear" w:color="auto" w:fill="auto"/>
          </w:tcPr>
          <w:p w14:paraId="39715F10"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CYBB</w:t>
            </w:r>
          </w:p>
        </w:tc>
        <w:tc>
          <w:tcPr>
            <w:tcW w:w="1294" w:type="dxa"/>
            <w:shd w:val="clear" w:color="auto" w:fill="auto"/>
          </w:tcPr>
          <w:p w14:paraId="4D58B21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c.674+2T&gt;C</w:t>
            </w:r>
          </w:p>
        </w:tc>
        <w:tc>
          <w:tcPr>
            <w:tcW w:w="1119" w:type="dxa"/>
            <w:shd w:val="clear" w:color="auto" w:fill="auto"/>
          </w:tcPr>
          <w:p w14:paraId="5EB50EEB" w14:textId="77777777" w:rsidR="0012737F" w:rsidRDefault="0012737F">
            <w:pPr>
              <w:widowControl w:val="0"/>
              <w:spacing w:line="360" w:lineRule="auto"/>
              <w:jc w:val="both"/>
              <w:rPr>
                <w:rFonts w:ascii="Book Antiqua" w:eastAsia="宋体" w:hAnsi="Book Antiqua"/>
                <w:color w:val="000000"/>
              </w:rPr>
            </w:pPr>
          </w:p>
        </w:tc>
        <w:tc>
          <w:tcPr>
            <w:tcW w:w="3220" w:type="dxa"/>
            <w:shd w:val="clear" w:color="auto" w:fill="auto"/>
          </w:tcPr>
          <w:p w14:paraId="630A432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(PVS1+PM2+PP4)</w:t>
            </w:r>
          </w:p>
        </w:tc>
        <w:tc>
          <w:tcPr>
            <w:tcW w:w="1367" w:type="dxa"/>
            <w:shd w:val="clear" w:color="auto" w:fill="auto"/>
          </w:tcPr>
          <w:p w14:paraId="1BBF440E"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13A27D7E"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5BB50B49" w14:textId="77777777" w:rsidR="0012737F" w:rsidRDefault="0012737F">
            <w:pPr>
              <w:widowControl w:val="0"/>
              <w:spacing w:line="360" w:lineRule="auto"/>
              <w:jc w:val="both"/>
              <w:rPr>
                <w:rFonts w:ascii="Book Antiqua" w:eastAsia="Times New Roman" w:hAnsi="Book Antiqua"/>
              </w:rPr>
            </w:pPr>
          </w:p>
        </w:tc>
      </w:tr>
      <w:tr w:rsidR="0012737F" w14:paraId="13AF8C40" w14:textId="77777777">
        <w:trPr>
          <w:trHeight w:val="499"/>
        </w:trPr>
        <w:tc>
          <w:tcPr>
            <w:tcW w:w="643" w:type="dxa"/>
            <w:shd w:val="clear" w:color="auto" w:fill="auto"/>
          </w:tcPr>
          <w:p w14:paraId="5C41661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40</w:t>
            </w:r>
          </w:p>
        </w:tc>
        <w:tc>
          <w:tcPr>
            <w:tcW w:w="966" w:type="dxa"/>
            <w:shd w:val="clear" w:color="auto" w:fill="auto"/>
          </w:tcPr>
          <w:p w14:paraId="53F6B621"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CYBB</w:t>
            </w:r>
          </w:p>
        </w:tc>
        <w:tc>
          <w:tcPr>
            <w:tcW w:w="1294" w:type="dxa"/>
            <w:shd w:val="clear" w:color="auto" w:fill="auto"/>
          </w:tcPr>
          <w:p w14:paraId="3AB6032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c.1272G&gt;A</w:t>
            </w:r>
          </w:p>
        </w:tc>
        <w:tc>
          <w:tcPr>
            <w:tcW w:w="1119" w:type="dxa"/>
            <w:shd w:val="clear" w:color="auto" w:fill="auto"/>
            <w:noWrap/>
          </w:tcPr>
          <w:p w14:paraId="73A3CFF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W424X</w:t>
            </w:r>
          </w:p>
        </w:tc>
        <w:tc>
          <w:tcPr>
            <w:tcW w:w="3220" w:type="dxa"/>
            <w:shd w:val="clear" w:color="auto" w:fill="auto"/>
          </w:tcPr>
          <w:p w14:paraId="6E6E775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(PVS1+PS1+PM2+PP4)</w:t>
            </w:r>
          </w:p>
        </w:tc>
        <w:tc>
          <w:tcPr>
            <w:tcW w:w="1367" w:type="dxa"/>
            <w:shd w:val="clear" w:color="auto" w:fill="auto"/>
          </w:tcPr>
          <w:p w14:paraId="1EE6515A"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04CBBB72"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16E2BE69" w14:textId="77777777" w:rsidR="0012737F" w:rsidRDefault="0012737F">
            <w:pPr>
              <w:widowControl w:val="0"/>
              <w:spacing w:line="360" w:lineRule="auto"/>
              <w:jc w:val="both"/>
              <w:rPr>
                <w:rFonts w:ascii="Book Antiqua" w:eastAsia="Times New Roman" w:hAnsi="Book Antiqua"/>
              </w:rPr>
            </w:pPr>
          </w:p>
        </w:tc>
      </w:tr>
      <w:tr w:rsidR="0012737F" w14:paraId="720162F5" w14:textId="77777777">
        <w:trPr>
          <w:trHeight w:val="499"/>
        </w:trPr>
        <w:tc>
          <w:tcPr>
            <w:tcW w:w="643" w:type="dxa"/>
            <w:shd w:val="clear" w:color="auto" w:fill="auto"/>
          </w:tcPr>
          <w:p w14:paraId="50A43F6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41</w:t>
            </w:r>
          </w:p>
        </w:tc>
        <w:tc>
          <w:tcPr>
            <w:tcW w:w="966" w:type="dxa"/>
            <w:shd w:val="clear" w:color="auto" w:fill="auto"/>
          </w:tcPr>
          <w:p w14:paraId="482034B2"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CD40LG</w:t>
            </w:r>
          </w:p>
        </w:tc>
        <w:tc>
          <w:tcPr>
            <w:tcW w:w="1294" w:type="dxa"/>
            <w:shd w:val="clear" w:color="auto" w:fill="auto"/>
          </w:tcPr>
          <w:p w14:paraId="16925CF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c.267delC</w:t>
            </w:r>
          </w:p>
        </w:tc>
        <w:tc>
          <w:tcPr>
            <w:tcW w:w="1119" w:type="dxa"/>
            <w:shd w:val="clear" w:color="auto" w:fill="auto"/>
            <w:noWrap/>
          </w:tcPr>
          <w:p w14:paraId="08045FF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Q90Sfs*6</w:t>
            </w:r>
          </w:p>
        </w:tc>
        <w:tc>
          <w:tcPr>
            <w:tcW w:w="3220" w:type="dxa"/>
            <w:shd w:val="clear" w:color="auto" w:fill="auto"/>
          </w:tcPr>
          <w:p w14:paraId="2AE18AF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LP (PVS1+PM2+PP4)</w:t>
            </w:r>
          </w:p>
        </w:tc>
        <w:tc>
          <w:tcPr>
            <w:tcW w:w="1367" w:type="dxa"/>
            <w:shd w:val="clear" w:color="auto" w:fill="auto"/>
          </w:tcPr>
          <w:p w14:paraId="299C636C"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6F9EE339"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3D7FFC5D" w14:textId="77777777" w:rsidR="0012737F" w:rsidRDefault="0012737F">
            <w:pPr>
              <w:widowControl w:val="0"/>
              <w:spacing w:line="360" w:lineRule="auto"/>
              <w:jc w:val="both"/>
              <w:rPr>
                <w:rFonts w:ascii="Book Antiqua" w:eastAsia="Times New Roman" w:hAnsi="Book Antiqua"/>
              </w:rPr>
            </w:pPr>
          </w:p>
        </w:tc>
      </w:tr>
      <w:tr w:rsidR="0012737F" w14:paraId="1EF407AA" w14:textId="77777777">
        <w:trPr>
          <w:trHeight w:val="499"/>
        </w:trPr>
        <w:tc>
          <w:tcPr>
            <w:tcW w:w="643" w:type="dxa"/>
            <w:shd w:val="clear" w:color="auto" w:fill="auto"/>
          </w:tcPr>
          <w:p w14:paraId="3A3E55C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42</w:t>
            </w:r>
          </w:p>
        </w:tc>
        <w:tc>
          <w:tcPr>
            <w:tcW w:w="966" w:type="dxa"/>
            <w:shd w:val="clear" w:color="auto" w:fill="auto"/>
          </w:tcPr>
          <w:p w14:paraId="046D880A"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LIG4</w:t>
            </w:r>
          </w:p>
        </w:tc>
        <w:tc>
          <w:tcPr>
            <w:tcW w:w="1294" w:type="dxa"/>
            <w:shd w:val="clear" w:color="auto" w:fill="auto"/>
          </w:tcPr>
          <w:p w14:paraId="7908ABD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c.833G&gt;T</w:t>
            </w:r>
          </w:p>
        </w:tc>
        <w:tc>
          <w:tcPr>
            <w:tcW w:w="1119" w:type="dxa"/>
            <w:shd w:val="clear" w:color="auto" w:fill="auto"/>
            <w:noWrap/>
          </w:tcPr>
          <w:p w14:paraId="5CB4560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R278L</w:t>
            </w:r>
          </w:p>
        </w:tc>
        <w:tc>
          <w:tcPr>
            <w:tcW w:w="3220" w:type="dxa"/>
            <w:shd w:val="clear" w:color="auto" w:fill="auto"/>
          </w:tcPr>
          <w:p w14:paraId="0D543F8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LP (PM1+PM2+PM3+PM5+PP3+PP4)</w:t>
            </w:r>
          </w:p>
        </w:tc>
        <w:tc>
          <w:tcPr>
            <w:tcW w:w="1367" w:type="dxa"/>
            <w:shd w:val="clear" w:color="auto" w:fill="auto"/>
          </w:tcPr>
          <w:p w14:paraId="7416E03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c.1144_1145delCT</w:t>
            </w:r>
          </w:p>
        </w:tc>
        <w:tc>
          <w:tcPr>
            <w:tcW w:w="1054" w:type="dxa"/>
            <w:shd w:val="clear" w:color="auto" w:fill="auto"/>
            <w:noWrap/>
          </w:tcPr>
          <w:p w14:paraId="2CA539B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L382Efs*5</w:t>
            </w:r>
          </w:p>
        </w:tc>
        <w:tc>
          <w:tcPr>
            <w:tcW w:w="3513" w:type="dxa"/>
            <w:shd w:val="clear" w:color="auto" w:fill="auto"/>
          </w:tcPr>
          <w:p w14:paraId="59A4B65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LP (PVS1+PS1+PM2+PP4)</w:t>
            </w:r>
          </w:p>
        </w:tc>
      </w:tr>
      <w:tr w:rsidR="0012737F" w14:paraId="53CAE4AB" w14:textId="77777777">
        <w:trPr>
          <w:trHeight w:val="499"/>
        </w:trPr>
        <w:tc>
          <w:tcPr>
            <w:tcW w:w="643" w:type="dxa"/>
            <w:shd w:val="clear" w:color="auto" w:fill="auto"/>
          </w:tcPr>
          <w:p w14:paraId="12D6D95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43</w:t>
            </w:r>
          </w:p>
        </w:tc>
        <w:tc>
          <w:tcPr>
            <w:tcW w:w="966" w:type="dxa"/>
            <w:shd w:val="clear" w:color="auto" w:fill="auto"/>
          </w:tcPr>
          <w:p w14:paraId="575D2E4E"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CARD11</w:t>
            </w:r>
          </w:p>
        </w:tc>
        <w:tc>
          <w:tcPr>
            <w:tcW w:w="1294" w:type="dxa"/>
            <w:shd w:val="clear" w:color="auto" w:fill="auto"/>
          </w:tcPr>
          <w:p w14:paraId="2CC653A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c.155T&gt;C</w:t>
            </w:r>
          </w:p>
        </w:tc>
        <w:tc>
          <w:tcPr>
            <w:tcW w:w="1119" w:type="dxa"/>
            <w:shd w:val="clear" w:color="auto" w:fill="auto"/>
            <w:noWrap/>
          </w:tcPr>
          <w:p w14:paraId="4F842E6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I52T</w:t>
            </w:r>
          </w:p>
        </w:tc>
        <w:tc>
          <w:tcPr>
            <w:tcW w:w="3220" w:type="dxa"/>
            <w:shd w:val="clear" w:color="auto" w:fill="auto"/>
          </w:tcPr>
          <w:p w14:paraId="1CF4B4C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LP (PS2+PM2+PP4)</w:t>
            </w:r>
          </w:p>
        </w:tc>
        <w:tc>
          <w:tcPr>
            <w:tcW w:w="1367" w:type="dxa"/>
            <w:shd w:val="clear" w:color="auto" w:fill="auto"/>
          </w:tcPr>
          <w:p w14:paraId="72C81932"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017B8A61"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7B785E69" w14:textId="77777777" w:rsidR="0012737F" w:rsidRDefault="0012737F">
            <w:pPr>
              <w:widowControl w:val="0"/>
              <w:spacing w:line="360" w:lineRule="auto"/>
              <w:jc w:val="both"/>
              <w:rPr>
                <w:rFonts w:ascii="Book Antiqua" w:eastAsia="Times New Roman" w:hAnsi="Book Antiqua"/>
              </w:rPr>
            </w:pPr>
          </w:p>
        </w:tc>
      </w:tr>
      <w:tr w:rsidR="0012737F" w14:paraId="5BA6B1BC" w14:textId="77777777">
        <w:trPr>
          <w:trHeight w:val="499"/>
        </w:trPr>
        <w:tc>
          <w:tcPr>
            <w:tcW w:w="643" w:type="dxa"/>
            <w:shd w:val="clear" w:color="auto" w:fill="auto"/>
          </w:tcPr>
          <w:p w14:paraId="29B3698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44</w:t>
            </w:r>
          </w:p>
        </w:tc>
        <w:tc>
          <w:tcPr>
            <w:tcW w:w="966" w:type="dxa"/>
            <w:shd w:val="clear" w:color="auto" w:fill="auto"/>
          </w:tcPr>
          <w:p w14:paraId="62E47872"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PIK3CD</w:t>
            </w:r>
          </w:p>
        </w:tc>
        <w:tc>
          <w:tcPr>
            <w:tcW w:w="1294" w:type="dxa"/>
            <w:shd w:val="clear" w:color="auto" w:fill="auto"/>
          </w:tcPr>
          <w:p w14:paraId="71ED98C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c.3061G&gt;A</w:t>
            </w:r>
          </w:p>
        </w:tc>
        <w:tc>
          <w:tcPr>
            <w:tcW w:w="1119" w:type="dxa"/>
            <w:shd w:val="clear" w:color="auto" w:fill="auto"/>
            <w:noWrap/>
          </w:tcPr>
          <w:p w14:paraId="430B3C0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E1021K</w:t>
            </w:r>
          </w:p>
        </w:tc>
        <w:tc>
          <w:tcPr>
            <w:tcW w:w="3220" w:type="dxa"/>
            <w:shd w:val="clear" w:color="auto" w:fill="auto"/>
          </w:tcPr>
          <w:p w14:paraId="210A865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c>
          <w:tcPr>
            <w:tcW w:w="1367" w:type="dxa"/>
            <w:shd w:val="clear" w:color="auto" w:fill="auto"/>
          </w:tcPr>
          <w:p w14:paraId="2BCFF752"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644FBE1B"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623D1049" w14:textId="77777777" w:rsidR="0012737F" w:rsidRDefault="0012737F">
            <w:pPr>
              <w:widowControl w:val="0"/>
              <w:spacing w:line="360" w:lineRule="auto"/>
              <w:jc w:val="both"/>
              <w:rPr>
                <w:rFonts w:ascii="Book Antiqua" w:eastAsia="Times New Roman" w:hAnsi="Book Antiqua"/>
              </w:rPr>
            </w:pPr>
          </w:p>
        </w:tc>
      </w:tr>
      <w:tr w:rsidR="0012737F" w14:paraId="70F387EC" w14:textId="77777777">
        <w:trPr>
          <w:trHeight w:val="499"/>
        </w:trPr>
        <w:tc>
          <w:tcPr>
            <w:tcW w:w="643" w:type="dxa"/>
            <w:shd w:val="clear" w:color="auto" w:fill="auto"/>
          </w:tcPr>
          <w:p w14:paraId="24FD64B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lastRenderedPageBreak/>
              <w:t>45</w:t>
            </w:r>
          </w:p>
        </w:tc>
        <w:tc>
          <w:tcPr>
            <w:tcW w:w="966" w:type="dxa"/>
            <w:shd w:val="clear" w:color="auto" w:fill="auto"/>
          </w:tcPr>
          <w:p w14:paraId="280EB8FF"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57DBDEA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c.350G&gt;A</w:t>
            </w:r>
          </w:p>
        </w:tc>
        <w:tc>
          <w:tcPr>
            <w:tcW w:w="1119" w:type="dxa"/>
            <w:shd w:val="clear" w:color="auto" w:fill="auto"/>
            <w:noWrap/>
          </w:tcPr>
          <w:p w14:paraId="28F9D2F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R117H</w:t>
            </w:r>
          </w:p>
        </w:tc>
        <w:tc>
          <w:tcPr>
            <w:tcW w:w="3220" w:type="dxa"/>
            <w:shd w:val="clear" w:color="auto" w:fill="auto"/>
          </w:tcPr>
          <w:p w14:paraId="131DF6F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(PS1+PM1+PM2+PP3+PP4)</w:t>
            </w:r>
          </w:p>
        </w:tc>
        <w:tc>
          <w:tcPr>
            <w:tcW w:w="1367" w:type="dxa"/>
            <w:shd w:val="clear" w:color="auto" w:fill="auto"/>
          </w:tcPr>
          <w:p w14:paraId="7F990B6B"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2D57FAF6"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23438935" w14:textId="77777777" w:rsidR="0012737F" w:rsidRDefault="0012737F">
            <w:pPr>
              <w:widowControl w:val="0"/>
              <w:spacing w:line="360" w:lineRule="auto"/>
              <w:jc w:val="both"/>
              <w:rPr>
                <w:rFonts w:ascii="Book Antiqua" w:eastAsia="Times New Roman" w:hAnsi="Book Antiqua"/>
              </w:rPr>
            </w:pPr>
          </w:p>
        </w:tc>
      </w:tr>
      <w:tr w:rsidR="0012737F" w14:paraId="141B8D93" w14:textId="77777777">
        <w:trPr>
          <w:trHeight w:val="499"/>
        </w:trPr>
        <w:tc>
          <w:tcPr>
            <w:tcW w:w="643" w:type="dxa"/>
            <w:shd w:val="clear" w:color="auto" w:fill="auto"/>
          </w:tcPr>
          <w:p w14:paraId="49B2687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46</w:t>
            </w:r>
          </w:p>
        </w:tc>
        <w:tc>
          <w:tcPr>
            <w:tcW w:w="966" w:type="dxa"/>
            <w:shd w:val="clear" w:color="auto" w:fill="auto"/>
          </w:tcPr>
          <w:p w14:paraId="5C5F51B5"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4FCE85D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119" w:type="dxa"/>
            <w:shd w:val="clear" w:color="auto" w:fill="auto"/>
            <w:noWrap/>
          </w:tcPr>
          <w:p w14:paraId="40F150F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220" w:type="dxa"/>
            <w:shd w:val="clear" w:color="auto" w:fill="auto"/>
          </w:tcPr>
          <w:p w14:paraId="04BBCEA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c>
          <w:tcPr>
            <w:tcW w:w="1367" w:type="dxa"/>
            <w:shd w:val="clear" w:color="auto" w:fill="auto"/>
          </w:tcPr>
          <w:p w14:paraId="33F2A120"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7E1C09A9"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14AB8BB6" w14:textId="77777777" w:rsidR="0012737F" w:rsidRDefault="0012737F">
            <w:pPr>
              <w:widowControl w:val="0"/>
              <w:spacing w:line="360" w:lineRule="auto"/>
              <w:jc w:val="both"/>
              <w:rPr>
                <w:rFonts w:ascii="Book Antiqua" w:eastAsia="Times New Roman" w:hAnsi="Book Antiqua"/>
              </w:rPr>
            </w:pPr>
          </w:p>
        </w:tc>
      </w:tr>
      <w:tr w:rsidR="0012737F" w14:paraId="102AD334" w14:textId="77777777">
        <w:trPr>
          <w:trHeight w:val="499"/>
        </w:trPr>
        <w:tc>
          <w:tcPr>
            <w:tcW w:w="643" w:type="dxa"/>
            <w:shd w:val="clear" w:color="auto" w:fill="auto"/>
          </w:tcPr>
          <w:p w14:paraId="00130CA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47</w:t>
            </w:r>
          </w:p>
        </w:tc>
        <w:tc>
          <w:tcPr>
            <w:tcW w:w="966" w:type="dxa"/>
            <w:shd w:val="clear" w:color="auto" w:fill="auto"/>
          </w:tcPr>
          <w:p w14:paraId="75DA459A"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51AD0F5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c.787C&gt;T</w:t>
            </w:r>
          </w:p>
        </w:tc>
        <w:tc>
          <w:tcPr>
            <w:tcW w:w="1119" w:type="dxa"/>
            <w:shd w:val="clear" w:color="auto" w:fill="auto"/>
            <w:noWrap/>
          </w:tcPr>
          <w:p w14:paraId="773287E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R263X</w:t>
            </w:r>
          </w:p>
        </w:tc>
        <w:tc>
          <w:tcPr>
            <w:tcW w:w="3220" w:type="dxa"/>
            <w:shd w:val="clear" w:color="auto" w:fill="auto"/>
          </w:tcPr>
          <w:p w14:paraId="68944FB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LP (PVS1+PM2+PP4)</w:t>
            </w:r>
          </w:p>
        </w:tc>
        <w:tc>
          <w:tcPr>
            <w:tcW w:w="1367" w:type="dxa"/>
            <w:shd w:val="clear" w:color="auto" w:fill="auto"/>
          </w:tcPr>
          <w:p w14:paraId="1CC3965F"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166C8166"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5BACD316" w14:textId="77777777" w:rsidR="0012737F" w:rsidRDefault="0012737F">
            <w:pPr>
              <w:widowControl w:val="0"/>
              <w:spacing w:line="360" w:lineRule="auto"/>
              <w:jc w:val="both"/>
              <w:rPr>
                <w:rFonts w:ascii="Book Antiqua" w:eastAsia="Times New Roman" w:hAnsi="Book Antiqua"/>
              </w:rPr>
            </w:pPr>
          </w:p>
        </w:tc>
      </w:tr>
      <w:tr w:rsidR="0012737F" w14:paraId="3E84B517" w14:textId="77777777">
        <w:trPr>
          <w:trHeight w:val="499"/>
        </w:trPr>
        <w:tc>
          <w:tcPr>
            <w:tcW w:w="643" w:type="dxa"/>
            <w:shd w:val="clear" w:color="auto" w:fill="auto"/>
          </w:tcPr>
          <w:p w14:paraId="55F52E0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48</w:t>
            </w:r>
          </w:p>
        </w:tc>
        <w:tc>
          <w:tcPr>
            <w:tcW w:w="966" w:type="dxa"/>
            <w:shd w:val="clear" w:color="auto" w:fill="auto"/>
          </w:tcPr>
          <w:p w14:paraId="39F4C9D2"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7EEF44F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noWrap/>
          </w:tcPr>
          <w:p w14:paraId="3C36BDF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1B22393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0AFAE62E"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565D2057"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4DAE9B32" w14:textId="77777777" w:rsidR="0012737F" w:rsidRDefault="0012737F">
            <w:pPr>
              <w:widowControl w:val="0"/>
              <w:spacing w:line="360" w:lineRule="auto"/>
              <w:jc w:val="both"/>
              <w:rPr>
                <w:rFonts w:ascii="Book Antiqua" w:eastAsia="Times New Roman" w:hAnsi="Book Antiqua"/>
              </w:rPr>
            </w:pPr>
          </w:p>
        </w:tc>
      </w:tr>
      <w:tr w:rsidR="0012737F" w14:paraId="7441AD0A" w14:textId="77777777">
        <w:trPr>
          <w:trHeight w:val="499"/>
        </w:trPr>
        <w:tc>
          <w:tcPr>
            <w:tcW w:w="643" w:type="dxa"/>
            <w:tcBorders>
              <w:bottom w:val="single" w:sz="4" w:space="0" w:color="auto"/>
            </w:tcBorders>
            <w:shd w:val="clear" w:color="auto" w:fill="auto"/>
          </w:tcPr>
          <w:p w14:paraId="04240AB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49</w:t>
            </w:r>
          </w:p>
        </w:tc>
        <w:tc>
          <w:tcPr>
            <w:tcW w:w="966" w:type="dxa"/>
            <w:tcBorders>
              <w:bottom w:val="single" w:sz="4" w:space="0" w:color="auto"/>
            </w:tcBorders>
            <w:shd w:val="clear" w:color="auto" w:fill="auto"/>
          </w:tcPr>
          <w:p w14:paraId="75BC2D1A"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CXCR4</w:t>
            </w:r>
          </w:p>
        </w:tc>
        <w:tc>
          <w:tcPr>
            <w:tcW w:w="1294" w:type="dxa"/>
            <w:tcBorders>
              <w:bottom w:val="single" w:sz="4" w:space="0" w:color="auto"/>
            </w:tcBorders>
            <w:shd w:val="clear" w:color="auto" w:fill="auto"/>
          </w:tcPr>
          <w:p w14:paraId="4F1B2CB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c.1001G&gt;A</w:t>
            </w:r>
          </w:p>
        </w:tc>
        <w:tc>
          <w:tcPr>
            <w:tcW w:w="1119" w:type="dxa"/>
            <w:tcBorders>
              <w:bottom w:val="single" w:sz="4" w:space="0" w:color="auto"/>
            </w:tcBorders>
            <w:shd w:val="clear" w:color="auto" w:fill="auto"/>
          </w:tcPr>
          <w:p w14:paraId="609036E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R334Q</w:t>
            </w:r>
          </w:p>
        </w:tc>
        <w:tc>
          <w:tcPr>
            <w:tcW w:w="3220" w:type="dxa"/>
            <w:tcBorders>
              <w:bottom w:val="single" w:sz="4" w:space="0" w:color="auto"/>
            </w:tcBorders>
            <w:shd w:val="clear" w:color="auto" w:fill="auto"/>
          </w:tcPr>
          <w:p w14:paraId="17966F5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VUS (PM2+PP3+PP4:BS4)</w:t>
            </w:r>
          </w:p>
        </w:tc>
        <w:tc>
          <w:tcPr>
            <w:tcW w:w="1367" w:type="dxa"/>
            <w:tcBorders>
              <w:bottom w:val="single" w:sz="4" w:space="0" w:color="auto"/>
            </w:tcBorders>
            <w:shd w:val="clear" w:color="auto" w:fill="auto"/>
          </w:tcPr>
          <w:p w14:paraId="013A4463" w14:textId="77777777" w:rsidR="0012737F" w:rsidRDefault="0012737F">
            <w:pPr>
              <w:widowControl w:val="0"/>
              <w:spacing w:line="360" w:lineRule="auto"/>
              <w:jc w:val="both"/>
              <w:rPr>
                <w:rFonts w:ascii="Book Antiqua" w:eastAsia="宋体" w:hAnsi="Book Antiqua"/>
                <w:color w:val="000000"/>
              </w:rPr>
            </w:pPr>
          </w:p>
        </w:tc>
        <w:tc>
          <w:tcPr>
            <w:tcW w:w="1054" w:type="dxa"/>
            <w:tcBorders>
              <w:bottom w:val="single" w:sz="4" w:space="0" w:color="auto"/>
            </w:tcBorders>
            <w:shd w:val="clear" w:color="auto" w:fill="auto"/>
          </w:tcPr>
          <w:p w14:paraId="335E2D08" w14:textId="77777777" w:rsidR="0012737F" w:rsidRDefault="0012737F">
            <w:pPr>
              <w:widowControl w:val="0"/>
              <w:spacing w:line="360" w:lineRule="auto"/>
              <w:jc w:val="both"/>
              <w:rPr>
                <w:rFonts w:ascii="Book Antiqua" w:eastAsia="宋体" w:hAnsi="Book Antiqua"/>
                <w:color w:val="000000"/>
              </w:rPr>
            </w:pPr>
          </w:p>
        </w:tc>
        <w:tc>
          <w:tcPr>
            <w:tcW w:w="3513" w:type="dxa"/>
            <w:tcBorders>
              <w:bottom w:val="single" w:sz="4" w:space="0" w:color="auto"/>
            </w:tcBorders>
            <w:shd w:val="clear" w:color="auto" w:fill="auto"/>
          </w:tcPr>
          <w:p w14:paraId="3EF2660C" w14:textId="77777777" w:rsidR="0012737F" w:rsidRDefault="0012737F">
            <w:pPr>
              <w:widowControl w:val="0"/>
              <w:spacing w:line="360" w:lineRule="auto"/>
              <w:jc w:val="both"/>
              <w:rPr>
                <w:rFonts w:ascii="Book Antiqua" w:eastAsia="宋体" w:hAnsi="Book Antiqua"/>
                <w:color w:val="000000"/>
              </w:rPr>
            </w:pPr>
          </w:p>
        </w:tc>
      </w:tr>
    </w:tbl>
    <w:p w14:paraId="16985684" w14:textId="77777777" w:rsidR="0012737F" w:rsidRDefault="00663462">
      <w:pPr>
        <w:spacing w:line="360" w:lineRule="auto"/>
        <w:ind w:firstLine="3"/>
        <w:jc w:val="both"/>
        <w:rPr>
          <w:rFonts w:ascii="Book Antiqua" w:eastAsia="Book Antiqua" w:hAnsi="Book Antiqua" w:cs="Book Antiqua"/>
          <w:color w:val="000000"/>
        </w:rPr>
      </w:pPr>
      <w:r>
        <w:rPr>
          <w:rFonts w:ascii="Book Antiqua" w:eastAsia="Book Antiqua" w:hAnsi="Book Antiqua" w:cs="Book Antiqua"/>
          <w:color w:val="000000"/>
        </w:rPr>
        <w:t>ACMG: American College of Medical Genetics and Genomics; P/LP: Pathogenic/likely pathogenic; VUS: Variants of uncertain significance.</w:t>
      </w:r>
    </w:p>
    <w:p w14:paraId="6D3BBF6C" w14:textId="77777777" w:rsidR="0012737F" w:rsidRDefault="0012737F">
      <w:pPr>
        <w:spacing w:line="360" w:lineRule="auto"/>
        <w:ind w:firstLine="3"/>
        <w:jc w:val="both"/>
        <w:rPr>
          <w:rFonts w:ascii="Book Antiqua" w:eastAsia="Book Antiqua" w:hAnsi="Book Antiqua" w:cs="Book Antiqua"/>
          <w:color w:val="000000"/>
        </w:rPr>
        <w:sectPr w:rsidR="0012737F">
          <w:pgSz w:w="15840" w:h="12240" w:orient="landscape"/>
          <w:pgMar w:top="1440" w:right="1440" w:bottom="1440" w:left="1440" w:header="720" w:footer="720" w:gutter="0"/>
          <w:cols w:space="720"/>
          <w:docGrid w:linePitch="360"/>
        </w:sectPr>
      </w:pPr>
    </w:p>
    <w:p w14:paraId="282B784A" w14:textId="5825FB20" w:rsidR="0012737F" w:rsidRDefault="00663462">
      <w:pPr>
        <w:spacing w:line="360" w:lineRule="auto"/>
        <w:ind w:firstLine="3"/>
        <w:jc w:val="both"/>
        <w:rPr>
          <w:rFonts w:ascii="Book Antiqua" w:hAnsi="Book Antiqua"/>
          <w:b/>
          <w:bCs/>
        </w:rPr>
      </w:pPr>
      <w:r>
        <w:rPr>
          <w:rFonts w:ascii="Book Antiqua" w:hAnsi="Book Antiqua"/>
          <w:b/>
          <w:bCs/>
        </w:rPr>
        <w:lastRenderedPageBreak/>
        <w:t>Table 2 Clinical features and growth parameters among three groups of patients</w:t>
      </w:r>
    </w:p>
    <w:tbl>
      <w:tblPr>
        <w:tblStyle w:val="1"/>
        <w:tblW w:w="9622" w:type="dxa"/>
        <w:tblBorders>
          <w:top w:val="none" w:sz="0" w:space="0" w:color="auto"/>
          <w:bottom w:val="none" w:sz="0" w:space="0" w:color="auto"/>
        </w:tblBorders>
        <w:tblLayout w:type="fixed"/>
        <w:tblLook w:val="04A0" w:firstRow="1" w:lastRow="0" w:firstColumn="1" w:lastColumn="0" w:noHBand="0" w:noVBand="1"/>
      </w:tblPr>
      <w:tblGrid>
        <w:gridCol w:w="2363"/>
        <w:gridCol w:w="1921"/>
        <w:gridCol w:w="2081"/>
        <w:gridCol w:w="2080"/>
        <w:gridCol w:w="1177"/>
      </w:tblGrid>
      <w:tr w:rsidR="0012737F" w14:paraId="18C1E52B" w14:textId="77777777" w:rsidTr="0012737F">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auto"/>
              <w:bottom w:val="single" w:sz="4" w:space="0" w:color="auto"/>
            </w:tcBorders>
            <w:shd w:val="clear" w:color="auto" w:fill="auto"/>
          </w:tcPr>
          <w:p w14:paraId="26B271A5" w14:textId="77777777" w:rsidR="0012737F" w:rsidRDefault="0012737F">
            <w:pPr>
              <w:spacing w:line="360" w:lineRule="auto"/>
              <w:jc w:val="both"/>
              <w:rPr>
                <w:rFonts w:ascii="Book Antiqua" w:hAnsi="Book Antiqua"/>
                <w:b w:val="0"/>
                <w:lang w:eastAsia="zh-CN"/>
              </w:rPr>
            </w:pPr>
          </w:p>
        </w:tc>
        <w:tc>
          <w:tcPr>
            <w:tcW w:w="1921" w:type="dxa"/>
            <w:tcBorders>
              <w:top w:val="single" w:sz="4" w:space="0" w:color="auto"/>
              <w:bottom w:val="single" w:sz="4" w:space="0" w:color="auto"/>
            </w:tcBorders>
            <w:shd w:val="clear" w:color="auto" w:fill="auto"/>
          </w:tcPr>
          <w:p w14:paraId="26BE9AB7"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AP</w:t>
            </w:r>
          </w:p>
        </w:tc>
        <w:tc>
          <w:tcPr>
            <w:tcW w:w="2081" w:type="dxa"/>
            <w:tcBorders>
              <w:top w:val="single" w:sz="4" w:space="0" w:color="auto"/>
              <w:bottom w:val="single" w:sz="4" w:space="0" w:color="auto"/>
            </w:tcBorders>
            <w:shd w:val="clear" w:color="auto" w:fill="auto"/>
          </w:tcPr>
          <w:p w14:paraId="794214CD"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M-IBD </w:t>
            </w:r>
          </w:p>
        </w:tc>
        <w:tc>
          <w:tcPr>
            <w:tcW w:w="2080" w:type="dxa"/>
            <w:tcBorders>
              <w:top w:val="single" w:sz="4" w:space="0" w:color="auto"/>
              <w:bottom w:val="single" w:sz="4" w:space="0" w:color="auto"/>
            </w:tcBorders>
            <w:shd w:val="clear" w:color="auto" w:fill="auto"/>
          </w:tcPr>
          <w:p w14:paraId="7724F0C2"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NM-IBD</w:t>
            </w:r>
          </w:p>
        </w:tc>
        <w:tc>
          <w:tcPr>
            <w:tcW w:w="1177" w:type="dxa"/>
            <w:tcBorders>
              <w:top w:val="single" w:sz="4" w:space="0" w:color="auto"/>
              <w:bottom w:val="single" w:sz="4" w:space="0" w:color="auto"/>
            </w:tcBorders>
            <w:shd w:val="clear" w:color="auto" w:fill="auto"/>
          </w:tcPr>
          <w:p w14:paraId="5F353F15"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Cs/>
                <w:lang w:eastAsia="zh-CN"/>
              </w:rPr>
            </w:pPr>
            <w:r>
              <w:rPr>
                <w:rFonts w:ascii="Book Antiqua" w:hAnsi="Book Antiqua"/>
                <w:i/>
                <w:lang w:eastAsia="zh-CN"/>
              </w:rPr>
              <w:t xml:space="preserve">P </w:t>
            </w:r>
            <w:r>
              <w:rPr>
                <w:rFonts w:ascii="Book Antiqua" w:hAnsi="Book Antiqua"/>
                <w:iCs/>
                <w:lang w:eastAsia="zh-CN"/>
              </w:rPr>
              <w:t>value</w:t>
            </w:r>
          </w:p>
        </w:tc>
      </w:tr>
      <w:tr w:rsidR="0012737F" w14:paraId="3606AB87" w14:textId="77777777" w:rsidTr="0012737F">
        <w:trPr>
          <w:trHeight w:val="454"/>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auto"/>
            </w:tcBorders>
            <w:shd w:val="clear" w:color="auto" w:fill="auto"/>
          </w:tcPr>
          <w:p w14:paraId="6181629C" w14:textId="77777777" w:rsidR="0012737F" w:rsidRDefault="00663462">
            <w:pPr>
              <w:spacing w:line="360" w:lineRule="auto"/>
              <w:rPr>
                <w:rFonts w:ascii="Book Antiqua" w:hAnsi="Book Antiqua"/>
                <w:b w:val="0"/>
                <w:lang w:eastAsia="zh-CN"/>
              </w:rPr>
            </w:pPr>
            <w:r>
              <w:rPr>
                <w:rFonts w:ascii="Book Antiqua" w:hAnsi="Book Antiqua"/>
                <w:b w:val="0"/>
                <w:lang w:eastAsia="zh-CN"/>
              </w:rPr>
              <w:t>Total number</w:t>
            </w:r>
          </w:p>
        </w:tc>
        <w:tc>
          <w:tcPr>
            <w:tcW w:w="1921" w:type="dxa"/>
            <w:tcBorders>
              <w:top w:val="single" w:sz="4" w:space="0" w:color="auto"/>
            </w:tcBorders>
            <w:shd w:val="clear" w:color="auto" w:fill="auto"/>
          </w:tcPr>
          <w:p w14:paraId="3BB0D928"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40</w:t>
            </w:r>
          </w:p>
        </w:tc>
        <w:tc>
          <w:tcPr>
            <w:tcW w:w="2081" w:type="dxa"/>
            <w:tcBorders>
              <w:top w:val="single" w:sz="4" w:space="0" w:color="auto"/>
            </w:tcBorders>
            <w:shd w:val="clear" w:color="auto" w:fill="auto"/>
          </w:tcPr>
          <w:p w14:paraId="0A87AF3F"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44</w:t>
            </w:r>
          </w:p>
        </w:tc>
        <w:tc>
          <w:tcPr>
            <w:tcW w:w="2080" w:type="dxa"/>
            <w:tcBorders>
              <w:top w:val="single" w:sz="4" w:space="0" w:color="auto"/>
            </w:tcBorders>
            <w:shd w:val="clear" w:color="auto" w:fill="auto"/>
          </w:tcPr>
          <w:p w14:paraId="125AC3F4"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29</w:t>
            </w:r>
          </w:p>
        </w:tc>
        <w:tc>
          <w:tcPr>
            <w:tcW w:w="1177" w:type="dxa"/>
            <w:tcBorders>
              <w:top w:val="single" w:sz="4" w:space="0" w:color="auto"/>
            </w:tcBorders>
            <w:shd w:val="clear" w:color="auto" w:fill="auto"/>
          </w:tcPr>
          <w:p w14:paraId="3F1C26BB" w14:textId="77777777" w:rsidR="0012737F" w:rsidRDefault="0012737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r>
      <w:tr w:rsidR="0012737F" w14:paraId="031A5BF4" w14:textId="77777777" w:rsidTr="0012737F">
        <w:trPr>
          <w:trHeight w:val="454"/>
        </w:trPr>
        <w:tc>
          <w:tcPr>
            <w:cnfStyle w:val="001000000000" w:firstRow="0" w:lastRow="0" w:firstColumn="1" w:lastColumn="0" w:oddVBand="0" w:evenVBand="0" w:oddHBand="0" w:evenHBand="0" w:firstRowFirstColumn="0" w:firstRowLastColumn="0" w:lastRowFirstColumn="0" w:lastRowLastColumn="0"/>
            <w:tcW w:w="2363" w:type="dxa"/>
            <w:shd w:val="clear" w:color="auto" w:fill="auto"/>
          </w:tcPr>
          <w:p w14:paraId="38EF1A7B" w14:textId="77777777" w:rsidR="0012737F" w:rsidRDefault="00663462">
            <w:pPr>
              <w:spacing w:line="360" w:lineRule="auto"/>
              <w:rPr>
                <w:rFonts w:ascii="Book Antiqua" w:hAnsi="Book Antiqua"/>
                <w:b w:val="0"/>
                <w:lang w:eastAsia="zh-CN"/>
              </w:rPr>
            </w:pPr>
            <w:r>
              <w:rPr>
                <w:rFonts w:ascii="Book Antiqua" w:hAnsi="Book Antiqua"/>
                <w:b w:val="0"/>
                <w:lang w:eastAsia="zh-CN"/>
              </w:rPr>
              <w:t>Male (%)</w:t>
            </w:r>
          </w:p>
        </w:tc>
        <w:tc>
          <w:tcPr>
            <w:tcW w:w="1921" w:type="dxa"/>
            <w:shd w:val="clear" w:color="auto" w:fill="auto"/>
          </w:tcPr>
          <w:p w14:paraId="47D7C29D"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25 (62.50)</w:t>
            </w:r>
          </w:p>
        </w:tc>
        <w:tc>
          <w:tcPr>
            <w:tcW w:w="2081" w:type="dxa"/>
            <w:shd w:val="clear" w:color="auto" w:fill="auto"/>
          </w:tcPr>
          <w:p w14:paraId="3B51EA63"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27 (61.36)</w:t>
            </w:r>
          </w:p>
        </w:tc>
        <w:tc>
          <w:tcPr>
            <w:tcW w:w="2080" w:type="dxa"/>
            <w:shd w:val="clear" w:color="auto" w:fill="auto"/>
          </w:tcPr>
          <w:p w14:paraId="50999A47"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21 (72.41)</w:t>
            </w:r>
          </w:p>
        </w:tc>
        <w:tc>
          <w:tcPr>
            <w:tcW w:w="1177" w:type="dxa"/>
            <w:shd w:val="clear" w:color="auto" w:fill="auto"/>
          </w:tcPr>
          <w:p w14:paraId="2FC0661E"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0.591</w:t>
            </w:r>
          </w:p>
        </w:tc>
      </w:tr>
      <w:tr w:rsidR="0012737F" w14:paraId="21E9B8CA" w14:textId="77777777" w:rsidTr="0012737F">
        <w:trPr>
          <w:trHeight w:val="894"/>
        </w:trPr>
        <w:tc>
          <w:tcPr>
            <w:cnfStyle w:val="001000000000" w:firstRow="0" w:lastRow="0" w:firstColumn="1" w:lastColumn="0" w:oddVBand="0" w:evenVBand="0" w:oddHBand="0" w:evenHBand="0" w:firstRowFirstColumn="0" w:firstRowLastColumn="0" w:lastRowFirstColumn="0" w:lastRowLastColumn="0"/>
            <w:tcW w:w="2363" w:type="dxa"/>
            <w:shd w:val="clear" w:color="auto" w:fill="auto"/>
          </w:tcPr>
          <w:p w14:paraId="254644F5" w14:textId="77777777" w:rsidR="0012737F" w:rsidRDefault="00663462">
            <w:pPr>
              <w:spacing w:line="360" w:lineRule="auto"/>
              <w:rPr>
                <w:rFonts w:ascii="Book Antiqua" w:hAnsi="Book Antiqua"/>
                <w:b w:val="0"/>
                <w:lang w:eastAsia="zh-CN"/>
              </w:rPr>
            </w:pPr>
            <w:r>
              <w:rPr>
                <w:rFonts w:ascii="Book Antiqua" w:hAnsi="Book Antiqua"/>
                <w:b w:val="0"/>
                <w:lang w:eastAsia="zh-CN"/>
              </w:rPr>
              <w:t>Median onset age (</w:t>
            </w:r>
            <w:proofErr w:type="spellStart"/>
            <w:r>
              <w:rPr>
                <w:rFonts w:ascii="Book Antiqua" w:hAnsi="Book Antiqua"/>
                <w:b w:val="0"/>
                <w:lang w:eastAsia="zh-CN"/>
              </w:rPr>
              <w:t>mo</w:t>
            </w:r>
            <w:proofErr w:type="spellEnd"/>
            <w:r>
              <w:rPr>
                <w:rFonts w:ascii="Book Antiqua" w:hAnsi="Book Antiqua"/>
                <w:b w:val="0"/>
                <w:lang w:eastAsia="zh-CN"/>
              </w:rPr>
              <w:t>, IQR)</w:t>
            </w:r>
          </w:p>
        </w:tc>
        <w:tc>
          <w:tcPr>
            <w:tcW w:w="1921" w:type="dxa"/>
            <w:shd w:val="clear" w:color="auto" w:fill="auto"/>
          </w:tcPr>
          <w:p w14:paraId="13D03005"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4.44 (1.25,11.76)</w:t>
            </w:r>
          </w:p>
        </w:tc>
        <w:tc>
          <w:tcPr>
            <w:tcW w:w="2081" w:type="dxa"/>
            <w:shd w:val="clear" w:color="auto" w:fill="auto"/>
          </w:tcPr>
          <w:p w14:paraId="34CEDF19"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0.51 (0.04,1.79)</w:t>
            </w:r>
            <w:r>
              <w:rPr>
                <w:rFonts w:ascii="Book Antiqua" w:hAnsi="Book Antiqua"/>
                <w:vertAlign w:val="superscript"/>
                <w:lang w:eastAsia="zh-CN"/>
              </w:rPr>
              <w:t>1</w:t>
            </w:r>
          </w:p>
        </w:tc>
        <w:tc>
          <w:tcPr>
            <w:tcW w:w="2080" w:type="dxa"/>
            <w:shd w:val="clear" w:color="auto" w:fill="auto"/>
          </w:tcPr>
          <w:p w14:paraId="7F518D28"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3.99 (3.00,9.00)</w:t>
            </w:r>
          </w:p>
        </w:tc>
        <w:tc>
          <w:tcPr>
            <w:tcW w:w="1177" w:type="dxa"/>
            <w:shd w:val="clear" w:color="auto" w:fill="auto"/>
          </w:tcPr>
          <w:p w14:paraId="76A137E1"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28F720BD" w14:textId="77777777" w:rsidTr="0012737F">
        <w:trPr>
          <w:trHeight w:val="908"/>
        </w:trPr>
        <w:tc>
          <w:tcPr>
            <w:cnfStyle w:val="001000000000" w:firstRow="0" w:lastRow="0" w:firstColumn="1" w:lastColumn="0" w:oddVBand="0" w:evenVBand="0" w:oddHBand="0" w:evenHBand="0" w:firstRowFirstColumn="0" w:firstRowLastColumn="0" w:lastRowFirstColumn="0" w:lastRowLastColumn="0"/>
            <w:tcW w:w="2363" w:type="dxa"/>
            <w:shd w:val="clear" w:color="auto" w:fill="auto"/>
          </w:tcPr>
          <w:p w14:paraId="1E62CF36" w14:textId="441FD06B" w:rsidR="0012737F" w:rsidRDefault="00663462">
            <w:pPr>
              <w:spacing w:line="360" w:lineRule="auto"/>
              <w:rPr>
                <w:rFonts w:ascii="Book Antiqua" w:hAnsi="Book Antiqua"/>
                <w:b w:val="0"/>
                <w:lang w:eastAsia="zh-CN"/>
              </w:rPr>
            </w:pPr>
            <w:r>
              <w:rPr>
                <w:rFonts w:ascii="Book Antiqua" w:hAnsi="Book Antiqua"/>
                <w:b w:val="0"/>
                <w:lang w:eastAsia="zh-CN"/>
              </w:rPr>
              <w:t>Diarrhea (≥ 8 times/d, %)</w:t>
            </w:r>
          </w:p>
        </w:tc>
        <w:tc>
          <w:tcPr>
            <w:tcW w:w="1921" w:type="dxa"/>
            <w:shd w:val="clear" w:color="auto" w:fill="auto"/>
          </w:tcPr>
          <w:p w14:paraId="4FB41C70"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10 (25.00)</w:t>
            </w:r>
            <w:r>
              <w:rPr>
                <w:rFonts w:ascii="Book Antiqua" w:hAnsi="Book Antiqua"/>
                <w:vertAlign w:val="superscript"/>
                <w:lang w:eastAsia="zh-CN"/>
              </w:rPr>
              <w:t xml:space="preserve"> 1</w:t>
            </w:r>
          </w:p>
        </w:tc>
        <w:tc>
          <w:tcPr>
            <w:tcW w:w="2081" w:type="dxa"/>
            <w:shd w:val="clear" w:color="auto" w:fill="auto"/>
          </w:tcPr>
          <w:p w14:paraId="4BB3DC03"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38 (86.40)</w:t>
            </w:r>
            <w:r>
              <w:rPr>
                <w:rFonts w:ascii="Book Antiqua" w:hAnsi="Book Antiqua"/>
                <w:vertAlign w:val="superscript"/>
                <w:lang w:eastAsia="zh-CN"/>
              </w:rPr>
              <w:t xml:space="preserve"> 1</w:t>
            </w:r>
          </w:p>
        </w:tc>
        <w:tc>
          <w:tcPr>
            <w:tcW w:w="2080" w:type="dxa"/>
            <w:shd w:val="clear" w:color="auto" w:fill="auto"/>
          </w:tcPr>
          <w:p w14:paraId="4E0C4B70"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17 (58.60)</w:t>
            </w:r>
          </w:p>
        </w:tc>
        <w:tc>
          <w:tcPr>
            <w:tcW w:w="1177" w:type="dxa"/>
            <w:shd w:val="clear" w:color="auto" w:fill="auto"/>
          </w:tcPr>
          <w:p w14:paraId="48B6D430"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72231A2A" w14:textId="77777777" w:rsidTr="0012737F">
        <w:trPr>
          <w:trHeight w:val="894"/>
        </w:trPr>
        <w:tc>
          <w:tcPr>
            <w:cnfStyle w:val="001000000000" w:firstRow="0" w:lastRow="0" w:firstColumn="1" w:lastColumn="0" w:oddVBand="0" w:evenVBand="0" w:oddHBand="0" w:evenHBand="0" w:firstRowFirstColumn="0" w:firstRowLastColumn="0" w:lastRowFirstColumn="0" w:lastRowLastColumn="0"/>
            <w:tcW w:w="2363" w:type="dxa"/>
            <w:shd w:val="clear" w:color="auto" w:fill="auto"/>
          </w:tcPr>
          <w:p w14:paraId="2BAFAA55" w14:textId="138B71E4" w:rsidR="0012737F" w:rsidRDefault="00663462">
            <w:pPr>
              <w:spacing w:line="360" w:lineRule="auto"/>
              <w:rPr>
                <w:rFonts w:ascii="Book Antiqua" w:hAnsi="Book Antiqua"/>
                <w:b w:val="0"/>
                <w:lang w:eastAsia="zh-CN"/>
              </w:rPr>
            </w:pPr>
            <w:r>
              <w:rPr>
                <w:rFonts w:ascii="Book Antiqua" w:hAnsi="Book Antiqua"/>
                <w:b w:val="0"/>
                <w:lang w:eastAsia="zh-CN"/>
              </w:rPr>
              <w:t>Diarrhea with blood (%)</w:t>
            </w:r>
          </w:p>
        </w:tc>
        <w:tc>
          <w:tcPr>
            <w:tcW w:w="1921" w:type="dxa"/>
            <w:shd w:val="clear" w:color="auto" w:fill="auto"/>
          </w:tcPr>
          <w:p w14:paraId="0D265726"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30 (75.00)</w:t>
            </w:r>
          </w:p>
        </w:tc>
        <w:tc>
          <w:tcPr>
            <w:tcW w:w="2081" w:type="dxa"/>
            <w:shd w:val="clear" w:color="auto" w:fill="auto"/>
          </w:tcPr>
          <w:p w14:paraId="12E9FF3C"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29 (65.90)</w:t>
            </w:r>
          </w:p>
        </w:tc>
        <w:tc>
          <w:tcPr>
            <w:tcW w:w="2080" w:type="dxa"/>
            <w:shd w:val="clear" w:color="auto" w:fill="auto"/>
          </w:tcPr>
          <w:p w14:paraId="35F15DA4"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24 (82.80)</w:t>
            </w:r>
          </w:p>
        </w:tc>
        <w:tc>
          <w:tcPr>
            <w:tcW w:w="1177" w:type="dxa"/>
            <w:shd w:val="clear" w:color="auto" w:fill="auto"/>
          </w:tcPr>
          <w:p w14:paraId="07A222F1"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0.320</w:t>
            </w:r>
          </w:p>
        </w:tc>
      </w:tr>
      <w:tr w:rsidR="0012737F" w14:paraId="2C41C06B" w14:textId="77777777" w:rsidTr="0012737F">
        <w:trPr>
          <w:trHeight w:val="319"/>
        </w:trPr>
        <w:tc>
          <w:tcPr>
            <w:cnfStyle w:val="001000000000" w:firstRow="0" w:lastRow="0" w:firstColumn="1" w:lastColumn="0" w:oddVBand="0" w:evenVBand="0" w:oddHBand="0" w:evenHBand="0" w:firstRowFirstColumn="0" w:firstRowLastColumn="0" w:lastRowFirstColumn="0" w:lastRowLastColumn="0"/>
            <w:tcW w:w="2363" w:type="dxa"/>
            <w:shd w:val="clear" w:color="auto" w:fill="auto"/>
          </w:tcPr>
          <w:p w14:paraId="47AFBA50" w14:textId="77777777" w:rsidR="0012737F" w:rsidRDefault="00663462">
            <w:pPr>
              <w:spacing w:line="360" w:lineRule="auto"/>
              <w:rPr>
                <w:rFonts w:ascii="Book Antiqua" w:hAnsi="Book Antiqua"/>
                <w:b w:val="0"/>
                <w:lang w:eastAsia="zh-CN"/>
              </w:rPr>
            </w:pPr>
            <w:r>
              <w:rPr>
                <w:rFonts w:ascii="Book Antiqua" w:hAnsi="Book Antiqua"/>
                <w:b w:val="0"/>
                <w:lang w:eastAsia="zh-CN"/>
              </w:rPr>
              <w:t>Perianal disease (%)</w:t>
            </w:r>
          </w:p>
        </w:tc>
        <w:tc>
          <w:tcPr>
            <w:tcW w:w="1921" w:type="dxa"/>
            <w:shd w:val="clear" w:color="auto" w:fill="auto"/>
          </w:tcPr>
          <w:p w14:paraId="3B8B6F0C"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 (0)</w:t>
            </w:r>
          </w:p>
        </w:tc>
        <w:tc>
          <w:tcPr>
            <w:tcW w:w="2081" w:type="dxa"/>
            <w:shd w:val="clear" w:color="auto" w:fill="auto"/>
          </w:tcPr>
          <w:p w14:paraId="6F2FECFC"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35 (79.54)</w:t>
            </w:r>
            <w:r>
              <w:rPr>
                <w:rFonts w:ascii="Book Antiqua" w:hAnsi="Book Antiqua"/>
                <w:vertAlign w:val="superscript"/>
                <w:lang w:eastAsia="zh-CN"/>
              </w:rPr>
              <w:t xml:space="preserve"> 1</w:t>
            </w:r>
          </w:p>
        </w:tc>
        <w:tc>
          <w:tcPr>
            <w:tcW w:w="2080" w:type="dxa"/>
            <w:shd w:val="clear" w:color="auto" w:fill="auto"/>
          </w:tcPr>
          <w:p w14:paraId="1CA36048"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 (24.14)</w:t>
            </w:r>
          </w:p>
        </w:tc>
        <w:tc>
          <w:tcPr>
            <w:tcW w:w="1177" w:type="dxa"/>
            <w:shd w:val="clear" w:color="auto" w:fill="auto"/>
          </w:tcPr>
          <w:p w14:paraId="42B170D0"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0.005</w:t>
            </w:r>
          </w:p>
        </w:tc>
      </w:tr>
      <w:tr w:rsidR="0012737F" w14:paraId="610EC602" w14:textId="77777777" w:rsidTr="0012737F">
        <w:trPr>
          <w:trHeight w:val="454"/>
        </w:trPr>
        <w:tc>
          <w:tcPr>
            <w:cnfStyle w:val="001000000000" w:firstRow="0" w:lastRow="0" w:firstColumn="1" w:lastColumn="0" w:oddVBand="0" w:evenVBand="0" w:oddHBand="0" w:evenHBand="0" w:firstRowFirstColumn="0" w:firstRowLastColumn="0" w:lastRowFirstColumn="0" w:lastRowLastColumn="0"/>
            <w:tcW w:w="2363" w:type="dxa"/>
            <w:shd w:val="clear" w:color="auto" w:fill="auto"/>
          </w:tcPr>
          <w:p w14:paraId="717F8F14" w14:textId="77777777" w:rsidR="0012737F" w:rsidRDefault="00663462">
            <w:pPr>
              <w:spacing w:line="360" w:lineRule="auto"/>
              <w:rPr>
                <w:rFonts w:ascii="Book Antiqua" w:hAnsi="Book Antiqua"/>
                <w:b w:val="0"/>
                <w:lang w:eastAsia="zh-CN"/>
              </w:rPr>
            </w:pPr>
            <w:r>
              <w:rPr>
                <w:rFonts w:ascii="Book Antiqua" w:hAnsi="Book Antiqua"/>
                <w:b w:val="0"/>
                <w:lang w:eastAsia="zh-CN"/>
              </w:rPr>
              <w:t>Fever (%)</w:t>
            </w:r>
          </w:p>
        </w:tc>
        <w:tc>
          <w:tcPr>
            <w:tcW w:w="1921" w:type="dxa"/>
            <w:shd w:val="clear" w:color="auto" w:fill="auto"/>
          </w:tcPr>
          <w:p w14:paraId="45A0D3AC"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 (5.00)</w:t>
            </w:r>
            <w:r>
              <w:rPr>
                <w:rFonts w:ascii="Book Antiqua" w:hAnsi="Book Antiqua"/>
                <w:vertAlign w:val="superscript"/>
                <w:lang w:eastAsia="zh-CN"/>
              </w:rPr>
              <w:t>1</w:t>
            </w:r>
          </w:p>
        </w:tc>
        <w:tc>
          <w:tcPr>
            <w:tcW w:w="2081" w:type="dxa"/>
            <w:shd w:val="clear" w:color="auto" w:fill="auto"/>
          </w:tcPr>
          <w:p w14:paraId="45E54C6B"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28 (63.63)</w:t>
            </w:r>
          </w:p>
        </w:tc>
        <w:tc>
          <w:tcPr>
            <w:tcW w:w="2080" w:type="dxa"/>
            <w:shd w:val="clear" w:color="auto" w:fill="auto"/>
          </w:tcPr>
          <w:p w14:paraId="08B18409"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12 (41.38)</w:t>
            </w:r>
          </w:p>
        </w:tc>
        <w:tc>
          <w:tcPr>
            <w:tcW w:w="1177" w:type="dxa"/>
            <w:shd w:val="clear" w:color="auto" w:fill="auto"/>
          </w:tcPr>
          <w:p w14:paraId="1D22F49C"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019EC089" w14:textId="77777777" w:rsidTr="0012737F">
        <w:trPr>
          <w:trHeight w:val="454"/>
        </w:trPr>
        <w:tc>
          <w:tcPr>
            <w:cnfStyle w:val="001000000000" w:firstRow="0" w:lastRow="0" w:firstColumn="1" w:lastColumn="0" w:oddVBand="0" w:evenVBand="0" w:oddHBand="0" w:evenHBand="0" w:firstRowFirstColumn="0" w:firstRowLastColumn="0" w:lastRowFirstColumn="0" w:lastRowLastColumn="0"/>
            <w:tcW w:w="2363" w:type="dxa"/>
            <w:shd w:val="clear" w:color="auto" w:fill="auto"/>
          </w:tcPr>
          <w:p w14:paraId="0ECF238E" w14:textId="77777777" w:rsidR="0012737F" w:rsidRDefault="00663462">
            <w:pPr>
              <w:spacing w:line="360" w:lineRule="auto"/>
              <w:rPr>
                <w:rFonts w:ascii="Book Antiqua" w:hAnsi="Book Antiqua"/>
                <w:b w:val="0"/>
                <w:lang w:eastAsia="zh-CN"/>
              </w:rPr>
            </w:pPr>
            <w:r>
              <w:rPr>
                <w:rFonts w:ascii="Book Antiqua" w:hAnsi="Book Antiqua"/>
                <w:b w:val="0"/>
                <w:lang w:eastAsia="zh-CN"/>
              </w:rPr>
              <w:t>Death (%)</w:t>
            </w:r>
          </w:p>
        </w:tc>
        <w:tc>
          <w:tcPr>
            <w:tcW w:w="1921" w:type="dxa"/>
            <w:shd w:val="clear" w:color="auto" w:fill="auto"/>
          </w:tcPr>
          <w:p w14:paraId="3B93B67C"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 (0.00)</w:t>
            </w:r>
          </w:p>
        </w:tc>
        <w:tc>
          <w:tcPr>
            <w:tcW w:w="2081" w:type="dxa"/>
            <w:shd w:val="clear" w:color="auto" w:fill="auto"/>
          </w:tcPr>
          <w:p w14:paraId="2CCC79DB"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9 (20.45)</w:t>
            </w:r>
          </w:p>
        </w:tc>
        <w:tc>
          <w:tcPr>
            <w:tcW w:w="2080" w:type="dxa"/>
            <w:shd w:val="clear" w:color="auto" w:fill="auto"/>
          </w:tcPr>
          <w:p w14:paraId="3B6B92FC"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 (3.45)</w:t>
            </w:r>
            <w:r>
              <w:rPr>
                <w:rFonts w:ascii="Book Antiqua" w:hAnsi="Book Antiqua"/>
                <w:vertAlign w:val="superscript"/>
                <w:lang w:eastAsia="zh-CN"/>
              </w:rPr>
              <w:t>2</w:t>
            </w:r>
          </w:p>
        </w:tc>
        <w:tc>
          <w:tcPr>
            <w:tcW w:w="1177" w:type="dxa"/>
            <w:shd w:val="clear" w:color="auto" w:fill="auto"/>
          </w:tcPr>
          <w:p w14:paraId="28F2B1E1"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0.001</w:t>
            </w:r>
          </w:p>
        </w:tc>
      </w:tr>
      <w:tr w:rsidR="0012737F" w14:paraId="292DF5F0" w14:textId="77777777" w:rsidTr="0012737F">
        <w:trPr>
          <w:trHeight w:val="678"/>
        </w:trPr>
        <w:tc>
          <w:tcPr>
            <w:cnfStyle w:val="001000000000" w:firstRow="0" w:lastRow="0" w:firstColumn="1" w:lastColumn="0" w:oddVBand="0" w:evenVBand="0" w:oddHBand="0" w:evenHBand="0" w:firstRowFirstColumn="0" w:firstRowLastColumn="0" w:lastRowFirstColumn="0" w:lastRowLastColumn="0"/>
            <w:tcW w:w="2363" w:type="dxa"/>
            <w:shd w:val="clear" w:color="auto" w:fill="auto"/>
          </w:tcPr>
          <w:p w14:paraId="424CF94C" w14:textId="77777777" w:rsidR="0012737F" w:rsidRDefault="00663462">
            <w:pPr>
              <w:spacing w:line="360" w:lineRule="auto"/>
              <w:rPr>
                <w:rFonts w:ascii="Book Antiqua" w:hAnsi="Book Antiqua"/>
                <w:b w:val="0"/>
                <w:lang w:eastAsia="zh-CN"/>
              </w:rPr>
            </w:pPr>
            <w:r>
              <w:rPr>
                <w:rFonts w:ascii="Book Antiqua" w:hAnsi="Book Antiqua"/>
                <w:b w:val="0"/>
                <w:i/>
                <w:iCs/>
                <w:lang w:eastAsia="zh-CN"/>
              </w:rPr>
              <w:t>Z</w:t>
            </w:r>
            <w:r>
              <w:rPr>
                <w:rFonts w:ascii="Book Antiqua" w:hAnsi="Book Antiqua"/>
                <w:b w:val="0"/>
                <w:lang w:eastAsia="zh-CN"/>
              </w:rPr>
              <w:t xml:space="preserve"> scores for weight (</w:t>
            </w:r>
            <w:bookmarkStart w:id="7" w:name="OLE_LINK2"/>
            <w:bookmarkStart w:id="8" w:name="OLE_LINK1"/>
            <w:r>
              <w:rPr>
                <w:rFonts w:ascii="Book Antiqua" w:hAnsi="Book Antiqua"/>
                <w:b w:val="0"/>
                <w:color w:val="auto"/>
                <w:lang w:eastAsia="zh-CN"/>
              </w:rPr>
              <w:t xml:space="preserve">mean </w:t>
            </w:r>
            <w:r>
              <w:rPr>
                <w:rFonts w:ascii="Book Antiqua" w:hAnsi="Book Antiqua"/>
                <w:b w:val="0"/>
                <w:lang w:eastAsia="zh-CN"/>
              </w:rPr>
              <w:t>±</w:t>
            </w:r>
            <w:bookmarkEnd w:id="7"/>
            <w:bookmarkEnd w:id="8"/>
            <w:r>
              <w:rPr>
                <w:rFonts w:ascii="Book Antiqua" w:hAnsi="Book Antiqua"/>
                <w:b w:val="0"/>
                <w:lang w:eastAsia="zh-CN"/>
              </w:rPr>
              <w:t xml:space="preserve"> SD) </w:t>
            </w:r>
          </w:p>
        </w:tc>
        <w:tc>
          <w:tcPr>
            <w:tcW w:w="1921" w:type="dxa"/>
            <w:shd w:val="clear" w:color="auto" w:fill="auto"/>
          </w:tcPr>
          <w:p w14:paraId="1E04B4ED"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-0.05 ± 0.21</w:t>
            </w:r>
            <w:r>
              <w:rPr>
                <w:rFonts w:ascii="Book Antiqua" w:hAnsi="Book Antiqua"/>
                <w:vertAlign w:val="superscript"/>
                <w:lang w:eastAsia="zh-CN"/>
              </w:rPr>
              <w:t>1</w:t>
            </w:r>
          </w:p>
        </w:tc>
        <w:tc>
          <w:tcPr>
            <w:tcW w:w="2081" w:type="dxa"/>
            <w:shd w:val="clear" w:color="auto" w:fill="auto"/>
          </w:tcPr>
          <w:p w14:paraId="359D9EA5"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-1.95 ± 0.26</w:t>
            </w:r>
          </w:p>
        </w:tc>
        <w:tc>
          <w:tcPr>
            <w:tcW w:w="2080" w:type="dxa"/>
            <w:shd w:val="clear" w:color="auto" w:fill="auto"/>
          </w:tcPr>
          <w:p w14:paraId="7ADC02C5"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-1.15 ± 0.29</w:t>
            </w:r>
          </w:p>
        </w:tc>
        <w:tc>
          <w:tcPr>
            <w:tcW w:w="1177" w:type="dxa"/>
            <w:shd w:val="clear" w:color="auto" w:fill="auto"/>
          </w:tcPr>
          <w:p w14:paraId="65632FCF"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3D60D341" w14:textId="77777777" w:rsidTr="0012737F">
        <w:trPr>
          <w:trHeight w:val="620"/>
        </w:trPr>
        <w:tc>
          <w:tcPr>
            <w:cnfStyle w:val="001000000000" w:firstRow="0" w:lastRow="0" w:firstColumn="1" w:lastColumn="0" w:oddVBand="0" w:evenVBand="0" w:oddHBand="0" w:evenHBand="0" w:firstRowFirstColumn="0" w:firstRowLastColumn="0" w:lastRowFirstColumn="0" w:lastRowLastColumn="0"/>
            <w:tcW w:w="2363" w:type="dxa"/>
            <w:shd w:val="clear" w:color="auto" w:fill="auto"/>
          </w:tcPr>
          <w:p w14:paraId="6340B494" w14:textId="77777777" w:rsidR="0012737F" w:rsidRDefault="00663462">
            <w:pPr>
              <w:spacing w:line="360" w:lineRule="auto"/>
              <w:rPr>
                <w:rFonts w:ascii="Book Antiqua" w:hAnsi="Book Antiqua"/>
                <w:b w:val="0"/>
                <w:lang w:eastAsia="zh-CN"/>
              </w:rPr>
            </w:pPr>
            <w:r>
              <w:rPr>
                <w:rFonts w:ascii="Book Antiqua" w:hAnsi="Book Antiqua"/>
                <w:b w:val="0"/>
                <w:i/>
                <w:iCs/>
                <w:lang w:eastAsia="zh-CN"/>
              </w:rPr>
              <w:t>Z</w:t>
            </w:r>
            <w:r>
              <w:rPr>
                <w:rFonts w:ascii="Book Antiqua" w:hAnsi="Book Antiqua"/>
                <w:b w:val="0"/>
                <w:lang w:eastAsia="zh-CN"/>
              </w:rPr>
              <w:t xml:space="preserve"> scores for height (</w:t>
            </w:r>
            <w:r>
              <w:rPr>
                <w:rFonts w:ascii="Book Antiqua" w:hAnsi="Book Antiqua"/>
                <w:b w:val="0"/>
                <w:color w:val="auto"/>
                <w:lang w:eastAsia="zh-CN"/>
              </w:rPr>
              <w:t xml:space="preserve">mean </w:t>
            </w:r>
            <w:r>
              <w:rPr>
                <w:rFonts w:ascii="Book Antiqua" w:hAnsi="Book Antiqua"/>
                <w:b w:val="0"/>
                <w:lang w:eastAsia="zh-CN"/>
              </w:rPr>
              <w:t>± SD)</w:t>
            </w:r>
          </w:p>
        </w:tc>
        <w:tc>
          <w:tcPr>
            <w:tcW w:w="1921" w:type="dxa"/>
            <w:shd w:val="clear" w:color="auto" w:fill="auto"/>
          </w:tcPr>
          <w:p w14:paraId="445C7B0A"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0.19 ± 0.19</w:t>
            </w:r>
            <w:r>
              <w:rPr>
                <w:rFonts w:ascii="Book Antiqua" w:hAnsi="Book Antiqua"/>
                <w:vertAlign w:val="superscript"/>
                <w:lang w:eastAsia="zh-CN"/>
              </w:rPr>
              <w:t>1</w:t>
            </w:r>
          </w:p>
        </w:tc>
        <w:tc>
          <w:tcPr>
            <w:tcW w:w="2081" w:type="dxa"/>
            <w:shd w:val="clear" w:color="auto" w:fill="auto"/>
          </w:tcPr>
          <w:p w14:paraId="2AE91057"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-1.95 ± 0.25</w:t>
            </w:r>
          </w:p>
        </w:tc>
        <w:tc>
          <w:tcPr>
            <w:tcW w:w="2080" w:type="dxa"/>
            <w:shd w:val="clear" w:color="auto" w:fill="auto"/>
          </w:tcPr>
          <w:p w14:paraId="4A24AE0D"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-1.32 ± 0.31</w:t>
            </w:r>
          </w:p>
        </w:tc>
        <w:tc>
          <w:tcPr>
            <w:tcW w:w="1177" w:type="dxa"/>
            <w:shd w:val="clear" w:color="auto" w:fill="auto"/>
          </w:tcPr>
          <w:p w14:paraId="7C35F765"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25753053" w14:textId="77777777" w:rsidTr="0012737F">
        <w:trPr>
          <w:trHeight w:val="920"/>
        </w:trPr>
        <w:tc>
          <w:tcPr>
            <w:cnfStyle w:val="001000000000" w:firstRow="0" w:lastRow="0" w:firstColumn="1" w:lastColumn="0" w:oddVBand="0" w:evenVBand="0" w:oddHBand="0" w:evenHBand="0" w:firstRowFirstColumn="0" w:firstRowLastColumn="0" w:lastRowFirstColumn="0" w:lastRowLastColumn="0"/>
            <w:tcW w:w="2363" w:type="dxa"/>
            <w:tcBorders>
              <w:bottom w:val="single" w:sz="4" w:space="0" w:color="auto"/>
            </w:tcBorders>
            <w:shd w:val="clear" w:color="auto" w:fill="auto"/>
          </w:tcPr>
          <w:p w14:paraId="46953E4D" w14:textId="77777777" w:rsidR="0012737F" w:rsidRDefault="00663462">
            <w:pPr>
              <w:spacing w:line="360" w:lineRule="auto"/>
              <w:rPr>
                <w:rFonts w:ascii="Book Antiqua" w:hAnsi="Book Antiqua"/>
                <w:b w:val="0"/>
                <w:lang w:eastAsia="zh-CN"/>
              </w:rPr>
            </w:pPr>
            <w:r>
              <w:rPr>
                <w:rFonts w:ascii="Book Antiqua" w:hAnsi="Book Antiqua"/>
                <w:b w:val="0"/>
                <w:i/>
                <w:iCs/>
                <w:lang w:eastAsia="zh-CN"/>
              </w:rPr>
              <w:t>Z</w:t>
            </w:r>
            <w:r>
              <w:rPr>
                <w:rFonts w:ascii="Book Antiqua" w:hAnsi="Book Antiqua"/>
                <w:b w:val="0"/>
                <w:lang w:eastAsia="zh-CN"/>
              </w:rPr>
              <w:t xml:space="preserve"> scores for BMI (</w:t>
            </w:r>
            <w:r>
              <w:rPr>
                <w:rFonts w:ascii="Book Antiqua" w:hAnsi="Book Antiqua"/>
                <w:b w:val="0"/>
                <w:color w:val="auto"/>
                <w:lang w:eastAsia="zh-CN"/>
              </w:rPr>
              <w:t xml:space="preserve">mean </w:t>
            </w:r>
            <w:r>
              <w:rPr>
                <w:rFonts w:ascii="Book Antiqua" w:hAnsi="Book Antiqua"/>
                <w:b w:val="0"/>
                <w:lang w:eastAsia="zh-CN"/>
              </w:rPr>
              <w:t>± SD)</w:t>
            </w:r>
          </w:p>
        </w:tc>
        <w:tc>
          <w:tcPr>
            <w:tcW w:w="1921" w:type="dxa"/>
            <w:tcBorders>
              <w:bottom w:val="single" w:sz="4" w:space="0" w:color="auto"/>
            </w:tcBorders>
            <w:shd w:val="clear" w:color="auto" w:fill="auto"/>
          </w:tcPr>
          <w:p w14:paraId="6683FA12"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-0.21 ± 0.24</w:t>
            </w:r>
            <w:r>
              <w:rPr>
                <w:rFonts w:ascii="Book Antiqua" w:hAnsi="Book Antiqua"/>
                <w:vertAlign w:val="superscript"/>
                <w:lang w:eastAsia="zh-CN"/>
              </w:rPr>
              <w:t>2</w:t>
            </w:r>
          </w:p>
        </w:tc>
        <w:tc>
          <w:tcPr>
            <w:tcW w:w="2081" w:type="dxa"/>
            <w:tcBorders>
              <w:bottom w:val="single" w:sz="4" w:space="0" w:color="auto"/>
            </w:tcBorders>
            <w:shd w:val="clear" w:color="auto" w:fill="auto"/>
          </w:tcPr>
          <w:p w14:paraId="701D662B"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bookmarkStart w:id="9" w:name="OLE_LINK7"/>
            <w:r>
              <w:rPr>
                <w:rFonts w:ascii="Book Antiqua" w:hAnsi="Book Antiqua"/>
                <w:lang w:eastAsia="zh-CN"/>
              </w:rPr>
              <w:t>-1.</w:t>
            </w:r>
            <w:bookmarkEnd w:id="9"/>
            <w:r>
              <w:rPr>
                <w:rFonts w:ascii="Book Antiqua" w:hAnsi="Book Antiqua"/>
                <w:lang w:eastAsia="zh-CN"/>
              </w:rPr>
              <w:t>30 ± 0.28</w:t>
            </w:r>
          </w:p>
        </w:tc>
        <w:tc>
          <w:tcPr>
            <w:tcW w:w="2080" w:type="dxa"/>
            <w:tcBorders>
              <w:bottom w:val="single" w:sz="4" w:space="0" w:color="auto"/>
            </w:tcBorders>
            <w:shd w:val="clear" w:color="auto" w:fill="auto"/>
          </w:tcPr>
          <w:p w14:paraId="32E57376"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-0.52 ± 0.27</w:t>
            </w:r>
          </w:p>
        </w:tc>
        <w:tc>
          <w:tcPr>
            <w:tcW w:w="1177" w:type="dxa"/>
            <w:tcBorders>
              <w:bottom w:val="single" w:sz="4" w:space="0" w:color="auto"/>
            </w:tcBorders>
            <w:shd w:val="clear" w:color="auto" w:fill="auto"/>
          </w:tcPr>
          <w:p w14:paraId="278B48D1"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0.026</w:t>
            </w:r>
          </w:p>
        </w:tc>
      </w:tr>
    </w:tbl>
    <w:p w14:paraId="4CF8E7D6" w14:textId="77777777" w:rsidR="00847C2E" w:rsidRDefault="00663462">
      <w:pPr>
        <w:spacing w:line="360" w:lineRule="auto"/>
        <w:jc w:val="both"/>
        <w:rPr>
          <w:rFonts w:ascii="Book Antiqua" w:hAnsi="Book Antiqua"/>
          <w:lang w:eastAsia="zh-CN"/>
        </w:rPr>
      </w:pPr>
      <w:proofErr w:type="gramStart"/>
      <w:r>
        <w:rPr>
          <w:rFonts w:ascii="Book Antiqua" w:hAnsi="Book Antiqua"/>
          <w:vertAlign w:val="superscript"/>
        </w:rPr>
        <w:t>1</w:t>
      </w:r>
      <w:r>
        <w:rPr>
          <w:rFonts w:ascii="Book Antiqua" w:hAnsi="Book Antiqua"/>
        </w:rPr>
        <w:t xml:space="preserve">Compared with the other two groups, adjusted </w:t>
      </w:r>
      <w:r>
        <w:rPr>
          <w:rFonts w:ascii="Book Antiqua" w:hAnsi="Book Antiqua"/>
          <w:i/>
        </w:rPr>
        <w:t>P</w:t>
      </w:r>
      <w:r>
        <w:rPr>
          <w:rFonts w:ascii="Book Antiqua" w:hAnsi="Book Antiqua"/>
        </w:rPr>
        <w:t xml:space="preserve"> value &lt; 0.05.</w:t>
      </w:r>
      <w:proofErr w:type="gramEnd"/>
      <w:r>
        <w:rPr>
          <w:rFonts w:ascii="Book Antiqua" w:hAnsi="Book Antiqua"/>
        </w:rPr>
        <w:t xml:space="preserve"> </w:t>
      </w:r>
    </w:p>
    <w:p w14:paraId="1BCBB50C" w14:textId="03E2E293" w:rsidR="0012737F" w:rsidRDefault="00663462">
      <w:pPr>
        <w:spacing w:line="360" w:lineRule="auto"/>
        <w:jc w:val="both"/>
        <w:rPr>
          <w:rFonts w:ascii="Book Antiqua" w:eastAsia="Book Antiqua" w:hAnsi="Book Antiqua" w:cs="Book Antiqua"/>
          <w:color w:val="000000"/>
          <w:szCs w:val="22"/>
        </w:rPr>
      </w:pPr>
      <w:r>
        <w:rPr>
          <w:rFonts w:ascii="Book Antiqua" w:hAnsi="Book Antiqua"/>
          <w:vertAlign w:val="superscript"/>
        </w:rPr>
        <w:t>2</w:t>
      </w:r>
      <w:r>
        <w:rPr>
          <w:rFonts w:ascii="Book Antiqua" w:hAnsi="Book Antiqua"/>
        </w:rPr>
        <w:t xml:space="preserve">Compared with the </w:t>
      </w:r>
      <w:r>
        <w:rPr>
          <w:rFonts w:ascii="Book Antiqua" w:eastAsia="Book Antiqua" w:hAnsi="Book Antiqua" w:cs="Book Antiqua"/>
          <w:color w:val="000000"/>
          <w:szCs w:val="22"/>
        </w:rPr>
        <w:t>monogenic inflammatory bowel disease</w:t>
      </w:r>
      <w:r>
        <w:rPr>
          <w:rFonts w:ascii="Book Antiqua" w:hAnsi="Book Antiqua"/>
        </w:rPr>
        <w:t xml:space="preserve"> (M-IBD) group, adjusted</w:t>
      </w:r>
      <w:r>
        <w:rPr>
          <w:rFonts w:ascii="Book Antiqua" w:hAnsi="Book Antiqua"/>
          <w:i/>
        </w:rPr>
        <w:t xml:space="preserve"> P</w:t>
      </w:r>
      <w:r>
        <w:rPr>
          <w:rFonts w:ascii="Book Antiqua" w:hAnsi="Book Antiqua"/>
        </w:rPr>
        <w:t xml:space="preserve"> value &lt; 0.05. AP: Allergic proctocolitis; M-IBD: </w:t>
      </w:r>
      <w:r>
        <w:rPr>
          <w:rFonts w:ascii="Book Antiqua" w:eastAsia="Times New Roman" w:hAnsi="Book Antiqua"/>
        </w:rPr>
        <w:t xml:space="preserve">Monogenic </w:t>
      </w:r>
      <w:r>
        <w:rPr>
          <w:rFonts w:ascii="Book Antiqua" w:eastAsia="Book Antiqua" w:hAnsi="Book Antiqua" w:cs="Book Antiqua"/>
          <w:color w:val="000000"/>
          <w:szCs w:val="22"/>
        </w:rPr>
        <w:t>inflammatory bowel disease</w:t>
      </w:r>
      <w:r>
        <w:rPr>
          <w:rFonts w:ascii="Book Antiqua" w:eastAsia="Times New Roman" w:hAnsi="Book Antiqua"/>
        </w:rPr>
        <w:t xml:space="preserve">; NM-IBD: Non-monogenic </w:t>
      </w:r>
      <w:r>
        <w:rPr>
          <w:rFonts w:ascii="Book Antiqua" w:eastAsia="Book Antiqua" w:hAnsi="Book Antiqua" w:cs="Book Antiqua"/>
          <w:color w:val="000000"/>
          <w:szCs w:val="22"/>
        </w:rPr>
        <w:t xml:space="preserve">inflammatory bowel disease; IQR: </w:t>
      </w:r>
      <w:bookmarkStart w:id="10" w:name="_Hlk58234475"/>
      <w:r>
        <w:rPr>
          <w:rFonts w:ascii="Book Antiqua" w:eastAsia="Book Antiqua" w:hAnsi="Book Antiqua" w:cs="Book Antiqua"/>
          <w:color w:val="000000"/>
        </w:rPr>
        <w:t>Interquartile range</w:t>
      </w:r>
      <w:bookmarkEnd w:id="10"/>
      <w:r>
        <w:rPr>
          <w:rFonts w:ascii="Book Antiqua" w:eastAsia="Book Antiqua" w:hAnsi="Book Antiqua" w:cs="Book Antiqua"/>
          <w:color w:val="000000"/>
        </w:rPr>
        <w:t>; SD: Standard deviation; BMI: Body mass index.</w:t>
      </w:r>
    </w:p>
    <w:p w14:paraId="70ED5F7A" w14:textId="292AEE3A" w:rsidR="0012737F" w:rsidRDefault="00663462">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Pr>
          <w:rFonts w:ascii="Book Antiqua" w:eastAsia="Book Antiqua" w:hAnsi="Book Antiqua" w:cs="Book Antiqua"/>
          <w:b/>
          <w:bCs/>
          <w:color w:val="000000"/>
          <w:szCs w:val="22"/>
        </w:rPr>
        <w:lastRenderedPageBreak/>
        <w:t>Table 3 Results of blood test and inflammatory factors among three groups of patients</w:t>
      </w:r>
      <w:r>
        <w:rPr>
          <w:rFonts w:ascii="Book Antiqua" w:eastAsia="宋体" w:hAnsi="Book Antiqua" w:cs="宋体" w:hint="eastAsia"/>
          <w:b/>
          <w:bCs/>
          <w:color w:val="000000"/>
          <w:szCs w:val="22"/>
          <w:lang w:eastAsia="zh-CN"/>
        </w:rPr>
        <w:t xml:space="preserve"> </w:t>
      </w:r>
      <w:r>
        <w:rPr>
          <w:rFonts w:ascii="Book Antiqua" w:eastAsia="宋体" w:hAnsi="Book Antiqua" w:cs="宋体"/>
          <w:b/>
          <w:bCs/>
          <w:color w:val="000000"/>
          <w:szCs w:val="22"/>
          <w:lang w:eastAsia="zh-CN"/>
        </w:rPr>
        <w:t>(</w:t>
      </w:r>
      <w:r>
        <w:rPr>
          <w:rFonts w:ascii="Book Antiqua" w:eastAsia="Book Antiqua" w:hAnsi="Book Antiqua" w:cs="Book Antiqua"/>
          <w:b/>
          <w:bCs/>
          <w:color w:val="000000"/>
          <w:szCs w:val="22"/>
        </w:rPr>
        <w:t>median, interquartile range)</w:t>
      </w:r>
    </w:p>
    <w:tbl>
      <w:tblPr>
        <w:tblStyle w:val="1"/>
        <w:tblW w:w="10916" w:type="dxa"/>
        <w:tblInd w:w="-318" w:type="dxa"/>
        <w:tblBorders>
          <w:top w:val="none" w:sz="0" w:space="0" w:color="auto"/>
          <w:bottom w:val="none" w:sz="0" w:space="0" w:color="auto"/>
        </w:tblBorders>
        <w:tblLayout w:type="fixed"/>
        <w:tblLook w:val="04A0" w:firstRow="1" w:lastRow="0" w:firstColumn="1" w:lastColumn="0" w:noHBand="0" w:noVBand="1"/>
      </w:tblPr>
      <w:tblGrid>
        <w:gridCol w:w="2495"/>
        <w:gridCol w:w="2433"/>
        <w:gridCol w:w="2484"/>
        <w:gridCol w:w="2338"/>
        <w:gridCol w:w="1166"/>
      </w:tblGrid>
      <w:tr w:rsidR="0012737F" w14:paraId="59A213AF" w14:textId="77777777" w:rsidTr="0012737F">
        <w:trPr>
          <w:cnfStyle w:val="100000000000" w:firstRow="1" w:lastRow="0" w:firstColumn="0" w:lastColumn="0" w:oddVBand="0" w:evenVBand="0" w:oddHBand="0"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495" w:type="dxa"/>
            <w:tcBorders>
              <w:top w:val="single" w:sz="4" w:space="0" w:color="auto"/>
              <w:bottom w:val="single" w:sz="4" w:space="0" w:color="auto"/>
            </w:tcBorders>
            <w:shd w:val="clear" w:color="auto" w:fill="auto"/>
          </w:tcPr>
          <w:p w14:paraId="5D74CE85" w14:textId="77777777" w:rsidR="0012737F" w:rsidRDefault="0012737F">
            <w:pPr>
              <w:spacing w:line="360" w:lineRule="auto"/>
              <w:jc w:val="both"/>
              <w:rPr>
                <w:rFonts w:ascii="Book Antiqua" w:hAnsi="Book Antiqua"/>
                <w:b w:val="0"/>
                <w:lang w:eastAsia="zh-CN"/>
              </w:rPr>
            </w:pPr>
          </w:p>
        </w:tc>
        <w:tc>
          <w:tcPr>
            <w:tcW w:w="2433" w:type="dxa"/>
            <w:tcBorders>
              <w:top w:val="single" w:sz="4" w:space="0" w:color="auto"/>
              <w:bottom w:val="single" w:sz="4" w:space="0" w:color="auto"/>
            </w:tcBorders>
            <w:shd w:val="clear" w:color="auto" w:fill="auto"/>
          </w:tcPr>
          <w:p w14:paraId="6523A040"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AP</w:t>
            </w:r>
          </w:p>
        </w:tc>
        <w:tc>
          <w:tcPr>
            <w:tcW w:w="2484" w:type="dxa"/>
            <w:tcBorders>
              <w:top w:val="single" w:sz="4" w:space="0" w:color="auto"/>
              <w:bottom w:val="single" w:sz="4" w:space="0" w:color="auto"/>
            </w:tcBorders>
            <w:shd w:val="clear" w:color="auto" w:fill="auto"/>
          </w:tcPr>
          <w:p w14:paraId="22C7B296"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M-IBD</w:t>
            </w:r>
          </w:p>
        </w:tc>
        <w:tc>
          <w:tcPr>
            <w:tcW w:w="2338" w:type="dxa"/>
            <w:tcBorders>
              <w:top w:val="single" w:sz="4" w:space="0" w:color="auto"/>
              <w:bottom w:val="single" w:sz="4" w:space="0" w:color="auto"/>
            </w:tcBorders>
            <w:shd w:val="clear" w:color="auto" w:fill="auto"/>
          </w:tcPr>
          <w:p w14:paraId="621AD738"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NM-IBD</w:t>
            </w:r>
          </w:p>
        </w:tc>
        <w:tc>
          <w:tcPr>
            <w:tcW w:w="1166" w:type="dxa"/>
            <w:tcBorders>
              <w:top w:val="single" w:sz="4" w:space="0" w:color="auto"/>
              <w:bottom w:val="single" w:sz="4" w:space="0" w:color="auto"/>
            </w:tcBorders>
            <w:shd w:val="clear" w:color="auto" w:fill="auto"/>
          </w:tcPr>
          <w:p w14:paraId="3ABF580F"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lang w:eastAsia="zh-CN"/>
              </w:rPr>
            </w:pPr>
            <w:r>
              <w:rPr>
                <w:rFonts w:ascii="Book Antiqua" w:hAnsi="Book Antiqua"/>
                <w:i/>
                <w:lang w:eastAsia="zh-CN"/>
              </w:rPr>
              <w:t xml:space="preserve">P </w:t>
            </w:r>
            <w:r>
              <w:rPr>
                <w:rFonts w:ascii="Book Antiqua" w:hAnsi="Book Antiqua"/>
                <w:iCs/>
                <w:lang w:eastAsia="zh-CN"/>
              </w:rPr>
              <w:t>value</w:t>
            </w:r>
          </w:p>
        </w:tc>
      </w:tr>
      <w:tr w:rsidR="0012737F" w14:paraId="70BCDD6A" w14:textId="77777777" w:rsidTr="0012737F">
        <w:trPr>
          <w:trHeight w:val="454"/>
        </w:trPr>
        <w:tc>
          <w:tcPr>
            <w:cnfStyle w:val="001000000000" w:firstRow="0" w:lastRow="0" w:firstColumn="1" w:lastColumn="0" w:oddVBand="0" w:evenVBand="0" w:oddHBand="0" w:evenHBand="0" w:firstRowFirstColumn="0" w:firstRowLastColumn="0" w:lastRowFirstColumn="0" w:lastRowLastColumn="0"/>
            <w:tcW w:w="2495" w:type="dxa"/>
            <w:tcBorders>
              <w:top w:val="single" w:sz="4" w:space="0" w:color="auto"/>
            </w:tcBorders>
            <w:shd w:val="clear" w:color="auto" w:fill="auto"/>
          </w:tcPr>
          <w:p w14:paraId="39DA116B"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WBC (× 10</w:t>
            </w:r>
            <w:r>
              <w:rPr>
                <w:rFonts w:ascii="Book Antiqua" w:hAnsi="Book Antiqua"/>
                <w:b w:val="0"/>
                <w:vertAlign w:val="superscript"/>
                <w:lang w:eastAsia="zh-CN"/>
              </w:rPr>
              <w:t>9</w:t>
            </w:r>
            <w:r>
              <w:rPr>
                <w:rFonts w:ascii="Book Antiqua" w:hAnsi="Book Antiqua"/>
                <w:b w:val="0"/>
                <w:lang w:eastAsia="zh-CN"/>
              </w:rPr>
              <w:t>)</w:t>
            </w:r>
          </w:p>
        </w:tc>
        <w:tc>
          <w:tcPr>
            <w:tcW w:w="2433" w:type="dxa"/>
            <w:tcBorders>
              <w:top w:val="single" w:sz="4" w:space="0" w:color="auto"/>
            </w:tcBorders>
            <w:shd w:val="clear" w:color="auto" w:fill="auto"/>
          </w:tcPr>
          <w:p w14:paraId="7DDAFE79"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8.77 (6.78, 10.75)</w:t>
            </w:r>
            <w:r>
              <w:rPr>
                <w:rFonts w:ascii="Book Antiqua" w:hAnsi="Book Antiqua"/>
                <w:vertAlign w:val="superscript"/>
                <w:lang w:eastAsia="zh-CN"/>
              </w:rPr>
              <w:t>1</w:t>
            </w:r>
          </w:p>
        </w:tc>
        <w:tc>
          <w:tcPr>
            <w:tcW w:w="2484" w:type="dxa"/>
            <w:tcBorders>
              <w:top w:val="single" w:sz="4" w:space="0" w:color="auto"/>
            </w:tcBorders>
            <w:shd w:val="clear" w:color="auto" w:fill="auto"/>
          </w:tcPr>
          <w:p w14:paraId="55616888"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14.88 (9.84, 19.37)</w:t>
            </w:r>
          </w:p>
        </w:tc>
        <w:tc>
          <w:tcPr>
            <w:tcW w:w="2338" w:type="dxa"/>
            <w:tcBorders>
              <w:top w:val="single" w:sz="4" w:space="0" w:color="auto"/>
            </w:tcBorders>
            <w:shd w:val="clear" w:color="auto" w:fill="auto"/>
          </w:tcPr>
          <w:p w14:paraId="14F41DEC"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13.77 (8.87,18.51)</w:t>
            </w:r>
          </w:p>
        </w:tc>
        <w:tc>
          <w:tcPr>
            <w:tcW w:w="1166" w:type="dxa"/>
            <w:tcBorders>
              <w:top w:val="single" w:sz="4" w:space="0" w:color="auto"/>
            </w:tcBorders>
            <w:shd w:val="clear" w:color="auto" w:fill="auto"/>
          </w:tcPr>
          <w:p w14:paraId="742CAB84"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705BA17F" w14:textId="77777777" w:rsidTr="0012737F">
        <w:trPr>
          <w:trHeight w:val="209"/>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tcPr>
          <w:p w14:paraId="18870C18"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Hemoglobin</w:t>
            </w:r>
            <w:r>
              <w:rPr>
                <w:rFonts w:ascii="Book Antiqua" w:hAnsi="Book Antiqua" w:hint="eastAsia"/>
                <w:b w:val="0"/>
                <w:lang w:eastAsia="zh-CN"/>
              </w:rPr>
              <w:t xml:space="preserve"> </w:t>
            </w:r>
            <w:r>
              <w:rPr>
                <w:rFonts w:ascii="Book Antiqua" w:hAnsi="Book Antiqua"/>
                <w:b w:val="0"/>
                <w:lang w:eastAsia="zh-CN"/>
              </w:rPr>
              <w:t>(mg/L)</w:t>
            </w:r>
          </w:p>
        </w:tc>
        <w:tc>
          <w:tcPr>
            <w:tcW w:w="2433" w:type="dxa"/>
            <w:shd w:val="clear" w:color="auto" w:fill="auto"/>
          </w:tcPr>
          <w:p w14:paraId="0FE7AD71"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119 (115, 126)</w:t>
            </w:r>
            <w:r>
              <w:rPr>
                <w:rFonts w:ascii="Book Antiqua" w:hAnsi="Book Antiqua"/>
                <w:vertAlign w:val="superscript"/>
                <w:lang w:eastAsia="zh-CN"/>
              </w:rPr>
              <w:t>1</w:t>
            </w:r>
          </w:p>
        </w:tc>
        <w:tc>
          <w:tcPr>
            <w:tcW w:w="2484" w:type="dxa"/>
            <w:shd w:val="clear" w:color="auto" w:fill="auto"/>
          </w:tcPr>
          <w:p w14:paraId="45F58EC8"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98 (90, 113)</w:t>
            </w:r>
          </w:p>
        </w:tc>
        <w:tc>
          <w:tcPr>
            <w:tcW w:w="2338" w:type="dxa"/>
            <w:shd w:val="clear" w:color="auto" w:fill="auto"/>
          </w:tcPr>
          <w:p w14:paraId="78737A7A"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100 (80.50,116)</w:t>
            </w:r>
          </w:p>
        </w:tc>
        <w:tc>
          <w:tcPr>
            <w:tcW w:w="1166" w:type="dxa"/>
            <w:shd w:val="clear" w:color="auto" w:fill="auto"/>
          </w:tcPr>
          <w:p w14:paraId="012E82C6"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0DF422E9" w14:textId="77777777" w:rsidTr="0012737F">
        <w:trPr>
          <w:trHeight w:val="157"/>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tcPr>
          <w:p w14:paraId="064F6E7E"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PLT (× 10</w:t>
            </w:r>
            <w:r>
              <w:rPr>
                <w:rFonts w:ascii="Book Antiqua" w:hAnsi="Book Antiqua"/>
                <w:b w:val="0"/>
                <w:vertAlign w:val="superscript"/>
                <w:lang w:eastAsia="zh-CN"/>
              </w:rPr>
              <w:t>9</w:t>
            </w:r>
            <w:r>
              <w:rPr>
                <w:rFonts w:ascii="Book Antiqua" w:hAnsi="Book Antiqua"/>
                <w:b w:val="0"/>
                <w:lang w:eastAsia="zh-CN"/>
              </w:rPr>
              <w:t>)</w:t>
            </w:r>
          </w:p>
        </w:tc>
        <w:tc>
          <w:tcPr>
            <w:tcW w:w="2433" w:type="dxa"/>
            <w:shd w:val="clear" w:color="auto" w:fill="auto"/>
          </w:tcPr>
          <w:p w14:paraId="304E7F43"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304 (254, 383)</w:t>
            </w:r>
            <w:r>
              <w:rPr>
                <w:rFonts w:ascii="Book Antiqua" w:hAnsi="Book Antiqua"/>
                <w:vertAlign w:val="superscript"/>
                <w:lang w:eastAsia="zh-CN"/>
              </w:rPr>
              <w:t>1</w:t>
            </w:r>
          </w:p>
        </w:tc>
        <w:tc>
          <w:tcPr>
            <w:tcW w:w="2484" w:type="dxa"/>
            <w:shd w:val="clear" w:color="auto" w:fill="auto"/>
          </w:tcPr>
          <w:p w14:paraId="4E74FC9D"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447 (306.75, 591.50)</w:t>
            </w:r>
          </w:p>
        </w:tc>
        <w:tc>
          <w:tcPr>
            <w:tcW w:w="2338" w:type="dxa"/>
            <w:shd w:val="clear" w:color="auto" w:fill="auto"/>
          </w:tcPr>
          <w:p w14:paraId="790BF39D"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477 (323.50, 601.50)</w:t>
            </w:r>
          </w:p>
        </w:tc>
        <w:tc>
          <w:tcPr>
            <w:tcW w:w="1166" w:type="dxa"/>
            <w:shd w:val="clear" w:color="auto" w:fill="auto"/>
          </w:tcPr>
          <w:p w14:paraId="5A8DD368"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0.002</w:t>
            </w:r>
          </w:p>
        </w:tc>
      </w:tr>
      <w:tr w:rsidR="0012737F" w14:paraId="28F0871B" w14:textId="77777777" w:rsidTr="0012737F">
        <w:trPr>
          <w:trHeight w:val="454"/>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tcPr>
          <w:p w14:paraId="69EC0E39"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CRP</w:t>
            </w:r>
            <w:r>
              <w:rPr>
                <w:rFonts w:ascii="Book Antiqua" w:hAnsi="Book Antiqua" w:hint="eastAsia"/>
                <w:b w:val="0"/>
                <w:lang w:eastAsia="zh-CN"/>
              </w:rPr>
              <w:t xml:space="preserve"> </w:t>
            </w:r>
            <w:r>
              <w:rPr>
                <w:rFonts w:ascii="Book Antiqua" w:hAnsi="Book Antiqua"/>
                <w:b w:val="0"/>
                <w:lang w:eastAsia="zh-CN"/>
              </w:rPr>
              <w:t>(mg/L)</w:t>
            </w:r>
          </w:p>
        </w:tc>
        <w:tc>
          <w:tcPr>
            <w:tcW w:w="2433" w:type="dxa"/>
            <w:shd w:val="clear" w:color="auto" w:fill="auto"/>
          </w:tcPr>
          <w:p w14:paraId="1FEA88C9"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 (0.20, 1.00)</w:t>
            </w:r>
            <w:r>
              <w:rPr>
                <w:rFonts w:ascii="Book Antiqua" w:hAnsi="Book Antiqua"/>
                <w:vertAlign w:val="superscript"/>
                <w:lang w:eastAsia="zh-CN"/>
              </w:rPr>
              <w:t>1</w:t>
            </w:r>
          </w:p>
        </w:tc>
        <w:tc>
          <w:tcPr>
            <w:tcW w:w="2484" w:type="dxa"/>
            <w:shd w:val="clear" w:color="auto" w:fill="auto"/>
          </w:tcPr>
          <w:p w14:paraId="038E45F7"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48 (7.98, 75.23)</w:t>
            </w:r>
            <w:r>
              <w:rPr>
                <w:rFonts w:ascii="Book Antiqua" w:hAnsi="Book Antiqua"/>
                <w:vertAlign w:val="superscript"/>
                <w:lang w:eastAsia="zh-CN"/>
              </w:rPr>
              <w:t>1</w:t>
            </w:r>
          </w:p>
        </w:tc>
        <w:tc>
          <w:tcPr>
            <w:tcW w:w="2338" w:type="dxa"/>
            <w:shd w:val="clear" w:color="auto" w:fill="auto"/>
          </w:tcPr>
          <w:p w14:paraId="041EB807"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21 (1.00, 44.35)</w:t>
            </w:r>
          </w:p>
        </w:tc>
        <w:tc>
          <w:tcPr>
            <w:tcW w:w="1166" w:type="dxa"/>
            <w:shd w:val="clear" w:color="auto" w:fill="auto"/>
          </w:tcPr>
          <w:p w14:paraId="298686DD"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755E816C" w14:textId="77777777" w:rsidTr="0012737F">
        <w:trPr>
          <w:trHeight w:val="441"/>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tcPr>
          <w:p w14:paraId="2E7BE0D7"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ESR (mm/h)</w:t>
            </w:r>
          </w:p>
        </w:tc>
        <w:tc>
          <w:tcPr>
            <w:tcW w:w="2433" w:type="dxa"/>
            <w:shd w:val="clear" w:color="auto" w:fill="auto"/>
          </w:tcPr>
          <w:p w14:paraId="616D5D43"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 (4, 8)</w:t>
            </w:r>
            <w:r>
              <w:rPr>
                <w:rFonts w:ascii="Book Antiqua" w:hAnsi="Book Antiqua"/>
                <w:vertAlign w:val="superscript"/>
                <w:lang w:eastAsia="zh-CN"/>
              </w:rPr>
              <w:t>1</w:t>
            </w:r>
          </w:p>
        </w:tc>
        <w:tc>
          <w:tcPr>
            <w:tcW w:w="2484" w:type="dxa"/>
            <w:shd w:val="clear" w:color="auto" w:fill="auto"/>
          </w:tcPr>
          <w:p w14:paraId="3B9FC648"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18.50 (8, 39)</w:t>
            </w:r>
          </w:p>
        </w:tc>
        <w:tc>
          <w:tcPr>
            <w:tcW w:w="2338" w:type="dxa"/>
            <w:shd w:val="clear" w:color="auto" w:fill="auto"/>
          </w:tcPr>
          <w:p w14:paraId="7B86840E"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21 (6, 42)</w:t>
            </w:r>
          </w:p>
        </w:tc>
        <w:tc>
          <w:tcPr>
            <w:tcW w:w="1166" w:type="dxa"/>
            <w:shd w:val="clear" w:color="auto" w:fill="auto"/>
          </w:tcPr>
          <w:p w14:paraId="72850D5C"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4397B575" w14:textId="77777777" w:rsidTr="0012737F">
        <w:trPr>
          <w:trHeight w:val="361"/>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tcPr>
          <w:p w14:paraId="459807F1"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TNF-α (</w:t>
            </w:r>
            <w:proofErr w:type="spellStart"/>
            <w:r>
              <w:rPr>
                <w:rFonts w:ascii="Book Antiqua" w:hAnsi="Book Antiqua"/>
                <w:b w:val="0"/>
                <w:lang w:eastAsia="zh-CN"/>
              </w:rPr>
              <w:t>pg</w:t>
            </w:r>
            <w:proofErr w:type="spellEnd"/>
            <w:r>
              <w:rPr>
                <w:rFonts w:ascii="Book Antiqua" w:hAnsi="Book Antiqua"/>
                <w:b w:val="0"/>
                <w:lang w:eastAsia="zh-CN"/>
              </w:rPr>
              <w:t>/mL)</w:t>
            </w:r>
          </w:p>
        </w:tc>
        <w:tc>
          <w:tcPr>
            <w:tcW w:w="2433" w:type="dxa"/>
            <w:shd w:val="clear" w:color="auto" w:fill="auto"/>
          </w:tcPr>
          <w:p w14:paraId="74757E31"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14.60 (10.68, 17.03)</w:t>
            </w:r>
            <w:r>
              <w:rPr>
                <w:rFonts w:ascii="Book Antiqua" w:hAnsi="Book Antiqua"/>
                <w:vertAlign w:val="superscript"/>
                <w:lang w:eastAsia="zh-CN"/>
              </w:rPr>
              <w:t>1</w:t>
            </w:r>
          </w:p>
        </w:tc>
        <w:tc>
          <w:tcPr>
            <w:tcW w:w="2484" w:type="dxa"/>
            <w:shd w:val="clear" w:color="auto" w:fill="auto"/>
          </w:tcPr>
          <w:p w14:paraId="5A770F3E"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bookmarkStart w:id="11" w:name="OLE_LINK5"/>
            <w:bookmarkStart w:id="12" w:name="OLE_LINK6"/>
            <w:r>
              <w:rPr>
                <w:rFonts w:ascii="Book Antiqua" w:hAnsi="Book Antiqua"/>
                <w:lang w:eastAsia="zh-CN"/>
              </w:rPr>
              <w:t>21.50</w:t>
            </w:r>
            <w:bookmarkEnd w:id="11"/>
            <w:bookmarkEnd w:id="12"/>
            <w:r>
              <w:rPr>
                <w:rFonts w:ascii="Book Antiqua" w:hAnsi="Book Antiqua"/>
                <w:lang w:eastAsia="zh-CN"/>
              </w:rPr>
              <w:t xml:space="preserve"> (17.58, 27.88)</w:t>
            </w:r>
          </w:p>
        </w:tc>
        <w:tc>
          <w:tcPr>
            <w:tcW w:w="2338" w:type="dxa"/>
            <w:shd w:val="clear" w:color="auto" w:fill="auto"/>
          </w:tcPr>
          <w:p w14:paraId="249097AA"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22.90 (14.48, 61.28)</w:t>
            </w:r>
          </w:p>
        </w:tc>
        <w:tc>
          <w:tcPr>
            <w:tcW w:w="1166" w:type="dxa"/>
            <w:shd w:val="clear" w:color="auto" w:fill="auto"/>
          </w:tcPr>
          <w:p w14:paraId="5A171BF0"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3079051B" w14:textId="77777777" w:rsidTr="0012737F">
        <w:trPr>
          <w:trHeight w:val="454"/>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tcPr>
          <w:p w14:paraId="2E19193B"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IL-6 (</w:t>
            </w:r>
            <w:proofErr w:type="spellStart"/>
            <w:r>
              <w:rPr>
                <w:rFonts w:ascii="Book Antiqua" w:hAnsi="Book Antiqua"/>
                <w:b w:val="0"/>
                <w:lang w:eastAsia="zh-CN"/>
              </w:rPr>
              <w:t>pg</w:t>
            </w:r>
            <w:proofErr w:type="spellEnd"/>
            <w:r>
              <w:rPr>
                <w:rFonts w:ascii="Book Antiqua" w:hAnsi="Book Antiqua"/>
                <w:b w:val="0"/>
                <w:lang w:eastAsia="zh-CN"/>
              </w:rPr>
              <w:t>/mL)</w:t>
            </w:r>
          </w:p>
        </w:tc>
        <w:tc>
          <w:tcPr>
            <w:tcW w:w="2433" w:type="dxa"/>
            <w:shd w:val="clear" w:color="auto" w:fill="auto"/>
          </w:tcPr>
          <w:p w14:paraId="13E9AA1A"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2.85 (2.00, 3.35)</w:t>
            </w:r>
            <w:r>
              <w:rPr>
                <w:rFonts w:ascii="Book Antiqua" w:hAnsi="Book Antiqua"/>
                <w:vertAlign w:val="superscript"/>
                <w:lang w:eastAsia="zh-CN"/>
              </w:rPr>
              <w:t>1</w:t>
            </w:r>
          </w:p>
        </w:tc>
        <w:tc>
          <w:tcPr>
            <w:tcW w:w="2484" w:type="dxa"/>
            <w:shd w:val="clear" w:color="auto" w:fill="auto"/>
          </w:tcPr>
          <w:p w14:paraId="062F6DBB"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21.00 (10.20, 50.30)</w:t>
            </w:r>
          </w:p>
        </w:tc>
        <w:tc>
          <w:tcPr>
            <w:tcW w:w="2338" w:type="dxa"/>
            <w:shd w:val="clear" w:color="auto" w:fill="auto"/>
          </w:tcPr>
          <w:p w14:paraId="649160F2"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14.55 (6.81, 30.00)</w:t>
            </w:r>
          </w:p>
        </w:tc>
        <w:tc>
          <w:tcPr>
            <w:tcW w:w="1166" w:type="dxa"/>
            <w:shd w:val="clear" w:color="auto" w:fill="auto"/>
          </w:tcPr>
          <w:p w14:paraId="3840FEBA"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1EDF553E" w14:textId="77777777" w:rsidTr="0012737F">
        <w:trPr>
          <w:trHeight w:val="175"/>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tcPr>
          <w:p w14:paraId="2DC5A6FD"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IL-10 (</w:t>
            </w:r>
            <w:proofErr w:type="spellStart"/>
            <w:r>
              <w:rPr>
                <w:rFonts w:ascii="Book Antiqua" w:hAnsi="Book Antiqua"/>
                <w:b w:val="0"/>
                <w:lang w:eastAsia="zh-CN"/>
              </w:rPr>
              <w:t>pg</w:t>
            </w:r>
            <w:proofErr w:type="spellEnd"/>
            <w:r>
              <w:rPr>
                <w:rFonts w:ascii="Book Antiqua" w:hAnsi="Book Antiqua"/>
                <w:b w:val="0"/>
                <w:lang w:eastAsia="zh-CN"/>
              </w:rPr>
              <w:t>/mL)</w:t>
            </w:r>
          </w:p>
        </w:tc>
        <w:tc>
          <w:tcPr>
            <w:tcW w:w="2433" w:type="dxa"/>
            <w:shd w:val="clear" w:color="auto" w:fill="auto"/>
          </w:tcPr>
          <w:p w14:paraId="12A40B02"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500 (5, 5)</w:t>
            </w:r>
          </w:p>
        </w:tc>
        <w:tc>
          <w:tcPr>
            <w:tcW w:w="2484" w:type="dxa"/>
            <w:shd w:val="clear" w:color="auto" w:fill="auto"/>
          </w:tcPr>
          <w:p w14:paraId="3A471010"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85.50 (42.75, 127.25)</w:t>
            </w:r>
            <w:r>
              <w:rPr>
                <w:rFonts w:ascii="Book Antiqua" w:hAnsi="Book Antiqua"/>
                <w:vertAlign w:val="superscript"/>
                <w:lang w:eastAsia="zh-CN"/>
              </w:rPr>
              <w:t>1</w:t>
            </w:r>
          </w:p>
        </w:tc>
        <w:tc>
          <w:tcPr>
            <w:tcW w:w="2338" w:type="dxa"/>
            <w:shd w:val="clear" w:color="auto" w:fill="auto"/>
          </w:tcPr>
          <w:p w14:paraId="53400277"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6.37 (5.00, 14.80)</w:t>
            </w:r>
          </w:p>
        </w:tc>
        <w:tc>
          <w:tcPr>
            <w:tcW w:w="1166" w:type="dxa"/>
            <w:shd w:val="clear" w:color="auto" w:fill="auto"/>
          </w:tcPr>
          <w:p w14:paraId="59AB621A"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4406D850" w14:textId="77777777" w:rsidTr="0012737F">
        <w:trPr>
          <w:trHeight w:val="281"/>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tcPr>
          <w:p w14:paraId="78D5DE2C"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Ferritin (ng/mL)</w:t>
            </w:r>
          </w:p>
        </w:tc>
        <w:tc>
          <w:tcPr>
            <w:tcW w:w="2433" w:type="dxa"/>
            <w:shd w:val="clear" w:color="auto" w:fill="auto"/>
          </w:tcPr>
          <w:p w14:paraId="3FB93618"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22.90 (14.90, 37.05)</w:t>
            </w:r>
          </w:p>
        </w:tc>
        <w:tc>
          <w:tcPr>
            <w:tcW w:w="2484" w:type="dxa"/>
            <w:shd w:val="clear" w:color="auto" w:fill="auto"/>
          </w:tcPr>
          <w:p w14:paraId="3F5D1727"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55.90 (36.10, 231.20)</w:t>
            </w:r>
            <w:r>
              <w:rPr>
                <w:rFonts w:ascii="Book Antiqua" w:hAnsi="Book Antiqua"/>
                <w:vertAlign w:val="superscript"/>
                <w:lang w:eastAsia="zh-CN"/>
              </w:rPr>
              <w:t>1</w:t>
            </w:r>
          </w:p>
        </w:tc>
        <w:tc>
          <w:tcPr>
            <w:tcW w:w="2338" w:type="dxa"/>
            <w:shd w:val="clear" w:color="auto" w:fill="auto"/>
          </w:tcPr>
          <w:p w14:paraId="714E043D"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15.50 (10.60, 27.72)</w:t>
            </w:r>
          </w:p>
        </w:tc>
        <w:tc>
          <w:tcPr>
            <w:tcW w:w="1166" w:type="dxa"/>
            <w:shd w:val="clear" w:color="auto" w:fill="auto"/>
          </w:tcPr>
          <w:p w14:paraId="59058687"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276C5C7E" w14:textId="77777777" w:rsidTr="0012737F">
        <w:trPr>
          <w:trHeight w:val="454"/>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tcPr>
          <w:p w14:paraId="55A544C9"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 xml:space="preserve">Albumin </w:t>
            </w:r>
            <w:r>
              <w:rPr>
                <w:rFonts w:ascii="Book Antiqua" w:hAnsi="Book Antiqua" w:hint="eastAsia"/>
                <w:b w:val="0"/>
                <w:lang w:eastAsia="zh-CN"/>
              </w:rPr>
              <w:t>(</w:t>
            </w:r>
            <w:r>
              <w:rPr>
                <w:rFonts w:ascii="Book Antiqua" w:hAnsi="Book Antiqua"/>
                <w:b w:val="0"/>
                <w:lang w:eastAsia="zh-CN"/>
              </w:rPr>
              <w:t>g/L)</w:t>
            </w:r>
          </w:p>
        </w:tc>
        <w:tc>
          <w:tcPr>
            <w:tcW w:w="2433" w:type="dxa"/>
            <w:shd w:val="clear" w:color="auto" w:fill="auto"/>
          </w:tcPr>
          <w:p w14:paraId="404CB70D"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41 (38, 43)</w:t>
            </w:r>
            <w:r>
              <w:rPr>
                <w:rFonts w:ascii="Book Antiqua" w:hAnsi="Book Antiqua"/>
                <w:vertAlign w:val="superscript"/>
                <w:lang w:eastAsia="zh-CN"/>
              </w:rPr>
              <w:t>1</w:t>
            </w:r>
          </w:p>
        </w:tc>
        <w:tc>
          <w:tcPr>
            <w:tcW w:w="2484" w:type="dxa"/>
            <w:shd w:val="clear" w:color="auto" w:fill="auto"/>
          </w:tcPr>
          <w:p w14:paraId="5A173401"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31 (27, 35)</w:t>
            </w:r>
          </w:p>
        </w:tc>
        <w:tc>
          <w:tcPr>
            <w:tcW w:w="2338" w:type="dxa"/>
            <w:shd w:val="clear" w:color="auto" w:fill="auto"/>
          </w:tcPr>
          <w:p w14:paraId="4732F2BD"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33 (27.00, 36.50)</w:t>
            </w:r>
          </w:p>
        </w:tc>
        <w:tc>
          <w:tcPr>
            <w:tcW w:w="1166" w:type="dxa"/>
            <w:shd w:val="clear" w:color="auto" w:fill="auto"/>
          </w:tcPr>
          <w:p w14:paraId="0897177A"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7C834A56" w14:textId="77777777" w:rsidTr="0012737F">
        <w:trPr>
          <w:trHeight w:val="103"/>
        </w:trPr>
        <w:tc>
          <w:tcPr>
            <w:cnfStyle w:val="001000000000" w:firstRow="0" w:lastRow="0" w:firstColumn="1" w:lastColumn="0" w:oddVBand="0" w:evenVBand="0" w:oddHBand="0" w:evenHBand="0" w:firstRowFirstColumn="0" w:firstRowLastColumn="0" w:lastRowFirstColumn="0" w:lastRowLastColumn="0"/>
            <w:tcW w:w="2495" w:type="dxa"/>
            <w:tcBorders>
              <w:bottom w:val="single" w:sz="4" w:space="0" w:color="auto"/>
            </w:tcBorders>
            <w:shd w:val="clear" w:color="auto" w:fill="auto"/>
          </w:tcPr>
          <w:p w14:paraId="032517F5"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Serum iron (</w:t>
            </w:r>
            <w:proofErr w:type="spellStart"/>
            <w:r>
              <w:rPr>
                <w:rFonts w:ascii="Book Antiqua" w:hAnsi="Book Antiqua"/>
                <w:b w:val="0"/>
                <w:lang w:eastAsia="zh-CN"/>
              </w:rPr>
              <w:t>μmol</w:t>
            </w:r>
            <w:proofErr w:type="spellEnd"/>
            <w:r>
              <w:rPr>
                <w:rFonts w:ascii="Book Antiqua" w:hAnsi="Book Antiqua"/>
                <w:b w:val="0"/>
                <w:lang w:eastAsia="zh-CN"/>
              </w:rPr>
              <w:t>/L)</w:t>
            </w:r>
          </w:p>
        </w:tc>
        <w:tc>
          <w:tcPr>
            <w:tcW w:w="2433" w:type="dxa"/>
            <w:tcBorders>
              <w:bottom w:val="single" w:sz="4" w:space="0" w:color="auto"/>
            </w:tcBorders>
            <w:shd w:val="clear" w:color="auto" w:fill="auto"/>
          </w:tcPr>
          <w:p w14:paraId="4114BEBD"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8.00 (5.90, 10.20)</w:t>
            </w:r>
          </w:p>
        </w:tc>
        <w:tc>
          <w:tcPr>
            <w:tcW w:w="2484" w:type="dxa"/>
            <w:tcBorders>
              <w:bottom w:val="single" w:sz="4" w:space="0" w:color="auto"/>
            </w:tcBorders>
            <w:shd w:val="clear" w:color="auto" w:fill="auto"/>
          </w:tcPr>
          <w:p w14:paraId="53E61CFF"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3.90 (2.60, 6.88)</w:t>
            </w:r>
          </w:p>
        </w:tc>
        <w:tc>
          <w:tcPr>
            <w:tcW w:w="2338" w:type="dxa"/>
            <w:tcBorders>
              <w:bottom w:val="single" w:sz="4" w:space="0" w:color="auto"/>
            </w:tcBorders>
            <w:shd w:val="clear" w:color="auto" w:fill="auto"/>
          </w:tcPr>
          <w:p w14:paraId="3DF3464B"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5.70 (4.35, 11.38)</w:t>
            </w:r>
          </w:p>
        </w:tc>
        <w:tc>
          <w:tcPr>
            <w:tcW w:w="1166" w:type="dxa"/>
            <w:tcBorders>
              <w:bottom w:val="single" w:sz="4" w:space="0" w:color="auto"/>
            </w:tcBorders>
            <w:shd w:val="clear" w:color="auto" w:fill="auto"/>
          </w:tcPr>
          <w:p w14:paraId="38DC750D"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0.069</w:t>
            </w:r>
          </w:p>
        </w:tc>
      </w:tr>
    </w:tbl>
    <w:p w14:paraId="53C7C48B" w14:textId="77777777" w:rsidR="0012737F" w:rsidRDefault="00663462">
      <w:pPr>
        <w:spacing w:line="360" w:lineRule="auto"/>
        <w:jc w:val="both"/>
        <w:rPr>
          <w:rFonts w:ascii="Book Antiqua" w:eastAsia="Malgun Gothic" w:hAnsi="Book Antiqua"/>
        </w:rPr>
      </w:pPr>
      <w:r>
        <w:rPr>
          <w:rFonts w:ascii="Book Antiqua" w:hAnsi="Book Antiqua"/>
          <w:vertAlign w:val="superscript"/>
        </w:rPr>
        <w:t>1</w:t>
      </w:r>
      <w:r>
        <w:rPr>
          <w:rFonts w:ascii="Book Antiqua" w:hAnsi="Book Antiqua"/>
        </w:rPr>
        <w:t xml:space="preserve">Compared with the other two groups, adjusted </w:t>
      </w:r>
      <w:r>
        <w:rPr>
          <w:rFonts w:ascii="Book Antiqua" w:hAnsi="Book Antiqua"/>
          <w:i/>
        </w:rPr>
        <w:t xml:space="preserve">P </w:t>
      </w:r>
      <w:r>
        <w:rPr>
          <w:rFonts w:ascii="Book Antiqua" w:hAnsi="Book Antiqua"/>
        </w:rPr>
        <w:t>value &lt; 0.05. AP:</w:t>
      </w:r>
      <w:r>
        <w:rPr>
          <w:rFonts w:ascii="Book Antiqua" w:eastAsia="Times New Roman" w:hAnsi="Book Antiqua"/>
        </w:rPr>
        <w:t xml:space="preserve"> Allergic proctocolitis</w:t>
      </w:r>
      <w:r>
        <w:rPr>
          <w:rFonts w:ascii="Book Antiqua" w:hAnsi="Book Antiqua"/>
        </w:rPr>
        <w:t xml:space="preserve">; M-IBD: </w:t>
      </w:r>
      <w:bookmarkStart w:id="13" w:name="_Hlk58235074"/>
      <w:r>
        <w:rPr>
          <w:rFonts w:ascii="Book Antiqua" w:eastAsia="Times New Roman" w:hAnsi="Book Antiqua"/>
        </w:rPr>
        <w:t xml:space="preserve">Monogenic </w:t>
      </w:r>
      <w:r>
        <w:rPr>
          <w:rFonts w:ascii="Book Antiqua" w:eastAsia="Book Antiqua" w:hAnsi="Book Antiqua" w:cs="Book Antiqua"/>
          <w:color w:val="000000"/>
          <w:szCs w:val="22"/>
        </w:rPr>
        <w:t>inflammatory bowel disease</w:t>
      </w:r>
      <w:bookmarkEnd w:id="13"/>
      <w:r>
        <w:rPr>
          <w:rFonts w:ascii="Book Antiqua" w:eastAsia="Times New Roman" w:hAnsi="Book Antiqua"/>
        </w:rPr>
        <w:t xml:space="preserve">; NM-IBD: Non-monogenic </w:t>
      </w:r>
      <w:r>
        <w:rPr>
          <w:rFonts w:ascii="Book Antiqua" w:eastAsia="Book Antiqua" w:hAnsi="Book Antiqua" w:cs="Book Antiqua"/>
          <w:color w:val="000000"/>
          <w:szCs w:val="22"/>
        </w:rPr>
        <w:t xml:space="preserve">inflammatory bowel disease; </w:t>
      </w:r>
      <w:r>
        <w:rPr>
          <w:rFonts w:ascii="Book Antiqua" w:eastAsia="Book Antiqua" w:hAnsi="Book Antiqua" w:cs="Book Antiqua"/>
          <w:color w:val="000000"/>
        </w:rPr>
        <w:t>WBC: White blood cells; PLT: Platelets; CRP: C-reactive protein; ESR: Erythrocyte sedimentation rate; TNF: Tumor necrosis factor; IL: Interleukin</w:t>
      </w:r>
      <w:r>
        <w:rPr>
          <w:rFonts w:ascii="Book Antiqua" w:eastAsia="Malgun Gothic" w:hAnsi="Book Antiqua"/>
        </w:rPr>
        <w:t>.</w:t>
      </w:r>
    </w:p>
    <w:p w14:paraId="31CBF9B7" w14:textId="384EDA52" w:rsidR="0012737F" w:rsidRDefault="00663462">
      <w:pPr>
        <w:spacing w:line="360" w:lineRule="auto"/>
        <w:jc w:val="both"/>
        <w:rPr>
          <w:rFonts w:ascii="Book Antiqua" w:eastAsia="Malgun Gothic" w:hAnsi="Book Antiqua"/>
          <w:b/>
          <w:bCs/>
        </w:rPr>
      </w:pPr>
      <w:r>
        <w:rPr>
          <w:rFonts w:ascii="Book Antiqua" w:eastAsia="Malgun Gothic" w:hAnsi="Book Antiqua"/>
        </w:rPr>
        <w:br w:type="page"/>
      </w:r>
      <w:r>
        <w:rPr>
          <w:rFonts w:ascii="Book Antiqua" w:eastAsia="Malgun Gothic" w:hAnsi="Book Antiqua"/>
          <w:b/>
          <w:bCs/>
        </w:rPr>
        <w:lastRenderedPageBreak/>
        <w:t xml:space="preserve">Table 4 Binary logistic analysis for identifying risk factors </w:t>
      </w:r>
      <w:bookmarkStart w:id="14" w:name="_Hlk58234988"/>
      <w:r>
        <w:rPr>
          <w:rFonts w:ascii="Book Antiqua" w:eastAsia="Malgun Gothic" w:hAnsi="Book Antiqua"/>
          <w:b/>
          <w:bCs/>
        </w:rPr>
        <w:t>for infantile-onset inflammatory bowel disease</w:t>
      </w:r>
      <w:bookmarkEnd w:id="14"/>
    </w:p>
    <w:tbl>
      <w:tblPr>
        <w:tblStyle w:val="1"/>
        <w:tblW w:w="9464" w:type="dxa"/>
        <w:tblBorders>
          <w:top w:val="none" w:sz="0" w:space="0" w:color="auto"/>
          <w:bottom w:val="none" w:sz="0" w:space="0" w:color="auto"/>
        </w:tblBorders>
        <w:tblLayout w:type="fixed"/>
        <w:tblLook w:val="04A0" w:firstRow="1" w:lastRow="0" w:firstColumn="1" w:lastColumn="0" w:noHBand="0" w:noVBand="1"/>
      </w:tblPr>
      <w:tblGrid>
        <w:gridCol w:w="2036"/>
        <w:gridCol w:w="2191"/>
        <w:gridCol w:w="2327"/>
        <w:gridCol w:w="1918"/>
        <w:gridCol w:w="992"/>
      </w:tblGrid>
      <w:tr w:rsidR="0012737F" w14:paraId="53E68309" w14:textId="77777777" w:rsidTr="0012737F">
        <w:trPr>
          <w:cnfStyle w:val="100000000000" w:firstRow="1" w:lastRow="0" w:firstColumn="0" w:lastColumn="0" w:oddVBand="0" w:evenVBand="0" w:oddHBand="0"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2036" w:type="dxa"/>
            <w:tcBorders>
              <w:top w:val="single" w:sz="4" w:space="0" w:color="auto"/>
              <w:bottom w:val="single" w:sz="4" w:space="0" w:color="auto"/>
            </w:tcBorders>
            <w:shd w:val="clear" w:color="auto" w:fill="auto"/>
          </w:tcPr>
          <w:p w14:paraId="7937A690" w14:textId="77777777" w:rsidR="0012737F" w:rsidRDefault="0012737F">
            <w:pPr>
              <w:spacing w:line="360" w:lineRule="auto"/>
              <w:jc w:val="both"/>
              <w:rPr>
                <w:rFonts w:ascii="Book Antiqua" w:hAnsi="Book Antiqua"/>
                <w:b w:val="0"/>
                <w:lang w:eastAsia="zh-CN"/>
              </w:rPr>
            </w:pPr>
          </w:p>
        </w:tc>
        <w:tc>
          <w:tcPr>
            <w:tcW w:w="2191" w:type="dxa"/>
            <w:tcBorders>
              <w:top w:val="single" w:sz="4" w:space="0" w:color="auto"/>
              <w:bottom w:val="single" w:sz="4" w:space="0" w:color="auto"/>
            </w:tcBorders>
            <w:shd w:val="clear" w:color="auto" w:fill="auto"/>
          </w:tcPr>
          <w:p w14:paraId="66FDCE48"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Pr>
                <w:rFonts w:ascii="Book Antiqua" w:hAnsi="Book Antiqua"/>
                <w:lang w:eastAsia="zh-CN"/>
              </w:rPr>
              <w:t>AP</w:t>
            </w:r>
            <w:r>
              <w:rPr>
                <w:rFonts w:ascii="Book Antiqua" w:hAnsi="Book Antiqua" w:hint="eastAsia"/>
                <w:b w:val="0"/>
                <w:bCs w:val="0"/>
                <w:lang w:eastAsia="zh-CN"/>
              </w:rPr>
              <w:t xml:space="preserve"> </w:t>
            </w:r>
            <w:r>
              <w:rPr>
                <w:rFonts w:ascii="Book Antiqua" w:hAnsi="Book Antiqua"/>
                <w:lang w:eastAsia="zh-CN"/>
              </w:rPr>
              <w:t>(median, IQR</w:t>
            </w:r>
            <w:r>
              <w:rPr>
                <w:rFonts w:ascii="Book Antiqua" w:hAnsi="Book Antiqua" w:hint="eastAsia"/>
                <w:lang w:eastAsia="zh-CN"/>
              </w:rPr>
              <w:t>)</w:t>
            </w:r>
          </w:p>
        </w:tc>
        <w:tc>
          <w:tcPr>
            <w:tcW w:w="2327" w:type="dxa"/>
            <w:tcBorders>
              <w:top w:val="single" w:sz="4" w:space="0" w:color="auto"/>
              <w:bottom w:val="single" w:sz="4" w:space="0" w:color="auto"/>
            </w:tcBorders>
            <w:shd w:val="clear" w:color="auto" w:fill="auto"/>
          </w:tcPr>
          <w:p w14:paraId="31DF969E"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Pr>
                <w:rFonts w:ascii="Book Antiqua" w:hAnsi="Book Antiqua"/>
                <w:lang w:eastAsia="zh-CN"/>
              </w:rPr>
              <w:t>IO-IBD</w:t>
            </w:r>
            <w:r>
              <w:rPr>
                <w:rFonts w:ascii="Book Antiqua" w:hAnsi="Book Antiqua" w:hint="eastAsia"/>
                <w:b w:val="0"/>
                <w:bCs w:val="0"/>
                <w:lang w:eastAsia="zh-CN"/>
              </w:rPr>
              <w:t xml:space="preserve"> </w:t>
            </w:r>
            <w:r>
              <w:rPr>
                <w:rFonts w:ascii="Book Antiqua" w:hAnsi="Book Antiqua"/>
                <w:lang w:eastAsia="zh-CN"/>
              </w:rPr>
              <w:t>(median, IQR</w:t>
            </w:r>
            <w:r>
              <w:rPr>
                <w:rFonts w:ascii="Book Antiqua" w:hAnsi="Book Antiqua" w:hint="eastAsia"/>
                <w:lang w:eastAsia="zh-CN"/>
              </w:rPr>
              <w:t>)</w:t>
            </w:r>
          </w:p>
        </w:tc>
        <w:tc>
          <w:tcPr>
            <w:tcW w:w="1918" w:type="dxa"/>
            <w:tcBorders>
              <w:top w:val="single" w:sz="4" w:space="0" w:color="auto"/>
              <w:bottom w:val="single" w:sz="4" w:space="0" w:color="auto"/>
            </w:tcBorders>
          </w:tcPr>
          <w:p w14:paraId="69A20BE7"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i/>
                <w:lang w:eastAsia="zh-CN"/>
              </w:rPr>
            </w:pPr>
            <w:r>
              <w:rPr>
                <w:rFonts w:ascii="Book Antiqua" w:hAnsi="Book Antiqua"/>
                <w:bCs w:val="0"/>
                <w:iCs/>
                <w:lang w:eastAsia="zh-CN"/>
              </w:rPr>
              <w:t>Adjusted OR (95%CI)</w:t>
            </w:r>
          </w:p>
        </w:tc>
        <w:tc>
          <w:tcPr>
            <w:tcW w:w="992" w:type="dxa"/>
            <w:tcBorders>
              <w:top w:val="single" w:sz="4" w:space="0" w:color="auto"/>
              <w:bottom w:val="single" w:sz="4" w:space="0" w:color="auto"/>
            </w:tcBorders>
            <w:shd w:val="clear" w:color="auto" w:fill="auto"/>
          </w:tcPr>
          <w:p w14:paraId="08AF9B53"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Cs/>
                <w:lang w:eastAsia="zh-CN"/>
              </w:rPr>
            </w:pPr>
            <w:r>
              <w:rPr>
                <w:rFonts w:ascii="Book Antiqua" w:hAnsi="Book Antiqua"/>
                <w:i/>
                <w:lang w:eastAsia="zh-CN"/>
              </w:rPr>
              <w:t xml:space="preserve">P </w:t>
            </w:r>
            <w:r>
              <w:rPr>
                <w:rFonts w:ascii="Book Antiqua" w:hAnsi="Book Antiqua"/>
                <w:iCs/>
                <w:lang w:eastAsia="zh-CN"/>
              </w:rPr>
              <w:t>value</w:t>
            </w:r>
          </w:p>
        </w:tc>
      </w:tr>
      <w:tr w:rsidR="0012737F" w14:paraId="3EDC6BCB" w14:textId="77777777" w:rsidTr="0012737F">
        <w:trPr>
          <w:trHeight w:val="224"/>
        </w:trPr>
        <w:tc>
          <w:tcPr>
            <w:cnfStyle w:val="001000000000" w:firstRow="0" w:lastRow="0" w:firstColumn="1" w:lastColumn="0" w:oddVBand="0" w:evenVBand="0" w:oddHBand="0" w:evenHBand="0" w:firstRowFirstColumn="0" w:firstRowLastColumn="0" w:lastRowFirstColumn="0" w:lastRowLastColumn="0"/>
            <w:tcW w:w="2036" w:type="dxa"/>
            <w:tcBorders>
              <w:top w:val="single" w:sz="4" w:space="0" w:color="auto"/>
            </w:tcBorders>
            <w:shd w:val="clear" w:color="auto" w:fill="auto"/>
          </w:tcPr>
          <w:p w14:paraId="4D3DDFD6" w14:textId="77777777" w:rsidR="0012737F" w:rsidRDefault="00663462">
            <w:pPr>
              <w:spacing w:line="360" w:lineRule="auto"/>
              <w:rPr>
                <w:rFonts w:ascii="Book Antiqua" w:hAnsi="Book Antiqua"/>
                <w:b w:val="0"/>
                <w:lang w:eastAsia="zh-CN"/>
              </w:rPr>
            </w:pPr>
            <w:r>
              <w:rPr>
                <w:rFonts w:ascii="Book Antiqua" w:hAnsi="Book Antiqua"/>
                <w:b w:val="0"/>
                <w:lang w:eastAsia="zh-CN"/>
              </w:rPr>
              <w:t>WBC (× 10</w:t>
            </w:r>
            <w:r>
              <w:rPr>
                <w:rFonts w:ascii="Book Antiqua" w:hAnsi="Book Antiqua"/>
                <w:b w:val="0"/>
                <w:vertAlign w:val="superscript"/>
                <w:lang w:eastAsia="zh-CN"/>
              </w:rPr>
              <w:t>9</w:t>
            </w:r>
            <w:r>
              <w:rPr>
                <w:rFonts w:ascii="Book Antiqua" w:hAnsi="Book Antiqua"/>
                <w:b w:val="0"/>
                <w:lang w:eastAsia="zh-CN"/>
              </w:rPr>
              <w:t>)</w:t>
            </w:r>
          </w:p>
        </w:tc>
        <w:tc>
          <w:tcPr>
            <w:tcW w:w="2191" w:type="dxa"/>
            <w:tcBorders>
              <w:top w:val="single" w:sz="4" w:space="0" w:color="auto"/>
            </w:tcBorders>
            <w:shd w:val="clear" w:color="auto" w:fill="auto"/>
          </w:tcPr>
          <w:p w14:paraId="59C10057"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8.77 (6.78, 10.75)</w:t>
            </w:r>
          </w:p>
        </w:tc>
        <w:tc>
          <w:tcPr>
            <w:tcW w:w="2327" w:type="dxa"/>
            <w:tcBorders>
              <w:top w:val="single" w:sz="4" w:space="0" w:color="auto"/>
            </w:tcBorders>
            <w:shd w:val="clear" w:color="auto" w:fill="auto"/>
          </w:tcPr>
          <w:p w14:paraId="5C36DD26"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14.12 (8.85, 18.27)</w:t>
            </w:r>
          </w:p>
        </w:tc>
        <w:tc>
          <w:tcPr>
            <w:tcW w:w="1918" w:type="dxa"/>
            <w:tcBorders>
              <w:top w:val="single" w:sz="4" w:space="0" w:color="auto"/>
            </w:tcBorders>
          </w:tcPr>
          <w:p w14:paraId="3FCEE8F3"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1.19 (1.01, 1.40)</w:t>
            </w:r>
          </w:p>
        </w:tc>
        <w:tc>
          <w:tcPr>
            <w:tcW w:w="992" w:type="dxa"/>
            <w:tcBorders>
              <w:top w:val="single" w:sz="4" w:space="0" w:color="auto"/>
            </w:tcBorders>
            <w:shd w:val="clear" w:color="auto" w:fill="auto"/>
          </w:tcPr>
          <w:p w14:paraId="7FCB8C90"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0.040</w:t>
            </w:r>
          </w:p>
        </w:tc>
      </w:tr>
      <w:tr w:rsidR="0012737F" w14:paraId="453DFB68" w14:textId="77777777" w:rsidTr="0012737F">
        <w:trPr>
          <w:trHeight w:val="198"/>
        </w:trPr>
        <w:tc>
          <w:tcPr>
            <w:cnfStyle w:val="001000000000" w:firstRow="0" w:lastRow="0" w:firstColumn="1" w:lastColumn="0" w:oddVBand="0" w:evenVBand="0" w:oddHBand="0" w:evenHBand="0" w:firstRowFirstColumn="0" w:firstRowLastColumn="0" w:lastRowFirstColumn="0" w:lastRowLastColumn="0"/>
            <w:tcW w:w="2036" w:type="dxa"/>
            <w:shd w:val="clear" w:color="auto" w:fill="auto"/>
          </w:tcPr>
          <w:p w14:paraId="292031C6" w14:textId="77777777" w:rsidR="0012737F" w:rsidRDefault="00663462">
            <w:pPr>
              <w:spacing w:line="360" w:lineRule="auto"/>
              <w:rPr>
                <w:rFonts w:ascii="Book Antiqua" w:hAnsi="Book Antiqua"/>
                <w:b w:val="0"/>
                <w:lang w:eastAsia="zh-CN"/>
              </w:rPr>
            </w:pPr>
            <w:r>
              <w:rPr>
                <w:rFonts w:ascii="Book Antiqua" w:hAnsi="Book Antiqua"/>
                <w:b w:val="0"/>
                <w:lang w:eastAsia="zh-CN"/>
              </w:rPr>
              <w:t>ESR (mm/h)</w:t>
            </w:r>
          </w:p>
        </w:tc>
        <w:tc>
          <w:tcPr>
            <w:tcW w:w="2191" w:type="dxa"/>
            <w:shd w:val="clear" w:color="auto" w:fill="auto"/>
          </w:tcPr>
          <w:p w14:paraId="53224967"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 (4, 8)</w:t>
            </w:r>
          </w:p>
        </w:tc>
        <w:tc>
          <w:tcPr>
            <w:tcW w:w="2327" w:type="dxa"/>
            <w:shd w:val="clear" w:color="auto" w:fill="auto"/>
          </w:tcPr>
          <w:p w14:paraId="6566D167"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19.00 (8.00, 39.00)</w:t>
            </w:r>
          </w:p>
        </w:tc>
        <w:tc>
          <w:tcPr>
            <w:tcW w:w="1918" w:type="dxa"/>
          </w:tcPr>
          <w:p w14:paraId="347C4638"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1.10 (1.01, 1.20)</w:t>
            </w:r>
          </w:p>
        </w:tc>
        <w:tc>
          <w:tcPr>
            <w:tcW w:w="992" w:type="dxa"/>
            <w:shd w:val="clear" w:color="auto" w:fill="auto"/>
          </w:tcPr>
          <w:p w14:paraId="1E9E981B"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0.037</w:t>
            </w:r>
          </w:p>
        </w:tc>
      </w:tr>
      <w:tr w:rsidR="0012737F" w14:paraId="5E2DC6DE" w14:textId="77777777" w:rsidTr="0012737F">
        <w:trPr>
          <w:trHeight w:val="321"/>
        </w:trPr>
        <w:tc>
          <w:tcPr>
            <w:cnfStyle w:val="001000000000" w:firstRow="0" w:lastRow="0" w:firstColumn="1" w:lastColumn="0" w:oddVBand="0" w:evenVBand="0" w:oddHBand="0" w:evenHBand="0" w:firstRowFirstColumn="0" w:firstRowLastColumn="0" w:lastRowFirstColumn="0" w:lastRowLastColumn="0"/>
            <w:tcW w:w="2036" w:type="dxa"/>
            <w:shd w:val="clear" w:color="auto" w:fill="auto"/>
          </w:tcPr>
          <w:p w14:paraId="75E29613" w14:textId="77777777" w:rsidR="0012737F" w:rsidRDefault="00663462">
            <w:pPr>
              <w:spacing w:line="360" w:lineRule="auto"/>
              <w:rPr>
                <w:rFonts w:ascii="Book Antiqua" w:hAnsi="Book Antiqua"/>
                <w:b w:val="0"/>
                <w:lang w:eastAsia="zh-CN"/>
              </w:rPr>
            </w:pPr>
            <w:r>
              <w:rPr>
                <w:rFonts w:ascii="Book Antiqua" w:hAnsi="Book Antiqua"/>
                <w:b w:val="0"/>
                <w:lang w:eastAsia="zh-CN"/>
              </w:rPr>
              <w:t>TNF-α (</w:t>
            </w:r>
            <w:proofErr w:type="spellStart"/>
            <w:r>
              <w:rPr>
                <w:rFonts w:ascii="Book Antiqua" w:hAnsi="Book Antiqua"/>
                <w:b w:val="0"/>
                <w:lang w:eastAsia="zh-CN"/>
              </w:rPr>
              <w:t>pg</w:t>
            </w:r>
            <w:proofErr w:type="spellEnd"/>
            <w:r>
              <w:rPr>
                <w:rFonts w:ascii="Book Antiqua" w:hAnsi="Book Antiqua"/>
                <w:b w:val="0"/>
                <w:lang w:eastAsia="zh-CN"/>
              </w:rPr>
              <w:t>/mL)</w:t>
            </w:r>
          </w:p>
        </w:tc>
        <w:tc>
          <w:tcPr>
            <w:tcW w:w="2191" w:type="dxa"/>
            <w:shd w:val="clear" w:color="auto" w:fill="auto"/>
          </w:tcPr>
          <w:p w14:paraId="10A45A2E"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14.60 (10.68, 17.03)</w:t>
            </w:r>
          </w:p>
        </w:tc>
        <w:tc>
          <w:tcPr>
            <w:tcW w:w="2327" w:type="dxa"/>
            <w:shd w:val="clear" w:color="auto" w:fill="auto"/>
          </w:tcPr>
          <w:p w14:paraId="0C24532E"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21.65 (17.33, 29.45)</w:t>
            </w:r>
          </w:p>
        </w:tc>
        <w:tc>
          <w:tcPr>
            <w:tcW w:w="1918" w:type="dxa"/>
          </w:tcPr>
          <w:p w14:paraId="6897D597"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1.25 (1.05, 1.50)</w:t>
            </w:r>
          </w:p>
        </w:tc>
        <w:tc>
          <w:tcPr>
            <w:tcW w:w="992" w:type="dxa"/>
            <w:shd w:val="clear" w:color="auto" w:fill="auto"/>
          </w:tcPr>
          <w:p w14:paraId="23E9DF71"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0.013</w:t>
            </w:r>
          </w:p>
        </w:tc>
      </w:tr>
      <w:tr w:rsidR="0012737F" w14:paraId="7AFAE729" w14:textId="77777777" w:rsidTr="0012737F">
        <w:trPr>
          <w:trHeight w:val="171"/>
        </w:trPr>
        <w:tc>
          <w:tcPr>
            <w:cnfStyle w:val="001000000000" w:firstRow="0" w:lastRow="0" w:firstColumn="1" w:lastColumn="0" w:oddVBand="0" w:evenVBand="0" w:oddHBand="0" w:evenHBand="0" w:firstRowFirstColumn="0" w:firstRowLastColumn="0" w:lastRowFirstColumn="0" w:lastRowLastColumn="0"/>
            <w:tcW w:w="2036" w:type="dxa"/>
            <w:tcBorders>
              <w:bottom w:val="single" w:sz="4" w:space="0" w:color="auto"/>
            </w:tcBorders>
            <w:shd w:val="clear" w:color="auto" w:fill="auto"/>
          </w:tcPr>
          <w:p w14:paraId="1D33242B" w14:textId="77777777" w:rsidR="0012737F" w:rsidRDefault="00663462">
            <w:pPr>
              <w:spacing w:line="360" w:lineRule="auto"/>
              <w:rPr>
                <w:rFonts w:ascii="Book Antiqua" w:hAnsi="Book Antiqua"/>
                <w:b w:val="0"/>
                <w:lang w:eastAsia="zh-CN"/>
              </w:rPr>
            </w:pPr>
            <w:r>
              <w:rPr>
                <w:rFonts w:ascii="Book Antiqua" w:hAnsi="Book Antiqua"/>
                <w:b w:val="0"/>
                <w:lang w:eastAsia="zh-CN"/>
              </w:rPr>
              <w:t>Albumin (g/L)</w:t>
            </w:r>
          </w:p>
        </w:tc>
        <w:tc>
          <w:tcPr>
            <w:tcW w:w="2191" w:type="dxa"/>
            <w:tcBorders>
              <w:bottom w:val="single" w:sz="4" w:space="0" w:color="auto"/>
            </w:tcBorders>
            <w:shd w:val="clear" w:color="auto" w:fill="auto"/>
          </w:tcPr>
          <w:p w14:paraId="4DFF4037"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41 (38, 43)</w:t>
            </w:r>
          </w:p>
        </w:tc>
        <w:tc>
          <w:tcPr>
            <w:tcW w:w="2327" w:type="dxa"/>
            <w:tcBorders>
              <w:bottom w:val="single" w:sz="4" w:space="0" w:color="auto"/>
            </w:tcBorders>
            <w:shd w:val="clear" w:color="auto" w:fill="auto"/>
          </w:tcPr>
          <w:p w14:paraId="544F5978"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32 (27, 36)</w:t>
            </w:r>
          </w:p>
        </w:tc>
        <w:tc>
          <w:tcPr>
            <w:tcW w:w="1918" w:type="dxa"/>
            <w:tcBorders>
              <w:bottom w:val="single" w:sz="4" w:space="0" w:color="auto"/>
            </w:tcBorders>
          </w:tcPr>
          <w:p w14:paraId="0328221F"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0.86 (0.74, 1.00)</w:t>
            </w:r>
          </w:p>
        </w:tc>
        <w:tc>
          <w:tcPr>
            <w:tcW w:w="992" w:type="dxa"/>
            <w:tcBorders>
              <w:bottom w:val="single" w:sz="4" w:space="0" w:color="auto"/>
            </w:tcBorders>
            <w:shd w:val="clear" w:color="auto" w:fill="auto"/>
          </w:tcPr>
          <w:p w14:paraId="35B1A45A"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0.048</w:t>
            </w:r>
          </w:p>
        </w:tc>
      </w:tr>
    </w:tbl>
    <w:p w14:paraId="06831845" w14:textId="60271CA9" w:rsidR="0012737F" w:rsidRDefault="00663462">
      <w:pPr>
        <w:spacing w:line="360" w:lineRule="auto"/>
        <w:jc w:val="both"/>
        <w:rPr>
          <w:rFonts w:ascii="Book Antiqua" w:eastAsia="Book Antiqua" w:hAnsi="Book Antiqua" w:cs="Book Antiqua"/>
          <w:color w:val="000000"/>
        </w:rPr>
      </w:pPr>
      <w:r>
        <w:rPr>
          <w:rFonts w:ascii="Book Antiqua" w:hAnsi="Book Antiqua"/>
        </w:rPr>
        <w:t xml:space="preserve">Binary logistic analysis showed that white blood cell (WBC) count, erythrocyte sedimentation rate (ESR), tumor necrosis factor (TNF)-α, and albumin in peripheral blood could be used to identify the infantile-onset inflammatory bowel disease from AP if a child had diarrhea and hematochezia in early childhood. Higher WBC, ESR, and TNF-α, as well as lower level of albumin suggested a higher probability of inflammatory bowel disease. AP: Allergic proctocolitis; IO-IBD: </w:t>
      </w:r>
      <w:bookmarkStart w:id="15" w:name="_Hlk58235394"/>
      <w:r>
        <w:rPr>
          <w:rFonts w:ascii="Book Antiqua" w:hAnsi="Book Antiqua"/>
        </w:rPr>
        <w:t>Infantile-onset inflammatory bowel disease</w:t>
      </w:r>
      <w:bookmarkEnd w:id="15"/>
      <w:r>
        <w:rPr>
          <w:rFonts w:ascii="Book Antiqua" w:hAnsi="Book Antiqua"/>
        </w:rPr>
        <w:t xml:space="preserve">; IQR: </w:t>
      </w:r>
      <w:r>
        <w:rPr>
          <w:rFonts w:ascii="Book Antiqua" w:eastAsia="Book Antiqua" w:hAnsi="Book Antiqua" w:cs="Book Antiqua"/>
          <w:color w:val="000000"/>
        </w:rPr>
        <w:t xml:space="preserve">Interquartile range; OR: Odds ratio; CI: </w:t>
      </w:r>
      <w:r>
        <w:rPr>
          <w:rFonts w:ascii="Book Antiqua" w:eastAsia="Malgun Gothic" w:hAnsi="Book Antiqua"/>
        </w:rPr>
        <w:t xml:space="preserve">Confidence interval; </w:t>
      </w:r>
      <w:r>
        <w:rPr>
          <w:rFonts w:ascii="Book Antiqua" w:eastAsia="Book Antiqua" w:hAnsi="Book Antiqua" w:cs="Book Antiqua"/>
          <w:color w:val="000000"/>
        </w:rPr>
        <w:t xml:space="preserve">WBC: White blood cells; ESR: Erythrocyte sedimentation rate; TNF: </w:t>
      </w:r>
      <w:bookmarkStart w:id="16" w:name="_Hlk58234962"/>
      <w:r>
        <w:rPr>
          <w:rFonts w:ascii="Book Antiqua" w:eastAsia="Book Antiqua" w:hAnsi="Book Antiqua" w:cs="Book Antiqua"/>
          <w:color w:val="000000"/>
        </w:rPr>
        <w:t>Tumor necrosis factor</w:t>
      </w:r>
      <w:bookmarkEnd w:id="16"/>
      <w:r>
        <w:rPr>
          <w:rFonts w:ascii="Book Antiqua" w:eastAsia="Book Antiqua" w:hAnsi="Book Antiqua" w:cs="Book Antiqua"/>
          <w:color w:val="000000"/>
        </w:rPr>
        <w:t>.</w:t>
      </w:r>
    </w:p>
    <w:p w14:paraId="6E46B2A8" w14:textId="655F2054" w:rsidR="0012737F" w:rsidRDefault="0066346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Table 5 Binary logistic analysis for identifying risk factors for monogenic inflammatory bowel disease</w:t>
      </w:r>
    </w:p>
    <w:tbl>
      <w:tblPr>
        <w:tblStyle w:val="1"/>
        <w:tblW w:w="10349" w:type="dxa"/>
        <w:tblInd w:w="-318" w:type="dxa"/>
        <w:tblBorders>
          <w:top w:val="none" w:sz="0" w:space="0" w:color="auto"/>
          <w:bottom w:val="none" w:sz="0" w:space="0" w:color="auto"/>
        </w:tblBorders>
        <w:tblLayout w:type="fixed"/>
        <w:tblLook w:val="04A0" w:firstRow="1" w:lastRow="0" w:firstColumn="1" w:lastColumn="0" w:noHBand="0" w:noVBand="1"/>
      </w:tblPr>
      <w:tblGrid>
        <w:gridCol w:w="2694"/>
        <w:gridCol w:w="2410"/>
        <w:gridCol w:w="2126"/>
        <w:gridCol w:w="2127"/>
        <w:gridCol w:w="992"/>
      </w:tblGrid>
      <w:tr w:rsidR="0012737F" w14:paraId="651685D0" w14:textId="77777777" w:rsidTr="0012737F">
        <w:trPr>
          <w:cnfStyle w:val="100000000000" w:firstRow="1" w:lastRow="0" w:firstColumn="0" w:lastColumn="0" w:oddVBand="0" w:evenVBand="0" w:oddHBand="0"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tcBorders>
            <w:shd w:val="clear" w:color="auto" w:fill="auto"/>
          </w:tcPr>
          <w:p w14:paraId="2940BB96" w14:textId="77777777" w:rsidR="0012737F" w:rsidRDefault="0012737F">
            <w:pPr>
              <w:spacing w:line="360" w:lineRule="auto"/>
              <w:jc w:val="both"/>
              <w:rPr>
                <w:rFonts w:ascii="Book Antiqua" w:hAnsi="Book Antiqua"/>
                <w:b w:val="0"/>
                <w:lang w:eastAsia="zh-CN"/>
              </w:rPr>
            </w:pPr>
          </w:p>
        </w:tc>
        <w:tc>
          <w:tcPr>
            <w:tcW w:w="2410" w:type="dxa"/>
            <w:tcBorders>
              <w:top w:val="single" w:sz="4" w:space="0" w:color="auto"/>
              <w:bottom w:val="single" w:sz="4" w:space="0" w:color="auto"/>
            </w:tcBorders>
            <w:shd w:val="clear" w:color="auto" w:fill="auto"/>
          </w:tcPr>
          <w:p w14:paraId="33693A57"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M-IBD (median, IQR</w:t>
            </w:r>
            <w:r>
              <w:rPr>
                <w:rFonts w:ascii="Book Antiqua" w:hAnsi="Book Antiqua" w:hint="eastAsia"/>
                <w:lang w:eastAsia="zh-CN"/>
              </w:rPr>
              <w:t>)</w:t>
            </w:r>
          </w:p>
        </w:tc>
        <w:tc>
          <w:tcPr>
            <w:tcW w:w="2126" w:type="dxa"/>
            <w:tcBorders>
              <w:top w:val="single" w:sz="4" w:space="0" w:color="auto"/>
              <w:bottom w:val="single" w:sz="4" w:space="0" w:color="auto"/>
            </w:tcBorders>
            <w:shd w:val="clear" w:color="auto" w:fill="auto"/>
          </w:tcPr>
          <w:p w14:paraId="66EFF511"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NM-IBD (median, IQR</w:t>
            </w:r>
            <w:r>
              <w:rPr>
                <w:rFonts w:ascii="Book Antiqua" w:hAnsi="Book Antiqua" w:hint="eastAsia"/>
                <w:lang w:eastAsia="zh-CN"/>
              </w:rPr>
              <w:t>)</w:t>
            </w:r>
          </w:p>
        </w:tc>
        <w:tc>
          <w:tcPr>
            <w:tcW w:w="2127" w:type="dxa"/>
            <w:tcBorders>
              <w:top w:val="single" w:sz="4" w:space="0" w:color="auto"/>
              <w:bottom w:val="single" w:sz="4" w:space="0" w:color="auto"/>
            </w:tcBorders>
          </w:tcPr>
          <w:p w14:paraId="1E9988BC"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i/>
                <w:lang w:eastAsia="zh-CN"/>
              </w:rPr>
            </w:pPr>
            <w:proofErr w:type="spellStart"/>
            <w:r>
              <w:rPr>
                <w:rFonts w:ascii="Book Antiqua" w:hAnsi="Book Antiqua"/>
                <w:bCs w:val="0"/>
                <w:iCs/>
                <w:lang w:eastAsia="zh-CN"/>
              </w:rPr>
              <w:t>Ajusted</w:t>
            </w:r>
            <w:proofErr w:type="spellEnd"/>
            <w:r>
              <w:rPr>
                <w:rFonts w:ascii="Book Antiqua" w:hAnsi="Book Antiqua"/>
                <w:bCs w:val="0"/>
                <w:iCs/>
                <w:lang w:eastAsia="zh-CN"/>
              </w:rPr>
              <w:t xml:space="preserve"> OR (95%CI)</w:t>
            </w:r>
          </w:p>
        </w:tc>
        <w:tc>
          <w:tcPr>
            <w:tcW w:w="992" w:type="dxa"/>
            <w:tcBorders>
              <w:top w:val="single" w:sz="4" w:space="0" w:color="auto"/>
              <w:bottom w:val="single" w:sz="4" w:space="0" w:color="auto"/>
            </w:tcBorders>
            <w:shd w:val="clear" w:color="auto" w:fill="auto"/>
          </w:tcPr>
          <w:p w14:paraId="031F5BEF"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Cs/>
                <w:lang w:eastAsia="zh-CN"/>
              </w:rPr>
            </w:pPr>
            <w:r>
              <w:rPr>
                <w:rFonts w:ascii="Book Antiqua" w:hAnsi="Book Antiqua"/>
                <w:i/>
                <w:lang w:eastAsia="zh-CN"/>
              </w:rPr>
              <w:t xml:space="preserve">P </w:t>
            </w:r>
            <w:r>
              <w:rPr>
                <w:rFonts w:ascii="Book Antiqua" w:hAnsi="Book Antiqua"/>
                <w:iCs/>
                <w:lang w:eastAsia="zh-CN"/>
              </w:rPr>
              <w:t>value</w:t>
            </w:r>
          </w:p>
        </w:tc>
      </w:tr>
      <w:tr w:rsidR="0012737F" w14:paraId="2E02253F" w14:textId="77777777" w:rsidTr="0012737F">
        <w:trPr>
          <w:trHeight w:val="227"/>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tcBorders>
            <w:shd w:val="clear" w:color="auto" w:fill="auto"/>
          </w:tcPr>
          <w:p w14:paraId="2C1859ED" w14:textId="77777777" w:rsidR="0012737F" w:rsidRDefault="00663462">
            <w:pPr>
              <w:spacing w:line="360" w:lineRule="auto"/>
              <w:jc w:val="both"/>
              <w:rPr>
                <w:rFonts w:ascii="Book Antiqua" w:hAnsi="Book Antiqua"/>
                <w:b w:val="0"/>
                <w:bCs w:val="0"/>
                <w:lang w:eastAsia="zh-CN"/>
              </w:rPr>
            </w:pPr>
            <w:r>
              <w:rPr>
                <w:rFonts w:ascii="Book Antiqua" w:hAnsi="Book Antiqua"/>
                <w:b w:val="0"/>
                <w:bCs w:val="0"/>
                <w:lang w:eastAsia="zh-CN"/>
              </w:rPr>
              <w:t>Ferritin (ng/mL)</w:t>
            </w:r>
          </w:p>
        </w:tc>
        <w:tc>
          <w:tcPr>
            <w:tcW w:w="2410" w:type="dxa"/>
            <w:tcBorders>
              <w:top w:val="single" w:sz="4" w:space="0" w:color="auto"/>
            </w:tcBorders>
            <w:shd w:val="clear" w:color="auto" w:fill="auto"/>
          </w:tcPr>
          <w:p w14:paraId="3D3EB004"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55.90 (36.10, 231.20)</w:t>
            </w:r>
          </w:p>
        </w:tc>
        <w:tc>
          <w:tcPr>
            <w:tcW w:w="2126" w:type="dxa"/>
            <w:tcBorders>
              <w:top w:val="single" w:sz="4" w:space="0" w:color="auto"/>
            </w:tcBorders>
            <w:shd w:val="clear" w:color="auto" w:fill="auto"/>
          </w:tcPr>
          <w:p w14:paraId="28F357E8"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15.30 (9.40, 27.60)</w:t>
            </w:r>
          </w:p>
        </w:tc>
        <w:tc>
          <w:tcPr>
            <w:tcW w:w="2127" w:type="dxa"/>
            <w:tcBorders>
              <w:top w:val="single" w:sz="4" w:space="0" w:color="auto"/>
            </w:tcBorders>
          </w:tcPr>
          <w:p w14:paraId="1A801994"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1.14 (1.06, 1.24)</w:t>
            </w:r>
          </w:p>
        </w:tc>
        <w:tc>
          <w:tcPr>
            <w:tcW w:w="992" w:type="dxa"/>
            <w:tcBorders>
              <w:top w:val="single" w:sz="4" w:space="0" w:color="auto"/>
            </w:tcBorders>
            <w:shd w:val="clear" w:color="auto" w:fill="auto"/>
          </w:tcPr>
          <w:p w14:paraId="3F620261"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0.001</w:t>
            </w:r>
          </w:p>
        </w:tc>
      </w:tr>
      <w:tr w:rsidR="0012737F" w14:paraId="54E1F009" w14:textId="77777777" w:rsidTr="0012737F">
        <w:trPr>
          <w:trHeight w:val="485"/>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35BABD8" w14:textId="77777777" w:rsidR="0012737F" w:rsidRDefault="00663462">
            <w:pPr>
              <w:spacing w:line="360" w:lineRule="auto"/>
              <w:jc w:val="both"/>
              <w:rPr>
                <w:rFonts w:ascii="Book Antiqua" w:hAnsi="Book Antiqua"/>
                <w:b w:val="0"/>
                <w:bCs w:val="0"/>
                <w:lang w:eastAsia="zh-CN"/>
              </w:rPr>
            </w:pPr>
            <w:r>
              <w:rPr>
                <w:rFonts w:ascii="Book Antiqua" w:hAnsi="Book Antiqua"/>
                <w:b w:val="0"/>
                <w:bCs w:val="0"/>
                <w:lang w:eastAsia="zh-CN"/>
              </w:rPr>
              <w:t>IL-10</w:t>
            </w:r>
            <w:r>
              <w:rPr>
                <w:rFonts w:ascii="Book Antiqua" w:hAnsi="Book Antiqua" w:hint="eastAsia"/>
                <w:b w:val="0"/>
                <w:bCs w:val="0"/>
                <w:lang w:eastAsia="zh-CN"/>
              </w:rPr>
              <w:t xml:space="preserve"> </w:t>
            </w:r>
            <w:r>
              <w:rPr>
                <w:rFonts w:ascii="Book Antiqua" w:hAnsi="Book Antiqua"/>
                <w:b w:val="0"/>
                <w:bCs w:val="0"/>
                <w:lang w:eastAsia="zh-CN"/>
              </w:rPr>
              <w:t>(</w:t>
            </w:r>
            <w:proofErr w:type="spellStart"/>
            <w:r>
              <w:rPr>
                <w:rFonts w:ascii="Book Antiqua" w:hAnsi="Book Antiqua"/>
                <w:b w:val="0"/>
                <w:bCs w:val="0"/>
                <w:lang w:eastAsia="zh-CN"/>
              </w:rPr>
              <w:t>pg</w:t>
            </w:r>
            <w:proofErr w:type="spellEnd"/>
            <w:r>
              <w:rPr>
                <w:rFonts w:ascii="Book Antiqua" w:hAnsi="Book Antiqua"/>
                <w:b w:val="0"/>
                <w:bCs w:val="0"/>
                <w:lang w:eastAsia="zh-CN"/>
              </w:rPr>
              <w:t>/mL</w:t>
            </w:r>
            <w:r>
              <w:rPr>
                <w:rFonts w:ascii="Book Antiqua" w:hAnsi="Book Antiqua" w:hint="eastAsia"/>
                <w:b w:val="0"/>
                <w:bCs w:val="0"/>
                <w:lang w:eastAsia="zh-CN"/>
              </w:rPr>
              <w:t>)</w:t>
            </w:r>
          </w:p>
        </w:tc>
        <w:tc>
          <w:tcPr>
            <w:tcW w:w="2410" w:type="dxa"/>
            <w:shd w:val="clear" w:color="auto" w:fill="auto"/>
          </w:tcPr>
          <w:p w14:paraId="0EDC3BAA"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85.20 (43.30, 126.50)</w:t>
            </w:r>
          </w:p>
        </w:tc>
        <w:tc>
          <w:tcPr>
            <w:tcW w:w="2126" w:type="dxa"/>
            <w:shd w:val="clear" w:color="auto" w:fill="auto"/>
          </w:tcPr>
          <w:p w14:paraId="31E99318"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5.00 (5.00, 9.11)</w:t>
            </w:r>
          </w:p>
        </w:tc>
        <w:tc>
          <w:tcPr>
            <w:tcW w:w="2127" w:type="dxa"/>
          </w:tcPr>
          <w:p w14:paraId="68BCCB3F"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1.04 (1.01, 1.08)</w:t>
            </w:r>
          </w:p>
        </w:tc>
        <w:tc>
          <w:tcPr>
            <w:tcW w:w="992" w:type="dxa"/>
            <w:shd w:val="clear" w:color="auto" w:fill="auto"/>
          </w:tcPr>
          <w:p w14:paraId="2DCE0D53"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0.005</w:t>
            </w:r>
          </w:p>
        </w:tc>
      </w:tr>
      <w:tr w:rsidR="0012737F" w14:paraId="6AC7CC0C" w14:textId="77777777" w:rsidTr="0012737F">
        <w:trPr>
          <w:trHeight w:val="13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AC25CA9" w14:textId="77777777" w:rsidR="0012737F" w:rsidRDefault="00663462">
            <w:pPr>
              <w:spacing w:line="360" w:lineRule="auto"/>
              <w:jc w:val="both"/>
              <w:rPr>
                <w:rFonts w:ascii="Book Antiqua" w:hAnsi="Book Antiqua"/>
                <w:b w:val="0"/>
                <w:bCs w:val="0"/>
                <w:lang w:eastAsia="zh-CN"/>
              </w:rPr>
            </w:pPr>
            <w:r>
              <w:rPr>
                <w:rFonts w:ascii="Book Antiqua" w:hAnsi="Book Antiqua"/>
                <w:b w:val="0"/>
                <w:bCs w:val="0"/>
                <w:lang w:eastAsia="zh-CN"/>
              </w:rPr>
              <w:t>Median onset age (</w:t>
            </w:r>
            <w:proofErr w:type="spellStart"/>
            <w:r>
              <w:rPr>
                <w:rFonts w:ascii="Book Antiqua" w:hAnsi="Book Antiqua"/>
                <w:b w:val="0"/>
                <w:bCs w:val="0"/>
                <w:lang w:eastAsia="zh-CN"/>
              </w:rPr>
              <w:t>mo</w:t>
            </w:r>
            <w:proofErr w:type="spellEnd"/>
            <w:r>
              <w:rPr>
                <w:rFonts w:ascii="Book Antiqua" w:hAnsi="Book Antiqua"/>
                <w:b w:val="0"/>
                <w:bCs w:val="0"/>
                <w:lang w:eastAsia="zh-CN"/>
              </w:rPr>
              <w:t>)</w:t>
            </w:r>
          </w:p>
        </w:tc>
        <w:tc>
          <w:tcPr>
            <w:tcW w:w="2410" w:type="dxa"/>
            <w:shd w:val="clear" w:color="auto" w:fill="auto"/>
          </w:tcPr>
          <w:p w14:paraId="0D69C5F8"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0.51 (0.04, 1.79)</w:t>
            </w:r>
          </w:p>
        </w:tc>
        <w:tc>
          <w:tcPr>
            <w:tcW w:w="2126" w:type="dxa"/>
            <w:shd w:val="clear" w:color="auto" w:fill="auto"/>
          </w:tcPr>
          <w:p w14:paraId="2DDC7743"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3.99 (3.00, 9.00)</w:t>
            </w:r>
          </w:p>
        </w:tc>
        <w:tc>
          <w:tcPr>
            <w:tcW w:w="2127" w:type="dxa"/>
          </w:tcPr>
          <w:p w14:paraId="7DD819B5"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3.47 (1.29, 9.29)</w:t>
            </w:r>
          </w:p>
        </w:tc>
        <w:tc>
          <w:tcPr>
            <w:tcW w:w="992" w:type="dxa"/>
            <w:shd w:val="clear" w:color="auto" w:fill="auto"/>
          </w:tcPr>
          <w:p w14:paraId="665F22D2"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0.013</w:t>
            </w:r>
          </w:p>
        </w:tc>
      </w:tr>
      <w:tr w:rsidR="0012737F" w14:paraId="5EDA6944" w14:textId="77777777" w:rsidTr="0012737F">
        <w:trPr>
          <w:trHeight w:val="93"/>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auto"/>
            </w:tcBorders>
            <w:shd w:val="clear" w:color="auto" w:fill="auto"/>
          </w:tcPr>
          <w:p w14:paraId="0DEBC892" w14:textId="77777777" w:rsidR="0012737F" w:rsidRDefault="00663462">
            <w:pPr>
              <w:spacing w:line="360" w:lineRule="auto"/>
              <w:jc w:val="both"/>
              <w:rPr>
                <w:rFonts w:ascii="Book Antiqua" w:hAnsi="Book Antiqua"/>
                <w:b w:val="0"/>
                <w:bCs w:val="0"/>
                <w:lang w:eastAsia="zh-CN"/>
              </w:rPr>
            </w:pPr>
            <w:r>
              <w:rPr>
                <w:rFonts w:ascii="Book Antiqua" w:hAnsi="Book Antiqua"/>
                <w:b w:val="0"/>
                <w:bCs w:val="0"/>
                <w:lang w:eastAsia="zh-CN"/>
              </w:rPr>
              <w:t>Perianal disease (%)</w:t>
            </w:r>
          </w:p>
        </w:tc>
        <w:tc>
          <w:tcPr>
            <w:tcW w:w="2410" w:type="dxa"/>
            <w:tcBorders>
              <w:bottom w:val="single" w:sz="4" w:space="0" w:color="auto"/>
            </w:tcBorders>
            <w:shd w:val="clear" w:color="auto" w:fill="auto"/>
          </w:tcPr>
          <w:p w14:paraId="297A4535"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35 (79.50)</w:t>
            </w:r>
          </w:p>
        </w:tc>
        <w:tc>
          <w:tcPr>
            <w:tcW w:w="2126" w:type="dxa"/>
            <w:tcBorders>
              <w:bottom w:val="single" w:sz="4" w:space="0" w:color="auto"/>
            </w:tcBorders>
            <w:shd w:val="clear" w:color="auto" w:fill="auto"/>
          </w:tcPr>
          <w:p w14:paraId="52BDD69F"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 (24.10)</w:t>
            </w:r>
          </w:p>
        </w:tc>
        <w:tc>
          <w:tcPr>
            <w:tcW w:w="2127" w:type="dxa"/>
            <w:tcBorders>
              <w:bottom w:val="single" w:sz="4" w:space="0" w:color="auto"/>
            </w:tcBorders>
          </w:tcPr>
          <w:p w14:paraId="57DF7FD5"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11.42 (1.71, 76.23)</w:t>
            </w:r>
          </w:p>
        </w:tc>
        <w:tc>
          <w:tcPr>
            <w:tcW w:w="992" w:type="dxa"/>
            <w:tcBorders>
              <w:bottom w:val="single" w:sz="4" w:space="0" w:color="auto"/>
            </w:tcBorders>
            <w:shd w:val="clear" w:color="auto" w:fill="auto"/>
          </w:tcPr>
          <w:p w14:paraId="3437E1B3"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0.012</w:t>
            </w:r>
          </w:p>
        </w:tc>
      </w:tr>
    </w:tbl>
    <w:p w14:paraId="7C053C5A" w14:textId="23B58CF8" w:rsidR="0012737F" w:rsidRDefault="00663462">
      <w:pPr>
        <w:spacing w:line="360" w:lineRule="auto"/>
        <w:jc w:val="both"/>
        <w:rPr>
          <w:rFonts w:ascii="Book Antiqua" w:eastAsia="Malgun Gothic" w:hAnsi="Book Antiqua"/>
        </w:rPr>
      </w:pPr>
      <w:r>
        <w:rPr>
          <w:rFonts w:ascii="Book Antiqua" w:hAnsi="Book Antiqua"/>
        </w:rPr>
        <w:t xml:space="preserve">Binary logistic analysis showed that higher levels of ferritin and interleukin (IL)-10 in peripheral blood, earlier onset age, and presence of perianal disease suggested that </w:t>
      </w:r>
      <w:r>
        <w:rPr>
          <w:rFonts w:ascii="Book Antiqua" w:eastAsia="Book Antiqua" w:hAnsi="Book Antiqua" w:cs="Book Antiqua"/>
          <w:color w:val="000000"/>
          <w:szCs w:val="22"/>
        </w:rPr>
        <w:t>inflammatory bowel disease</w:t>
      </w:r>
      <w:r>
        <w:rPr>
          <w:rFonts w:ascii="Book Antiqua" w:hAnsi="Book Antiqua"/>
        </w:rPr>
        <w:t xml:space="preserve"> children may have the gene mutation. However, most of the mutations (79.6%) in this study occur</w:t>
      </w:r>
      <w:r>
        <w:rPr>
          <w:rFonts w:ascii="Book Antiqua" w:hAnsi="Book Antiqua" w:hint="eastAsia"/>
          <w:lang w:eastAsia="zh-CN"/>
        </w:rPr>
        <w:t>r</w:t>
      </w:r>
      <w:r>
        <w:rPr>
          <w:rFonts w:ascii="Book Antiqua" w:hAnsi="Book Antiqua"/>
        </w:rPr>
        <w:t xml:space="preserve">ed in </w:t>
      </w:r>
      <w:r>
        <w:rPr>
          <w:rFonts w:ascii="Book Antiqua" w:hAnsi="Book Antiqua"/>
          <w:i/>
          <w:iCs/>
        </w:rPr>
        <w:t>IL-10RA</w:t>
      </w:r>
      <w:r>
        <w:rPr>
          <w:rFonts w:ascii="Book Antiqua" w:hAnsi="Book Antiqua"/>
        </w:rPr>
        <w:t xml:space="preserve">, and in order to avoid the bias, we did further analyses as showed in Table 6. M-IBD: </w:t>
      </w:r>
      <w:r>
        <w:rPr>
          <w:rFonts w:ascii="Book Antiqua" w:eastAsia="Times New Roman" w:hAnsi="Book Antiqua"/>
        </w:rPr>
        <w:t xml:space="preserve">Monogenic </w:t>
      </w:r>
      <w:r>
        <w:rPr>
          <w:rFonts w:ascii="Book Antiqua" w:eastAsia="Book Antiqua" w:hAnsi="Book Antiqua" w:cs="Book Antiqua"/>
          <w:color w:val="000000"/>
          <w:szCs w:val="22"/>
        </w:rPr>
        <w:t>inflammatory bowel disease</w:t>
      </w:r>
      <w:r>
        <w:rPr>
          <w:rFonts w:ascii="Book Antiqua" w:eastAsia="Times New Roman" w:hAnsi="Book Antiqua"/>
        </w:rPr>
        <w:t xml:space="preserve">; NM-IBD: </w:t>
      </w:r>
      <w:bookmarkStart w:id="17" w:name="_Hlk58235415"/>
      <w:r>
        <w:rPr>
          <w:rFonts w:ascii="Book Antiqua" w:eastAsia="Times New Roman" w:hAnsi="Book Antiqua"/>
        </w:rPr>
        <w:t xml:space="preserve">Non-monogenic </w:t>
      </w:r>
      <w:r>
        <w:rPr>
          <w:rFonts w:ascii="Book Antiqua" w:eastAsia="Book Antiqua" w:hAnsi="Book Antiqua" w:cs="Book Antiqua"/>
          <w:color w:val="000000"/>
          <w:szCs w:val="22"/>
        </w:rPr>
        <w:t>inflammatory bowel disease</w:t>
      </w:r>
      <w:bookmarkEnd w:id="17"/>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IL: </w:t>
      </w:r>
      <w:bookmarkStart w:id="18" w:name="_Hlk58235306"/>
      <w:r>
        <w:rPr>
          <w:rFonts w:ascii="Book Antiqua" w:eastAsia="Book Antiqua" w:hAnsi="Book Antiqua" w:cs="Book Antiqua"/>
          <w:color w:val="000000"/>
        </w:rPr>
        <w:t>Interleukin</w:t>
      </w:r>
      <w:bookmarkEnd w:id="18"/>
      <w:r>
        <w:rPr>
          <w:rFonts w:ascii="Book Antiqua" w:eastAsia="Malgun Gothic" w:hAnsi="Book Antiqua"/>
        </w:rPr>
        <w:t xml:space="preserve">; </w:t>
      </w:r>
      <w:r>
        <w:rPr>
          <w:rFonts w:ascii="Book Antiqua" w:hAnsi="Book Antiqua"/>
        </w:rPr>
        <w:t xml:space="preserve">IQR: </w:t>
      </w:r>
      <w:r>
        <w:rPr>
          <w:rFonts w:ascii="Book Antiqua" w:eastAsia="Book Antiqua" w:hAnsi="Book Antiqua" w:cs="Book Antiqua"/>
          <w:color w:val="000000"/>
        </w:rPr>
        <w:t xml:space="preserve">Interquartile range; OR: Odds ratio; CI: </w:t>
      </w:r>
      <w:r>
        <w:rPr>
          <w:rFonts w:ascii="Book Antiqua" w:eastAsia="Malgun Gothic" w:hAnsi="Book Antiqua"/>
        </w:rPr>
        <w:t>Confidence interval.</w:t>
      </w:r>
    </w:p>
    <w:p w14:paraId="6FE9430D" w14:textId="77777777" w:rsidR="0012737F" w:rsidRDefault="00663462">
      <w:pPr>
        <w:spacing w:line="360" w:lineRule="auto"/>
        <w:jc w:val="both"/>
        <w:rPr>
          <w:rFonts w:ascii="Book Antiqua" w:eastAsia="Malgun Gothic" w:hAnsi="Book Antiqua"/>
          <w:b/>
          <w:bCs/>
        </w:rPr>
      </w:pPr>
      <w:r>
        <w:rPr>
          <w:rFonts w:ascii="Book Antiqua" w:eastAsia="Malgun Gothic" w:hAnsi="Book Antiqua"/>
        </w:rPr>
        <w:br w:type="page"/>
      </w:r>
      <w:r>
        <w:rPr>
          <w:rFonts w:ascii="Book Antiqua" w:eastAsia="Malgun Gothic" w:hAnsi="Book Antiqua"/>
          <w:b/>
          <w:bCs/>
        </w:rPr>
        <w:lastRenderedPageBreak/>
        <w:t xml:space="preserve">Table 6 Comparison of risk factors among infantile-onset inflammatory bowel disease patients with or without </w:t>
      </w:r>
      <w:r>
        <w:rPr>
          <w:rFonts w:ascii="Book Antiqua" w:eastAsia="Malgun Gothic" w:hAnsi="Book Antiqua"/>
          <w:b/>
          <w:bCs/>
          <w:i/>
          <w:iCs/>
        </w:rPr>
        <w:t>IL-10RA</w:t>
      </w:r>
      <w:r>
        <w:rPr>
          <w:rFonts w:ascii="Book Antiqua" w:eastAsia="Malgun Gothic" w:hAnsi="Book Antiqua"/>
          <w:b/>
          <w:bCs/>
        </w:rPr>
        <w:t xml:space="preserve"> mutation and non-monogenic inflammatory bowel disease (median,</w:t>
      </w:r>
      <w:r>
        <w:rPr>
          <w:rFonts w:ascii="Book Antiqua" w:eastAsia="Book Antiqua" w:hAnsi="Book Antiqua" w:cs="Book Antiqua"/>
          <w:b/>
          <w:bCs/>
          <w:color w:val="000000"/>
          <w:szCs w:val="22"/>
        </w:rPr>
        <w:t xml:space="preserve"> interquartile range</w:t>
      </w:r>
      <w:r>
        <w:rPr>
          <w:rFonts w:ascii="Book Antiqua" w:eastAsia="Malgun Gothic" w:hAnsi="Book Antiqua"/>
          <w:b/>
          <w:bCs/>
        </w:rPr>
        <w:t>)</w:t>
      </w:r>
    </w:p>
    <w:tbl>
      <w:tblPr>
        <w:tblStyle w:val="a6"/>
        <w:tblW w:w="9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2127"/>
        <w:gridCol w:w="1984"/>
        <w:gridCol w:w="2114"/>
        <w:gridCol w:w="863"/>
      </w:tblGrid>
      <w:tr w:rsidR="0012737F" w14:paraId="1B0894F0" w14:textId="77777777">
        <w:tc>
          <w:tcPr>
            <w:tcW w:w="2280" w:type="dxa"/>
            <w:tcBorders>
              <w:top w:val="single" w:sz="4" w:space="0" w:color="auto"/>
              <w:bottom w:val="single" w:sz="4" w:space="0" w:color="auto"/>
            </w:tcBorders>
          </w:tcPr>
          <w:p w14:paraId="62BE3B63" w14:textId="77777777" w:rsidR="0012737F" w:rsidRDefault="0012737F">
            <w:pPr>
              <w:spacing w:line="360" w:lineRule="auto"/>
              <w:jc w:val="both"/>
              <w:rPr>
                <w:rFonts w:ascii="Book Antiqua" w:hAnsi="Book Antiqua"/>
                <w:lang w:eastAsia="zh-CN"/>
              </w:rPr>
            </w:pPr>
          </w:p>
        </w:tc>
        <w:tc>
          <w:tcPr>
            <w:tcW w:w="2127" w:type="dxa"/>
            <w:tcBorders>
              <w:top w:val="single" w:sz="4" w:space="0" w:color="auto"/>
              <w:bottom w:val="single" w:sz="4" w:space="0" w:color="auto"/>
            </w:tcBorders>
          </w:tcPr>
          <w:p w14:paraId="36F933EF" w14:textId="77777777" w:rsidR="0012737F" w:rsidRDefault="00663462">
            <w:pPr>
              <w:spacing w:line="360" w:lineRule="auto"/>
              <w:jc w:val="both"/>
              <w:rPr>
                <w:rFonts w:ascii="Book Antiqua" w:hAnsi="Book Antiqua"/>
                <w:b/>
                <w:lang w:eastAsia="zh-CN"/>
              </w:rPr>
            </w:pPr>
            <w:r>
              <w:rPr>
                <w:rFonts w:ascii="Book Antiqua" w:hAnsi="Book Antiqua"/>
                <w:b/>
                <w:i/>
                <w:lang w:eastAsia="zh-CN"/>
              </w:rPr>
              <w:t xml:space="preserve">IL-10RA </w:t>
            </w:r>
            <w:r>
              <w:rPr>
                <w:rFonts w:ascii="Book Antiqua" w:hAnsi="Book Antiqua"/>
                <w:b/>
                <w:lang w:eastAsia="zh-CN"/>
              </w:rPr>
              <w:t>M-IBD</w:t>
            </w:r>
          </w:p>
        </w:tc>
        <w:tc>
          <w:tcPr>
            <w:tcW w:w="1984" w:type="dxa"/>
            <w:tcBorders>
              <w:top w:val="single" w:sz="4" w:space="0" w:color="auto"/>
              <w:bottom w:val="single" w:sz="4" w:space="0" w:color="auto"/>
            </w:tcBorders>
          </w:tcPr>
          <w:p w14:paraId="114A320B" w14:textId="77777777" w:rsidR="0012737F" w:rsidRDefault="00663462">
            <w:pPr>
              <w:spacing w:line="360" w:lineRule="auto"/>
              <w:jc w:val="both"/>
              <w:rPr>
                <w:rFonts w:ascii="Book Antiqua" w:hAnsi="Book Antiqua"/>
                <w:b/>
                <w:lang w:eastAsia="zh-CN"/>
              </w:rPr>
            </w:pPr>
            <w:r>
              <w:rPr>
                <w:rFonts w:ascii="Book Antiqua" w:hAnsi="Book Antiqua"/>
                <w:b/>
                <w:lang w:eastAsia="zh-CN"/>
              </w:rPr>
              <w:t>Non-</w:t>
            </w:r>
            <w:r>
              <w:rPr>
                <w:rFonts w:ascii="Book Antiqua" w:hAnsi="Book Antiqua"/>
                <w:b/>
                <w:i/>
                <w:lang w:eastAsia="zh-CN"/>
              </w:rPr>
              <w:t xml:space="preserve">IL-10RA </w:t>
            </w:r>
            <w:r>
              <w:rPr>
                <w:rFonts w:ascii="Book Antiqua" w:hAnsi="Book Antiqua"/>
                <w:b/>
                <w:lang w:eastAsia="zh-CN"/>
              </w:rPr>
              <w:t>M-IBD</w:t>
            </w:r>
          </w:p>
        </w:tc>
        <w:tc>
          <w:tcPr>
            <w:tcW w:w="2114" w:type="dxa"/>
            <w:tcBorders>
              <w:top w:val="single" w:sz="4" w:space="0" w:color="auto"/>
              <w:bottom w:val="single" w:sz="4" w:space="0" w:color="auto"/>
            </w:tcBorders>
          </w:tcPr>
          <w:p w14:paraId="666E77C8" w14:textId="77777777" w:rsidR="0012737F" w:rsidRDefault="00663462">
            <w:pPr>
              <w:spacing w:line="360" w:lineRule="auto"/>
              <w:jc w:val="both"/>
              <w:rPr>
                <w:rFonts w:ascii="Book Antiqua" w:hAnsi="Book Antiqua"/>
                <w:b/>
                <w:lang w:eastAsia="zh-CN"/>
              </w:rPr>
            </w:pPr>
            <w:r>
              <w:rPr>
                <w:rFonts w:ascii="Book Antiqua" w:hAnsi="Book Antiqua"/>
                <w:b/>
                <w:lang w:eastAsia="zh-CN"/>
              </w:rPr>
              <w:t>NM-IBD</w:t>
            </w:r>
          </w:p>
        </w:tc>
        <w:tc>
          <w:tcPr>
            <w:tcW w:w="863" w:type="dxa"/>
            <w:tcBorders>
              <w:top w:val="single" w:sz="4" w:space="0" w:color="auto"/>
              <w:bottom w:val="single" w:sz="4" w:space="0" w:color="auto"/>
            </w:tcBorders>
          </w:tcPr>
          <w:p w14:paraId="36F61ECE" w14:textId="77777777" w:rsidR="0012737F" w:rsidRDefault="00663462">
            <w:pPr>
              <w:spacing w:line="360" w:lineRule="auto"/>
              <w:jc w:val="both"/>
              <w:rPr>
                <w:rFonts w:ascii="Book Antiqua" w:hAnsi="Book Antiqua"/>
                <w:b/>
                <w:iCs/>
                <w:lang w:eastAsia="zh-CN"/>
              </w:rPr>
            </w:pPr>
            <w:r>
              <w:rPr>
                <w:rFonts w:ascii="Book Antiqua" w:hAnsi="Book Antiqua"/>
                <w:b/>
                <w:i/>
                <w:lang w:eastAsia="zh-CN"/>
              </w:rPr>
              <w:t xml:space="preserve">P </w:t>
            </w:r>
            <w:r>
              <w:rPr>
                <w:rFonts w:ascii="Book Antiqua" w:hAnsi="Book Antiqua"/>
                <w:b/>
                <w:iCs/>
                <w:lang w:eastAsia="zh-CN"/>
              </w:rPr>
              <w:t>value</w:t>
            </w:r>
          </w:p>
        </w:tc>
      </w:tr>
      <w:tr w:rsidR="0012737F" w14:paraId="1BEE8310" w14:textId="77777777">
        <w:tc>
          <w:tcPr>
            <w:tcW w:w="2280" w:type="dxa"/>
            <w:tcBorders>
              <w:top w:val="single" w:sz="4" w:space="0" w:color="auto"/>
            </w:tcBorders>
          </w:tcPr>
          <w:p w14:paraId="33467555" w14:textId="77777777" w:rsidR="0012737F" w:rsidRDefault="00663462">
            <w:pPr>
              <w:spacing w:line="360" w:lineRule="auto"/>
              <w:jc w:val="both"/>
              <w:rPr>
                <w:rFonts w:ascii="Book Antiqua" w:hAnsi="Book Antiqua"/>
                <w:bCs/>
                <w:lang w:eastAsia="zh-CN"/>
              </w:rPr>
            </w:pPr>
            <w:r>
              <w:rPr>
                <w:rFonts w:ascii="Book Antiqua" w:hAnsi="Book Antiqua"/>
                <w:bCs/>
                <w:lang w:eastAsia="zh-CN"/>
              </w:rPr>
              <w:t>Ferritin (ng/mL)</w:t>
            </w:r>
          </w:p>
        </w:tc>
        <w:tc>
          <w:tcPr>
            <w:tcW w:w="2127" w:type="dxa"/>
            <w:tcBorders>
              <w:top w:val="single" w:sz="4" w:space="0" w:color="auto"/>
            </w:tcBorders>
          </w:tcPr>
          <w:p w14:paraId="311015EC" w14:textId="77777777" w:rsidR="0012737F" w:rsidRDefault="00663462">
            <w:pPr>
              <w:spacing w:line="360" w:lineRule="auto"/>
              <w:jc w:val="both"/>
              <w:rPr>
                <w:rFonts w:ascii="Book Antiqua" w:hAnsi="Book Antiqua"/>
                <w:bCs/>
                <w:lang w:eastAsia="zh-CN"/>
              </w:rPr>
            </w:pPr>
            <w:r>
              <w:rPr>
                <w:rFonts w:ascii="Book Antiqua" w:hAnsi="Book Antiqua"/>
                <w:bCs/>
                <w:lang w:eastAsia="zh-CN"/>
              </w:rPr>
              <w:t>55.90 (53.12, 74.73)</w:t>
            </w:r>
          </w:p>
        </w:tc>
        <w:tc>
          <w:tcPr>
            <w:tcW w:w="1984" w:type="dxa"/>
            <w:tcBorders>
              <w:top w:val="single" w:sz="4" w:space="0" w:color="auto"/>
            </w:tcBorders>
          </w:tcPr>
          <w:p w14:paraId="5125C29E" w14:textId="77777777" w:rsidR="0012737F" w:rsidRDefault="00663462">
            <w:pPr>
              <w:spacing w:line="360" w:lineRule="auto"/>
              <w:jc w:val="both"/>
              <w:rPr>
                <w:rFonts w:ascii="Book Antiqua" w:hAnsi="Book Antiqua"/>
                <w:bCs/>
                <w:lang w:eastAsia="zh-CN"/>
              </w:rPr>
            </w:pPr>
            <w:r>
              <w:rPr>
                <w:rFonts w:ascii="Book Antiqua" w:hAnsi="Book Antiqua"/>
                <w:bCs/>
                <w:lang w:eastAsia="zh-CN"/>
              </w:rPr>
              <w:t>45.25 (16.58, 68.70)</w:t>
            </w:r>
          </w:p>
        </w:tc>
        <w:tc>
          <w:tcPr>
            <w:tcW w:w="2114" w:type="dxa"/>
            <w:tcBorders>
              <w:top w:val="single" w:sz="4" w:space="0" w:color="auto"/>
            </w:tcBorders>
          </w:tcPr>
          <w:p w14:paraId="30A816F8" w14:textId="77777777" w:rsidR="0012737F" w:rsidRDefault="00663462">
            <w:pPr>
              <w:spacing w:line="360" w:lineRule="auto"/>
              <w:jc w:val="both"/>
              <w:rPr>
                <w:rFonts w:ascii="Book Antiqua" w:hAnsi="Book Antiqua"/>
                <w:bCs/>
                <w:lang w:eastAsia="zh-CN"/>
              </w:rPr>
            </w:pPr>
            <w:r>
              <w:rPr>
                <w:rFonts w:ascii="Book Antiqua" w:hAnsi="Book Antiqua"/>
                <w:bCs/>
                <w:lang w:eastAsia="zh-CN"/>
              </w:rPr>
              <w:t>15.30 (14.55, 17.95)</w:t>
            </w:r>
            <w:r>
              <w:rPr>
                <w:rFonts w:ascii="Book Antiqua" w:hAnsi="Book Antiqua"/>
                <w:bCs/>
                <w:vertAlign w:val="superscript"/>
                <w:lang w:eastAsia="zh-CN"/>
              </w:rPr>
              <w:t>1</w:t>
            </w:r>
          </w:p>
        </w:tc>
        <w:tc>
          <w:tcPr>
            <w:tcW w:w="863" w:type="dxa"/>
            <w:tcBorders>
              <w:top w:val="single" w:sz="4" w:space="0" w:color="auto"/>
            </w:tcBorders>
          </w:tcPr>
          <w:p w14:paraId="3B85ED54" w14:textId="77777777" w:rsidR="0012737F" w:rsidRDefault="00663462">
            <w:pPr>
              <w:spacing w:line="360" w:lineRule="auto"/>
              <w:jc w:val="both"/>
              <w:rPr>
                <w:rFonts w:ascii="Book Antiqua" w:hAnsi="Book Antiqua"/>
                <w:bCs/>
                <w:lang w:eastAsia="zh-CN"/>
              </w:rPr>
            </w:pPr>
            <w:r>
              <w:rPr>
                <w:rFonts w:ascii="Book Antiqua" w:hAnsi="Book Antiqua"/>
                <w:bCs/>
                <w:lang w:eastAsia="zh-CN"/>
              </w:rPr>
              <w:t>&lt; 0.001</w:t>
            </w:r>
          </w:p>
        </w:tc>
      </w:tr>
      <w:tr w:rsidR="0012737F" w14:paraId="33305529" w14:textId="77777777">
        <w:tc>
          <w:tcPr>
            <w:tcW w:w="2280" w:type="dxa"/>
          </w:tcPr>
          <w:p w14:paraId="2826C498" w14:textId="77777777" w:rsidR="0012737F" w:rsidRDefault="00663462">
            <w:pPr>
              <w:spacing w:line="360" w:lineRule="auto"/>
              <w:jc w:val="both"/>
              <w:rPr>
                <w:rFonts w:ascii="Book Antiqua" w:hAnsi="Book Antiqua"/>
                <w:bCs/>
                <w:lang w:eastAsia="zh-CN"/>
              </w:rPr>
            </w:pPr>
            <w:r>
              <w:rPr>
                <w:rFonts w:ascii="Book Antiqua" w:hAnsi="Book Antiqua"/>
                <w:bCs/>
                <w:lang w:eastAsia="zh-CN"/>
              </w:rPr>
              <w:t>IL-10</w:t>
            </w:r>
            <w:r>
              <w:rPr>
                <w:rFonts w:ascii="Book Antiqua" w:hAnsi="Book Antiqua" w:hint="eastAsia"/>
                <w:bCs/>
                <w:lang w:eastAsia="zh-CN"/>
              </w:rPr>
              <w:t xml:space="preserve"> </w:t>
            </w:r>
            <w:r>
              <w:rPr>
                <w:rFonts w:ascii="Book Antiqua" w:hAnsi="Book Antiqua"/>
                <w:bCs/>
                <w:lang w:eastAsia="zh-CN"/>
              </w:rPr>
              <w:t>(</w:t>
            </w:r>
            <w:proofErr w:type="spellStart"/>
            <w:r>
              <w:rPr>
                <w:rFonts w:ascii="Book Antiqua" w:hAnsi="Book Antiqua"/>
                <w:bCs/>
                <w:lang w:eastAsia="zh-CN"/>
              </w:rPr>
              <w:t>pg</w:t>
            </w:r>
            <w:proofErr w:type="spellEnd"/>
            <w:r>
              <w:rPr>
                <w:rFonts w:ascii="Book Antiqua" w:hAnsi="Book Antiqua"/>
                <w:bCs/>
                <w:lang w:eastAsia="zh-CN"/>
              </w:rPr>
              <w:t>/mL)</w:t>
            </w:r>
          </w:p>
        </w:tc>
        <w:tc>
          <w:tcPr>
            <w:tcW w:w="2127" w:type="dxa"/>
          </w:tcPr>
          <w:p w14:paraId="7250D581" w14:textId="77777777" w:rsidR="0012737F" w:rsidRDefault="00663462">
            <w:pPr>
              <w:spacing w:line="360" w:lineRule="auto"/>
              <w:jc w:val="both"/>
              <w:rPr>
                <w:rFonts w:ascii="Book Antiqua" w:hAnsi="Book Antiqua"/>
                <w:bCs/>
                <w:lang w:eastAsia="zh-CN"/>
              </w:rPr>
            </w:pPr>
            <w:r>
              <w:rPr>
                <w:rFonts w:ascii="Book Antiqua" w:hAnsi="Book Antiqua"/>
                <w:bCs/>
                <w:lang w:eastAsia="zh-CN"/>
              </w:rPr>
              <w:t>85.20 (66.20, 125.00)</w:t>
            </w:r>
            <w:r>
              <w:rPr>
                <w:rFonts w:ascii="Book Antiqua" w:hAnsi="Book Antiqua"/>
                <w:bCs/>
                <w:vertAlign w:val="superscript"/>
                <w:lang w:eastAsia="zh-CN"/>
              </w:rPr>
              <w:t>1</w:t>
            </w:r>
          </w:p>
        </w:tc>
        <w:tc>
          <w:tcPr>
            <w:tcW w:w="1984" w:type="dxa"/>
          </w:tcPr>
          <w:p w14:paraId="221BB159" w14:textId="77777777" w:rsidR="0012737F" w:rsidRDefault="00663462">
            <w:pPr>
              <w:spacing w:line="360" w:lineRule="auto"/>
              <w:jc w:val="both"/>
              <w:rPr>
                <w:rFonts w:ascii="Book Antiqua" w:hAnsi="Book Antiqua"/>
                <w:bCs/>
                <w:lang w:eastAsia="zh-CN"/>
              </w:rPr>
            </w:pPr>
            <w:r>
              <w:rPr>
                <w:rFonts w:ascii="Book Antiqua" w:hAnsi="Book Antiqua"/>
                <w:bCs/>
                <w:lang w:eastAsia="zh-CN"/>
              </w:rPr>
              <w:t>8.90 (5.00, 85.20)</w:t>
            </w:r>
          </w:p>
        </w:tc>
        <w:tc>
          <w:tcPr>
            <w:tcW w:w="2114" w:type="dxa"/>
          </w:tcPr>
          <w:p w14:paraId="1B6F63FF" w14:textId="77777777" w:rsidR="0012737F" w:rsidRDefault="00663462">
            <w:pPr>
              <w:spacing w:line="360" w:lineRule="auto"/>
              <w:jc w:val="both"/>
              <w:rPr>
                <w:rFonts w:ascii="Book Antiqua" w:hAnsi="Book Antiqua"/>
                <w:bCs/>
                <w:lang w:eastAsia="zh-CN"/>
              </w:rPr>
            </w:pPr>
            <w:r>
              <w:rPr>
                <w:rFonts w:ascii="Book Antiqua" w:hAnsi="Book Antiqua"/>
                <w:bCs/>
                <w:lang w:eastAsia="zh-CN"/>
              </w:rPr>
              <w:t>5.00 (5.00, 9.11)</w:t>
            </w:r>
          </w:p>
        </w:tc>
        <w:tc>
          <w:tcPr>
            <w:tcW w:w="863" w:type="dxa"/>
          </w:tcPr>
          <w:p w14:paraId="1B5BFE1D" w14:textId="77777777" w:rsidR="0012737F" w:rsidRDefault="00663462">
            <w:pPr>
              <w:spacing w:line="360" w:lineRule="auto"/>
              <w:jc w:val="both"/>
              <w:rPr>
                <w:rFonts w:ascii="Book Antiqua" w:hAnsi="Book Antiqua"/>
                <w:bCs/>
                <w:lang w:eastAsia="zh-CN"/>
              </w:rPr>
            </w:pPr>
            <w:r>
              <w:rPr>
                <w:rFonts w:ascii="Book Antiqua" w:hAnsi="Book Antiqua"/>
                <w:bCs/>
                <w:lang w:eastAsia="zh-CN"/>
              </w:rPr>
              <w:t>&lt; 0.001</w:t>
            </w:r>
          </w:p>
        </w:tc>
      </w:tr>
      <w:tr w:rsidR="0012737F" w14:paraId="1F240107" w14:textId="77777777">
        <w:tc>
          <w:tcPr>
            <w:tcW w:w="2280" w:type="dxa"/>
          </w:tcPr>
          <w:p w14:paraId="603FC954" w14:textId="77777777" w:rsidR="0012737F" w:rsidRDefault="00663462">
            <w:pPr>
              <w:spacing w:line="360" w:lineRule="auto"/>
              <w:jc w:val="both"/>
              <w:rPr>
                <w:rFonts w:ascii="Book Antiqua" w:hAnsi="Book Antiqua"/>
                <w:bCs/>
                <w:lang w:eastAsia="zh-CN"/>
              </w:rPr>
            </w:pPr>
            <w:r>
              <w:rPr>
                <w:rFonts w:ascii="Book Antiqua" w:hAnsi="Book Antiqua"/>
                <w:bCs/>
                <w:lang w:eastAsia="zh-CN"/>
              </w:rPr>
              <w:t>Median onset age (</w:t>
            </w:r>
            <w:proofErr w:type="spellStart"/>
            <w:r>
              <w:rPr>
                <w:rFonts w:ascii="Book Antiqua" w:hAnsi="Book Antiqua"/>
                <w:bCs/>
                <w:lang w:eastAsia="zh-CN"/>
              </w:rPr>
              <w:t>mo</w:t>
            </w:r>
            <w:proofErr w:type="spellEnd"/>
            <w:r>
              <w:rPr>
                <w:rFonts w:ascii="Book Antiqua" w:hAnsi="Book Antiqua"/>
                <w:bCs/>
                <w:lang w:eastAsia="zh-CN"/>
              </w:rPr>
              <w:t>)</w:t>
            </w:r>
          </w:p>
        </w:tc>
        <w:tc>
          <w:tcPr>
            <w:tcW w:w="2127" w:type="dxa"/>
          </w:tcPr>
          <w:p w14:paraId="0A1B87A4" w14:textId="77777777" w:rsidR="0012737F" w:rsidRDefault="00663462">
            <w:pPr>
              <w:spacing w:line="360" w:lineRule="auto"/>
              <w:jc w:val="both"/>
              <w:rPr>
                <w:rFonts w:ascii="Book Antiqua" w:hAnsi="Book Antiqua"/>
                <w:bCs/>
                <w:lang w:eastAsia="zh-CN"/>
              </w:rPr>
            </w:pPr>
            <w:r>
              <w:rPr>
                <w:rFonts w:ascii="Book Antiqua" w:hAnsi="Book Antiqua"/>
                <w:bCs/>
                <w:lang w:eastAsia="zh-CN"/>
              </w:rPr>
              <w:t>0.04 (0.00, 0.08)</w:t>
            </w:r>
            <w:r>
              <w:rPr>
                <w:rFonts w:ascii="Book Antiqua" w:hAnsi="Book Antiqua"/>
                <w:bCs/>
                <w:vertAlign w:val="superscript"/>
                <w:lang w:eastAsia="zh-CN"/>
              </w:rPr>
              <w:t>1</w:t>
            </w:r>
          </w:p>
        </w:tc>
        <w:tc>
          <w:tcPr>
            <w:tcW w:w="1984" w:type="dxa"/>
          </w:tcPr>
          <w:p w14:paraId="5D2F562C" w14:textId="77777777" w:rsidR="0012737F" w:rsidRDefault="00663462">
            <w:pPr>
              <w:spacing w:line="360" w:lineRule="auto"/>
              <w:jc w:val="both"/>
              <w:rPr>
                <w:rFonts w:ascii="Book Antiqua" w:hAnsi="Book Antiqua"/>
                <w:bCs/>
                <w:lang w:eastAsia="zh-CN"/>
              </w:rPr>
            </w:pPr>
            <w:r>
              <w:rPr>
                <w:rFonts w:ascii="Book Antiqua" w:hAnsi="Book Antiqua"/>
                <w:bCs/>
                <w:lang w:eastAsia="zh-CN"/>
              </w:rPr>
              <w:t>2 (0.41, 4.08)</w:t>
            </w:r>
          </w:p>
        </w:tc>
        <w:tc>
          <w:tcPr>
            <w:tcW w:w="2114" w:type="dxa"/>
          </w:tcPr>
          <w:p w14:paraId="7C09CDA4" w14:textId="77777777" w:rsidR="0012737F" w:rsidRDefault="00663462">
            <w:pPr>
              <w:spacing w:line="360" w:lineRule="auto"/>
              <w:jc w:val="both"/>
              <w:rPr>
                <w:rFonts w:ascii="Book Antiqua" w:hAnsi="Book Antiqua"/>
                <w:bCs/>
                <w:lang w:eastAsia="zh-CN"/>
              </w:rPr>
            </w:pPr>
            <w:r>
              <w:rPr>
                <w:rFonts w:ascii="Book Antiqua" w:hAnsi="Book Antiqua"/>
                <w:bCs/>
                <w:lang w:eastAsia="zh-CN"/>
              </w:rPr>
              <w:t>3.99 (3, 9)</w:t>
            </w:r>
          </w:p>
        </w:tc>
        <w:tc>
          <w:tcPr>
            <w:tcW w:w="863" w:type="dxa"/>
          </w:tcPr>
          <w:p w14:paraId="1F230FDB" w14:textId="77777777" w:rsidR="0012737F" w:rsidRDefault="00663462">
            <w:pPr>
              <w:spacing w:line="360" w:lineRule="auto"/>
              <w:jc w:val="both"/>
              <w:rPr>
                <w:rFonts w:ascii="Book Antiqua" w:hAnsi="Book Antiqua"/>
                <w:bCs/>
                <w:lang w:eastAsia="zh-CN"/>
              </w:rPr>
            </w:pPr>
            <w:r>
              <w:rPr>
                <w:rFonts w:ascii="Book Antiqua" w:hAnsi="Book Antiqua"/>
                <w:bCs/>
                <w:lang w:eastAsia="zh-CN"/>
              </w:rPr>
              <w:t>&lt; 0.001</w:t>
            </w:r>
          </w:p>
        </w:tc>
      </w:tr>
      <w:tr w:rsidR="0012737F" w14:paraId="2A47839B" w14:textId="77777777">
        <w:tc>
          <w:tcPr>
            <w:tcW w:w="2280" w:type="dxa"/>
            <w:tcBorders>
              <w:bottom w:val="single" w:sz="4" w:space="0" w:color="auto"/>
            </w:tcBorders>
          </w:tcPr>
          <w:p w14:paraId="4348336C" w14:textId="77777777" w:rsidR="0012737F" w:rsidRDefault="00663462">
            <w:pPr>
              <w:spacing w:line="360" w:lineRule="auto"/>
              <w:jc w:val="both"/>
              <w:rPr>
                <w:rFonts w:ascii="Book Antiqua" w:hAnsi="Book Antiqua"/>
                <w:bCs/>
                <w:lang w:eastAsia="zh-CN"/>
              </w:rPr>
            </w:pPr>
            <w:r>
              <w:rPr>
                <w:rFonts w:ascii="Book Antiqua" w:hAnsi="Book Antiqua"/>
                <w:bCs/>
                <w:lang w:eastAsia="zh-CN"/>
              </w:rPr>
              <w:t>Perianal disease (%)</w:t>
            </w:r>
          </w:p>
        </w:tc>
        <w:tc>
          <w:tcPr>
            <w:tcW w:w="2127" w:type="dxa"/>
            <w:tcBorders>
              <w:bottom w:val="single" w:sz="4" w:space="0" w:color="auto"/>
            </w:tcBorders>
          </w:tcPr>
          <w:p w14:paraId="43E993D2" w14:textId="77777777" w:rsidR="0012737F" w:rsidRDefault="00663462">
            <w:pPr>
              <w:spacing w:line="360" w:lineRule="auto"/>
              <w:jc w:val="both"/>
              <w:rPr>
                <w:rFonts w:ascii="Book Antiqua" w:hAnsi="Book Antiqua"/>
                <w:bCs/>
                <w:lang w:eastAsia="zh-CN"/>
              </w:rPr>
            </w:pPr>
            <w:r>
              <w:rPr>
                <w:rFonts w:ascii="Book Antiqua" w:hAnsi="Book Antiqua"/>
                <w:bCs/>
                <w:lang w:eastAsia="zh-CN"/>
              </w:rPr>
              <w:t>32 (91.43)</w:t>
            </w:r>
            <w:r>
              <w:rPr>
                <w:rFonts w:ascii="Book Antiqua" w:hAnsi="Book Antiqua"/>
                <w:bCs/>
                <w:vertAlign w:val="superscript"/>
                <w:lang w:eastAsia="zh-CN"/>
              </w:rPr>
              <w:t>1</w:t>
            </w:r>
          </w:p>
        </w:tc>
        <w:tc>
          <w:tcPr>
            <w:tcW w:w="1984" w:type="dxa"/>
            <w:tcBorders>
              <w:bottom w:val="single" w:sz="4" w:space="0" w:color="auto"/>
            </w:tcBorders>
          </w:tcPr>
          <w:p w14:paraId="72D8B41B" w14:textId="77777777" w:rsidR="0012737F" w:rsidRDefault="00663462">
            <w:pPr>
              <w:spacing w:line="360" w:lineRule="auto"/>
              <w:jc w:val="both"/>
              <w:rPr>
                <w:rFonts w:ascii="Book Antiqua" w:hAnsi="Book Antiqua"/>
                <w:bCs/>
                <w:lang w:eastAsia="zh-CN"/>
              </w:rPr>
            </w:pPr>
            <w:r>
              <w:rPr>
                <w:rFonts w:ascii="Book Antiqua" w:hAnsi="Book Antiqua"/>
                <w:bCs/>
                <w:lang w:eastAsia="zh-CN"/>
              </w:rPr>
              <w:t xml:space="preserve">3 </w:t>
            </w:r>
            <w:r>
              <w:rPr>
                <w:rFonts w:ascii="Book Antiqua" w:hAnsi="Book Antiqua" w:hint="eastAsia"/>
                <w:bCs/>
                <w:lang w:eastAsia="zh-CN"/>
              </w:rPr>
              <w:t>(</w:t>
            </w:r>
            <w:r>
              <w:rPr>
                <w:rFonts w:ascii="Book Antiqua" w:hAnsi="Book Antiqua"/>
                <w:bCs/>
                <w:lang w:eastAsia="zh-CN"/>
              </w:rPr>
              <w:t>33.33</w:t>
            </w:r>
            <w:r>
              <w:rPr>
                <w:rFonts w:ascii="Book Antiqua" w:hAnsi="Book Antiqua" w:hint="eastAsia"/>
                <w:bCs/>
                <w:lang w:eastAsia="zh-CN"/>
              </w:rPr>
              <w:t>)</w:t>
            </w:r>
          </w:p>
        </w:tc>
        <w:tc>
          <w:tcPr>
            <w:tcW w:w="2114" w:type="dxa"/>
            <w:tcBorders>
              <w:bottom w:val="single" w:sz="4" w:space="0" w:color="auto"/>
            </w:tcBorders>
          </w:tcPr>
          <w:p w14:paraId="7E826152" w14:textId="77777777" w:rsidR="0012737F" w:rsidRDefault="00663462">
            <w:pPr>
              <w:spacing w:line="360" w:lineRule="auto"/>
              <w:jc w:val="both"/>
              <w:rPr>
                <w:rFonts w:ascii="Book Antiqua" w:hAnsi="Book Antiqua"/>
                <w:bCs/>
                <w:lang w:eastAsia="zh-CN"/>
              </w:rPr>
            </w:pPr>
            <w:r>
              <w:rPr>
                <w:rFonts w:ascii="Book Antiqua" w:hAnsi="Book Antiqua"/>
                <w:bCs/>
                <w:lang w:eastAsia="zh-CN"/>
              </w:rPr>
              <w:t>7 (24.14)</w:t>
            </w:r>
          </w:p>
        </w:tc>
        <w:tc>
          <w:tcPr>
            <w:tcW w:w="863" w:type="dxa"/>
            <w:tcBorders>
              <w:bottom w:val="single" w:sz="4" w:space="0" w:color="auto"/>
            </w:tcBorders>
          </w:tcPr>
          <w:p w14:paraId="6ADC8E2F" w14:textId="77777777" w:rsidR="0012737F" w:rsidRDefault="00663462">
            <w:pPr>
              <w:spacing w:line="360" w:lineRule="auto"/>
              <w:jc w:val="both"/>
              <w:rPr>
                <w:rFonts w:ascii="Book Antiqua" w:hAnsi="Book Antiqua"/>
                <w:bCs/>
                <w:lang w:eastAsia="zh-CN"/>
              </w:rPr>
            </w:pPr>
            <w:r>
              <w:rPr>
                <w:rFonts w:ascii="Book Antiqua" w:hAnsi="Book Antiqua"/>
                <w:bCs/>
                <w:lang w:eastAsia="zh-CN"/>
              </w:rPr>
              <w:t>0.002</w:t>
            </w:r>
          </w:p>
        </w:tc>
      </w:tr>
    </w:tbl>
    <w:p w14:paraId="1490A5C1" w14:textId="77777777" w:rsidR="0012737F" w:rsidRDefault="00663462">
      <w:pPr>
        <w:spacing w:line="360" w:lineRule="auto"/>
        <w:jc w:val="both"/>
        <w:rPr>
          <w:rFonts w:ascii="Book Antiqua" w:hAnsi="Book Antiqua"/>
          <w:b/>
          <w:bCs/>
        </w:rPr>
      </w:pPr>
      <w:r>
        <w:rPr>
          <w:rFonts w:ascii="Book Antiqua" w:hAnsi="Book Antiqua"/>
          <w:vertAlign w:val="superscript"/>
        </w:rPr>
        <w:t>1</w:t>
      </w:r>
      <w:r>
        <w:rPr>
          <w:rFonts w:ascii="Book Antiqua" w:hAnsi="Book Antiqua"/>
        </w:rPr>
        <w:t xml:space="preserve">Compared with the other two groups, adjusted </w:t>
      </w:r>
      <w:r>
        <w:rPr>
          <w:rFonts w:ascii="Book Antiqua" w:hAnsi="Book Antiqua"/>
          <w:i/>
        </w:rPr>
        <w:t>P</w:t>
      </w:r>
      <w:r>
        <w:rPr>
          <w:rFonts w:ascii="Book Antiqua" w:hAnsi="Book Antiqua"/>
        </w:rPr>
        <w:t xml:space="preserve"> value &lt; 0.01. M-IBD: </w:t>
      </w:r>
      <w:r>
        <w:rPr>
          <w:rFonts w:ascii="Book Antiqua" w:eastAsia="Times New Roman" w:hAnsi="Book Antiqua"/>
        </w:rPr>
        <w:t xml:space="preserve">Monogenic </w:t>
      </w:r>
      <w:r>
        <w:rPr>
          <w:rFonts w:ascii="Book Antiqua" w:eastAsia="Book Antiqua" w:hAnsi="Book Antiqua" w:cs="Book Antiqua"/>
          <w:color w:val="000000"/>
          <w:szCs w:val="22"/>
        </w:rPr>
        <w:t>inflammatory bowel disease</w:t>
      </w:r>
      <w:r>
        <w:rPr>
          <w:rFonts w:ascii="Book Antiqua" w:eastAsia="Times New Roman" w:hAnsi="Book Antiqua"/>
        </w:rPr>
        <w:t xml:space="preserve">; NM-IBD: Non-monogenic </w:t>
      </w:r>
      <w:r>
        <w:rPr>
          <w:rFonts w:ascii="Book Antiqua" w:eastAsia="Book Antiqua" w:hAnsi="Book Antiqua" w:cs="Book Antiqua"/>
          <w:color w:val="000000"/>
          <w:szCs w:val="22"/>
        </w:rPr>
        <w:t xml:space="preserve">inflammatory bowel disease; </w:t>
      </w:r>
      <w:r>
        <w:rPr>
          <w:rFonts w:ascii="Book Antiqua" w:eastAsia="Book Antiqua" w:hAnsi="Book Antiqua" w:cs="Book Antiqua"/>
          <w:color w:val="000000"/>
        </w:rPr>
        <w:t>IL: Interleukin</w:t>
      </w:r>
      <w:r>
        <w:rPr>
          <w:rFonts w:ascii="Book Antiqua" w:hAnsi="Book Antiqua"/>
        </w:rPr>
        <w:t>.</w:t>
      </w:r>
    </w:p>
    <w:sectPr w:rsidR="001273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BA025" w14:textId="77777777" w:rsidR="00E6307E" w:rsidRDefault="00E6307E">
      <w:r>
        <w:separator/>
      </w:r>
    </w:p>
  </w:endnote>
  <w:endnote w:type="continuationSeparator" w:id="0">
    <w:p w14:paraId="5E1D8209" w14:textId="77777777" w:rsidR="00E6307E" w:rsidRDefault="00E6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948"/>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30802300" w14:textId="77777777" w:rsidR="00663462" w:rsidRDefault="00663462">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470E34">
              <w:rPr>
                <w:rFonts w:ascii="Book Antiqua" w:hAnsi="Book Antiqua"/>
                <w:noProof/>
                <w:sz w:val="24"/>
                <w:szCs w:val="24"/>
              </w:rPr>
              <w:t>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470E34">
              <w:rPr>
                <w:rFonts w:ascii="Book Antiqua" w:hAnsi="Book Antiqua"/>
                <w:noProof/>
                <w:sz w:val="24"/>
                <w:szCs w:val="24"/>
              </w:rPr>
              <w:t>41</w:t>
            </w:r>
            <w:r>
              <w:rPr>
                <w:rFonts w:ascii="Book Antiqua" w:hAnsi="Book Antiqua"/>
                <w:sz w:val="24"/>
                <w:szCs w:val="24"/>
              </w:rPr>
              <w:fldChar w:fldCharType="end"/>
            </w:r>
          </w:p>
        </w:sdtContent>
      </w:sdt>
    </w:sdtContent>
  </w:sdt>
  <w:p w14:paraId="3ECB8C58" w14:textId="77777777" w:rsidR="00663462" w:rsidRDefault="00663462">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BC9FE" w14:textId="77777777" w:rsidR="00E6307E" w:rsidRDefault="00E6307E">
      <w:r>
        <w:separator/>
      </w:r>
    </w:p>
  </w:footnote>
  <w:footnote w:type="continuationSeparator" w:id="0">
    <w:p w14:paraId="20DA30FF" w14:textId="77777777" w:rsidR="00E6307E" w:rsidRDefault="00E63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0sTAyMzM0NjQ3MzdT0lEKTi0uzszPAykwqgUAJ10HKSwAAAA="/>
  </w:docVars>
  <w:rsids>
    <w:rsidRoot w:val="00A77B3E"/>
    <w:rsid w:val="000779DA"/>
    <w:rsid w:val="00095E08"/>
    <w:rsid w:val="000B728A"/>
    <w:rsid w:val="000F2711"/>
    <w:rsid w:val="001003F5"/>
    <w:rsid w:val="00122829"/>
    <w:rsid w:val="0012737F"/>
    <w:rsid w:val="0013045B"/>
    <w:rsid w:val="00131F4C"/>
    <w:rsid w:val="001360C5"/>
    <w:rsid w:val="00137E16"/>
    <w:rsid w:val="0014237A"/>
    <w:rsid w:val="00184A51"/>
    <w:rsid w:val="001D469F"/>
    <w:rsid w:val="001D477D"/>
    <w:rsid w:val="00207FB3"/>
    <w:rsid w:val="00214A29"/>
    <w:rsid w:val="002215D4"/>
    <w:rsid w:val="00276736"/>
    <w:rsid w:val="002851C2"/>
    <w:rsid w:val="00296CE6"/>
    <w:rsid w:val="002B6E61"/>
    <w:rsid w:val="002D0659"/>
    <w:rsid w:val="002D52E0"/>
    <w:rsid w:val="002F1E1E"/>
    <w:rsid w:val="00323E27"/>
    <w:rsid w:val="00383929"/>
    <w:rsid w:val="003A2D58"/>
    <w:rsid w:val="003A41CF"/>
    <w:rsid w:val="003B4372"/>
    <w:rsid w:val="003E44F1"/>
    <w:rsid w:val="003F1EB8"/>
    <w:rsid w:val="00402CFF"/>
    <w:rsid w:val="00426AAF"/>
    <w:rsid w:val="00470E34"/>
    <w:rsid w:val="00485DFB"/>
    <w:rsid w:val="0049149E"/>
    <w:rsid w:val="004A329F"/>
    <w:rsid w:val="00537FD9"/>
    <w:rsid w:val="0055626C"/>
    <w:rsid w:val="005A2C9A"/>
    <w:rsid w:val="005A5A42"/>
    <w:rsid w:val="005B4970"/>
    <w:rsid w:val="0063083A"/>
    <w:rsid w:val="0064312E"/>
    <w:rsid w:val="00655DEE"/>
    <w:rsid w:val="00663462"/>
    <w:rsid w:val="00664F8D"/>
    <w:rsid w:val="00665E54"/>
    <w:rsid w:val="0068372F"/>
    <w:rsid w:val="00687B29"/>
    <w:rsid w:val="006B4166"/>
    <w:rsid w:val="006C6BBD"/>
    <w:rsid w:val="006D44C6"/>
    <w:rsid w:val="006E086C"/>
    <w:rsid w:val="006F0C7E"/>
    <w:rsid w:val="00700EC7"/>
    <w:rsid w:val="007616C6"/>
    <w:rsid w:val="007B40AF"/>
    <w:rsid w:val="007C518F"/>
    <w:rsid w:val="007E77F1"/>
    <w:rsid w:val="00847C2E"/>
    <w:rsid w:val="008A426A"/>
    <w:rsid w:val="008B7E1C"/>
    <w:rsid w:val="008C06B2"/>
    <w:rsid w:val="008D53FE"/>
    <w:rsid w:val="00901DA9"/>
    <w:rsid w:val="009172D3"/>
    <w:rsid w:val="009405B3"/>
    <w:rsid w:val="00947875"/>
    <w:rsid w:val="009576DC"/>
    <w:rsid w:val="009630B4"/>
    <w:rsid w:val="00995A20"/>
    <w:rsid w:val="009D0678"/>
    <w:rsid w:val="009E1FE9"/>
    <w:rsid w:val="009E27FB"/>
    <w:rsid w:val="00A77B3E"/>
    <w:rsid w:val="00A8244C"/>
    <w:rsid w:val="00AE4627"/>
    <w:rsid w:val="00AE5007"/>
    <w:rsid w:val="00B13CC2"/>
    <w:rsid w:val="00B276FE"/>
    <w:rsid w:val="00B34881"/>
    <w:rsid w:val="00B417A6"/>
    <w:rsid w:val="00B56002"/>
    <w:rsid w:val="00C0430A"/>
    <w:rsid w:val="00C04F19"/>
    <w:rsid w:val="00C079E4"/>
    <w:rsid w:val="00C37E8F"/>
    <w:rsid w:val="00C70299"/>
    <w:rsid w:val="00C85F0E"/>
    <w:rsid w:val="00C93E19"/>
    <w:rsid w:val="00CA2A55"/>
    <w:rsid w:val="00CA2DE7"/>
    <w:rsid w:val="00CD1175"/>
    <w:rsid w:val="00D175A1"/>
    <w:rsid w:val="00D607B3"/>
    <w:rsid w:val="00D71FED"/>
    <w:rsid w:val="00D746AA"/>
    <w:rsid w:val="00D90FCA"/>
    <w:rsid w:val="00D93E2D"/>
    <w:rsid w:val="00DA1286"/>
    <w:rsid w:val="00DC34EE"/>
    <w:rsid w:val="00DD0BD0"/>
    <w:rsid w:val="00DE4E6F"/>
    <w:rsid w:val="00DF42BF"/>
    <w:rsid w:val="00DF706C"/>
    <w:rsid w:val="00E05C40"/>
    <w:rsid w:val="00E14E1A"/>
    <w:rsid w:val="00E172AB"/>
    <w:rsid w:val="00E37519"/>
    <w:rsid w:val="00E5353D"/>
    <w:rsid w:val="00E553BA"/>
    <w:rsid w:val="00E6307E"/>
    <w:rsid w:val="00E74830"/>
    <w:rsid w:val="00E91D46"/>
    <w:rsid w:val="00EC0E0C"/>
    <w:rsid w:val="00EC1140"/>
    <w:rsid w:val="00EE3DEF"/>
    <w:rsid w:val="00EE50EC"/>
    <w:rsid w:val="00F161E4"/>
    <w:rsid w:val="00F677AD"/>
    <w:rsid w:val="00FA4BFB"/>
    <w:rsid w:val="00FC53C2"/>
    <w:rsid w:val="00FF7381"/>
    <w:rsid w:val="08CC6031"/>
    <w:rsid w:val="7DC83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9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lin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semiHidden/>
    <w:unhideWhenUsed/>
    <w:qFormat/>
  </w:style>
  <w:style w:type="character" w:customStyle="1" w:styleId="15">
    <w:name w:val="15"/>
    <w:basedOn w:val="a0"/>
    <w:qFormat/>
  </w:style>
  <w:style w:type="character" w:customStyle="1" w:styleId="Char">
    <w:name w:val="批注框文本 Char"/>
    <w:basedOn w:val="a0"/>
    <w:link w:val="a3"/>
    <w:qFormat/>
    <w:rPr>
      <w:sz w:val="18"/>
      <w:szCs w:val="18"/>
    </w:rPr>
  </w:style>
  <w:style w:type="table" w:customStyle="1" w:styleId="1">
    <w:name w:val="浅色底纹1"/>
    <w:basedOn w:val="a1"/>
    <w:uiPriority w:val="60"/>
    <w:qFormat/>
    <w:rPr>
      <w:rFonts w:asciiTheme="minorHAnsi" w:hAnsiTheme="minorHAnsi" w:cstheme="minorBidi"/>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styleId="a8">
    <w:name w:val="Hyperlink"/>
    <w:basedOn w:val="a0"/>
    <w:unhideWhenUsed/>
    <w:rsid w:val="00470E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lin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semiHidden/>
    <w:unhideWhenUsed/>
    <w:qFormat/>
  </w:style>
  <w:style w:type="character" w:customStyle="1" w:styleId="15">
    <w:name w:val="15"/>
    <w:basedOn w:val="a0"/>
    <w:qFormat/>
  </w:style>
  <w:style w:type="character" w:customStyle="1" w:styleId="Char">
    <w:name w:val="批注框文本 Char"/>
    <w:basedOn w:val="a0"/>
    <w:link w:val="a3"/>
    <w:qFormat/>
    <w:rPr>
      <w:sz w:val="18"/>
      <w:szCs w:val="18"/>
    </w:rPr>
  </w:style>
  <w:style w:type="table" w:customStyle="1" w:styleId="1">
    <w:name w:val="浅色底纹1"/>
    <w:basedOn w:val="a1"/>
    <w:uiPriority w:val="60"/>
    <w:qFormat/>
    <w:rPr>
      <w:rFonts w:asciiTheme="minorHAnsi" w:hAnsiTheme="minorHAnsi" w:cstheme="minorBidi"/>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styleId="a8">
    <w:name w:val="Hyperlink"/>
    <w:basedOn w:val="a0"/>
    <w:unhideWhenUsed/>
    <w:rsid w:val="00470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007-9327/full/v27/i1/9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41</Pages>
  <Words>8971</Words>
  <Characters>51137</Characters>
  <Application>Microsoft Office Word</Application>
  <DocSecurity>0</DocSecurity>
  <Lines>426</Lines>
  <Paragraphs>119</Paragraphs>
  <ScaleCrop>false</ScaleCrop>
  <Company/>
  <LinksUpToDate>false</LinksUpToDate>
  <CharactersWithSpaces>59989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18</cp:revision>
  <dcterms:created xsi:type="dcterms:W3CDTF">2020-12-21T12:59:00Z</dcterms:created>
  <dcterms:modified xsi:type="dcterms:W3CDTF">2020-12-30T05:06:00Z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