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30FE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Name of Journal: </w:t>
      </w:r>
      <w:r w:rsidRPr="00DC6159">
        <w:rPr>
          <w:rFonts w:ascii="Book Antiqua" w:eastAsia="Book Antiqua" w:hAnsi="Book Antiqua" w:cs="Book Antiqua"/>
          <w:i/>
          <w:color w:val="000000"/>
        </w:rPr>
        <w:t>World Journal of Clinical Cases</w:t>
      </w:r>
    </w:p>
    <w:p w14:paraId="52352C2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NO: </w:t>
      </w:r>
      <w:r w:rsidRPr="00DC6159">
        <w:rPr>
          <w:rFonts w:ascii="Book Antiqua" w:eastAsia="Book Antiqua" w:hAnsi="Book Antiqua" w:cs="Book Antiqua"/>
          <w:color w:val="000000"/>
        </w:rPr>
        <w:t>60146</w:t>
      </w:r>
    </w:p>
    <w:p w14:paraId="5CEB2F2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Type: </w:t>
      </w:r>
      <w:r w:rsidRPr="00DC6159">
        <w:rPr>
          <w:rFonts w:ascii="Book Antiqua" w:eastAsia="Book Antiqua" w:hAnsi="Book Antiqua" w:cs="Book Antiqua"/>
          <w:color w:val="000000"/>
        </w:rPr>
        <w:t>CASE REPORT</w:t>
      </w:r>
    </w:p>
    <w:p w14:paraId="457CCF59" w14:textId="77777777" w:rsidR="00A77B3E" w:rsidRPr="00DC6159" w:rsidRDefault="00A77B3E" w:rsidP="00DC6159">
      <w:pPr>
        <w:spacing w:line="360" w:lineRule="auto"/>
        <w:jc w:val="both"/>
        <w:rPr>
          <w:rFonts w:ascii="Book Antiqua" w:hAnsi="Book Antiqua"/>
        </w:rPr>
      </w:pPr>
    </w:p>
    <w:p w14:paraId="602B5D8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Treatment of oral lichen planus by surgical excision and acellular dermal matrix grafting: Eleven case reports and review of literature</w:t>
      </w:r>
    </w:p>
    <w:p w14:paraId="7AB0CA5A" w14:textId="77777777" w:rsidR="00A77B3E" w:rsidRPr="00DC6159" w:rsidRDefault="00A77B3E" w:rsidP="00DC6159">
      <w:pPr>
        <w:spacing w:line="360" w:lineRule="auto"/>
        <w:jc w:val="both"/>
        <w:rPr>
          <w:rFonts w:ascii="Book Antiqua" w:hAnsi="Book Antiqua"/>
        </w:rPr>
      </w:pPr>
    </w:p>
    <w:p w14:paraId="6B4FE09E" w14:textId="2DF80DAD" w:rsidR="00A77B3E" w:rsidRPr="00DC6159" w:rsidRDefault="00EE6F92" w:rsidP="00DC6159">
      <w:pPr>
        <w:spacing w:line="360" w:lineRule="auto"/>
        <w:jc w:val="both"/>
        <w:rPr>
          <w:rFonts w:ascii="Book Antiqua" w:hAnsi="Book Antiqua"/>
        </w:rPr>
      </w:pPr>
      <w:r w:rsidRPr="00DC6159">
        <w:rPr>
          <w:rFonts w:ascii="Book Antiqua" w:eastAsia="Book Antiqua" w:hAnsi="Book Antiqua" w:cs="Book Antiqua"/>
          <w:color w:val="000000"/>
        </w:rPr>
        <w:t xml:space="preserve">Fu ZZ </w:t>
      </w:r>
      <w:r w:rsidRPr="00DC6159">
        <w:rPr>
          <w:rFonts w:ascii="Book Antiqua" w:eastAsia="Book Antiqua" w:hAnsi="Book Antiqua" w:cs="Book Antiqua"/>
          <w:i/>
          <w:iCs/>
          <w:color w:val="000000"/>
        </w:rPr>
        <w:t>et al</w:t>
      </w:r>
      <w:r w:rsidRPr="00DC6159">
        <w:rPr>
          <w:rFonts w:ascii="Book Antiqua" w:eastAsia="Book Antiqua" w:hAnsi="Book Antiqua" w:cs="Book Antiqua"/>
          <w:color w:val="000000"/>
        </w:rPr>
        <w:t xml:space="preserve">. </w:t>
      </w:r>
      <w:r w:rsidR="00AF149E" w:rsidRPr="00DC6159">
        <w:rPr>
          <w:rFonts w:ascii="Book Antiqua" w:eastAsia="Book Antiqua" w:hAnsi="Book Antiqua" w:cs="Book Antiqua"/>
          <w:color w:val="000000"/>
        </w:rPr>
        <w:t xml:space="preserve">Treatment of OLP and ADM </w:t>
      </w:r>
      <w:r w:rsidRPr="00DC6159">
        <w:rPr>
          <w:rFonts w:ascii="Book Antiqua" w:eastAsia="Book Antiqua" w:hAnsi="Book Antiqua" w:cs="Book Antiqua"/>
          <w:color w:val="000000"/>
        </w:rPr>
        <w:t>g</w:t>
      </w:r>
      <w:r w:rsidR="00AF149E" w:rsidRPr="00DC6159">
        <w:rPr>
          <w:rFonts w:ascii="Book Antiqua" w:eastAsia="Book Antiqua" w:hAnsi="Book Antiqua" w:cs="Book Antiqua"/>
          <w:color w:val="000000"/>
        </w:rPr>
        <w:t>rafting</w:t>
      </w:r>
    </w:p>
    <w:p w14:paraId="72690C66" w14:textId="77777777" w:rsidR="00A77B3E" w:rsidRPr="00DC6159" w:rsidRDefault="00A77B3E" w:rsidP="00DC6159">
      <w:pPr>
        <w:spacing w:line="360" w:lineRule="auto"/>
        <w:jc w:val="both"/>
        <w:rPr>
          <w:rFonts w:ascii="Book Antiqua" w:hAnsi="Book Antiqua"/>
        </w:rPr>
      </w:pPr>
    </w:p>
    <w:p w14:paraId="430DA0C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Zhen-Zhen Fu, Li-Qiang Chen, Yao-Xiang Xu, Jin Yue, Qian Ding, Wen-Lin Xiao</w:t>
      </w:r>
    </w:p>
    <w:p w14:paraId="7CDD2E7B" w14:textId="77777777" w:rsidR="00A77B3E" w:rsidRPr="00DC6159" w:rsidRDefault="00A77B3E" w:rsidP="00DC6159">
      <w:pPr>
        <w:spacing w:line="360" w:lineRule="auto"/>
        <w:jc w:val="both"/>
        <w:rPr>
          <w:rFonts w:ascii="Book Antiqua" w:hAnsi="Book Antiqua"/>
        </w:rPr>
      </w:pPr>
    </w:p>
    <w:p w14:paraId="4C4D162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Zhen-Zhen Fu, Li-Qiang Chen, Yao-Xiang Xu, Jin Yue, Qian Ding, Wen-Lin Xiao, </w:t>
      </w:r>
      <w:r w:rsidRPr="00DC6159">
        <w:rPr>
          <w:rFonts w:ascii="Book Antiqua" w:eastAsia="Book Antiqua" w:hAnsi="Book Antiqua" w:cs="Book Antiqua"/>
          <w:color w:val="000000"/>
        </w:rPr>
        <w:t>Department of Stomatology, Affiliated Hospital of Qingdao University, Qingdao 266003, Shandong Province, China</w:t>
      </w:r>
    </w:p>
    <w:p w14:paraId="4456A3C4" w14:textId="77777777" w:rsidR="00A77B3E" w:rsidRPr="00DC6159" w:rsidRDefault="00A77B3E" w:rsidP="00DC6159">
      <w:pPr>
        <w:spacing w:line="360" w:lineRule="auto"/>
        <w:jc w:val="both"/>
        <w:rPr>
          <w:rFonts w:ascii="Book Antiqua" w:hAnsi="Book Antiqua"/>
        </w:rPr>
      </w:pPr>
    </w:p>
    <w:p w14:paraId="4AD55D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Zhen-Zhen Fu, Li-Qiang Chen, Yao-Xiang Xu, Jin Yue, Qian Ding, Wen-Lin Xiao, </w:t>
      </w:r>
      <w:r w:rsidRPr="00DC6159">
        <w:rPr>
          <w:rFonts w:ascii="Book Antiqua" w:eastAsia="Book Antiqua" w:hAnsi="Book Antiqua" w:cs="Book Antiqua"/>
          <w:color w:val="000000"/>
        </w:rPr>
        <w:t>School of Stomatology, Qingdao University, Qingdao 266003, Shandong Province, China</w:t>
      </w:r>
    </w:p>
    <w:p w14:paraId="766C67DE" w14:textId="77777777" w:rsidR="00A77B3E" w:rsidRPr="00DC6159" w:rsidRDefault="00A77B3E" w:rsidP="00DC6159">
      <w:pPr>
        <w:spacing w:line="360" w:lineRule="auto"/>
        <w:jc w:val="both"/>
        <w:rPr>
          <w:rFonts w:ascii="Book Antiqua" w:hAnsi="Book Antiqua"/>
        </w:rPr>
      </w:pPr>
    </w:p>
    <w:p w14:paraId="37D9A5BC" w14:textId="4F6E3B3A"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Author contributions: </w:t>
      </w:r>
      <w:r w:rsidRPr="00DC6159">
        <w:rPr>
          <w:rFonts w:ascii="Book Antiqua" w:eastAsia="Book Antiqua" w:hAnsi="Book Antiqua" w:cs="Book Antiqua"/>
          <w:color w:val="000000"/>
        </w:rPr>
        <w:t>Fu ZZ and Chen LQ were responsible for the data collection; Fu ZZ and Chen LQ drafted the manuscript; Ding Q carried out the analysis and interpreted the results; Xu YX and Yue J participated in the operation; Xiao WL designed the study and was the project supervisor</w:t>
      </w:r>
      <w:r w:rsidR="00EE6F92" w:rsidRPr="00DC6159">
        <w:rPr>
          <w:rFonts w:ascii="Book Antiqua" w:eastAsia="Book Antiqua" w:hAnsi="Book Antiqua" w:cs="Book Antiqua"/>
          <w:color w:val="000000"/>
        </w:rPr>
        <w:t xml:space="preserve">; </w:t>
      </w:r>
      <w:r w:rsidR="00BB73E2">
        <w:rPr>
          <w:rFonts w:ascii="Book Antiqua" w:eastAsia="Book Antiqua" w:hAnsi="Book Antiqua" w:cs="Book Antiqua"/>
          <w:color w:val="000000"/>
        </w:rPr>
        <w:t>A</w:t>
      </w:r>
      <w:r w:rsidRPr="00DC6159">
        <w:rPr>
          <w:rFonts w:ascii="Book Antiqua" w:eastAsia="Book Antiqua" w:hAnsi="Book Antiqua" w:cs="Book Antiqua"/>
          <w:color w:val="000000"/>
        </w:rPr>
        <w:t>ll authors reviewed and approved the final manuscript.</w:t>
      </w:r>
    </w:p>
    <w:p w14:paraId="33B80154" w14:textId="77777777" w:rsidR="00A77B3E" w:rsidRPr="00DC6159" w:rsidRDefault="00A77B3E" w:rsidP="00DC6159">
      <w:pPr>
        <w:spacing w:line="360" w:lineRule="auto"/>
        <w:jc w:val="both"/>
        <w:rPr>
          <w:rFonts w:ascii="Book Antiqua" w:hAnsi="Book Antiqua"/>
        </w:rPr>
      </w:pPr>
    </w:p>
    <w:p w14:paraId="3517B9C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Corresponding author: Wen-Lin Xiao, DDS, MD, Chief Doctor, Deputy Director, </w:t>
      </w:r>
      <w:r w:rsidRPr="00DC6159">
        <w:rPr>
          <w:rFonts w:ascii="Book Antiqua" w:eastAsia="Book Antiqua" w:hAnsi="Book Antiqua" w:cs="Book Antiqua"/>
          <w:color w:val="000000"/>
        </w:rPr>
        <w:t>Department of Stomatology, Affiliated Hospital of Qingdao University, No. 16 Jiangsu Road, Qingdao 266003, Shandong Province, China. wenlinxiao@sina.com</w:t>
      </w:r>
    </w:p>
    <w:p w14:paraId="6A3FAF7B" w14:textId="77777777" w:rsidR="00A77B3E" w:rsidRPr="00DC6159" w:rsidRDefault="00A77B3E" w:rsidP="00DC6159">
      <w:pPr>
        <w:spacing w:line="360" w:lineRule="auto"/>
        <w:jc w:val="both"/>
        <w:rPr>
          <w:rFonts w:ascii="Book Antiqua" w:hAnsi="Book Antiqua"/>
        </w:rPr>
      </w:pPr>
    </w:p>
    <w:p w14:paraId="283C02D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lastRenderedPageBreak/>
        <w:t xml:space="preserve">Received: </w:t>
      </w:r>
      <w:r w:rsidRPr="00DC6159">
        <w:rPr>
          <w:rFonts w:ascii="Book Antiqua" w:eastAsia="Book Antiqua" w:hAnsi="Book Antiqua" w:cs="Book Antiqua"/>
          <w:color w:val="000000"/>
        </w:rPr>
        <w:t>October 17, 2020</w:t>
      </w:r>
    </w:p>
    <w:p w14:paraId="2146917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Revised: </w:t>
      </w:r>
      <w:r w:rsidRPr="00DC6159">
        <w:rPr>
          <w:rFonts w:ascii="Book Antiqua" w:eastAsia="Book Antiqua" w:hAnsi="Book Antiqua" w:cs="Book Antiqua"/>
          <w:color w:val="000000"/>
        </w:rPr>
        <w:t>December 23, 2020</w:t>
      </w:r>
    </w:p>
    <w:p w14:paraId="2B46FFAF" w14:textId="43D118B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Accepted: </w:t>
      </w:r>
      <w:r w:rsidR="0020469D" w:rsidRPr="00DC6159">
        <w:rPr>
          <w:rFonts w:ascii="Book Antiqua" w:eastAsia="Book Antiqua" w:hAnsi="Book Antiqua" w:cs="Book Antiqua"/>
          <w:color w:val="000000"/>
        </w:rPr>
        <w:t>January 6, 2021</w:t>
      </w:r>
    </w:p>
    <w:p w14:paraId="5DCBAFAB" w14:textId="20043616" w:rsidR="00A77B3E" w:rsidRPr="004E06C9" w:rsidRDefault="00AF149E" w:rsidP="00DC6159">
      <w:pPr>
        <w:spacing w:line="360" w:lineRule="auto"/>
        <w:jc w:val="both"/>
        <w:rPr>
          <w:rFonts w:ascii="Book Antiqua" w:hAnsi="Book Antiqua"/>
          <w:lang w:eastAsia="zh-CN"/>
        </w:rPr>
      </w:pPr>
      <w:r w:rsidRPr="00DC6159">
        <w:rPr>
          <w:rFonts w:ascii="Book Antiqua" w:eastAsia="Book Antiqua" w:hAnsi="Book Antiqua" w:cs="Book Antiqua"/>
          <w:b/>
          <w:bCs/>
          <w:color w:val="000000"/>
        </w:rPr>
        <w:t xml:space="preserve">Published online: </w:t>
      </w:r>
      <w:r w:rsidR="004E06C9" w:rsidRPr="004E06C9">
        <w:rPr>
          <w:rFonts w:ascii="Book Antiqua" w:hAnsi="Book Antiqua" w:cs="Book Antiqua" w:hint="eastAsia"/>
          <w:bCs/>
          <w:color w:val="000000"/>
          <w:lang w:eastAsia="zh-CN"/>
        </w:rPr>
        <w:t>February 26, 2021</w:t>
      </w:r>
    </w:p>
    <w:p w14:paraId="6A1F1DD1" w14:textId="77777777" w:rsidR="00A77B3E" w:rsidRPr="00DC6159" w:rsidRDefault="00A77B3E" w:rsidP="00DC6159">
      <w:pPr>
        <w:spacing w:line="360" w:lineRule="auto"/>
        <w:jc w:val="both"/>
        <w:rPr>
          <w:rFonts w:ascii="Book Antiqua" w:hAnsi="Book Antiqua"/>
        </w:rPr>
        <w:sectPr w:rsidR="00A77B3E" w:rsidRPr="00DC6159" w:rsidSect="00DC6159">
          <w:footerReference w:type="default" r:id="rId8"/>
          <w:pgSz w:w="12240" w:h="15840"/>
          <w:pgMar w:top="1440" w:right="1440" w:bottom="1440" w:left="1440" w:header="720" w:footer="720" w:gutter="0"/>
          <w:cols w:space="720"/>
          <w:docGrid w:linePitch="360"/>
        </w:sectPr>
      </w:pPr>
    </w:p>
    <w:p w14:paraId="46C7CDF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Abstract</w:t>
      </w:r>
    </w:p>
    <w:p w14:paraId="7A34696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BACKGROUND</w:t>
      </w:r>
    </w:p>
    <w:p w14:paraId="47BD2A07" w14:textId="18AA9C0E"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Oral lichen planus (OLP) is a chronic inflammatory disorder</w:t>
      </w:r>
      <w:r w:rsidR="005D4821">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can affect normal oral function. The conventional treatments for OLP are not always effective</w:t>
      </w:r>
      <w:r w:rsidR="005D4821">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easily occurs. Therefore, treatment of OLP is difficult and challenging. In this study, we evaluated over a long period the clinical efficacy of surgical excision and acellular dermal matrix (ADM) grafting in patients with refractory OLP.</w:t>
      </w:r>
    </w:p>
    <w:p w14:paraId="3F0227A2" w14:textId="77777777" w:rsidR="00A77B3E" w:rsidRPr="00DC6159" w:rsidRDefault="00A77B3E" w:rsidP="00DC6159">
      <w:pPr>
        <w:spacing w:line="360" w:lineRule="auto"/>
        <w:jc w:val="both"/>
        <w:rPr>
          <w:rFonts w:ascii="Book Antiqua" w:hAnsi="Book Antiqua"/>
        </w:rPr>
      </w:pPr>
    </w:p>
    <w:p w14:paraId="50B74A9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CASE SUMMARY</w:t>
      </w:r>
    </w:p>
    <w:p w14:paraId="22B478EA" w14:textId="40D0A09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Eleven patients with refractory OLP underwent a standardized protocol of surgical excision and ADM grafting. The condition of the area of the grafted wound, the intraoperative maximum mouth opening, pain, and clinical healing were assessed at postoperative follow-up visits. All patients had a flat surgical area with similar mucosal tissue coverage and local scar formation. Patients had no irritation and pain in their mucous membranes when eating acidic and spicy food. All patients’ mouth opening</w:t>
      </w:r>
      <w:r w:rsidR="00B65392">
        <w:rPr>
          <w:rFonts w:ascii="Book Antiqua" w:eastAsia="Book Antiqua" w:hAnsi="Book Antiqua" w:cs="Book Antiqua"/>
          <w:color w:val="000000"/>
        </w:rPr>
        <w:t>s</w:t>
      </w:r>
      <w:r w:rsidRPr="00DC6159">
        <w:rPr>
          <w:rFonts w:ascii="Book Antiqua" w:eastAsia="Book Antiqua" w:hAnsi="Book Antiqua" w:cs="Book Antiqua"/>
          <w:color w:val="000000"/>
        </w:rPr>
        <w:t xml:space="preserve"> returned to normal within 2</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 after surgery. During follow-up, no</w:t>
      </w:r>
      <w:r w:rsidR="00B65392">
        <w:rPr>
          <w:rFonts w:ascii="Book Antiqua" w:eastAsia="Book Antiqua" w:hAnsi="Book Antiqua" w:cs="Book Antiqua"/>
          <w:color w:val="000000"/>
        </w:rPr>
        <w:t>ne of the</w:t>
      </w:r>
      <w:r w:rsidRPr="00DC6159">
        <w:rPr>
          <w:rFonts w:ascii="Book Antiqua" w:eastAsia="Book Antiqua" w:hAnsi="Book Antiqua" w:cs="Book Antiqua"/>
          <w:color w:val="000000"/>
        </w:rPr>
        <w:t xml:space="preserve"> patients had recurrence of OLP after surgery. The longest follow-up was 11 years and the shortest was 6 mo, and none of the patients relapsed during follow-up.</w:t>
      </w:r>
    </w:p>
    <w:p w14:paraId="008F737E" w14:textId="77777777" w:rsidR="00A77B3E" w:rsidRPr="00DC6159" w:rsidRDefault="00A77B3E" w:rsidP="00DC6159">
      <w:pPr>
        <w:spacing w:line="360" w:lineRule="auto"/>
        <w:jc w:val="both"/>
        <w:rPr>
          <w:rFonts w:ascii="Book Antiqua" w:hAnsi="Book Antiqua"/>
        </w:rPr>
      </w:pPr>
    </w:p>
    <w:p w14:paraId="1A4E4B0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CONCLUSION</w:t>
      </w:r>
    </w:p>
    <w:p w14:paraId="48A0B2AB" w14:textId="52E3073F"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excision and ADM grafting could be an effective method to treat refractory OLP.</w:t>
      </w:r>
    </w:p>
    <w:p w14:paraId="57F323C6" w14:textId="77777777" w:rsidR="00A77B3E" w:rsidRPr="00DC6159" w:rsidRDefault="00A77B3E" w:rsidP="00DC6159">
      <w:pPr>
        <w:spacing w:line="360" w:lineRule="auto"/>
        <w:jc w:val="both"/>
        <w:rPr>
          <w:rFonts w:ascii="Book Antiqua" w:hAnsi="Book Antiqua"/>
        </w:rPr>
      </w:pPr>
    </w:p>
    <w:p w14:paraId="25B03667" w14:textId="5A3A63C4"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Key Words: </w:t>
      </w:r>
      <w:r w:rsidRPr="00DC6159">
        <w:rPr>
          <w:rFonts w:ascii="Book Antiqua" w:eastAsia="Book Antiqua" w:hAnsi="Book Antiqua" w:cs="Book Antiqua"/>
          <w:color w:val="000000"/>
        </w:rPr>
        <w:t>Lichen planus; Surgical excision; Acellular dermal matrix; Case report</w:t>
      </w:r>
      <w:r w:rsidR="00EE6F92" w:rsidRPr="00DC6159">
        <w:rPr>
          <w:rFonts w:ascii="Book Antiqua" w:eastAsia="Book Antiqua" w:hAnsi="Book Antiqua" w:cs="Book Antiqua"/>
          <w:color w:val="000000"/>
        </w:rPr>
        <w:t>; Oral</w:t>
      </w:r>
    </w:p>
    <w:p w14:paraId="19F39D6E" w14:textId="77777777" w:rsidR="0072001B" w:rsidRDefault="0072001B" w:rsidP="0072001B">
      <w:pPr>
        <w:spacing w:line="360" w:lineRule="auto"/>
        <w:jc w:val="both"/>
        <w:rPr>
          <w:lang w:eastAsia="zh-CN"/>
        </w:rPr>
      </w:pPr>
    </w:p>
    <w:p w14:paraId="31EB3D29" w14:textId="77777777" w:rsidR="0072001B" w:rsidRPr="00026CB8" w:rsidRDefault="0072001B" w:rsidP="0072001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423CE3A" w14:textId="77777777" w:rsidR="00A77B3E" w:rsidRPr="00C3510E" w:rsidRDefault="00A77B3E" w:rsidP="00DC6159">
      <w:pPr>
        <w:spacing w:line="360" w:lineRule="auto"/>
        <w:jc w:val="both"/>
        <w:rPr>
          <w:rFonts w:ascii="Book Antiqua" w:hAnsi="Book Antiqua"/>
          <w:b/>
        </w:rPr>
      </w:pPr>
    </w:p>
    <w:p w14:paraId="54DC10C0" w14:textId="5FA3C0ED" w:rsidR="00C3510E" w:rsidRDefault="00C3510E" w:rsidP="00DC6159">
      <w:pPr>
        <w:spacing w:line="360" w:lineRule="auto"/>
        <w:jc w:val="both"/>
        <w:rPr>
          <w:rFonts w:ascii="Book Antiqua" w:hAnsi="Book Antiqua" w:cs="Book Antiqua" w:hint="eastAsia"/>
          <w:color w:val="000000"/>
          <w:lang w:eastAsia="zh-CN"/>
        </w:rPr>
      </w:pPr>
      <w:r w:rsidRPr="00C3510E">
        <w:rPr>
          <w:rFonts w:ascii="Book Antiqua" w:hAnsi="Book Antiqua" w:cs="Book Antiqua" w:hint="eastAsia"/>
          <w:b/>
          <w:color w:val="000000"/>
          <w:lang w:eastAsia="zh-CN"/>
        </w:rPr>
        <w:t xml:space="preserve">Citation: </w:t>
      </w:r>
      <w:r w:rsidR="00AF149E" w:rsidRPr="00DC6159">
        <w:rPr>
          <w:rFonts w:ascii="Book Antiqua" w:eastAsia="Book Antiqua" w:hAnsi="Book Antiqua" w:cs="Book Antiqua"/>
          <w:color w:val="000000"/>
        </w:rPr>
        <w:t xml:space="preserve">Fu ZZ, Chen LQ, Xu YX, Yue J, Ding Q, Xiao WL. Treatment of oral lichen planus by surgical excision and acellular dermal matrix grafting: Eleven case reports and review of literature. </w:t>
      </w:r>
      <w:r w:rsidR="00AF149E" w:rsidRPr="00DC6159">
        <w:rPr>
          <w:rFonts w:ascii="Book Antiqua" w:eastAsia="Book Antiqua" w:hAnsi="Book Antiqua" w:cs="Book Antiqua"/>
          <w:i/>
          <w:iCs/>
          <w:color w:val="000000"/>
        </w:rPr>
        <w:t>World J Clin Cases</w:t>
      </w:r>
      <w:r w:rsidR="00AF149E" w:rsidRPr="00DC6159">
        <w:rPr>
          <w:rFonts w:ascii="Book Antiqua" w:eastAsia="Book Antiqua" w:hAnsi="Book Antiqua" w:cs="Book Antiqua"/>
          <w:color w:val="000000"/>
        </w:rPr>
        <w:t xml:space="preserve"> 202</w:t>
      </w:r>
      <w:r w:rsidR="001936B7" w:rsidRPr="00DC6159">
        <w:rPr>
          <w:rFonts w:ascii="Book Antiqua" w:eastAsia="Book Antiqua" w:hAnsi="Book Antiqua" w:cs="Book Antiqua"/>
          <w:color w:val="000000"/>
        </w:rPr>
        <w:t>1</w:t>
      </w:r>
      <w:r w:rsidR="00AF149E" w:rsidRPr="00DC6159">
        <w:rPr>
          <w:rFonts w:ascii="Book Antiqua" w:eastAsia="Book Antiqua" w:hAnsi="Book Antiqua" w:cs="Book Antiqua"/>
          <w:color w:val="000000"/>
        </w:rPr>
        <w:t xml:space="preserve">; </w:t>
      </w:r>
      <w:r w:rsidR="0039461C" w:rsidRPr="0039461C">
        <w:rPr>
          <w:rFonts w:ascii="Book Antiqua" w:eastAsia="Book Antiqua" w:hAnsi="Book Antiqua" w:cs="Book Antiqua"/>
          <w:color w:val="000000"/>
        </w:rPr>
        <w:t xml:space="preserve">9(6): </w:t>
      </w:r>
      <w:r w:rsidR="008F6D9C" w:rsidRPr="008F6D9C">
        <w:rPr>
          <w:rFonts w:ascii="Book Antiqua" w:eastAsia="Book Antiqua" w:hAnsi="Book Antiqua" w:cs="Book Antiqua"/>
          <w:color w:val="000000"/>
        </w:rPr>
        <w:t>1446-1454</w:t>
      </w:r>
      <w:r w:rsidR="0039461C" w:rsidRPr="0039461C">
        <w:rPr>
          <w:rFonts w:ascii="Book Antiqua" w:eastAsia="Book Antiqua" w:hAnsi="Book Antiqua" w:cs="Book Antiqua"/>
          <w:color w:val="000000"/>
        </w:rPr>
        <w:t xml:space="preserve">  </w:t>
      </w:r>
    </w:p>
    <w:p w14:paraId="2F74C587" w14:textId="2C7158E2" w:rsidR="00C3510E" w:rsidRDefault="0039461C" w:rsidP="00DC6159">
      <w:pPr>
        <w:spacing w:line="360" w:lineRule="auto"/>
        <w:jc w:val="both"/>
        <w:rPr>
          <w:rFonts w:ascii="Book Antiqua" w:hAnsi="Book Antiqua" w:cs="Book Antiqua" w:hint="eastAsia"/>
          <w:color w:val="000000"/>
          <w:lang w:eastAsia="zh-CN"/>
        </w:rPr>
      </w:pPr>
      <w:r w:rsidRPr="00C3510E">
        <w:rPr>
          <w:rFonts w:ascii="Book Antiqua" w:eastAsia="Book Antiqua" w:hAnsi="Book Antiqua" w:cs="Book Antiqua"/>
          <w:b/>
          <w:color w:val="000000"/>
        </w:rPr>
        <w:t>URL:</w:t>
      </w:r>
      <w:r w:rsidRPr="0039461C">
        <w:rPr>
          <w:rFonts w:ascii="Book Antiqua" w:eastAsia="Book Antiqua" w:hAnsi="Book Antiqua" w:cs="Book Antiqua"/>
          <w:color w:val="000000"/>
        </w:rPr>
        <w:t xml:space="preserve"> https://www.wjgnet.com/2307-8960/full/v9/i6/</w:t>
      </w:r>
      <w:r w:rsidR="000A0221">
        <w:rPr>
          <w:rFonts w:ascii="Book Antiqua" w:hAnsi="Book Antiqua" w:cs="Book Antiqua" w:hint="eastAsia"/>
          <w:color w:val="000000"/>
          <w:lang w:eastAsia="zh-CN"/>
        </w:rPr>
        <w:t>1446</w:t>
      </w:r>
      <w:r w:rsidRPr="0039461C">
        <w:rPr>
          <w:rFonts w:ascii="Book Antiqua" w:eastAsia="Book Antiqua" w:hAnsi="Book Antiqua" w:cs="Book Antiqua"/>
          <w:color w:val="000000"/>
        </w:rPr>
        <w:t xml:space="preserve">.htm  </w:t>
      </w:r>
    </w:p>
    <w:p w14:paraId="1CAB8BD9" w14:textId="6845D3C7" w:rsidR="00A77B3E" w:rsidRPr="000A0221" w:rsidRDefault="0039461C" w:rsidP="00DC6159">
      <w:pPr>
        <w:spacing w:line="360" w:lineRule="auto"/>
        <w:jc w:val="both"/>
        <w:rPr>
          <w:rFonts w:ascii="Book Antiqua" w:hAnsi="Book Antiqua" w:hint="eastAsia"/>
          <w:lang w:eastAsia="zh-CN"/>
        </w:rPr>
      </w:pPr>
      <w:r w:rsidRPr="000A0221">
        <w:rPr>
          <w:rFonts w:ascii="Book Antiqua" w:eastAsia="Book Antiqua" w:hAnsi="Book Antiqua" w:cs="Book Antiqua"/>
          <w:b/>
          <w:color w:val="000000"/>
        </w:rPr>
        <w:t xml:space="preserve">DOI: </w:t>
      </w:r>
      <w:r w:rsidRPr="0039461C">
        <w:rPr>
          <w:rFonts w:ascii="Book Antiqua" w:eastAsia="Book Antiqua" w:hAnsi="Book Antiqua" w:cs="Book Antiqua"/>
          <w:color w:val="000000"/>
        </w:rPr>
        <w:t>https://dx.doi.org/10.12998/wjcc.v9.i6.</w:t>
      </w:r>
      <w:r w:rsidR="000A0221">
        <w:rPr>
          <w:rFonts w:ascii="Book Antiqua" w:hAnsi="Book Antiqua" w:cs="Book Antiqua" w:hint="eastAsia"/>
          <w:color w:val="000000"/>
          <w:lang w:eastAsia="zh-CN"/>
        </w:rPr>
        <w:t>1446</w:t>
      </w:r>
    </w:p>
    <w:p w14:paraId="7C20B236" w14:textId="77777777" w:rsidR="00A77B3E" w:rsidRPr="00DC6159" w:rsidRDefault="00A77B3E" w:rsidP="00DC6159">
      <w:pPr>
        <w:spacing w:line="360" w:lineRule="auto"/>
        <w:jc w:val="both"/>
        <w:rPr>
          <w:rFonts w:ascii="Book Antiqua" w:hAnsi="Book Antiqua"/>
        </w:rPr>
      </w:pPr>
    </w:p>
    <w:p w14:paraId="0D61AC2B" w14:textId="54CF2BD1"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Core Tip: </w:t>
      </w:r>
      <w:r w:rsidRPr="00DC6159">
        <w:rPr>
          <w:rFonts w:ascii="Book Antiqua" w:eastAsia="Book Antiqua" w:hAnsi="Book Antiqua" w:cs="Book Antiqua"/>
          <w:color w:val="000000"/>
        </w:rPr>
        <w:t>We report 11 patients with oral lichen planus who were treated with medication but with poor efficacy, and relapse easily occurred. In order to relieve pain and avoid malignant transformation, we removed the lesions surgically and repaired the postoperative mucosal defect with acellular dermal matrix. The postoperative effect was good, the pain disappeared</w:t>
      </w:r>
      <w:r w:rsidR="00766B07">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degree of mouth opening returned to normal. No immunological rejection or recurrence of </w:t>
      </w:r>
      <w:r w:rsidR="00EE6F92" w:rsidRPr="00DC6159">
        <w:rPr>
          <w:rFonts w:ascii="Book Antiqua" w:eastAsia="Book Antiqua" w:hAnsi="Book Antiqua" w:cs="Book Antiqua"/>
          <w:color w:val="000000"/>
        </w:rPr>
        <w:t>oral lichen planus</w:t>
      </w:r>
      <w:r w:rsidRPr="00DC6159">
        <w:rPr>
          <w:rFonts w:ascii="Book Antiqua" w:eastAsia="Book Antiqua" w:hAnsi="Book Antiqua" w:cs="Book Antiqua"/>
          <w:color w:val="000000"/>
        </w:rPr>
        <w:t xml:space="preserve"> was seen during follow-up of 6 mo to 11 yr.</w:t>
      </w:r>
    </w:p>
    <w:p w14:paraId="3BE3FA19" w14:textId="7CADCECA" w:rsidR="00A77B3E" w:rsidRPr="00DC6159" w:rsidRDefault="00EE6F92" w:rsidP="00DC6159">
      <w:pPr>
        <w:spacing w:line="360" w:lineRule="auto"/>
        <w:jc w:val="both"/>
        <w:rPr>
          <w:rFonts w:ascii="Book Antiqua" w:hAnsi="Book Antiqua"/>
        </w:rPr>
      </w:pPr>
      <w:r w:rsidRPr="00DC6159">
        <w:rPr>
          <w:rFonts w:ascii="Book Antiqua" w:hAnsi="Book Antiqua"/>
        </w:rPr>
        <w:br w:type="page"/>
      </w:r>
      <w:r w:rsidR="00AF149E" w:rsidRPr="00DC6159">
        <w:rPr>
          <w:rFonts w:ascii="Book Antiqua" w:eastAsia="Book Antiqua" w:hAnsi="Book Antiqua" w:cs="Book Antiqua"/>
          <w:b/>
          <w:caps/>
          <w:color w:val="000000"/>
          <w:u w:val="single"/>
        </w:rPr>
        <w:t>INTRODUCTION</w:t>
      </w:r>
    </w:p>
    <w:p w14:paraId="33FE5E09" w14:textId="309B3BBC"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shd w:val="clear" w:color="auto" w:fill="FCFCFC"/>
        </w:rPr>
        <w:t>Lichen planus is a chronic inflammatory disease. It usually involves skin, nails, scalp, and oral and genit</w:t>
      </w:r>
      <w:r w:rsidRPr="00DC6159">
        <w:rPr>
          <w:rFonts w:ascii="Book Antiqua" w:eastAsia="Book Antiqua" w:hAnsi="Book Antiqua" w:cs="Book Antiqua"/>
          <w:color w:val="000000"/>
        </w:rPr>
        <w:t>al mucous membranes</w:t>
      </w:r>
      <w:r w:rsidRPr="00DC6159">
        <w:rPr>
          <w:rFonts w:ascii="Book Antiqua" w:eastAsia="Book Antiqua" w:hAnsi="Book Antiqua" w:cs="Book Antiqua"/>
          <w:color w:val="000000"/>
          <w:vertAlign w:val="superscript"/>
        </w:rPr>
        <w:t>[1]</w:t>
      </w:r>
      <w:r w:rsidRPr="00DC6159">
        <w:rPr>
          <w:rFonts w:ascii="Book Antiqua" w:eastAsia="Book Antiqua" w:hAnsi="Book Antiqua" w:cs="Book Antiqua"/>
          <w:color w:val="000000"/>
        </w:rPr>
        <w:t>. Oral lichen planus (OLP) is found in the oral mucosa, tongue, and gingiva. The oral mucosa is often the only site of damage. It can present as symmetrical and bilateral</w:t>
      </w:r>
      <w:r w:rsidRPr="00DC6159">
        <w:rPr>
          <w:rFonts w:ascii="Book Antiqua" w:eastAsia="Book Antiqua" w:hAnsi="Book Antiqua" w:cs="Book Antiqua"/>
          <w:color w:val="000000"/>
          <w:vertAlign w:val="superscript"/>
        </w:rPr>
        <w:t>[1]</w:t>
      </w:r>
      <w:r w:rsidRPr="00DC6159">
        <w:rPr>
          <w:rFonts w:ascii="Book Antiqua" w:eastAsia="Book Antiqua" w:hAnsi="Book Antiqua" w:cs="Book Antiqua"/>
          <w:color w:val="000000"/>
        </w:rPr>
        <w:t>. The prevalence of OLP is 0.5%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2.6% of the population</w:t>
      </w:r>
      <w:r w:rsidRPr="00DC6159">
        <w:rPr>
          <w:rFonts w:ascii="Book Antiqua" w:eastAsia="Book Antiqua" w:hAnsi="Book Antiqua" w:cs="Book Antiqua"/>
          <w:color w:val="000000"/>
          <w:vertAlign w:val="superscript"/>
        </w:rPr>
        <w:t>[2]</w:t>
      </w:r>
      <w:r w:rsidRPr="00DC6159">
        <w:rPr>
          <w:rFonts w:ascii="Book Antiqua" w:eastAsia="Book Antiqua" w:hAnsi="Book Antiqua" w:cs="Book Antiqua"/>
          <w:color w:val="000000"/>
        </w:rPr>
        <w:t>. It can occur at any age but mainly affects middle-aged and elderly women.</w:t>
      </w:r>
    </w:p>
    <w:p w14:paraId="406A47A7" w14:textId="03416142"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 xml:space="preserve">The clinical presentation of OLP involves a range of asymptomatic to symptomatic lesions. Based on the clinical presentation, OLP can be divided into six types: </w:t>
      </w:r>
      <w:r w:rsidR="006E07DA">
        <w:rPr>
          <w:rFonts w:ascii="Book Antiqua" w:hAnsi="Book Antiqua" w:cs="Book Antiqua" w:hint="eastAsia"/>
          <w:color w:val="000000"/>
          <w:lang w:eastAsia="zh-CN"/>
        </w:rPr>
        <w:t>R</w:t>
      </w:r>
      <w:r w:rsidRPr="00DC6159">
        <w:rPr>
          <w:rFonts w:ascii="Book Antiqua" w:eastAsia="Book Antiqua" w:hAnsi="Book Antiqua" w:cs="Book Antiqua"/>
          <w:color w:val="000000"/>
        </w:rPr>
        <w:t>eticular, popular, plaque, erosive, atrophic, and ulcerative</w:t>
      </w:r>
      <w:r w:rsidRPr="00DC6159">
        <w:rPr>
          <w:rFonts w:ascii="Book Antiqua" w:eastAsia="Book Antiqua" w:hAnsi="Book Antiqua" w:cs="Book Antiqua"/>
          <w:color w:val="000000"/>
          <w:vertAlign w:val="superscript"/>
        </w:rPr>
        <w:t>[3]</w:t>
      </w:r>
      <w:r w:rsidRPr="00DC6159">
        <w:rPr>
          <w:rFonts w:ascii="Book Antiqua" w:eastAsia="Book Antiqua" w:hAnsi="Book Antiqua" w:cs="Book Antiqua"/>
          <w:color w:val="000000"/>
        </w:rPr>
        <w:t>. Asymptomatic patients have no need for any intervention or treatment, but patients should be checked regularly with a follow-up every 4</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w:t>
      </w:r>
      <w:r w:rsidR="008A74ED">
        <w:rPr>
          <w:rFonts w:ascii="Book Antiqua" w:eastAsia="Book Antiqua" w:hAnsi="Book Antiqua" w:cs="Book Antiqua"/>
          <w:color w:val="000000"/>
        </w:rPr>
        <w:t>P</w:t>
      </w:r>
      <w:r w:rsidRPr="00DC6159">
        <w:rPr>
          <w:rFonts w:ascii="Book Antiqua" w:eastAsia="Book Antiqua" w:hAnsi="Book Antiqua" w:cs="Book Antiqua"/>
          <w:color w:val="000000"/>
        </w:rPr>
        <w:t>atients should come to the hospital for examination and treatment immediately when any symptoms occur</w:t>
      </w:r>
      <w:r w:rsidRPr="00DC6159">
        <w:rPr>
          <w:rFonts w:ascii="Book Antiqua" w:eastAsia="Book Antiqua" w:hAnsi="Book Antiqua" w:cs="Book Antiqua"/>
          <w:color w:val="000000"/>
          <w:vertAlign w:val="superscript"/>
        </w:rPr>
        <w:t>[4]</w:t>
      </w:r>
      <w:r w:rsidRPr="00DC6159">
        <w:rPr>
          <w:rFonts w:ascii="Book Antiqua" w:eastAsia="Book Antiqua" w:hAnsi="Book Antiqua" w:cs="Book Antiqua"/>
          <w:color w:val="000000"/>
        </w:rPr>
        <w:t>. Many patients have obvious symptoms, such as oral discomfort, sensitivity to spicy and acidic foods, a painful and/or burning sensation of the oral mucosa, ulcer, and bleeding. Sometimes, oral pain can limit oral function, such as mouth opening, eating, speaking</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swallowing</w:t>
      </w:r>
      <w:r w:rsidRPr="00DC6159">
        <w:rPr>
          <w:rFonts w:ascii="Book Antiqua" w:eastAsia="Book Antiqua" w:hAnsi="Book Antiqua" w:cs="Book Antiqua"/>
          <w:color w:val="000000"/>
          <w:vertAlign w:val="superscript"/>
        </w:rPr>
        <w:t>[5]</w:t>
      </w:r>
      <w:r w:rsidRPr="00DC6159">
        <w:rPr>
          <w:rFonts w:ascii="Book Antiqua" w:eastAsia="Book Antiqua" w:hAnsi="Book Antiqua" w:cs="Book Antiqua"/>
          <w:color w:val="000000"/>
        </w:rPr>
        <w:t>.</w:t>
      </w:r>
    </w:p>
    <w:p w14:paraId="4AB57E8C" w14:textId="1E8BA02E" w:rsidR="00F546D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OLP is associated with the immune system, but its exact etiology is unknown. It is probably a multifactorial process with various triggers, such as mechanical, psychological</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electrochemical factors. Overwork, stress</w:t>
      </w:r>
      <w:r w:rsidR="008A74ED">
        <w:rPr>
          <w:rFonts w:ascii="Book Antiqua" w:eastAsia="Book Antiqua" w:hAnsi="Book Antiqua" w:cs="Book Antiqua"/>
          <w:color w:val="000000"/>
        </w:rPr>
        <w:t xml:space="preserve">, </w:t>
      </w:r>
      <w:r w:rsidRPr="00DC6159">
        <w:rPr>
          <w:rFonts w:ascii="Book Antiqua" w:eastAsia="Book Antiqua" w:hAnsi="Book Antiqua" w:cs="Book Antiqua"/>
          <w:color w:val="000000"/>
        </w:rPr>
        <w:t>anxiety</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other factors play a significant role in the initiation of OLP. The World Health Organization classified OLP as a potentially premalignant lesion</w:t>
      </w:r>
      <w:r w:rsidR="00970D5A">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can convert into squamous cell carcinoma</w:t>
      </w:r>
      <w:r w:rsidRPr="00DC6159">
        <w:rPr>
          <w:rFonts w:ascii="Book Antiqua" w:eastAsia="Book Antiqua" w:hAnsi="Book Antiqua" w:cs="Book Antiqua"/>
          <w:color w:val="000000"/>
          <w:vertAlign w:val="superscript"/>
        </w:rPr>
        <w:t>[6]</w:t>
      </w:r>
      <w:r w:rsidRPr="00DC6159">
        <w:rPr>
          <w:rFonts w:ascii="Book Antiqua" w:eastAsia="Book Antiqua" w:hAnsi="Book Antiqua" w:cs="Book Antiqua"/>
          <w:color w:val="000000"/>
        </w:rPr>
        <w:t>. Therefore, the treatment of OLP is gaining more attention. OLP is often not fully curable and is prone to relapse</w:t>
      </w:r>
      <w:r w:rsidR="00970D5A">
        <w:rPr>
          <w:rFonts w:ascii="Book Antiqua" w:eastAsia="Book Antiqua" w:hAnsi="Book Antiqua" w:cs="Book Antiqua"/>
          <w:color w:val="000000"/>
        </w:rPr>
        <w:t xml:space="preserve"> making</w:t>
      </w:r>
      <w:r w:rsidRPr="00DC6159">
        <w:rPr>
          <w:rFonts w:ascii="Book Antiqua" w:eastAsia="Book Antiqua" w:hAnsi="Book Antiqua" w:cs="Book Antiqua"/>
          <w:color w:val="000000"/>
        </w:rPr>
        <w:t xml:space="preserve"> its treatment challenging. The conventional conservative treatments for OLP include conservative drug therapy (steroids, retinoids, immunosuppressants, and herbal remedies) and some novel therapies (cryosurgery and photodynamic therapy). </w:t>
      </w:r>
    </w:p>
    <w:p w14:paraId="2674FF6C" w14:textId="77777777" w:rsidR="00F546D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Corticosteroids are the drugs of choice for treatment of OLP</w:t>
      </w:r>
      <w:r w:rsidRPr="00DC6159">
        <w:rPr>
          <w:rFonts w:ascii="Book Antiqua" w:eastAsia="Book Antiqua" w:hAnsi="Book Antiqua" w:cs="Book Antiqua"/>
          <w:color w:val="000000"/>
          <w:vertAlign w:val="superscript"/>
        </w:rPr>
        <w:t>[4]</w:t>
      </w:r>
      <w:r w:rsidRPr="00DC6159">
        <w:rPr>
          <w:rFonts w:ascii="Book Antiqua" w:eastAsia="Book Antiqua" w:hAnsi="Book Antiqua" w:cs="Book Antiqua"/>
          <w:color w:val="000000"/>
        </w:rPr>
        <w:t>. Topical treatment is generally preferred, but systemic agents are indicated if lesions are disseminated and when topical therapies are not effective. A frequent topical treatment is 0.1% triamcinolone acetonide ointment three times daily</w:t>
      </w:r>
      <w:r w:rsidRPr="00DC6159">
        <w:rPr>
          <w:rFonts w:ascii="Book Antiqua" w:eastAsia="Book Antiqua" w:hAnsi="Book Antiqua" w:cs="Book Antiqua"/>
          <w:color w:val="000000"/>
          <w:vertAlign w:val="superscript"/>
        </w:rPr>
        <w:t>[7]</w:t>
      </w:r>
      <w:r w:rsidRPr="00DC6159">
        <w:rPr>
          <w:rFonts w:ascii="Book Antiqua" w:eastAsia="Book Antiqua" w:hAnsi="Book Antiqua" w:cs="Book Antiqua"/>
          <w:color w:val="000000"/>
        </w:rPr>
        <w:t>. The dose of systemic steroids must be individualized according to the severity of the lesion, the patient’s weight, and response to treatment. For example, with a short course of corticosteroids such as prednisolone, the drug should be administered at 0.5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1.0 mg/kg of the patient’s body weight per day</w:t>
      </w:r>
      <w:r w:rsidRPr="00DC6159">
        <w:rPr>
          <w:rFonts w:ascii="Book Antiqua" w:eastAsia="Book Antiqua" w:hAnsi="Book Antiqua" w:cs="Book Antiqua"/>
          <w:color w:val="000000"/>
          <w:vertAlign w:val="superscript"/>
        </w:rPr>
        <w:t>[8]</w:t>
      </w:r>
      <w:r w:rsidRPr="00DC6159">
        <w:rPr>
          <w:rFonts w:ascii="Book Antiqua" w:eastAsia="Book Antiqua" w:hAnsi="Book Antiqua" w:cs="Book Antiqua"/>
          <w:color w:val="000000"/>
        </w:rPr>
        <w:t>. However, systemic or topical application of corticosteroids does not always work well, and adverse effects include oral candidiasis, smarting sensation in the mouth, gingival tenderness, insomnia, mood swings, fatigue, water retention</w:t>
      </w:r>
      <w:r w:rsidR="00A37144">
        <w:rPr>
          <w:rFonts w:ascii="Book Antiqua" w:eastAsia="Book Antiqua" w:hAnsi="Book Antiqua" w:cs="Book Antiqua"/>
          <w:color w:val="000000"/>
        </w:rPr>
        <w:t>,</w:t>
      </w:r>
      <w:r w:rsidRPr="00DC6159">
        <w:rPr>
          <w:rFonts w:ascii="Book Antiqua" w:eastAsia="Book Antiqua" w:hAnsi="Book Antiqua" w:cs="Book Antiqua"/>
          <w:color w:val="000000"/>
        </w:rPr>
        <w:t xml:space="preserve"> and adrenal suppression</w:t>
      </w:r>
      <w:r w:rsidRPr="00DC6159">
        <w:rPr>
          <w:rFonts w:ascii="Book Antiqua" w:eastAsia="Book Antiqua" w:hAnsi="Book Antiqua" w:cs="Book Antiqua"/>
          <w:color w:val="000000"/>
          <w:vertAlign w:val="superscript"/>
        </w:rPr>
        <w:t>[9]</w:t>
      </w:r>
      <w:r w:rsidRPr="00DC6159">
        <w:rPr>
          <w:rFonts w:ascii="Book Antiqua" w:eastAsia="Book Antiqua" w:hAnsi="Book Antiqua" w:cs="Book Antiqua"/>
          <w:color w:val="000000"/>
        </w:rPr>
        <w:t xml:space="preserve">. </w:t>
      </w:r>
    </w:p>
    <w:p w14:paraId="6C51D66D" w14:textId="4A5C77A8" w:rsidR="00C30F09"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Topical retinoids were recommended as a second-line treatment for OLP by the consensus of the World Workshop in Oral Medicine IV</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Topical retinoids have some adverse effects, and they can induce high serum levels of triglycerides and liver enzymes</w:t>
      </w:r>
      <w:r w:rsidRPr="00DC6159">
        <w:rPr>
          <w:rFonts w:ascii="Book Antiqua" w:eastAsia="Book Antiqua" w:hAnsi="Book Antiqua" w:cs="Book Antiqua"/>
          <w:color w:val="000000"/>
          <w:vertAlign w:val="superscript"/>
        </w:rPr>
        <w:t>[11]</w:t>
      </w:r>
      <w:r w:rsidRPr="00DC6159">
        <w:rPr>
          <w:rFonts w:ascii="Book Antiqua" w:eastAsia="Book Antiqua" w:hAnsi="Book Antiqua" w:cs="Book Antiqua"/>
          <w:color w:val="000000"/>
        </w:rPr>
        <w:t>. The anti-inflammatory and immunomodulatory activities of immunomodulators have led to consideration of their use in OLP</w:t>
      </w:r>
      <w:r w:rsidRPr="00DC6159">
        <w:rPr>
          <w:rFonts w:ascii="Book Antiqua" w:eastAsia="Book Antiqua" w:hAnsi="Book Antiqua" w:cs="Book Antiqua"/>
          <w:color w:val="000000"/>
          <w:vertAlign w:val="superscript"/>
        </w:rPr>
        <w:t>[12]</w:t>
      </w:r>
      <w:r w:rsidRPr="00DC6159">
        <w:rPr>
          <w:rFonts w:ascii="Book Antiqua" w:eastAsia="Book Antiqua" w:hAnsi="Book Antiqua" w:cs="Book Antiqua"/>
          <w:color w:val="000000"/>
        </w:rPr>
        <w:t>. From the trials comparing cyclosporine with topical steroids, we found that cyclosporine did not provide additional benefit to steroids</w:t>
      </w:r>
      <w:r w:rsidR="00F546DA">
        <w:rPr>
          <w:rFonts w:ascii="Book Antiqua" w:eastAsia="Book Antiqua" w:hAnsi="Book Antiqua" w:cs="Book Antiqua"/>
          <w:color w:val="000000"/>
        </w:rPr>
        <w:t>,</w:t>
      </w:r>
      <w:r w:rsidRPr="00DC6159">
        <w:rPr>
          <w:rFonts w:ascii="Book Antiqua" w:eastAsia="Book Antiqua" w:hAnsi="Book Antiqua" w:cs="Book Antiqua"/>
          <w:color w:val="000000"/>
        </w:rPr>
        <w:t xml:space="preserve"> and results were comparable</w:t>
      </w:r>
      <w:r w:rsidRPr="00DC6159">
        <w:rPr>
          <w:rFonts w:ascii="Book Antiqua" w:eastAsia="Book Antiqua" w:hAnsi="Book Antiqua" w:cs="Book Antiqua"/>
          <w:color w:val="000000"/>
          <w:vertAlign w:val="superscript"/>
        </w:rPr>
        <w:t>[13]</w:t>
      </w:r>
      <w:r w:rsidRPr="00DC6159">
        <w:rPr>
          <w:rFonts w:ascii="Book Antiqua" w:eastAsia="Book Antiqua" w:hAnsi="Book Antiqua" w:cs="Book Antiqua"/>
          <w:color w:val="000000"/>
        </w:rPr>
        <w:t>. However, because of its high cost and adverse effect of burning sensation, it is not considered superior to topical steroids</w:t>
      </w:r>
      <w:r w:rsidRPr="00DC6159">
        <w:rPr>
          <w:rFonts w:ascii="Book Antiqua" w:eastAsia="Book Antiqua" w:hAnsi="Book Antiqua" w:cs="Book Antiqua"/>
          <w:color w:val="000000"/>
          <w:vertAlign w:val="superscript"/>
        </w:rPr>
        <w:t>[11]</w:t>
      </w:r>
      <w:r w:rsidRPr="00DC6159">
        <w:rPr>
          <w:rFonts w:ascii="Book Antiqua" w:eastAsia="Book Antiqua" w:hAnsi="Book Antiqua" w:cs="Book Antiqua"/>
          <w:color w:val="000000"/>
        </w:rPr>
        <w:t>. Long-term levamisole can lead to liver damage, agranulocytosis</w:t>
      </w:r>
      <w:r w:rsidR="00F546DA">
        <w:rPr>
          <w:rFonts w:ascii="Book Antiqua" w:eastAsia="Book Antiqua" w:hAnsi="Book Antiqua" w:cs="Book Antiqua"/>
          <w:color w:val="000000"/>
        </w:rPr>
        <w:t>,</w:t>
      </w:r>
      <w:r w:rsidRPr="00DC6159">
        <w:rPr>
          <w:rFonts w:ascii="Book Antiqua" w:eastAsia="Book Antiqua" w:hAnsi="Book Antiqua" w:cs="Book Antiqua"/>
          <w:color w:val="000000"/>
        </w:rPr>
        <w:t xml:space="preserve"> and encephalitis </w:t>
      </w:r>
      <w:r w:rsidR="00F546DA">
        <w:rPr>
          <w:rFonts w:ascii="Book Antiqua" w:eastAsia="Book Antiqua" w:hAnsi="Book Antiqua" w:cs="Book Antiqua"/>
          <w:color w:val="000000"/>
        </w:rPr>
        <w:t>and</w:t>
      </w:r>
      <w:r w:rsidRPr="00DC6159">
        <w:rPr>
          <w:rFonts w:ascii="Book Antiqua" w:eastAsia="Book Antiqua" w:hAnsi="Book Antiqua" w:cs="Book Antiqua"/>
          <w:color w:val="000000"/>
        </w:rPr>
        <w:t xml:space="preserve"> is not suitable for long-term use</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xml:space="preserve">. </w:t>
      </w:r>
    </w:p>
    <w:p w14:paraId="3A831F4F" w14:textId="77777777" w:rsidR="0081222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Tacrolimus is effective in treating lichen planus. The most common side effects of topical tacrolimus are transient burning, pruritus at the site of application, and ease of relapse</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Curcumin is a Chinese herbal extract. It demonstrates antioxidant, anti-inflammatory, antimicrobial, and anticarcinogenic activities</w:t>
      </w:r>
      <w:r w:rsidRPr="00DC6159">
        <w:rPr>
          <w:rFonts w:ascii="Book Antiqua" w:eastAsia="Book Antiqua" w:hAnsi="Book Antiqua" w:cs="Book Antiqua"/>
          <w:color w:val="000000"/>
          <w:vertAlign w:val="superscript"/>
        </w:rPr>
        <w:t>[14]</w:t>
      </w:r>
      <w:r w:rsidRPr="00DC6159">
        <w:rPr>
          <w:rFonts w:ascii="Book Antiqua" w:eastAsia="Book Antiqua" w:hAnsi="Book Antiqua" w:cs="Book Antiqua"/>
          <w:color w:val="000000"/>
        </w:rPr>
        <w:t xml:space="preserve">. Curcumin has different effects on various oral diseases. </w:t>
      </w:r>
      <w:r w:rsidR="00EE6F92" w:rsidRPr="00DC6159">
        <w:rPr>
          <w:rFonts w:ascii="Book Antiqua" w:eastAsia="Book Antiqua" w:hAnsi="Book Antiqua" w:cs="Book Antiqua"/>
          <w:color w:val="000000"/>
        </w:rPr>
        <w:t>Kia</w:t>
      </w:r>
      <w:r w:rsidRPr="00DC6159">
        <w:rPr>
          <w:rFonts w:ascii="Book Antiqua" w:eastAsia="Book Antiqua" w:hAnsi="Book Antiqua" w:cs="Book Antiqua"/>
          <w:color w:val="000000"/>
        </w:rPr>
        <w:t xml:space="preserve"> </w:t>
      </w:r>
      <w:r w:rsidRPr="00DC6159">
        <w:rPr>
          <w:rFonts w:ascii="Book Antiqua" w:eastAsia="Book Antiqua" w:hAnsi="Book Antiqua" w:cs="Book Antiqua"/>
          <w:i/>
          <w:iCs/>
          <w:color w:val="000000"/>
        </w:rPr>
        <w:t>et al</w:t>
      </w:r>
      <w:r w:rsidR="00EE6F92" w:rsidRPr="00DC6159">
        <w:rPr>
          <w:rFonts w:ascii="Book Antiqua" w:eastAsia="Book Antiqua" w:hAnsi="Book Antiqua" w:cs="Book Antiqua"/>
          <w:color w:val="000000"/>
          <w:vertAlign w:val="superscript"/>
        </w:rPr>
        <w:t>[15]</w:t>
      </w:r>
      <w:r w:rsidRPr="00DC6159">
        <w:rPr>
          <w:rFonts w:ascii="Book Antiqua" w:eastAsia="Book Antiqua" w:hAnsi="Book Antiqua" w:cs="Book Antiqua"/>
          <w:color w:val="000000"/>
        </w:rPr>
        <w:t xml:space="preserve"> found that curcumin can reduce the size of lesions and pain. However, the clinical use of curcumin has some shortcomings including its low solubility, high rate of metabolism, and low bioavailability</w:t>
      </w:r>
      <w:r w:rsidRPr="00DC6159">
        <w:rPr>
          <w:rFonts w:ascii="Book Antiqua" w:eastAsia="Book Antiqua" w:hAnsi="Book Antiqua" w:cs="Book Antiqua"/>
          <w:color w:val="000000"/>
          <w:vertAlign w:val="superscript"/>
        </w:rPr>
        <w:t>[16]</w:t>
      </w:r>
      <w:r w:rsidRPr="00DC6159">
        <w:rPr>
          <w:rFonts w:ascii="Book Antiqua" w:eastAsia="Book Antiqua" w:hAnsi="Book Antiqua" w:cs="Book Antiqua"/>
          <w:color w:val="000000"/>
        </w:rPr>
        <w:t xml:space="preserve">. </w:t>
      </w:r>
    </w:p>
    <w:p w14:paraId="23451697" w14:textId="0A099433" w:rsidR="005D49BD"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Traditional Chinese medicine (TCM) can be used to coordinate the whole body and regulate the functions of qi and blood. According to TCM, OLP is mainly caused by anxiety, dampness, heating and fire, inflammation, Yin blood deficiency, or liver and kidney Yin deficiency. Therefore, treatment of this disease should be based on the principles of harmonizing liver and spleen, regulating qi-flowing for strengthening spleen, dispersing stagnated liver qi for relieving qi stagnation</w:t>
      </w:r>
      <w:r w:rsidR="0081222A">
        <w:rPr>
          <w:rFonts w:ascii="Book Antiqua" w:eastAsia="Book Antiqua" w:hAnsi="Book Antiqua" w:cs="Book Antiqua"/>
          <w:color w:val="000000"/>
        </w:rPr>
        <w:t>,</w:t>
      </w:r>
      <w:r w:rsidRPr="00DC6159">
        <w:rPr>
          <w:rFonts w:ascii="Book Antiqua" w:eastAsia="Book Antiqua" w:hAnsi="Book Antiqua" w:cs="Book Antiqua"/>
          <w:color w:val="000000"/>
        </w:rPr>
        <w:t xml:space="preserve"> and clearing heat-fire. As widely known, TCM is reported to be safe and beneficial</w:t>
      </w:r>
      <w:r w:rsidRPr="00DC6159">
        <w:rPr>
          <w:rFonts w:ascii="Book Antiqua" w:eastAsia="Book Antiqua" w:hAnsi="Book Antiqua" w:cs="Book Antiqua"/>
          <w:color w:val="000000"/>
          <w:vertAlign w:val="superscript"/>
        </w:rPr>
        <w:t>[17]</w:t>
      </w:r>
      <w:r w:rsidRPr="00DC6159">
        <w:rPr>
          <w:rFonts w:ascii="Book Antiqua" w:eastAsia="Book Antiqua" w:hAnsi="Book Antiqua" w:cs="Book Antiqua"/>
          <w:color w:val="000000"/>
        </w:rPr>
        <w:t>. However, TCM is not as effective as corticosteroids</w:t>
      </w:r>
      <w:r w:rsidR="005D49BD">
        <w:rPr>
          <w:rFonts w:ascii="Book Antiqua" w:eastAsia="Book Antiqua" w:hAnsi="Book Antiqua" w:cs="Book Antiqua"/>
          <w:color w:val="000000"/>
        </w:rPr>
        <w:t>,</w:t>
      </w:r>
      <w:r w:rsidRPr="00DC6159">
        <w:rPr>
          <w:rFonts w:ascii="Book Antiqua" w:eastAsia="Book Antiqua" w:hAnsi="Book Antiqua" w:cs="Book Antiqua"/>
          <w:color w:val="000000"/>
        </w:rPr>
        <w:t xml:space="preserve"> and its effects are relatively slow. Therefore, it cannot be used as a corticosteroid replacement and can only be an adjuvant drug</w:t>
      </w:r>
      <w:r w:rsidRPr="00DC6159">
        <w:rPr>
          <w:rFonts w:ascii="Book Antiqua" w:eastAsia="Book Antiqua" w:hAnsi="Book Antiqua" w:cs="Book Antiqua"/>
          <w:color w:val="000000"/>
          <w:vertAlign w:val="superscript"/>
        </w:rPr>
        <w:t>[18]</w:t>
      </w:r>
      <w:r w:rsidRPr="00DC6159">
        <w:rPr>
          <w:rFonts w:ascii="Book Antiqua" w:eastAsia="Book Antiqua" w:hAnsi="Book Antiqua" w:cs="Book Antiqua"/>
          <w:color w:val="000000"/>
        </w:rPr>
        <w:t xml:space="preserve">. </w:t>
      </w:r>
    </w:p>
    <w:p w14:paraId="10EC03AA" w14:textId="740220A1" w:rsidR="00E11DBA" w:rsidRDefault="005D49BD" w:rsidP="00DC615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w:t>
      </w:r>
      <w:r w:rsidR="00970D5A" w:rsidRPr="00DC6159">
        <w:rPr>
          <w:rFonts w:ascii="Book Antiqua" w:eastAsia="Book Antiqua" w:hAnsi="Book Antiqua" w:cs="Book Antiqua"/>
          <w:color w:val="000000"/>
        </w:rPr>
        <w:t>hotodynamic therapy</w:t>
      </w:r>
      <w:r w:rsidR="00AF149E" w:rsidRPr="00DC6159">
        <w:rPr>
          <w:rFonts w:ascii="Book Antiqua" w:eastAsia="Book Antiqua" w:hAnsi="Book Antiqua" w:cs="Book Antiqua"/>
          <w:color w:val="000000"/>
        </w:rPr>
        <w:t xml:space="preserve"> is selectively toxic to damaged tissue, including inflammation and cancer, causing cell damage</w:t>
      </w:r>
      <w:r>
        <w:rPr>
          <w:rFonts w:ascii="Book Antiqua" w:eastAsia="Book Antiqua" w:hAnsi="Book Antiqua" w:cs="Book Antiqua"/>
          <w:color w:val="000000"/>
        </w:rPr>
        <w:t xml:space="preserve"> and</w:t>
      </w:r>
      <w:r w:rsidR="00AF149E" w:rsidRPr="00DC6159">
        <w:rPr>
          <w:rFonts w:ascii="Book Antiqua" w:eastAsia="Book Antiqua" w:hAnsi="Book Antiqua" w:cs="Book Antiqua"/>
          <w:color w:val="000000"/>
        </w:rPr>
        <w:t xml:space="preserve"> membrane lysis</w:t>
      </w:r>
      <w:r>
        <w:rPr>
          <w:rFonts w:ascii="Book Antiqua" w:eastAsia="Book Antiqua" w:hAnsi="Book Antiqua" w:cs="Book Antiqua"/>
          <w:color w:val="000000"/>
        </w:rPr>
        <w:t xml:space="preserve">, while </w:t>
      </w:r>
      <w:r w:rsidR="00AF149E" w:rsidRPr="00DC6159">
        <w:rPr>
          <w:rFonts w:ascii="Book Antiqua" w:eastAsia="Book Antiqua" w:hAnsi="Book Antiqua" w:cs="Book Antiqua"/>
          <w:color w:val="000000"/>
        </w:rPr>
        <w:t>it is harmless to healthy tissue</w:t>
      </w:r>
      <w:r w:rsidR="00AF149E" w:rsidRPr="00DC6159">
        <w:rPr>
          <w:rFonts w:ascii="Book Antiqua" w:eastAsia="Book Antiqua" w:hAnsi="Book Antiqua" w:cs="Book Antiqua"/>
          <w:color w:val="000000"/>
          <w:vertAlign w:val="superscript"/>
        </w:rPr>
        <w:t>[19]</w:t>
      </w:r>
      <w:r w:rsidR="00AF149E" w:rsidRPr="00DC6159">
        <w:rPr>
          <w:rFonts w:ascii="Book Antiqua" w:eastAsia="Book Antiqua" w:hAnsi="Book Antiqua" w:cs="Book Antiqua"/>
          <w:color w:val="000000"/>
        </w:rPr>
        <w:t>. However, it has some adverse effects, including burning sensation and swelling, and it is not as effective as corticosteroids</w:t>
      </w:r>
      <w:r w:rsidR="00AF149E" w:rsidRPr="00DC6159">
        <w:rPr>
          <w:rFonts w:ascii="Book Antiqua" w:eastAsia="Book Antiqua" w:hAnsi="Book Antiqua" w:cs="Book Antiqua"/>
          <w:color w:val="000000"/>
          <w:vertAlign w:val="superscript"/>
        </w:rPr>
        <w:t>[20]</w:t>
      </w:r>
      <w:r w:rsidR="00AF149E" w:rsidRPr="00DC6159">
        <w:rPr>
          <w:rFonts w:ascii="Book Antiqua" w:eastAsia="Book Antiqua" w:hAnsi="Book Antiqua" w:cs="Book Antiqua"/>
          <w:color w:val="000000"/>
        </w:rPr>
        <w:t xml:space="preserve">. Therefore, </w:t>
      </w:r>
      <w:r w:rsidR="00970D5A" w:rsidRPr="00DC6159">
        <w:rPr>
          <w:rFonts w:ascii="Book Antiqua" w:eastAsia="Book Antiqua" w:hAnsi="Book Antiqua" w:cs="Book Antiqua"/>
          <w:color w:val="000000"/>
        </w:rPr>
        <w:t>photodynamic therapy</w:t>
      </w:r>
      <w:r w:rsidR="00AF149E" w:rsidRPr="00DC6159">
        <w:rPr>
          <w:rFonts w:ascii="Book Antiqua" w:eastAsia="Book Antiqua" w:hAnsi="Book Antiqua" w:cs="Book Antiqua"/>
          <w:color w:val="000000"/>
        </w:rPr>
        <w:t xml:space="preserve"> is used as an adjunctive therapy. Cryosurgery and laser surgery of the oral lesions have the main drawback in that the entire lesion cannot be histologically examined</w:t>
      </w:r>
      <w:r w:rsidR="00AF149E" w:rsidRPr="00DC6159">
        <w:rPr>
          <w:rFonts w:ascii="Book Antiqua" w:eastAsia="Book Antiqua" w:hAnsi="Book Antiqua" w:cs="Book Antiqua"/>
          <w:color w:val="000000"/>
          <w:vertAlign w:val="superscript"/>
        </w:rPr>
        <w:t>[21]</w:t>
      </w:r>
      <w:r w:rsidR="00AF149E" w:rsidRPr="00DC6159">
        <w:rPr>
          <w:rFonts w:ascii="Book Antiqua" w:eastAsia="Book Antiqua" w:hAnsi="Book Antiqua" w:cs="Book Antiqua"/>
          <w:color w:val="000000"/>
        </w:rPr>
        <w:t xml:space="preserve">. </w:t>
      </w:r>
    </w:p>
    <w:p w14:paraId="16EBCF56" w14:textId="0BB2551E" w:rsidR="00A77B3E" w:rsidRPr="00DC6159" w:rsidRDefault="00AF149E" w:rsidP="00C6749F">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Given the long treatment cycle of the above treatment methods, it is not easy to completely eradicate OLP and it is easy to relapse. Therefore, surgical treatment is an alternative.</w:t>
      </w:r>
      <w:r w:rsidR="00E11DBA">
        <w:rPr>
          <w:rFonts w:ascii="Book Antiqua" w:eastAsia="Book Antiqua" w:hAnsi="Book Antiqua" w:cs="Book Antiqua"/>
          <w:color w:val="000000"/>
        </w:rPr>
        <w:t xml:space="preserve"> </w:t>
      </w:r>
      <w:r w:rsidRPr="00DC6159">
        <w:rPr>
          <w:rFonts w:ascii="Book Antiqua" w:eastAsia="Book Antiqua" w:hAnsi="Book Antiqua" w:cs="Book Antiqua"/>
          <w:color w:val="000000"/>
        </w:rPr>
        <w:t>Some researchers have tried to use surgical excision of OLP using mucosal advancement flaps</w:t>
      </w:r>
      <w:r w:rsidRPr="00DC6159">
        <w:rPr>
          <w:rFonts w:ascii="Book Antiqua" w:eastAsia="Book Antiqua" w:hAnsi="Book Antiqua" w:cs="Book Antiqua"/>
          <w:color w:val="000000"/>
          <w:vertAlign w:val="superscript"/>
        </w:rPr>
        <w:t>[22]</w:t>
      </w:r>
      <w:r w:rsidRPr="00DC6159">
        <w:rPr>
          <w:rFonts w:ascii="Book Antiqua" w:eastAsia="Book Antiqua" w:hAnsi="Book Antiqua" w:cs="Book Antiqua"/>
          <w:color w:val="000000"/>
        </w:rPr>
        <w:t>, skin grafts</w:t>
      </w:r>
      <w:r w:rsidRPr="00DC6159">
        <w:rPr>
          <w:rFonts w:ascii="Book Antiqua" w:eastAsia="Book Antiqua" w:hAnsi="Book Antiqua" w:cs="Book Antiqua"/>
          <w:color w:val="000000"/>
          <w:vertAlign w:val="superscript"/>
        </w:rPr>
        <w:t>[23]</w:t>
      </w:r>
      <w:r w:rsidR="00E11DBA">
        <w:rPr>
          <w:rFonts w:ascii="Book Antiqua" w:eastAsia="Book Antiqua" w:hAnsi="Book Antiqua" w:cs="Book Antiqua"/>
          <w:color w:val="000000"/>
        </w:rPr>
        <w:t xml:space="preserve">, </w:t>
      </w:r>
      <w:r w:rsidRPr="00DC6159">
        <w:rPr>
          <w:rFonts w:ascii="Book Antiqua" w:eastAsia="Book Antiqua" w:hAnsi="Book Antiqua" w:cs="Book Antiqua"/>
          <w:color w:val="000000"/>
        </w:rPr>
        <w:t>or platelet-rich fibrin (PRF) membranes</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 xml:space="preserve"> to repair the defect after surgical resection. We performed surgical excision and repaired mucosal defects with acellular dermal matrix (ADM) and achieved a satisfactory outcome.</w:t>
      </w:r>
    </w:p>
    <w:p w14:paraId="6F7DD9E6" w14:textId="77777777" w:rsidR="00A77B3E" w:rsidRPr="00DC6159" w:rsidRDefault="00A77B3E" w:rsidP="00DC6159">
      <w:pPr>
        <w:spacing w:line="360" w:lineRule="auto"/>
        <w:jc w:val="both"/>
        <w:rPr>
          <w:rFonts w:ascii="Book Antiqua" w:hAnsi="Book Antiqua"/>
        </w:rPr>
      </w:pPr>
    </w:p>
    <w:p w14:paraId="4A1D4D9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CASE PRESENTATION</w:t>
      </w:r>
    </w:p>
    <w:p w14:paraId="61361EE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Chief complaints</w:t>
      </w:r>
    </w:p>
    <w:p w14:paraId="744B57BB" w14:textId="4739661C"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Eleven patients came to the Stomatology Department of our hospital for treatment because of burning sensation in the mouth and limited opening of the mouth for several years (</w:t>
      </w:r>
      <w:r w:rsidR="00EE6F92" w:rsidRPr="00DC6159">
        <w:rPr>
          <w:rFonts w:ascii="Book Antiqua" w:eastAsia="Book Antiqua" w:hAnsi="Book Antiqua" w:cs="Book Antiqua"/>
          <w:color w:val="000000"/>
        </w:rPr>
        <w:t>t</w:t>
      </w:r>
      <w:r w:rsidRPr="00DC6159">
        <w:rPr>
          <w:rFonts w:ascii="Book Antiqua" w:eastAsia="Book Antiqua" w:hAnsi="Book Antiqua" w:cs="Book Antiqua"/>
          <w:color w:val="000000"/>
        </w:rPr>
        <w:t>he specific duration is shown in Table 1).</w:t>
      </w:r>
    </w:p>
    <w:p w14:paraId="09719168" w14:textId="77777777" w:rsidR="00A77B3E" w:rsidRPr="00DC6159" w:rsidRDefault="00A77B3E" w:rsidP="00DC6159">
      <w:pPr>
        <w:spacing w:line="360" w:lineRule="auto"/>
        <w:jc w:val="both"/>
        <w:rPr>
          <w:rFonts w:ascii="Book Antiqua" w:hAnsi="Book Antiqua"/>
        </w:rPr>
      </w:pPr>
    </w:p>
    <w:p w14:paraId="64E3E89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History of present illness</w:t>
      </w:r>
    </w:p>
    <w:p w14:paraId="165FEB30" w14:textId="2477661E"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patients had mucosal pain and limited mouth opening for several years before admission. All had received local corticosteroids (0.1% triamcinolone ointment three times daily). Four patients were treated with 0.1% tretinoin ointment three times daily. A mouth rinse with 5 mL 0.1% cyclosporin gargle three times daily was used in three patients (Table 1). However, the efficacy was poor</w:t>
      </w:r>
      <w:r w:rsidR="003E2C16">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was easy. </w:t>
      </w:r>
    </w:p>
    <w:p w14:paraId="78CE5897" w14:textId="77777777" w:rsidR="00A77B3E" w:rsidRPr="00DC6159" w:rsidRDefault="00A77B3E" w:rsidP="00DC6159">
      <w:pPr>
        <w:spacing w:line="360" w:lineRule="auto"/>
        <w:jc w:val="both"/>
        <w:rPr>
          <w:rFonts w:ascii="Book Antiqua" w:hAnsi="Book Antiqua"/>
        </w:rPr>
      </w:pPr>
    </w:p>
    <w:p w14:paraId="1F2995F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History of past illness</w:t>
      </w:r>
    </w:p>
    <w:p w14:paraId="196BCB93" w14:textId="0D28F730"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All had a history of systemic disease (Table 1). Among them, eight suffered from hypertension, four from diabetes mellitus, and three from chronic hepatitis; all of which were well controlled with nifedipine, metformin</w:t>
      </w:r>
      <w:r w:rsidR="00C26CF0">
        <w:rPr>
          <w:rFonts w:ascii="Book Antiqua" w:eastAsia="Book Antiqua" w:hAnsi="Book Antiqua" w:cs="Book Antiqua"/>
          <w:color w:val="000000"/>
        </w:rPr>
        <w:t>,</w:t>
      </w:r>
      <w:r w:rsidRPr="00DC6159">
        <w:rPr>
          <w:rFonts w:ascii="Book Antiqua" w:eastAsia="Book Antiqua" w:hAnsi="Book Antiqua" w:cs="Book Antiqua"/>
          <w:color w:val="000000"/>
        </w:rPr>
        <w:t xml:space="preserve"> and entecavir, respectively.</w:t>
      </w:r>
    </w:p>
    <w:p w14:paraId="576D96E0" w14:textId="77777777" w:rsidR="00A77B3E" w:rsidRPr="00DC6159" w:rsidRDefault="00A77B3E" w:rsidP="00DC6159">
      <w:pPr>
        <w:spacing w:line="360" w:lineRule="auto"/>
        <w:jc w:val="both"/>
        <w:rPr>
          <w:rFonts w:ascii="Book Antiqua" w:hAnsi="Book Antiqua"/>
        </w:rPr>
      </w:pPr>
    </w:p>
    <w:p w14:paraId="2241EC5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Personal and family history</w:t>
      </w:r>
    </w:p>
    <w:p w14:paraId="56156F3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None of the patients had a history of drug allergies or genetic diseases.</w:t>
      </w:r>
    </w:p>
    <w:p w14:paraId="0F58A378" w14:textId="77777777" w:rsidR="00A77B3E" w:rsidRPr="00DC6159" w:rsidRDefault="00A77B3E" w:rsidP="00DC6159">
      <w:pPr>
        <w:spacing w:line="360" w:lineRule="auto"/>
        <w:jc w:val="both"/>
        <w:rPr>
          <w:rFonts w:ascii="Book Antiqua" w:hAnsi="Book Antiqua"/>
        </w:rPr>
      </w:pPr>
    </w:p>
    <w:p w14:paraId="5683EA3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Physical examination</w:t>
      </w:r>
    </w:p>
    <w:p w14:paraId="1DBC2B1A"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patients’ vital signs were normal. Oral examination revealed white lesions within the area of erosion, congestion, ulcer, conscious pain, pain stimulation, easy bleeding, and white bands with radial texture around the lesion (Figure 1). All lesions occurred on the buccal side. Two cases were bilateral and nine were unilateral.</w:t>
      </w:r>
    </w:p>
    <w:p w14:paraId="56CE3AFE" w14:textId="77777777" w:rsidR="00A77B3E" w:rsidRPr="00DC6159" w:rsidRDefault="00A77B3E" w:rsidP="00DC6159">
      <w:pPr>
        <w:spacing w:line="360" w:lineRule="auto"/>
        <w:jc w:val="both"/>
        <w:rPr>
          <w:rFonts w:ascii="Book Antiqua" w:hAnsi="Book Antiqua"/>
        </w:rPr>
      </w:pPr>
    </w:p>
    <w:p w14:paraId="40BA051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Laboratory examinations</w:t>
      </w:r>
    </w:p>
    <w:p w14:paraId="3B62A6B0" w14:textId="5378291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All patients had different degrees of elevated white blood cells. Liver and renal functions as well as thyroid function were normal (except for four patients with chronic hepatitis). The levels of aspartate aminotransferase in Patients 4, 8, 10</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11 were 45, 51, 42</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45</w:t>
      </w:r>
      <w:r w:rsidR="00EE6F92" w:rsidRPr="00DC6159">
        <w:rPr>
          <w:rFonts w:ascii="Book Antiqua" w:eastAsia="Book Antiqua" w:hAnsi="Book Antiqua" w:cs="Book Antiqua"/>
          <w:color w:val="000000"/>
        </w:rPr>
        <w:t xml:space="preserve"> </w:t>
      </w:r>
      <w:r w:rsidRPr="00DC6159">
        <w:rPr>
          <w:rFonts w:ascii="Book Antiqua" w:eastAsia="Book Antiqua" w:hAnsi="Book Antiqua" w:cs="Book Antiqua"/>
          <w:color w:val="000000"/>
        </w:rPr>
        <w:t>U/L, respectively. The normal range is 0</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 xml:space="preserve">40 U/L. The fasting blood glucose levels of </w:t>
      </w:r>
      <w:r w:rsidR="00EE6F92" w:rsidRPr="00DC6159">
        <w:rPr>
          <w:rFonts w:ascii="Book Antiqua" w:eastAsia="Book Antiqua" w:hAnsi="Book Antiqua" w:cs="Book Antiqua"/>
          <w:color w:val="000000"/>
        </w:rPr>
        <w:t>p</w:t>
      </w:r>
      <w:r w:rsidRPr="00DC6159">
        <w:rPr>
          <w:rFonts w:ascii="Book Antiqua" w:eastAsia="Book Antiqua" w:hAnsi="Book Antiqua" w:cs="Book Antiqua"/>
          <w:color w:val="000000"/>
        </w:rPr>
        <w:t>atients 5, 7</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9 were 6.89, 7.6</w:t>
      </w:r>
      <w:r w:rsidR="00C86DD8">
        <w:rPr>
          <w:rFonts w:ascii="Book Antiqua" w:eastAsia="Book Antiqua" w:hAnsi="Book Antiqua" w:cs="Book Antiqua"/>
          <w:color w:val="000000"/>
        </w:rPr>
        <w:t>0,</w:t>
      </w:r>
      <w:r w:rsidRPr="00DC6159">
        <w:rPr>
          <w:rFonts w:ascii="Book Antiqua" w:eastAsia="Book Antiqua" w:hAnsi="Book Antiqua" w:cs="Book Antiqua"/>
          <w:color w:val="000000"/>
        </w:rPr>
        <w:t xml:space="preserve"> and 7.3</w:t>
      </w:r>
      <w:r w:rsidR="00C86DD8">
        <w:rPr>
          <w:rFonts w:ascii="Book Antiqua" w:eastAsia="Book Antiqua" w:hAnsi="Book Antiqua" w:cs="Book Antiqua"/>
          <w:color w:val="000000"/>
        </w:rPr>
        <w:t>0</w:t>
      </w:r>
      <w:r w:rsidRPr="00DC6159">
        <w:rPr>
          <w:rFonts w:ascii="Book Antiqua" w:eastAsia="Book Antiqua" w:hAnsi="Book Antiqua" w:cs="Book Antiqua"/>
          <w:color w:val="000000"/>
        </w:rPr>
        <w:t xml:space="preserve"> mmol/L, respectively.</w:t>
      </w:r>
    </w:p>
    <w:p w14:paraId="52A18B86" w14:textId="77777777" w:rsidR="00A77B3E" w:rsidRPr="00DC6159" w:rsidRDefault="00A77B3E" w:rsidP="00DC6159">
      <w:pPr>
        <w:spacing w:line="360" w:lineRule="auto"/>
        <w:jc w:val="both"/>
        <w:rPr>
          <w:rFonts w:ascii="Book Antiqua" w:hAnsi="Book Antiqua"/>
        </w:rPr>
      </w:pPr>
    </w:p>
    <w:p w14:paraId="1A72688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Imaging examinations</w:t>
      </w:r>
    </w:p>
    <w:p w14:paraId="321FC1A7" w14:textId="493FB3D3"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mucous membrane presented with chronic inflammation. The squamous epithelium was highly hyperplastic and hyperkeratinized with local mild dysplasia. Hydropic degeneration of the basal epithelial cells, unclear basement membrane structure, and prominent infiltration of band-like subepithelial lymphocytes and plasma cells were noted, and the lesions were not malignant (Figure 2).</w:t>
      </w:r>
    </w:p>
    <w:p w14:paraId="075504A1" w14:textId="77777777" w:rsidR="00A77B3E" w:rsidRPr="00DC6159" w:rsidRDefault="00A77B3E" w:rsidP="00DC6159">
      <w:pPr>
        <w:spacing w:line="360" w:lineRule="auto"/>
        <w:jc w:val="both"/>
        <w:rPr>
          <w:rFonts w:ascii="Book Antiqua" w:hAnsi="Book Antiqua"/>
        </w:rPr>
      </w:pPr>
    </w:p>
    <w:p w14:paraId="639F499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FINAL DIAGNOSIS</w:t>
      </w:r>
    </w:p>
    <w:p w14:paraId="70D7DD8E" w14:textId="2BE29286"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final diagnosis was OLP based on clinical and pathological examinations.</w:t>
      </w:r>
    </w:p>
    <w:p w14:paraId="245B8267" w14:textId="77777777" w:rsidR="00A77B3E" w:rsidRPr="00DC6159" w:rsidRDefault="00A77B3E" w:rsidP="00DC6159">
      <w:pPr>
        <w:spacing w:line="360" w:lineRule="auto"/>
        <w:jc w:val="both"/>
        <w:rPr>
          <w:rFonts w:ascii="Book Antiqua" w:hAnsi="Book Antiqua"/>
        </w:rPr>
      </w:pPr>
    </w:p>
    <w:p w14:paraId="65A67FF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TREATMENT</w:t>
      </w:r>
    </w:p>
    <w:p w14:paraId="3F87D257" w14:textId="57C6F075"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efficacy of previous treatments for OLP has been poor</w:t>
      </w:r>
      <w:r w:rsidR="00C6749F">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has been easy. Therefore, surgical treatment was recommended to the patients. The patients agreed and gave signed informed consent. Surgical excision was performed and mucosal defects were repaired with ADM (Yantai Haiao Biotechnology Ltd., China).</w:t>
      </w:r>
    </w:p>
    <w:p w14:paraId="589D2281" w14:textId="01A9BD09"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Tracheal intubation was performed under general anesthesia. After disinfection of the mouth, we exposed the lesion area. The lesion margin was marked with methylene blue, followed by local injection of 2% lidocaine anesthesia. We used the no. 15 circular blade to remove the lesion along the methylene blue line (Figure 3). The excised tissues were sent for pathological examination. The diagnostic results were consistent with the preoperative pathological diagnosis. An electrotome was used for hemostasis and normal saline for rinsing. ADM was washed with normal saline three times and trimmed appropriately with</w:t>
      </w:r>
      <w:r w:rsidR="00344242">
        <w:rPr>
          <w:rFonts w:ascii="Book Antiqua" w:eastAsia="Book Antiqua" w:hAnsi="Book Antiqua" w:cs="Book Antiqua"/>
          <w:color w:val="000000"/>
        </w:rPr>
        <w:t xml:space="preserve"> the</w:t>
      </w:r>
      <w:r w:rsidRPr="00DC6159">
        <w:rPr>
          <w:rFonts w:ascii="Book Antiqua" w:eastAsia="Book Antiqua" w:hAnsi="Book Antiqua" w:cs="Book Antiqua"/>
          <w:color w:val="000000"/>
        </w:rPr>
        <w:t xml:space="preserve"> tissue surface facing the wound and placed on the wound surface. ADM edge and mucosal defect edge were sutured with 3-0 Vicryl (Figure 4). The iodoform yarn strips were packed and placed above the ADM, and the wound sutures were divided into four anti-wrapping and pressurizing strands (Figure 5). The stiches and the compressive pack were removed 9 d after surgery. Patients were instructed to consume a liquid or semisolid diet (food items that could be swallowed directly) after surgery. Patients received broad-spectrum antibiotics and analgesics for 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7 d (oral amoxicillin 500 mg every 8 h, oral ibuprofen 400 mg every 8</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12 h, if needed).</w:t>
      </w:r>
    </w:p>
    <w:p w14:paraId="1F4192F8" w14:textId="27DFC64B"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Postoperative follow-up was conducted by the same investigator at 9, 15, 30, 60</w:t>
      </w:r>
      <w:r w:rsidR="00C437DC">
        <w:rPr>
          <w:rFonts w:ascii="Book Antiqua" w:eastAsia="Book Antiqua" w:hAnsi="Book Antiqua" w:cs="Book Antiqua"/>
          <w:color w:val="000000"/>
        </w:rPr>
        <w:t>,</w:t>
      </w:r>
      <w:r w:rsidRPr="00DC6159">
        <w:rPr>
          <w:rFonts w:ascii="Book Antiqua" w:eastAsia="Book Antiqua" w:hAnsi="Book Antiqua" w:cs="Book Antiqua"/>
          <w:color w:val="000000"/>
        </w:rPr>
        <w:t xml:space="preserve"> and 90 d to evaluate the postoperative clinical efficacy according to pain, intraoperative maximum mouth opening, and complete healing time. The pain severity </w:t>
      </w:r>
      <w:r w:rsidR="00C437DC">
        <w:rPr>
          <w:rFonts w:ascii="Book Antiqua" w:eastAsia="Book Antiqua" w:hAnsi="Book Antiqua" w:cs="Book Antiqua"/>
          <w:color w:val="000000"/>
        </w:rPr>
        <w:t xml:space="preserve">of each patient </w:t>
      </w:r>
      <w:r w:rsidRPr="00DC6159">
        <w:rPr>
          <w:rFonts w:ascii="Book Antiqua" w:eastAsia="Book Antiqua" w:hAnsi="Book Antiqua" w:cs="Book Antiqua"/>
          <w:color w:val="000000"/>
        </w:rPr>
        <w:t xml:space="preserve">was measured by </w:t>
      </w:r>
      <w:r w:rsidR="00C437DC">
        <w:rPr>
          <w:rFonts w:ascii="Book Antiqua" w:eastAsia="Book Antiqua" w:hAnsi="Book Antiqua" w:cs="Book Antiqua"/>
          <w:color w:val="000000"/>
        </w:rPr>
        <w:t xml:space="preserve">the </w:t>
      </w:r>
      <w:r w:rsidRPr="00DC6159">
        <w:rPr>
          <w:rFonts w:ascii="Book Antiqua" w:eastAsia="Book Antiqua" w:hAnsi="Book Antiqua" w:cs="Book Antiqua"/>
          <w:color w:val="000000"/>
        </w:rPr>
        <w:t>visual analog scale (0</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10). Grade 0 indicated painlessness and grade 10 represented the most severe kind of perceptible pain. Wound healing time is a traditional index to evaluate wound healing, which is defined as complete epithelialization</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w:t>
      </w:r>
    </w:p>
    <w:p w14:paraId="31B00159" w14:textId="77777777" w:rsidR="00A77B3E" w:rsidRPr="00DC6159" w:rsidRDefault="00A77B3E" w:rsidP="00DC6159">
      <w:pPr>
        <w:spacing w:line="360" w:lineRule="auto"/>
        <w:jc w:val="both"/>
        <w:rPr>
          <w:rFonts w:ascii="Book Antiqua" w:hAnsi="Book Antiqua"/>
        </w:rPr>
      </w:pPr>
    </w:p>
    <w:p w14:paraId="4830713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OUTCOME AND FOLLOW-UP</w:t>
      </w:r>
    </w:p>
    <w:p w14:paraId="057472E6" w14:textId="5CA53256"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The condition of the area of the grafted wounds, maximum mouth opening, pain, and clinical healing were assessed at postoperative follow-up visits (Table 2). In most patients, mouth opening was limited due to mild postoperative reactive pain and edema 3 d after the operation. The pain was relieved 9 d after the operation. A depression was found in the surgical area. Patients were advised to have a light diet </w:t>
      </w:r>
      <w:r w:rsidR="003B44E1">
        <w:rPr>
          <w:rFonts w:ascii="Book Antiqua" w:eastAsia="Book Antiqua" w:hAnsi="Book Antiqua" w:cs="Book Antiqua"/>
          <w:color w:val="000000"/>
        </w:rPr>
        <w:t>that was</w:t>
      </w:r>
      <w:r w:rsidRPr="00DC6159">
        <w:rPr>
          <w:rFonts w:ascii="Book Antiqua" w:eastAsia="Book Antiqua" w:hAnsi="Book Antiqua" w:cs="Book Antiqua"/>
          <w:color w:val="000000"/>
        </w:rPr>
        <w:t xml:space="preserve"> fluid or semifluid and avoid mechanical stimulation to protect the wound and check it regularly after surgery. At 15 d after surgery, the wound was extensively vascularized without swelling or infection. One month after the operation, the surgical area was flat with similar mucosal tissue covering and local scar formation, and the degree of mouth opening gradually recovered. After 6 mo, the transplanted area remained stable. All patients’ mouth opening</w:t>
      </w:r>
      <w:r w:rsidR="00C07E98">
        <w:rPr>
          <w:rFonts w:ascii="Book Antiqua" w:eastAsia="Book Antiqua" w:hAnsi="Book Antiqua" w:cs="Book Antiqua"/>
          <w:color w:val="000000"/>
        </w:rPr>
        <w:t>s</w:t>
      </w:r>
      <w:r w:rsidRPr="00DC6159">
        <w:rPr>
          <w:rFonts w:ascii="Book Antiqua" w:eastAsia="Book Antiqua" w:hAnsi="Book Antiqua" w:cs="Book Antiqua"/>
          <w:color w:val="000000"/>
        </w:rPr>
        <w:t xml:space="preserve"> returned to normal within 2</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 after surgery (Figure 6). During follow-up, no patients had recurrence of OLP after surgery. The longest follow-up was 11 years</w:t>
      </w:r>
      <w:r w:rsidR="00C07E98">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shortest was 6 mo</w:t>
      </w:r>
      <w:r w:rsidR="00C07E98">
        <w:rPr>
          <w:rFonts w:ascii="Book Antiqua" w:eastAsia="Book Antiqua" w:hAnsi="Book Antiqua" w:cs="Book Antiqua"/>
          <w:color w:val="000000"/>
        </w:rPr>
        <w:t>.</w:t>
      </w:r>
      <w:r w:rsidRPr="00DC6159">
        <w:rPr>
          <w:rFonts w:ascii="Book Antiqua" w:eastAsia="Book Antiqua" w:hAnsi="Book Antiqua" w:cs="Book Antiqua"/>
          <w:color w:val="000000"/>
        </w:rPr>
        <w:t xml:space="preserve"> </w:t>
      </w:r>
      <w:r w:rsidR="0096002A">
        <w:rPr>
          <w:rFonts w:ascii="Book Antiqua" w:eastAsia="Book Antiqua" w:hAnsi="Book Antiqua" w:cs="Book Antiqua"/>
          <w:color w:val="000000"/>
        </w:rPr>
        <w:t>N</w:t>
      </w:r>
      <w:r w:rsidRPr="00DC6159">
        <w:rPr>
          <w:rFonts w:ascii="Book Antiqua" w:eastAsia="Book Antiqua" w:hAnsi="Book Antiqua" w:cs="Book Antiqua"/>
          <w:color w:val="000000"/>
        </w:rPr>
        <w:t>one of the patients relapsed during follow-up. Overall, surgical results were satisfactory in all cases during follow-up. For long-term results, we need more patients to be followed up over the long term.</w:t>
      </w:r>
    </w:p>
    <w:p w14:paraId="5F689734" w14:textId="77777777" w:rsidR="00A77B3E" w:rsidRPr="00DC6159" w:rsidRDefault="00A77B3E" w:rsidP="00DC6159">
      <w:pPr>
        <w:spacing w:line="360" w:lineRule="auto"/>
        <w:jc w:val="both"/>
        <w:rPr>
          <w:rFonts w:ascii="Book Antiqua" w:hAnsi="Book Antiqua"/>
        </w:rPr>
      </w:pPr>
    </w:p>
    <w:p w14:paraId="4A7D81D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DISCUSSION</w:t>
      </w:r>
    </w:p>
    <w:p w14:paraId="4BEA76FC" w14:textId="4888FD69"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excision of OLP is considered an effective treatment for isolated plaques or nonhealing erosions</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Moss and Harman were the first to perform surgical resection of ulcerative lichen lesions in the hands and feet and used skin grafts to repair the defect after surgical resection</w:t>
      </w:r>
      <w:r w:rsidRPr="00DC6159">
        <w:rPr>
          <w:rFonts w:ascii="Book Antiqua" w:eastAsia="Book Antiqua" w:hAnsi="Book Antiqua" w:cs="Book Antiqua"/>
          <w:color w:val="000000"/>
          <w:vertAlign w:val="superscript"/>
        </w:rPr>
        <w:t>[23]</w:t>
      </w:r>
      <w:r w:rsidRPr="00DC6159">
        <w:rPr>
          <w:rFonts w:ascii="Book Antiqua" w:eastAsia="Book Antiqua" w:hAnsi="Book Antiqua" w:cs="Book Antiqua"/>
          <w:color w:val="000000"/>
        </w:rPr>
        <w:t xml:space="preserve">. The disadvantage of applying a skin graft is that it can cause secondary trauma and increase patient pain. Kim </w:t>
      </w:r>
      <w:r w:rsidRPr="00DC6159">
        <w:rPr>
          <w:rFonts w:ascii="Book Antiqua" w:eastAsia="Book Antiqua" w:hAnsi="Book Antiqua" w:cs="Book Antiqua"/>
          <w:i/>
          <w:iCs/>
          <w:color w:val="000000"/>
        </w:rPr>
        <w:t>et al</w:t>
      </w:r>
      <w:r w:rsidR="00EE6F92" w:rsidRPr="00DC6159">
        <w:rPr>
          <w:rFonts w:ascii="Book Antiqua" w:eastAsia="Book Antiqua" w:hAnsi="Book Antiqua" w:cs="Book Antiqua"/>
          <w:color w:val="000000"/>
          <w:vertAlign w:val="superscript"/>
        </w:rPr>
        <w:t>[22]</w:t>
      </w:r>
      <w:r w:rsidRPr="00DC6159">
        <w:rPr>
          <w:rFonts w:ascii="Book Antiqua" w:eastAsia="Book Antiqua" w:hAnsi="Book Antiqua" w:cs="Book Antiqua"/>
          <w:color w:val="000000"/>
        </w:rPr>
        <w:t xml:space="preserve"> performed surgical resection of lip lesions with </w:t>
      </w:r>
      <w:r w:rsidR="007B3AC2">
        <w:rPr>
          <w:rFonts w:ascii="Book Antiqua" w:eastAsia="Book Antiqua" w:hAnsi="Book Antiqua" w:cs="Book Antiqua"/>
          <w:color w:val="000000"/>
        </w:rPr>
        <w:t xml:space="preserve">the </w:t>
      </w:r>
      <w:r w:rsidRPr="00DC6159">
        <w:rPr>
          <w:rFonts w:ascii="Book Antiqua" w:eastAsia="Book Antiqua" w:hAnsi="Book Antiqua" w:cs="Book Antiqua"/>
          <w:color w:val="000000"/>
        </w:rPr>
        <w:t xml:space="preserve">application of mucosal flaps, which recovered completely after 6 mo. At 17 mo after surgery, no distortion of the lip was noted. However, preparation of the mucosal flap for secondary surgery, formation of new wounds, and increased pain may cause deformity in the donor site. Pathak </w:t>
      </w:r>
      <w:r w:rsidRPr="00DC6159">
        <w:rPr>
          <w:rFonts w:ascii="Book Antiqua" w:eastAsia="Book Antiqua" w:hAnsi="Book Antiqua" w:cs="Book Antiqua"/>
          <w:i/>
          <w:iCs/>
          <w:color w:val="000000"/>
        </w:rPr>
        <w:t>et al</w:t>
      </w:r>
      <w:r w:rsidR="002656E0"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 xml:space="preserve"> performed surgical resection of oral mucosal lesions and used PRF membrane transplantation to treat oral mucosal lesions and achieved a satisfactory result. PRF membranes are fibrin scaffolds, which have entrapped platelets that release various growth factors and cytokines to promote wound healing. However, the preparation of PRF requires additional equipment for rapid centrifugation to prevent platelet dissolution</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is unsuitable for the reconstruction of full-thickness defects</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w:t>
      </w:r>
    </w:p>
    <w:p w14:paraId="7CE37AA2" w14:textId="7E86836E"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 xml:space="preserve">ADM is a xenogenous biomaterial. The preparation of ADM is a sterile process </w:t>
      </w:r>
      <w:r w:rsidR="009B01A6">
        <w:rPr>
          <w:rFonts w:ascii="Book Antiqua" w:eastAsia="Book Antiqua" w:hAnsi="Book Antiqua" w:cs="Book Antiqua"/>
          <w:color w:val="000000"/>
        </w:rPr>
        <w:t>that</w:t>
      </w:r>
      <w:r w:rsidRPr="00DC6159">
        <w:rPr>
          <w:rFonts w:ascii="Book Antiqua" w:eastAsia="Book Antiqua" w:hAnsi="Book Antiqua" w:cs="Book Antiqua"/>
          <w:color w:val="000000"/>
        </w:rPr>
        <w:t xml:space="preserve"> removes cells from the epidermis and dermis, leaving behind dermal matrix components containing collagen fibers, elastin, proteoglycan, and intact vascular scaffolds</w:t>
      </w:r>
      <w:r w:rsidRPr="00DC6159">
        <w:rPr>
          <w:rFonts w:ascii="Book Antiqua" w:eastAsia="Book Antiqua" w:hAnsi="Book Antiqua" w:cs="Book Antiqua"/>
          <w:color w:val="000000"/>
          <w:vertAlign w:val="superscript"/>
        </w:rPr>
        <w:t>[25]</w:t>
      </w:r>
      <w:r w:rsidRPr="00DC6159">
        <w:rPr>
          <w:rFonts w:ascii="Book Antiqua" w:eastAsia="Book Antiqua" w:hAnsi="Book Antiqua" w:cs="Book Antiqua"/>
          <w:color w:val="000000"/>
        </w:rPr>
        <w:t>. As the cells are removed, infection and immune rejection are not common. ADM can generate new angiogenesis, which makes it more resistant to infection</w:t>
      </w:r>
      <w:r w:rsidRPr="00DC6159">
        <w:rPr>
          <w:rFonts w:ascii="Book Antiqua" w:eastAsia="Book Antiqua" w:hAnsi="Book Antiqua" w:cs="Book Antiqua"/>
          <w:color w:val="000000"/>
          <w:vertAlign w:val="superscript"/>
        </w:rPr>
        <w:t>[26]</w:t>
      </w:r>
      <w:r w:rsidRPr="00DC6159">
        <w:rPr>
          <w:rFonts w:ascii="Book Antiqua" w:eastAsia="Book Antiqua" w:hAnsi="Book Antiqua" w:cs="Book Antiqua"/>
          <w:color w:val="000000"/>
        </w:rPr>
        <w:t>. ADM grafts are largely integrated into tissue and eventually remodeled. It can produce better color and tissue and integrate well into adjacent tissue</w:t>
      </w:r>
      <w:r w:rsidRPr="00DC6159">
        <w:rPr>
          <w:rFonts w:ascii="Book Antiqua" w:eastAsia="Book Antiqua" w:hAnsi="Book Antiqua" w:cs="Book Antiqua"/>
          <w:color w:val="000000"/>
          <w:vertAlign w:val="superscript"/>
        </w:rPr>
        <w:t>[27]</w:t>
      </w:r>
      <w:r w:rsidRPr="00DC6159">
        <w:rPr>
          <w:rFonts w:ascii="Book Antiqua" w:eastAsia="Book Antiqua" w:hAnsi="Book Antiqua" w:cs="Book Antiqua"/>
          <w:color w:val="000000"/>
        </w:rPr>
        <w:t>. ADM is safe</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is easy to trim, sew</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use. It eliminate</w:t>
      </w:r>
      <w:r w:rsidR="00C90C27">
        <w:rPr>
          <w:rFonts w:ascii="Book Antiqua" w:eastAsia="Book Antiqua" w:hAnsi="Book Antiqua" w:cs="Book Antiqua"/>
          <w:color w:val="000000"/>
        </w:rPr>
        <w:t>s</w:t>
      </w:r>
      <w:r w:rsidRPr="00DC6159">
        <w:rPr>
          <w:rFonts w:ascii="Book Antiqua" w:eastAsia="Book Antiqua" w:hAnsi="Book Antiqua" w:cs="Book Antiqua"/>
          <w:color w:val="000000"/>
        </w:rPr>
        <w:t xml:space="preserve"> donor sites, avoids second operations and associated morbidity, and reduces postoperative discomfort and complications. However, the main disadvantage is the high cost. ADM has been utilized in a wide range of oral and maxillofacial surgery, such as correcting soft and hard tissue defects</w:t>
      </w:r>
      <w:r w:rsidRPr="00DC6159">
        <w:rPr>
          <w:rFonts w:ascii="Book Antiqua" w:eastAsia="Book Antiqua" w:hAnsi="Book Antiqua" w:cs="Book Antiqua"/>
          <w:color w:val="000000"/>
          <w:vertAlign w:val="superscript"/>
        </w:rPr>
        <w:t>[28]</w:t>
      </w:r>
      <w:r w:rsidRPr="00DC6159">
        <w:rPr>
          <w:rFonts w:ascii="Book Antiqua" w:eastAsia="Book Antiqua" w:hAnsi="Book Antiqua" w:cs="Book Antiqua"/>
          <w:color w:val="000000"/>
        </w:rPr>
        <w:t>, immediate implant</w:t>
      </w:r>
      <w:r w:rsidRPr="00DC6159">
        <w:rPr>
          <w:rFonts w:ascii="Book Antiqua" w:eastAsia="Book Antiqua" w:hAnsi="Book Antiqua" w:cs="Book Antiqua"/>
          <w:color w:val="000000"/>
          <w:vertAlign w:val="superscript"/>
        </w:rPr>
        <w:t>[29]</w:t>
      </w:r>
      <w:r w:rsidRPr="00DC6159">
        <w:rPr>
          <w:rFonts w:ascii="Book Antiqua" w:eastAsia="Book Antiqua" w:hAnsi="Book Antiqua" w:cs="Book Antiqua"/>
          <w:color w:val="000000"/>
        </w:rPr>
        <w:t>, and oronasal fistula repair in patients with cleft palate</w:t>
      </w:r>
      <w:r w:rsidRPr="00DC6159">
        <w:rPr>
          <w:rFonts w:ascii="Book Antiqua" w:eastAsia="Book Antiqua" w:hAnsi="Book Antiqua" w:cs="Book Antiqua"/>
          <w:color w:val="000000"/>
          <w:vertAlign w:val="superscript"/>
        </w:rPr>
        <w:t>[30]</w:t>
      </w:r>
      <w:r w:rsidRPr="00DC6159">
        <w:rPr>
          <w:rFonts w:ascii="Book Antiqua" w:eastAsia="Book Antiqua" w:hAnsi="Book Antiqua" w:cs="Book Antiqua"/>
          <w:color w:val="000000"/>
        </w:rPr>
        <w:t xml:space="preserve">. The results obtained with acellular dermal grafts show that the surgical procedures performed with ADM grafts have an optimistic therapeutic effect in clinical practice. </w:t>
      </w:r>
    </w:p>
    <w:p w14:paraId="3DE497EE" w14:textId="096D1DCF"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Based on the above findings, we tried to use ADM repair of OLP after surgical removal of the defect. The patients recovered almost completely after surgery, eating acidic and spicy food without sensitivity or irritation, and mouth opening was normal or slightly restricted. The transplantation area remained stable, and no recurrence was observed during follow-up of 6 mo. Compared with the above surgical defect repair method, it does not cause secondary trauma, saves operation time</w:t>
      </w:r>
      <w:r w:rsidR="003D1CB5">
        <w:rPr>
          <w:rFonts w:ascii="Book Antiqua" w:eastAsia="Book Antiqua" w:hAnsi="Book Antiqua" w:cs="Book Antiqua"/>
          <w:color w:val="000000"/>
        </w:rPr>
        <w:t>,</w:t>
      </w:r>
      <w:r w:rsidRPr="00DC6159">
        <w:rPr>
          <w:rFonts w:ascii="Book Antiqua" w:eastAsia="Book Antiqua" w:hAnsi="Book Antiqua" w:cs="Book Antiqua"/>
          <w:color w:val="000000"/>
        </w:rPr>
        <w:t xml:space="preserve"> and reduces patient pain. Moreover, ADM is safe, avoids immune rejection, and does not cause functional disorders such as contracture and mouth opening limitation. </w:t>
      </w:r>
    </w:p>
    <w:p w14:paraId="05A561B4" w14:textId="77777777" w:rsidR="00A77B3E" w:rsidRPr="00DC6159" w:rsidRDefault="00A77B3E" w:rsidP="00DC6159">
      <w:pPr>
        <w:spacing w:line="360" w:lineRule="auto"/>
        <w:jc w:val="both"/>
        <w:rPr>
          <w:rFonts w:ascii="Book Antiqua" w:hAnsi="Book Antiqua"/>
        </w:rPr>
      </w:pPr>
    </w:p>
    <w:p w14:paraId="34A1DA8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CONCLUSION</w:t>
      </w:r>
    </w:p>
    <w:p w14:paraId="404875D5" w14:textId="3A1D31A4"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intervention is an effective treatment for OLP, especially in patients with significant clinical symptoms, persistent recurrence, or failure to respond to medication. For such patients, we first used surgical excision of the lesion</w:t>
      </w:r>
      <w:r w:rsidR="003D1CB5">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ADM was used to repair the defect. There is no similar report in </w:t>
      </w:r>
      <w:r w:rsidR="003D1CB5">
        <w:rPr>
          <w:rFonts w:ascii="Book Antiqua" w:eastAsia="Book Antiqua" w:hAnsi="Book Antiqua" w:cs="Book Antiqua"/>
          <w:color w:val="000000"/>
        </w:rPr>
        <w:t xml:space="preserve">the </w:t>
      </w:r>
      <w:r w:rsidRPr="00DC6159">
        <w:rPr>
          <w:rFonts w:ascii="Book Antiqua" w:eastAsia="Book Antiqua" w:hAnsi="Book Antiqua" w:cs="Book Antiqua"/>
          <w:color w:val="000000"/>
        </w:rPr>
        <w:t>English literature. These cases showed good results during follow-up of 6 mo to 11 yrs. For long-term results, we need more patients to be followed up over the long term.</w:t>
      </w:r>
    </w:p>
    <w:p w14:paraId="36DD4698" w14:textId="77777777" w:rsidR="00A77B3E" w:rsidRPr="00DC6159" w:rsidRDefault="00A77B3E" w:rsidP="00DC6159">
      <w:pPr>
        <w:spacing w:line="360" w:lineRule="auto"/>
        <w:jc w:val="both"/>
        <w:rPr>
          <w:rFonts w:ascii="Book Antiqua" w:hAnsi="Book Antiqua"/>
        </w:rPr>
      </w:pPr>
    </w:p>
    <w:p w14:paraId="61EA035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ACKNOWLEDGEMENTS</w:t>
      </w:r>
    </w:p>
    <w:p w14:paraId="6990184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We thank the patients and their families for their support.</w:t>
      </w:r>
    </w:p>
    <w:p w14:paraId="5800EBB5" w14:textId="77777777" w:rsidR="00A77B3E" w:rsidRPr="00DC6159" w:rsidRDefault="00A77B3E" w:rsidP="00DC6159">
      <w:pPr>
        <w:spacing w:line="360" w:lineRule="auto"/>
        <w:jc w:val="both"/>
        <w:rPr>
          <w:rFonts w:ascii="Book Antiqua" w:hAnsi="Book Antiqua"/>
        </w:rPr>
      </w:pPr>
    </w:p>
    <w:p w14:paraId="365F5F4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REFERENCES</w:t>
      </w:r>
    </w:p>
    <w:p w14:paraId="03D665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 </w:t>
      </w:r>
      <w:r w:rsidRPr="00DC6159">
        <w:rPr>
          <w:rFonts w:ascii="Book Antiqua" w:eastAsia="Book Antiqua" w:hAnsi="Book Antiqua" w:cs="Book Antiqua"/>
          <w:b/>
          <w:bCs/>
          <w:color w:val="000000"/>
        </w:rPr>
        <w:t>Manczyk B</w:t>
      </w:r>
      <w:r w:rsidRPr="00DC6159">
        <w:rPr>
          <w:rFonts w:ascii="Book Antiqua" w:eastAsia="Book Antiqua" w:hAnsi="Book Antiqua" w:cs="Book Antiqua"/>
          <w:color w:val="000000"/>
        </w:rPr>
        <w:t xml:space="preserve">, Gołda J, Biniak A, Reszelewska K, Mazur B, Zając K, Bińczak P, Chomyszyn-Gajewska M, Oruba Z. Evaluation of depression, anxiety and stress levels in patients with oral lichen planus. </w:t>
      </w:r>
      <w:r w:rsidRPr="00DC6159">
        <w:rPr>
          <w:rFonts w:ascii="Book Antiqua" w:eastAsia="Book Antiqua" w:hAnsi="Book Antiqua" w:cs="Book Antiqua"/>
          <w:i/>
          <w:iCs/>
          <w:color w:val="000000"/>
        </w:rPr>
        <w:t>J Oral Sci</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61</w:t>
      </w:r>
      <w:r w:rsidRPr="00DC6159">
        <w:rPr>
          <w:rFonts w:ascii="Book Antiqua" w:eastAsia="Book Antiqua" w:hAnsi="Book Antiqua" w:cs="Book Antiqua"/>
          <w:color w:val="000000"/>
        </w:rPr>
        <w:t>: 391-397 [PMID: 31178457 DOI: 10.2334/josnusd.18-0113]</w:t>
      </w:r>
    </w:p>
    <w:p w14:paraId="52FC247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 </w:t>
      </w:r>
      <w:r w:rsidRPr="00DC6159">
        <w:rPr>
          <w:rFonts w:ascii="Book Antiqua" w:eastAsia="Book Antiqua" w:hAnsi="Book Antiqua" w:cs="Book Antiqua"/>
          <w:b/>
          <w:bCs/>
          <w:color w:val="000000"/>
        </w:rPr>
        <w:t>Yang H</w:t>
      </w:r>
      <w:r w:rsidRPr="00DC6159">
        <w:rPr>
          <w:rFonts w:ascii="Book Antiqua" w:eastAsia="Book Antiqua" w:hAnsi="Book Antiqua" w:cs="Book Antiqua"/>
          <w:color w:val="000000"/>
        </w:rPr>
        <w:t xml:space="preserve">, Wu Y, Ma H, Jiang L, Zeng X, Dan H, Zhou Y, Chen Q. Possible alternative therapies for oral lichen planus cases refractory to steroid therapies. </w:t>
      </w:r>
      <w:r w:rsidRPr="00DC6159">
        <w:rPr>
          <w:rFonts w:ascii="Book Antiqua" w:eastAsia="Book Antiqua" w:hAnsi="Book Antiqua" w:cs="Book Antiqua"/>
          <w:i/>
          <w:iCs/>
          <w:color w:val="000000"/>
        </w:rPr>
        <w:t>Oral Surg Oral Med Oral Pathol Oral Radiol</w:t>
      </w:r>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121</w:t>
      </w:r>
      <w:r w:rsidRPr="00DC6159">
        <w:rPr>
          <w:rFonts w:ascii="Book Antiqua" w:eastAsia="Book Antiqua" w:hAnsi="Book Antiqua" w:cs="Book Antiqua"/>
          <w:color w:val="000000"/>
        </w:rPr>
        <w:t>: 496-509 [PMID: 27068310 DOI: 10.1016/j.oooo.2016.02.002]</w:t>
      </w:r>
    </w:p>
    <w:p w14:paraId="2E10989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3 </w:t>
      </w:r>
      <w:r w:rsidRPr="00DC6159">
        <w:rPr>
          <w:rFonts w:ascii="Book Antiqua" w:eastAsia="Book Antiqua" w:hAnsi="Book Antiqua" w:cs="Book Antiqua"/>
          <w:b/>
          <w:bCs/>
          <w:color w:val="000000"/>
        </w:rPr>
        <w:t>Park SY</w:t>
      </w:r>
      <w:r w:rsidRPr="00DC6159">
        <w:rPr>
          <w:rFonts w:ascii="Book Antiqua" w:eastAsia="Book Antiqua" w:hAnsi="Book Antiqua" w:cs="Book Antiqua"/>
          <w:color w:val="000000"/>
        </w:rPr>
        <w:t xml:space="preserve">, Lee HJ, Kim SH, Kim SB, Choi YH, Kim YK, Yun PY. Factors affecting treatment outcomes in patients with oral lichen planus lesions: a retrospective study of 113 cases. </w:t>
      </w:r>
      <w:r w:rsidRPr="00DC6159">
        <w:rPr>
          <w:rFonts w:ascii="Book Antiqua" w:eastAsia="Book Antiqua" w:hAnsi="Book Antiqua" w:cs="Book Antiqua"/>
          <w:i/>
          <w:iCs/>
          <w:color w:val="000000"/>
        </w:rPr>
        <w:t>J Periodontal Implant Sci</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48</w:t>
      </w:r>
      <w:r w:rsidRPr="00DC6159">
        <w:rPr>
          <w:rFonts w:ascii="Book Antiqua" w:eastAsia="Book Antiqua" w:hAnsi="Book Antiqua" w:cs="Book Antiqua"/>
          <w:color w:val="000000"/>
        </w:rPr>
        <w:t>: 213-223 [PMID: 30202605 DOI: 10.5051/jpis.2018.48.4.213]</w:t>
      </w:r>
    </w:p>
    <w:p w14:paraId="4DBBAAA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4 </w:t>
      </w:r>
      <w:r w:rsidRPr="00DC6159">
        <w:rPr>
          <w:rFonts w:ascii="Book Antiqua" w:eastAsia="Book Antiqua" w:hAnsi="Book Antiqua" w:cs="Book Antiqua"/>
          <w:b/>
          <w:bCs/>
          <w:color w:val="000000"/>
        </w:rPr>
        <w:t>Chiang CP</w:t>
      </w:r>
      <w:r w:rsidRPr="00DC6159">
        <w:rPr>
          <w:rFonts w:ascii="Book Antiqua" w:eastAsia="Book Antiqua" w:hAnsi="Book Antiqua" w:cs="Book Antiqua"/>
          <w:color w:val="000000"/>
        </w:rPr>
        <w:t xml:space="preserve">, Yu-Fong Chang J, Wang YP, Wu YH, Lu SY, Sun A. Oral lichen planus - Differential diagnoses, serum autoantibodies, hematinic deficiencies, and management. </w:t>
      </w:r>
      <w:r w:rsidRPr="00DC6159">
        <w:rPr>
          <w:rFonts w:ascii="Book Antiqua" w:eastAsia="Book Antiqua" w:hAnsi="Book Antiqua" w:cs="Book Antiqua"/>
          <w:i/>
          <w:iCs/>
          <w:color w:val="000000"/>
        </w:rPr>
        <w:t>J Formos Med Assoc</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117</w:t>
      </w:r>
      <w:r w:rsidRPr="00DC6159">
        <w:rPr>
          <w:rFonts w:ascii="Book Antiqua" w:eastAsia="Book Antiqua" w:hAnsi="Book Antiqua" w:cs="Book Antiqua"/>
          <w:color w:val="000000"/>
        </w:rPr>
        <w:t>: 756-765 [PMID: 29472048 DOI: 10.1016/j.jfma.2018.01.021]</w:t>
      </w:r>
    </w:p>
    <w:p w14:paraId="338DDC6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5 </w:t>
      </w:r>
      <w:r w:rsidRPr="00DC6159">
        <w:rPr>
          <w:rFonts w:ascii="Book Antiqua" w:eastAsia="Book Antiqua" w:hAnsi="Book Antiqua" w:cs="Book Antiqua"/>
          <w:b/>
          <w:bCs/>
          <w:color w:val="000000"/>
        </w:rPr>
        <w:t>Carrozzo M</w:t>
      </w:r>
      <w:r w:rsidRPr="00DC6159">
        <w:rPr>
          <w:rFonts w:ascii="Book Antiqua" w:eastAsia="Book Antiqua" w:hAnsi="Book Antiqua" w:cs="Book Antiqua"/>
          <w:color w:val="000000"/>
        </w:rPr>
        <w:t xml:space="preserve">, Porter S, Mercadante V, Fedele S. Oral lichen planus: A disease or a spectrum of tissue reactions? Types, causes, diagnostic algorhythms, prognosis, management strategies. </w:t>
      </w:r>
      <w:r w:rsidRPr="00DC6159">
        <w:rPr>
          <w:rFonts w:ascii="Book Antiqua" w:eastAsia="Book Antiqua" w:hAnsi="Book Antiqua" w:cs="Book Antiqua"/>
          <w:i/>
          <w:iCs/>
          <w:color w:val="000000"/>
        </w:rPr>
        <w:t>Periodontol 2000</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80</w:t>
      </w:r>
      <w:r w:rsidRPr="00DC6159">
        <w:rPr>
          <w:rFonts w:ascii="Book Antiqua" w:eastAsia="Book Antiqua" w:hAnsi="Book Antiqua" w:cs="Book Antiqua"/>
          <w:color w:val="000000"/>
        </w:rPr>
        <w:t>: 105-125 [PMID: 31090143 DOI: 10.1111/prd.12260]</w:t>
      </w:r>
    </w:p>
    <w:p w14:paraId="644CFCD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6 </w:t>
      </w:r>
      <w:r w:rsidRPr="00DC6159">
        <w:rPr>
          <w:rFonts w:ascii="Book Antiqua" w:eastAsia="Book Antiqua" w:hAnsi="Book Antiqua" w:cs="Book Antiqua"/>
          <w:b/>
          <w:bCs/>
          <w:color w:val="000000"/>
        </w:rPr>
        <w:t>Lauritano D</w:t>
      </w:r>
      <w:r w:rsidRPr="00DC6159">
        <w:rPr>
          <w:rFonts w:ascii="Book Antiqua" w:eastAsia="Book Antiqua" w:hAnsi="Book Antiqua" w:cs="Book Antiqua"/>
          <w:color w:val="000000"/>
        </w:rPr>
        <w:t xml:space="preserve">, Arrica M, Lucchese A, Valente M, Pannone G, Lajolo C, Ninivaggi R, Petruzzi M. Oral lichen planus clinical characteristics in Italian patients: a retrospective analysis. </w:t>
      </w:r>
      <w:r w:rsidRPr="00DC6159">
        <w:rPr>
          <w:rFonts w:ascii="Book Antiqua" w:eastAsia="Book Antiqua" w:hAnsi="Book Antiqua" w:cs="Book Antiqua"/>
          <w:i/>
          <w:iCs/>
          <w:color w:val="000000"/>
        </w:rPr>
        <w:t>Head Face Med</w:t>
      </w:r>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12</w:t>
      </w:r>
      <w:r w:rsidRPr="00DC6159">
        <w:rPr>
          <w:rFonts w:ascii="Book Antiqua" w:eastAsia="Book Antiqua" w:hAnsi="Book Antiqua" w:cs="Book Antiqua"/>
          <w:color w:val="000000"/>
        </w:rPr>
        <w:t>: 18 [PMID: 27113338 DOI: 10.1186/s13005-016-0115-z]</w:t>
      </w:r>
    </w:p>
    <w:p w14:paraId="788C780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7 </w:t>
      </w:r>
      <w:r w:rsidRPr="00DC6159">
        <w:rPr>
          <w:rFonts w:ascii="Book Antiqua" w:eastAsia="Book Antiqua" w:hAnsi="Book Antiqua" w:cs="Book Antiqua"/>
          <w:b/>
          <w:bCs/>
          <w:color w:val="000000"/>
        </w:rPr>
        <w:t>Piñas L</w:t>
      </w:r>
      <w:r w:rsidRPr="00DC6159">
        <w:rPr>
          <w:rFonts w:ascii="Book Antiqua" w:eastAsia="Book Antiqua" w:hAnsi="Book Antiqua" w:cs="Book Antiqua"/>
          <w:color w:val="000000"/>
        </w:rPr>
        <w:t xml:space="preserve">, García-García A, Pérez-Sayáns M, Suárez-Fernández R, Alkhraisat MH, Anitua E. The use of topical corticosteroides in the treatment of oral lichen planus in Spain: A national survey. </w:t>
      </w:r>
      <w:r w:rsidRPr="00DC6159">
        <w:rPr>
          <w:rFonts w:ascii="Book Antiqua" w:eastAsia="Book Antiqua" w:hAnsi="Book Antiqua" w:cs="Book Antiqua"/>
          <w:i/>
          <w:iCs/>
          <w:color w:val="000000"/>
        </w:rPr>
        <w:t>Med Oral Patol Oral Cir Bucal</w:t>
      </w:r>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22</w:t>
      </w:r>
      <w:r w:rsidRPr="00DC6159">
        <w:rPr>
          <w:rFonts w:ascii="Book Antiqua" w:eastAsia="Book Antiqua" w:hAnsi="Book Antiqua" w:cs="Book Antiqua"/>
          <w:color w:val="000000"/>
        </w:rPr>
        <w:t>: e264-e269 [PMID: 28160582 DOI: 10.4317/medoral.21435]</w:t>
      </w:r>
    </w:p>
    <w:p w14:paraId="3FE5A00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8 </w:t>
      </w:r>
      <w:r w:rsidRPr="00DC6159">
        <w:rPr>
          <w:rFonts w:ascii="Book Antiqua" w:eastAsia="Book Antiqua" w:hAnsi="Book Antiqua" w:cs="Book Antiqua"/>
          <w:b/>
          <w:bCs/>
          <w:color w:val="000000"/>
        </w:rPr>
        <w:t>Thongprasom K</w:t>
      </w:r>
      <w:r w:rsidRPr="00DC6159">
        <w:rPr>
          <w:rFonts w:ascii="Book Antiqua" w:eastAsia="Book Antiqua" w:hAnsi="Book Antiqua" w:cs="Book Antiqua"/>
          <w:color w:val="000000"/>
        </w:rPr>
        <w:t xml:space="preserve">, Dhanuthai K. Steriods in the treatment of lichen planus: a review. </w:t>
      </w:r>
      <w:r w:rsidRPr="00DC6159">
        <w:rPr>
          <w:rFonts w:ascii="Book Antiqua" w:eastAsia="Book Antiqua" w:hAnsi="Book Antiqua" w:cs="Book Antiqua"/>
          <w:i/>
          <w:iCs/>
          <w:color w:val="000000"/>
        </w:rPr>
        <w:t>J Oral Sci</w:t>
      </w:r>
      <w:r w:rsidRPr="00DC6159">
        <w:rPr>
          <w:rFonts w:ascii="Book Antiqua" w:eastAsia="Book Antiqua" w:hAnsi="Book Antiqua" w:cs="Book Antiqua"/>
          <w:color w:val="000000"/>
        </w:rPr>
        <w:t xml:space="preserve"> 2008; </w:t>
      </w:r>
      <w:r w:rsidRPr="00DC6159">
        <w:rPr>
          <w:rFonts w:ascii="Book Antiqua" w:eastAsia="Book Antiqua" w:hAnsi="Book Antiqua" w:cs="Book Antiqua"/>
          <w:b/>
          <w:bCs/>
          <w:color w:val="000000"/>
        </w:rPr>
        <w:t>50</w:t>
      </w:r>
      <w:r w:rsidRPr="00DC6159">
        <w:rPr>
          <w:rFonts w:ascii="Book Antiqua" w:eastAsia="Book Antiqua" w:hAnsi="Book Antiqua" w:cs="Book Antiqua"/>
          <w:color w:val="000000"/>
        </w:rPr>
        <w:t>: 377-385 [PMID: 19106464 DOI: 10.2334/josnusd.50.377]</w:t>
      </w:r>
    </w:p>
    <w:p w14:paraId="6738ED3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9 </w:t>
      </w:r>
      <w:r w:rsidRPr="00DC6159">
        <w:rPr>
          <w:rFonts w:ascii="Book Antiqua" w:eastAsia="Book Antiqua" w:hAnsi="Book Antiqua" w:cs="Book Antiqua"/>
          <w:b/>
          <w:bCs/>
          <w:color w:val="000000"/>
        </w:rPr>
        <w:t>Wang F</w:t>
      </w:r>
      <w:r w:rsidRPr="00DC6159">
        <w:rPr>
          <w:rFonts w:ascii="Book Antiqua" w:eastAsia="Book Antiqua" w:hAnsi="Book Antiqua" w:cs="Book Antiqua"/>
          <w:color w:val="000000"/>
        </w:rPr>
        <w:t xml:space="preserve">, Tan YQ, Zhang J, Zhou G. Familial oral lichen planus in a 3-year-old boy: a case report with eight years of follow-up. </w:t>
      </w:r>
      <w:r w:rsidRPr="00DC6159">
        <w:rPr>
          <w:rFonts w:ascii="Book Antiqua" w:eastAsia="Book Antiqua" w:hAnsi="Book Antiqua" w:cs="Book Antiqua"/>
          <w:i/>
          <w:iCs/>
          <w:color w:val="000000"/>
        </w:rPr>
        <w:t>BMC Oral Health</w:t>
      </w:r>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w:t>
      </w:r>
      <w:r w:rsidRPr="00DC6159">
        <w:rPr>
          <w:rFonts w:ascii="Book Antiqua" w:eastAsia="Book Antiqua" w:hAnsi="Book Antiqua" w:cs="Book Antiqua"/>
          <w:color w:val="000000"/>
        </w:rPr>
        <w:t>: 341 [PMID: 33243193 DOI: 10.1186/s12903-020-01333-x]</w:t>
      </w:r>
    </w:p>
    <w:p w14:paraId="0DF0DAB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10 </w:t>
      </w:r>
      <w:r w:rsidRPr="00DC6159">
        <w:rPr>
          <w:rFonts w:ascii="Book Antiqua" w:eastAsia="Book Antiqua" w:hAnsi="Book Antiqua" w:cs="Book Antiqua"/>
          <w:b/>
          <w:bCs/>
          <w:color w:val="000000"/>
        </w:rPr>
        <w:t>Samal DK</w:t>
      </w:r>
      <w:r w:rsidRPr="00DC6159">
        <w:rPr>
          <w:rFonts w:ascii="Book Antiqua" w:eastAsia="Book Antiqua" w:hAnsi="Book Antiqua" w:cs="Book Antiqua"/>
          <w:color w:val="000000"/>
        </w:rPr>
        <w:t xml:space="preserve">, Behera G, Gupta V, Majumdar K, Khurana U. Isolated lichen planus of lower lip: a case report. </w:t>
      </w:r>
      <w:r w:rsidRPr="00DC6159">
        <w:rPr>
          <w:rFonts w:ascii="Book Antiqua" w:eastAsia="Book Antiqua" w:hAnsi="Book Antiqua" w:cs="Book Antiqua"/>
          <w:i/>
          <w:iCs/>
          <w:color w:val="000000"/>
        </w:rPr>
        <w:t>Indian J Otolaryngol Head Neck Surg</w:t>
      </w:r>
      <w:r w:rsidRPr="00DC6159">
        <w:rPr>
          <w:rFonts w:ascii="Book Antiqua" w:eastAsia="Book Antiqua" w:hAnsi="Book Antiqua" w:cs="Book Antiqua"/>
          <w:color w:val="000000"/>
        </w:rPr>
        <w:t xml:space="preserve"> 2015; </w:t>
      </w:r>
      <w:r w:rsidRPr="00DC6159">
        <w:rPr>
          <w:rFonts w:ascii="Book Antiqua" w:eastAsia="Book Antiqua" w:hAnsi="Book Antiqua" w:cs="Book Antiqua"/>
          <w:b/>
          <w:bCs/>
          <w:color w:val="000000"/>
        </w:rPr>
        <w:t>67</w:t>
      </w:r>
      <w:r w:rsidRPr="00DC6159">
        <w:rPr>
          <w:rFonts w:ascii="Book Antiqua" w:eastAsia="Book Antiqua" w:hAnsi="Book Antiqua" w:cs="Book Antiqua"/>
          <w:color w:val="000000"/>
        </w:rPr>
        <w:t>: 151-153 [PMID: 25621274 DOI: 10.1007/s12070-014-0768-5]</w:t>
      </w:r>
    </w:p>
    <w:p w14:paraId="6C03EE8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11 </w:t>
      </w:r>
      <w:r w:rsidRPr="00DC6159">
        <w:rPr>
          <w:rFonts w:ascii="Book Antiqua" w:eastAsia="Book Antiqua" w:hAnsi="Book Antiqua" w:cs="Book Antiqua"/>
          <w:b/>
          <w:bCs/>
          <w:color w:val="000000"/>
        </w:rPr>
        <w:t>Gupta S</w:t>
      </w:r>
      <w:r w:rsidRPr="00DC6159">
        <w:rPr>
          <w:rFonts w:ascii="Book Antiqua" w:eastAsia="Book Antiqua" w:hAnsi="Book Antiqua" w:cs="Book Antiqua"/>
          <w:color w:val="000000"/>
        </w:rPr>
        <w:t xml:space="preserve">, Ghosh S, Gupta S. Interventions for the management of oral lichen planus: a review of the conventional and novel therapies. </w:t>
      </w:r>
      <w:r w:rsidRPr="00DC6159">
        <w:rPr>
          <w:rFonts w:ascii="Book Antiqua" w:eastAsia="Book Antiqua" w:hAnsi="Book Antiqua" w:cs="Book Antiqua"/>
          <w:i/>
          <w:iCs/>
          <w:color w:val="000000"/>
        </w:rPr>
        <w:t>Oral Dis</w:t>
      </w:r>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23</w:t>
      </w:r>
      <w:r w:rsidRPr="00DC6159">
        <w:rPr>
          <w:rFonts w:ascii="Book Antiqua" w:eastAsia="Book Antiqua" w:hAnsi="Book Antiqua" w:cs="Book Antiqua"/>
          <w:color w:val="000000"/>
        </w:rPr>
        <w:t>: 1029-1042 [PMID: 28055124 DOI: 10.1111/odi.12634]</w:t>
      </w:r>
    </w:p>
    <w:p w14:paraId="6DE3A7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12 </w:t>
      </w:r>
      <w:r w:rsidRPr="00DC6159">
        <w:rPr>
          <w:rFonts w:ascii="Book Antiqua" w:eastAsia="Book Antiqua" w:hAnsi="Book Antiqua" w:cs="Book Antiqua"/>
          <w:b/>
          <w:bCs/>
          <w:color w:val="000000"/>
        </w:rPr>
        <w:t>McCaughey C</w:t>
      </w:r>
      <w:r w:rsidRPr="00DC6159">
        <w:rPr>
          <w:rFonts w:ascii="Book Antiqua" w:eastAsia="Book Antiqua" w:hAnsi="Book Antiqua" w:cs="Book Antiqua"/>
          <w:color w:val="000000"/>
        </w:rPr>
        <w:t xml:space="preserve">, Machan M, Bennett R, Zone JJ, Hull CM. Pimecrolimus 1% cream for oral erosive lichen planus: a 6-week randomized, double-blind, vehicle-controlled study with a 6-week open-label extension to assess efficacy and safety. </w:t>
      </w:r>
      <w:r w:rsidRPr="00DC6159">
        <w:rPr>
          <w:rFonts w:ascii="Book Antiqua" w:eastAsia="Book Antiqua" w:hAnsi="Book Antiqua" w:cs="Book Antiqua"/>
          <w:i/>
          <w:iCs/>
          <w:color w:val="000000"/>
        </w:rPr>
        <w:t>J Eur Acad Dermatol Venereol</w:t>
      </w:r>
      <w:r w:rsidRPr="00DC6159">
        <w:rPr>
          <w:rFonts w:ascii="Book Antiqua" w:eastAsia="Book Antiqua" w:hAnsi="Book Antiqua" w:cs="Book Antiqua"/>
          <w:color w:val="000000"/>
        </w:rPr>
        <w:t xml:space="preserve"> 2011; </w:t>
      </w:r>
      <w:r w:rsidRPr="00DC6159">
        <w:rPr>
          <w:rFonts w:ascii="Book Antiqua" w:eastAsia="Book Antiqua" w:hAnsi="Book Antiqua" w:cs="Book Antiqua"/>
          <w:b/>
          <w:bCs/>
          <w:color w:val="000000"/>
        </w:rPr>
        <w:t>25</w:t>
      </w:r>
      <w:r w:rsidRPr="00DC6159">
        <w:rPr>
          <w:rFonts w:ascii="Book Antiqua" w:eastAsia="Book Antiqua" w:hAnsi="Book Antiqua" w:cs="Book Antiqua"/>
          <w:color w:val="000000"/>
        </w:rPr>
        <w:t>: 1061-1067 [PMID: 21175873 DOI: 10.1111/j.1468-3083.2010.03923.x]</w:t>
      </w:r>
    </w:p>
    <w:p w14:paraId="519946B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13 </w:t>
      </w:r>
      <w:r w:rsidRPr="00DC6159">
        <w:rPr>
          <w:rFonts w:ascii="Book Antiqua" w:eastAsia="Book Antiqua" w:hAnsi="Book Antiqua" w:cs="Book Antiqua"/>
          <w:b/>
          <w:bCs/>
          <w:color w:val="000000"/>
        </w:rPr>
        <w:t>Conrotto D</w:t>
      </w:r>
      <w:r w:rsidRPr="00DC6159">
        <w:rPr>
          <w:rFonts w:ascii="Book Antiqua" w:eastAsia="Book Antiqua" w:hAnsi="Book Antiqua" w:cs="Book Antiqua"/>
          <w:color w:val="000000"/>
        </w:rPr>
        <w:t xml:space="preserve">, Carbone M, Carrozzo M, Arduino P, Broccoletti R, Pentenero M, Gandolfo S. Ciclosporin vs. clobetasol in the topical management of atrophic and erosive oral lichen planus: a double-blind, randomized controlled trial. </w:t>
      </w:r>
      <w:r w:rsidRPr="00DC6159">
        <w:rPr>
          <w:rFonts w:ascii="Book Antiqua" w:eastAsia="Book Antiqua" w:hAnsi="Book Antiqua" w:cs="Book Antiqua"/>
          <w:i/>
          <w:iCs/>
          <w:color w:val="000000"/>
        </w:rPr>
        <w:t>Br J Dermatol</w:t>
      </w:r>
      <w:r w:rsidRPr="00DC6159">
        <w:rPr>
          <w:rFonts w:ascii="Book Antiqua" w:eastAsia="Book Antiqua" w:hAnsi="Book Antiqua" w:cs="Book Antiqua"/>
          <w:color w:val="000000"/>
        </w:rPr>
        <w:t xml:space="preserve"> 2006; </w:t>
      </w:r>
      <w:r w:rsidRPr="00DC6159">
        <w:rPr>
          <w:rFonts w:ascii="Book Antiqua" w:eastAsia="Book Antiqua" w:hAnsi="Book Antiqua" w:cs="Book Antiqua"/>
          <w:b/>
          <w:bCs/>
          <w:color w:val="000000"/>
        </w:rPr>
        <w:t>154</w:t>
      </w:r>
      <w:r w:rsidRPr="00DC6159">
        <w:rPr>
          <w:rFonts w:ascii="Book Antiqua" w:eastAsia="Book Antiqua" w:hAnsi="Book Antiqua" w:cs="Book Antiqua"/>
          <w:color w:val="000000"/>
        </w:rPr>
        <w:t>: 139-145 [PMID: 16403107 DOI: 10.1111/j.1365-2133.2005.06920.x]</w:t>
      </w:r>
    </w:p>
    <w:p w14:paraId="003B053F"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14 </w:t>
      </w:r>
      <w:r w:rsidRPr="00DC6159">
        <w:rPr>
          <w:rFonts w:ascii="Book Antiqua" w:eastAsia="Book Antiqua" w:hAnsi="Book Antiqua" w:cs="Book Antiqua"/>
          <w:b/>
          <w:bCs/>
          <w:color w:val="000000"/>
        </w:rPr>
        <w:t>Smith RJ</w:t>
      </w:r>
      <w:r w:rsidRPr="00DC6159">
        <w:rPr>
          <w:rFonts w:ascii="Book Antiqua" w:eastAsia="Book Antiqua" w:hAnsi="Book Antiqua" w:cs="Book Antiqua"/>
          <w:color w:val="000000"/>
        </w:rPr>
        <w:t xml:space="preserve">, Duerksen JD. Glycerol inhibition of purified and chromatin-associated mouse liver hepatoma RNA polymerase II activity. </w:t>
      </w:r>
      <w:r w:rsidRPr="00DC6159">
        <w:rPr>
          <w:rFonts w:ascii="Book Antiqua" w:eastAsia="Book Antiqua" w:hAnsi="Book Antiqua" w:cs="Book Antiqua"/>
          <w:i/>
          <w:iCs/>
          <w:color w:val="000000"/>
        </w:rPr>
        <w:t>Biochem Biophys Res Commun</w:t>
      </w:r>
      <w:r w:rsidRPr="00DC6159">
        <w:rPr>
          <w:rFonts w:ascii="Book Antiqua" w:eastAsia="Book Antiqua" w:hAnsi="Book Antiqua" w:cs="Book Antiqua"/>
          <w:color w:val="000000"/>
        </w:rPr>
        <w:t xml:space="preserve"> 1975; </w:t>
      </w:r>
      <w:r w:rsidRPr="00DC6159">
        <w:rPr>
          <w:rFonts w:ascii="Book Antiqua" w:eastAsia="Book Antiqua" w:hAnsi="Book Antiqua" w:cs="Book Antiqua"/>
          <w:b/>
          <w:bCs/>
          <w:color w:val="000000"/>
        </w:rPr>
        <w:t>67</w:t>
      </w:r>
      <w:r w:rsidRPr="00DC6159">
        <w:rPr>
          <w:rFonts w:ascii="Book Antiqua" w:eastAsia="Book Antiqua" w:hAnsi="Book Antiqua" w:cs="Book Antiqua"/>
          <w:color w:val="000000"/>
        </w:rPr>
        <w:t>: 916-923 [PMID: 1029 DOI: 10.1016/0006-291x(75)90764-0]</w:t>
      </w:r>
    </w:p>
    <w:p w14:paraId="7344F3C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15 </w:t>
      </w:r>
      <w:r w:rsidRPr="00DC6159">
        <w:rPr>
          <w:rFonts w:ascii="Book Antiqua" w:eastAsia="Book Antiqua" w:hAnsi="Book Antiqua" w:cs="Book Antiqua"/>
          <w:b/>
          <w:bCs/>
          <w:color w:val="000000"/>
        </w:rPr>
        <w:t>Kia SJ</w:t>
      </w:r>
      <w:r w:rsidRPr="00DC6159">
        <w:rPr>
          <w:rFonts w:ascii="Book Antiqua" w:eastAsia="Book Antiqua" w:hAnsi="Book Antiqua" w:cs="Book Antiqua"/>
          <w:color w:val="000000"/>
        </w:rPr>
        <w:t xml:space="preserve">, Basirat M, Mortezaie T, Moosavi MS. Comparison of oral Nano-Curcumin with oral prednisolone on oral lichen planus: a randomized double-blinded clinical trial. </w:t>
      </w:r>
      <w:r w:rsidRPr="00DC6159">
        <w:rPr>
          <w:rFonts w:ascii="Book Antiqua" w:eastAsia="Book Antiqua" w:hAnsi="Book Antiqua" w:cs="Book Antiqua"/>
          <w:i/>
          <w:iCs/>
          <w:color w:val="000000"/>
        </w:rPr>
        <w:t>BMC Complement Med Ther</w:t>
      </w:r>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w:t>
      </w:r>
      <w:r w:rsidRPr="00DC6159">
        <w:rPr>
          <w:rFonts w:ascii="Book Antiqua" w:eastAsia="Book Antiqua" w:hAnsi="Book Antiqua" w:cs="Book Antiqua"/>
          <w:color w:val="000000"/>
        </w:rPr>
        <w:t>: 328 [PMID: 33129289 DOI: 10.1186/s12906-020-03128-7]</w:t>
      </w:r>
    </w:p>
    <w:p w14:paraId="3749652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16 </w:t>
      </w:r>
      <w:r w:rsidRPr="00DC6159">
        <w:rPr>
          <w:rFonts w:ascii="Book Antiqua" w:eastAsia="Book Antiqua" w:hAnsi="Book Antiqua" w:cs="Book Antiqua"/>
          <w:b/>
          <w:bCs/>
          <w:color w:val="000000"/>
        </w:rPr>
        <w:t>Bakhshi M</w:t>
      </w:r>
      <w:r w:rsidRPr="00DC6159">
        <w:rPr>
          <w:rFonts w:ascii="Book Antiqua" w:eastAsia="Book Antiqua" w:hAnsi="Book Antiqua" w:cs="Book Antiqua"/>
          <w:color w:val="000000"/>
        </w:rPr>
        <w:t xml:space="preserve">, Gholami S, Mahboubi A, Jaafari MR, Namdari M. Combination Therapy with 1% Nanocurcumin Gel and 0.1% Triamcinolone Acetonide Mouth Rinse for Oral Lichen Planus: A Randomized Double-Blind Placebo Controlled Clinical Trial. </w:t>
      </w:r>
      <w:r w:rsidRPr="00DC6159">
        <w:rPr>
          <w:rFonts w:ascii="Book Antiqua" w:eastAsia="Book Antiqua" w:hAnsi="Book Antiqua" w:cs="Book Antiqua"/>
          <w:i/>
          <w:iCs/>
          <w:color w:val="000000"/>
        </w:rPr>
        <w:t>Dermatol Res Pract</w:t>
      </w:r>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2020</w:t>
      </w:r>
      <w:r w:rsidRPr="00DC6159">
        <w:rPr>
          <w:rFonts w:ascii="Book Antiqua" w:eastAsia="Book Antiqua" w:hAnsi="Book Antiqua" w:cs="Book Antiqua"/>
          <w:color w:val="000000"/>
        </w:rPr>
        <w:t>: 4298193 [PMID: 32518558 DOI: 10.1155/2020/4298193]</w:t>
      </w:r>
    </w:p>
    <w:p w14:paraId="15BB3AA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17 </w:t>
      </w:r>
      <w:r w:rsidRPr="00DC6159">
        <w:rPr>
          <w:rFonts w:ascii="Book Antiqua" w:eastAsia="Book Antiqua" w:hAnsi="Book Antiqua" w:cs="Book Antiqua"/>
          <w:b/>
          <w:bCs/>
          <w:color w:val="000000"/>
        </w:rPr>
        <w:t>Yu F</w:t>
      </w:r>
      <w:r w:rsidRPr="00DC6159">
        <w:rPr>
          <w:rFonts w:ascii="Book Antiqua" w:eastAsia="Book Antiqua" w:hAnsi="Book Antiqua" w:cs="Book Antiqua"/>
          <w:color w:val="000000"/>
        </w:rPr>
        <w:t xml:space="preserve">, Xu N, Zhao B, Ren X, Zhang F. Successful treatment of isolated oral lichen planus on lower lip with traditional Chinese medicine and topical wet dressing: A case report. </w:t>
      </w:r>
      <w:r w:rsidRPr="00DC6159">
        <w:rPr>
          <w:rFonts w:ascii="Book Antiqua" w:eastAsia="Book Antiqua" w:hAnsi="Book Antiqua" w:cs="Book Antiqua"/>
          <w:i/>
          <w:iCs/>
          <w:color w:val="000000"/>
        </w:rPr>
        <w:t>Medicine (Baltimore)</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97</w:t>
      </w:r>
      <w:r w:rsidRPr="00DC6159">
        <w:rPr>
          <w:rFonts w:ascii="Book Antiqua" w:eastAsia="Book Antiqua" w:hAnsi="Book Antiqua" w:cs="Book Antiqua"/>
          <w:color w:val="000000"/>
        </w:rPr>
        <w:t>: e13630 [PMID: 30558050 DOI: 10.1097/MD.0000000000013630]</w:t>
      </w:r>
    </w:p>
    <w:p w14:paraId="4AC5E13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18 </w:t>
      </w:r>
      <w:r w:rsidRPr="00DC6159">
        <w:rPr>
          <w:rFonts w:ascii="Book Antiqua" w:eastAsia="Book Antiqua" w:hAnsi="Book Antiqua" w:cs="Book Antiqua"/>
          <w:b/>
          <w:bCs/>
          <w:color w:val="000000"/>
        </w:rPr>
        <w:t>Lv KJ</w:t>
      </w:r>
      <w:r w:rsidRPr="00DC6159">
        <w:rPr>
          <w:rFonts w:ascii="Book Antiqua" w:eastAsia="Book Antiqua" w:hAnsi="Book Antiqua" w:cs="Book Antiqua"/>
          <w:color w:val="000000"/>
        </w:rPr>
        <w:t xml:space="preserve">, Chen TC, Wang GH, Yao YN, Yao H. Clinical safety and efficacy of curcumin use for oral lichen planus: a systematic review. </w:t>
      </w:r>
      <w:r w:rsidRPr="00DC6159">
        <w:rPr>
          <w:rFonts w:ascii="Book Antiqua" w:eastAsia="Book Antiqua" w:hAnsi="Book Antiqua" w:cs="Book Antiqua"/>
          <w:i/>
          <w:iCs/>
          <w:color w:val="000000"/>
        </w:rPr>
        <w:t>J Dermatolog Treat</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30</w:t>
      </w:r>
      <w:r w:rsidRPr="00DC6159">
        <w:rPr>
          <w:rFonts w:ascii="Book Antiqua" w:eastAsia="Book Antiqua" w:hAnsi="Book Antiqua" w:cs="Book Antiqua"/>
          <w:color w:val="000000"/>
        </w:rPr>
        <w:t>: 605-611 [PMID: 30388912 DOI: 10.1080/09546634.2018.1543849]</w:t>
      </w:r>
    </w:p>
    <w:p w14:paraId="245D34C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19 </w:t>
      </w:r>
      <w:r w:rsidRPr="00DC6159">
        <w:rPr>
          <w:rFonts w:ascii="Book Antiqua" w:eastAsia="Book Antiqua" w:hAnsi="Book Antiqua" w:cs="Book Antiqua"/>
          <w:b/>
          <w:bCs/>
          <w:color w:val="000000"/>
        </w:rPr>
        <w:t>Sobaniec S</w:t>
      </w:r>
      <w:r w:rsidRPr="00DC6159">
        <w:rPr>
          <w:rFonts w:ascii="Book Antiqua" w:eastAsia="Book Antiqua" w:hAnsi="Book Antiqua" w:cs="Book Antiqua"/>
          <w:color w:val="000000"/>
        </w:rPr>
        <w:t xml:space="preserve">, Bernaczyk P, Pietruski J, Cholewa M, Skurska A, Dolińska E, Duraj E, Tokajuk G, Paniczko A, Olszewska E, Pietruska M. Clinical assessment of the efficacy of photodynamic therapy in the treatment of oral lichen planus. </w:t>
      </w:r>
      <w:r w:rsidRPr="00DC6159">
        <w:rPr>
          <w:rFonts w:ascii="Book Antiqua" w:eastAsia="Book Antiqua" w:hAnsi="Book Antiqua" w:cs="Book Antiqua"/>
          <w:i/>
          <w:iCs/>
          <w:color w:val="000000"/>
        </w:rPr>
        <w:t>Lasers Med Sci</w:t>
      </w:r>
      <w:r w:rsidRPr="00DC6159">
        <w:rPr>
          <w:rFonts w:ascii="Book Antiqua" w:eastAsia="Book Antiqua" w:hAnsi="Book Antiqua" w:cs="Book Antiqua"/>
          <w:color w:val="000000"/>
        </w:rPr>
        <w:t xml:space="preserve"> 2013; </w:t>
      </w:r>
      <w:r w:rsidRPr="00DC6159">
        <w:rPr>
          <w:rFonts w:ascii="Book Antiqua" w:eastAsia="Book Antiqua" w:hAnsi="Book Antiqua" w:cs="Book Antiqua"/>
          <w:b/>
          <w:bCs/>
          <w:color w:val="000000"/>
        </w:rPr>
        <w:t>28</w:t>
      </w:r>
      <w:r w:rsidRPr="00DC6159">
        <w:rPr>
          <w:rFonts w:ascii="Book Antiqua" w:eastAsia="Book Antiqua" w:hAnsi="Book Antiqua" w:cs="Book Antiqua"/>
          <w:color w:val="000000"/>
        </w:rPr>
        <w:t>: 311-316 [PMID: 22814895 DOI: 10.1007/s10103-012-1153-9]</w:t>
      </w:r>
    </w:p>
    <w:p w14:paraId="26BE623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20 </w:t>
      </w:r>
      <w:r w:rsidRPr="00DC6159">
        <w:rPr>
          <w:rFonts w:ascii="Book Antiqua" w:eastAsia="Book Antiqua" w:hAnsi="Book Antiqua" w:cs="Book Antiqua"/>
          <w:b/>
          <w:bCs/>
          <w:color w:val="000000"/>
        </w:rPr>
        <w:t>Rakesh N</w:t>
      </w:r>
      <w:r w:rsidRPr="00DC6159">
        <w:rPr>
          <w:rFonts w:ascii="Book Antiqua" w:eastAsia="Book Antiqua" w:hAnsi="Book Antiqua" w:cs="Book Antiqua"/>
          <w:color w:val="000000"/>
        </w:rPr>
        <w:t xml:space="preserve">, Clint JB, Reddy SS, Nagi R, Chauhan P, Sharma S, Sharma P, Kaur A, Shetty B, Ashwini S, Pavan Kumar T, Vidya GS. Clinical evaluation of photodynamic therapy for the treatment of refractory oral Lichen planus - A case series. </w:t>
      </w:r>
      <w:r w:rsidRPr="00DC6159">
        <w:rPr>
          <w:rFonts w:ascii="Book Antiqua" w:eastAsia="Book Antiqua" w:hAnsi="Book Antiqua" w:cs="Book Antiqua"/>
          <w:i/>
          <w:iCs/>
          <w:color w:val="000000"/>
        </w:rPr>
        <w:t>Photodiagnosis Photodyn Ther</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24</w:t>
      </w:r>
      <w:r w:rsidRPr="00DC6159">
        <w:rPr>
          <w:rFonts w:ascii="Book Antiqua" w:eastAsia="Book Antiqua" w:hAnsi="Book Antiqua" w:cs="Book Antiqua"/>
          <w:color w:val="000000"/>
        </w:rPr>
        <w:t>: 280-285 [PMID: 30261326 DOI: 10.1016/j.pdpdt.2018.09.011]</w:t>
      </w:r>
    </w:p>
    <w:p w14:paraId="70CA294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21 </w:t>
      </w:r>
      <w:r w:rsidRPr="00DC6159">
        <w:rPr>
          <w:rFonts w:ascii="Book Antiqua" w:eastAsia="Book Antiqua" w:hAnsi="Book Antiqua" w:cs="Book Antiqua"/>
          <w:b/>
          <w:bCs/>
          <w:color w:val="000000"/>
        </w:rPr>
        <w:t>Vedtofte P</w:t>
      </w:r>
      <w:r w:rsidRPr="00DC6159">
        <w:rPr>
          <w:rFonts w:ascii="Book Antiqua" w:eastAsia="Book Antiqua" w:hAnsi="Book Antiqua" w:cs="Book Antiqua"/>
          <w:color w:val="000000"/>
        </w:rPr>
        <w:t xml:space="preserve">, Holmstrup P, Hjørting-Hansen E, Pindborg JJ. Surgical treatment of premalignant lesions of the oral mucosa. </w:t>
      </w:r>
      <w:r w:rsidRPr="00DC6159">
        <w:rPr>
          <w:rFonts w:ascii="Book Antiqua" w:eastAsia="Book Antiqua" w:hAnsi="Book Antiqua" w:cs="Book Antiqua"/>
          <w:i/>
          <w:iCs/>
          <w:color w:val="000000"/>
        </w:rPr>
        <w:t>Int J Oral Maxillofac Surg</w:t>
      </w:r>
      <w:r w:rsidRPr="00DC6159">
        <w:rPr>
          <w:rFonts w:ascii="Book Antiqua" w:eastAsia="Book Antiqua" w:hAnsi="Book Antiqua" w:cs="Book Antiqua"/>
          <w:color w:val="000000"/>
        </w:rPr>
        <w:t xml:space="preserve"> 1987; </w:t>
      </w:r>
      <w:r w:rsidRPr="00DC6159">
        <w:rPr>
          <w:rFonts w:ascii="Book Antiqua" w:eastAsia="Book Antiqua" w:hAnsi="Book Antiqua" w:cs="Book Antiqua"/>
          <w:b/>
          <w:bCs/>
          <w:color w:val="000000"/>
        </w:rPr>
        <w:t>16</w:t>
      </w:r>
      <w:r w:rsidRPr="00DC6159">
        <w:rPr>
          <w:rFonts w:ascii="Book Antiqua" w:eastAsia="Book Antiqua" w:hAnsi="Book Antiqua" w:cs="Book Antiqua"/>
          <w:color w:val="000000"/>
        </w:rPr>
        <w:t>: 656-664 [PMID: 3125262 DOI: 10.1016/S0901-5027(87)80049-8]</w:t>
      </w:r>
    </w:p>
    <w:p w14:paraId="169F429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22 </w:t>
      </w:r>
      <w:r w:rsidRPr="00DC6159">
        <w:rPr>
          <w:rFonts w:ascii="Book Antiqua" w:eastAsia="Book Antiqua" w:hAnsi="Book Antiqua" w:cs="Book Antiqua"/>
          <w:b/>
          <w:bCs/>
          <w:color w:val="000000"/>
        </w:rPr>
        <w:t>Kim DH</w:t>
      </w:r>
      <w:r w:rsidRPr="00DC6159">
        <w:rPr>
          <w:rFonts w:ascii="Book Antiqua" w:eastAsia="Book Antiqua" w:hAnsi="Book Antiqua" w:cs="Book Antiqua"/>
          <w:color w:val="000000"/>
        </w:rPr>
        <w:t xml:space="preserve">, Lim BR, Na GH, Kim EJ, Park K. Surgical excision and mucosal advancement flap: Treatment for refractory lichen planus of the lip. </w:t>
      </w:r>
      <w:r w:rsidRPr="00DC6159">
        <w:rPr>
          <w:rFonts w:ascii="Book Antiqua" w:eastAsia="Book Antiqua" w:hAnsi="Book Antiqua" w:cs="Book Antiqua"/>
          <w:i/>
          <w:iCs/>
          <w:color w:val="000000"/>
        </w:rPr>
        <w:t>Dermatol Ther</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31</w:t>
      </w:r>
      <w:r w:rsidRPr="00DC6159">
        <w:rPr>
          <w:rFonts w:ascii="Book Antiqua" w:eastAsia="Book Antiqua" w:hAnsi="Book Antiqua" w:cs="Book Antiqua"/>
          <w:color w:val="000000"/>
        </w:rPr>
        <w:t>: e12695 [PMID: 30156014 DOI: 10.1111/dth.12695]</w:t>
      </w:r>
    </w:p>
    <w:p w14:paraId="76CA8FF7" w14:textId="0CD8307D"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23 </w:t>
      </w:r>
      <w:r w:rsidR="00EC2943">
        <w:rPr>
          <w:rFonts w:ascii="Book Antiqua" w:eastAsia="Book Antiqua" w:hAnsi="Book Antiqua" w:cs="Book Antiqua"/>
          <w:b/>
          <w:color w:val="000000"/>
        </w:rPr>
        <w:t xml:space="preserve">Moss </w:t>
      </w:r>
      <w:r w:rsidR="00EC2943" w:rsidRPr="00EC2943">
        <w:rPr>
          <w:rFonts w:ascii="Book Antiqua" w:eastAsia="Book Antiqua" w:hAnsi="Book Antiqua" w:cs="Book Antiqua"/>
          <w:b/>
          <w:color w:val="000000"/>
        </w:rPr>
        <w:t>ALH</w:t>
      </w:r>
      <w:r w:rsidR="00EC2943">
        <w:rPr>
          <w:rFonts w:ascii="Book Antiqua" w:eastAsia="Book Antiqua" w:hAnsi="Book Antiqua" w:cs="Book Antiqua"/>
          <w:bCs/>
          <w:color w:val="000000"/>
        </w:rPr>
        <w:t>,</w:t>
      </w:r>
      <w:r w:rsidR="00EC2943">
        <w:rPr>
          <w:rFonts w:ascii="Book Antiqua" w:eastAsia="Book Antiqua" w:hAnsi="Book Antiqua" w:cs="Book Antiqua"/>
          <w:b/>
          <w:color w:val="000000"/>
        </w:rPr>
        <w:t xml:space="preserve"> </w:t>
      </w:r>
      <w:r w:rsidR="00EC2943">
        <w:rPr>
          <w:rFonts w:ascii="Book Antiqua" w:eastAsia="Book Antiqua" w:hAnsi="Book Antiqua" w:cs="Book Antiqua"/>
          <w:color w:val="000000"/>
        </w:rPr>
        <w:t>Harman RRM</w:t>
      </w:r>
      <w:r w:rsidRPr="00DC6159">
        <w:rPr>
          <w:rFonts w:ascii="Book Antiqua" w:eastAsia="Book Antiqua" w:hAnsi="Book Antiqua" w:cs="Book Antiqua"/>
          <w:color w:val="000000"/>
        </w:rPr>
        <w:t xml:space="preserve">. </w:t>
      </w:r>
      <w:r w:rsidR="00EC2943">
        <w:rPr>
          <w:rFonts w:ascii="Book Antiqua" w:eastAsia="Book Antiqua" w:hAnsi="Book Antiqua" w:cs="Book Antiqua"/>
          <w:color w:val="000000"/>
        </w:rPr>
        <w:t>Surgical treatment of painful lichen planus of the hand and foot</w:t>
      </w:r>
      <w:r w:rsidRPr="00DC6159">
        <w:rPr>
          <w:rFonts w:ascii="Book Antiqua" w:eastAsia="Book Antiqua" w:hAnsi="Book Antiqua" w:cs="Book Antiqua"/>
          <w:color w:val="000000"/>
        </w:rPr>
        <w:t xml:space="preserve">. </w:t>
      </w:r>
      <w:r w:rsidRPr="00DC6159">
        <w:rPr>
          <w:rFonts w:ascii="Book Antiqua" w:eastAsia="Book Antiqua" w:hAnsi="Book Antiqua" w:cs="Book Antiqua"/>
          <w:i/>
          <w:iCs/>
          <w:color w:val="000000"/>
        </w:rPr>
        <w:t xml:space="preserve">Br J </w:t>
      </w:r>
      <w:r w:rsidR="00EC2943">
        <w:rPr>
          <w:rFonts w:ascii="Book Antiqua" w:eastAsia="Book Antiqua" w:hAnsi="Book Antiqua" w:cs="Book Antiqua"/>
          <w:i/>
          <w:iCs/>
          <w:color w:val="000000"/>
        </w:rPr>
        <w:t>Plast Surg</w:t>
      </w:r>
      <w:r w:rsidRPr="00DC6159">
        <w:rPr>
          <w:rFonts w:ascii="Book Antiqua" w:eastAsia="Book Antiqua" w:hAnsi="Book Antiqua" w:cs="Book Antiqua"/>
          <w:color w:val="000000"/>
        </w:rPr>
        <w:t xml:space="preserve"> 1986; </w:t>
      </w:r>
      <w:r w:rsidR="00DC4294">
        <w:rPr>
          <w:rFonts w:ascii="Book Antiqua" w:eastAsia="Book Antiqua" w:hAnsi="Book Antiqua" w:cs="Book Antiqua"/>
          <w:b/>
          <w:bCs/>
          <w:color w:val="000000"/>
        </w:rPr>
        <w:t>39</w:t>
      </w:r>
      <w:r w:rsidRPr="00DC6159">
        <w:rPr>
          <w:rFonts w:ascii="Book Antiqua" w:eastAsia="Book Antiqua" w:hAnsi="Book Antiqua" w:cs="Book Antiqua"/>
          <w:color w:val="000000"/>
        </w:rPr>
        <w:t xml:space="preserve">: </w:t>
      </w:r>
      <w:r w:rsidR="00DC4294">
        <w:rPr>
          <w:rFonts w:ascii="Book Antiqua" w:eastAsia="Book Antiqua" w:hAnsi="Book Antiqua" w:cs="Book Antiqua"/>
          <w:color w:val="000000"/>
        </w:rPr>
        <w:t>402-407</w:t>
      </w:r>
      <w:r w:rsidRPr="00DC6159">
        <w:rPr>
          <w:rFonts w:ascii="Book Antiqua" w:eastAsia="Book Antiqua" w:hAnsi="Book Antiqua" w:cs="Book Antiqua"/>
          <w:color w:val="000000"/>
        </w:rPr>
        <w:t xml:space="preserve"> [PMID: 3730</w:t>
      </w:r>
      <w:r w:rsidR="00DC4294">
        <w:rPr>
          <w:rFonts w:ascii="Book Antiqua" w:eastAsia="Book Antiqua" w:hAnsi="Book Antiqua" w:cs="Book Antiqua"/>
          <w:color w:val="000000"/>
        </w:rPr>
        <w:t>6</w:t>
      </w:r>
      <w:r w:rsidRPr="00DC6159">
        <w:rPr>
          <w:rFonts w:ascii="Book Antiqua" w:eastAsia="Book Antiqua" w:hAnsi="Book Antiqua" w:cs="Book Antiqua"/>
          <w:color w:val="000000"/>
        </w:rPr>
        <w:t>92 DOI: 10.1016/0007-1226(86)90056-1]</w:t>
      </w:r>
    </w:p>
    <w:p w14:paraId="5401F34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24 </w:t>
      </w:r>
      <w:r w:rsidRPr="00DC6159">
        <w:rPr>
          <w:rFonts w:ascii="Book Antiqua" w:eastAsia="Book Antiqua" w:hAnsi="Book Antiqua" w:cs="Book Antiqua"/>
          <w:b/>
          <w:bCs/>
          <w:color w:val="000000"/>
        </w:rPr>
        <w:t>Pathak H</w:t>
      </w:r>
      <w:r w:rsidRPr="00DC6159">
        <w:rPr>
          <w:rFonts w:ascii="Book Antiqua" w:eastAsia="Book Antiqua" w:hAnsi="Book Antiqua" w:cs="Book Antiqua"/>
          <w:color w:val="000000"/>
        </w:rPr>
        <w:t xml:space="preserve">, Mohanty S, Urs AB, Dabas J. Treatment of Oral Mucosal Lesions by Scalpel Excision and Platelet-Rich Fibrin Membrane Grafting: A Review of 26 Sites. </w:t>
      </w:r>
      <w:r w:rsidRPr="00DC6159">
        <w:rPr>
          <w:rFonts w:ascii="Book Antiqua" w:eastAsia="Book Antiqua" w:hAnsi="Book Antiqua" w:cs="Book Antiqua"/>
          <w:i/>
          <w:iCs/>
          <w:color w:val="000000"/>
        </w:rPr>
        <w:t>J Oral Maxillofac Surg</w:t>
      </w:r>
      <w:r w:rsidRPr="00DC6159">
        <w:rPr>
          <w:rFonts w:ascii="Book Antiqua" w:eastAsia="Book Antiqua" w:hAnsi="Book Antiqua" w:cs="Book Antiqua"/>
          <w:color w:val="000000"/>
        </w:rPr>
        <w:t xml:space="preserve"> 2015; </w:t>
      </w:r>
      <w:r w:rsidRPr="00DC6159">
        <w:rPr>
          <w:rFonts w:ascii="Book Antiqua" w:eastAsia="Book Antiqua" w:hAnsi="Book Antiqua" w:cs="Book Antiqua"/>
          <w:b/>
          <w:bCs/>
          <w:color w:val="000000"/>
        </w:rPr>
        <w:t>73</w:t>
      </w:r>
      <w:r w:rsidRPr="00DC6159">
        <w:rPr>
          <w:rFonts w:ascii="Book Antiqua" w:eastAsia="Book Antiqua" w:hAnsi="Book Antiqua" w:cs="Book Antiqua"/>
          <w:color w:val="000000"/>
        </w:rPr>
        <w:t>: 1865-1874 [PMID: 25891657 DOI: 10.1016/j.joms.2015.03.041]</w:t>
      </w:r>
    </w:p>
    <w:p w14:paraId="69DE26F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25 </w:t>
      </w:r>
      <w:r w:rsidRPr="00DC6159">
        <w:rPr>
          <w:rFonts w:ascii="Book Antiqua" w:eastAsia="Book Antiqua" w:hAnsi="Book Antiqua" w:cs="Book Antiqua"/>
          <w:b/>
          <w:bCs/>
          <w:color w:val="000000"/>
        </w:rPr>
        <w:t>Ellis CV</w:t>
      </w:r>
      <w:r w:rsidRPr="00DC6159">
        <w:rPr>
          <w:rFonts w:ascii="Book Antiqua" w:eastAsia="Book Antiqua" w:hAnsi="Book Antiqua" w:cs="Book Antiqua"/>
          <w:color w:val="000000"/>
        </w:rPr>
        <w:t xml:space="preserve">, Kulber DA. Acellular dermal matrices in hand reconstruction. </w:t>
      </w:r>
      <w:r w:rsidRPr="00DC6159">
        <w:rPr>
          <w:rFonts w:ascii="Book Antiqua" w:eastAsia="Book Antiqua" w:hAnsi="Book Antiqua" w:cs="Book Antiqua"/>
          <w:i/>
          <w:iCs/>
          <w:color w:val="000000"/>
        </w:rPr>
        <w:t>Plast Reconstr Surg</w:t>
      </w:r>
      <w:r w:rsidRPr="00DC6159">
        <w:rPr>
          <w:rFonts w:ascii="Book Antiqua" w:eastAsia="Book Antiqua" w:hAnsi="Book Antiqua" w:cs="Book Antiqua"/>
          <w:color w:val="000000"/>
        </w:rPr>
        <w:t xml:space="preserve"> 2012; </w:t>
      </w:r>
      <w:r w:rsidRPr="00DC6159">
        <w:rPr>
          <w:rFonts w:ascii="Book Antiqua" w:eastAsia="Book Antiqua" w:hAnsi="Book Antiqua" w:cs="Book Antiqua"/>
          <w:b/>
          <w:bCs/>
          <w:color w:val="000000"/>
        </w:rPr>
        <w:t>130</w:t>
      </w:r>
      <w:r w:rsidRPr="00DC6159">
        <w:rPr>
          <w:rFonts w:ascii="Book Antiqua" w:eastAsia="Book Antiqua" w:hAnsi="Book Antiqua" w:cs="Book Antiqua"/>
          <w:color w:val="000000"/>
        </w:rPr>
        <w:t>: 256S-269S [PMID: 23096981 DOI: 10.1097/PRS.0b013e318265a5cf]</w:t>
      </w:r>
    </w:p>
    <w:p w14:paraId="0A8A5CA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26 </w:t>
      </w:r>
      <w:r w:rsidRPr="00DC6159">
        <w:rPr>
          <w:rFonts w:ascii="Book Antiqua" w:eastAsia="Book Antiqua" w:hAnsi="Book Antiqua" w:cs="Book Antiqua"/>
          <w:b/>
          <w:bCs/>
          <w:color w:val="000000"/>
        </w:rPr>
        <w:t>Moyer HR</w:t>
      </w:r>
      <w:r w:rsidRPr="00DC6159">
        <w:rPr>
          <w:rFonts w:ascii="Book Antiqua" w:eastAsia="Book Antiqua" w:hAnsi="Book Antiqua" w:cs="Book Antiqua"/>
          <w:color w:val="000000"/>
        </w:rPr>
        <w:t xml:space="preserve">, Hart AM, Yeager J, Losken A. A Histological Comparison of Two Human Acellular Dermal Matrix Products in Prosthetic-Based Breast Reconstruction. </w:t>
      </w:r>
      <w:r w:rsidRPr="00DC6159">
        <w:rPr>
          <w:rFonts w:ascii="Book Antiqua" w:eastAsia="Book Antiqua" w:hAnsi="Book Antiqua" w:cs="Book Antiqua"/>
          <w:i/>
          <w:iCs/>
          <w:color w:val="000000"/>
        </w:rPr>
        <w:t>Plast Reconstr Surg Glob Open</w:t>
      </w:r>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5</w:t>
      </w:r>
      <w:r w:rsidRPr="00DC6159">
        <w:rPr>
          <w:rFonts w:ascii="Book Antiqua" w:eastAsia="Book Antiqua" w:hAnsi="Book Antiqua" w:cs="Book Antiqua"/>
          <w:color w:val="000000"/>
        </w:rPr>
        <w:t>: e1576 [PMID: 29632762 DOI: 10.1097/GOX.0000000000001576]</w:t>
      </w:r>
    </w:p>
    <w:p w14:paraId="7910401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27 </w:t>
      </w:r>
      <w:r w:rsidRPr="00DC6159">
        <w:rPr>
          <w:rFonts w:ascii="Book Antiqua" w:eastAsia="Book Antiqua" w:hAnsi="Book Antiqua" w:cs="Book Antiqua"/>
          <w:b/>
          <w:bCs/>
          <w:color w:val="000000"/>
        </w:rPr>
        <w:t>Balaji VR</w:t>
      </w:r>
      <w:r w:rsidRPr="00DC6159">
        <w:rPr>
          <w:rFonts w:ascii="Book Antiqua" w:eastAsia="Book Antiqua" w:hAnsi="Book Antiqua" w:cs="Book Antiqua"/>
          <w:color w:val="000000"/>
        </w:rPr>
        <w:t xml:space="preserve">, Ramakrishnan T, Manikandan D, Lambodharan R, Karthikeyan B, Niazi TM, Ulaganathan G. Management of gingival recession with acellular dermal matrix graft: A clinical study. </w:t>
      </w:r>
      <w:r w:rsidRPr="00DC6159">
        <w:rPr>
          <w:rFonts w:ascii="Book Antiqua" w:eastAsia="Book Antiqua" w:hAnsi="Book Antiqua" w:cs="Book Antiqua"/>
          <w:i/>
          <w:iCs/>
          <w:color w:val="000000"/>
        </w:rPr>
        <w:t>J Pharm Bioallied Sci</w:t>
      </w:r>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8</w:t>
      </w:r>
      <w:r w:rsidRPr="00DC6159">
        <w:rPr>
          <w:rFonts w:ascii="Book Antiqua" w:eastAsia="Book Antiqua" w:hAnsi="Book Antiqua" w:cs="Book Antiqua"/>
          <w:color w:val="000000"/>
        </w:rPr>
        <w:t>: S59-S64 [PMID: 27829749]</w:t>
      </w:r>
    </w:p>
    <w:p w14:paraId="7F78782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28 </w:t>
      </w:r>
      <w:r w:rsidRPr="00DC6159">
        <w:rPr>
          <w:rFonts w:ascii="Book Antiqua" w:eastAsia="Book Antiqua" w:hAnsi="Book Antiqua" w:cs="Book Antiqua"/>
          <w:b/>
          <w:bCs/>
          <w:color w:val="000000"/>
        </w:rPr>
        <w:t>Griffin TJ</w:t>
      </w:r>
      <w:r w:rsidRPr="00DC6159">
        <w:rPr>
          <w:rFonts w:ascii="Book Antiqua" w:eastAsia="Book Antiqua" w:hAnsi="Book Antiqua" w:cs="Book Antiqua"/>
          <w:color w:val="000000"/>
        </w:rPr>
        <w:t xml:space="preserve">, Cheung WS, Hirayama H. Hard and soft tissue augmentation in implant therapy using acellular dermal matrix. </w:t>
      </w:r>
      <w:r w:rsidRPr="00DC6159">
        <w:rPr>
          <w:rFonts w:ascii="Book Antiqua" w:eastAsia="Book Antiqua" w:hAnsi="Book Antiqua" w:cs="Book Antiqua"/>
          <w:i/>
          <w:iCs/>
          <w:color w:val="000000"/>
        </w:rPr>
        <w:t>Int J Periodontics Restorative Dent</w:t>
      </w:r>
      <w:r w:rsidRPr="00DC6159">
        <w:rPr>
          <w:rFonts w:ascii="Book Antiqua" w:eastAsia="Book Antiqua" w:hAnsi="Book Antiqua" w:cs="Book Antiqua"/>
          <w:color w:val="000000"/>
        </w:rPr>
        <w:t xml:space="preserve"> 2004; </w:t>
      </w:r>
      <w:r w:rsidRPr="00DC6159">
        <w:rPr>
          <w:rFonts w:ascii="Book Antiqua" w:eastAsia="Book Antiqua" w:hAnsi="Book Antiqua" w:cs="Book Antiqua"/>
          <w:b/>
          <w:bCs/>
          <w:color w:val="000000"/>
        </w:rPr>
        <w:t>24</w:t>
      </w:r>
      <w:r w:rsidRPr="00DC6159">
        <w:rPr>
          <w:rFonts w:ascii="Book Antiqua" w:eastAsia="Book Antiqua" w:hAnsi="Book Antiqua" w:cs="Book Antiqua"/>
          <w:color w:val="000000"/>
        </w:rPr>
        <w:t>: 352-361 [PMID: 15446405 DOI: 10.1111/j.1365-2591.2004.00849.x]</w:t>
      </w:r>
    </w:p>
    <w:p w14:paraId="4BA5F49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29 </w:t>
      </w:r>
      <w:r w:rsidRPr="00DC6159">
        <w:rPr>
          <w:rFonts w:ascii="Book Antiqua" w:eastAsia="Book Antiqua" w:hAnsi="Book Antiqua" w:cs="Book Antiqua"/>
          <w:b/>
          <w:bCs/>
          <w:color w:val="000000"/>
        </w:rPr>
        <w:t>Park JB</w:t>
      </w:r>
      <w:r w:rsidRPr="00DC6159">
        <w:rPr>
          <w:rFonts w:ascii="Book Antiqua" w:eastAsia="Book Antiqua" w:hAnsi="Book Antiqua" w:cs="Book Antiqua"/>
          <w:color w:val="000000"/>
        </w:rPr>
        <w:t xml:space="preserve">. Immediate implantation with ridge augmentation using acellular dermal matrix and deproteinized bovine bone: a case report. </w:t>
      </w:r>
      <w:r w:rsidRPr="00DC6159">
        <w:rPr>
          <w:rFonts w:ascii="Book Antiqua" w:eastAsia="Book Antiqua" w:hAnsi="Book Antiqua" w:cs="Book Antiqua"/>
          <w:i/>
          <w:iCs/>
          <w:color w:val="000000"/>
        </w:rPr>
        <w:t>J Oral Implantol</w:t>
      </w:r>
      <w:r w:rsidRPr="00DC6159">
        <w:rPr>
          <w:rFonts w:ascii="Book Antiqua" w:eastAsia="Book Antiqua" w:hAnsi="Book Antiqua" w:cs="Book Antiqua"/>
          <w:color w:val="000000"/>
        </w:rPr>
        <w:t xml:space="preserve"> 2011; </w:t>
      </w:r>
      <w:r w:rsidRPr="00DC6159">
        <w:rPr>
          <w:rFonts w:ascii="Book Antiqua" w:eastAsia="Book Antiqua" w:hAnsi="Book Antiqua" w:cs="Book Antiqua"/>
          <w:b/>
          <w:bCs/>
          <w:color w:val="000000"/>
        </w:rPr>
        <w:t>37</w:t>
      </w:r>
      <w:r w:rsidRPr="00DC6159">
        <w:rPr>
          <w:rFonts w:ascii="Book Antiqua" w:eastAsia="Book Antiqua" w:hAnsi="Book Antiqua" w:cs="Book Antiqua"/>
          <w:color w:val="000000"/>
        </w:rPr>
        <w:t>: 717-721 [PMID: 20690831 DOI: 10.1563/AAID-JOI-D-10-00063]</w:t>
      </w:r>
    </w:p>
    <w:p w14:paraId="38A513E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30 </w:t>
      </w:r>
      <w:r w:rsidRPr="00DC6159">
        <w:rPr>
          <w:rFonts w:ascii="Book Antiqua" w:eastAsia="Book Antiqua" w:hAnsi="Book Antiqua" w:cs="Book Antiqua"/>
          <w:b/>
          <w:bCs/>
          <w:color w:val="000000"/>
        </w:rPr>
        <w:t>El-Kassaby MA</w:t>
      </w:r>
      <w:r w:rsidRPr="00DC6159">
        <w:rPr>
          <w:rFonts w:ascii="Book Antiqua" w:eastAsia="Book Antiqua" w:hAnsi="Book Antiqua" w:cs="Book Antiqua"/>
          <w:color w:val="000000"/>
        </w:rPr>
        <w:t xml:space="preserve">, Khalifah MA, Metwally SA, Abd ElKader KA. Acellular dermal matrix allograft: An effective adjunct to oronasal fistula repair in patients with cleft palate. </w:t>
      </w:r>
      <w:r w:rsidRPr="00DC6159">
        <w:rPr>
          <w:rFonts w:ascii="Book Antiqua" w:eastAsia="Book Antiqua" w:hAnsi="Book Antiqua" w:cs="Book Antiqua"/>
          <w:i/>
          <w:iCs/>
          <w:color w:val="000000"/>
        </w:rPr>
        <w:t>Ann Maxillofac Surg</w:t>
      </w:r>
      <w:r w:rsidRPr="00DC6159">
        <w:rPr>
          <w:rFonts w:ascii="Book Antiqua" w:eastAsia="Book Antiqua" w:hAnsi="Book Antiqua" w:cs="Book Antiqua"/>
          <w:color w:val="000000"/>
        </w:rPr>
        <w:t xml:space="preserve"> 2014; </w:t>
      </w:r>
      <w:r w:rsidRPr="00DC6159">
        <w:rPr>
          <w:rFonts w:ascii="Book Antiqua" w:eastAsia="Book Antiqua" w:hAnsi="Book Antiqua" w:cs="Book Antiqua"/>
          <w:b/>
          <w:bCs/>
          <w:color w:val="000000"/>
        </w:rPr>
        <w:t>4</w:t>
      </w:r>
      <w:r w:rsidRPr="00DC6159">
        <w:rPr>
          <w:rFonts w:ascii="Book Antiqua" w:eastAsia="Book Antiqua" w:hAnsi="Book Antiqua" w:cs="Book Antiqua"/>
          <w:color w:val="000000"/>
        </w:rPr>
        <w:t>: 158-161 [PMID: 25593864 DOI: 10.4103/2231-0746.147108]</w:t>
      </w:r>
    </w:p>
    <w:p w14:paraId="2FF976F6" w14:textId="77777777" w:rsidR="00A77B3E" w:rsidRPr="00DC6159" w:rsidRDefault="00A77B3E" w:rsidP="00DC6159">
      <w:pPr>
        <w:spacing w:line="360" w:lineRule="auto"/>
        <w:jc w:val="both"/>
        <w:rPr>
          <w:rFonts w:ascii="Book Antiqua" w:hAnsi="Book Antiqua"/>
        </w:rPr>
        <w:sectPr w:rsidR="00A77B3E" w:rsidRPr="00DC6159" w:rsidSect="00DC6159">
          <w:pgSz w:w="12240" w:h="15840"/>
          <w:pgMar w:top="1440" w:right="1440" w:bottom="1440" w:left="1440" w:header="720" w:footer="720" w:gutter="0"/>
          <w:cols w:space="720"/>
          <w:docGrid w:linePitch="360"/>
        </w:sectPr>
      </w:pPr>
    </w:p>
    <w:p w14:paraId="1055806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Footnotes</w:t>
      </w:r>
    </w:p>
    <w:p w14:paraId="3B2AC7E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Informed consent statement: </w:t>
      </w:r>
      <w:r w:rsidRPr="00DC6159">
        <w:rPr>
          <w:rFonts w:ascii="Book Antiqua" w:eastAsia="Book Antiqua" w:hAnsi="Book Antiqua" w:cs="Book Antiqua"/>
          <w:color w:val="000000"/>
        </w:rPr>
        <w:t>Written informed consent was obtained from the patient for the publication of this report and the accompanying images.</w:t>
      </w:r>
    </w:p>
    <w:p w14:paraId="7342D6E1" w14:textId="77777777" w:rsidR="00A77B3E" w:rsidRPr="00DC6159" w:rsidRDefault="00A77B3E" w:rsidP="00DC6159">
      <w:pPr>
        <w:spacing w:line="360" w:lineRule="auto"/>
        <w:jc w:val="both"/>
        <w:rPr>
          <w:rFonts w:ascii="Book Antiqua" w:hAnsi="Book Antiqua"/>
        </w:rPr>
      </w:pPr>
    </w:p>
    <w:p w14:paraId="663A754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Conflict-of-interest statement: </w:t>
      </w:r>
      <w:r w:rsidRPr="00DC6159">
        <w:rPr>
          <w:rFonts w:ascii="Book Antiqua" w:eastAsia="Book Antiqua" w:hAnsi="Book Antiqua" w:cs="Book Antiqua"/>
          <w:color w:val="000000"/>
        </w:rPr>
        <w:t>The authors declare that they have no conflicts of interest.</w:t>
      </w:r>
    </w:p>
    <w:p w14:paraId="6BB19189" w14:textId="77777777" w:rsidR="00A77B3E" w:rsidRPr="00DC6159" w:rsidRDefault="00A77B3E" w:rsidP="00DC6159">
      <w:pPr>
        <w:spacing w:line="360" w:lineRule="auto"/>
        <w:jc w:val="both"/>
        <w:rPr>
          <w:rFonts w:ascii="Book Antiqua" w:hAnsi="Book Antiqua"/>
        </w:rPr>
      </w:pPr>
    </w:p>
    <w:p w14:paraId="16291AD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CARE Checklist (2016) statement: </w:t>
      </w:r>
      <w:r w:rsidRPr="00DC6159">
        <w:rPr>
          <w:rFonts w:ascii="Book Antiqua" w:eastAsia="Book Antiqua" w:hAnsi="Book Antiqua" w:cs="Book Antiqua"/>
          <w:color w:val="000000"/>
        </w:rPr>
        <w:t>The authors have read the CARE Checklist (2016), and the manuscript was prepared and revised according to the CARE Checklist (2016).</w:t>
      </w:r>
    </w:p>
    <w:p w14:paraId="41F6D36A" w14:textId="77777777" w:rsidR="00A77B3E" w:rsidRPr="00DC6159" w:rsidRDefault="00A77B3E" w:rsidP="00DC6159">
      <w:pPr>
        <w:spacing w:line="360" w:lineRule="auto"/>
        <w:jc w:val="both"/>
        <w:rPr>
          <w:rFonts w:ascii="Book Antiqua" w:hAnsi="Book Antiqua"/>
        </w:rPr>
      </w:pPr>
    </w:p>
    <w:p w14:paraId="35195D4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Open-Access: </w:t>
      </w:r>
      <w:r w:rsidRPr="00DC61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1C497B" w14:textId="77777777" w:rsidR="00A77B3E" w:rsidRPr="00DC6159" w:rsidRDefault="00A77B3E" w:rsidP="00DC6159">
      <w:pPr>
        <w:spacing w:line="360" w:lineRule="auto"/>
        <w:jc w:val="both"/>
        <w:rPr>
          <w:rFonts w:ascii="Book Antiqua" w:hAnsi="Book Antiqua"/>
        </w:rPr>
      </w:pPr>
    </w:p>
    <w:p w14:paraId="3D3BC19C" w14:textId="4733A2A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source: </w:t>
      </w:r>
      <w:r w:rsidRPr="00DC6159">
        <w:rPr>
          <w:rFonts w:ascii="Book Antiqua" w:eastAsia="Book Antiqua" w:hAnsi="Book Antiqua" w:cs="Book Antiqua"/>
          <w:color w:val="000000"/>
        </w:rPr>
        <w:t>Unsolicited</w:t>
      </w:r>
      <w:r w:rsidR="00EE6F92" w:rsidRPr="00DC6159">
        <w:rPr>
          <w:rFonts w:ascii="Book Antiqua" w:eastAsia="Book Antiqua" w:hAnsi="Book Antiqua" w:cs="Book Antiqua"/>
          <w:color w:val="000000"/>
        </w:rPr>
        <w:t xml:space="preserve"> ma</w:t>
      </w:r>
      <w:r w:rsidRPr="00DC6159">
        <w:rPr>
          <w:rFonts w:ascii="Book Antiqua" w:eastAsia="Book Antiqua" w:hAnsi="Book Antiqua" w:cs="Book Antiqua"/>
          <w:color w:val="000000"/>
        </w:rPr>
        <w:t>nuscript</w:t>
      </w:r>
    </w:p>
    <w:p w14:paraId="387F53EA" w14:textId="77777777" w:rsidR="00A77B3E" w:rsidRPr="00DC6159" w:rsidRDefault="00A77B3E" w:rsidP="00DC6159">
      <w:pPr>
        <w:spacing w:line="360" w:lineRule="auto"/>
        <w:jc w:val="both"/>
        <w:rPr>
          <w:rFonts w:ascii="Book Antiqua" w:hAnsi="Book Antiqua"/>
        </w:rPr>
      </w:pPr>
    </w:p>
    <w:p w14:paraId="07C3147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Peer-review started: </w:t>
      </w:r>
      <w:r w:rsidRPr="00DC6159">
        <w:rPr>
          <w:rFonts w:ascii="Book Antiqua" w:eastAsia="Book Antiqua" w:hAnsi="Book Antiqua" w:cs="Book Antiqua"/>
          <w:color w:val="000000"/>
        </w:rPr>
        <w:t>October 17, 2020</w:t>
      </w:r>
    </w:p>
    <w:p w14:paraId="61F51EFA"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First decision: </w:t>
      </w:r>
      <w:r w:rsidRPr="00DC6159">
        <w:rPr>
          <w:rFonts w:ascii="Book Antiqua" w:eastAsia="Book Antiqua" w:hAnsi="Book Antiqua" w:cs="Book Antiqua"/>
          <w:color w:val="000000"/>
        </w:rPr>
        <w:t>December 8, 2020</w:t>
      </w:r>
    </w:p>
    <w:p w14:paraId="13B23F6E" w14:textId="028CBFCD" w:rsidR="00A77B3E" w:rsidRPr="00DC6159" w:rsidRDefault="00AF149E" w:rsidP="00DC6159">
      <w:pPr>
        <w:spacing w:line="360" w:lineRule="auto"/>
        <w:jc w:val="both"/>
        <w:rPr>
          <w:rFonts w:ascii="Book Antiqua" w:hAnsi="Book Antiqua"/>
          <w:lang w:eastAsia="zh-CN"/>
        </w:rPr>
      </w:pPr>
      <w:r w:rsidRPr="00DC6159">
        <w:rPr>
          <w:rFonts w:ascii="Book Antiqua" w:eastAsia="Book Antiqua" w:hAnsi="Book Antiqua" w:cs="Book Antiqua"/>
          <w:b/>
          <w:color w:val="000000"/>
        </w:rPr>
        <w:t xml:space="preserve">Article in press: </w:t>
      </w:r>
      <w:r w:rsidR="004E06C9" w:rsidRPr="00DC6159">
        <w:rPr>
          <w:rFonts w:ascii="Book Antiqua" w:eastAsia="Book Antiqua" w:hAnsi="Book Antiqua" w:cs="Book Antiqua"/>
          <w:color w:val="000000"/>
        </w:rPr>
        <w:t>January 6, 2021</w:t>
      </w:r>
    </w:p>
    <w:p w14:paraId="383813F0" w14:textId="77777777" w:rsidR="00A77B3E" w:rsidRPr="00DC6159" w:rsidRDefault="00A77B3E" w:rsidP="00DC6159">
      <w:pPr>
        <w:spacing w:line="360" w:lineRule="auto"/>
        <w:jc w:val="both"/>
        <w:rPr>
          <w:rFonts w:ascii="Book Antiqua" w:hAnsi="Book Antiqua"/>
        </w:rPr>
      </w:pPr>
    </w:p>
    <w:p w14:paraId="5A61A1C6" w14:textId="16195E01"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Specialty type: </w:t>
      </w:r>
      <w:r w:rsidR="00EE6F92" w:rsidRPr="00DC6159">
        <w:rPr>
          <w:rFonts w:ascii="Book Antiqua" w:eastAsia="微软雅黑" w:hAnsi="Book Antiqua" w:cs="宋体"/>
        </w:rPr>
        <w:t>Medicine, research and experimental</w:t>
      </w:r>
    </w:p>
    <w:p w14:paraId="6E87FC9F"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Country/Territory of origin: </w:t>
      </w:r>
      <w:r w:rsidRPr="00DC6159">
        <w:rPr>
          <w:rFonts w:ascii="Book Antiqua" w:eastAsia="Book Antiqua" w:hAnsi="Book Antiqua" w:cs="Book Antiqua"/>
          <w:color w:val="000000"/>
        </w:rPr>
        <w:t>China</w:t>
      </w:r>
    </w:p>
    <w:p w14:paraId="71F35BD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Peer-review report’s scientific quality classification</w:t>
      </w:r>
    </w:p>
    <w:p w14:paraId="20173F8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A (Excellent): 0</w:t>
      </w:r>
    </w:p>
    <w:p w14:paraId="36EC80E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B (Very good): 0</w:t>
      </w:r>
    </w:p>
    <w:p w14:paraId="2A19B82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C (Good): C</w:t>
      </w:r>
    </w:p>
    <w:p w14:paraId="37BA2CF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D (Fair): 0</w:t>
      </w:r>
    </w:p>
    <w:p w14:paraId="7C5B210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E (Poor): 0</w:t>
      </w:r>
    </w:p>
    <w:p w14:paraId="4F0EA63D" w14:textId="77777777" w:rsidR="00A77B3E" w:rsidRPr="00DC6159" w:rsidRDefault="00A77B3E" w:rsidP="00DC6159">
      <w:pPr>
        <w:spacing w:line="360" w:lineRule="auto"/>
        <w:jc w:val="both"/>
        <w:rPr>
          <w:rFonts w:ascii="Book Antiqua" w:hAnsi="Book Antiqua"/>
        </w:rPr>
      </w:pPr>
    </w:p>
    <w:p w14:paraId="000C61E2" w14:textId="19588685" w:rsidR="00A77B3E" w:rsidRPr="00A867B1" w:rsidRDefault="00AF149E" w:rsidP="00DC6159">
      <w:pPr>
        <w:spacing w:line="360" w:lineRule="auto"/>
        <w:jc w:val="both"/>
        <w:rPr>
          <w:rFonts w:ascii="Book Antiqua" w:hAnsi="Book Antiqua" w:cs="Book Antiqua"/>
          <w:b/>
          <w:color w:val="000000"/>
          <w:lang w:eastAsia="zh-CN"/>
        </w:rPr>
      </w:pPr>
      <w:r w:rsidRPr="00DC6159">
        <w:rPr>
          <w:rFonts w:ascii="Book Antiqua" w:eastAsia="Book Antiqua" w:hAnsi="Book Antiqua" w:cs="Book Antiqua"/>
          <w:b/>
          <w:color w:val="000000"/>
        </w:rPr>
        <w:t xml:space="preserve">P-Reviewer: </w:t>
      </w:r>
      <w:r w:rsidRPr="00DC6159">
        <w:rPr>
          <w:rFonts w:ascii="Book Antiqua" w:eastAsia="Book Antiqua" w:hAnsi="Book Antiqua" w:cs="Book Antiqua"/>
          <w:color w:val="000000"/>
        </w:rPr>
        <w:t>Stomeo F</w:t>
      </w:r>
      <w:r w:rsidRPr="00DC6159">
        <w:rPr>
          <w:rFonts w:ascii="Book Antiqua" w:eastAsia="Book Antiqua" w:hAnsi="Book Antiqua" w:cs="Book Antiqua"/>
          <w:b/>
          <w:color w:val="000000"/>
        </w:rPr>
        <w:t xml:space="preserve"> S-Editor: </w:t>
      </w:r>
      <w:r w:rsidRPr="00DC6159">
        <w:rPr>
          <w:rFonts w:ascii="Book Antiqua" w:eastAsia="Book Antiqua" w:hAnsi="Book Antiqua" w:cs="Book Antiqua"/>
          <w:color w:val="000000"/>
        </w:rPr>
        <w:t>Gao CC</w:t>
      </w:r>
      <w:r w:rsidRPr="00DC6159">
        <w:rPr>
          <w:rFonts w:ascii="Book Antiqua" w:eastAsia="Book Antiqua" w:hAnsi="Book Antiqua" w:cs="Book Antiqua"/>
          <w:b/>
          <w:color w:val="000000"/>
        </w:rPr>
        <w:t xml:space="preserve"> L-Editor: </w:t>
      </w:r>
      <w:r w:rsidR="001961C0" w:rsidRPr="00DC6159">
        <w:rPr>
          <w:rFonts w:ascii="Book Antiqua" w:eastAsia="Book Antiqua" w:hAnsi="Book Antiqua" w:cs="Book Antiqua"/>
          <w:bCs/>
          <w:color w:val="000000"/>
        </w:rPr>
        <w:t>Filipodia</w:t>
      </w:r>
      <w:r w:rsidRPr="00DC6159">
        <w:rPr>
          <w:rFonts w:ascii="Book Antiqua" w:eastAsia="Book Antiqua" w:hAnsi="Book Antiqua" w:cs="Book Antiqua"/>
          <w:b/>
          <w:color w:val="000000"/>
        </w:rPr>
        <w:t xml:space="preserve"> P-Editor:</w:t>
      </w:r>
      <w:r w:rsidRPr="00A867B1">
        <w:rPr>
          <w:rFonts w:ascii="Book Antiqua" w:eastAsia="Book Antiqua" w:hAnsi="Book Antiqua" w:cs="Book Antiqua"/>
          <w:color w:val="000000"/>
        </w:rPr>
        <w:t xml:space="preserve"> </w:t>
      </w:r>
      <w:r w:rsidR="00A867B1" w:rsidRPr="00A867B1">
        <w:rPr>
          <w:rFonts w:ascii="Book Antiqua" w:hAnsi="Book Antiqua" w:cs="Book Antiqua" w:hint="eastAsia"/>
          <w:color w:val="000000"/>
          <w:lang w:eastAsia="zh-CN"/>
        </w:rPr>
        <w:t>Li JH</w:t>
      </w:r>
    </w:p>
    <w:p w14:paraId="76756A33" w14:textId="77777777" w:rsidR="000D424D" w:rsidRPr="00DC6159" w:rsidRDefault="000D424D" w:rsidP="00DC6159">
      <w:pPr>
        <w:spacing w:line="360" w:lineRule="auto"/>
        <w:jc w:val="both"/>
        <w:rPr>
          <w:rFonts w:ascii="Book Antiqua" w:hAnsi="Book Antiqua"/>
        </w:rPr>
        <w:sectPr w:rsidR="000D424D" w:rsidRPr="00DC6159" w:rsidSect="00DC6159">
          <w:pgSz w:w="12240" w:h="15840"/>
          <w:pgMar w:top="1440" w:right="1440" w:bottom="1440" w:left="1440" w:header="720" w:footer="720" w:gutter="0"/>
          <w:cols w:space="720"/>
          <w:docGrid w:linePitch="360"/>
        </w:sectPr>
      </w:pPr>
    </w:p>
    <w:p w14:paraId="7613C7E8" w14:textId="3CD1B07F" w:rsidR="00A77B3E" w:rsidRPr="00DC6159" w:rsidRDefault="00AF149E" w:rsidP="00DC6159">
      <w:pPr>
        <w:spacing w:line="360" w:lineRule="auto"/>
        <w:jc w:val="both"/>
        <w:rPr>
          <w:rFonts w:ascii="Book Antiqua" w:eastAsia="Book Antiqua" w:hAnsi="Book Antiqua" w:cs="Book Antiqua"/>
          <w:b/>
          <w:color w:val="000000"/>
        </w:rPr>
      </w:pPr>
      <w:r w:rsidRPr="00DC6159">
        <w:rPr>
          <w:rFonts w:ascii="Book Antiqua" w:eastAsia="Book Antiqua" w:hAnsi="Book Antiqua" w:cs="Book Antiqua"/>
          <w:b/>
          <w:color w:val="000000"/>
        </w:rPr>
        <w:t>Figure Legends</w:t>
      </w:r>
    </w:p>
    <w:p w14:paraId="536CD6B2" w14:textId="6531B66B" w:rsidR="002656E0" w:rsidRPr="00DC6159" w:rsidRDefault="002656E0" w:rsidP="00DC6159">
      <w:pPr>
        <w:spacing w:line="360" w:lineRule="auto"/>
        <w:jc w:val="both"/>
        <w:rPr>
          <w:rFonts w:ascii="Book Antiqua" w:hAnsi="Book Antiqua"/>
        </w:rPr>
      </w:pPr>
      <w:r w:rsidRPr="00DC6159">
        <w:rPr>
          <w:rFonts w:ascii="Book Antiqua" w:hAnsi="Book Antiqua"/>
          <w:noProof/>
          <w:lang w:eastAsia="zh-CN"/>
        </w:rPr>
        <w:drawing>
          <wp:inline distT="0" distB="0" distL="0" distR="0" wp14:anchorId="3F301EAF" wp14:editId="7F15868C">
            <wp:extent cx="2678614" cy="2678614"/>
            <wp:effectExtent l="0" t="0" r="0" b="0"/>
            <wp:docPr id="20" name="图片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85AF51-9383-40DF-85B8-E2E8FAE0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85AF51-9383-40DF-85B8-E2E8FAE0E7A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0977" cy="2680977"/>
                    </a:xfrm>
                    <a:prstGeom prst="rect">
                      <a:avLst/>
                    </a:prstGeom>
                  </pic:spPr>
                </pic:pic>
              </a:graphicData>
            </a:graphic>
          </wp:inline>
        </w:drawing>
      </w:r>
    </w:p>
    <w:p w14:paraId="6FE900F2" w14:textId="779F9712" w:rsidR="002656E0"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1 Clinical appearance.</w:t>
      </w:r>
      <w:r w:rsidRPr="00DC6159">
        <w:rPr>
          <w:rFonts w:ascii="Book Antiqua" w:eastAsia="Book Antiqua" w:hAnsi="Book Antiqua" w:cs="Book Antiqua"/>
          <w:color w:val="000000"/>
        </w:rPr>
        <w:t xml:space="preserve"> The lesion area of the right buccal lesion was about 4 cm × 3 cm, with white lesions within the area of erosion, congestion</w:t>
      </w:r>
      <w:r w:rsidR="00C26CF0">
        <w:rPr>
          <w:rFonts w:ascii="Book Antiqua" w:eastAsia="Book Antiqua" w:hAnsi="Book Antiqua" w:cs="Book Antiqua"/>
          <w:color w:val="000000"/>
        </w:rPr>
        <w:t>,</w:t>
      </w:r>
      <w:r w:rsidRPr="00DC6159">
        <w:rPr>
          <w:rFonts w:ascii="Book Antiqua" w:eastAsia="Book Antiqua" w:hAnsi="Book Antiqua" w:cs="Book Antiqua"/>
          <w:color w:val="000000"/>
        </w:rPr>
        <w:t xml:space="preserve"> and ulceration.</w:t>
      </w:r>
    </w:p>
    <w:p w14:paraId="268F0738" w14:textId="0ED7D66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color w:val="000000"/>
        </w:rPr>
        <w:br w:type="page"/>
      </w:r>
      <w:r w:rsidRPr="00DC6159">
        <w:rPr>
          <w:rFonts w:ascii="Book Antiqua" w:eastAsia="Book Antiqua" w:hAnsi="Book Antiqua" w:cs="Book Antiqua"/>
          <w:noProof/>
          <w:color w:val="000000"/>
          <w:lang w:eastAsia="zh-CN"/>
        </w:rPr>
        <w:drawing>
          <wp:inline distT="0" distB="0" distL="0" distR="0" wp14:anchorId="0949C2F5" wp14:editId="2854C04E">
            <wp:extent cx="2678400" cy="2678400"/>
            <wp:effectExtent l="0" t="0" r="0" b="0"/>
            <wp:docPr id="22" name="图片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715D2A-81AF-4470-BD2B-54F92979C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715D2A-81AF-4470-BD2B-54F92979C98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58D64085" w14:textId="5CC8EA59" w:rsidR="002656E0"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2</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Histopathological analysis revealed hyperepithelialization, hydropic degeneration of the basal cells, unclear basement membrane structure, and infiltration of banded subepithelial lymphocytes and plasma cells.</w:t>
      </w:r>
      <w:r w:rsidRPr="00DC6159">
        <w:rPr>
          <w:rFonts w:ascii="Book Antiqua" w:eastAsia="Book Antiqua" w:hAnsi="Book Antiqua" w:cs="Book Antiqua"/>
          <w:color w:val="000000"/>
        </w:rPr>
        <w:t xml:space="preserve"> All pathological diagnoses </w:t>
      </w:r>
      <w:r w:rsidR="00C86DD8">
        <w:rPr>
          <w:rFonts w:ascii="Book Antiqua" w:eastAsia="Book Antiqua" w:hAnsi="Book Antiqua" w:cs="Book Antiqua"/>
          <w:color w:val="000000"/>
        </w:rPr>
        <w:t>we</w:t>
      </w:r>
      <w:r w:rsidRPr="00DC6159">
        <w:rPr>
          <w:rFonts w:ascii="Book Antiqua" w:eastAsia="Book Antiqua" w:hAnsi="Book Antiqua" w:cs="Book Antiqua"/>
          <w:color w:val="000000"/>
        </w:rPr>
        <w:t xml:space="preserve">re inclined to be lichen planus, and the lesions were not malignant. Scale bar: 100 mm. </w:t>
      </w:r>
    </w:p>
    <w:p w14:paraId="4B2A7284" w14:textId="137E91D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color w:val="000000"/>
        </w:rPr>
        <w:br w:type="page"/>
      </w:r>
      <w:r w:rsidRPr="00DC6159">
        <w:rPr>
          <w:rFonts w:ascii="Book Antiqua" w:eastAsia="Book Antiqua" w:hAnsi="Book Antiqua" w:cs="Book Antiqua"/>
          <w:noProof/>
          <w:color w:val="000000"/>
          <w:lang w:eastAsia="zh-CN"/>
        </w:rPr>
        <w:drawing>
          <wp:inline distT="0" distB="0" distL="0" distR="0" wp14:anchorId="79AE7C70" wp14:editId="11D60844">
            <wp:extent cx="2678400" cy="2678400"/>
            <wp:effectExtent l="0" t="0" r="0" b="0"/>
            <wp:docPr id="3"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A49B8-AF1C-4B03-8C94-B72464656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A49B8-AF1C-4B03-8C94-B7246465653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2E760ADB" w14:textId="32A122D3"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3</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entire layer of the mucosa lesions was removed, to a depth down to the muscular layer.</w:t>
      </w:r>
    </w:p>
    <w:p w14:paraId="5417DDB4" w14:textId="0247C79B"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drawing>
          <wp:inline distT="0" distB="0" distL="0" distR="0" wp14:anchorId="16C1247B" wp14:editId="57DCF39A">
            <wp:extent cx="2678400" cy="2678400"/>
            <wp:effectExtent l="0" t="0" r="0" b="0"/>
            <wp:docPr id="5" name="图片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40F64-6565-437C-8EFE-86D73C05E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40F64-6565-437C-8EFE-86D73C05E4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018B338D" w14:textId="157B8EA9"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4</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Acellular dermal matrix was sutured to the edges of the mucosa with 3-0 Vicryl after local excision.</w:t>
      </w:r>
    </w:p>
    <w:p w14:paraId="08649382" w14:textId="336F382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drawing>
          <wp:inline distT="0" distB="0" distL="0" distR="0" wp14:anchorId="4CCAEC4A" wp14:editId="5571F554">
            <wp:extent cx="2678400" cy="2678400"/>
            <wp:effectExtent l="0" t="0" r="0" b="0"/>
            <wp:docPr id="1"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16C540-C301-4BF8-A656-2B85E853A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16C540-C301-4BF8-A656-2B85E853AA0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54456058" w14:textId="464F6E85"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5</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iodoform yarn strips were packed and placed above the acellular dermal matrix, and the wound sutures were divided into four anti-wrapping and pressurizing strands.</w:t>
      </w:r>
    </w:p>
    <w:p w14:paraId="35D4F889" w14:textId="75BDE1D2"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drawing>
          <wp:inline distT="0" distB="0" distL="0" distR="0" wp14:anchorId="108D29F5" wp14:editId="2726B665">
            <wp:extent cx="2678400" cy="2678400"/>
            <wp:effectExtent l="0" t="0" r="0" b="0"/>
            <wp:docPr id="2" name="图片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2498A-8F3E-4A52-9ED9-FA3134BBD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2498A-8F3E-4A52-9ED9-FA3134BBD3B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048DEBB0" w14:textId="22D3485A" w:rsidR="009942B8"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6</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surgical area was flat with similar mucosal tissue covering and local scar formation.</w:t>
      </w:r>
      <w:r w:rsidRPr="00DC6159">
        <w:rPr>
          <w:rFonts w:ascii="Book Antiqua" w:eastAsia="Book Antiqua" w:hAnsi="Book Antiqua" w:cs="Book Antiqua"/>
          <w:color w:val="000000"/>
        </w:rPr>
        <w:t xml:space="preserve"> The degree of mouth opening returned to normal. The transplanted area remained stable.</w:t>
      </w:r>
    </w:p>
    <w:p w14:paraId="0CBC9342" w14:textId="002B132A" w:rsidR="00A77B3E" w:rsidRPr="00DC6159" w:rsidRDefault="009942B8"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color w:val="000000"/>
        </w:rPr>
        <w:br w:type="page"/>
      </w:r>
      <w:r w:rsidRPr="00DC6159">
        <w:rPr>
          <w:rFonts w:ascii="Book Antiqua" w:eastAsia="Book Antiqua" w:hAnsi="Book Antiqua" w:cs="Book Antiqua"/>
          <w:b/>
          <w:bCs/>
          <w:color w:val="000000"/>
        </w:rPr>
        <w:t>Table 1 Description of patients with oral lichen planus</w:t>
      </w:r>
    </w:p>
    <w:tbl>
      <w:tblPr>
        <w:tblW w:w="5000" w:type="pct"/>
        <w:tblLayout w:type="fixed"/>
        <w:tblLook w:val="04A0" w:firstRow="1" w:lastRow="0" w:firstColumn="1" w:lastColumn="0" w:noHBand="0" w:noVBand="1"/>
      </w:tblPr>
      <w:tblGrid>
        <w:gridCol w:w="838"/>
        <w:gridCol w:w="501"/>
        <w:gridCol w:w="838"/>
        <w:gridCol w:w="1516"/>
        <w:gridCol w:w="1742"/>
        <w:gridCol w:w="1855"/>
        <w:gridCol w:w="2286"/>
      </w:tblGrid>
      <w:tr w:rsidR="009942B8" w:rsidRPr="00DC6159" w14:paraId="25EEB7CA" w14:textId="77777777" w:rsidTr="009942B8">
        <w:tc>
          <w:tcPr>
            <w:tcW w:w="838" w:type="dxa"/>
            <w:tcBorders>
              <w:top w:val="single" w:sz="4" w:space="0" w:color="auto"/>
              <w:bottom w:val="single" w:sz="4" w:space="0" w:color="auto"/>
            </w:tcBorders>
            <w:shd w:val="clear" w:color="auto" w:fill="auto"/>
          </w:tcPr>
          <w:p w14:paraId="1ACAA92C"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Patient</w:t>
            </w:r>
          </w:p>
        </w:tc>
        <w:tc>
          <w:tcPr>
            <w:tcW w:w="501" w:type="dxa"/>
            <w:tcBorders>
              <w:top w:val="single" w:sz="4" w:space="0" w:color="auto"/>
              <w:bottom w:val="single" w:sz="4" w:space="0" w:color="auto"/>
            </w:tcBorders>
            <w:shd w:val="clear" w:color="auto" w:fill="auto"/>
          </w:tcPr>
          <w:p w14:paraId="6BC8B70D"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Sex</w:t>
            </w:r>
          </w:p>
        </w:tc>
        <w:tc>
          <w:tcPr>
            <w:tcW w:w="838" w:type="dxa"/>
            <w:tcBorders>
              <w:top w:val="single" w:sz="4" w:space="0" w:color="auto"/>
              <w:bottom w:val="single" w:sz="4" w:space="0" w:color="auto"/>
            </w:tcBorders>
            <w:shd w:val="clear" w:color="auto" w:fill="auto"/>
          </w:tcPr>
          <w:p w14:paraId="7EEC9E0C" w14:textId="65EFDD0E"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Age</w:t>
            </w:r>
            <w:r w:rsidR="00BB73E2">
              <w:rPr>
                <w:rFonts w:ascii="Book Antiqua" w:hAnsi="Book Antiqua"/>
                <w:b/>
                <w:bCs/>
              </w:rPr>
              <w:t xml:space="preserve"> in</w:t>
            </w:r>
            <w:r w:rsidRPr="00DC6159">
              <w:rPr>
                <w:rFonts w:ascii="Book Antiqua" w:hAnsi="Book Antiqua"/>
                <w:b/>
                <w:bCs/>
              </w:rPr>
              <w:t xml:space="preserve"> yr</w:t>
            </w:r>
          </w:p>
        </w:tc>
        <w:tc>
          <w:tcPr>
            <w:tcW w:w="1516" w:type="dxa"/>
            <w:tcBorders>
              <w:top w:val="single" w:sz="4" w:space="0" w:color="auto"/>
              <w:bottom w:val="single" w:sz="4" w:space="0" w:color="auto"/>
            </w:tcBorders>
            <w:shd w:val="clear" w:color="auto" w:fill="auto"/>
          </w:tcPr>
          <w:p w14:paraId="5BC2B56F" w14:textId="2D68FDD8"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 xml:space="preserve">Duration of LP </w:t>
            </w:r>
            <w:r w:rsidR="00BB73E2">
              <w:rPr>
                <w:rFonts w:ascii="Book Antiqua" w:hAnsi="Book Antiqua"/>
                <w:b/>
                <w:bCs/>
              </w:rPr>
              <w:t xml:space="preserve">in </w:t>
            </w:r>
            <w:r w:rsidRPr="00DC6159">
              <w:rPr>
                <w:rFonts w:ascii="Book Antiqua" w:hAnsi="Book Antiqua"/>
                <w:b/>
                <w:bCs/>
              </w:rPr>
              <w:t>yr</w:t>
            </w:r>
          </w:p>
        </w:tc>
        <w:tc>
          <w:tcPr>
            <w:tcW w:w="1742" w:type="dxa"/>
            <w:tcBorders>
              <w:top w:val="single" w:sz="4" w:space="0" w:color="auto"/>
              <w:bottom w:val="single" w:sz="4" w:space="0" w:color="auto"/>
            </w:tcBorders>
            <w:shd w:val="clear" w:color="auto" w:fill="auto"/>
          </w:tcPr>
          <w:p w14:paraId="57B75A29"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Systemic disease</w:t>
            </w:r>
          </w:p>
        </w:tc>
        <w:tc>
          <w:tcPr>
            <w:tcW w:w="1855" w:type="dxa"/>
            <w:tcBorders>
              <w:top w:val="single" w:sz="4" w:space="0" w:color="auto"/>
              <w:bottom w:val="single" w:sz="4" w:space="0" w:color="auto"/>
            </w:tcBorders>
            <w:shd w:val="clear" w:color="auto" w:fill="auto"/>
          </w:tcPr>
          <w:p w14:paraId="300AB3E2"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Previous treatment</w:t>
            </w:r>
          </w:p>
        </w:tc>
        <w:tc>
          <w:tcPr>
            <w:tcW w:w="2286" w:type="dxa"/>
            <w:tcBorders>
              <w:top w:val="single" w:sz="4" w:space="0" w:color="auto"/>
              <w:bottom w:val="single" w:sz="4" w:space="0" w:color="auto"/>
            </w:tcBorders>
          </w:tcPr>
          <w:p w14:paraId="12857BE5" w14:textId="1C10DC44"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 xml:space="preserve">Previous relapse time </w:t>
            </w:r>
            <w:r w:rsidR="00BB73E2">
              <w:rPr>
                <w:rFonts w:ascii="Book Antiqua" w:hAnsi="Book Antiqua"/>
                <w:b/>
                <w:bCs/>
              </w:rPr>
              <w:t xml:space="preserve">in </w:t>
            </w:r>
            <w:r w:rsidRPr="00DC6159">
              <w:rPr>
                <w:rFonts w:ascii="Book Antiqua" w:hAnsi="Book Antiqua"/>
                <w:b/>
                <w:bCs/>
              </w:rPr>
              <w:t>yr</w:t>
            </w:r>
          </w:p>
        </w:tc>
      </w:tr>
      <w:tr w:rsidR="009942B8" w:rsidRPr="00DC6159" w14:paraId="1ECB4138" w14:textId="77777777" w:rsidTr="009942B8">
        <w:tc>
          <w:tcPr>
            <w:tcW w:w="838" w:type="dxa"/>
            <w:tcBorders>
              <w:top w:val="single" w:sz="4" w:space="0" w:color="auto"/>
            </w:tcBorders>
            <w:shd w:val="clear" w:color="auto" w:fill="auto"/>
          </w:tcPr>
          <w:p w14:paraId="520D91A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c>
          <w:tcPr>
            <w:tcW w:w="501" w:type="dxa"/>
            <w:tcBorders>
              <w:top w:val="single" w:sz="4" w:space="0" w:color="auto"/>
            </w:tcBorders>
            <w:shd w:val="clear" w:color="auto" w:fill="auto"/>
          </w:tcPr>
          <w:p w14:paraId="6D9A9D1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tcBorders>
              <w:top w:val="single" w:sz="4" w:space="0" w:color="auto"/>
            </w:tcBorders>
            <w:shd w:val="clear" w:color="auto" w:fill="auto"/>
          </w:tcPr>
          <w:p w14:paraId="5F8A911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56</w:t>
            </w:r>
          </w:p>
        </w:tc>
        <w:tc>
          <w:tcPr>
            <w:tcW w:w="1516" w:type="dxa"/>
            <w:tcBorders>
              <w:top w:val="single" w:sz="4" w:space="0" w:color="auto"/>
            </w:tcBorders>
            <w:shd w:val="clear" w:color="auto" w:fill="auto"/>
          </w:tcPr>
          <w:p w14:paraId="61ED0FA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tcBorders>
              <w:top w:val="single" w:sz="4" w:space="0" w:color="auto"/>
            </w:tcBorders>
            <w:shd w:val="clear" w:color="auto" w:fill="auto"/>
          </w:tcPr>
          <w:p w14:paraId="5E7F1E0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tcBorders>
              <w:top w:val="single" w:sz="4" w:space="0" w:color="auto"/>
            </w:tcBorders>
            <w:shd w:val="clear" w:color="auto" w:fill="auto"/>
          </w:tcPr>
          <w:p w14:paraId="4DB0365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Borders>
              <w:top w:val="single" w:sz="4" w:space="0" w:color="auto"/>
            </w:tcBorders>
          </w:tcPr>
          <w:p w14:paraId="7C21266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r>
      <w:tr w:rsidR="009942B8" w:rsidRPr="00DC6159" w14:paraId="20D9F2E3" w14:textId="77777777" w:rsidTr="009942B8">
        <w:tc>
          <w:tcPr>
            <w:tcW w:w="838" w:type="dxa"/>
            <w:shd w:val="clear" w:color="auto" w:fill="auto"/>
          </w:tcPr>
          <w:p w14:paraId="7691C84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c>
          <w:tcPr>
            <w:tcW w:w="501" w:type="dxa"/>
            <w:shd w:val="clear" w:color="auto" w:fill="auto"/>
          </w:tcPr>
          <w:p w14:paraId="51BE0C56"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02EC1B7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48</w:t>
            </w:r>
          </w:p>
        </w:tc>
        <w:tc>
          <w:tcPr>
            <w:tcW w:w="1516" w:type="dxa"/>
            <w:shd w:val="clear" w:color="auto" w:fill="auto"/>
          </w:tcPr>
          <w:p w14:paraId="36E7082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1742" w:type="dxa"/>
            <w:shd w:val="clear" w:color="auto" w:fill="auto"/>
          </w:tcPr>
          <w:p w14:paraId="5830FBD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6A3B3E8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7DD99FF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2FF447B1" w14:textId="77777777" w:rsidTr="009942B8">
        <w:tc>
          <w:tcPr>
            <w:tcW w:w="838" w:type="dxa"/>
            <w:shd w:val="clear" w:color="auto" w:fill="auto"/>
          </w:tcPr>
          <w:p w14:paraId="6447BE9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501" w:type="dxa"/>
            <w:shd w:val="clear" w:color="auto" w:fill="auto"/>
          </w:tcPr>
          <w:p w14:paraId="2F667AD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0982A25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60</w:t>
            </w:r>
          </w:p>
        </w:tc>
        <w:tc>
          <w:tcPr>
            <w:tcW w:w="1516" w:type="dxa"/>
            <w:shd w:val="clear" w:color="auto" w:fill="auto"/>
          </w:tcPr>
          <w:p w14:paraId="739A5AC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1742" w:type="dxa"/>
            <w:shd w:val="clear" w:color="auto" w:fill="auto"/>
          </w:tcPr>
          <w:p w14:paraId="0398DA6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19FFB37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019443A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r>
      <w:tr w:rsidR="009942B8" w:rsidRPr="00DC6159" w14:paraId="2F2F9AAD" w14:textId="77777777" w:rsidTr="009942B8">
        <w:tc>
          <w:tcPr>
            <w:tcW w:w="838" w:type="dxa"/>
            <w:shd w:val="clear" w:color="auto" w:fill="auto"/>
          </w:tcPr>
          <w:p w14:paraId="496F2BF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501" w:type="dxa"/>
            <w:shd w:val="clear" w:color="auto" w:fill="auto"/>
          </w:tcPr>
          <w:p w14:paraId="48F67FD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3392C92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59</w:t>
            </w:r>
          </w:p>
        </w:tc>
        <w:tc>
          <w:tcPr>
            <w:tcW w:w="1516" w:type="dxa"/>
            <w:shd w:val="clear" w:color="auto" w:fill="auto"/>
          </w:tcPr>
          <w:p w14:paraId="213A93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shd w:val="clear" w:color="auto" w:fill="auto"/>
          </w:tcPr>
          <w:p w14:paraId="5F409037" w14:textId="4DDED041" w:rsidR="009942B8" w:rsidRPr="00DC6159" w:rsidRDefault="00E11DBA" w:rsidP="00E11DBA">
            <w:pPr>
              <w:suppressAutoHyphens/>
              <w:spacing w:line="360" w:lineRule="auto"/>
              <w:rPr>
                <w:rFonts w:ascii="Book Antiqua" w:hAnsi="Book Antiqua"/>
              </w:rPr>
            </w:pPr>
            <w:r>
              <w:rPr>
                <w:rFonts w:ascii="Book Antiqua" w:hAnsi="Book Antiqua"/>
              </w:rPr>
              <w:t>C</w:t>
            </w:r>
            <w:r w:rsidR="009942B8" w:rsidRPr="00DC6159">
              <w:rPr>
                <w:rFonts w:ascii="Book Antiqua" w:hAnsi="Book Antiqua"/>
              </w:rPr>
              <w:t>hronic hepatitis</w:t>
            </w:r>
          </w:p>
        </w:tc>
        <w:tc>
          <w:tcPr>
            <w:tcW w:w="1855" w:type="dxa"/>
            <w:shd w:val="clear" w:color="auto" w:fill="auto"/>
          </w:tcPr>
          <w:p w14:paraId="4AE9808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7AF54A4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1.5</w:t>
            </w:r>
          </w:p>
        </w:tc>
      </w:tr>
      <w:tr w:rsidR="009942B8" w:rsidRPr="00DC6159" w14:paraId="39DB9EEB" w14:textId="77777777" w:rsidTr="009942B8">
        <w:tc>
          <w:tcPr>
            <w:tcW w:w="838" w:type="dxa"/>
            <w:shd w:val="clear" w:color="auto" w:fill="auto"/>
          </w:tcPr>
          <w:p w14:paraId="504DB5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501" w:type="dxa"/>
            <w:shd w:val="clear" w:color="auto" w:fill="auto"/>
          </w:tcPr>
          <w:p w14:paraId="50400EC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4483F36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55</w:t>
            </w:r>
          </w:p>
        </w:tc>
        <w:tc>
          <w:tcPr>
            <w:tcW w:w="1516" w:type="dxa"/>
            <w:shd w:val="clear" w:color="auto" w:fill="auto"/>
          </w:tcPr>
          <w:p w14:paraId="151ECEE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4.5</w:t>
            </w:r>
          </w:p>
        </w:tc>
        <w:tc>
          <w:tcPr>
            <w:tcW w:w="1742" w:type="dxa"/>
            <w:shd w:val="clear" w:color="auto" w:fill="auto"/>
          </w:tcPr>
          <w:p w14:paraId="59F53FA0" w14:textId="77E82640" w:rsidR="009942B8" w:rsidRPr="00DC6159" w:rsidRDefault="00E11DBA" w:rsidP="00E11DBA">
            <w:pPr>
              <w:suppressAutoHyphens/>
              <w:spacing w:line="360" w:lineRule="auto"/>
              <w:rPr>
                <w:rFonts w:ascii="Book Antiqua" w:hAnsi="Book Antiqua"/>
              </w:rPr>
            </w:pPr>
            <w:r>
              <w:rPr>
                <w:rFonts w:ascii="Book Antiqua" w:hAnsi="Book Antiqua"/>
              </w:rPr>
              <w:t>D</w:t>
            </w:r>
            <w:r w:rsidR="009942B8" w:rsidRPr="00DC6159">
              <w:rPr>
                <w:rFonts w:ascii="Book Antiqua" w:hAnsi="Book Antiqua"/>
              </w:rPr>
              <w:t>iabetes mellitus</w:t>
            </w:r>
          </w:p>
        </w:tc>
        <w:tc>
          <w:tcPr>
            <w:tcW w:w="1855" w:type="dxa"/>
            <w:shd w:val="clear" w:color="auto" w:fill="auto"/>
          </w:tcPr>
          <w:p w14:paraId="3096BB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21AB0B4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336BB288" w14:textId="77777777" w:rsidTr="009942B8">
        <w:tc>
          <w:tcPr>
            <w:tcW w:w="838" w:type="dxa"/>
            <w:shd w:val="clear" w:color="auto" w:fill="auto"/>
          </w:tcPr>
          <w:p w14:paraId="396C833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w:t>
            </w:r>
          </w:p>
        </w:tc>
        <w:tc>
          <w:tcPr>
            <w:tcW w:w="501" w:type="dxa"/>
            <w:shd w:val="clear" w:color="auto" w:fill="auto"/>
          </w:tcPr>
          <w:p w14:paraId="12F20F9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6B4D32C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40</w:t>
            </w:r>
          </w:p>
        </w:tc>
        <w:tc>
          <w:tcPr>
            <w:tcW w:w="1516" w:type="dxa"/>
            <w:shd w:val="clear" w:color="auto" w:fill="auto"/>
          </w:tcPr>
          <w:p w14:paraId="0BA1E01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2.5</w:t>
            </w:r>
          </w:p>
        </w:tc>
        <w:tc>
          <w:tcPr>
            <w:tcW w:w="1742" w:type="dxa"/>
            <w:shd w:val="clear" w:color="auto" w:fill="auto"/>
          </w:tcPr>
          <w:p w14:paraId="5C1EF6D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2AEFCB0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4C4CA53B"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376547CD" w14:textId="77777777" w:rsidTr="009942B8">
        <w:tc>
          <w:tcPr>
            <w:tcW w:w="838" w:type="dxa"/>
            <w:shd w:val="clear" w:color="auto" w:fill="auto"/>
          </w:tcPr>
          <w:p w14:paraId="45ACED0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7</w:t>
            </w:r>
          </w:p>
        </w:tc>
        <w:tc>
          <w:tcPr>
            <w:tcW w:w="501" w:type="dxa"/>
            <w:shd w:val="clear" w:color="auto" w:fill="auto"/>
          </w:tcPr>
          <w:p w14:paraId="160E661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417012F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65</w:t>
            </w:r>
          </w:p>
        </w:tc>
        <w:tc>
          <w:tcPr>
            <w:tcW w:w="1516" w:type="dxa"/>
            <w:shd w:val="clear" w:color="auto" w:fill="auto"/>
          </w:tcPr>
          <w:p w14:paraId="039482E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shd w:val="clear" w:color="auto" w:fill="auto"/>
          </w:tcPr>
          <w:p w14:paraId="1023A29A" w14:textId="2F618CDA" w:rsidR="009942B8" w:rsidRPr="00DC6159" w:rsidRDefault="00E11DBA"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sidR="003E2C16">
              <w:rPr>
                <w:rFonts w:ascii="Book Antiqua" w:hAnsi="Book Antiqua"/>
              </w:rPr>
              <w:t xml:space="preserve">; </w:t>
            </w:r>
            <w:r w:rsidR="009942B8" w:rsidRPr="00DC6159">
              <w:rPr>
                <w:rFonts w:ascii="Book Antiqua" w:hAnsi="Book Antiqua"/>
              </w:rPr>
              <w:t>diabetes mellitus</w:t>
            </w:r>
          </w:p>
        </w:tc>
        <w:tc>
          <w:tcPr>
            <w:tcW w:w="1855" w:type="dxa"/>
            <w:shd w:val="clear" w:color="auto" w:fill="auto"/>
          </w:tcPr>
          <w:p w14:paraId="4221AB9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ciclosporin</w:t>
            </w:r>
          </w:p>
        </w:tc>
        <w:tc>
          <w:tcPr>
            <w:tcW w:w="2286" w:type="dxa"/>
          </w:tcPr>
          <w:p w14:paraId="20C16C5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1.2</w:t>
            </w:r>
          </w:p>
        </w:tc>
      </w:tr>
      <w:tr w:rsidR="009942B8" w:rsidRPr="00DC6159" w14:paraId="0E089F1D" w14:textId="77777777" w:rsidTr="009942B8">
        <w:tc>
          <w:tcPr>
            <w:tcW w:w="838" w:type="dxa"/>
            <w:shd w:val="clear" w:color="auto" w:fill="auto"/>
          </w:tcPr>
          <w:p w14:paraId="43805E4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8</w:t>
            </w:r>
          </w:p>
        </w:tc>
        <w:tc>
          <w:tcPr>
            <w:tcW w:w="501" w:type="dxa"/>
            <w:shd w:val="clear" w:color="auto" w:fill="auto"/>
          </w:tcPr>
          <w:p w14:paraId="2EADF60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62C5414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59</w:t>
            </w:r>
          </w:p>
        </w:tc>
        <w:tc>
          <w:tcPr>
            <w:tcW w:w="1516" w:type="dxa"/>
            <w:shd w:val="clear" w:color="auto" w:fill="auto"/>
          </w:tcPr>
          <w:p w14:paraId="4465A0C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1742" w:type="dxa"/>
            <w:shd w:val="clear" w:color="auto" w:fill="auto"/>
          </w:tcPr>
          <w:p w14:paraId="094A7DDB" w14:textId="67BB8E47" w:rsidR="009942B8" w:rsidRPr="00DC6159" w:rsidRDefault="003E2C16"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Pr>
                <w:rFonts w:ascii="Book Antiqua" w:hAnsi="Book Antiqua"/>
              </w:rPr>
              <w:t xml:space="preserve">; </w:t>
            </w:r>
            <w:r w:rsidR="009942B8" w:rsidRPr="00DC6159">
              <w:rPr>
                <w:rFonts w:ascii="Book Antiqua" w:hAnsi="Book Antiqua"/>
              </w:rPr>
              <w:t>chronic hepatitis</w:t>
            </w:r>
          </w:p>
        </w:tc>
        <w:tc>
          <w:tcPr>
            <w:tcW w:w="1855" w:type="dxa"/>
            <w:shd w:val="clear" w:color="auto" w:fill="auto"/>
          </w:tcPr>
          <w:p w14:paraId="09CAE71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480F4CF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1EEF7F24" w14:textId="77777777" w:rsidTr="009942B8">
        <w:tc>
          <w:tcPr>
            <w:tcW w:w="838" w:type="dxa"/>
            <w:shd w:val="clear" w:color="auto" w:fill="auto"/>
          </w:tcPr>
          <w:p w14:paraId="7BCCC6E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9</w:t>
            </w:r>
          </w:p>
        </w:tc>
        <w:tc>
          <w:tcPr>
            <w:tcW w:w="501" w:type="dxa"/>
            <w:shd w:val="clear" w:color="auto" w:fill="auto"/>
          </w:tcPr>
          <w:p w14:paraId="79F805B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3B00A13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60</w:t>
            </w:r>
          </w:p>
        </w:tc>
        <w:tc>
          <w:tcPr>
            <w:tcW w:w="1516" w:type="dxa"/>
            <w:shd w:val="clear" w:color="auto" w:fill="auto"/>
          </w:tcPr>
          <w:p w14:paraId="2234889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3.5</w:t>
            </w:r>
          </w:p>
        </w:tc>
        <w:tc>
          <w:tcPr>
            <w:tcW w:w="1742" w:type="dxa"/>
            <w:shd w:val="clear" w:color="auto" w:fill="auto"/>
          </w:tcPr>
          <w:p w14:paraId="54685CF2" w14:textId="214E1D4D" w:rsidR="009942B8" w:rsidRPr="00DC6159" w:rsidRDefault="003E2C16" w:rsidP="00E11DBA">
            <w:pPr>
              <w:suppressAutoHyphens/>
              <w:spacing w:line="360" w:lineRule="auto"/>
              <w:rPr>
                <w:rFonts w:ascii="Book Antiqua" w:hAnsi="Book Antiqua"/>
              </w:rPr>
            </w:pPr>
            <w:r>
              <w:rPr>
                <w:rFonts w:ascii="Book Antiqua" w:hAnsi="Book Antiqua"/>
              </w:rPr>
              <w:t>D</w:t>
            </w:r>
            <w:r w:rsidR="009942B8" w:rsidRPr="00DC6159">
              <w:rPr>
                <w:rFonts w:ascii="Book Antiqua" w:hAnsi="Book Antiqua"/>
              </w:rPr>
              <w:t>iabetes mellitus</w:t>
            </w:r>
          </w:p>
        </w:tc>
        <w:tc>
          <w:tcPr>
            <w:tcW w:w="1855" w:type="dxa"/>
            <w:shd w:val="clear" w:color="auto" w:fill="auto"/>
          </w:tcPr>
          <w:p w14:paraId="42C29F2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ciclosporin</w:t>
            </w:r>
          </w:p>
        </w:tc>
        <w:tc>
          <w:tcPr>
            <w:tcW w:w="2286" w:type="dxa"/>
          </w:tcPr>
          <w:p w14:paraId="3F619DC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1.5</w:t>
            </w:r>
          </w:p>
        </w:tc>
      </w:tr>
      <w:tr w:rsidR="009942B8" w:rsidRPr="00DC6159" w14:paraId="5CA99422" w14:textId="77777777" w:rsidTr="009942B8">
        <w:tc>
          <w:tcPr>
            <w:tcW w:w="838" w:type="dxa"/>
            <w:shd w:val="clear" w:color="auto" w:fill="auto"/>
          </w:tcPr>
          <w:p w14:paraId="64ED4E5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10</w:t>
            </w:r>
          </w:p>
        </w:tc>
        <w:tc>
          <w:tcPr>
            <w:tcW w:w="501" w:type="dxa"/>
            <w:shd w:val="clear" w:color="auto" w:fill="auto"/>
          </w:tcPr>
          <w:p w14:paraId="7EE407CB"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0D0BF7E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65</w:t>
            </w:r>
          </w:p>
        </w:tc>
        <w:tc>
          <w:tcPr>
            <w:tcW w:w="1516" w:type="dxa"/>
            <w:shd w:val="clear" w:color="auto" w:fill="auto"/>
          </w:tcPr>
          <w:p w14:paraId="1F32F84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1742" w:type="dxa"/>
            <w:shd w:val="clear" w:color="auto" w:fill="auto"/>
          </w:tcPr>
          <w:p w14:paraId="097FF8FC" w14:textId="01F9ECF8" w:rsidR="009942B8" w:rsidRPr="00DC6159" w:rsidRDefault="003E2C16"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Pr>
                <w:rFonts w:ascii="Book Antiqua" w:hAnsi="Book Antiqua"/>
              </w:rPr>
              <w:t xml:space="preserve">; </w:t>
            </w:r>
            <w:r w:rsidR="009942B8" w:rsidRPr="00DC6159">
              <w:rPr>
                <w:rFonts w:ascii="Book Antiqua" w:hAnsi="Book Antiqua"/>
              </w:rPr>
              <w:t>chronic hepatitis</w:t>
            </w:r>
          </w:p>
        </w:tc>
        <w:tc>
          <w:tcPr>
            <w:tcW w:w="1855" w:type="dxa"/>
            <w:shd w:val="clear" w:color="auto" w:fill="auto"/>
          </w:tcPr>
          <w:p w14:paraId="0D7F9FE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7425794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2.5</w:t>
            </w:r>
          </w:p>
        </w:tc>
      </w:tr>
      <w:tr w:rsidR="009942B8" w:rsidRPr="00DC6159" w14:paraId="61AC0F2B" w14:textId="77777777" w:rsidTr="009942B8">
        <w:tc>
          <w:tcPr>
            <w:tcW w:w="838" w:type="dxa"/>
            <w:tcBorders>
              <w:bottom w:val="single" w:sz="4" w:space="0" w:color="auto"/>
            </w:tcBorders>
            <w:shd w:val="clear" w:color="auto" w:fill="auto"/>
          </w:tcPr>
          <w:p w14:paraId="70A4B29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11</w:t>
            </w:r>
          </w:p>
        </w:tc>
        <w:tc>
          <w:tcPr>
            <w:tcW w:w="501" w:type="dxa"/>
            <w:tcBorders>
              <w:bottom w:val="single" w:sz="4" w:space="0" w:color="auto"/>
            </w:tcBorders>
            <w:shd w:val="clear" w:color="auto" w:fill="auto"/>
          </w:tcPr>
          <w:p w14:paraId="79644DA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tcBorders>
              <w:bottom w:val="single" w:sz="4" w:space="0" w:color="auto"/>
            </w:tcBorders>
            <w:shd w:val="clear" w:color="auto" w:fill="auto"/>
          </w:tcPr>
          <w:p w14:paraId="1804EBB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56</w:t>
            </w:r>
          </w:p>
        </w:tc>
        <w:tc>
          <w:tcPr>
            <w:tcW w:w="1516" w:type="dxa"/>
            <w:tcBorders>
              <w:bottom w:val="single" w:sz="4" w:space="0" w:color="auto"/>
            </w:tcBorders>
            <w:shd w:val="clear" w:color="auto" w:fill="auto"/>
          </w:tcPr>
          <w:p w14:paraId="0FD4C8A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3.5</w:t>
            </w:r>
          </w:p>
        </w:tc>
        <w:tc>
          <w:tcPr>
            <w:tcW w:w="1742" w:type="dxa"/>
            <w:tcBorders>
              <w:bottom w:val="single" w:sz="4" w:space="0" w:color="auto"/>
            </w:tcBorders>
            <w:shd w:val="clear" w:color="auto" w:fill="auto"/>
          </w:tcPr>
          <w:p w14:paraId="712215A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tcBorders>
              <w:bottom w:val="single" w:sz="4" w:space="0" w:color="auto"/>
            </w:tcBorders>
            <w:shd w:val="clear" w:color="auto" w:fill="auto"/>
          </w:tcPr>
          <w:p w14:paraId="43A51B2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Borders>
              <w:bottom w:val="single" w:sz="4" w:space="0" w:color="auto"/>
            </w:tcBorders>
          </w:tcPr>
          <w:p w14:paraId="300F9AA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bl>
    <w:p w14:paraId="0F8AF1BA" w14:textId="6C0497EB" w:rsidR="00A043F5" w:rsidRPr="00DC6159" w:rsidRDefault="009942B8" w:rsidP="00DC6159">
      <w:pPr>
        <w:spacing w:line="360" w:lineRule="auto"/>
        <w:jc w:val="both"/>
        <w:rPr>
          <w:rFonts w:ascii="Book Antiqua" w:hAnsi="Book Antiqua"/>
        </w:rPr>
      </w:pPr>
      <w:r w:rsidRPr="00DC6159">
        <w:rPr>
          <w:rFonts w:ascii="Book Antiqua" w:hAnsi="Book Antiqua"/>
        </w:rPr>
        <w:t xml:space="preserve">CT: Corticosteroid; F: Female; </w:t>
      </w:r>
      <w:r w:rsidR="004C4D39" w:rsidRPr="00DC6159">
        <w:rPr>
          <w:rFonts w:ascii="Book Antiqua" w:hAnsi="Book Antiqua"/>
        </w:rPr>
        <w:t xml:space="preserve">LP: Lichen planus; </w:t>
      </w:r>
      <w:r w:rsidRPr="00DC6159">
        <w:rPr>
          <w:rFonts w:ascii="Book Antiqua" w:hAnsi="Book Antiqua"/>
        </w:rPr>
        <w:t>M: Male.</w:t>
      </w:r>
    </w:p>
    <w:p w14:paraId="198927F3" w14:textId="3F62B2CC" w:rsidR="009942B8" w:rsidRPr="00DC6159" w:rsidRDefault="00A043F5" w:rsidP="00DC6159">
      <w:pPr>
        <w:spacing w:line="360" w:lineRule="auto"/>
        <w:jc w:val="both"/>
        <w:rPr>
          <w:rFonts w:ascii="Book Antiqua" w:hAnsi="Book Antiqua"/>
          <w:b/>
          <w:bCs/>
        </w:rPr>
      </w:pPr>
      <w:r w:rsidRPr="00DC6159">
        <w:rPr>
          <w:rFonts w:ascii="Book Antiqua" w:hAnsi="Book Antiqua"/>
        </w:rPr>
        <w:br w:type="page"/>
      </w:r>
      <w:r w:rsidRPr="00DC6159">
        <w:rPr>
          <w:rFonts w:ascii="Book Antiqua" w:hAnsi="Book Antiqua"/>
          <w:b/>
          <w:bCs/>
        </w:rPr>
        <w:t>Table 2 Evaluation of pain, maximum mouth opening and complete healing</w:t>
      </w:r>
    </w:p>
    <w:tbl>
      <w:tblPr>
        <w:tblStyle w:val="a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129"/>
        <w:gridCol w:w="1531"/>
        <w:gridCol w:w="4428"/>
      </w:tblGrid>
      <w:tr w:rsidR="00A043F5" w:rsidRPr="00DC6159" w14:paraId="183208B2" w14:textId="77777777" w:rsidTr="000766F5">
        <w:trPr>
          <w:trHeight w:val="124"/>
        </w:trPr>
        <w:tc>
          <w:tcPr>
            <w:tcW w:w="2268" w:type="dxa"/>
            <w:tcBorders>
              <w:top w:val="single" w:sz="4" w:space="0" w:color="auto"/>
              <w:bottom w:val="single" w:sz="4" w:space="0" w:color="auto"/>
            </w:tcBorders>
          </w:tcPr>
          <w:p w14:paraId="7ED8764E"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Postoperative day</w:t>
            </w:r>
          </w:p>
        </w:tc>
        <w:tc>
          <w:tcPr>
            <w:tcW w:w="1129" w:type="dxa"/>
            <w:tcBorders>
              <w:top w:val="single" w:sz="4" w:space="0" w:color="auto"/>
              <w:bottom w:val="single" w:sz="4" w:space="0" w:color="auto"/>
            </w:tcBorders>
          </w:tcPr>
          <w:p w14:paraId="513F8698"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VAS</w:t>
            </w:r>
          </w:p>
        </w:tc>
        <w:tc>
          <w:tcPr>
            <w:tcW w:w="1531" w:type="dxa"/>
            <w:tcBorders>
              <w:top w:val="single" w:sz="4" w:space="0" w:color="auto"/>
              <w:bottom w:val="single" w:sz="4" w:space="0" w:color="auto"/>
            </w:tcBorders>
          </w:tcPr>
          <w:p w14:paraId="0D1B6397" w14:textId="7EB2E7FD"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 xml:space="preserve">MMO </w:t>
            </w:r>
            <w:r w:rsidR="004C4D39">
              <w:rPr>
                <w:rFonts w:ascii="Book Antiqua" w:hAnsi="Book Antiqua"/>
                <w:b/>
                <w:bCs/>
              </w:rPr>
              <w:t xml:space="preserve">in </w:t>
            </w:r>
            <w:r w:rsidRPr="00DC6159">
              <w:rPr>
                <w:rFonts w:ascii="Book Antiqua" w:hAnsi="Book Antiqua"/>
                <w:b/>
                <w:bCs/>
              </w:rPr>
              <w:t>cm</w:t>
            </w:r>
          </w:p>
        </w:tc>
        <w:tc>
          <w:tcPr>
            <w:tcW w:w="4428" w:type="dxa"/>
            <w:tcBorders>
              <w:top w:val="single" w:sz="4" w:space="0" w:color="auto"/>
              <w:bottom w:val="single" w:sz="4" w:space="0" w:color="auto"/>
            </w:tcBorders>
          </w:tcPr>
          <w:p w14:paraId="6EC860AF"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 xml:space="preserve">Patients with complete healing, </w:t>
            </w:r>
            <w:r w:rsidRPr="00DC6159">
              <w:rPr>
                <w:rFonts w:ascii="Book Antiqua" w:hAnsi="Book Antiqua"/>
                <w:b/>
                <w:bCs/>
                <w:i/>
                <w:iCs/>
              </w:rPr>
              <w:t>n</w:t>
            </w:r>
            <w:r w:rsidRPr="00DC6159">
              <w:rPr>
                <w:rFonts w:ascii="Book Antiqua" w:hAnsi="Book Antiqua"/>
                <w:b/>
                <w:bCs/>
              </w:rPr>
              <w:t xml:space="preserve"> (%)</w:t>
            </w:r>
          </w:p>
        </w:tc>
      </w:tr>
      <w:tr w:rsidR="00A043F5" w:rsidRPr="00DC6159" w14:paraId="267B36F0" w14:textId="77777777" w:rsidTr="000766F5">
        <w:tc>
          <w:tcPr>
            <w:tcW w:w="2268" w:type="dxa"/>
            <w:tcBorders>
              <w:top w:val="single" w:sz="4" w:space="0" w:color="auto"/>
            </w:tcBorders>
          </w:tcPr>
          <w:p w14:paraId="52845686"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129" w:type="dxa"/>
            <w:tcBorders>
              <w:top w:val="single" w:sz="4" w:space="0" w:color="auto"/>
            </w:tcBorders>
          </w:tcPr>
          <w:p w14:paraId="39F845EC"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3.5</w:t>
            </w:r>
          </w:p>
        </w:tc>
        <w:tc>
          <w:tcPr>
            <w:tcW w:w="1531" w:type="dxa"/>
            <w:tcBorders>
              <w:top w:val="single" w:sz="4" w:space="0" w:color="auto"/>
            </w:tcBorders>
          </w:tcPr>
          <w:p w14:paraId="049F3027"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2.1</w:t>
            </w:r>
          </w:p>
        </w:tc>
        <w:tc>
          <w:tcPr>
            <w:tcW w:w="4428" w:type="dxa"/>
            <w:tcBorders>
              <w:top w:val="single" w:sz="4" w:space="0" w:color="auto"/>
            </w:tcBorders>
          </w:tcPr>
          <w:p w14:paraId="6A06EB3B" w14:textId="0A6A56B3" w:rsidR="00A043F5" w:rsidRPr="00DC6159" w:rsidRDefault="00A043F5" w:rsidP="00E34FA0">
            <w:pPr>
              <w:suppressAutoHyphens/>
              <w:spacing w:line="360" w:lineRule="auto"/>
              <w:rPr>
                <w:rFonts w:ascii="Book Antiqua" w:hAnsi="Book Antiqua"/>
              </w:rPr>
            </w:pPr>
            <w:r w:rsidRPr="00DC6159">
              <w:rPr>
                <w:rFonts w:ascii="Book Antiqua" w:hAnsi="Book Antiqua"/>
              </w:rPr>
              <w:t>-</w:t>
            </w:r>
          </w:p>
        </w:tc>
      </w:tr>
      <w:tr w:rsidR="00A043F5" w:rsidRPr="00DC6159" w14:paraId="20F04989" w14:textId="77777777" w:rsidTr="000766F5">
        <w:tc>
          <w:tcPr>
            <w:tcW w:w="2268" w:type="dxa"/>
          </w:tcPr>
          <w:p w14:paraId="5FF75C5E"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9</w:t>
            </w:r>
          </w:p>
        </w:tc>
        <w:tc>
          <w:tcPr>
            <w:tcW w:w="1129" w:type="dxa"/>
          </w:tcPr>
          <w:p w14:paraId="2F9F716B"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0.8</w:t>
            </w:r>
          </w:p>
        </w:tc>
        <w:tc>
          <w:tcPr>
            <w:tcW w:w="1531" w:type="dxa"/>
          </w:tcPr>
          <w:p w14:paraId="12CEE59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2.8</w:t>
            </w:r>
          </w:p>
        </w:tc>
        <w:tc>
          <w:tcPr>
            <w:tcW w:w="4428" w:type="dxa"/>
          </w:tcPr>
          <w:p w14:paraId="264ADC40" w14:textId="2DBD6D29" w:rsidR="00A043F5" w:rsidRPr="00DC6159" w:rsidRDefault="00A043F5" w:rsidP="00E34FA0">
            <w:pPr>
              <w:suppressAutoHyphens/>
              <w:spacing w:line="360" w:lineRule="auto"/>
              <w:rPr>
                <w:rFonts w:ascii="Book Antiqua" w:hAnsi="Book Antiqua"/>
              </w:rPr>
            </w:pPr>
            <w:r w:rsidRPr="00DC6159">
              <w:rPr>
                <w:rFonts w:ascii="Book Antiqua" w:hAnsi="Book Antiqua"/>
              </w:rPr>
              <w:t>-</w:t>
            </w:r>
          </w:p>
        </w:tc>
      </w:tr>
      <w:tr w:rsidR="00A043F5" w:rsidRPr="00DC6159" w14:paraId="2C9ED0B8" w14:textId="77777777" w:rsidTr="000766F5">
        <w:tc>
          <w:tcPr>
            <w:tcW w:w="2268" w:type="dxa"/>
          </w:tcPr>
          <w:p w14:paraId="3D41CEC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15</w:t>
            </w:r>
          </w:p>
        </w:tc>
        <w:tc>
          <w:tcPr>
            <w:tcW w:w="1129" w:type="dxa"/>
          </w:tcPr>
          <w:p w14:paraId="20A6A97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0.2</w:t>
            </w:r>
          </w:p>
        </w:tc>
        <w:tc>
          <w:tcPr>
            <w:tcW w:w="1531" w:type="dxa"/>
          </w:tcPr>
          <w:p w14:paraId="34C04021"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3.3</w:t>
            </w:r>
          </w:p>
        </w:tc>
        <w:tc>
          <w:tcPr>
            <w:tcW w:w="4428" w:type="dxa"/>
          </w:tcPr>
          <w:p w14:paraId="4E68FC2B" w14:textId="3F8C4E94" w:rsidR="00A043F5" w:rsidRPr="00DC6159" w:rsidRDefault="00A043F5" w:rsidP="00E34FA0">
            <w:pPr>
              <w:suppressAutoHyphens/>
              <w:spacing w:line="360" w:lineRule="auto"/>
              <w:rPr>
                <w:rFonts w:ascii="Book Antiqua" w:hAnsi="Book Antiqua"/>
              </w:rPr>
            </w:pPr>
            <w:r w:rsidRPr="00DC6159">
              <w:rPr>
                <w:rFonts w:ascii="Book Antiqua" w:hAnsi="Book Antiqua"/>
              </w:rPr>
              <w:t>2 (18)</w:t>
            </w:r>
          </w:p>
        </w:tc>
      </w:tr>
      <w:tr w:rsidR="00A043F5" w:rsidRPr="00DC6159" w14:paraId="46EA4F69" w14:textId="77777777" w:rsidTr="000766F5">
        <w:tc>
          <w:tcPr>
            <w:tcW w:w="2268" w:type="dxa"/>
          </w:tcPr>
          <w:p w14:paraId="63B9E72D"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30</w:t>
            </w:r>
          </w:p>
        </w:tc>
        <w:tc>
          <w:tcPr>
            <w:tcW w:w="1129" w:type="dxa"/>
          </w:tcPr>
          <w:p w14:paraId="6DE69C5C"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Pr>
          <w:p w14:paraId="43096EA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3.5</w:t>
            </w:r>
          </w:p>
        </w:tc>
        <w:tc>
          <w:tcPr>
            <w:tcW w:w="4428" w:type="dxa"/>
          </w:tcPr>
          <w:p w14:paraId="5BE6F8F9" w14:textId="307ABF29" w:rsidR="00A043F5" w:rsidRPr="00DC6159" w:rsidRDefault="00A043F5" w:rsidP="00E34FA0">
            <w:pPr>
              <w:suppressAutoHyphens/>
              <w:spacing w:line="360" w:lineRule="auto"/>
              <w:rPr>
                <w:rFonts w:ascii="Book Antiqua" w:hAnsi="Book Antiqua"/>
              </w:rPr>
            </w:pPr>
            <w:r w:rsidRPr="00DC6159">
              <w:rPr>
                <w:rFonts w:ascii="Book Antiqua" w:hAnsi="Book Antiqua"/>
              </w:rPr>
              <w:t>1</w:t>
            </w:r>
            <w:r w:rsidR="003B44E1">
              <w:rPr>
                <w:rFonts w:ascii="Book Antiqua" w:hAnsi="Book Antiqua"/>
              </w:rPr>
              <w:t>0</w:t>
            </w:r>
            <w:r w:rsidRPr="00DC6159">
              <w:rPr>
                <w:rFonts w:ascii="Book Antiqua" w:hAnsi="Book Antiqua"/>
              </w:rPr>
              <w:t xml:space="preserve"> (91)</w:t>
            </w:r>
          </w:p>
        </w:tc>
      </w:tr>
      <w:tr w:rsidR="00A043F5" w:rsidRPr="00DC6159" w14:paraId="667AE1FD" w14:textId="77777777" w:rsidTr="000766F5">
        <w:tc>
          <w:tcPr>
            <w:tcW w:w="2268" w:type="dxa"/>
          </w:tcPr>
          <w:p w14:paraId="25F538A7"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60</w:t>
            </w:r>
          </w:p>
        </w:tc>
        <w:tc>
          <w:tcPr>
            <w:tcW w:w="1129" w:type="dxa"/>
          </w:tcPr>
          <w:p w14:paraId="4B8B196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Pr>
          <w:p w14:paraId="325ABA92"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3.7</w:t>
            </w:r>
          </w:p>
        </w:tc>
        <w:tc>
          <w:tcPr>
            <w:tcW w:w="4428" w:type="dxa"/>
          </w:tcPr>
          <w:p w14:paraId="5DB43C51" w14:textId="58D75BC3" w:rsidR="00A043F5" w:rsidRPr="00DC6159" w:rsidRDefault="00A043F5" w:rsidP="00E34FA0">
            <w:pPr>
              <w:suppressAutoHyphens/>
              <w:spacing w:line="360" w:lineRule="auto"/>
              <w:rPr>
                <w:rFonts w:ascii="Book Antiqua" w:hAnsi="Book Antiqua"/>
              </w:rPr>
            </w:pPr>
            <w:r w:rsidRPr="00DC6159">
              <w:rPr>
                <w:rFonts w:ascii="Book Antiqua" w:hAnsi="Book Antiqua"/>
              </w:rPr>
              <w:t>11 (100)</w:t>
            </w:r>
          </w:p>
        </w:tc>
      </w:tr>
      <w:tr w:rsidR="00A043F5" w:rsidRPr="00DC6159" w14:paraId="4CE07815" w14:textId="77777777" w:rsidTr="000766F5">
        <w:tc>
          <w:tcPr>
            <w:tcW w:w="2268" w:type="dxa"/>
            <w:tcBorders>
              <w:bottom w:val="single" w:sz="4" w:space="0" w:color="auto"/>
            </w:tcBorders>
          </w:tcPr>
          <w:p w14:paraId="133C9CB3"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90</w:t>
            </w:r>
          </w:p>
        </w:tc>
        <w:tc>
          <w:tcPr>
            <w:tcW w:w="1129" w:type="dxa"/>
            <w:tcBorders>
              <w:bottom w:val="single" w:sz="4" w:space="0" w:color="auto"/>
            </w:tcBorders>
          </w:tcPr>
          <w:p w14:paraId="17544730"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Borders>
              <w:bottom w:val="single" w:sz="4" w:space="0" w:color="auto"/>
            </w:tcBorders>
          </w:tcPr>
          <w:p w14:paraId="173BACD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3.8</w:t>
            </w:r>
          </w:p>
        </w:tc>
        <w:tc>
          <w:tcPr>
            <w:tcW w:w="4428" w:type="dxa"/>
            <w:tcBorders>
              <w:bottom w:val="single" w:sz="4" w:space="0" w:color="auto"/>
            </w:tcBorders>
          </w:tcPr>
          <w:p w14:paraId="67629AFB" w14:textId="58E82340" w:rsidR="00A043F5" w:rsidRPr="00DC6159" w:rsidRDefault="00A043F5" w:rsidP="00E34FA0">
            <w:pPr>
              <w:suppressAutoHyphens/>
              <w:spacing w:line="360" w:lineRule="auto"/>
              <w:rPr>
                <w:rFonts w:ascii="Book Antiqua" w:hAnsi="Book Antiqua"/>
              </w:rPr>
            </w:pPr>
            <w:r w:rsidRPr="00DC6159">
              <w:rPr>
                <w:rFonts w:ascii="Book Antiqua" w:hAnsi="Book Antiqua"/>
              </w:rPr>
              <w:t>11 (100)</w:t>
            </w:r>
          </w:p>
        </w:tc>
      </w:tr>
    </w:tbl>
    <w:p w14:paraId="4872059D" w14:textId="3D9DA348" w:rsidR="00BE663C" w:rsidRDefault="00A043F5" w:rsidP="00DC6159">
      <w:pPr>
        <w:spacing w:line="360" w:lineRule="auto"/>
        <w:jc w:val="both"/>
        <w:rPr>
          <w:rFonts w:ascii="Book Antiqua" w:hAnsi="Book Antiqua"/>
        </w:rPr>
      </w:pPr>
      <w:r w:rsidRPr="00DC6159">
        <w:rPr>
          <w:rFonts w:ascii="Book Antiqua" w:hAnsi="Book Antiqua"/>
        </w:rPr>
        <w:t>MMO: Maximum mouth opening; VAS: Visual analog scale.</w:t>
      </w:r>
    </w:p>
    <w:p w14:paraId="638DD4C6" w14:textId="77777777" w:rsidR="00BE663C" w:rsidRDefault="00BE663C">
      <w:pPr>
        <w:rPr>
          <w:rFonts w:ascii="Book Antiqua" w:hAnsi="Book Antiqua"/>
        </w:rPr>
      </w:pPr>
      <w:r>
        <w:rPr>
          <w:rFonts w:ascii="Book Antiqua" w:hAnsi="Book Antiqua"/>
        </w:rPr>
        <w:br w:type="page"/>
      </w:r>
    </w:p>
    <w:p w14:paraId="6A39FA37" w14:textId="77777777" w:rsidR="00BE663C" w:rsidRDefault="00BE663C" w:rsidP="00BE663C">
      <w:pPr>
        <w:jc w:val="center"/>
        <w:rPr>
          <w:rFonts w:ascii="Book Antiqua" w:hAnsi="Book Antiqua"/>
          <w:lang w:eastAsia="zh-CN"/>
        </w:rPr>
      </w:pPr>
    </w:p>
    <w:p w14:paraId="4D410505" w14:textId="77777777" w:rsidR="00BE663C" w:rsidRDefault="00BE663C" w:rsidP="00BE663C">
      <w:pPr>
        <w:jc w:val="center"/>
        <w:rPr>
          <w:rFonts w:ascii="Book Antiqua" w:hAnsi="Book Antiqua"/>
          <w:lang w:eastAsia="zh-CN"/>
        </w:rPr>
      </w:pPr>
    </w:p>
    <w:p w14:paraId="526A6004" w14:textId="77777777" w:rsidR="00BE663C" w:rsidRDefault="00BE663C" w:rsidP="00BE663C">
      <w:pPr>
        <w:jc w:val="center"/>
        <w:rPr>
          <w:rFonts w:ascii="Book Antiqua" w:hAnsi="Book Antiqua"/>
          <w:lang w:eastAsia="zh-CN"/>
        </w:rPr>
      </w:pPr>
    </w:p>
    <w:p w14:paraId="55F25311" w14:textId="77777777" w:rsidR="00BE663C" w:rsidRDefault="00BE663C" w:rsidP="00BE663C">
      <w:pPr>
        <w:jc w:val="center"/>
        <w:rPr>
          <w:rFonts w:ascii="Book Antiqua" w:hAnsi="Book Antiqua"/>
          <w:lang w:eastAsia="zh-CN"/>
        </w:rPr>
      </w:pPr>
    </w:p>
    <w:p w14:paraId="4C69964E" w14:textId="77777777" w:rsidR="00BE663C" w:rsidRDefault="00BE663C" w:rsidP="00BE663C">
      <w:pPr>
        <w:jc w:val="center"/>
        <w:rPr>
          <w:rFonts w:ascii="Book Antiqua" w:hAnsi="Book Antiqua"/>
          <w:lang w:eastAsia="zh-CN"/>
        </w:rPr>
      </w:pPr>
    </w:p>
    <w:p w14:paraId="09B81418" w14:textId="77777777" w:rsidR="00BE663C" w:rsidRDefault="00BE663C" w:rsidP="00BE663C">
      <w:pPr>
        <w:jc w:val="center"/>
        <w:rPr>
          <w:rFonts w:ascii="Book Antiqua" w:hAnsi="Book Antiqua"/>
          <w:lang w:eastAsia="zh-CN"/>
        </w:rPr>
      </w:pPr>
      <w:r>
        <w:rPr>
          <w:rFonts w:ascii="Book Antiqua" w:hAnsi="Book Antiqua"/>
          <w:noProof/>
          <w:lang w:eastAsia="zh-CN"/>
        </w:rPr>
        <w:drawing>
          <wp:inline distT="0" distB="0" distL="0" distR="0" wp14:anchorId="0EA4AF86" wp14:editId="5EEE700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E78374" w14:textId="77777777" w:rsidR="00BE663C" w:rsidRDefault="00BE663C" w:rsidP="00BE663C">
      <w:pPr>
        <w:jc w:val="center"/>
        <w:rPr>
          <w:rFonts w:ascii="Book Antiqua" w:hAnsi="Book Antiqua"/>
          <w:lang w:eastAsia="zh-CN"/>
        </w:rPr>
      </w:pPr>
    </w:p>
    <w:p w14:paraId="4DAAF5D2" w14:textId="77777777" w:rsidR="00BE663C" w:rsidRPr="00763D22" w:rsidRDefault="00BE663C" w:rsidP="00BE663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2A55CB8" w14:textId="77777777" w:rsidR="00BE663C" w:rsidRPr="00763D22" w:rsidRDefault="00BE663C" w:rsidP="00BE66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E2DA1C" w14:textId="77777777" w:rsidR="00BE663C" w:rsidRPr="00763D22" w:rsidRDefault="00BE663C" w:rsidP="00BE66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D620C9" w14:textId="77777777" w:rsidR="00BE663C" w:rsidRPr="00763D22" w:rsidRDefault="00BE663C" w:rsidP="00BE66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B4BD33" w14:textId="77777777" w:rsidR="00BE663C" w:rsidRPr="00763D22" w:rsidRDefault="00BE663C" w:rsidP="00BE66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CB22DF" w14:textId="77777777" w:rsidR="00BE663C" w:rsidRPr="00763D22" w:rsidRDefault="00BE663C" w:rsidP="00BE663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059A95" w14:textId="77777777" w:rsidR="00BE663C" w:rsidRDefault="00BE663C" w:rsidP="00BE663C">
      <w:pPr>
        <w:jc w:val="center"/>
        <w:rPr>
          <w:rFonts w:ascii="Book Antiqua" w:hAnsi="Book Antiqua"/>
          <w:lang w:eastAsia="zh-CN"/>
        </w:rPr>
      </w:pPr>
    </w:p>
    <w:p w14:paraId="78080A3C" w14:textId="77777777" w:rsidR="00BE663C" w:rsidRDefault="00BE663C" w:rsidP="00BE663C">
      <w:pPr>
        <w:jc w:val="center"/>
        <w:rPr>
          <w:rFonts w:ascii="Book Antiqua" w:hAnsi="Book Antiqua"/>
          <w:lang w:eastAsia="zh-CN"/>
        </w:rPr>
      </w:pPr>
    </w:p>
    <w:p w14:paraId="677DA445" w14:textId="77777777" w:rsidR="00BE663C" w:rsidRDefault="00BE663C" w:rsidP="00BE663C">
      <w:pPr>
        <w:jc w:val="center"/>
        <w:rPr>
          <w:rFonts w:ascii="Book Antiqua" w:hAnsi="Book Antiqua"/>
          <w:lang w:eastAsia="zh-CN"/>
        </w:rPr>
      </w:pPr>
    </w:p>
    <w:p w14:paraId="5A13CA4D" w14:textId="77777777" w:rsidR="00BE663C" w:rsidRDefault="00BE663C" w:rsidP="00BE663C">
      <w:pPr>
        <w:jc w:val="center"/>
        <w:rPr>
          <w:rFonts w:ascii="Book Antiqua" w:hAnsi="Book Antiqua"/>
          <w:lang w:eastAsia="zh-CN"/>
        </w:rPr>
      </w:pPr>
      <w:r>
        <w:rPr>
          <w:rFonts w:ascii="Book Antiqua" w:hAnsi="Book Antiqua"/>
          <w:noProof/>
          <w:lang w:eastAsia="zh-CN"/>
        </w:rPr>
        <w:drawing>
          <wp:inline distT="0" distB="0" distL="0" distR="0" wp14:anchorId="7C4DDB1E" wp14:editId="51DC0EC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44C0A4" w14:textId="77777777" w:rsidR="00BE663C" w:rsidRDefault="00BE663C" w:rsidP="00BE663C">
      <w:pPr>
        <w:jc w:val="center"/>
        <w:rPr>
          <w:rFonts w:ascii="Book Antiqua" w:hAnsi="Book Antiqua"/>
          <w:lang w:eastAsia="zh-CN"/>
        </w:rPr>
      </w:pPr>
    </w:p>
    <w:p w14:paraId="1C9F3729" w14:textId="77777777" w:rsidR="00BE663C" w:rsidRDefault="00BE663C" w:rsidP="00BE663C">
      <w:pPr>
        <w:jc w:val="center"/>
        <w:rPr>
          <w:rFonts w:ascii="Book Antiqua" w:hAnsi="Book Antiqua"/>
          <w:lang w:eastAsia="zh-CN"/>
        </w:rPr>
      </w:pPr>
    </w:p>
    <w:p w14:paraId="2313E2BC" w14:textId="77777777" w:rsidR="00BE663C" w:rsidRDefault="00BE663C" w:rsidP="00BE663C">
      <w:pPr>
        <w:jc w:val="center"/>
        <w:rPr>
          <w:rFonts w:ascii="Book Antiqua" w:hAnsi="Book Antiqua"/>
          <w:lang w:eastAsia="zh-CN"/>
        </w:rPr>
      </w:pPr>
    </w:p>
    <w:p w14:paraId="4CEDFAAC" w14:textId="77777777" w:rsidR="00BE663C" w:rsidRDefault="00BE663C" w:rsidP="00BE663C">
      <w:pPr>
        <w:jc w:val="center"/>
        <w:rPr>
          <w:rFonts w:ascii="Book Antiqua" w:hAnsi="Book Antiqua"/>
          <w:lang w:eastAsia="zh-CN"/>
        </w:rPr>
      </w:pPr>
    </w:p>
    <w:p w14:paraId="60B6710C" w14:textId="77777777" w:rsidR="00BE663C" w:rsidRDefault="00BE663C" w:rsidP="00BE663C">
      <w:pPr>
        <w:jc w:val="center"/>
        <w:rPr>
          <w:rFonts w:ascii="Book Antiqua" w:hAnsi="Book Antiqua"/>
          <w:lang w:eastAsia="zh-CN"/>
        </w:rPr>
      </w:pPr>
    </w:p>
    <w:p w14:paraId="521BCE06" w14:textId="77777777" w:rsidR="00BE663C" w:rsidRDefault="00BE663C" w:rsidP="00BE663C">
      <w:pPr>
        <w:jc w:val="center"/>
        <w:rPr>
          <w:rFonts w:ascii="Book Antiqua" w:hAnsi="Book Antiqua"/>
          <w:lang w:eastAsia="zh-CN"/>
        </w:rPr>
      </w:pPr>
    </w:p>
    <w:p w14:paraId="0FBB8EE7" w14:textId="77777777" w:rsidR="00BE663C" w:rsidRDefault="00BE663C" w:rsidP="00BE663C">
      <w:pPr>
        <w:jc w:val="center"/>
        <w:rPr>
          <w:rFonts w:ascii="Book Antiqua" w:hAnsi="Book Antiqua"/>
          <w:lang w:eastAsia="zh-CN"/>
        </w:rPr>
      </w:pPr>
    </w:p>
    <w:p w14:paraId="2965FBC7" w14:textId="77777777" w:rsidR="00BE663C" w:rsidRDefault="00BE663C" w:rsidP="00BE663C">
      <w:pPr>
        <w:jc w:val="center"/>
        <w:rPr>
          <w:rFonts w:ascii="Book Antiqua" w:hAnsi="Book Antiqua"/>
          <w:lang w:eastAsia="zh-CN"/>
        </w:rPr>
      </w:pPr>
    </w:p>
    <w:p w14:paraId="4878BC30" w14:textId="77777777" w:rsidR="00BE663C" w:rsidRDefault="00BE663C" w:rsidP="00BE663C">
      <w:pPr>
        <w:jc w:val="center"/>
        <w:rPr>
          <w:rFonts w:ascii="Book Antiqua" w:hAnsi="Book Antiqua"/>
          <w:lang w:eastAsia="zh-CN"/>
        </w:rPr>
      </w:pPr>
    </w:p>
    <w:p w14:paraId="5AD84E6F" w14:textId="77777777" w:rsidR="00BE663C" w:rsidRPr="00763D22" w:rsidRDefault="00BE663C" w:rsidP="00BE663C">
      <w:pPr>
        <w:jc w:val="right"/>
        <w:rPr>
          <w:rFonts w:ascii="Book Antiqua" w:hAnsi="Book Antiqua"/>
          <w:color w:val="000000" w:themeColor="text1"/>
          <w:lang w:eastAsia="zh-CN"/>
        </w:rPr>
      </w:pPr>
    </w:p>
    <w:p w14:paraId="3745DFBA" w14:textId="77777777" w:rsidR="00BE663C" w:rsidRPr="00763D22" w:rsidRDefault="00BE663C" w:rsidP="00BE663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40ACE6A" w14:textId="77777777" w:rsidR="00A043F5" w:rsidRPr="00DC6159" w:rsidRDefault="00A043F5" w:rsidP="00DC6159">
      <w:pPr>
        <w:spacing w:line="360" w:lineRule="auto"/>
        <w:jc w:val="both"/>
        <w:rPr>
          <w:rFonts w:ascii="Book Antiqua" w:hAnsi="Book Antiqua"/>
        </w:rPr>
      </w:pPr>
      <w:bookmarkStart w:id="0" w:name="_GoBack"/>
      <w:bookmarkEnd w:id="0"/>
    </w:p>
    <w:sectPr w:rsidR="00A043F5" w:rsidRPr="00DC6159" w:rsidSect="00DC6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15D98" w14:textId="77777777" w:rsidR="00251373" w:rsidRDefault="00251373" w:rsidP="00EE6F92">
      <w:r>
        <w:separator/>
      </w:r>
    </w:p>
  </w:endnote>
  <w:endnote w:type="continuationSeparator" w:id="0">
    <w:p w14:paraId="6121A7ED" w14:textId="77777777" w:rsidR="00251373" w:rsidRDefault="00251373" w:rsidP="00EE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4289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CC1A44" w14:textId="4E1AA807" w:rsidR="00CA0EAA" w:rsidRPr="00CA0EAA" w:rsidRDefault="00CA0EAA" w:rsidP="00CA0EAA">
            <w:pPr>
              <w:pStyle w:val="a4"/>
              <w:jc w:val="right"/>
              <w:rPr>
                <w:rFonts w:ascii="Book Antiqua" w:hAnsi="Book Antiqua"/>
                <w:sz w:val="24"/>
                <w:szCs w:val="24"/>
              </w:rPr>
            </w:pPr>
            <w:r w:rsidRPr="00CA0EAA">
              <w:rPr>
                <w:rFonts w:ascii="Book Antiqua" w:hAnsi="Book Antiqua"/>
                <w:sz w:val="24"/>
                <w:szCs w:val="24"/>
                <w:lang w:val="zh-CN" w:eastAsia="zh-CN"/>
              </w:rPr>
              <w:t xml:space="preserve"> </w:t>
            </w:r>
            <w:r w:rsidRPr="00CA0EAA">
              <w:rPr>
                <w:rFonts w:ascii="Book Antiqua" w:hAnsi="Book Antiqua"/>
                <w:sz w:val="24"/>
                <w:szCs w:val="24"/>
              </w:rPr>
              <w:fldChar w:fldCharType="begin"/>
            </w:r>
            <w:r w:rsidRPr="00CA0EAA">
              <w:rPr>
                <w:rFonts w:ascii="Book Antiqua" w:hAnsi="Book Antiqua"/>
                <w:sz w:val="24"/>
                <w:szCs w:val="24"/>
              </w:rPr>
              <w:instrText>PAGE</w:instrText>
            </w:r>
            <w:r w:rsidRPr="00CA0EAA">
              <w:rPr>
                <w:rFonts w:ascii="Book Antiqua" w:hAnsi="Book Antiqua"/>
                <w:sz w:val="24"/>
                <w:szCs w:val="24"/>
              </w:rPr>
              <w:fldChar w:fldCharType="separate"/>
            </w:r>
            <w:r w:rsidR="00251373">
              <w:rPr>
                <w:rFonts w:ascii="Book Antiqua" w:hAnsi="Book Antiqua"/>
                <w:noProof/>
                <w:sz w:val="24"/>
                <w:szCs w:val="24"/>
              </w:rPr>
              <w:t>1</w:t>
            </w:r>
            <w:r w:rsidRPr="00CA0EAA">
              <w:rPr>
                <w:rFonts w:ascii="Book Antiqua" w:hAnsi="Book Antiqua"/>
                <w:sz w:val="24"/>
                <w:szCs w:val="24"/>
              </w:rPr>
              <w:fldChar w:fldCharType="end"/>
            </w:r>
            <w:r w:rsidRPr="00CA0EAA">
              <w:rPr>
                <w:rFonts w:ascii="Book Antiqua" w:hAnsi="Book Antiqua"/>
                <w:sz w:val="24"/>
                <w:szCs w:val="24"/>
                <w:lang w:val="zh-CN" w:eastAsia="zh-CN"/>
              </w:rPr>
              <w:t xml:space="preserve"> / </w:t>
            </w:r>
            <w:r w:rsidRPr="00CA0EAA">
              <w:rPr>
                <w:rFonts w:ascii="Book Antiqua" w:hAnsi="Book Antiqua"/>
                <w:sz w:val="24"/>
                <w:szCs w:val="24"/>
              </w:rPr>
              <w:fldChar w:fldCharType="begin"/>
            </w:r>
            <w:r w:rsidRPr="00CA0EAA">
              <w:rPr>
                <w:rFonts w:ascii="Book Antiqua" w:hAnsi="Book Antiqua"/>
                <w:sz w:val="24"/>
                <w:szCs w:val="24"/>
              </w:rPr>
              <w:instrText>NUMPAGES</w:instrText>
            </w:r>
            <w:r w:rsidRPr="00CA0EAA">
              <w:rPr>
                <w:rFonts w:ascii="Book Antiqua" w:hAnsi="Book Antiqua"/>
                <w:sz w:val="24"/>
                <w:szCs w:val="24"/>
              </w:rPr>
              <w:fldChar w:fldCharType="separate"/>
            </w:r>
            <w:r w:rsidR="00251373">
              <w:rPr>
                <w:rFonts w:ascii="Book Antiqua" w:hAnsi="Book Antiqua"/>
                <w:noProof/>
                <w:sz w:val="24"/>
                <w:szCs w:val="24"/>
              </w:rPr>
              <w:t>1</w:t>
            </w:r>
            <w:r w:rsidRPr="00CA0EAA">
              <w:rPr>
                <w:rFonts w:ascii="Book Antiqua" w:hAnsi="Book Antiqua"/>
                <w:sz w:val="24"/>
                <w:szCs w:val="24"/>
              </w:rPr>
              <w:fldChar w:fldCharType="end"/>
            </w:r>
          </w:p>
        </w:sdtContent>
      </w:sdt>
    </w:sdtContent>
  </w:sdt>
  <w:p w14:paraId="52D0822E" w14:textId="77777777" w:rsidR="00CA0EAA" w:rsidRPr="00CA0EAA" w:rsidRDefault="00CA0EAA" w:rsidP="00CA0EA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89E2C" w14:textId="77777777" w:rsidR="00251373" w:rsidRDefault="00251373" w:rsidP="00EE6F92">
      <w:r>
        <w:separator/>
      </w:r>
    </w:p>
  </w:footnote>
  <w:footnote w:type="continuationSeparator" w:id="0">
    <w:p w14:paraId="4B317DD1" w14:textId="77777777" w:rsidR="00251373" w:rsidRDefault="00251373" w:rsidP="00EE6F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66F5"/>
    <w:rsid w:val="000A0221"/>
    <w:rsid w:val="000D37A8"/>
    <w:rsid w:val="000D424D"/>
    <w:rsid w:val="001936B7"/>
    <w:rsid w:val="001961C0"/>
    <w:rsid w:val="0020469D"/>
    <w:rsid w:val="002133F4"/>
    <w:rsid w:val="00251373"/>
    <w:rsid w:val="002656E0"/>
    <w:rsid w:val="00271ED1"/>
    <w:rsid w:val="00344242"/>
    <w:rsid w:val="00364430"/>
    <w:rsid w:val="003912C1"/>
    <w:rsid w:val="0039461C"/>
    <w:rsid w:val="003B44E1"/>
    <w:rsid w:val="003D1CB5"/>
    <w:rsid w:val="003D1DC1"/>
    <w:rsid w:val="003E2C16"/>
    <w:rsid w:val="004C4D39"/>
    <w:rsid w:val="004E06C9"/>
    <w:rsid w:val="005D4821"/>
    <w:rsid w:val="005D49BD"/>
    <w:rsid w:val="0066731F"/>
    <w:rsid w:val="00682AC4"/>
    <w:rsid w:val="006E07DA"/>
    <w:rsid w:val="00707F25"/>
    <w:rsid w:val="007155A9"/>
    <w:rsid w:val="0072001B"/>
    <w:rsid w:val="00766B07"/>
    <w:rsid w:val="007960A1"/>
    <w:rsid w:val="007A1E8E"/>
    <w:rsid w:val="007B3AC2"/>
    <w:rsid w:val="0081222A"/>
    <w:rsid w:val="00820445"/>
    <w:rsid w:val="00896776"/>
    <w:rsid w:val="008A74ED"/>
    <w:rsid w:val="008F6D9C"/>
    <w:rsid w:val="0096002A"/>
    <w:rsid w:val="00970D5A"/>
    <w:rsid w:val="00973FDD"/>
    <w:rsid w:val="009942B8"/>
    <w:rsid w:val="009B01A6"/>
    <w:rsid w:val="009D54EB"/>
    <w:rsid w:val="009E02DB"/>
    <w:rsid w:val="00A043F5"/>
    <w:rsid w:val="00A37144"/>
    <w:rsid w:val="00A61F31"/>
    <w:rsid w:val="00A74940"/>
    <w:rsid w:val="00A77B3E"/>
    <w:rsid w:val="00A867B1"/>
    <w:rsid w:val="00AD5BBB"/>
    <w:rsid w:val="00AF149E"/>
    <w:rsid w:val="00B65392"/>
    <w:rsid w:val="00BB73E2"/>
    <w:rsid w:val="00BE663C"/>
    <w:rsid w:val="00BF56E3"/>
    <w:rsid w:val="00C07E98"/>
    <w:rsid w:val="00C26CF0"/>
    <w:rsid w:val="00C30F09"/>
    <w:rsid w:val="00C3510E"/>
    <w:rsid w:val="00C437DC"/>
    <w:rsid w:val="00C46E10"/>
    <w:rsid w:val="00C6749F"/>
    <w:rsid w:val="00C86DD8"/>
    <w:rsid w:val="00C90C27"/>
    <w:rsid w:val="00CA0EAA"/>
    <w:rsid w:val="00CA2A55"/>
    <w:rsid w:val="00D0641F"/>
    <w:rsid w:val="00DC4294"/>
    <w:rsid w:val="00DC6159"/>
    <w:rsid w:val="00E11DBA"/>
    <w:rsid w:val="00E34FA0"/>
    <w:rsid w:val="00EC2943"/>
    <w:rsid w:val="00EE6F92"/>
    <w:rsid w:val="00EF3F49"/>
    <w:rsid w:val="00F546DA"/>
    <w:rsid w:val="00F7076C"/>
    <w:rsid w:val="00F96195"/>
    <w:rsid w:val="00FD7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C3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6F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6F92"/>
    <w:rPr>
      <w:sz w:val="18"/>
      <w:szCs w:val="18"/>
    </w:rPr>
  </w:style>
  <w:style w:type="paragraph" w:styleId="a4">
    <w:name w:val="footer"/>
    <w:basedOn w:val="a"/>
    <w:link w:val="Char0"/>
    <w:uiPriority w:val="99"/>
    <w:unhideWhenUsed/>
    <w:rsid w:val="00EE6F92"/>
    <w:pPr>
      <w:tabs>
        <w:tab w:val="center" w:pos="4153"/>
        <w:tab w:val="right" w:pos="8306"/>
      </w:tabs>
      <w:snapToGrid w:val="0"/>
    </w:pPr>
    <w:rPr>
      <w:sz w:val="18"/>
      <w:szCs w:val="18"/>
    </w:rPr>
  </w:style>
  <w:style w:type="character" w:customStyle="1" w:styleId="Char0">
    <w:name w:val="页脚 Char"/>
    <w:basedOn w:val="a0"/>
    <w:link w:val="a4"/>
    <w:uiPriority w:val="99"/>
    <w:rsid w:val="00EE6F92"/>
    <w:rPr>
      <w:sz w:val="18"/>
      <w:szCs w:val="18"/>
    </w:rPr>
  </w:style>
  <w:style w:type="paragraph" w:styleId="a5">
    <w:name w:val="Balloon Text"/>
    <w:basedOn w:val="a"/>
    <w:link w:val="Char1"/>
    <w:rsid w:val="00EE6F92"/>
    <w:rPr>
      <w:sz w:val="18"/>
      <w:szCs w:val="18"/>
    </w:rPr>
  </w:style>
  <w:style w:type="character" w:customStyle="1" w:styleId="Char1">
    <w:name w:val="批注框文本 Char"/>
    <w:basedOn w:val="a0"/>
    <w:link w:val="a5"/>
    <w:rsid w:val="00EE6F92"/>
    <w:rPr>
      <w:sz w:val="18"/>
      <w:szCs w:val="18"/>
    </w:rPr>
  </w:style>
  <w:style w:type="table" w:styleId="a6">
    <w:name w:val="Table Grid"/>
    <w:basedOn w:val="a1"/>
    <w:uiPriority w:val="39"/>
    <w:rsid w:val="00A043F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96002A"/>
    <w:rPr>
      <w:sz w:val="16"/>
      <w:szCs w:val="16"/>
    </w:rPr>
  </w:style>
  <w:style w:type="paragraph" w:styleId="a8">
    <w:name w:val="annotation text"/>
    <w:basedOn w:val="a"/>
    <w:link w:val="Char2"/>
    <w:semiHidden/>
    <w:unhideWhenUsed/>
    <w:rsid w:val="0096002A"/>
    <w:rPr>
      <w:sz w:val="20"/>
      <w:szCs w:val="20"/>
    </w:rPr>
  </w:style>
  <w:style w:type="character" w:customStyle="1" w:styleId="Char2">
    <w:name w:val="批注文字 Char"/>
    <w:basedOn w:val="a0"/>
    <w:link w:val="a8"/>
    <w:semiHidden/>
    <w:rsid w:val="0096002A"/>
  </w:style>
  <w:style w:type="paragraph" w:styleId="a9">
    <w:name w:val="annotation subject"/>
    <w:basedOn w:val="a8"/>
    <w:next w:val="a8"/>
    <w:link w:val="Char3"/>
    <w:semiHidden/>
    <w:unhideWhenUsed/>
    <w:rsid w:val="0096002A"/>
    <w:rPr>
      <w:b/>
      <w:bCs/>
    </w:rPr>
  </w:style>
  <w:style w:type="character" w:customStyle="1" w:styleId="Char3">
    <w:name w:val="批注主题 Char"/>
    <w:basedOn w:val="Char2"/>
    <w:link w:val="a9"/>
    <w:semiHidden/>
    <w:rsid w:val="009600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6F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6F92"/>
    <w:rPr>
      <w:sz w:val="18"/>
      <w:szCs w:val="18"/>
    </w:rPr>
  </w:style>
  <w:style w:type="paragraph" w:styleId="a4">
    <w:name w:val="footer"/>
    <w:basedOn w:val="a"/>
    <w:link w:val="Char0"/>
    <w:uiPriority w:val="99"/>
    <w:unhideWhenUsed/>
    <w:rsid w:val="00EE6F92"/>
    <w:pPr>
      <w:tabs>
        <w:tab w:val="center" w:pos="4153"/>
        <w:tab w:val="right" w:pos="8306"/>
      </w:tabs>
      <w:snapToGrid w:val="0"/>
    </w:pPr>
    <w:rPr>
      <w:sz w:val="18"/>
      <w:szCs w:val="18"/>
    </w:rPr>
  </w:style>
  <w:style w:type="character" w:customStyle="1" w:styleId="Char0">
    <w:name w:val="页脚 Char"/>
    <w:basedOn w:val="a0"/>
    <w:link w:val="a4"/>
    <w:uiPriority w:val="99"/>
    <w:rsid w:val="00EE6F92"/>
    <w:rPr>
      <w:sz w:val="18"/>
      <w:szCs w:val="18"/>
    </w:rPr>
  </w:style>
  <w:style w:type="paragraph" w:styleId="a5">
    <w:name w:val="Balloon Text"/>
    <w:basedOn w:val="a"/>
    <w:link w:val="Char1"/>
    <w:rsid w:val="00EE6F92"/>
    <w:rPr>
      <w:sz w:val="18"/>
      <w:szCs w:val="18"/>
    </w:rPr>
  </w:style>
  <w:style w:type="character" w:customStyle="1" w:styleId="Char1">
    <w:name w:val="批注框文本 Char"/>
    <w:basedOn w:val="a0"/>
    <w:link w:val="a5"/>
    <w:rsid w:val="00EE6F92"/>
    <w:rPr>
      <w:sz w:val="18"/>
      <w:szCs w:val="18"/>
    </w:rPr>
  </w:style>
  <w:style w:type="table" w:styleId="a6">
    <w:name w:val="Table Grid"/>
    <w:basedOn w:val="a1"/>
    <w:uiPriority w:val="39"/>
    <w:rsid w:val="00A043F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96002A"/>
    <w:rPr>
      <w:sz w:val="16"/>
      <w:szCs w:val="16"/>
    </w:rPr>
  </w:style>
  <w:style w:type="paragraph" w:styleId="a8">
    <w:name w:val="annotation text"/>
    <w:basedOn w:val="a"/>
    <w:link w:val="Char2"/>
    <w:semiHidden/>
    <w:unhideWhenUsed/>
    <w:rsid w:val="0096002A"/>
    <w:rPr>
      <w:sz w:val="20"/>
      <w:szCs w:val="20"/>
    </w:rPr>
  </w:style>
  <w:style w:type="character" w:customStyle="1" w:styleId="Char2">
    <w:name w:val="批注文字 Char"/>
    <w:basedOn w:val="a0"/>
    <w:link w:val="a8"/>
    <w:semiHidden/>
    <w:rsid w:val="0096002A"/>
  </w:style>
  <w:style w:type="paragraph" w:styleId="a9">
    <w:name w:val="annotation subject"/>
    <w:basedOn w:val="a8"/>
    <w:next w:val="a8"/>
    <w:link w:val="Char3"/>
    <w:semiHidden/>
    <w:unhideWhenUsed/>
    <w:rsid w:val="0096002A"/>
    <w:rPr>
      <w:b/>
      <w:bCs/>
    </w:rPr>
  </w:style>
  <w:style w:type="character" w:customStyle="1" w:styleId="Char3">
    <w:name w:val="批注主题 Char"/>
    <w:basedOn w:val="Char2"/>
    <w:link w:val="a9"/>
    <w:semiHidden/>
    <w:rsid w:val="00960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9054-FD7C-4A47-8F5B-F0FD34F8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4575</Words>
  <Characters>26084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2021-01-10T20:24:00Z</dcterms:created>
  <dcterms:modified xsi:type="dcterms:W3CDTF">2021-02-04T13:14:00Z</dcterms:modified>
</cp:coreProperties>
</file>