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161B" w14:textId="77777777" w:rsidR="00A77B3E" w:rsidRDefault="00C77B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45DE8E5" w14:textId="77777777" w:rsidR="00A77B3E" w:rsidRDefault="00C77B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60186</w:t>
      </w:r>
    </w:p>
    <w:p w14:paraId="11BC6000" w14:textId="77777777" w:rsidR="00A77B3E" w:rsidRDefault="00C77B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ACADEMIC ACTIVITY REPORT</w:t>
      </w:r>
    </w:p>
    <w:p w14:paraId="02BBAC6E" w14:textId="77777777" w:rsidR="00A77B3E" w:rsidRDefault="00A77B3E">
      <w:pPr>
        <w:spacing w:line="360" w:lineRule="auto"/>
        <w:jc w:val="both"/>
      </w:pPr>
    </w:p>
    <w:p w14:paraId="74D2B5EC" w14:textId="77777777" w:rsidR="00A77B3E" w:rsidRDefault="00C77B70">
      <w:pPr>
        <w:spacing w:line="360" w:lineRule="auto"/>
        <w:jc w:val="both"/>
      </w:pPr>
      <w:r>
        <w:rPr>
          <w:rFonts w:ascii="Book Antiqua" w:eastAsia="Book Antiqua" w:hAnsi="Book Antiqua" w:cs="Book Antiqua"/>
          <w:b/>
          <w:color w:val="000000"/>
          <w:szCs w:val="27"/>
        </w:rPr>
        <w:t>Survey concerning internal medicine physicians and prolonged QT interval: Knowledge and treatment practices</w:t>
      </w:r>
    </w:p>
    <w:p w14:paraId="529A2741" w14:textId="77777777" w:rsidR="00A77B3E" w:rsidRDefault="00A77B3E">
      <w:pPr>
        <w:spacing w:line="360" w:lineRule="auto"/>
        <w:jc w:val="both"/>
      </w:pPr>
    </w:p>
    <w:p w14:paraId="7EE0D794" w14:textId="0E0BC6F4" w:rsidR="00A77B3E" w:rsidRDefault="00595EED">
      <w:pPr>
        <w:spacing w:line="360" w:lineRule="auto"/>
        <w:jc w:val="both"/>
      </w:pPr>
      <w:proofErr w:type="spellStart"/>
      <w:r>
        <w:rPr>
          <w:rFonts w:ascii="Book Antiqua" w:eastAsia="Book Antiqua" w:hAnsi="Book Antiqua" w:cs="Book Antiqua"/>
          <w:color w:val="000000"/>
        </w:rPr>
        <w:t>Wendl</w:t>
      </w:r>
      <w:proofErr w:type="spellEnd"/>
      <w:r>
        <w:rPr>
          <w:rFonts w:ascii="Book Antiqua" w:eastAsia="Book Antiqua" w:hAnsi="Book Antiqua" w:cs="Book Antiqua"/>
          <w:color w:val="000000"/>
        </w:rPr>
        <w:t xml:space="preserve"> E </w:t>
      </w:r>
      <w:r w:rsidRPr="004361D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77B70">
        <w:rPr>
          <w:rFonts w:ascii="Book Antiqua" w:eastAsia="Book Antiqua" w:hAnsi="Book Antiqua" w:cs="Book Antiqua"/>
          <w:color w:val="000000"/>
        </w:rPr>
        <w:t>Survey of QT</w:t>
      </w:r>
      <w:r w:rsidR="00DE2132">
        <w:rPr>
          <w:rFonts w:ascii="Book Antiqua" w:eastAsia="Book Antiqua" w:hAnsi="Book Antiqua" w:cs="Book Antiqua"/>
          <w:color w:val="000000"/>
        </w:rPr>
        <w:t>c</w:t>
      </w:r>
      <w:r w:rsidR="00C77B70">
        <w:rPr>
          <w:rFonts w:ascii="Book Antiqua" w:eastAsia="Book Antiqua" w:hAnsi="Book Antiqua" w:cs="Book Antiqua"/>
          <w:color w:val="000000"/>
        </w:rPr>
        <w:t xml:space="preserve"> interval and </w:t>
      </w:r>
      <w:r w:rsidR="000C0634">
        <w:rPr>
          <w:rFonts w:ascii="Book Antiqua" w:eastAsia="Book Antiqua" w:hAnsi="Book Antiqua" w:cs="Book Antiqua"/>
          <w:color w:val="000000"/>
        </w:rPr>
        <w:t>i</w:t>
      </w:r>
      <w:r w:rsidR="00C77B70">
        <w:rPr>
          <w:rFonts w:ascii="Book Antiqua" w:eastAsia="Book Antiqua" w:hAnsi="Book Antiqua" w:cs="Book Antiqua"/>
          <w:color w:val="000000"/>
        </w:rPr>
        <w:t>nternists</w:t>
      </w:r>
    </w:p>
    <w:p w14:paraId="12BB4958" w14:textId="77777777" w:rsidR="00A77B3E" w:rsidRDefault="00A77B3E">
      <w:pPr>
        <w:spacing w:line="360" w:lineRule="auto"/>
        <w:jc w:val="both"/>
      </w:pPr>
    </w:p>
    <w:p w14:paraId="35F9831F" w14:textId="77777777" w:rsidR="00A77B3E" w:rsidRDefault="00C77B70">
      <w:pPr>
        <w:spacing w:line="360" w:lineRule="auto"/>
        <w:jc w:val="both"/>
      </w:pPr>
      <w:r>
        <w:rPr>
          <w:rFonts w:ascii="Book Antiqua" w:eastAsia="Book Antiqua" w:hAnsi="Book Antiqua" w:cs="Book Antiqua"/>
          <w:color w:val="000000"/>
        </w:rPr>
        <w:t xml:space="preserve">Elizabeth </w:t>
      </w:r>
      <w:proofErr w:type="spellStart"/>
      <w:r>
        <w:rPr>
          <w:rFonts w:ascii="Book Antiqua" w:eastAsia="Book Antiqua" w:hAnsi="Book Antiqua" w:cs="Book Antiqua"/>
          <w:color w:val="000000"/>
        </w:rPr>
        <w:t>Wendl</w:t>
      </w:r>
      <w:proofErr w:type="spellEnd"/>
      <w:r>
        <w:rPr>
          <w:rFonts w:ascii="Book Antiqua" w:eastAsia="Book Antiqua" w:hAnsi="Book Antiqua" w:cs="Book Antiqua"/>
          <w:color w:val="000000"/>
        </w:rPr>
        <w:t xml:space="preserve">, Nelson </w:t>
      </w:r>
      <w:proofErr w:type="spellStart"/>
      <w:r>
        <w:rPr>
          <w:rFonts w:ascii="Book Antiqua" w:eastAsia="Book Antiqua" w:hAnsi="Book Antiqua" w:cs="Book Antiqua"/>
          <w:color w:val="000000"/>
        </w:rPr>
        <w:t>Telles</w:t>
      </w:r>
      <w:proofErr w:type="spellEnd"/>
      <w:r>
        <w:rPr>
          <w:rFonts w:ascii="Book Antiqua" w:eastAsia="Book Antiqua" w:hAnsi="Book Antiqua" w:cs="Book Antiqua"/>
          <w:color w:val="000000"/>
        </w:rPr>
        <w:t>, Geoff C Wall</w:t>
      </w:r>
    </w:p>
    <w:p w14:paraId="4028010C" w14:textId="77777777" w:rsidR="00A77B3E" w:rsidRDefault="00A77B3E">
      <w:pPr>
        <w:spacing w:line="360" w:lineRule="auto"/>
        <w:jc w:val="both"/>
      </w:pPr>
    </w:p>
    <w:p w14:paraId="59BCF975" w14:textId="77777777" w:rsidR="00A77B3E" w:rsidRDefault="00C77B70">
      <w:pPr>
        <w:spacing w:line="360" w:lineRule="auto"/>
        <w:jc w:val="both"/>
      </w:pPr>
      <w:r>
        <w:rPr>
          <w:rFonts w:ascii="Book Antiqua" w:eastAsia="Book Antiqua" w:hAnsi="Book Antiqua" w:cs="Book Antiqua"/>
          <w:b/>
          <w:bCs/>
          <w:color w:val="000000"/>
        </w:rPr>
        <w:t xml:space="preserve">Elizabeth </w:t>
      </w:r>
      <w:proofErr w:type="spellStart"/>
      <w:r>
        <w:rPr>
          <w:rFonts w:ascii="Book Antiqua" w:eastAsia="Book Antiqua" w:hAnsi="Book Antiqua" w:cs="Book Antiqua"/>
          <w:b/>
          <w:bCs/>
          <w:color w:val="000000"/>
        </w:rPr>
        <w:t>Wendl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Education, Internal Medicine Residency Program, Iowa Methodist Medical Center, Des Moines, IA 50311, United States</w:t>
      </w:r>
    </w:p>
    <w:p w14:paraId="41BADE03" w14:textId="77777777" w:rsidR="00A77B3E" w:rsidRDefault="00A77B3E">
      <w:pPr>
        <w:spacing w:line="360" w:lineRule="auto"/>
        <w:jc w:val="both"/>
      </w:pPr>
    </w:p>
    <w:p w14:paraId="38E3F122" w14:textId="77777777" w:rsidR="00A77B3E" w:rsidRDefault="00C77B70">
      <w:pPr>
        <w:spacing w:line="360" w:lineRule="auto"/>
        <w:jc w:val="both"/>
      </w:pPr>
      <w:r>
        <w:rPr>
          <w:rFonts w:ascii="Book Antiqua" w:eastAsia="Book Antiqua" w:hAnsi="Book Antiqua" w:cs="Book Antiqua"/>
          <w:b/>
          <w:bCs/>
          <w:color w:val="000000"/>
        </w:rPr>
        <w:t xml:space="preserve">Nelson </w:t>
      </w:r>
      <w:proofErr w:type="spellStart"/>
      <w:r>
        <w:rPr>
          <w:rFonts w:ascii="Book Antiqua" w:eastAsia="Book Antiqua" w:hAnsi="Book Antiqua" w:cs="Book Antiqua"/>
          <w:b/>
          <w:bCs/>
          <w:color w:val="000000"/>
        </w:rPr>
        <w:t>Telles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Internal Medicine Residency Program, Iowa Methodist Medical Center, Des Moines, IA 50311, United States</w:t>
      </w:r>
    </w:p>
    <w:p w14:paraId="1BA6693D" w14:textId="77777777" w:rsidR="00A77B3E" w:rsidRDefault="00A77B3E">
      <w:pPr>
        <w:spacing w:line="360" w:lineRule="auto"/>
        <w:jc w:val="both"/>
      </w:pPr>
    </w:p>
    <w:p w14:paraId="5A20125D" w14:textId="77777777" w:rsidR="00A77B3E" w:rsidRDefault="00C77B70">
      <w:pPr>
        <w:spacing w:line="360" w:lineRule="auto"/>
        <w:jc w:val="both"/>
      </w:pPr>
      <w:r>
        <w:rPr>
          <w:rFonts w:ascii="Book Antiqua" w:eastAsia="Book Antiqua" w:hAnsi="Book Antiqua" w:cs="Book Antiqua"/>
          <w:b/>
          <w:bCs/>
          <w:color w:val="000000"/>
        </w:rPr>
        <w:t xml:space="preserve">Geoff C Wall, </w:t>
      </w:r>
      <w:r>
        <w:rPr>
          <w:rFonts w:ascii="Book Antiqua" w:eastAsia="Book Antiqua" w:hAnsi="Book Antiqua" w:cs="Book Antiqua"/>
          <w:color w:val="000000"/>
        </w:rPr>
        <w:t>Department of Pharmacy Practice, Drake University College of Pharmacy and Health Sciences, Des Moines, IA 50311, United States</w:t>
      </w:r>
    </w:p>
    <w:p w14:paraId="1B6D6562" w14:textId="77777777" w:rsidR="00A77B3E" w:rsidRDefault="00A77B3E">
      <w:pPr>
        <w:spacing w:line="360" w:lineRule="auto"/>
        <w:jc w:val="both"/>
      </w:pPr>
    </w:p>
    <w:p w14:paraId="4ED73425" w14:textId="77777777" w:rsidR="00A77B3E" w:rsidRDefault="00C77B70">
      <w:pPr>
        <w:spacing w:line="360" w:lineRule="auto"/>
        <w:jc w:val="both"/>
      </w:pPr>
      <w:r>
        <w:rPr>
          <w:rFonts w:ascii="Book Antiqua" w:eastAsia="Book Antiqua" w:hAnsi="Book Antiqua" w:cs="Book Antiqua"/>
          <w:b/>
          <w:bCs/>
          <w:color w:val="000000"/>
        </w:rPr>
        <w:t xml:space="preserve">Geoff C Wall, </w:t>
      </w:r>
      <w:r>
        <w:rPr>
          <w:rFonts w:ascii="Book Antiqua" w:eastAsia="Book Antiqua" w:hAnsi="Book Antiqua" w:cs="Book Antiqua"/>
          <w:color w:val="000000"/>
        </w:rPr>
        <w:t>Internal Medicine Residency Program, Iowa Methodist Medical Center, Des Moines, IA 50311, United States</w:t>
      </w:r>
    </w:p>
    <w:p w14:paraId="30F85D96" w14:textId="77777777" w:rsidR="00A77B3E" w:rsidRDefault="00A77B3E">
      <w:pPr>
        <w:spacing w:line="360" w:lineRule="auto"/>
        <w:jc w:val="both"/>
      </w:pPr>
    </w:p>
    <w:p w14:paraId="11C8177B" w14:textId="7C349D1F" w:rsidR="00A77B3E" w:rsidRPr="004361D4" w:rsidRDefault="00C77B70">
      <w:pPr>
        <w:spacing w:line="360" w:lineRule="auto"/>
        <w:jc w:val="both"/>
      </w:pPr>
      <w:r>
        <w:rPr>
          <w:rFonts w:ascii="Book Antiqua" w:eastAsia="Book Antiqua" w:hAnsi="Book Antiqua" w:cs="Book Antiqua"/>
          <w:b/>
          <w:bCs/>
          <w:color w:val="000000"/>
        </w:rPr>
        <w:t xml:space="preserve">Author contributions: </w:t>
      </w:r>
      <w:r w:rsidR="00595EED">
        <w:rPr>
          <w:rFonts w:ascii="Book Antiqua" w:eastAsia="Book Antiqua" w:hAnsi="Book Antiqua" w:cs="Book Antiqua"/>
          <w:color w:val="000000"/>
          <w:szCs w:val="27"/>
        </w:rPr>
        <w:t xml:space="preserve">All authors </w:t>
      </w:r>
      <w:r w:rsidR="00595EED" w:rsidRPr="004361D4">
        <w:rPr>
          <w:rFonts w:ascii="Book Antiqua" w:eastAsia="Book Antiqua" w:hAnsi="Book Antiqua" w:cs="Book Antiqua"/>
          <w:color w:val="000000"/>
        </w:rPr>
        <w:t xml:space="preserve">contributed </w:t>
      </w:r>
      <w:r w:rsidR="00595EED">
        <w:rPr>
          <w:rFonts w:ascii="Book Antiqua" w:eastAsia="Book Antiqua" w:hAnsi="Book Antiqua" w:cs="Book Antiqua"/>
          <w:color w:val="000000"/>
          <w:szCs w:val="27"/>
        </w:rPr>
        <w:t>s</w:t>
      </w:r>
      <w:r>
        <w:rPr>
          <w:rFonts w:ascii="Book Antiqua" w:eastAsia="Book Antiqua" w:hAnsi="Book Antiqua" w:cs="Book Antiqua"/>
          <w:color w:val="000000"/>
          <w:szCs w:val="27"/>
        </w:rPr>
        <w:t>tudy design, acquisition, analysis, or interpretation of data, drafted the article or revised it critically for important intellectual content</w:t>
      </w:r>
      <w:r w:rsidR="00595EED">
        <w:rPr>
          <w:rFonts w:ascii="Book Antiqua" w:eastAsia="Book Antiqua" w:hAnsi="Book Antiqua" w:cs="Book Antiqua"/>
          <w:color w:val="000000"/>
          <w:szCs w:val="27"/>
        </w:rPr>
        <w:t>, a</w:t>
      </w:r>
      <w:r>
        <w:rPr>
          <w:rFonts w:ascii="Book Antiqua" w:eastAsia="Book Antiqua" w:hAnsi="Book Antiqua" w:cs="Book Antiqua"/>
          <w:color w:val="000000"/>
          <w:szCs w:val="27"/>
        </w:rPr>
        <w:t>pproved the version to be published</w:t>
      </w:r>
      <w:r w:rsidR="00595EED">
        <w:rPr>
          <w:rFonts w:ascii="Book Antiqua" w:eastAsia="Book Antiqua" w:hAnsi="Book Antiqua" w:cs="Book Antiqua"/>
          <w:color w:val="000000"/>
          <w:szCs w:val="27"/>
        </w:rPr>
        <w:t>, a</w:t>
      </w:r>
      <w:r>
        <w:rPr>
          <w:rFonts w:ascii="Book Antiqua" w:eastAsia="Book Antiqua" w:hAnsi="Book Antiqua" w:cs="Book Antiqua"/>
          <w:color w:val="000000"/>
          <w:szCs w:val="27"/>
        </w:rPr>
        <w:t>greed to be accountable for all aspects of the work in ensuring that questions related to the accuracy or integrity of any part of the work are appropriately investigated and resolved.</w:t>
      </w:r>
    </w:p>
    <w:p w14:paraId="274A0DA6" w14:textId="77777777" w:rsidR="00595EED" w:rsidRDefault="00595EED">
      <w:pPr>
        <w:spacing w:line="360" w:lineRule="auto"/>
        <w:jc w:val="both"/>
      </w:pPr>
    </w:p>
    <w:p w14:paraId="4439804E" w14:textId="77777777" w:rsidR="00A77B3E" w:rsidRDefault="00C77B70">
      <w:pPr>
        <w:spacing w:line="360" w:lineRule="auto"/>
        <w:jc w:val="both"/>
      </w:pPr>
      <w:r>
        <w:rPr>
          <w:rFonts w:ascii="Book Antiqua" w:eastAsia="Book Antiqua" w:hAnsi="Book Antiqua" w:cs="Book Antiqua"/>
          <w:b/>
          <w:bCs/>
          <w:color w:val="000000"/>
        </w:rPr>
        <w:lastRenderedPageBreak/>
        <w:t xml:space="preserve">Corresponding author: Geoff C Wall, BCPS, FCCP, PharmD, Professor, </w:t>
      </w:r>
      <w:r>
        <w:rPr>
          <w:rFonts w:ascii="Book Antiqua" w:eastAsia="Book Antiqua" w:hAnsi="Book Antiqua" w:cs="Book Antiqua"/>
          <w:color w:val="000000"/>
        </w:rPr>
        <w:t>Department of Pharmacy Practice, Drake University College of Pharmacy and Health Sciences, 2507 University Ave, Des Moines, IA 50311, United States. geoff.wall@drake.edu</w:t>
      </w:r>
    </w:p>
    <w:p w14:paraId="6CFC1A22" w14:textId="77777777" w:rsidR="00A77B3E" w:rsidRDefault="00A77B3E">
      <w:pPr>
        <w:spacing w:line="360" w:lineRule="auto"/>
        <w:jc w:val="both"/>
      </w:pPr>
    </w:p>
    <w:p w14:paraId="1E83767A" w14:textId="77777777" w:rsidR="00A77B3E" w:rsidRDefault="00C77B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2020</w:t>
      </w:r>
    </w:p>
    <w:p w14:paraId="3464DDFE" w14:textId="77777777" w:rsidR="00A77B3E" w:rsidRDefault="00C77B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1CA5318B" w14:textId="1CC91C55" w:rsidR="00A77B3E" w:rsidRDefault="00C77B70">
      <w:pPr>
        <w:spacing w:line="360" w:lineRule="auto"/>
        <w:jc w:val="both"/>
      </w:pPr>
      <w:r>
        <w:rPr>
          <w:rFonts w:ascii="Book Antiqua" w:eastAsia="Book Antiqua" w:hAnsi="Book Antiqua" w:cs="Book Antiqua"/>
          <w:b/>
          <w:bCs/>
          <w:color w:val="000000"/>
        </w:rPr>
        <w:t>Accepted:</w:t>
      </w:r>
      <w:r w:rsidR="00054D26">
        <w:rPr>
          <w:rFonts w:ascii="Book Antiqua" w:eastAsia="Book Antiqua" w:hAnsi="Book Antiqua" w:cs="Book Antiqua"/>
          <w:b/>
          <w:bCs/>
          <w:color w:val="000000"/>
        </w:rPr>
        <w:t xml:space="preserve"> </w:t>
      </w:r>
      <w:r w:rsidR="00054D26" w:rsidRPr="00054D26">
        <w:rPr>
          <w:rFonts w:ascii="Book Antiqua" w:eastAsia="Book Antiqua" w:hAnsi="Book Antiqua" w:cs="Book Antiqua"/>
          <w:color w:val="000000"/>
        </w:rPr>
        <w:t>January 13, 2021</w:t>
      </w:r>
      <w:r>
        <w:rPr>
          <w:rFonts w:ascii="Book Antiqua" w:eastAsia="Book Antiqua" w:hAnsi="Book Antiqua" w:cs="Book Antiqua"/>
          <w:b/>
          <w:bCs/>
          <w:color w:val="000000"/>
        </w:rPr>
        <w:t xml:space="preserve"> </w:t>
      </w:r>
    </w:p>
    <w:p w14:paraId="086A53ED" w14:textId="77777777" w:rsidR="00A77B3E" w:rsidRDefault="00C77B70">
      <w:pPr>
        <w:spacing w:line="360" w:lineRule="auto"/>
        <w:jc w:val="both"/>
      </w:pPr>
      <w:r>
        <w:rPr>
          <w:rFonts w:ascii="Book Antiqua" w:eastAsia="Book Antiqua" w:hAnsi="Book Antiqua" w:cs="Book Antiqua"/>
          <w:b/>
          <w:bCs/>
          <w:color w:val="000000"/>
        </w:rPr>
        <w:t xml:space="preserve">Published online: </w:t>
      </w:r>
    </w:p>
    <w:p w14:paraId="722267F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FA4EE9" w14:textId="77777777" w:rsidR="00A77B3E" w:rsidRDefault="00C77B70">
      <w:pPr>
        <w:spacing w:line="360" w:lineRule="auto"/>
        <w:jc w:val="both"/>
      </w:pPr>
      <w:r>
        <w:rPr>
          <w:rFonts w:ascii="Book Antiqua" w:eastAsia="Book Antiqua" w:hAnsi="Book Antiqua" w:cs="Book Antiqua"/>
          <w:b/>
          <w:color w:val="000000"/>
        </w:rPr>
        <w:lastRenderedPageBreak/>
        <w:t>Abstract</w:t>
      </w:r>
    </w:p>
    <w:p w14:paraId="58014ECD" w14:textId="5EFAD5C6" w:rsidR="00A77B3E" w:rsidRDefault="00C77B70">
      <w:pPr>
        <w:spacing w:line="360" w:lineRule="auto"/>
        <w:jc w:val="both"/>
      </w:pPr>
      <w:r>
        <w:rPr>
          <w:rFonts w:ascii="Book Antiqua" w:eastAsia="Book Antiqua" w:hAnsi="Book Antiqua" w:cs="Book Antiqua"/>
          <w:color w:val="000000"/>
          <w:szCs w:val="27"/>
        </w:rPr>
        <w:t xml:space="preserve">Prolongation of the QT interval is associated with adverse cardiac events specifically </w:t>
      </w:r>
      <w:proofErr w:type="spellStart"/>
      <w:r>
        <w:rPr>
          <w:rFonts w:ascii="Book Antiqua" w:eastAsia="Book Antiqua" w:hAnsi="Book Antiqua" w:cs="Book Antiqua"/>
          <w:color w:val="000000"/>
          <w:szCs w:val="27"/>
        </w:rPr>
        <w:t>Torsades</w:t>
      </w:r>
      <w:proofErr w:type="spellEnd"/>
      <w:r>
        <w:rPr>
          <w:rFonts w:ascii="Book Antiqua" w:eastAsia="Book Antiqua" w:hAnsi="Book Antiqua" w:cs="Book Antiqua"/>
          <w:color w:val="000000"/>
          <w:szCs w:val="27"/>
        </w:rPr>
        <w:t xml:space="preserve"> de </w:t>
      </w:r>
      <w:r w:rsidR="0060470C">
        <w:rPr>
          <w:rFonts w:ascii="Book Antiqua" w:eastAsia="Book Antiqua" w:hAnsi="Book Antiqua" w:cs="Book Antiqua"/>
          <w:color w:val="000000"/>
          <w:szCs w:val="27"/>
        </w:rPr>
        <w:t>po</w:t>
      </w:r>
      <w:r>
        <w:rPr>
          <w:rFonts w:ascii="Book Antiqua" w:eastAsia="Book Antiqua" w:hAnsi="Book Antiqua" w:cs="Book Antiqua"/>
          <w:color w:val="000000"/>
          <w:szCs w:val="27"/>
        </w:rPr>
        <w:t>intes (</w:t>
      </w:r>
      <w:proofErr w:type="spellStart"/>
      <w:r>
        <w:rPr>
          <w:rFonts w:ascii="Book Antiqua" w:eastAsia="Book Antiqua" w:hAnsi="Book Antiqua" w:cs="Book Antiqua"/>
          <w:color w:val="000000"/>
          <w:szCs w:val="27"/>
        </w:rPr>
        <w:t>TdP</w:t>
      </w:r>
      <w:proofErr w:type="spellEnd"/>
      <w:r>
        <w:rPr>
          <w:rFonts w:ascii="Book Antiqua" w:eastAsia="Book Antiqua" w:hAnsi="Book Antiqua" w:cs="Book Antiqua"/>
          <w:color w:val="000000"/>
          <w:szCs w:val="27"/>
        </w:rPr>
        <w:t>). There are multiple mediations that have a known, possible, or conditional risk for prolonged QT interval, but general practitioners’ knowledge of these medications is unknown. We conducted a survey to assess internal medicine (IM) providers’ knowledge of risk factors and medications associated with prolonged QT as well as provider experience and comfort when treating patients with prolonged QT.</w:t>
      </w:r>
      <w:r w:rsidR="00595EED">
        <w:rPr>
          <w:rFonts w:hint="eastAsia"/>
          <w:lang w:eastAsia="zh-CN"/>
        </w:rPr>
        <w:t xml:space="preserve"> </w:t>
      </w:r>
      <w:r>
        <w:rPr>
          <w:rFonts w:ascii="Book Antiqua" w:eastAsia="Book Antiqua" w:hAnsi="Book Antiqua" w:cs="Book Antiqua"/>
          <w:color w:val="000000"/>
          <w:szCs w:val="27"/>
        </w:rPr>
        <w:t xml:space="preserve">A 17-question, anonymous survey was constructed in 2019 and distributed to IM providers and residents at a tertiary care center. Questions included demographic information, 6 Likert-scale questions gauging provider experience with prolonged QT, and 10 multiple choice clinical vignettes to assess clinical knowledge. Data was analyzed descriptively. Knowledge was assessed </w:t>
      </w:r>
      <w:r>
        <w:rPr>
          <w:rFonts w:ascii="Book Antiqua" w:eastAsia="Book Antiqua" w:hAnsi="Book Antiqua" w:cs="Book Antiqua"/>
          <w:i/>
          <w:iCs/>
          <w:color w:val="000000"/>
          <w:szCs w:val="27"/>
        </w:rPr>
        <w:t>via</w:t>
      </w:r>
      <w:r>
        <w:rPr>
          <w:rFonts w:ascii="Book Antiqua" w:eastAsia="Book Antiqua" w:hAnsi="Book Antiqua" w:cs="Book Antiqua"/>
          <w:color w:val="000000"/>
          <w:szCs w:val="27"/>
        </w:rPr>
        <w:t xml:space="preserve"> clinical vignettes and compared by level of training.</w:t>
      </w:r>
      <w:r w:rsidR="0060470C">
        <w:rPr>
          <w:rFonts w:hint="eastAsia"/>
          <w:lang w:eastAsia="zh-CN"/>
        </w:rPr>
        <w:t xml:space="preserve"> </w:t>
      </w:r>
      <w:r w:rsidR="0060470C">
        <w:rPr>
          <w:rFonts w:ascii="Book Antiqua" w:eastAsia="Book Antiqua" w:hAnsi="Book Antiqua" w:cs="Book Antiqua"/>
          <w:color w:val="000000"/>
        </w:rPr>
        <w:t xml:space="preserve">Forty-one </w:t>
      </w:r>
      <w:r>
        <w:rPr>
          <w:rFonts w:ascii="Book Antiqua" w:eastAsia="Book Antiqua" w:hAnsi="Book Antiqua" w:cs="Book Antiqua"/>
          <w:color w:val="000000"/>
        </w:rPr>
        <w:t xml:space="preserve">responses were received out of a total of 87 possible respondents </w:t>
      </w:r>
      <w:r w:rsidR="0060470C">
        <w:rPr>
          <w:rFonts w:ascii="Book Antiqua" w:eastAsia="Book Antiqua" w:hAnsi="Book Antiqua" w:cs="Book Antiqua"/>
          <w:color w:val="000000"/>
        </w:rPr>
        <w:t>(</w:t>
      </w:r>
      <w:r>
        <w:rPr>
          <w:rFonts w:ascii="Book Antiqua" w:eastAsia="Book Antiqua" w:hAnsi="Book Antiqua" w:cs="Book Antiqua"/>
          <w:color w:val="000000"/>
        </w:rPr>
        <w:t>47.1% response rate</w:t>
      </w:r>
      <w:r w:rsidR="0060470C">
        <w:rPr>
          <w:rFonts w:ascii="Book Antiqua" w:eastAsia="Book Antiqua" w:hAnsi="Book Antiqua" w:cs="Book Antiqua"/>
          <w:color w:val="000000"/>
        </w:rPr>
        <w:t xml:space="preserve">). </w:t>
      </w:r>
      <w:r>
        <w:rPr>
          <w:rFonts w:ascii="Book Antiqua" w:eastAsia="Book Antiqua" w:hAnsi="Book Antiqua" w:cs="Book Antiqua"/>
          <w:color w:val="000000"/>
        </w:rPr>
        <w:t>About 70% of respondents see patients with acquired prolonged QT once monthly or more. 95% rarely see congenital prolonged QT. When presented with QTc drug issues, 73% of providers seldom or sometimes consulted pharmacy, but about half used online resources. The average correct score on the clinical vignettes was 5.59/10, with the highest scores seen in attending physicians in their first five years of practice (6.96/10).</w:t>
      </w:r>
      <w:r w:rsidR="0060470C">
        <w:rPr>
          <w:rFonts w:hint="eastAsia"/>
          <w:lang w:eastAsia="zh-CN"/>
        </w:rPr>
        <w:t xml:space="preserve"> </w:t>
      </w:r>
      <w:r>
        <w:rPr>
          <w:rFonts w:ascii="Book Antiqua" w:eastAsia="Book Antiqua" w:hAnsi="Book Antiqua" w:cs="Book Antiqua"/>
          <w:color w:val="000000"/>
          <w:szCs w:val="27"/>
        </w:rPr>
        <w:t>Our survey suggests that IM providers commonly encounter QT prolonging drugs.</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 xml:space="preserve">Educational efforts to improve knowledge of drug and patient risk factors for </w:t>
      </w:r>
      <w:proofErr w:type="spellStart"/>
      <w:r>
        <w:rPr>
          <w:rFonts w:ascii="Book Antiqua" w:eastAsia="Book Antiqua" w:hAnsi="Book Antiqua" w:cs="Book Antiqua"/>
          <w:color w:val="000000"/>
          <w:szCs w:val="27"/>
        </w:rPr>
        <w:t>TdP</w:t>
      </w:r>
      <w:proofErr w:type="spellEnd"/>
      <w:r>
        <w:rPr>
          <w:rFonts w:ascii="Book Antiqua" w:eastAsia="Book Antiqua" w:hAnsi="Book Antiqua" w:cs="Book Antiqua"/>
          <w:color w:val="000000"/>
          <w:szCs w:val="27"/>
        </w:rPr>
        <w:t xml:space="preserve"> may be needed.</w:t>
      </w:r>
    </w:p>
    <w:p w14:paraId="4538F9B2" w14:textId="77777777" w:rsidR="00A77B3E" w:rsidRDefault="00A77B3E">
      <w:pPr>
        <w:spacing w:line="360" w:lineRule="auto"/>
        <w:jc w:val="both"/>
      </w:pPr>
    </w:p>
    <w:p w14:paraId="35CFF8BB" w14:textId="4569DAD9" w:rsidR="00A77B3E" w:rsidRDefault="00C77B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QTc;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w:t>
      </w:r>
      <w:r w:rsidR="0060470C">
        <w:rPr>
          <w:rFonts w:ascii="Book Antiqua" w:eastAsia="Book Antiqua" w:hAnsi="Book Antiqua" w:cs="Book Antiqua"/>
          <w:color w:val="000000"/>
        </w:rPr>
        <w:t>p</w:t>
      </w:r>
      <w:r>
        <w:rPr>
          <w:rFonts w:ascii="Book Antiqua" w:eastAsia="Book Antiqua" w:hAnsi="Book Antiqua" w:cs="Book Antiqua"/>
          <w:color w:val="000000"/>
        </w:rPr>
        <w:t xml:space="preserve">ointes; Pharmacotherapy; Survey; Long QT syndrome; Drug </w:t>
      </w:r>
      <w:r w:rsidR="0060470C">
        <w:rPr>
          <w:rFonts w:ascii="Book Antiqua" w:eastAsia="Book Antiqua" w:hAnsi="Book Antiqua" w:cs="Book Antiqua"/>
          <w:color w:val="000000"/>
        </w:rPr>
        <w:t>i</w:t>
      </w:r>
      <w:r>
        <w:rPr>
          <w:rFonts w:ascii="Book Antiqua" w:eastAsia="Book Antiqua" w:hAnsi="Book Antiqua" w:cs="Book Antiqua"/>
          <w:color w:val="000000"/>
        </w:rPr>
        <w:t>nteractions</w:t>
      </w:r>
    </w:p>
    <w:p w14:paraId="0685FA53" w14:textId="77777777" w:rsidR="00A77B3E" w:rsidRDefault="00A77B3E">
      <w:pPr>
        <w:spacing w:line="360" w:lineRule="auto"/>
        <w:jc w:val="both"/>
      </w:pPr>
    </w:p>
    <w:p w14:paraId="5CE0F434" w14:textId="5C16EE96" w:rsidR="00A77B3E" w:rsidRDefault="00C77B70">
      <w:pPr>
        <w:spacing w:line="360" w:lineRule="auto"/>
        <w:jc w:val="both"/>
      </w:pPr>
      <w:proofErr w:type="spellStart"/>
      <w:r>
        <w:rPr>
          <w:rFonts w:ascii="Book Antiqua" w:eastAsia="Book Antiqua" w:hAnsi="Book Antiqua" w:cs="Book Antiqua"/>
          <w:color w:val="000000"/>
        </w:rPr>
        <w:t>Wendl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Telles</w:t>
      </w:r>
      <w:proofErr w:type="spellEnd"/>
      <w:r>
        <w:rPr>
          <w:rFonts w:ascii="Book Antiqua" w:eastAsia="Book Antiqua" w:hAnsi="Book Antiqua" w:cs="Book Antiqua"/>
          <w:color w:val="000000"/>
        </w:rPr>
        <w:t xml:space="preserve"> N, Wall GC. Survey concerning internal medicine physicians and prolonged QT interval: Knowledge and treatment practices.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w:t>
      </w:r>
      <w:r w:rsidR="0015508C">
        <w:rPr>
          <w:rFonts w:ascii="Book Antiqua" w:eastAsia="Book Antiqua" w:hAnsi="Book Antiqua" w:cs="Book Antiqua"/>
          <w:color w:val="000000"/>
        </w:rPr>
        <w:t>1</w:t>
      </w:r>
      <w:r>
        <w:rPr>
          <w:rFonts w:ascii="Book Antiqua" w:eastAsia="Book Antiqua" w:hAnsi="Book Antiqua" w:cs="Book Antiqua"/>
          <w:color w:val="000000"/>
        </w:rPr>
        <w:t>; In press</w:t>
      </w:r>
    </w:p>
    <w:p w14:paraId="3D05559E" w14:textId="77777777" w:rsidR="00A77B3E" w:rsidRDefault="00A77B3E">
      <w:pPr>
        <w:spacing w:line="360" w:lineRule="auto"/>
        <w:jc w:val="both"/>
      </w:pPr>
    </w:p>
    <w:p w14:paraId="10B2695D" w14:textId="77777777" w:rsidR="00A77B3E" w:rsidRDefault="00C77B7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Knowledge of drugs that prolong the QTc interval and patient risk factors varies significantly among internal medicine physicians and trainees.</w:t>
      </w:r>
    </w:p>
    <w:p w14:paraId="1580A222" w14:textId="0311233F" w:rsidR="00A77B3E" w:rsidRDefault="0060470C">
      <w:pPr>
        <w:spacing w:line="360" w:lineRule="auto"/>
        <w:jc w:val="both"/>
      </w:pPr>
      <w:r>
        <w:br w:type="page"/>
      </w:r>
      <w:r w:rsidR="00C77B70">
        <w:rPr>
          <w:rFonts w:ascii="Book Antiqua" w:eastAsia="Book Antiqua" w:hAnsi="Book Antiqua" w:cs="Book Antiqua"/>
          <w:b/>
          <w:caps/>
          <w:color w:val="000000"/>
          <w:u w:val="single"/>
        </w:rPr>
        <w:lastRenderedPageBreak/>
        <w:t>INTRODUCTION</w:t>
      </w:r>
    </w:p>
    <w:p w14:paraId="02D89FD6" w14:textId="0F968437" w:rsidR="00A77B3E" w:rsidRDefault="00C77B70">
      <w:pPr>
        <w:spacing w:line="360" w:lineRule="auto"/>
        <w:jc w:val="both"/>
      </w:pPr>
      <w:r>
        <w:rPr>
          <w:rFonts w:ascii="Book Antiqua" w:eastAsia="Book Antiqua" w:hAnsi="Book Antiqua" w:cs="Book Antiqua"/>
          <w:color w:val="000000"/>
        </w:rPr>
        <w:t xml:space="preserve">In 1966 </w:t>
      </w:r>
      <w:proofErr w:type="spellStart"/>
      <w:proofErr w:type="gramStart"/>
      <w:r w:rsidR="0060470C" w:rsidRPr="0060470C">
        <w:rPr>
          <w:rFonts w:ascii="Book Antiqua" w:eastAsia="Book Antiqua" w:hAnsi="Book Antiqua" w:cs="Book Antiqua"/>
          <w:color w:val="000000"/>
        </w:rPr>
        <w:t>Dessertenne</w:t>
      </w:r>
      <w:proofErr w:type="spellEnd"/>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described the electrocardiogram (ECG) morphology of a ventricular tachycardia that had a peculiar undulating or twisting appearance which he termed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w:t>
      </w:r>
      <w:r w:rsidR="0060470C">
        <w:rPr>
          <w:rFonts w:ascii="Book Antiqua" w:eastAsia="Book Antiqua" w:hAnsi="Book Antiqua" w:cs="Book Antiqua"/>
          <w:color w:val="000000"/>
        </w:rPr>
        <w:t>po</w:t>
      </w:r>
      <w:r>
        <w:rPr>
          <w:rFonts w:ascii="Book Antiqua" w:eastAsia="Book Antiqua" w:hAnsi="Book Antiqua" w:cs="Book Antiqua"/>
          <w:color w:val="000000"/>
        </w:rPr>
        <w:t>intes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In the over 50 years since this paper was published drug-induced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which may be fatal, has been described for numerous drugs.  Indeed, in past years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has been a cause of boxed warnings by the FDA as well as the withdrawal of several drugs from the U</w:t>
      </w:r>
      <w:r w:rsidR="0060470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0470C">
        <w:rPr>
          <w:rFonts w:ascii="Book Antiqua" w:eastAsia="Book Antiqua" w:hAnsi="Book Antiqua" w:cs="Book Antiqua"/>
          <w:color w:val="000000"/>
        </w:rPr>
        <w:t>tates</w:t>
      </w:r>
      <w:r>
        <w:rPr>
          <w:rFonts w:ascii="Book Antiqua" w:eastAsia="Book Antiqua" w:hAnsi="Book Antiqua" w:cs="Book Antiqua"/>
          <w:color w:val="000000"/>
        </w:rPr>
        <w:t xml:space="preserve"> </w:t>
      </w:r>
      <w:proofErr w:type="gramStart"/>
      <w:r w:rsidR="0060470C">
        <w:rPr>
          <w:rFonts w:ascii="Book Antiqua" w:eastAsia="Book Antiqua" w:hAnsi="Book Antiqua" w:cs="Book Antiqua"/>
          <w:color w:val="000000"/>
        </w:rPr>
        <w:t>m</w:t>
      </w:r>
      <w:r>
        <w:rPr>
          <w:rFonts w:ascii="Book Antiqua" w:eastAsia="Book Antiqua" w:hAnsi="Book Antiqua" w:cs="Book Antiqua"/>
          <w:color w:val="000000"/>
        </w:rPr>
        <w:t>arket</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One of the leading </w:t>
      </w:r>
      <w:proofErr w:type="spellStart"/>
      <w:r>
        <w:rPr>
          <w:rFonts w:ascii="Book Antiqua" w:eastAsia="Book Antiqua" w:hAnsi="Book Antiqua" w:cs="Book Antiqua"/>
          <w:color w:val="000000"/>
        </w:rPr>
        <w:t>markers</w:t>
      </w:r>
      <w:proofErr w:type="spellEnd"/>
      <w:r>
        <w:rPr>
          <w:rFonts w:ascii="Book Antiqua" w:eastAsia="Book Antiqua" w:hAnsi="Book Antiqua" w:cs="Book Antiqua"/>
          <w:color w:val="000000"/>
        </w:rPr>
        <w:t xml:space="preserve"> of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is the prolonging of the QT interval on the ECG.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This measurement (reported in milliseconds) is corrected </w:t>
      </w:r>
      <w:r>
        <w:rPr>
          <w:rFonts w:ascii="Book Antiqua" w:eastAsia="Book Antiqua" w:hAnsi="Book Antiqua" w:cs="Book Antiqua"/>
          <w:i/>
          <w:iCs/>
          <w:color w:val="000000"/>
          <w:szCs w:val="27"/>
          <w:shd w:val="clear" w:color="auto" w:fill="FFFFFF"/>
        </w:rPr>
        <w:t>via</w:t>
      </w:r>
      <w:r>
        <w:rPr>
          <w:rFonts w:ascii="Book Antiqua" w:eastAsia="Book Antiqua" w:hAnsi="Book Antiqua" w:cs="Book Antiqua"/>
          <w:color w:val="000000"/>
        </w:rPr>
        <w:t xml:space="preserve"> formula to account for heart rate and is often used as a harbinger of increasing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their training in pharmacology and its application to the bedside, pharmacists are often sought out for their opinion on the appropriateness of QTc prolonging medication and often seek to counsel prescribers on the risk of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often by assessment of drug-drug </w:t>
      </w:r>
      <w:proofErr w:type="gramStart"/>
      <w:r>
        <w:rPr>
          <w:rFonts w:ascii="Book Antiqua" w:eastAsia="Book Antiqua" w:hAnsi="Book Antiqua" w:cs="Book Antiqua"/>
          <w:color w:val="000000"/>
        </w:rPr>
        <w:t>interactions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Despite this resource little is known of the background knowledge and attitudes of groups of physicians regarding QTc prolonging medications, especially in various stages of their training.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To explore this we designed and administered a survey that aimed to determine the knowledge and attitudes of attending physicians and physician trainees.</w:t>
      </w:r>
    </w:p>
    <w:p w14:paraId="4B789208" w14:textId="77777777" w:rsidR="00A77B3E" w:rsidRDefault="00A77B3E">
      <w:pPr>
        <w:spacing w:line="360" w:lineRule="auto"/>
        <w:jc w:val="both"/>
      </w:pPr>
    </w:p>
    <w:p w14:paraId="6B872D13" w14:textId="77777777" w:rsidR="00A77B3E" w:rsidRDefault="00C77B70">
      <w:pPr>
        <w:spacing w:line="360" w:lineRule="auto"/>
        <w:jc w:val="both"/>
      </w:pPr>
      <w:r>
        <w:rPr>
          <w:rFonts w:ascii="Book Antiqua" w:eastAsia="Book Antiqua" w:hAnsi="Book Antiqua" w:cs="Book Antiqua"/>
          <w:b/>
          <w:caps/>
          <w:color w:val="000000"/>
          <w:szCs w:val="27"/>
          <w:u w:val="single"/>
        </w:rPr>
        <w:t>Methods</w:t>
      </w:r>
    </w:p>
    <w:p w14:paraId="3BD91F86" w14:textId="4DF8C648" w:rsidR="00A77B3E" w:rsidRDefault="00C77B70">
      <w:pPr>
        <w:spacing w:line="360" w:lineRule="auto"/>
        <w:jc w:val="both"/>
      </w:pPr>
      <w:r>
        <w:rPr>
          <w:rFonts w:ascii="Book Antiqua" w:eastAsia="Book Antiqua" w:hAnsi="Book Antiqua" w:cs="Book Antiqua"/>
          <w:color w:val="000000"/>
          <w:szCs w:val="27"/>
        </w:rPr>
        <w:t xml:space="preserve">A 17-question, anonymous survey was jointly constructed by an internal medicine </w:t>
      </w:r>
      <w:r w:rsidR="00595EED">
        <w:rPr>
          <w:rFonts w:ascii="Book Antiqua" w:eastAsia="Book Antiqua" w:hAnsi="Book Antiqua" w:cs="Book Antiqua"/>
          <w:color w:val="000000"/>
          <w:szCs w:val="27"/>
        </w:rPr>
        <w:t xml:space="preserve">(IM) </w:t>
      </w:r>
      <w:r>
        <w:rPr>
          <w:rFonts w:ascii="Book Antiqua" w:eastAsia="Book Antiqua" w:hAnsi="Book Antiqua" w:cs="Book Antiqua"/>
          <w:color w:val="000000"/>
          <w:szCs w:val="27"/>
        </w:rPr>
        <w:t>physician, a clinical cardiologist and clinical pharmacist.</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This survey was distributed</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in 2019 using Qualtrics (</w:t>
      </w:r>
      <w:r w:rsidRPr="0060470C">
        <w:rPr>
          <w:rFonts w:ascii="Book Antiqua" w:eastAsia="Book Antiqua" w:hAnsi="Book Antiqua" w:cs="Book Antiqua"/>
          <w:color w:val="000000"/>
          <w:szCs w:val="27"/>
          <w:u w:color="0000FF"/>
        </w:rPr>
        <w:t>www.qualtrics.com</w:t>
      </w:r>
      <w:r>
        <w:rPr>
          <w:rFonts w:ascii="Book Antiqua" w:eastAsia="Book Antiqua" w:hAnsi="Book Antiqua" w:cs="Book Antiqua"/>
          <w:color w:val="000000"/>
          <w:szCs w:val="27"/>
        </w:rPr>
        <w:t>, Qualtrics XM, Seattle, WA</w:t>
      </w:r>
      <w:r w:rsidR="0060470C">
        <w:rPr>
          <w:rFonts w:ascii="Book Antiqua" w:eastAsia="Book Antiqua" w:hAnsi="Book Antiqua" w:cs="Book Antiqua"/>
          <w:color w:val="000000"/>
          <w:szCs w:val="27"/>
        </w:rPr>
        <w:t>, United States</w:t>
      </w:r>
      <w:r>
        <w:rPr>
          <w:rFonts w:ascii="Book Antiqua" w:eastAsia="Book Antiqua" w:hAnsi="Book Antiqua" w:cs="Book Antiqua"/>
          <w:color w:val="000000"/>
          <w:szCs w:val="27"/>
        </w:rPr>
        <w:t xml:space="preserve">). Questions included demographic information, 6 Likert-scale questions gauging provider exposure and comfort with their knowledge of prolonged QT, and 10 multiple choice clinical vignettes. The clinical vignettes covered knowledge of risk factors and medications that prolonged QT as well as treatment of congenital and acquired prolonged QT. This survey was distributed </w:t>
      </w:r>
      <w:r>
        <w:rPr>
          <w:rFonts w:ascii="Book Antiqua" w:eastAsia="Book Antiqua" w:hAnsi="Book Antiqua" w:cs="Book Antiqua"/>
          <w:i/>
          <w:iCs/>
          <w:color w:val="000000"/>
          <w:szCs w:val="27"/>
        </w:rPr>
        <w:t>via</w:t>
      </w:r>
      <w:r>
        <w:rPr>
          <w:rFonts w:ascii="Book Antiqua" w:eastAsia="Book Antiqua" w:hAnsi="Book Antiqua" w:cs="Book Antiqua"/>
          <w:color w:val="000000"/>
          <w:szCs w:val="27"/>
        </w:rPr>
        <w:t xml:space="preserve"> an email invitation to all </w:t>
      </w:r>
      <w:r w:rsidR="00595EED">
        <w:rPr>
          <w:rFonts w:ascii="Book Antiqua" w:eastAsia="Book Antiqua" w:hAnsi="Book Antiqua" w:cs="Book Antiqua"/>
          <w:color w:val="000000"/>
          <w:szCs w:val="27"/>
        </w:rPr>
        <w:t>IM</w:t>
      </w:r>
      <w:r>
        <w:rPr>
          <w:rFonts w:ascii="Book Antiqua" w:eastAsia="Book Antiqua" w:hAnsi="Book Antiqua" w:cs="Book Antiqua"/>
          <w:color w:val="000000"/>
          <w:szCs w:val="27"/>
        </w:rPr>
        <w:t xml:space="preserve"> providers and residents as well as psychiatry providers and residents at a tertiary care center in the Midwest. Data was analyzed by evaluating trends and using means to determine </w:t>
      </w:r>
      <w:r>
        <w:rPr>
          <w:rFonts w:ascii="Book Antiqua" w:eastAsia="Book Antiqua" w:hAnsi="Book Antiqua" w:cs="Book Antiqua"/>
          <w:color w:val="000000"/>
          <w:szCs w:val="27"/>
        </w:rPr>
        <w:lastRenderedPageBreak/>
        <w:t xml:space="preserve">provider comfort with prolonged QT identification and treatment. Knowledge was assessed by clinical vignettes and compared by level of training. After data analysis, psychiatry providers and residents were excluded from final data analysis due to low response rate. Descriptive statistics were used in this study. Our Institutional Review Board exempted this study. </w:t>
      </w:r>
    </w:p>
    <w:p w14:paraId="139B27A2" w14:textId="77777777" w:rsidR="00A77B3E" w:rsidRDefault="00A77B3E">
      <w:pPr>
        <w:spacing w:line="360" w:lineRule="auto"/>
        <w:jc w:val="both"/>
      </w:pPr>
    </w:p>
    <w:p w14:paraId="424C1E0F" w14:textId="77777777" w:rsidR="00A77B3E" w:rsidRDefault="00C77B70">
      <w:pPr>
        <w:spacing w:line="360" w:lineRule="auto"/>
        <w:jc w:val="both"/>
      </w:pPr>
      <w:r>
        <w:rPr>
          <w:rFonts w:ascii="Book Antiqua" w:eastAsia="Book Antiqua" w:hAnsi="Book Antiqua" w:cs="Book Antiqua"/>
          <w:b/>
          <w:caps/>
          <w:color w:val="000000"/>
          <w:szCs w:val="27"/>
          <w:u w:val="single"/>
        </w:rPr>
        <w:t>Results</w:t>
      </w:r>
    </w:p>
    <w:p w14:paraId="7D2A05BB" w14:textId="1328A1B7" w:rsidR="00A77B3E" w:rsidRDefault="00C77B70">
      <w:pPr>
        <w:spacing w:line="360" w:lineRule="auto"/>
        <w:jc w:val="both"/>
      </w:pPr>
      <w:r>
        <w:rPr>
          <w:rFonts w:ascii="Book Antiqua" w:eastAsia="Book Antiqua" w:hAnsi="Book Antiqua" w:cs="Book Antiqua"/>
          <w:color w:val="000000"/>
        </w:rPr>
        <w:t xml:space="preserve">After excluding 4 responses from psychiatric staff and residents, a total of 87 surveys were sent of which 41 responses were received </w:t>
      </w:r>
      <w:r w:rsidR="0060470C">
        <w:rPr>
          <w:rFonts w:ascii="Book Antiqua" w:eastAsia="Book Antiqua" w:hAnsi="Book Antiqua" w:cs="Book Antiqua"/>
          <w:color w:val="000000"/>
        </w:rPr>
        <w:t>[</w:t>
      </w:r>
      <w:r>
        <w:rPr>
          <w:rFonts w:ascii="Book Antiqua" w:eastAsia="Book Antiqua" w:hAnsi="Book Antiqua" w:cs="Book Antiqua"/>
          <w:color w:val="000000"/>
        </w:rPr>
        <w:t xml:space="preserve">41 responses out of a total of 87 possible respondents </w:t>
      </w:r>
      <w:r w:rsidR="0060470C">
        <w:rPr>
          <w:rFonts w:ascii="Book Antiqua" w:eastAsia="Book Antiqua" w:hAnsi="Book Antiqua" w:cs="Book Antiqua"/>
          <w:color w:val="000000"/>
        </w:rPr>
        <w:t>(</w:t>
      </w:r>
      <w:r>
        <w:rPr>
          <w:rFonts w:ascii="Book Antiqua" w:eastAsia="Book Antiqua" w:hAnsi="Book Antiqua" w:cs="Book Antiqua"/>
          <w:color w:val="000000"/>
        </w:rPr>
        <w:t>47.1% response rate</w:t>
      </w:r>
      <w:r w:rsidR="0060470C">
        <w:rPr>
          <w:rFonts w:ascii="Book Antiqua" w:eastAsia="Book Antiqua" w:hAnsi="Book Antiqua" w:cs="Book Antiqua"/>
          <w:color w:val="000000"/>
        </w:rPr>
        <w:t>)</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This included 18/52 IM providers and 23/35 IM residents.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Table 1 </w:t>
      </w:r>
      <w:r w:rsidR="0060470C">
        <w:rPr>
          <w:rFonts w:ascii="Book Antiqua" w:eastAsia="Book Antiqua" w:hAnsi="Book Antiqua" w:cs="Book Antiqua"/>
          <w:color w:val="000000"/>
        </w:rPr>
        <w:t>l</w:t>
      </w:r>
      <w:r>
        <w:rPr>
          <w:rFonts w:ascii="Book Antiqua" w:eastAsia="Book Antiqua" w:hAnsi="Book Antiqua" w:cs="Book Antiqua"/>
          <w:color w:val="000000"/>
        </w:rPr>
        <w:t xml:space="preserve">ists the characteristics of our cohort, and Table 2 </w:t>
      </w:r>
      <w:r w:rsidR="0060470C">
        <w:rPr>
          <w:rFonts w:ascii="Book Antiqua" w:eastAsia="Book Antiqua" w:hAnsi="Book Antiqua" w:cs="Book Antiqua"/>
          <w:color w:val="000000"/>
        </w:rPr>
        <w:t>li</w:t>
      </w:r>
      <w:r>
        <w:rPr>
          <w:rFonts w:ascii="Book Antiqua" w:eastAsia="Book Antiqua" w:hAnsi="Book Antiqua" w:cs="Book Antiqua"/>
          <w:color w:val="000000"/>
        </w:rPr>
        <w:t>sts abbreviated responses to select survey questions.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Only 2 respondents reported never having seen patients taking QT prolonging medications; while 17/41 (27%) providers saw such patients weekly or daily. However, 95% participants reported rarely seeing patients with congenital prolonged QT. When presented with patient care issues surrounding prolonged QT, 71% (29/41) of providers seldom or sometimes consulted pharmacy, 99% seldom or never consulted cardiology, and ~50% sometimes used online resources. Thirty-four percent (14/41) reported consulting online resources weekly or daily. We gave examples of types of online resources, but did not ask which types respondents used.</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number correct on the clinical vignettes was 5.59/10 (56%), with the highest scores seen in attending physicians in their first five years of practice </w:t>
      </w:r>
      <w:r w:rsidR="0060470C">
        <w:rPr>
          <w:rFonts w:ascii="Book Antiqua" w:eastAsia="Book Antiqua" w:hAnsi="Book Antiqua" w:cs="Book Antiqua"/>
          <w:color w:val="000000"/>
        </w:rPr>
        <w:t>[</w:t>
      </w:r>
      <w:r>
        <w:rPr>
          <w:rFonts w:ascii="Book Antiqua" w:eastAsia="Book Antiqua" w:hAnsi="Book Antiqua" w:cs="Book Antiqua"/>
          <w:color w:val="000000"/>
        </w:rPr>
        <w:t>mean 6.96/10</w:t>
      </w:r>
      <w:r w:rsidR="0060470C">
        <w:rPr>
          <w:rFonts w:ascii="Book Antiqua" w:eastAsia="Book Antiqua" w:hAnsi="Book Antiqua" w:cs="Book Antiqua"/>
          <w:color w:val="000000"/>
        </w:rPr>
        <w:t xml:space="preserve"> (</w:t>
      </w:r>
      <w:r>
        <w:rPr>
          <w:rFonts w:ascii="Book Antiqua" w:eastAsia="Book Antiqua" w:hAnsi="Book Antiqua" w:cs="Book Antiqua"/>
          <w:color w:val="000000"/>
        </w:rPr>
        <w:t>69%)</w:t>
      </w:r>
      <w:r w:rsidR="0060470C">
        <w:rPr>
          <w:rFonts w:ascii="Book Antiqua" w:eastAsia="Book Antiqua" w:hAnsi="Book Antiqua" w:cs="Book Antiqua"/>
          <w:color w:val="000000"/>
        </w:rPr>
        <w:t>]</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There were no statistically significant differences between the correct responses on the clinical vignettes based on level of training.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470C">
        <w:rPr>
          <w:rFonts w:ascii="Book Antiqua" w:eastAsia="Book Antiqua" w:hAnsi="Book Antiqua" w:cs="Book Antiqua"/>
          <w:color w:val="000000"/>
        </w:rPr>
        <w:t xml:space="preserve"> </w:t>
      </w:r>
      <w:r>
        <w:rPr>
          <w:rFonts w:ascii="Book Antiqua" w:eastAsia="Book Antiqua" w:hAnsi="Book Antiqua" w:cs="Book Antiqua"/>
          <w:color w:val="000000"/>
        </w:rPr>
        <w:t>in general, attending physicians generally seemed more familiar</w:t>
      </w:r>
      <w:r w:rsidR="0060470C">
        <w:rPr>
          <w:rFonts w:ascii="Book Antiqua" w:eastAsia="Book Antiqua" w:hAnsi="Book Antiqua" w:cs="Book Antiqua"/>
          <w:color w:val="000000"/>
        </w:rPr>
        <w:t xml:space="preserve"> </w:t>
      </w:r>
      <w:r>
        <w:rPr>
          <w:rFonts w:ascii="Book Antiqua" w:eastAsia="Book Antiqua" w:hAnsi="Book Antiqua" w:cs="Book Antiqua"/>
          <w:color w:val="000000"/>
        </w:rPr>
        <w:t>with medications prolonging QT while residents were more familiar with patient risk factors prolonging QT.</w:t>
      </w:r>
    </w:p>
    <w:p w14:paraId="502AC06F" w14:textId="77777777" w:rsidR="00A77B3E" w:rsidRDefault="00A77B3E">
      <w:pPr>
        <w:spacing w:line="360" w:lineRule="auto"/>
        <w:jc w:val="both"/>
      </w:pPr>
    </w:p>
    <w:p w14:paraId="13253293" w14:textId="77777777" w:rsidR="00A77B3E" w:rsidRDefault="00C77B70">
      <w:pPr>
        <w:spacing w:line="360" w:lineRule="auto"/>
        <w:jc w:val="both"/>
      </w:pPr>
      <w:r>
        <w:rPr>
          <w:rFonts w:ascii="Book Antiqua" w:eastAsia="Book Antiqua" w:hAnsi="Book Antiqua" w:cs="Book Antiqua"/>
          <w:b/>
          <w:caps/>
          <w:color w:val="000000"/>
          <w:szCs w:val="27"/>
          <w:u w:val="single"/>
        </w:rPr>
        <w:t>Discussion</w:t>
      </w:r>
    </w:p>
    <w:p w14:paraId="1511F97C" w14:textId="44CECAFC" w:rsidR="00A77B3E" w:rsidRDefault="00C77B70">
      <w:pPr>
        <w:spacing w:line="360" w:lineRule="auto"/>
        <w:jc w:val="both"/>
      </w:pPr>
      <w:r>
        <w:rPr>
          <w:rFonts w:ascii="Book Antiqua" w:eastAsia="Book Antiqua" w:hAnsi="Book Antiqua" w:cs="Book Antiqua"/>
          <w:color w:val="000000"/>
        </w:rPr>
        <w:t xml:space="preserve">Drug induced QT prolongation can be a harbinger of the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which can be lethal.</w:t>
      </w:r>
      <w:r w:rsidR="0060470C">
        <w:rPr>
          <w:rFonts w:ascii="Book Antiqua" w:eastAsia="Book Antiqua" w:hAnsi="Book Antiqua" w:cs="Book Antiqua"/>
          <w:color w:val="000000"/>
        </w:rPr>
        <w:t xml:space="preserve"> </w:t>
      </w:r>
      <w:r>
        <w:rPr>
          <w:rFonts w:ascii="Book Antiqua" w:eastAsia="Book Antiqua" w:hAnsi="Book Antiqua" w:cs="Book Antiqua"/>
          <w:color w:val="000000"/>
        </w:rPr>
        <w:t>As more drugs enter the market with the propensity to cause QTc prolongation, the chances for a serious cardiac adverse reaction in patients also increases.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This behooves prescribers </w:t>
      </w:r>
      <w:r>
        <w:rPr>
          <w:rFonts w:ascii="Book Antiqua" w:eastAsia="Book Antiqua" w:hAnsi="Book Antiqua" w:cs="Book Antiqua"/>
          <w:color w:val="000000"/>
        </w:rPr>
        <w:lastRenderedPageBreak/>
        <w:t xml:space="preserve">and pharmacists to be aware of the patient risk factors for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including congenital prolonged QT syndrome, and the medications which prolong the QTc and increase this risk.</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To our knowledge this is one of the only reports of a dedicated assessment of this subject in general </w:t>
      </w:r>
      <w:r w:rsidR="00595EED">
        <w:rPr>
          <w:rFonts w:ascii="Book Antiqua" w:eastAsia="Book Antiqua" w:hAnsi="Book Antiqua" w:cs="Book Antiqua"/>
          <w:color w:val="000000"/>
          <w:szCs w:val="27"/>
        </w:rPr>
        <w:t>IM</w:t>
      </w:r>
      <w:r>
        <w:rPr>
          <w:rFonts w:ascii="Book Antiqua" w:eastAsia="Book Antiqua" w:hAnsi="Book Antiqua" w:cs="Book Antiqua"/>
          <w:color w:val="000000"/>
        </w:rPr>
        <w:t xml:space="preserve"> physicians and their trainees.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A previous report from 2005 from the U.S. is similar to ours surveyed a variety of health care practitioners who attended Grand Rounds Conferences at 12 </w:t>
      </w:r>
      <w:proofErr w:type="gramStart"/>
      <w:r>
        <w:rPr>
          <w:rFonts w:ascii="Book Antiqua" w:eastAsia="Book Antiqua" w:hAnsi="Book Antiqua" w:cs="Book Antiqua"/>
          <w:color w:val="000000"/>
        </w:rPr>
        <w:t>hospitals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this 20 question survey the median number of correct answers from respondents was 10 (50%) which is similar to our outcomes. This survey also included a problem having respondents manually measure a QTc and found that only 43% did so correctly. Although our survey did not repeat this measure we did find that roughly similar numbers in the knowledge assessment of QTc prolongation. Congenital Long QT syndrome is somewhat rare with a prevalence of 1/2500 </w:t>
      </w:r>
      <w:r w:rsidR="0060470C">
        <w:rPr>
          <w:rFonts w:ascii="Book Antiqua" w:eastAsia="Book Antiqua" w:hAnsi="Book Antiqua" w:cs="Book Antiqua"/>
          <w:color w:val="000000"/>
        </w:rPr>
        <w:t>l</w:t>
      </w:r>
      <w:r>
        <w:rPr>
          <w:rFonts w:ascii="Book Antiqua" w:eastAsia="Book Antiqua" w:hAnsi="Book Antiqua" w:cs="Book Antiqua"/>
          <w:color w:val="000000"/>
        </w:rPr>
        <w:t xml:space="preserve">ive </w:t>
      </w:r>
      <w:proofErr w:type="gramStart"/>
      <w:r>
        <w:rPr>
          <w:rFonts w:ascii="Book Antiqua" w:eastAsia="Book Antiqua" w:hAnsi="Book Antiqua" w:cs="Book Antiqua"/>
          <w:color w:val="000000"/>
        </w:rPr>
        <w:t>births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It may be less surprising then that our respondents did not encounter it frequently.</w:t>
      </w:r>
      <w:r w:rsidR="0060470C">
        <w:rPr>
          <w:rFonts w:ascii="Book Antiqua" w:eastAsia="Book Antiqua" w:hAnsi="Book Antiqua" w:cs="Book Antiqua"/>
          <w:color w:val="000000"/>
        </w:rPr>
        <w:t xml:space="preserve"> </w:t>
      </w:r>
      <w:r>
        <w:rPr>
          <w:rFonts w:ascii="Book Antiqua" w:eastAsia="Book Antiqua" w:hAnsi="Book Antiqua" w:cs="Book Antiqua"/>
          <w:color w:val="000000"/>
        </w:rPr>
        <w:t>Somewhat more surprising was the relatively low level of pharmacist consultation indicated by our survey.</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Our health system is a large tertiary teaching hospital where pharmacy services are decentralized and well established.</w:t>
      </w:r>
      <w:r w:rsidR="0060470C">
        <w:rPr>
          <w:rFonts w:ascii="Book Antiqua" w:eastAsia="Book Antiqua" w:hAnsi="Book Antiqua" w:cs="Book Antiqua"/>
          <w:color w:val="000000"/>
        </w:rPr>
        <w:t xml:space="preserve"> </w:t>
      </w:r>
      <w:r>
        <w:rPr>
          <w:rFonts w:ascii="Book Antiqua" w:eastAsia="Book Antiqua" w:hAnsi="Book Antiqua" w:cs="Book Antiqua"/>
          <w:color w:val="000000"/>
        </w:rPr>
        <w:t>Perhaps the relatively high use of online resources may explain this finding.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Certainly</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feel our findings suggest that an educational activity to discuss QT prolonging drugs, and patient risk factors for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may be a worthwhile effort given the low scores on our vignettes.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Our study has some limitations, chief of which is the small sample size.</w:t>
      </w:r>
      <w:r w:rsidR="0099351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did receive a high number of overall responses.</w:t>
      </w:r>
      <w:r w:rsidR="0099351D">
        <w:rPr>
          <w:rFonts w:ascii="Book Antiqua" w:eastAsia="Book Antiqua" w:hAnsi="Book Antiqua" w:cs="Book Antiqua"/>
          <w:color w:val="000000"/>
        </w:rPr>
        <w:t xml:space="preserve"> </w:t>
      </w:r>
      <w:r>
        <w:rPr>
          <w:rFonts w:ascii="Book Antiqua" w:eastAsia="Book Antiqua" w:hAnsi="Book Antiqua" w:cs="Book Antiqua"/>
          <w:color w:val="000000"/>
        </w:rPr>
        <w:t>Also</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only surveyed </w:t>
      </w:r>
      <w:r w:rsidR="00595EED">
        <w:rPr>
          <w:rFonts w:ascii="Book Antiqua" w:eastAsia="Book Antiqua" w:hAnsi="Book Antiqua" w:cs="Book Antiqua"/>
          <w:color w:val="000000"/>
          <w:szCs w:val="27"/>
        </w:rPr>
        <w:t>IM</w:t>
      </w:r>
      <w:r>
        <w:rPr>
          <w:rFonts w:ascii="Book Antiqua" w:eastAsia="Book Antiqua" w:hAnsi="Book Antiqua" w:cs="Book Antiqua"/>
          <w:color w:val="000000"/>
        </w:rPr>
        <w:t xml:space="preserve"> physicians and trainees in our health-system.</w:t>
      </w:r>
      <w:r w:rsidR="0099351D">
        <w:rPr>
          <w:rFonts w:ascii="Book Antiqua" w:eastAsia="Book Antiqua" w:hAnsi="Book Antiqua" w:cs="Book Antiqua"/>
          <w:color w:val="000000"/>
        </w:rPr>
        <w:t xml:space="preserve"> </w:t>
      </w:r>
      <w:r>
        <w:rPr>
          <w:rFonts w:ascii="Book Antiqua" w:eastAsia="Book Antiqua" w:hAnsi="Book Antiqua" w:cs="Book Antiqua"/>
          <w:color w:val="000000"/>
        </w:rPr>
        <w:t>The application of this information to other geographic areas or other subspecialties of medicine is unknown.  Finally although an academic clinical pharmacist and a staff cardiologist designed the vignettes it is possible that errors in designing or writing these problems led to respondents choosing the incorrect answer.</w:t>
      </w:r>
    </w:p>
    <w:p w14:paraId="6D9CD9D8" w14:textId="77777777" w:rsidR="00A77B3E" w:rsidRDefault="00A77B3E">
      <w:pPr>
        <w:spacing w:line="360" w:lineRule="auto"/>
        <w:jc w:val="both"/>
      </w:pPr>
    </w:p>
    <w:p w14:paraId="355E1E78" w14:textId="77777777" w:rsidR="00A77B3E" w:rsidRDefault="00C77B70">
      <w:pPr>
        <w:spacing w:line="360" w:lineRule="auto"/>
        <w:jc w:val="both"/>
      </w:pPr>
      <w:r>
        <w:rPr>
          <w:rFonts w:ascii="Book Antiqua" w:eastAsia="Book Antiqua" w:hAnsi="Book Antiqua" w:cs="Book Antiqua"/>
          <w:b/>
          <w:caps/>
          <w:color w:val="000000"/>
          <w:u w:val="single"/>
        </w:rPr>
        <w:t>CONCLUSION</w:t>
      </w:r>
    </w:p>
    <w:p w14:paraId="76C3A3C1" w14:textId="4C4E0A06" w:rsidR="00A77B3E" w:rsidRDefault="00C77B70">
      <w:pPr>
        <w:spacing w:line="360" w:lineRule="auto"/>
        <w:jc w:val="both"/>
      </w:pPr>
      <w:r>
        <w:rPr>
          <w:rFonts w:ascii="Book Antiqua" w:eastAsia="Book Antiqua" w:hAnsi="Book Antiqua" w:cs="Book Antiqua"/>
          <w:color w:val="000000"/>
          <w:szCs w:val="27"/>
        </w:rPr>
        <w:t xml:space="preserve">Our survey indicates that our </w:t>
      </w:r>
      <w:r w:rsidR="00595EED">
        <w:rPr>
          <w:rFonts w:ascii="Book Antiqua" w:eastAsia="Book Antiqua" w:hAnsi="Book Antiqua" w:cs="Book Antiqua"/>
          <w:color w:val="000000"/>
          <w:szCs w:val="27"/>
        </w:rPr>
        <w:t>IM</w:t>
      </w:r>
      <w:r>
        <w:rPr>
          <w:rFonts w:ascii="Book Antiqua" w:eastAsia="Book Antiqua" w:hAnsi="Book Antiqua" w:cs="Book Antiqua"/>
          <w:color w:val="000000"/>
          <w:szCs w:val="27"/>
        </w:rPr>
        <w:t xml:space="preserve"> physicians often encounter patients receiving QT prolonging medications.</w:t>
      </w:r>
      <w:r w:rsidR="0099351D">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They only occasionally consult clinical pharmacists for this problem and use online resources at least half the time.</w:t>
      </w:r>
      <w:r w:rsidR="0099351D">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 xml:space="preserve">The results of the vignettes suggest a knowledge gap concerning these issues that we plan to address with an </w:t>
      </w:r>
      <w:r>
        <w:rPr>
          <w:rFonts w:ascii="Book Antiqua" w:eastAsia="Book Antiqua" w:hAnsi="Book Antiqua" w:cs="Book Antiqua"/>
          <w:color w:val="000000"/>
          <w:szCs w:val="27"/>
        </w:rPr>
        <w:lastRenderedPageBreak/>
        <w:t xml:space="preserve">interdisciplinary educational program. It would be worthwhile to repeat this study in a larger academic institution to obtain a larger sample size and consider sampling other specialties such as family medicine and psychiatry. </w:t>
      </w:r>
    </w:p>
    <w:p w14:paraId="4A6E0BDD" w14:textId="77777777" w:rsidR="00A77B3E" w:rsidRDefault="00A77B3E">
      <w:pPr>
        <w:spacing w:line="360" w:lineRule="auto"/>
        <w:jc w:val="both"/>
      </w:pPr>
    </w:p>
    <w:p w14:paraId="7AC9F4B9" w14:textId="77777777" w:rsidR="00A77B3E" w:rsidRDefault="00C77B70">
      <w:pPr>
        <w:spacing w:line="360" w:lineRule="auto"/>
        <w:jc w:val="both"/>
      </w:pPr>
      <w:r>
        <w:rPr>
          <w:rFonts w:ascii="Book Antiqua" w:eastAsia="Book Antiqua" w:hAnsi="Book Antiqua" w:cs="Book Antiqua"/>
          <w:b/>
          <w:color w:val="000000"/>
        </w:rPr>
        <w:t>REFERENCES</w:t>
      </w:r>
    </w:p>
    <w:p w14:paraId="30BE5C70" w14:textId="7FC625DF" w:rsidR="00A77B3E" w:rsidRDefault="00C77B7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Dessertenne</w:t>
      </w:r>
      <w:proofErr w:type="spellEnd"/>
      <w:r>
        <w:rPr>
          <w:rFonts w:ascii="Book Antiqua" w:eastAsia="Book Antiqua" w:hAnsi="Book Antiqua" w:cs="Book Antiqua"/>
          <w:b/>
          <w:bCs/>
          <w:color w:val="000000"/>
        </w:rPr>
        <w:t xml:space="preserve"> F</w:t>
      </w:r>
      <w:r w:rsidRPr="00DE2132">
        <w:rPr>
          <w:rFonts w:ascii="Book Antiqua" w:eastAsia="Book Antiqua" w:hAnsi="Book Antiqua" w:cs="Book Antiqua"/>
          <w:color w:val="000000"/>
        </w:rPr>
        <w:t>. Ventricular tachycardia with 2 variable opposing foci</w:t>
      </w:r>
      <w:r w:rsidR="00DE2132">
        <w:rPr>
          <w:rFonts w:ascii="Book Antiqua" w:eastAsia="Book Antiqua" w:hAnsi="Book Antiqua" w:cs="Book Antiqua"/>
          <w:color w:val="000000"/>
        </w:rPr>
        <w:t>.</w:t>
      </w:r>
      <w:r w:rsidRPr="00DE2132">
        <w:rPr>
          <w:rFonts w:ascii="Book Antiqua" w:eastAsia="Book Antiqua" w:hAnsi="Book Antiqua" w:cs="Book Antiqua"/>
          <w:color w:val="000000"/>
        </w:rPr>
        <w:t xml:space="preserve"> </w:t>
      </w:r>
      <w:r w:rsidRPr="00DE2132">
        <w:rPr>
          <w:rFonts w:ascii="Book Antiqua" w:eastAsia="Book Antiqua" w:hAnsi="Book Antiqua" w:cs="Book Antiqua"/>
          <w:i/>
          <w:iCs/>
          <w:color w:val="000000"/>
        </w:rPr>
        <w:t xml:space="preserve">Arch Mal Coeur </w:t>
      </w:r>
      <w:proofErr w:type="spellStart"/>
      <w:r w:rsidRPr="00DE2132">
        <w:rPr>
          <w:rFonts w:ascii="Book Antiqua" w:eastAsia="Book Antiqua" w:hAnsi="Book Antiqua" w:cs="Book Antiqua"/>
          <w:i/>
          <w:iCs/>
          <w:color w:val="000000"/>
        </w:rPr>
        <w:t>Vaiss</w:t>
      </w:r>
      <w:proofErr w:type="spellEnd"/>
      <w:r w:rsidR="00DE2132">
        <w:rPr>
          <w:rFonts w:ascii="Book Antiqua" w:eastAsia="Book Antiqua" w:hAnsi="Book Antiqua" w:cs="Book Antiqua"/>
          <w:color w:val="000000"/>
        </w:rPr>
        <w:t xml:space="preserve"> </w:t>
      </w:r>
      <w:r w:rsidRPr="00DE2132">
        <w:rPr>
          <w:rFonts w:ascii="Book Antiqua" w:eastAsia="Book Antiqua" w:hAnsi="Book Antiqua" w:cs="Book Antiqua"/>
          <w:color w:val="000000"/>
        </w:rPr>
        <w:t xml:space="preserve">1966; </w:t>
      </w:r>
      <w:r w:rsidRPr="00DE2132">
        <w:rPr>
          <w:rFonts w:ascii="Book Antiqua" w:eastAsia="Book Antiqua" w:hAnsi="Book Antiqua" w:cs="Book Antiqua"/>
          <w:b/>
          <w:bCs/>
          <w:color w:val="000000"/>
        </w:rPr>
        <w:t>59</w:t>
      </w:r>
      <w:r w:rsidRPr="00DE2132">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sidRPr="00DE2132">
        <w:rPr>
          <w:rFonts w:ascii="Book Antiqua" w:eastAsia="Book Antiqua" w:hAnsi="Book Antiqua" w:cs="Book Antiqua"/>
          <w:color w:val="000000"/>
        </w:rPr>
        <w:t>263-</w:t>
      </w:r>
      <w:r w:rsidR="00DE2132">
        <w:rPr>
          <w:rFonts w:ascii="Book Antiqua" w:eastAsia="Book Antiqua" w:hAnsi="Book Antiqua" w:cs="Book Antiqua"/>
          <w:color w:val="000000"/>
        </w:rPr>
        <w:t>2</w:t>
      </w:r>
      <w:r w:rsidRPr="00DE2132">
        <w:rPr>
          <w:rFonts w:ascii="Book Antiqua" w:eastAsia="Book Antiqua" w:hAnsi="Book Antiqua" w:cs="Book Antiqua"/>
          <w:color w:val="000000"/>
        </w:rPr>
        <w:t>72</w:t>
      </w:r>
    </w:p>
    <w:p w14:paraId="11ECF8A7" w14:textId="69081BC9" w:rsidR="00A77B3E" w:rsidRDefault="00C77B7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Fung M</w:t>
      </w:r>
      <w:r w:rsidRPr="00DE2132">
        <w:rPr>
          <w:rFonts w:ascii="Book Antiqua" w:eastAsia="Book Antiqua" w:hAnsi="Book Antiqua" w:cs="Book Antiqua"/>
          <w:color w:val="000000"/>
        </w:rPr>
        <w:t xml:space="preserve">, </w:t>
      </w:r>
      <w:r>
        <w:rPr>
          <w:rFonts w:ascii="Book Antiqua" w:eastAsia="Book Antiqua" w:hAnsi="Book Antiqua" w:cs="Book Antiqua"/>
          <w:color w:val="000000"/>
        </w:rPr>
        <w:t xml:space="preserve">Thornton A, </w:t>
      </w:r>
      <w:proofErr w:type="spellStart"/>
      <w:r>
        <w:rPr>
          <w:rFonts w:ascii="Book Antiqua" w:eastAsia="Book Antiqua" w:hAnsi="Book Antiqua" w:cs="Book Antiqua"/>
          <w:color w:val="000000"/>
        </w:rPr>
        <w:t>Mybeck</w:t>
      </w:r>
      <w:proofErr w:type="spellEnd"/>
      <w:r>
        <w:rPr>
          <w:rFonts w:ascii="Book Antiqua" w:eastAsia="Book Antiqua" w:hAnsi="Book Antiqua" w:cs="Book Antiqua"/>
          <w:color w:val="000000"/>
        </w:rPr>
        <w:t xml:space="preserve"> K, Wu JH, Hornbuckle K, Muniz E. Evaluation of the Characteristics of Safety Withdrawal of Prescription Drugs from Worldwide Pharmaceutical Markets-1960 to 1999. </w:t>
      </w:r>
      <w:r w:rsidRPr="00DE2132">
        <w:rPr>
          <w:rFonts w:ascii="Book Antiqua" w:eastAsia="Book Antiqua" w:hAnsi="Book Antiqua" w:cs="Book Antiqua"/>
          <w:i/>
          <w:iCs/>
          <w:color w:val="000000"/>
        </w:rPr>
        <w:t>Drug Inf</w:t>
      </w:r>
      <w:r w:rsidR="00DE2132" w:rsidRPr="00DE2132">
        <w:rPr>
          <w:rFonts w:ascii="Book Antiqua" w:eastAsia="Book Antiqua" w:hAnsi="Book Antiqua" w:cs="Book Antiqua"/>
          <w:i/>
          <w:iCs/>
          <w:color w:val="000000"/>
        </w:rPr>
        <w:t xml:space="preserve"> </w:t>
      </w:r>
      <w:r w:rsidRPr="00DE2132">
        <w:rPr>
          <w:rFonts w:ascii="Book Antiqua" w:eastAsia="Book Antiqua" w:hAnsi="Book Antiqua" w:cs="Book Antiqua"/>
          <w:i/>
          <w:iCs/>
          <w:color w:val="000000"/>
        </w:rPr>
        <w:t>J</w:t>
      </w:r>
      <w:r>
        <w:rPr>
          <w:rFonts w:ascii="Book Antiqua" w:eastAsia="Book Antiqua" w:hAnsi="Book Antiqua" w:cs="Book Antiqua"/>
          <w:color w:val="000000"/>
        </w:rPr>
        <w:t xml:space="preserve"> 2001;</w:t>
      </w:r>
      <w:r w:rsidR="00DE2132">
        <w:rPr>
          <w:rFonts w:ascii="Book Antiqua" w:eastAsia="Book Antiqua" w:hAnsi="Book Antiqua" w:cs="Book Antiqua"/>
          <w:color w:val="000000"/>
        </w:rPr>
        <w:t xml:space="preserve"> </w:t>
      </w:r>
      <w:r w:rsidRPr="00DE2132">
        <w:rPr>
          <w:rFonts w:ascii="Book Antiqua" w:eastAsia="Book Antiqua" w:hAnsi="Book Antiqua" w:cs="Book Antiqua"/>
          <w:b/>
          <w:bCs/>
          <w:color w:val="000000"/>
        </w:rPr>
        <w:t>35</w:t>
      </w:r>
      <w:r>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Pr>
          <w:rFonts w:ascii="Book Antiqua" w:eastAsia="Book Antiqua" w:hAnsi="Book Antiqua" w:cs="Book Antiqua"/>
          <w:color w:val="000000"/>
        </w:rPr>
        <w:t>293-317</w:t>
      </w:r>
      <w:r w:rsidR="00DE2132">
        <w:rPr>
          <w:rFonts w:ascii="Book Antiqua" w:eastAsia="Book Antiqua" w:hAnsi="Book Antiqua" w:cs="Book Antiqua"/>
          <w:color w:val="000000"/>
        </w:rPr>
        <w:t xml:space="preserve"> [DOI</w:t>
      </w:r>
      <w:r>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Pr>
          <w:rFonts w:ascii="Book Antiqua" w:eastAsia="Book Antiqua" w:hAnsi="Book Antiqua" w:cs="Book Antiqua"/>
          <w:color w:val="000000"/>
        </w:rPr>
        <w:t>10.1177/009286150103500134</w:t>
      </w:r>
      <w:r w:rsidR="00DE2132">
        <w:rPr>
          <w:rFonts w:ascii="Book Antiqua" w:eastAsia="Book Antiqua" w:hAnsi="Book Antiqua" w:cs="Book Antiqua"/>
          <w:color w:val="000000"/>
        </w:rPr>
        <w:t>]</w:t>
      </w:r>
    </w:p>
    <w:p w14:paraId="4B0BC87A" w14:textId="77777777" w:rsidR="00A77B3E" w:rsidRDefault="00C77B7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Rautaharju</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Mason JW, Akiyama T. New age- and sex-specific criteria for QT prolongation based on rate correction formulas that minimize bias at the upper normal limits.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174</w:t>
      </w:r>
      <w:r>
        <w:rPr>
          <w:rFonts w:ascii="Book Antiqua" w:eastAsia="Book Antiqua" w:hAnsi="Book Antiqua" w:cs="Book Antiqua"/>
          <w:color w:val="000000"/>
        </w:rPr>
        <w:t>: 535-540 [PMID: 24825030 DOI: 10.1016/j.ijcard.2014.04.133]</w:t>
      </w:r>
    </w:p>
    <w:p w14:paraId="1E16D7CC" w14:textId="77777777" w:rsidR="00A77B3E" w:rsidRDefault="00C77B7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Arunachalam K</w:t>
      </w:r>
      <w:r>
        <w:rPr>
          <w:rFonts w:ascii="Book Antiqua" w:eastAsia="Book Antiqua" w:hAnsi="Book Antiqua" w:cs="Book Antiqua"/>
          <w:color w:val="000000"/>
        </w:rPr>
        <w:t xml:space="preserve">, Lakshmanan S, </w:t>
      </w:r>
      <w:proofErr w:type="spellStart"/>
      <w:r>
        <w:rPr>
          <w:rFonts w:ascii="Book Antiqua" w:eastAsia="Book Antiqua" w:hAnsi="Book Antiqua" w:cs="Book Antiqua"/>
          <w:color w:val="000000"/>
        </w:rPr>
        <w:t>Maan</w:t>
      </w:r>
      <w:proofErr w:type="spellEnd"/>
      <w:r>
        <w:rPr>
          <w:rFonts w:ascii="Book Antiqua" w:eastAsia="Book Antiqua" w:hAnsi="Book Antiqua" w:cs="Book Antiqua"/>
          <w:color w:val="000000"/>
        </w:rPr>
        <w:t xml:space="preserve"> A, Kumar N, Dominic P. Impact of Drug Induced Long QT Syndrome: A Systematic Review.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384-390 [PMID: 29581800 DOI: 10.14740/jocmr3338w]</w:t>
      </w:r>
    </w:p>
    <w:p w14:paraId="6D618107" w14:textId="77777777" w:rsidR="00A77B3E" w:rsidRDefault="00C77B7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Dhanani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EH, Turner JR. Clinical pharmacists' opportunities to reduce inappropriate prescription of QT-prolonging medications: calls to action. </w:t>
      </w:r>
      <w:r>
        <w:rPr>
          <w:rFonts w:ascii="Book Antiqua" w:eastAsia="Book Antiqua" w:hAnsi="Book Antiqua" w:cs="Book Antiqua"/>
          <w:i/>
          <w:iCs/>
          <w:color w:val="000000"/>
        </w:rPr>
        <w:t xml:space="preserve">Int J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176-179 [PMID: 27677250 DOI: 10.1111/ijpp.12303]</w:t>
      </w:r>
    </w:p>
    <w:p w14:paraId="509FD42A" w14:textId="77777777" w:rsidR="00A77B3E" w:rsidRDefault="00C77B7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Al-Khatib SM</w:t>
      </w:r>
      <w:r>
        <w:rPr>
          <w:rFonts w:ascii="Book Antiqua" w:eastAsia="Book Antiqua" w:hAnsi="Book Antiqua" w:cs="Book Antiqua"/>
          <w:color w:val="000000"/>
        </w:rPr>
        <w:t xml:space="preserve">, Allen LaPointe NM, Kramer JM, Chen AY, Hammill BG, Delong L,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A survey of health care practitioners' knowledge of the QT interval.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392-396 [PMID: 15963159 DOI: 10.1111/j.1525-1497.2005.0101.x]</w:t>
      </w:r>
    </w:p>
    <w:p w14:paraId="1E9B3B62" w14:textId="77777777" w:rsidR="00A77B3E" w:rsidRDefault="00C77B7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Crotti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Dagradi</w:t>
      </w:r>
      <w:proofErr w:type="spellEnd"/>
      <w:r>
        <w:rPr>
          <w:rFonts w:ascii="Book Antiqua" w:eastAsia="Book Antiqua" w:hAnsi="Book Antiqua" w:cs="Book Antiqua"/>
          <w:color w:val="000000"/>
        </w:rPr>
        <w:t xml:space="preserve"> F, Schwartz PJ. Congenital long QT syndrome.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18 [PMID: 18606002 DOI: 10.1186/1750-1172-3-18]</w:t>
      </w:r>
    </w:p>
    <w:p w14:paraId="4441D6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C333D3" w14:textId="77777777" w:rsidR="00A77B3E" w:rsidRDefault="00C77B70">
      <w:pPr>
        <w:spacing w:line="360" w:lineRule="auto"/>
        <w:jc w:val="both"/>
      </w:pPr>
      <w:r>
        <w:rPr>
          <w:rFonts w:ascii="Book Antiqua" w:eastAsia="Book Antiqua" w:hAnsi="Book Antiqua" w:cs="Book Antiqua"/>
          <w:b/>
          <w:color w:val="000000"/>
        </w:rPr>
        <w:lastRenderedPageBreak/>
        <w:t>Footnotes</w:t>
      </w:r>
    </w:p>
    <w:p w14:paraId="57A80290" w14:textId="1DCADA16" w:rsidR="00A77B3E" w:rsidRDefault="00C77B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of the authors have</w:t>
      </w:r>
      <w:r w:rsidR="0099351D">
        <w:rPr>
          <w:rFonts w:ascii="Book Antiqua" w:eastAsia="Book Antiqua" w:hAnsi="Book Antiqua" w:cs="Book Antiqua"/>
          <w:color w:val="000000"/>
        </w:rPr>
        <w:t xml:space="preserve"> </w:t>
      </w:r>
      <w:r>
        <w:rPr>
          <w:rFonts w:ascii="Book Antiqua" w:eastAsia="Book Antiqua" w:hAnsi="Book Antiqua" w:cs="Book Antiqua"/>
          <w:color w:val="000000"/>
        </w:rPr>
        <w:t>real or potential conflicts of interest pertaining to this work</w:t>
      </w:r>
      <w:r w:rsidR="0099351D">
        <w:rPr>
          <w:rFonts w:ascii="Book Antiqua" w:eastAsia="Book Antiqua" w:hAnsi="Book Antiqua" w:cs="Book Antiqua"/>
          <w:color w:val="000000"/>
        </w:rPr>
        <w:t>.</w:t>
      </w:r>
    </w:p>
    <w:p w14:paraId="63773124" w14:textId="77777777" w:rsidR="00A77B3E" w:rsidRDefault="00A77B3E">
      <w:pPr>
        <w:spacing w:line="360" w:lineRule="auto"/>
        <w:jc w:val="both"/>
      </w:pPr>
    </w:p>
    <w:p w14:paraId="6EA52251" w14:textId="77777777" w:rsidR="00A77B3E" w:rsidRDefault="00C77B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28160" w14:textId="77777777" w:rsidR="00A77B3E" w:rsidRDefault="00A77B3E">
      <w:pPr>
        <w:spacing w:line="360" w:lineRule="auto"/>
        <w:jc w:val="both"/>
      </w:pPr>
    </w:p>
    <w:p w14:paraId="56CA14C5" w14:textId="24E50331" w:rsidR="00A77B3E" w:rsidRDefault="00C77B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E2132">
        <w:rPr>
          <w:rFonts w:ascii="Book Antiqua" w:eastAsia="Book Antiqua" w:hAnsi="Book Antiqua" w:cs="Book Antiqua"/>
          <w:color w:val="000000"/>
        </w:rPr>
        <w:t>ma</w:t>
      </w:r>
      <w:r>
        <w:rPr>
          <w:rFonts w:ascii="Book Antiqua" w:eastAsia="Book Antiqua" w:hAnsi="Book Antiqua" w:cs="Book Antiqua"/>
          <w:color w:val="000000"/>
        </w:rPr>
        <w:t>nuscript</w:t>
      </w:r>
    </w:p>
    <w:p w14:paraId="03E08BC7" w14:textId="77777777" w:rsidR="00A77B3E" w:rsidRDefault="00A77B3E">
      <w:pPr>
        <w:spacing w:line="360" w:lineRule="auto"/>
        <w:jc w:val="both"/>
      </w:pPr>
    </w:p>
    <w:p w14:paraId="585F06CA" w14:textId="77777777" w:rsidR="00A77B3E" w:rsidRDefault="00C77B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19, 2020</w:t>
      </w:r>
    </w:p>
    <w:p w14:paraId="509467BF" w14:textId="77777777" w:rsidR="00A77B3E" w:rsidRDefault="00C77B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685CE798" w14:textId="77777777" w:rsidR="00A77B3E" w:rsidRDefault="00C77B70">
      <w:pPr>
        <w:spacing w:line="360" w:lineRule="auto"/>
        <w:jc w:val="both"/>
      </w:pPr>
      <w:r>
        <w:rPr>
          <w:rFonts w:ascii="Book Antiqua" w:eastAsia="Book Antiqua" w:hAnsi="Book Antiqua" w:cs="Book Antiqua"/>
          <w:b/>
          <w:color w:val="000000"/>
        </w:rPr>
        <w:t xml:space="preserve">Article in press: </w:t>
      </w:r>
    </w:p>
    <w:p w14:paraId="4F2DB0EC" w14:textId="77777777" w:rsidR="00A77B3E" w:rsidRDefault="00A77B3E">
      <w:pPr>
        <w:spacing w:line="360" w:lineRule="auto"/>
        <w:jc w:val="both"/>
      </w:pPr>
    </w:p>
    <w:p w14:paraId="26E92D7F" w14:textId="2C156F06" w:rsidR="00A77B3E" w:rsidRDefault="00C77B70">
      <w:pPr>
        <w:spacing w:line="360" w:lineRule="auto"/>
        <w:jc w:val="both"/>
      </w:pPr>
      <w:r>
        <w:rPr>
          <w:rFonts w:ascii="Book Antiqua" w:eastAsia="Book Antiqua" w:hAnsi="Book Antiqua" w:cs="Book Antiqua"/>
          <w:b/>
          <w:color w:val="000000"/>
        </w:rPr>
        <w:t xml:space="preserve">Specialty type: </w:t>
      </w:r>
      <w:r w:rsidR="00DE2132" w:rsidRPr="00E700C2">
        <w:rPr>
          <w:rFonts w:ascii="Book Antiqua" w:eastAsia="Microsoft YaHei" w:hAnsi="Book Antiqua" w:cs="SimSun"/>
        </w:rPr>
        <w:t>Cardiac and cardiovascular systems</w:t>
      </w:r>
    </w:p>
    <w:p w14:paraId="5A8319DB" w14:textId="77777777" w:rsidR="00A77B3E" w:rsidRDefault="00C77B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83D3A7" w14:textId="77777777" w:rsidR="00A77B3E" w:rsidRDefault="00C77B70">
      <w:pPr>
        <w:spacing w:line="360" w:lineRule="auto"/>
        <w:jc w:val="both"/>
      </w:pPr>
      <w:r>
        <w:rPr>
          <w:rFonts w:ascii="Book Antiqua" w:eastAsia="Book Antiqua" w:hAnsi="Book Antiqua" w:cs="Book Antiqua"/>
          <w:b/>
          <w:color w:val="000000"/>
        </w:rPr>
        <w:t>Peer-review report’s scientific quality classification</w:t>
      </w:r>
    </w:p>
    <w:p w14:paraId="465B997D" w14:textId="77777777" w:rsidR="00A77B3E" w:rsidRDefault="00C77B70">
      <w:pPr>
        <w:spacing w:line="360" w:lineRule="auto"/>
        <w:jc w:val="both"/>
      </w:pPr>
      <w:r>
        <w:rPr>
          <w:rFonts w:ascii="Book Antiqua" w:eastAsia="Book Antiqua" w:hAnsi="Book Antiqua" w:cs="Book Antiqua"/>
          <w:color w:val="000000"/>
        </w:rPr>
        <w:t>Grade A (Excellent): 0</w:t>
      </w:r>
    </w:p>
    <w:p w14:paraId="431C38EF" w14:textId="77777777" w:rsidR="00A77B3E" w:rsidRDefault="00C77B70">
      <w:pPr>
        <w:spacing w:line="360" w:lineRule="auto"/>
        <w:jc w:val="both"/>
      </w:pPr>
      <w:r>
        <w:rPr>
          <w:rFonts w:ascii="Book Antiqua" w:eastAsia="Book Antiqua" w:hAnsi="Book Antiqua" w:cs="Book Antiqua"/>
          <w:color w:val="000000"/>
        </w:rPr>
        <w:t>Grade B (Very good): B</w:t>
      </w:r>
    </w:p>
    <w:p w14:paraId="2CC11193" w14:textId="77777777" w:rsidR="00A77B3E" w:rsidRDefault="00C77B70">
      <w:pPr>
        <w:spacing w:line="360" w:lineRule="auto"/>
        <w:jc w:val="both"/>
      </w:pPr>
      <w:r>
        <w:rPr>
          <w:rFonts w:ascii="Book Antiqua" w:eastAsia="Book Antiqua" w:hAnsi="Book Antiqua" w:cs="Book Antiqua"/>
          <w:color w:val="000000"/>
        </w:rPr>
        <w:t>Grade C (Good): 0</w:t>
      </w:r>
    </w:p>
    <w:p w14:paraId="05CC0BB3" w14:textId="77777777" w:rsidR="00A77B3E" w:rsidRDefault="00C77B70">
      <w:pPr>
        <w:spacing w:line="360" w:lineRule="auto"/>
        <w:jc w:val="both"/>
      </w:pPr>
      <w:r>
        <w:rPr>
          <w:rFonts w:ascii="Book Antiqua" w:eastAsia="Book Antiqua" w:hAnsi="Book Antiqua" w:cs="Book Antiqua"/>
          <w:color w:val="000000"/>
        </w:rPr>
        <w:t>Grade D (Fair): 0</w:t>
      </w:r>
    </w:p>
    <w:p w14:paraId="7FE97697" w14:textId="77777777" w:rsidR="00A77B3E" w:rsidRDefault="00C77B70">
      <w:pPr>
        <w:spacing w:line="360" w:lineRule="auto"/>
        <w:jc w:val="both"/>
      </w:pPr>
      <w:r>
        <w:rPr>
          <w:rFonts w:ascii="Book Antiqua" w:eastAsia="Book Antiqua" w:hAnsi="Book Antiqua" w:cs="Book Antiqua"/>
          <w:color w:val="000000"/>
        </w:rPr>
        <w:t>Grade E (Poor): 0</w:t>
      </w:r>
    </w:p>
    <w:p w14:paraId="3A777146" w14:textId="77777777" w:rsidR="00A77B3E" w:rsidRDefault="00A77B3E">
      <w:pPr>
        <w:spacing w:line="360" w:lineRule="auto"/>
        <w:jc w:val="both"/>
      </w:pPr>
    </w:p>
    <w:p w14:paraId="13414BFF" w14:textId="3A3312BE" w:rsidR="0099351D" w:rsidRDefault="00C77B7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Rostagno</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8CFF83" w14:textId="7D3E1684" w:rsidR="00A77B3E" w:rsidRDefault="009935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99351D">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99351D">
        <w:rPr>
          <w:rFonts w:ascii="Book Antiqua" w:eastAsia="Book Antiqua" w:hAnsi="Book Antiqua" w:cs="Book Antiqua"/>
          <w:b/>
          <w:color w:val="000000"/>
        </w:rPr>
        <w:t>Survey participant level of training</w:t>
      </w:r>
    </w:p>
    <w:tbl>
      <w:tblPr>
        <w:tblW w:w="0" w:type="auto"/>
        <w:tblLook w:val="04A0" w:firstRow="1" w:lastRow="0" w:firstColumn="1" w:lastColumn="0" w:noHBand="0" w:noVBand="1"/>
      </w:tblPr>
      <w:tblGrid>
        <w:gridCol w:w="4687"/>
        <w:gridCol w:w="4673"/>
      </w:tblGrid>
      <w:tr w:rsidR="0099351D" w:rsidRPr="0099351D" w14:paraId="6E584265" w14:textId="77777777" w:rsidTr="0099351D">
        <w:tc>
          <w:tcPr>
            <w:tcW w:w="4788" w:type="dxa"/>
            <w:tcBorders>
              <w:top w:val="single" w:sz="4" w:space="0" w:color="auto"/>
              <w:bottom w:val="single" w:sz="4" w:space="0" w:color="auto"/>
            </w:tcBorders>
          </w:tcPr>
          <w:p w14:paraId="33ED1732" w14:textId="4FFEBD7C" w:rsidR="0099351D" w:rsidRPr="0099351D" w:rsidRDefault="0099351D" w:rsidP="0099351D">
            <w:pPr>
              <w:pStyle w:val="NormalWeb"/>
              <w:spacing w:line="360" w:lineRule="auto"/>
              <w:jc w:val="both"/>
              <w:rPr>
                <w:rFonts w:ascii="Book Antiqua" w:hAnsi="Book Antiqua"/>
                <w:b/>
                <w:bCs/>
                <w:color w:val="000000"/>
              </w:rPr>
            </w:pPr>
            <w:r w:rsidRPr="0099351D">
              <w:rPr>
                <w:rFonts w:ascii="Book Antiqua" w:hAnsi="Book Antiqua"/>
                <w:b/>
                <w:bCs/>
                <w:color w:val="000000"/>
              </w:rPr>
              <w:t>Training</w:t>
            </w:r>
            <w:r w:rsidR="009418B3" w:rsidRPr="0099351D">
              <w:rPr>
                <w:rFonts w:ascii="Book Antiqua" w:hAnsi="Book Antiqua"/>
                <w:b/>
                <w:bCs/>
                <w:color w:val="000000"/>
              </w:rPr>
              <w:t xml:space="preserve"> s</w:t>
            </w:r>
            <w:r w:rsidRPr="0099351D">
              <w:rPr>
                <w:rFonts w:ascii="Book Antiqua" w:hAnsi="Book Antiqua"/>
                <w:b/>
                <w:bCs/>
                <w:color w:val="000000"/>
              </w:rPr>
              <w:t>tatus</w:t>
            </w:r>
          </w:p>
        </w:tc>
        <w:tc>
          <w:tcPr>
            <w:tcW w:w="4788" w:type="dxa"/>
            <w:tcBorders>
              <w:top w:val="single" w:sz="4" w:space="0" w:color="auto"/>
              <w:bottom w:val="single" w:sz="4" w:space="0" w:color="auto"/>
            </w:tcBorders>
          </w:tcPr>
          <w:p w14:paraId="299FB10F" w14:textId="3B0E03FD" w:rsidR="0099351D" w:rsidRPr="0099351D" w:rsidRDefault="009418B3" w:rsidP="0099351D">
            <w:pPr>
              <w:pStyle w:val="NormalWeb"/>
              <w:spacing w:line="360" w:lineRule="auto"/>
              <w:jc w:val="both"/>
              <w:rPr>
                <w:rFonts w:ascii="Book Antiqua" w:hAnsi="Book Antiqua"/>
                <w:b/>
                <w:bCs/>
                <w:color w:val="000000"/>
              </w:rPr>
            </w:pPr>
            <w:r w:rsidRPr="009418B3">
              <w:rPr>
                <w:rFonts w:ascii="Book Antiqua" w:hAnsi="Book Antiqua"/>
                <w:b/>
                <w:bCs/>
                <w:i/>
                <w:iCs/>
                <w:color w:val="000000"/>
              </w:rPr>
              <w:t>n</w:t>
            </w:r>
            <w:r w:rsidR="0099351D" w:rsidRPr="0099351D">
              <w:rPr>
                <w:rFonts w:ascii="Book Antiqua" w:hAnsi="Book Antiqua"/>
                <w:b/>
                <w:bCs/>
                <w:color w:val="000000"/>
              </w:rPr>
              <w:t xml:space="preserve"> (%)</w:t>
            </w:r>
          </w:p>
        </w:tc>
      </w:tr>
      <w:tr w:rsidR="0099351D" w:rsidRPr="0099351D" w14:paraId="2907D9CB" w14:textId="77777777" w:rsidTr="0099351D">
        <w:tc>
          <w:tcPr>
            <w:tcW w:w="4788" w:type="dxa"/>
            <w:tcBorders>
              <w:top w:val="single" w:sz="4" w:space="0" w:color="auto"/>
            </w:tcBorders>
          </w:tcPr>
          <w:p w14:paraId="4AF81480"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PGY-1</w:t>
            </w:r>
          </w:p>
        </w:tc>
        <w:tc>
          <w:tcPr>
            <w:tcW w:w="4788" w:type="dxa"/>
            <w:tcBorders>
              <w:top w:val="single" w:sz="4" w:space="0" w:color="auto"/>
            </w:tcBorders>
          </w:tcPr>
          <w:p w14:paraId="2A375D6D"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12 (29.2)</w:t>
            </w:r>
          </w:p>
        </w:tc>
      </w:tr>
      <w:tr w:rsidR="0099351D" w:rsidRPr="0099351D" w14:paraId="1CD072DC" w14:textId="77777777" w:rsidTr="0099351D">
        <w:tc>
          <w:tcPr>
            <w:tcW w:w="4788" w:type="dxa"/>
          </w:tcPr>
          <w:p w14:paraId="2D3B0741"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PGY-2</w:t>
            </w:r>
          </w:p>
        </w:tc>
        <w:tc>
          <w:tcPr>
            <w:tcW w:w="4788" w:type="dxa"/>
          </w:tcPr>
          <w:p w14:paraId="4C921F88"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6 (13.3)</w:t>
            </w:r>
          </w:p>
        </w:tc>
      </w:tr>
      <w:tr w:rsidR="0099351D" w:rsidRPr="0099351D" w14:paraId="557E4C02" w14:textId="77777777" w:rsidTr="0099351D">
        <w:tc>
          <w:tcPr>
            <w:tcW w:w="4788" w:type="dxa"/>
          </w:tcPr>
          <w:p w14:paraId="03D31C38"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PGY-3</w:t>
            </w:r>
          </w:p>
        </w:tc>
        <w:tc>
          <w:tcPr>
            <w:tcW w:w="4788" w:type="dxa"/>
          </w:tcPr>
          <w:p w14:paraId="54EE4FF5"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6 (13.3)</w:t>
            </w:r>
          </w:p>
        </w:tc>
      </w:tr>
      <w:tr w:rsidR="0099351D" w:rsidRPr="0099351D" w14:paraId="192B74EC" w14:textId="77777777" w:rsidTr="0099351D">
        <w:tc>
          <w:tcPr>
            <w:tcW w:w="4788" w:type="dxa"/>
            <w:tcBorders>
              <w:bottom w:val="single" w:sz="4" w:space="0" w:color="auto"/>
            </w:tcBorders>
          </w:tcPr>
          <w:p w14:paraId="6936D90B" w14:textId="2D0C2370"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 xml:space="preserve">Attending physician </w:t>
            </w:r>
          </w:p>
        </w:tc>
        <w:tc>
          <w:tcPr>
            <w:tcW w:w="4788" w:type="dxa"/>
            <w:tcBorders>
              <w:bottom w:val="single" w:sz="4" w:space="0" w:color="auto"/>
            </w:tcBorders>
          </w:tcPr>
          <w:p w14:paraId="78315F8C" w14:textId="77777777" w:rsidR="0099351D" w:rsidRPr="0099351D" w:rsidRDefault="0099351D" w:rsidP="0099351D">
            <w:pPr>
              <w:pStyle w:val="NormalWeb"/>
              <w:spacing w:line="360" w:lineRule="auto"/>
              <w:jc w:val="both"/>
              <w:rPr>
                <w:rFonts w:ascii="Book Antiqua" w:hAnsi="Book Antiqua"/>
                <w:color w:val="000000"/>
              </w:rPr>
            </w:pPr>
            <w:r w:rsidRPr="0099351D">
              <w:rPr>
                <w:rFonts w:ascii="Book Antiqua" w:hAnsi="Book Antiqua"/>
                <w:color w:val="000000"/>
              </w:rPr>
              <w:t>17 (37.7)</w:t>
            </w:r>
          </w:p>
        </w:tc>
      </w:tr>
    </w:tbl>
    <w:p w14:paraId="51F2AF27" w14:textId="242C21C2" w:rsidR="009418B3" w:rsidRDefault="009418B3">
      <w:pPr>
        <w:spacing w:line="360" w:lineRule="auto"/>
        <w:jc w:val="both"/>
      </w:pPr>
    </w:p>
    <w:p w14:paraId="03D52D01" w14:textId="623FE257" w:rsidR="0099351D" w:rsidRDefault="009418B3">
      <w:pPr>
        <w:spacing w:line="360" w:lineRule="auto"/>
        <w:jc w:val="both"/>
        <w:rPr>
          <w:rFonts w:ascii="Book Antiqua" w:hAnsi="Book Antiqua"/>
          <w:b/>
          <w:bCs/>
        </w:rPr>
      </w:pPr>
      <w:r>
        <w:br w:type="page"/>
      </w:r>
      <w:r w:rsidRPr="009418B3">
        <w:rPr>
          <w:rFonts w:ascii="Book Antiqua" w:hAnsi="Book Antiqua"/>
          <w:b/>
          <w:bCs/>
        </w:rPr>
        <w:lastRenderedPageBreak/>
        <w:t>Table 2</w:t>
      </w:r>
      <w:r>
        <w:rPr>
          <w:rFonts w:ascii="Book Antiqua" w:hAnsi="Book Antiqua"/>
          <w:b/>
          <w:bCs/>
        </w:rPr>
        <w:t xml:space="preserve"> </w:t>
      </w:r>
      <w:r w:rsidRPr="009418B3">
        <w:rPr>
          <w:rFonts w:ascii="Book Antiqua" w:hAnsi="Book Antiqua"/>
          <w:b/>
          <w:bCs/>
        </w:rPr>
        <w:t>Abbreviated responses to select survey questions</w:t>
      </w:r>
    </w:p>
    <w:tbl>
      <w:tblPr>
        <w:tblW w:w="9870" w:type="dxa"/>
        <w:tblLook w:val="04A0" w:firstRow="1" w:lastRow="0" w:firstColumn="1" w:lastColumn="0" w:noHBand="0" w:noVBand="1"/>
      </w:tblPr>
      <w:tblGrid>
        <w:gridCol w:w="2322"/>
        <w:gridCol w:w="1219"/>
        <w:gridCol w:w="1771"/>
        <w:gridCol w:w="1653"/>
        <w:gridCol w:w="1332"/>
        <w:gridCol w:w="1573"/>
      </w:tblGrid>
      <w:tr w:rsidR="009418B3" w:rsidRPr="009418B3" w14:paraId="5BC0D9A0" w14:textId="77777777" w:rsidTr="006B43EB">
        <w:trPr>
          <w:trHeight w:val="820"/>
        </w:trPr>
        <w:tc>
          <w:tcPr>
            <w:tcW w:w="2322" w:type="dxa"/>
            <w:tcBorders>
              <w:top w:val="single" w:sz="4" w:space="0" w:color="auto"/>
              <w:bottom w:val="single" w:sz="4" w:space="0" w:color="auto"/>
            </w:tcBorders>
          </w:tcPr>
          <w:p w14:paraId="6F12DE4C" w14:textId="77777777"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Question</w:t>
            </w:r>
          </w:p>
        </w:tc>
        <w:tc>
          <w:tcPr>
            <w:tcW w:w="1219" w:type="dxa"/>
            <w:tcBorders>
              <w:top w:val="single" w:sz="4" w:space="0" w:color="auto"/>
              <w:bottom w:val="single" w:sz="4" w:space="0" w:color="auto"/>
            </w:tcBorders>
          </w:tcPr>
          <w:p w14:paraId="41E700BF" w14:textId="368DF6E5"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Never</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771" w:type="dxa"/>
            <w:tcBorders>
              <w:top w:val="single" w:sz="4" w:space="0" w:color="auto"/>
              <w:bottom w:val="single" w:sz="4" w:space="0" w:color="auto"/>
            </w:tcBorders>
          </w:tcPr>
          <w:p w14:paraId="56147208" w14:textId="58A9119E"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Seldom</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653" w:type="dxa"/>
            <w:tcBorders>
              <w:top w:val="single" w:sz="4" w:space="0" w:color="auto"/>
              <w:bottom w:val="single" w:sz="4" w:space="0" w:color="auto"/>
            </w:tcBorders>
          </w:tcPr>
          <w:p w14:paraId="69678428" w14:textId="6915BDAD"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Sometimes</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332" w:type="dxa"/>
            <w:tcBorders>
              <w:top w:val="single" w:sz="4" w:space="0" w:color="auto"/>
              <w:bottom w:val="single" w:sz="4" w:space="0" w:color="auto"/>
            </w:tcBorders>
          </w:tcPr>
          <w:p w14:paraId="4345D7E9" w14:textId="021A898B"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Often</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573" w:type="dxa"/>
            <w:tcBorders>
              <w:top w:val="single" w:sz="4" w:space="0" w:color="auto"/>
              <w:bottom w:val="single" w:sz="4" w:space="0" w:color="auto"/>
            </w:tcBorders>
          </w:tcPr>
          <w:p w14:paraId="6978D644" w14:textId="4F1B37FE" w:rsidR="009418B3" w:rsidRPr="009418B3" w:rsidRDefault="009418B3" w:rsidP="009418B3">
            <w:pPr>
              <w:pStyle w:val="NormalWeb"/>
              <w:spacing w:line="360" w:lineRule="auto"/>
              <w:jc w:val="both"/>
              <w:rPr>
                <w:rFonts w:ascii="Book Antiqua" w:hAnsi="Book Antiqua"/>
                <w:b/>
                <w:bCs/>
                <w:color w:val="000000"/>
              </w:rPr>
            </w:pPr>
            <w:r w:rsidRPr="009418B3">
              <w:rPr>
                <w:rFonts w:ascii="Book Antiqua" w:hAnsi="Book Antiqua"/>
                <w:b/>
                <w:bCs/>
                <w:color w:val="000000"/>
              </w:rPr>
              <w:t>Daily</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r>
      <w:tr w:rsidR="009418B3" w:rsidRPr="009418B3" w14:paraId="2F5FF251" w14:textId="77777777" w:rsidTr="006B43EB">
        <w:trPr>
          <w:trHeight w:val="1272"/>
        </w:trPr>
        <w:tc>
          <w:tcPr>
            <w:tcW w:w="2322" w:type="dxa"/>
            <w:tcBorders>
              <w:top w:val="single" w:sz="4" w:space="0" w:color="auto"/>
            </w:tcBorders>
          </w:tcPr>
          <w:p w14:paraId="1069B0AF" w14:textId="751213F8"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See patients with QTc prolonging drug</w:t>
            </w:r>
          </w:p>
        </w:tc>
        <w:tc>
          <w:tcPr>
            <w:tcW w:w="1219" w:type="dxa"/>
            <w:tcBorders>
              <w:top w:val="single" w:sz="4" w:space="0" w:color="auto"/>
            </w:tcBorders>
          </w:tcPr>
          <w:p w14:paraId="41ABF015"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2 (4.4)</w:t>
            </w:r>
          </w:p>
        </w:tc>
        <w:tc>
          <w:tcPr>
            <w:tcW w:w="1771" w:type="dxa"/>
            <w:tcBorders>
              <w:top w:val="single" w:sz="4" w:space="0" w:color="auto"/>
            </w:tcBorders>
          </w:tcPr>
          <w:p w14:paraId="7C262C8B"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11 (29.2)</w:t>
            </w:r>
          </w:p>
        </w:tc>
        <w:tc>
          <w:tcPr>
            <w:tcW w:w="1653" w:type="dxa"/>
            <w:tcBorders>
              <w:top w:val="single" w:sz="4" w:space="0" w:color="auto"/>
            </w:tcBorders>
          </w:tcPr>
          <w:p w14:paraId="5F87C54F"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15 (33.3)</w:t>
            </w:r>
          </w:p>
        </w:tc>
        <w:tc>
          <w:tcPr>
            <w:tcW w:w="1332" w:type="dxa"/>
            <w:tcBorders>
              <w:top w:val="single" w:sz="4" w:space="0" w:color="auto"/>
            </w:tcBorders>
          </w:tcPr>
          <w:p w14:paraId="76A9486E"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10 (22.2)</w:t>
            </w:r>
          </w:p>
        </w:tc>
        <w:tc>
          <w:tcPr>
            <w:tcW w:w="1573" w:type="dxa"/>
            <w:tcBorders>
              <w:top w:val="single" w:sz="4" w:space="0" w:color="auto"/>
            </w:tcBorders>
          </w:tcPr>
          <w:p w14:paraId="574C90E8"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2 (4.4)</w:t>
            </w:r>
          </w:p>
        </w:tc>
      </w:tr>
      <w:tr w:rsidR="009418B3" w:rsidRPr="009418B3" w14:paraId="49381AA4" w14:textId="77777777" w:rsidTr="006B43EB">
        <w:trPr>
          <w:trHeight w:val="591"/>
        </w:trPr>
        <w:tc>
          <w:tcPr>
            <w:tcW w:w="2322" w:type="dxa"/>
          </w:tcPr>
          <w:p w14:paraId="0EDFE5B2" w14:textId="2CBC4C29"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See patients with congenital long QT</w:t>
            </w:r>
          </w:p>
        </w:tc>
        <w:tc>
          <w:tcPr>
            <w:tcW w:w="1219" w:type="dxa"/>
          </w:tcPr>
          <w:p w14:paraId="3E7B9017"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20 (44.4)</w:t>
            </w:r>
          </w:p>
        </w:tc>
        <w:tc>
          <w:tcPr>
            <w:tcW w:w="1771" w:type="dxa"/>
          </w:tcPr>
          <w:p w14:paraId="2553A590"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19 (46.3)</w:t>
            </w:r>
          </w:p>
        </w:tc>
        <w:tc>
          <w:tcPr>
            <w:tcW w:w="1653" w:type="dxa"/>
          </w:tcPr>
          <w:p w14:paraId="15034BAC"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 (2.2%)</w:t>
            </w:r>
          </w:p>
        </w:tc>
        <w:tc>
          <w:tcPr>
            <w:tcW w:w="1332" w:type="dxa"/>
          </w:tcPr>
          <w:p w14:paraId="3A7ACE77"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 (2.2)</w:t>
            </w:r>
          </w:p>
        </w:tc>
        <w:tc>
          <w:tcPr>
            <w:tcW w:w="1573" w:type="dxa"/>
          </w:tcPr>
          <w:p w14:paraId="144F81ED"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3E58F13C" w14:textId="77777777" w:rsidTr="006B43EB">
        <w:trPr>
          <w:trHeight w:val="263"/>
        </w:trPr>
        <w:tc>
          <w:tcPr>
            <w:tcW w:w="2322" w:type="dxa"/>
          </w:tcPr>
          <w:p w14:paraId="0862F29A" w14:textId="1AC54F53"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Consult pharmacy</w:t>
            </w:r>
          </w:p>
        </w:tc>
        <w:tc>
          <w:tcPr>
            <w:tcW w:w="1219" w:type="dxa"/>
          </w:tcPr>
          <w:p w14:paraId="5701BC6F"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11(24.4)</w:t>
            </w:r>
          </w:p>
        </w:tc>
        <w:tc>
          <w:tcPr>
            <w:tcW w:w="1771" w:type="dxa"/>
          </w:tcPr>
          <w:p w14:paraId="78A6DAE4"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16 (44.4)</w:t>
            </w:r>
          </w:p>
        </w:tc>
        <w:tc>
          <w:tcPr>
            <w:tcW w:w="1653" w:type="dxa"/>
          </w:tcPr>
          <w:p w14:paraId="34286499"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13 (28.8)</w:t>
            </w:r>
          </w:p>
        </w:tc>
        <w:tc>
          <w:tcPr>
            <w:tcW w:w="1332" w:type="dxa"/>
          </w:tcPr>
          <w:p w14:paraId="0CA82085"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 (2.2)</w:t>
            </w:r>
          </w:p>
        </w:tc>
        <w:tc>
          <w:tcPr>
            <w:tcW w:w="1573" w:type="dxa"/>
          </w:tcPr>
          <w:p w14:paraId="28F4471D"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0425DFFB" w14:textId="77777777" w:rsidTr="006B43EB">
        <w:trPr>
          <w:trHeight w:val="99"/>
        </w:trPr>
        <w:tc>
          <w:tcPr>
            <w:tcW w:w="2322" w:type="dxa"/>
          </w:tcPr>
          <w:p w14:paraId="752B727F" w14:textId="524EB249"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Consult cardiology</w:t>
            </w:r>
          </w:p>
        </w:tc>
        <w:tc>
          <w:tcPr>
            <w:tcW w:w="1219" w:type="dxa"/>
          </w:tcPr>
          <w:p w14:paraId="1ED45AF7"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20 (44.4)</w:t>
            </w:r>
          </w:p>
        </w:tc>
        <w:tc>
          <w:tcPr>
            <w:tcW w:w="1771" w:type="dxa"/>
          </w:tcPr>
          <w:p w14:paraId="53B26DB3"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21 (49.0)</w:t>
            </w:r>
          </w:p>
        </w:tc>
        <w:tc>
          <w:tcPr>
            <w:tcW w:w="1653" w:type="dxa"/>
          </w:tcPr>
          <w:p w14:paraId="7F27602A"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0</w:t>
            </w:r>
          </w:p>
        </w:tc>
        <w:tc>
          <w:tcPr>
            <w:tcW w:w="1332" w:type="dxa"/>
          </w:tcPr>
          <w:p w14:paraId="24A119EE"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0</w:t>
            </w:r>
          </w:p>
        </w:tc>
        <w:tc>
          <w:tcPr>
            <w:tcW w:w="1573" w:type="dxa"/>
          </w:tcPr>
          <w:p w14:paraId="536C7DE0"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50A49BD8" w14:textId="77777777" w:rsidTr="006B43EB">
        <w:trPr>
          <w:trHeight w:val="856"/>
        </w:trPr>
        <w:tc>
          <w:tcPr>
            <w:tcW w:w="2322" w:type="dxa"/>
            <w:tcBorders>
              <w:bottom w:val="single" w:sz="4" w:space="0" w:color="auto"/>
            </w:tcBorders>
          </w:tcPr>
          <w:p w14:paraId="3C0E5F59" w14:textId="02EE9396"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Consult online reference</w:t>
            </w:r>
          </w:p>
        </w:tc>
        <w:tc>
          <w:tcPr>
            <w:tcW w:w="1219" w:type="dxa"/>
            <w:tcBorders>
              <w:bottom w:val="single" w:sz="4" w:space="0" w:color="auto"/>
            </w:tcBorders>
          </w:tcPr>
          <w:p w14:paraId="0E6CB7E5"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1(2.2)</w:t>
            </w:r>
          </w:p>
        </w:tc>
        <w:tc>
          <w:tcPr>
            <w:tcW w:w="1771" w:type="dxa"/>
            <w:tcBorders>
              <w:bottom w:val="single" w:sz="4" w:space="0" w:color="auto"/>
            </w:tcBorders>
          </w:tcPr>
          <w:p w14:paraId="7BD78881"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8 (17.7)</w:t>
            </w:r>
          </w:p>
        </w:tc>
        <w:tc>
          <w:tcPr>
            <w:tcW w:w="1653" w:type="dxa"/>
            <w:tcBorders>
              <w:bottom w:val="single" w:sz="4" w:space="0" w:color="auto"/>
            </w:tcBorders>
          </w:tcPr>
          <w:p w14:paraId="169CC589"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18 (43.9</w:t>
            </w:r>
          </w:p>
        </w:tc>
        <w:tc>
          <w:tcPr>
            <w:tcW w:w="1332" w:type="dxa"/>
            <w:tcBorders>
              <w:bottom w:val="single" w:sz="4" w:space="0" w:color="auto"/>
            </w:tcBorders>
          </w:tcPr>
          <w:p w14:paraId="1752D83D"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10 (22.2)</w:t>
            </w:r>
          </w:p>
        </w:tc>
        <w:tc>
          <w:tcPr>
            <w:tcW w:w="1573" w:type="dxa"/>
            <w:tcBorders>
              <w:bottom w:val="single" w:sz="4" w:space="0" w:color="auto"/>
            </w:tcBorders>
          </w:tcPr>
          <w:p w14:paraId="603E49DD" w14:textId="77777777" w:rsidR="009418B3" w:rsidRPr="009418B3" w:rsidRDefault="009418B3" w:rsidP="009418B3">
            <w:pPr>
              <w:pStyle w:val="NormalWeb"/>
              <w:spacing w:line="360" w:lineRule="auto"/>
              <w:jc w:val="both"/>
              <w:rPr>
                <w:rFonts w:ascii="Book Antiqua" w:hAnsi="Book Antiqua"/>
                <w:color w:val="000000"/>
              </w:rPr>
            </w:pPr>
            <w:r w:rsidRPr="009418B3">
              <w:rPr>
                <w:rFonts w:ascii="Book Antiqua" w:hAnsi="Book Antiqua"/>
                <w:color w:val="000000"/>
              </w:rPr>
              <w:t>4 (8.8)</w:t>
            </w:r>
          </w:p>
        </w:tc>
      </w:tr>
    </w:tbl>
    <w:p w14:paraId="4A4E1381" w14:textId="77777777" w:rsidR="009418B3" w:rsidRPr="009418B3" w:rsidRDefault="009418B3">
      <w:pPr>
        <w:spacing w:line="360" w:lineRule="auto"/>
        <w:jc w:val="both"/>
        <w:rPr>
          <w:rFonts w:ascii="Book Antiqua" w:hAnsi="Book Antiqua"/>
          <w:b/>
          <w:bCs/>
        </w:rPr>
      </w:pPr>
    </w:p>
    <w:sectPr w:rsidR="009418B3" w:rsidRPr="00941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6A9B" w14:textId="77777777" w:rsidR="0045613B" w:rsidRDefault="0045613B" w:rsidP="00DE2132">
      <w:r>
        <w:separator/>
      </w:r>
    </w:p>
  </w:endnote>
  <w:endnote w:type="continuationSeparator" w:id="0">
    <w:p w14:paraId="13963AAF" w14:textId="77777777" w:rsidR="0045613B" w:rsidRDefault="0045613B" w:rsidP="00D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1770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B2B6D7F" w14:textId="657A2020" w:rsidR="00BC583C" w:rsidRPr="00BC583C" w:rsidRDefault="00BC583C" w:rsidP="00BC583C">
            <w:pPr>
              <w:pStyle w:val="Footer"/>
              <w:jc w:val="right"/>
              <w:rPr>
                <w:rFonts w:ascii="Book Antiqua" w:hAnsi="Book Antiqua"/>
                <w:sz w:val="24"/>
                <w:szCs w:val="24"/>
              </w:rPr>
            </w:pPr>
            <w:r w:rsidRPr="00BC583C">
              <w:rPr>
                <w:rFonts w:ascii="Book Antiqua" w:hAnsi="Book Antiqua"/>
                <w:sz w:val="24"/>
                <w:szCs w:val="24"/>
                <w:lang w:val="zh-CN" w:eastAsia="zh-CN"/>
              </w:rPr>
              <w:t xml:space="preserve"> </w:t>
            </w:r>
            <w:r w:rsidRPr="00BC583C">
              <w:rPr>
                <w:rFonts w:ascii="Book Antiqua" w:hAnsi="Book Antiqua"/>
                <w:sz w:val="24"/>
                <w:szCs w:val="24"/>
              </w:rPr>
              <w:fldChar w:fldCharType="begin"/>
            </w:r>
            <w:r w:rsidRPr="00BC583C">
              <w:rPr>
                <w:rFonts w:ascii="Book Antiqua" w:hAnsi="Book Antiqua"/>
                <w:sz w:val="24"/>
                <w:szCs w:val="24"/>
              </w:rPr>
              <w:instrText>PAGE</w:instrText>
            </w:r>
            <w:r w:rsidRPr="00BC583C">
              <w:rPr>
                <w:rFonts w:ascii="Book Antiqua" w:hAnsi="Book Antiqua"/>
                <w:sz w:val="24"/>
                <w:szCs w:val="24"/>
              </w:rPr>
              <w:fldChar w:fldCharType="separate"/>
            </w:r>
            <w:r w:rsidR="006B43EB">
              <w:rPr>
                <w:rFonts w:ascii="Book Antiqua" w:hAnsi="Book Antiqua"/>
                <w:noProof/>
                <w:sz w:val="24"/>
                <w:szCs w:val="24"/>
              </w:rPr>
              <w:t>12</w:t>
            </w:r>
            <w:r w:rsidRPr="00BC583C">
              <w:rPr>
                <w:rFonts w:ascii="Book Antiqua" w:hAnsi="Book Antiqua"/>
                <w:sz w:val="24"/>
                <w:szCs w:val="24"/>
              </w:rPr>
              <w:fldChar w:fldCharType="end"/>
            </w:r>
            <w:r w:rsidRPr="00BC583C">
              <w:rPr>
                <w:rFonts w:ascii="Book Antiqua" w:hAnsi="Book Antiqua"/>
                <w:sz w:val="24"/>
                <w:szCs w:val="24"/>
                <w:lang w:val="zh-CN" w:eastAsia="zh-CN"/>
              </w:rPr>
              <w:t xml:space="preserve"> / </w:t>
            </w:r>
            <w:r w:rsidRPr="00BC583C">
              <w:rPr>
                <w:rFonts w:ascii="Book Antiqua" w:hAnsi="Book Antiqua"/>
                <w:sz w:val="24"/>
                <w:szCs w:val="24"/>
              </w:rPr>
              <w:fldChar w:fldCharType="begin"/>
            </w:r>
            <w:r w:rsidRPr="00BC583C">
              <w:rPr>
                <w:rFonts w:ascii="Book Antiqua" w:hAnsi="Book Antiqua"/>
                <w:sz w:val="24"/>
                <w:szCs w:val="24"/>
              </w:rPr>
              <w:instrText>NUMPAGES</w:instrText>
            </w:r>
            <w:r w:rsidRPr="00BC583C">
              <w:rPr>
                <w:rFonts w:ascii="Book Antiqua" w:hAnsi="Book Antiqua"/>
                <w:sz w:val="24"/>
                <w:szCs w:val="24"/>
              </w:rPr>
              <w:fldChar w:fldCharType="separate"/>
            </w:r>
            <w:r w:rsidR="006B43EB">
              <w:rPr>
                <w:rFonts w:ascii="Book Antiqua" w:hAnsi="Book Antiqua"/>
                <w:noProof/>
                <w:sz w:val="24"/>
                <w:szCs w:val="24"/>
              </w:rPr>
              <w:t>12</w:t>
            </w:r>
            <w:r w:rsidRPr="00BC583C">
              <w:rPr>
                <w:rFonts w:ascii="Book Antiqua" w:hAnsi="Book Antiqua"/>
                <w:sz w:val="24"/>
                <w:szCs w:val="24"/>
              </w:rPr>
              <w:fldChar w:fldCharType="end"/>
            </w:r>
          </w:p>
        </w:sdtContent>
      </w:sdt>
    </w:sdtContent>
  </w:sdt>
  <w:p w14:paraId="3CA2DD8A" w14:textId="77777777" w:rsidR="00BC583C" w:rsidRPr="00BC583C" w:rsidRDefault="00BC583C" w:rsidP="00BC583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71AE" w14:textId="77777777" w:rsidR="0045613B" w:rsidRDefault="0045613B" w:rsidP="00DE2132">
      <w:r>
        <w:separator/>
      </w:r>
    </w:p>
  </w:footnote>
  <w:footnote w:type="continuationSeparator" w:id="0">
    <w:p w14:paraId="46F7A913" w14:textId="77777777" w:rsidR="0045613B" w:rsidRDefault="0045613B" w:rsidP="00DE2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D26"/>
    <w:rsid w:val="000C0634"/>
    <w:rsid w:val="000D5356"/>
    <w:rsid w:val="0015508C"/>
    <w:rsid w:val="00272E31"/>
    <w:rsid w:val="0031018F"/>
    <w:rsid w:val="004361D4"/>
    <w:rsid w:val="0045613B"/>
    <w:rsid w:val="004919DE"/>
    <w:rsid w:val="004B41E1"/>
    <w:rsid w:val="00595EED"/>
    <w:rsid w:val="0060470C"/>
    <w:rsid w:val="006B43EB"/>
    <w:rsid w:val="009418B3"/>
    <w:rsid w:val="0099351D"/>
    <w:rsid w:val="00A77B3E"/>
    <w:rsid w:val="00BC583C"/>
    <w:rsid w:val="00C77B70"/>
    <w:rsid w:val="00CA2A55"/>
    <w:rsid w:val="00DE2132"/>
    <w:rsid w:val="00DF4BAD"/>
    <w:rsid w:val="00E3166D"/>
    <w:rsid w:val="00EC049E"/>
    <w:rsid w:val="00FB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390CF"/>
  <w15:docId w15:val="{42ECC4B3-2F5C-46D1-9DBB-6A6756F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1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2132"/>
    <w:rPr>
      <w:sz w:val="18"/>
      <w:szCs w:val="18"/>
    </w:rPr>
  </w:style>
  <w:style w:type="paragraph" w:styleId="Footer">
    <w:name w:val="footer"/>
    <w:basedOn w:val="Normal"/>
    <w:link w:val="FooterChar"/>
    <w:uiPriority w:val="99"/>
    <w:unhideWhenUsed/>
    <w:rsid w:val="00DE21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2132"/>
    <w:rPr>
      <w:sz w:val="18"/>
      <w:szCs w:val="18"/>
    </w:rPr>
  </w:style>
  <w:style w:type="paragraph" w:styleId="BalloonText">
    <w:name w:val="Balloon Text"/>
    <w:basedOn w:val="Normal"/>
    <w:link w:val="BalloonTextChar"/>
    <w:rsid w:val="00595EED"/>
    <w:rPr>
      <w:sz w:val="18"/>
      <w:szCs w:val="18"/>
    </w:rPr>
  </w:style>
  <w:style w:type="character" w:customStyle="1" w:styleId="BalloonTextChar">
    <w:name w:val="Balloon Text Char"/>
    <w:basedOn w:val="DefaultParagraphFont"/>
    <w:link w:val="BalloonText"/>
    <w:rsid w:val="00595EED"/>
    <w:rPr>
      <w:sz w:val="18"/>
      <w:szCs w:val="18"/>
    </w:rPr>
  </w:style>
  <w:style w:type="paragraph" w:styleId="NormalWeb">
    <w:name w:val="Normal (Web)"/>
    <w:basedOn w:val="Normal"/>
    <w:uiPriority w:val="99"/>
    <w:unhideWhenUsed/>
    <w:rsid w:val="0099351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2021-01-13T18:07:00Z</dcterms:created>
  <dcterms:modified xsi:type="dcterms:W3CDTF">2021-01-13T18:12:00Z</dcterms:modified>
</cp:coreProperties>
</file>