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A9E862" w14:textId="592D1549" w:rsidR="00A77B3E" w:rsidRDefault="005C3C1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4144E466" w14:textId="77777777" w:rsidR="00A77B3E" w:rsidRDefault="005C3C1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60220</w:t>
      </w:r>
    </w:p>
    <w:p w14:paraId="0AFAED02" w14:textId="77777777" w:rsidR="00A77B3E" w:rsidRDefault="005C3C1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SYSTEMATIC REVIEWS</w:t>
      </w:r>
    </w:p>
    <w:p w14:paraId="576311EF" w14:textId="77777777" w:rsidR="00A77B3E" w:rsidRDefault="00A77B3E">
      <w:pPr>
        <w:spacing w:line="360" w:lineRule="auto"/>
        <w:jc w:val="both"/>
      </w:pPr>
    </w:p>
    <w:p w14:paraId="0EB3DE1C" w14:textId="3482D1BB" w:rsidR="00A77B3E" w:rsidRDefault="005C3C13">
      <w:pPr>
        <w:spacing w:line="360" w:lineRule="auto"/>
        <w:jc w:val="both"/>
      </w:pPr>
      <w:r>
        <w:rPr>
          <w:rFonts w:ascii="Book Antiqua" w:eastAsia="Book Antiqua" w:hAnsi="Book Antiqua" w:cs="Book Antiqua"/>
          <w:b/>
          <w:color w:val="000000"/>
        </w:rPr>
        <w:t xml:space="preserve">High prevalence of hepatic steatosis and vascular thrombosis in COVID-19: A </w:t>
      </w:r>
      <w:r w:rsidR="00B0724E">
        <w:rPr>
          <w:rFonts w:ascii="Book Antiqua" w:eastAsia="Book Antiqua" w:hAnsi="Book Antiqua" w:cs="Book Antiqua"/>
          <w:b/>
          <w:color w:val="000000"/>
        </w:rPr>
        <w:t>systematic review and meta-analysis of autop</w:t>
      </w:r>
      <w:r>
        <w:rPr>
          <w:rFonts w:ascii="Book Antiqua" w:eastAsia="Book Antiqua" w:hAnsi="Book Antiqua" w:cs="Book Antiqua"/>
          <w:b/>
          <w:color w:val="000000"/>
        </w:rPr>
        <w:t>sy data</w:t>
      </w:r>
    </w:p>
    <w:p w14:paraId="255C9B4F" w14:textId="77777777" w:rsidR="00A77B3E" w:rsidRDefault="00A77B3E">
      <w:pPr>
        <w:spacing w:line="360" w:lineRule="auto"/>
        <w:jc w:val="both"/>
      </w:pPr>
    </w:p>
    <w:p w14:paraId="6CBEF5F2" w14:textId="66C47509" w:rsidR="00A77B3E" w:rsidRDefault="00B0724E">
      <w:pPr>
        <w:spacing w:line="360" w:lineRule="auto"/>
        <w:jc w:val="both"/>
      </w:pPr>
      <w:r>
        <w:rPr>
          <w:rFonts w:ascii="Book Antiqua" w:eastAsia="Book Antiqua" w:hAnsi="Book Antiqua" w:cs="Book Antiqua"/>
          <w:color w:val="000000"/>
        </w:rPr>
        <w:t xml:space="preserve">Díaz LA </w:t>
      </w:r>
      <w:r w:rsidRPr="00A4378B">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5C3C13">
        <w:rPr>
          <w:rFonts w:ascii="Book Antiqua" w:eastAsia="Book Antiqua" w:hAnsi="Book Antiqua" w:cs="Book Antiqua"/>
          <w:color w:val="000000"/>
        </w:rPr>
        <w:t>Liver histopathology of SARS-CoV-2 infection</w:t>
      </w:r>
    </w:p>
    <w:p w14:paraId="74EE335B" w14:textId="77777777" w:rsidR="00A77B3E" w:rsidRDefault="00A77B3E">
      <w:pPr>
        <w:spacing w:line="360" w:lineRule="auto"/>
        <w:jc w:val="both"/>
      </w:pPr>
    </w:p>
    <w:p w14:paraId="7135205E" w14:textId="77777777" w:rsidR="00A77B3E" w:rsidRDefault="005C3C13">
      <w:pPr>
        <w:spacing w:line="360" w:lineRule="auto"/>
        <w:jc w:val="both"/>
      </w:pPr>
      <w:r>
        <w:rPr>
          <w:rFonts w:ascii="Book Antiqua" w:eastAsia="Book Antiqua" w:hAnsi="Book Antiqua" w:cs="Book Antiqua"/>
          <w:color w:val="000000"/>
        </w:rPr>
        <w:t>Luis Antonio Díaz, Francisco Idalsoaga, Macarena Cannistra, Roberto Candia, Daniel Cabrera, Francisco Barrera, Alejandro Soza, Rondell Graham, Arnoldo Riquelme, Marco Arrese, Michael D Leise, Juan Pablo Arab</w:t>
      </w:r>
    </w:p>
    <w:p w14:paraId="1E27AF29" w14:textId="77777777" w:rsidR="00A77B3E" w:rsidRDefault="00A77B3E">
      <w:pPr>
        <w:spacing w:line="360" w:lineRule="auto"/>
        <w:jc w:val="both"/>
      </w:pPr>
    </w:p>
    <w:p w14:paraId="737778DB" w14:textId="77777777" w:rsidR="00A77B3E" w:rsidRDefault="005C3C13">
      <w:pPr>
        <w:spacing w:line="360" w:lineRule="auto"/>
        <w:jc w:val="both"/>
      </w:pPr>
      <w:r>
        <w:rPr>
          <w:rFonts w:ascii="Book Antiqua" w:eastAsia="Book Antiqua" w:hAnsi="Book Antiqua" w:cs="Book Antiqua"/>
          <w:b/>
          <w:bCs/>
          <w:color w:val="000000"/>
        </w:rPr>
        <w:t xml:space="preserve">Luis Antonio Díaz, Roberto Candia, Francisco Barrera, Alejandro Soza, Arnoldo Riquelme, Marco Arrese, Juan Pablo Arab, </w:t>
      </w:r>
      <w:r>
        <w:rPr>
          <w:rFonts w:ascii="Book Antiqua" w:eastAsia="Book Antiqua" w:hAnsi="Book Antiqua" w:cs="Book Antiqua"/>
          <w:color w:val="000000"/>
        </w:rPr>
        <w:t>Department of Gastroenterology, Pontificia Universidad Católica de Chile, Santiago 8320000, Chile</w:t>
      </w:r>
    </w:p>
    <w:p w14:paraId="496455E8" w14:textId="77777777" w:rsidR="00A77B3E" w:rsidRDefault="00A77B3E">
      <w:pPr>
        <w:spacing w:line="360" w:lineRule="auto"/>
        <w:jc w:val="both"/>
      </w:pPr>
    </w:p>
    <w:p w14:paraId="294071EF" w14:textId="77777777" w:rsidR="00A77B3E" w:rsidRDefault="005C3C13">
      <w:pPr>
        <w:spacing w:line="360" w:lineRule="auto"/>
        <w:jc w:val="both"/>
      </w:pPr>
      <w:r>
        <w:rPr>
          <w:rFonts w:ascii="Book Antiqua" w:eastAsia="Book Antiqua" w:hAnsi="Book Antiqua" w:cs="Book Antiqua"/>
          <w:b/>
          <w:bCs/>
          <w:color w:val="000000"/>
        </w:rPr>
        <w:t xml:space="preserve">Francisco Idalsoaga, </w:t>
      </w:r>
      <w:r>
        <w:rPr>
          <w:rFonts w:ascii="Book Antiqua" w:eastAsia="Book Antiqua" w:hAnsi="Book Antiqua" w:cs="Book Antiqua"/>
          <w:color w:val="000000"/>
        </w:rPr>
        <w:t>Department of Internal Medicine, Pontificia Universidad Católica de Chile, Santiago 8320000, Chile</w:t>
      </w:r>
    </w:p>
    <w:p w14:paraId="285FB0B2" w14:textId="77777777" w:rsidR="00A77B3E" w:rsidRDefault="00A77B3E">
      <w:pPr>
        <w:spacing w:line="360" w:lineRule="auto"/>
        <w:jc w:val="both"/>
      </w:pPr>
    </w:p>
    <w:p w14:paraId="7A0A7274" w14:textId="77777777" w:rsidR="00A77B3E" w:rsidRDefault="005C3C13">
      <w:pPr>
        <w:spacing w:line="360" w:lineRule="auto"/>
        <w:jc w:val="both"/>
      </w:pPr>
      <w:r>
        <w:rPr>
          <w:rFonts w:ascii="Book Antiqua" w:eastAsia="Book Antiqua" w:hAnsi="Book Antiqua" w:cs="Book Antiqua"/>
          <w:b/>
          <w:bCs/>
          <w:color w:val="000000"/>
        </w:rPr>
        <w:t xml:space="preserve">Macarena Cannistra, </w:t>
      </w:r>
      <w:r>
        <w:rPr>
          <w:rFonts w:ascii="Book Antiqua" w:eastAsia="Book Antiqua" w:hAnsi="Book Antiqua" w:cs="Book Antiqua"/>
          <w:color w:val="000000"/>
        </w:rPr>
        <w:t>School of Medicine, Pontificia Universidad Católica de Chile, Santiago 8320000, Chile</w:t>
      </w:r>
    </w:p>
    <w:p w14:paraId="7DD5CB84" w14:textId="77777777" w:rsidR="00A77B3E" w:rsidRDefault="00A77B3E">
      <w:pPr>
        <w:spacing w:line="360" w:lineRule="auto"/>
        <w:jc w:val="both"/>
      </w:pPr>
    </w:p>
    <w:p w14:paraId="0DED7F11" w14:textId="77777777" w:rsidR="00A77B3E" w:rsidRDefault="005C3C13">
      <w:pPr>
        <w:spacing w:line="360" w:lineRule="auto"/>
        <w:jc w:val="both"/>
      </w:pPr>
      <w:r>
        <w:rPr>
          <w:rFonts w:ascii="Book Antiqua" w:eastAsia="Book Antiqua" w:hAnsi="Book Antiqua" w:cs="Book Antiqua"/>
          <w:b/>
          <w:bCs/>
          <w:color w:val="000000"/>
        </w:rPr>
        <w:t xml:space="preserve">Daniel Cabrera, </w:t>
      </w:r>
      <w:r>
        <w:rPr>
          <w:rFonts w:ascii="Book Antiqua" w:eastAsia="Book Antiqua" w:hAnsi="Book Antiqua" w:cs="Book Antiqua"/>
          <w:color w:val="000000"/>
        </w:rPr>
        <w:t>Facultad de Ciencias Médicas, Universidad Bernardo O'Higgins, Santiago 8320000, Chile</w:t>
      </w:r>
    </w:p>
    <w:p w14:paraId="6B30693E" w14:textId="77777777" w:rsidR="00A77B3E" w:rsidRDefault="00A77B3E">
      <w:pPr>
        <w:spacing w:line="360" w:lineRule="auto"/>
        <w:jc w:val="both"/>
      </w:pPr>
    </w:p>
    <w:p w14:paraId="3B4266F6" w14:textId="77777777" w:rsidR="00A77B3E" w:rsidRDefault="005C3C13">
      <w:pPr>
        <w:spacing w:line="360" w:lineRule="auto"/>
        <w:jc w:val="both"/>
      </w:pPr>
      <w:r>
        <w:rPr>
          <w:rFonts w:ascii="Book Antiqua" w:eastAsia="Book Antiqua" w:hAnsi="Book Antiqua" w:cs="Book Antiqua"/>
          <w:b/>
          <w:bCs/>
          <w:color w:val="000000"/>
        </w:rPr>
        <w:t xml:space="preserve">Rondell Graham, </w:t>
      </w:r>
      <w:r>
        <w:rPr>
          <w:rFonts w:ascii="Book Antiqua" w:eastAsia="Book Antiqua" w:hAnsi="Book Antiqua" w:cs="Book Antiqua"/>
          <w:color w:val="000000"/>
        </w:rPr>
        <w:t>Department of Laboratory Medicine and Pathology, Mayo Clinic Rochester, Minnesota, MN 55902, United States</w:t>
      </w:r>
    </w:p>
    <w:p w14:paraId="7D74B385" w14:textId="77777777" w:rsidR="00A77B3E" w:rsidRDefault="00A77B3E">
      <w:pPr>
        <w:spacing w:line="360" w:lineRule="auto"/>
        <w:jc w:val="both"/>
      </w:pPr>
    </w:p>
    <w:p w14:paraId="0117F273" w14:textId="77777777" w:rsidR="00A77B3E" w:rsidRDefault="005C3C13">
      <w:pPr>
        <w:spacing w:line="360" w:lineRule="auto"/>
        <w:jc w:val="both"/>
      </w:pPr>
      <w:r>
        <w:rPr>
          <w:rFonts w:ascii="Book Antiqua" w:eastAsia="Book Antiqua" w:hAnsi="Book Antiqua" w:cs="Book Antiqua"/>
          <w:b/>
          <w:bCs/>
          <w:color w:val="000000"/>
        </w:rPr>
        <w:lastRenderedPageBreak/>
        <w:t xml:space="preserve">Michael D Leise, </w:t>
      </w:r>
      <w:r>
        <w:rPr>
          <w:rFonts w:ascii="Book Antiqua" w:eastAsia="Book Antiqua" w:hAnsi="Book Antiqua" w:cs="Book Antiqua"/>
          <w:color w:val="000000"/>
        </w:rPr>
        <w:t>Division of Gastroenterology and Hepatology, Mayo Clinic Rochester, Minnesota, MN 55905, United States</w:t>
      </w:r>
    </w:p>
    <w:p w14:paraId="0EBCE672" w14:textId="77777777" w:rsidR="00A77B3E" w:rsidRDefault="00A77B3E">
      <w:pPr>
        <w:spacing w:line="360" w:lineRule="auto"/>
        <w:jc w:val="both"/>
      </w:pPr>
    </w:p>
    <w:p w14:paraId="7FE14D85" w14:textId="61BA0168" w:rsidR="00A77B3E" w:rsidRDefault="005C3C13">
      <w:pPr>
        <w:spacing w:line="360" w:lineRule="auto"/>
        <w:jc w:val="both"/>
      </w:pPr>
      <w:r>
        <w:rPr>
          <w:rFonts w:ascii="Book Antiqua" w:eastAsia="Book Antiqua" w:hAnsi="Book Antiqua" w:cs="Book Antiqua"/>
          <w:b/>
          <w:bCs/>
          <w:color w:val="000000"/>
        </w:rPr>
        <w:t xml:space="preserve">Author </w:t>
      </w:r>
      <w:bookmarkStart w:id="0" w:name="_Hlk57739202"/>
      <w:r>
        <w:rPr>
          <w:rFonts w:ascii="Book Antiqua" w:eastAsia="Book Antiqua" w:hAnsi="Book Antiqua" w:cs="Book Antiqua"/>
          <w:b/>
          <w:bCs/>
          <w:color w:val="000000"/>
        </w:rPr>
        <w:t>contribut</w:t>
      </w:r>
      <w:bookmarkEnd w:id="0"/>
      <w:r>
        <w:rPr>
          <w:rFonts w:ascii="Book Antiqua" w:eastAsia="Book Antiqua" w:hAnsi="Book Antiqua" w:cs="Book Antiqua"/>
          <w:b/>
          <w:bCs/>
          <w:color w:val="000000"/>
        </w:rPr>
        <w:t xml:space="preserve">ions: </w:t>
      </w:r>
      <w:r w:rsidR="00B0724E">
        <w:rPr>
          <w:rFonts w:ascii="Book Antiqua" w:eastAsia="Book Antiqua" w:hAnsi="Book Antiqua" w:cs="Book Antiqua"/>
          <w:color w:val="000000"/>
        </w:rPr>
        <w:t>Díaz LA</w:t>
      </w:r>
      <w:r>
        <w:rPr>
          <w:rFonts w:ascii="Book Antiqua" w:eastAsia="Book Antiqua" w:hAnsi="Book Antiqua" w:cs="Book Antiqua"/>
          <w:color w:val="000000"/>
        </w:rPr>
        <w:t xml:space="preserve"> and </w:t>
      </w:r>
      <w:r w:rsidR="00B0724E">
        <w:rPr>
          <w:rFonts w:ascii="Book Antiqua" w:eastAsia="Book Antiqua" w:hAnsi="Book Antiqua" w:cs="Book Antiqua"/>
          <w:color w:val="000000"/>
        </w:rPr>
        <w:t>Arab JP</w:t>
      </w:r>
      <w:r>
        <w:rPr>
          <w:rFonts w:ascii="Book Antiqua" w:eastAsia="Book Antiqua" w:hAnsi="Book Antiqua" w:cs="Book Antiqua"/>
          <w:color w:val="000000"/>
        </w:rPr>
        <w:t xml:space="preserve"> are responsible for the overall content of the project and the manuscript submitted as guarantors of the project</w:t>
      </w:r>
      <w:r w:rsidR="00B0724E">
        <w:rPr>
          <w:rFonts w:ascii="Book Antiqua" w:eastAsia="Book Antiqua" w:hAnsi="Book Antiqua" w:cs="Book Antiqua"/>
          <w:color w:val="000000"/>
        </w:rPr>
        <w:t>; Díaz LA</w:t>
      </w:r>
      <w:r>
        <w:rPr>
          <w:rFonts w:ascii="Book Antiqua" w:eastAsia="Book Antiqua" w:hAnsi="Book Antiqua" w:cs="Book Antiqua"/>
          <w:color w:val="000000"/>
        </w:rPr>
        <w:t xml:space="preserve">, </w:t>
      </w:r>
      <w:r w:rsidR="00B0724E" w:rsidRPr="00B0724E">
        <w:rPr>
          <w:rFonts w:ascii="Book Antiqua" w:eastAsia="Book Antiqua" w:hAnsi="Book Antiqua" w:cs="Book Antiqua"/>
          <w:color w:val="000000"/>
        </w:rPr>
        <w:t>Idalsoaga</w:t>
      </w:r>
      <w:r w:rsidR="00B0724E">
        <w:rPr>
          <w:rFonts w:ascii="Book Antiqua" w:eastAsia="Book Antiqua" w:hAnsi="Book Antiqua" w:cs="Book Antiqua"/>
          <w:color w:val="000000"/>
        </w:rPr>
        <w:t xml:space="preserve"> F</w:t>
      </w:r>
      <w:r>
        <w:rPr>
          <w:rFonts w:ascii="Book Antiqua" w:eastAsia="Book Antiqua" w:hAnsi="Book Antiqua" w:cs="Book Antiqua"/>
          <w:color w:val="000000"/>
        </w:rPr>
        <w:t xml:space="preserve"> and </w:t>
      </w:r>
      <w:r w:rsidR="00B0724E" w:rsidRPr="00B0724E">
        <w:rPr>
          <w:rFonts w:ascii="Book Antiqua" w:eastAsia="Book Antiqua" w:hAnsi="Book Antiqua" w:cs="Book Antiqua"/>
          <w:color w:val="000000"/>
        </w:rPr>
        <w:t>Cannistra</w:t>
      </w:r>
      <w:r w:rsidR="00B0724E">
        <w:rPr>
          <w:rFonts w:ascii="Book Antiqua" w:eastAsia="Book Antiqua" w:hAnsi="Book Antiqua" w:cs="Book Antiqua"/>
          <w:color w:val="000000"/>
        </w:rPr>
        <w:t xml:space="preserve"> M</w:t>
      </w:r>
      <w:r>
        <w:rPr>
          <w:rFonts w:ascii="Book Antiqua" w:eastAsia="Book Antiqua" w:hAnsi="Book Antiqua" w:cs="Book Antiqua"/>
          <w:color w:val="000000"/>
        </w:rPr>
        <w:t xml:space="preserve"> had full access to all the data in the study</w:t>
      </w:r>
      <w:r w:rsidR="00B0724E">
        <w:rPr>
          <w:rFonts w:ascii="Book Antiqua" w:eastAsia="Book Antiqua" w:hAnsi="Book Antiqua" w:cs="Book Antiqua"/>
          <w:color w:val="000000"/>
        </w:rPr>
        <w:t>; Díaz LA</w:t>
      </w:r>
      <w:r>
        <w:rPr>
          <w:rFonts w:ascii="Book Antiqua" w:eastAsia="Book Antiqua" w:hAnsi="Book Antiqua" w:cs="Book Antiqua"/>
          <w:color w:val="000000"/>
        </w:rPr>
        <w:t xml:space="preserve">, </w:t>
      </w:r>
      <w:r w:rsidR="00B0724E" w:rsidRPr="00B0724E">
        <w:rPr>
          <w:rFonts w:ascii="Book Antiqua" w:eastAsia="Book Antiqua" w:hAnsi="Book Antiqua" w:cs="Book Antiqua"/>
          <w:color w:val="000000"/>
        </w:rPr>
        <w:t>Idalsoaga</w:t>
      </w:r>
      <w:r w:rsidR="00B0724E">
        <w:rPr>
          <w:rFonts w:ascii="Book Antiqua" w:eastAsia="Book Antiqua" w:hAnsi="Book Antiqua" w:cs="Book Antiqua"/>
          <w:color w:val="000000"/>
        </w:rPr>
        <w:t xml:space="preserve"> F</w:t>
      </w:r>
      <w:r>
        <w:rPr>
          <w:rFonts w:ascii="Book Antiqua" w:eastAsia="Book Antiqua" w:hAnsi="Book Antiqua" w:cs="Book Antiqua"/>
          <w:color w:val="000000"/>
        </w:rPr>
        <w:t xml:space="preserve">, </w:t>
      </w:r>
      <w:r w:rsidR="00B0724E" w:rsidRPr="00B0724E">
        <w:rPr>
          <w:rFonts w:ascii="Book Antiqua" w:eastAsia="Book Antiqua" w:hAnsi="Book Antiqua" w:cs="Book Antiqua"/>
          <w:color w:val="000000"/>
        </w:rPr>
        <w:t>Candia</w:t>
      </w:r>
      <w:r w:rsidR="00B0724E">
        <w:rPr>
          <w:rFonts w:ascii="Book Antiqua" w:eastAsia="Book Antiqua" w:hAnsi="Book Antiqua" w:cs="Book Antiqua"/>
          <w:color w:val="000000"/>
        </w:rPr>
        <w:t xml:space="preserve"> R</w:t>
      </w:r>
      <w:r>
        <w:rPr>
          <w:rFonts w:ascii="Book Antiqua" w:eastAsia="Book Antiqua" w:hAnsi="Book Antiqua" w:cs="Book Antiqua"/>
          <w:color w:val="000000"/>
        </w:rPr>
        <w:t xml:space="preserve"> and </w:t>
      </w:r>
      <w:r w:rsidR="00B0724E">
        <w:rPr>
          <w:rFonts w:ascii="Book Antiqua" w:eastAsia="Book Antiqua" w:hAnsi="Book Antiqua" w:cs="Book Antiqua"/>
          <w:color w:val="000000"/>
        </w:rPr>
        <w:t>Arab JP</w:t>
      </w:r>
      <w:r>
        <w:rPr>
          <w:rFonts w:ascii="Book Antiqua" w:eastAsia="Book Antiqua" w:hAnsi="Book Antiqua" w:cs="Book Antiqua"/>
          <w:color w:val="000000"/>
        </w:rPr>
        <w:t xml:space="preserve"> take responsibility for the integrity of the data and the accuracy of the data analysis</w:t>
      </w:r>
      <w:r w:rsidR="00B0724E">
        <w:rPr>
          <w:rFonts w:ascii="Book Antiqua" w:eastAsia="Book Antiqua" w:hAnsi="Book Antiqua" w:cs="Book Antiqua"/>
          <w:color w:val="000000"/>
        </w:rPr>
        <w:t>; Díaz LA</w:t>
      </w:r>
      <w:r>
        <w:rPr>
          <w:rFonts w:ascii="Book Antiqua" w:eastAsia="Book Antiqua" w:hAnsi="Book Antiqua" w:cs="Book Antiqua"/>
          <w:color w:val="000000"/>
        </w:rPr>
        <w:t xml:space="preserve"> and </w:t>
      </w:r>
      <w:r w:rsidR="00B0724E">
        <w:rPr>
          <w:rFonts w:ascii="Book Antiqua" w:eastAsia="Book Antiqua" w:hAnsi="Book Antiqua" w:cs="Book Antiqua"/>
          <w:color w:val="000000"/>
        </w:rPr>
        <w:t>Arab JP</w:t>
      </w:r>
      <w:r>
        <w:rPr>
          <w:rFonts w:ascii="Book Antiqua" w:eastAsia="Book Antiqua" w:hAnsi="Book Antiqua" w:cs="Book Antiqua"/>
          <w:color w:val="000000"/>
        </w:rPr>
        <w:t xml:space="preserve"> take the final decision to submit for publication</w:t>
      </w:r>
      <w:r w:rsidR="00B0724E">
        <w:rPr>
          <w:rFonts w:ascii="Book Antiqua" w:eastAsia="Book Antiqua" w:hAnsi="Book Antiqua" w:cs="Book Antiqua"/>
          <w:color w:val="000000"/>
        </w:rPr>
        <w:t xml:space="preserve">; Díaz LA, </w:t>
      </w:r>
      <w:r w:rsidR="00B0724E" w:rsidRPr="00B0724E">
        <w:rPr>
          <w:rFonts w:ascii="Book Antiqua" w:eastAsia="Book Antiqua" w:hAnsi="Book Antiqua" w:cs="Book Antiqua"/>
          <w:color w:val="000000"/>
        </w:rPr>
        <w:t>Idalsoaga</w:t>
      </w:r>
      <w:r w:rsidR="00B0724E">
        <w:rPr>
          <w:rFonts w:ascii="Book Antiqua" w:eastAsia="Book Antiqua" w:hAnsi="Book Antiqua" w:cs="Book Antiqua"/>
          <w:color w:val="000000"/>
        </w:rPr>
        <w:t xml:space="preserve"> F, </w:t>
      </w:r>
      <w:r w:rsidR="00B0724E" w:rsidRPr="00B0724E">
        <w:rPr>
          <w:rFonts w:ascii="Book Antiqua" w:eastAsia="Book Antiqua" w:hAnsi="Book Antiqua" w:cs="Book Antiqua"/>
          <w:color w:val="000000"/>
        </w:rPr>
        <w:t>Cannistra</w:t>
      </w:r>
      <w:r w:rsidR="00B0724E">
        <w:rPr>
          <w:rFonts w:ascii="Book Antiqua" w:eastAsia="Book Antiqua" w:hAnsi="Book Antiqua" w:cs="Book Antiqua"/>
          <w:color w:val="000000"/>
        </w:rPr>
        <w:t xml:space="preserve"> M, </w:t>
      </w:r>
      <w:r w:rsidR="00B0724E" w:rsidRPr="00B0724E">
        <w:rPr>
          <w:rFonts w:ascii="Book Antiqua" w:eastAsia="Book Antiqua" w:hAnsi="Book Antiqua" w:cs="Book Antiqua"/>
          <w:color w:val="000000"/>
        </w:rPr>
        <w:t>Candia</w:t>
      </w:r>
      <w:r w:rsidR="00B0724E">
        <w:rPr>
          <w:rFonts w:ascii="Book Antiqua" w:eastAsia="Book Antiqua" w:hAnsi="Book Antiqua" w:cs="Book Antiqua"/>
          <w:color w:val="000000"/>
        </w:rPr>
        <w:t xml:space="preserve"> R, Arab JP, </w:t>
      </w:r>
      <w:r w:rsidR="0058059A">
        <w:rPr>
          <w:rFonts w:ascii="Book Antiqua" w:eastAsia="Book Antiqua" w:hAnsi="Book Antiqua" w:cs="Book Antiqua"/>
          <w:color w:val="000000"/>
        </w:rPr>
        <w:t xml:space="preserve">Graham R, Leise MD and Riquelme A </w:t>
      </w:r>
      <w:r w:rsidR="0058059A" w:rsidRPr="0058059A">
        <w:rPr>
          <w:rFonts w:ascii="Book Antiqua" w:eastAsia="Book Antiqua" w:hAnsi="Book Antiqua" w:cs="Book Antiqua"/>
          <w:color w:val="000000"/>
        </w:rPr>
        <w:t>contribut</w:t>
      </w:r>
      <w:r w:rsidR="0058059A">
        <w:rPr>
          <w:rFonts w:ascii="Book Antiqua" w:eastAsia="Book Antiqua" w:hAnsi="Book Antiqua" w:cs="Book Antiqua"/>
          <w:color w:val="000000"/>
        </w:rPr>
        <w:t>ed a</w:t>
      </w:r>
      <w:r>
        <w:rPr>
          <w:rFonts w:ascii="Book Antiqua" w:eastAsia="Book Antiqua" w:hAnsi="Book Antiqua" w:cs="Book Antiqua"/>
          <w:color w:val="000000"/>
        </w:rPr>
        <w:t>nalysis or interpretation of data</w:t>
      </w:r>
      <w:r w:rsidR="0058059A">
        <w:rPr>
          <w:rFonts w:ascii="Book Antiqua" w:eastAsia="Book Antiqua" w:hAnsi="Book Antiqua" w:cs="Book Antiqua"/>
          <w:color w:val="000000"/>
        </w:rPr>
        <w:t>;</w:t>
      </w:r>
      <w:r>
        <w:rPr>
          <w:rFonts w:ascii="Book Antiqua" w:eastAsia="Book Antiqua" w:hAnsi="Book Antiqua" w:cs="Book Antiqua"/>
          <w:color w:val="000000"/>
        </w:rPr>
        <w:t xml:space="preserve"> </w:t>
      </w:r>
      <w:r w:rsidR="0058059A">
        <w:rPr>
          <w:rFonts w:ascii="Book Antiqua" w:eastAsia="Book Antiqua" w:hAnsi="Book Antiqua" w:cs="Book Antiqua"/>
          <w:color w:val="000000"/>
        </w:rPr>
        <w:t xml:space="preserve">Díaz LA, Arab JP, Leise MD, Graham R and Riquelme A </w:t>
      </w:r>
      <w:r w:rsidR="0058059A" w:rsidRPr="0058059A">
        <w:rPr>
          <w:rFonts w:ascii="Book Antiqua" w:eastAsia="Book Antiqua" w:hAnsi="Book Antiqua" w:cs="Book Antiqua"/>
          <w:color w:val="000000"/>
        </w:rPr>
        <w:t>contribut</w:t>
      </w:r>
      <w:r w:rsidR="0058059A">
        <w:rPr>
          <w:rFonts w:ascii="Book Antiqua" w:eastAsia="Book Antiqua" w:hAnsi="Book Antiqua" w:cs="Book Antiqua"/>
          <w:color w:val="000000"/>
        </w:rPr>
        <w:t>ed d</w:t>
      </w:r>
      <w:r>
        <w:rPr>
          <w:rFonts w:ascii="Book Antiqua" w:eastAsia="Book Antiqua" w:hAnsi="Book Antiqua" w:cs="Book Antiqua"/>
          <w:color w:val="000000"/>
        </w:rPr>
        <w:t>rafting of the manuscript</w:t>
      </w:r>
      <w:r w:rsidR="0058059A">
        <w:rPr>
          <w:rFonts w:ascii="Book Antiqua" w:eastAsia="Book Antiqua" w:hAnsi="Book Antiqua" w:cs="Book Antiqua"/>
          <w:color w:val="000000"/>
        </w:rPr>
        <w:t>;</w:t>
      </w:r>
      <w:r>
        <w:rPr>
          <w:rFonts w:ascii="Book Antiqua" w:eastAsia="Book Antiqua" w:hAnsi="Book Antiqua" w:cs="Book Antiqua"/>
          <w:color w:val="000000"/>
        </w:rPr>
        <w:t xml:space="preserve"> </w:t>
      </w:r>
      <w:r w:rsidR="0058059A">
        <w:rPr>
          <w:rFonts w:ascii="Book Antiqua" w:eastAsia="Book Antiqua" w:hAnsi="Book Antiqua" w:cs="Book Antiqua"/>
          <w:color w:val="000000"/>
        </w:rPr>
        <w:t xml:space="preserve">Díaz LA, </w:t>
      </w:r>
      <w:r w:rsidR="0058059A" w:rsidRPr="00B0724E">
        <w:rPr>
          <w:rFonts w:ascii="Book Antiqua" w:eastAsia="Book Antiqua" w:hAnsi="Book Antiqua" w:cs="Book Antiqua"/>
          <w:color w:val="000000"/>
        </w:rPr>
        <w:t>Idalsoaga</w:t>
      </w:r>
      <w:r w:rsidR="0058059A">
        <w:rPr>
          <w:rFonts w:ascii="Book Antiqua" w:eastAsia="Book Antiqua" w:hAnsi="Book Antiqua" w:cs="Book Antiqua"/>
          <w:color w:val="000000"/>
        </w:rPr>
        <w:t xml:space="preserve"> F, </w:t>
      </w:r>
      <w:r w:rsidR="0058059A" w:rsidRPr="00B0724E">
        <w:rPr>
          <w:rFonts w:ascii="Book Antiqua" w:eastAsia="Book Antiqua" w:hAnsi="Book Antiqua" w:cs="Book Antiqua"/>
          <w:color w:val="000000"/>
        </w:rPr>
        <w:t>Cannistra</w:t>
      </w:r>
      <w:r w:rsidR="0058059A">
        <w:rPr>
          <w:rFonts w:ascii="Book Antiqua" w:eastAsia="Book Antiqua" w:hAnsi="Book Antiqua" w:cs="Book Antiqua"/>
          <w:color w:val="000000"/>
        </w:rPr>
        <w:t xml:space="preserve"> M, </w:t>
      </w:r>
      <w:r w:rsidR="0058059A" w:rsidRPr="00B0724E">
        <w:rPr>
          <w:rFonts w:ascii="Book Antiqua" w:eastAsia="Book Antiqua" w:hAnsi="Book Antiqua" w:cs="Book Antiqua"/>
          <w:color w:val="000000"/>
        </w:rPr>
        <w:t>Candia</w:t>
      </w:r>
      <w:r w:rsidR="0058059A">
        <w:rPr>
          <w:rFonts w:ascii="Book Antiqua" w:eastAsia="Book Antiqua" w:hAnsi="Book Antiqua" w:cs="Book Antiqua"/>
          <w:color w:val="000000"/>
        </w:rPr>
        <w:t xml:space="preserve"> R, Cabrera D, Barrera F, Soza A, Graham R, Riquelme A, Arrese M, Leise MD and Arab JP </w:t>
      </w:r>
      <w:r w:rsidR="0058059A" w:rsidRPr="0058059A">
        <w:rPr>
          <w:rFonts w:ascii="Book Antiqua" w:eastAsia="Book Antiqua" w:hAnsi="Book Antiqua" w:cs="Book Antiqua"/>
          <w:color w:val="000000"/>
        </w:rPr>
        <w:t>contribut</w:t>
      </w:r>
      <w:r w:rsidR="0058059A">
        <w:rPr>
          <w:rFonts w:ascii="Book Antiqua" w:eastAsia="Book Antiqua" w:hAnsi="Book Antiqua" w:cs="Book Antiqua"/>
          <w:color w:val="000000"/>
        </w:rPr>
        <w:t>ed c</w:t>
      </w:r>
      <w:r>
        <w:rPr>
          <w:rFonts w:ascii="Book Antiqua" w:eastAsia="Book Antiqua" w:hAnsi="Book Antiqua" w:cs="Book Antiqua"/>
          <w:color w:val="000000"/>
        </w:rPr>
        <w:t>ritical revision of the manuscript for relevant intellectual content</w:t>
      </w:r>
      <w:r w:rsidR="0058059A">
        <w:rPr>
          <w:rFonts w:ascii="Book Antiqua" w:eastAsia="Book Antiqua" w:hAnsi="Book Antiqua" w:cs="Book Antiqua"/>
          <w:color w:val="000000"/>
        </w:rPr>
        <w:t>;</w:t>
      </w:r>
      <w:r>
        <w:rPr>
          <w:rFonts w:ascii="Book Antiqua" w:eastAsia="Book Antiqua" w:hAnsi="Book Antiqua" w:cs="Book Antiqua"/>
          <w:color w:val="000000"/>
        </w:rPr>
        <w:t xml:space="preserve"> </w:t>
      </w:r>
      <w:r w:rsidR="0058059A">
        <w:rPr>
          <w:rFonts w:ascii="Book Antiqua" w:eastAsia="Book Antiqua" w:hAnsi="Book Antiqua" w:cs="Book Antiqua"/>
          <w:color w:val="000000"/>
        </w:rPr>
        <w:t xml:space="preserve">Díaz LA and </w:t>
      </w:r>
      <w:r w:rsidR="0058059A" w:rsidRPr="00B0724E">
        <w:rPr>
          <w:rFonts w:ascii="Book Antiqua" w:eastAsia="Book Antiqua" w:hAnsi="Book Antiqua" w:cs="Book Antiqua"/>
          <w:color w:val="000000"/>
        </w:rPr>
        <w:t>Candia</w:t>
      </w:r>
      <w:r w:rsidR="0058059A">
        <w:rPr>
          <w:rFonts w:ascii="Book Antiqua" w:eastAsia="Book Antiqua" w:hAnsi="Book Antiqua" w:cs="Book Antiqua"/>
          <w:color w:val="000000"/>
        </w:rPr>
        <w:t xml:space="preserve"> R </w:t>
      </w:r>
      <w:r w:rsidR="0058059A" w:rsidRPr="0058059A">
        <w:rPr>
          <w:rFonts w:ascii="Book Antiqua" w:eastAsia="Book Antiqua" w:hAnsi="Book Antiqua" w:cs="Book Antiqua"/>
          <w:color w:val="000000"/>
        </w:rPr>
        <w:t>contribut</w:t>
      </w:r>
      <w:r w:rsidR="0058059A">
        <w:rPr>
          <w:rFonts w:ascii="Book Antiqua" w:eastAsia="Book Antiqua" w:hAnsi="Book Antiqua" w:cs="Book Antiqua"/>
          <w:color w:val="000000"/>
        </w:rPr>
        <w:t>ed s</w:t>
      </w:r>
      <w:r>
        <w:rPr>
          <w:rFonts w:ascii="Book Antiqua" w:eastAsia="Book Antiqua" w:hAnsi="Book Antiqua" w:cs="Book Antiqua"/>
          <w:color w:val="000000"/>
        </w:rPr>
        <w:t>tatistical analysis.</w:t>
      </w:r>
    </w:p>
    <w:p w14:paraId="0167F62C" w14:textId="77777777" w:rsidR="00A77B3E" w:rsidRDefault="00A77B3E">
      <w:pPr>
        <w:spacing w:line="360" w:lineRule="auto"/>
        <w:jc w:val="both"/>
      </w:pPr>
    </w:p>
    <w:p w14:paraId="0C5BA1D2" w14:textId="5BE3C6B7" w:rsidR="00A77B3E" w:rsidRDefault="005C3C13">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Chilean</w:t>
      </w:r>
      <w:r w:rsidR="00372D04">
        <w:rPr>
          <w:rFonts w:ascii="Book Antiqua" w:eastAsia="Book Antiqua" w:hAnsi="Book Antiqua" w:cs="Book Antiqua"/>
          <w:color w:val="000000"/>
        </w:rPr>
        <w:t xml:space="preserve"> Government Th</w:t>
      </w:r>
      <w:r>
        <w:rPr>
          <w:rFonts w:ascii="Book Antiqua" w:eastAsia="Book Antiqua" w:hAnsi="Book Antiqua" w:cs="Book Antiqua"/>
          <w:color w:val="000000"/>
        </w:rPr>
        <w:t>rough the Fondo Nacional de Desarrollo Científico y Tecnológico</w:t>
      </w:r>
      <w:r w:rsidR="00372D04">
        <w:rPr>
          <w:rFonts w:ascii="Book Antiqua" w:eastAsia="Book Antiqua" w:hAnsi="Book Antiqua" w:cs="Book Antiqua"/>
          <w:color w:val="000000"/>
        </w:rPr>
        <w:t>, No.</w:t>
      </w:r>
      <w:r>
        <w:rPr>
          <w:rFonts w:ascii="Book Antiqua" w:eastAsia="Book Antiqua" w:hAnsi="Book Antiqua" w:cs="Book Antiqua"/>
          <w:color w:val="000000"/>
        </w:rPr>
        <w:t xml:space="preserve"> 1200227, </w:t>
      </w:r>
      <w:r w:rsidR="00372D04">
        <w:rPr>
          <w:rFonts w:ascii="Book Antiqua" w:eastAsia="Book Antiqua" w:hAnsi="Book Antiqua" w:cs="Book Antiqua"/>
          <w:color w:val="000000"/>
        </w:rPr>
        <w:t xml:space="preserve">No. </w:t>
      </w:r>
      <w:r>
        <w:rPr>
          <w:rFonts w:ascii="Book Antiqua" w:eastAsia="Book Antiqua" w:hAnsi="Book Antiqua" w:cs="Book Antiqua"/>
          <w:color w:val="000000"/>
        </w:rPr>
        <w:t xml:space="preserve">1191183 and </w:t>
      </w:r>
      <w:r w:rsidR="00372D04">
        <w:rPr>
          <w:rFonts w:ascii="Book Antiqua" w:eastAsia="Book Antiqua" w:hAnsi="Book Antiqua" w:cs="Book Antiqua"/>
          <w:color w:val="000000"/>
        </w:rPr>
        <w:t xml:space="preserve">No. </w:t>
      </w:r>
      <w:r>
        <w:rPr>
          <w:rFonts w:ascii="Book Antiqua" w:eastAsia="Book Antiqua" w:hAnsi="Book Antiqua" w:cs="Book Antiqua"/>
          <w:color w:val="000000"/>
        </w:rPr>
        <w:t>1191145</w:t>
      </w:r>
      <w:r w:rsidR="00372D04">
        <w:rPr>
          <w:rFonts w:ascii="Book Antiqua" w:eastAsia="Book Antiqua" w:hAnsi="Book Antiqua" w:cs="Book Antiqua"/>
          <w:color w:val="000000"/>
        </w:rPr>
        <w:t>;</w:t>
      </w:r>
      <w:r>
        <w:rPr>
          <w:rFonts w:ascii="Book Antiqua" w:eastAsia="Book Antiqua" w:hAnsi="Book Antiqua" w:cs="Book Antiqua"/>
          <w:color w:val="000000"/>
        </w:rPr>
        <w:t xml:space="preserve"> Comisión Nacional de Investigación Científica y Tecnológica (CONICYT, CARE Chile UC</w:t>
      </w:r>
      <w:r w:rsidR="00372D04">
        <w:rPr>
          <w:rFonts w:ascii="Book Antiqua" w:eastAsia="Book Antiqua" w:hAnsi="Book Antiqua" w:cs="Book Antiqua"/>
          <w:color w:val="000000"/>
        </w:rPr>
        <w:t>)</w:t>
      </w:r>
      <w:r w:rsidR="001A0BEC">
        <w:rPr>
          <w:rFonts w:ascii="Book Antiqua" w:eastAsia="Book Antiqua" w:hAnsi="Book Antiqua" w:cs="Book Antiqua"/>
          <w:color w:val="000000"/>
        </w:rPr>
        <w:t>, No. AFB170005</w:t>
      </w:r>
      <w:r w:rsidR="00372D04">
        <w:rPr>
          <w:rFonts w:ascii="Book Antiqua" w:eastAsia="Book Antiqua" w:hAnsi="Book Antiqua" w:cs="Book Antiqua"/>
          <w:color w:val="000000"/>
        </w:rPr>
        <w:t xml:space="preserve">; and </w:t>
      </w:r>
      <w:r>
        <w:rPr>
          <w:rFonts w:ascii="Book Antiqua" w:eastAsia="Book Antiqua" w:hAnsi="Book Antiqua" w:cs="Book Antiqua"/>
          <w:color w:val="000000"/>
        </w:rPr>
        <w:t xml:space="preserve">European Union’s Horizon 2020 </w:t>
      </w:r>
      <w:r w:rsidR="00372D04">
        <w:rPr>
          <w:rFonts w:ascii="Book Antiqua" w:eastAsia="Book Antiqua" w:hAnsi="Book Antiqua" w:cs="Book Antiqua"/>
          <w:color w:val="000000"/>
        </w:rPr>
        <w:t>R</w:t>
      </w:r>
      <w:r>
        <w:rPr>
          <w:rFonts w:ascii="Book Antiqua" w:eastAsia="Book Antiqua" w:hAnsi="Book Antiqua" w:cs="Book Antiqua"/>
          <w:color w:val="000000"/>
        </w:rPr>
        <w:t>esearch</w:t>
      </w:r>
      <w:r w:rsidR="00372D04">
        <w:rPr>
          <w:rFonts w:ascii="Book Antiqua" w:eastAsia="Book Antiqua" w:hAnsi="Book Antiqua" w:cs="Book Antiqua"/>
          <w:color w:val="000000"/>
        </w:rPr>
        <w:t>,</w:t>
      </w:r>
      <w:r>
        <w:rPr>
          <w:rFonts w:ascii="Book Antiqua" w:eastAsia="Book Antiqua" w:hAnsi="Book Antiqua" w:cs="Book Antiqua"/>
          <w:color w:val="000000"/>
        </w:rPr>
        <w:t xml:space="preserve"> No</w:t>
      </w:r>
      <w:r w:rsidR="00372D04">
        <w:rPr>
          <w:rFonts w:ascii="Book Antiqua" w:eastAsia="Book Antiqua" w:hAnsi="Book Antiqua" w:cs="Book Antiqua"/>
          <w:color w:val="000000"/>
        </w:rPr>
        <w:t>.</w:t>
      </w:r>
      <w:r>
        <w:rPr>
          <w:rFonts w:ascii="Book Antiqua" w:eastAsia="Book Antiqua" w:hAnsi="Book Antiqua" w:cs="Book Antiqua"/>
          <w:color w:val="000000"/>
        </w:rPr>
        <w:t xml:space="preserve"> 825510.</w:t>
      </w:r>
    </w:p>
    <w:p w14:paraId="325BB2BC" w14:textId="77777777" w:rsidR="00A77B3E" w:rsidRDefault="00A77B3E">
      <w:pPr>
        <w:spacing w:line="360" w:lineRule="auto"/>
        <w:jc w:val="both"/>
      </w:pPr>
    </w:p>
    <w:p w14:paraId="02E4932E" w14:textId="155B389F" w:rsidR="00A77B3E" w:rsidRDefault="005C3C13">
      <w:pPr>
        <w:spacing w:line="360" w:lineRule="auto"/>
        <w:jc w:val="both"/>
      </w:pPr>
      <w:r>
        <w:rPr>
          <w:rFonts w:ascii="Book Antiqua" w:eastAsia="Book Antiqua" w:hAnsi="Book Antiqua" w:cs="Book Antiqua"/>
          <w:b/>
          <w:bCs/>
          <w:color w:val="000000"/>
        </w:rPr>
        <w:t xml:space="preserve">Corresponding author: Juan Pablo Arab, MD, </w:t>
      </w:r>
      <w:r w:rsidR="00E03BD1">
        <w:rPr>
          <w:rFonts w:ascii="Book Antiqua" w:eastAsia="Book Antiqua" w:hAnsi="Book Antiqua" w:cs="Book Antiqua"/>
          <w:b/>
          <w:bCs/>
          <w:color w:val="000000"/>
        </w:rPr>
        <w:t xml:space="preserve">Assistant </w:t>
      </w:r>
      <w:r>
        <w:rPr>
          <w:rFonts w:ascii="Book Antiqua" w:eastAsia="Book Antiqua" w:hAnsi="Book Antiqua" w:cs="Book Antiqua"/>
          <w:b/>
          <w:bCs/>
          <w:color w:val="000000"/>
        </w:rPr>
        <w:t xml:space="preserve">Professor, </w:t>
      </w:r>
      <w:r>
        <w:rPr>
          <w:rFonts w:ascii="Book Antiqua" w:eastAsia="Book Antiqua" w:hAnsi="Book Antiqua" w:cs="Book Antiqua"/>
          <w:color w:val="000000"/>
        </w:rPr>
        <w:t>Department of Gastroenterology, Pontificia Universidad Católica de Chile, Diagonal Paraguay 362, Departamento de Gastroenterología, Santiago 8320000, Chile. jparab@med.puc.cl</w:t>
      </w:r>
    </w:p>
    <w:p w14:paraId="15EF0260" w14:textId="77777777" w:rsidR="00A77B3E" w:rsidRDefault="00A77B3E">
      <w:pPr>
        <w:spacing w:line="360" w:lineRule="auto"/>
        <w:jc w:val="both"/>
      </w:pPr>
    </w:p>
    <w:p w14:paraId="0D3AD09E" w14:textId="77777777" w:rsidR="00A77B3E" w:rsidRDefault="005C3C1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21, 2020</w:t>
      </w:r>
    </w:p>
    <w:p w14:paraId="246204EB" w14:textId="77777777" w:rsidR="00A77B3E" w:rsidRDefault="005C3C1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26, 2020</w:t>
      </w:r>
    </w:p>
    <w:p w14:paraId="5F638073" w14:textId="4EE44806" w:rsidR="00A77B3E" w:rsidRDefault="005C3C13">
      <w:pPr>
        <w:spacing w:line="360" w:lineRule="auto"/>
        <w:jc w:val="both"/>
      </w:pPr>
      <w:r>
        <w:rPr>
          <w:rFonts w:ascii="Book Antiqua" w:eastAsia="Book Antiqua" w:hAnsi="Book Antiqua" w:cs="Book Antiqua"/>
          <w:b/>
          <w:bCs/>
          <w:color w:val="000000"/>
        </w:rPr>
        <w:t xml:space="preserve">Accepted: </w:t>
      </w:r>
      <w:r w:rsidR="00A933BF" w:rsidRPr="00A933BF">
        <w:rPr>
          <w:rFonts w:ascii="Book Antiqua" w:eastAsia="Book Antiqua" w:hAnsi="Book Antiqua" w:cs="Book Antiqua"/>
          <w:color w:val="000000"/>
        </w:rPr>
        <w:t>December 6, 2020</w:t>
      </w:r>
    </w:p>
    <w:p w14:paraId="0743B281" w14:textId="026A0864" w:rsidR="00A77B3E" w:rsidRPr="004610E0" w:rsidRDefault="005C3C13">
      <w:pPr>
        <w:spacing w:line="360" w:lineRule="auto"/>
        <w:jc w:val="both"/>
        <w:rPr>
          <w:lang w:eastAsia="zh-CN"/>
        </w:rPr>
      </w:pPr>
      <w:r>
        <w:rPr>
          <w:rFonts w:ascii="Book Antiqua" w:eastAsia="Book Antiqua" w:hAnsi="Book Antiqua" w:cs="Book Antiqua"/>
          <w:b/>
          <w:bCs/>
          <w:color w:val="000000"/>
        </w:rPr>
        <w:t xml:space="preserve">Published online: </w:t>
      </w:r>
      <w:r w:rsidR="004610E0" w:rsidRPr="004610E0">
        <w:rPr>
          <w:rFonts w:ascii="Book Antiqua" w:hAnsi="Book Antiqua" w:cs="Book Antiqua" w:hint="eastAsia"/>
          <w:bCs/>
          <w:color w:val="000000"/>
          <w:lang w:eastAsia="zh-CN"/>
        </w:rPr>
        <w:t>December 28, 2020</w:t>
      </w:r>
    </w:p>
    <w:p w14:paraId="4B23BE41"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354690B7" w14:textId="77777777" w:rsidR="00A77B3E" w:rsidRDefault="005C3C13">
      <w:pPr>
        <w:spacing w:line="360" w:lineRule="auto"/>
        <w:jc w:val="both"/>
      </w:pPr>
      <w:r>
        <w:rPr>
          <w:rFonts w:ascii="Book Antiqua" w:eastAsia="Book Antiqua" w:hAnsi="Book Antiqua" w:cs="Book Antiqua"/>
          <w:b/>
          <w:color w:val="000000"/>
        </w:rPr>
        <w:t>Abstract</w:t>
      </w:r>
    </w:p>
    <w:p w14:paraId="6F2A92CC" w14:textId="77777777" w:rsidR="00A77B3E" w:rsidRDefault="005C3C13">
      <w:pPr>
        <w:spacing w:line="360" w:lineRule="auto"/>
        <w:jc w:val="both"/>
      </w:pPr>
      <w:r>
        <w:rPr>
          <w:rFonts w:ascii="Book Antiqua" w:eastAsia="Book Antiqua" w:hAnsi="Book Antiqua" w:cs="Book Antiqua"/>
          <w:color w:val="000000"/>
        </w:rPr>
        <w:t>BACKGROUND</w:t>
      </w:r>
    </w:p>
    <w:p w14:paraId="4F4E7F8A" w14:textId="5500D946" w:rsidR="00A77B3E" w:rsidRDefault="00633804">
      <w:pPr>
        <w:spacing w:line="360" w:lineRule="auto"/>
        <w:jc w:val="both"/>
      </w:pPr>
      <w:r w:rsidRPr="00633804">
        <w:rPr>
          <w:rFonts w:ascii="Book Antiqua" w:eastAsia="Book Antiqua" w:hAnsi="Book Antiqua" w:cs="Book Antiqua"/>
          <w:color w:val="000000"/>
        </w:rPr>
        <w:t>Coronavirus disease 2019</w:t>
      </w:r>
      <w:r>
        <w:rPr>
          <w:rFonts w:ascii="Book Antiqua" w:eastAsia="Book Antiqua" w:hAnsi="Book Antiqua" w:cs="Book Antiqua"/>
          <w:color w:val="000000"/>
        </w:rPr>
        <w:t xml:space="preserve"> (</w:t>
      </w:r>
      <w:r w:rsidR="005C3C13">
        <w:rPr>
          <w:rFonts w:ascii="Book Antiqua" w:eastAsia="Book Antiqua" w:hAnsi="Book Antiqua" w:cs="Book Antiqua"/>
          <w:color w:val="000000"/>
        </w:rPr>
        <w:t>COVID-19</w:t>
      </w:r>
      <w:r>
        <w:rPr>
          <w:rFonts w:ascii="Book Antiqua" w:eastAsia="Book Antiqua" w:hAnsi="Book Antiqua" w:cs="Book Antiqua"/>
          <w:color w:val="000000"/>
        </w:rPr>
        <w:t>)</w:t>
      </w:r>
      <w:r w:rsidR="005C3C13">
        <w:rPr>
          <w:rFonts w:ascii="Book Antiqua" w:eastAsia="Book Antiqua" w:hAnsi="Book Antiqua" w:cs="Book Antiqua"/>
          <w:color w:val="000000"/>
        </w:rPr>
        <w:t xml:space="preserve"> disease can frequently affect the liver. Data on hepatic histopathological findings in COVID-19 is scarce.</w:t>
      </w:r>
    </w:p>
    <w:p w14:paraId="117FAC79" w14:textId="77777777" w:rsidR="00A77B3E" w:rsidRDefault="00A77B3E">
      <w:pPr>
        <w:spacing w:line="360" w:lineRule="auto"/>
        <w:jc w:val="both"/>
      </w:pPr>
    </w:p>
    <w:p w14:paraId="6A08618A" w14:textId="77777777" w:rsidR="00A77B3E" w:rsidRDefault="005C3C13">
      <w:pPr>
        <w:spacing w:line="360" w:lineRule="auto"/>
        <w:jc w:val="both"/>
      </w:pPr>
      <w:r>
        <w:rPr>
          <w:rFonts w:ascii="Book Antiqua" w:eastAsia="Book Antiqua" w:hAnsi="Book Antiqua" w:cs="Book Antiqua"/>
          <w:color w:val="000000"/>
        </w:rPr>
        <w:t>AIM</w:t>
      </w:r>
    </w:p>
    <w:p w14:paraId="5E92E531" w14:textId="77777777" w:rsidR="00A77B3E" w:rsidRDefault="005C3C13">
      <w:pPr>
        <w:spacing w:line="360" w:lineRule="auto"/>
        <w:jc w:val="both"/>
      </w:pPr>
      <w:r>
        <w:rPr>
          <w:rFonts w:ascii="Book Antiqua" w:eastAsia="Book Antiqua" w:hAnsi="Book Antiqua" w:cs="Book Antiqua"/>
          <w:color w:val="000000"/>
        </w:rPr>
        <w:t>To characterize hepatic pathological findings in patients with COVID-19.</w:t>
      </w:r>
    </w:p>
    <w:p w14:paraId="446F5E85" w14:textId="77777777" w:rsidR="00A77B3E" w:rsidRDefault="00A77B3E">
      <w:pPr>
        <w:spacing w:line="360" w:lineRule="auto"/>
        <w:jc w:val="both"/>
      </w:pPr>
    </w:p>
    <w:p w14:paraId="7F89E65C" w14:textId="77777777" w:rsidR="00A77B3E" w:rsidRDefault="005C3C13">
      <w:pPr>
        <w:spacing w:line="360" w:lineRule="auto"/>
        <w:jc w:val="both"/>
      </w:pPr>
      <w:r>
        <w:rPr>
          <w:rFonts w:ascii="Book Antiqua" w:eastAsia="Book Antiqua" w:hAnsi="Book Antiqua" w:cs="Book Antiqua"/>
          <w:color w:val="000000"/>
        </w:rPr>
        <w:t>METHODS</w:t>
      </w:r>
    </w:p>
    <w:p w14:paraId="685753A7" w14:textId="77777777" w:rsidR="00A77B3E" w:rsidRDefault="005C3C13">
      <w:pPr>
        <w:spacing w:line="360" w:lineRule="auto"/>
        <w:jc w:val="both"/>
      </w:pPr>
      <w:r>
        <w:rPr>
          <w:rFonts w:ascii="Book Antiqua" w:eastAsia="Book Antiqua" w:hAnsi="Book Antiqua" w:cs="Book Antiqua"/>
          <w:color w:val="000000"/>
        </w:rPr>
        <w:t xml:space="preserve">We conducted a systematic review with meta-analysis registered on PROSPERO (CRD42020192813), following PRISMA guidelines. Eligible trials were those including patients of any age and COVID-19 diagnosis based on a molecular test. Histopathological reports from deceased COVID-19 patients undergoing autopsy or liver biopsy were reviewed. Articles including less than ten patients were excluded. Proportions were pooled using random-effects models. </w:t>
      </w:r>
      <w:r w:rsidRPr="00F67947">
        <w:rPr>
          <w:rFonts w:ascii="Book Antiqua" w:eastAsia="Book Antiqua" w:hAnsi="Book Antiqua" w:cs="Book Antiqua"/>
          <w:i/>
          <w:color w:val="000000"/>
        </w:rPr>
        <w:t>Q</w:t>
      </w:r>
      <w:r>
        <w:rPr>
          <w:rFonts w:ascii="Book Antiqua" w:eastAsia="Book Antiqua" w:hAnsi="Book Antiqua" w:cs="Book Antiqua"/>
          <w:color w:val="000000"/>
        </w:rPr>
        <w:t xml:space="preserve"> statistic and </w:t>
      </w:r>
      <w:r w:rsidRPr="00F67947">
        <w:rPr>
          <w:rFonts w:ascii="Book Antiqua" w:eastAsia="Book Antiqua" w:hAnsi="Book Antiqua" w:cs="Book Antiqua"/>
          <w:i/>
          <w:color w:val="000000"/>
        </w:rPr>
        <w:t>I</w:t>
      </w:r>
      <w:r w:rsidRPr="0069198E">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were used to assess heterogeneity and levels of evidence, respectively.</w:t>
      </w:r>
    </w:p>
    <w:p w14:paraId="79310DCC" w14:textId="77777777" w:rsidR="00A77B3E" w:rsidRDefault="00A77B3E">
      <w:pPr>
        <w:spacing w:line="360" w:lineRule="auto"/>
        <w:jc w:val="both"/>
      </w:pPr>
    </w:p>
    <w:p w14:paraId="69EB4D08" w14:textId="77777777" w:rsidR="00A77B3E" w:rsidRDefault="005C3C13">
      <w:pPr>
        <w:spacing w:line="360" w:lineRule="auto"/>
        <w:jc w:val="both"/>
      </w:pPr>
      <w:r>
        <w:rPr>
          <w:rFonts w:ascii="Book Antiqua" w:eastAsia="Book Antiqua" w:hAnsi="Book Antiqua" w:cs="Book Antiqua"/>
          <w:color w:val="000000"/>
        </w:rPr>
        <w:t>RESULTS</w:t>
      </w:r>
    </w:p>
    <w:p w14:paraId="02F72AEA" w14:textId="13B587BC" w:rsidR="00A77B3E" w:rsidRDefault="005C3C13">
      <w:pPr>
        <w:spacing w:line="360" w:lineRule="auto"/>
        <w:jc w:val="both"/>
      </w:pPr>
      <w:r>
        <w:rPr>
          <w:rFonts w:ascii="Book Antiqua" w:eastAsia="Book Antiqua" w:hAnsi="Book Antiqua" w:cs="Book Antiqua"/>
          <w:color w:val="000000"/>
        </w:rPr>
        <w:t xml:space="preserve">We identified 18 studies from 7 countries; all were case reports and case series from autopsies. All the patients were over 15 years old, and 67.2% were male. We performed a meta-analysis of 5 studies, including 116 patients. Pooled prevalence estimates of liver histopathological findings were hepatic steatosis 55.1% </w:t>
      </w:r>
      <w:r w:rsidR="00DD51E0">
        <w:rPr>
          <w:rFonts w:ascii="Book Antiqua" w:eastAsia="Book Antiqua" w:hAnsi="Book Antiqua" w:cs="Book Antiqua"/>
          <w:color w:val="000000"/>
        </w:rPr>
        <w:t>[</w:t>
      </w:r>
      <w:r>
        <w:rPr>
          <w:rFonts w:ascii="Book Antiqua" w:eastAsia="Book Antiqua" w:hAnsi="Book Antiqua" w:cs="Book Antiqua"/>
          <w:color w:val="000000"/>
        </w:rPr>
        <w:t>95%</w:t>
      </w:r>
      <w:r w:rsidR="00DD51E0" w:rsidRPr="00DD51E0">
        <w:rPr>
          <w:rFonts w:ascii="Book Antiqua" w:eastAsia="Malgun Gothic" w:hAnsi="Book Antiqua"/>
        </w:rPr>
        <w:t xml:space="preserve"> </w:t>
      </w:r>
      <w:r w:rsidR="00DD51E0">
        <w:rPr>
          <w:rFonts w:ascii="Book Antiqua" w:eastAsia="Malgun Gothic" w:hAnsi="Book Antiqua"/>
        </w:rPr>
        <w:t>c</w:t>
      </w:r>
      <w:r w:rsidR="00DD51E0" w:rsidRPr="00616F4C">
        <w:rPr>
          <w:rFonts w:ascii="Book Antiqua" w:eastAsia="Malgun Gothic" w:hAnsi="Book Antiqua"/>
        </w:rPr>
        <w:t>onfidence interval</w:t>
      </w:r>
      <w:r w:rsidR="00DD51E0">
        <w:rPr>
          <w:rFonts w:ascii="Book Antiqua" w:eastAsia="Book Antiqua" w:hAnsi="Book Antiqua" w:cs="Book Antiqua"/>
          <w:color w:val="000000"/>
        </w:rPr>
        <w:t xml:space="preserve"> (</w:t>
      </w:r>
      <w:r>
        <w:rPr>
          <w:rFonts w:ascii="Book Antiqua" w:eastAsia="Book Antiqua" w:hAnsi="Book Antiqua" w:cs="Book Antiqua"/>
          <w:color w:val="000000"/>
        </w:rPr>
        <w:t>CI</w:t>
      </w:r>
      <w:r w:rsidR="00DD51E0">
        <w:rPr>
          <w:rFonts w:ascii="Book Antiqua" w:eastAsia="Book Antiqua" w:hAnsi="Book Antiqua" w:cs="Book Antiqua"/>
          <w:color w:val="000000"/>
        </w:rPr>
        <w:t>)</w:t>
      </w:r>
      <w:r>
        <w:rPr>
          <w:rFonts w:ascii="Book Antiqua" w:eastAsia="Book Antiqua" w:hAnsi="Book Antiqua" w:cs="Book Antiqua"/>
          <w:color w:val="000000"/>
        </w:rPr>
        <w:t>:</w:t>
      </w:r>
      <w:r w:rsidR="00DD51E0">
        <w:rPr>
          <w:rFonts w:ascii="Book Antiqua" w:eastAsia="Book Antiqua" w:hAnsi="Book Antiqua" w:cs="Book Antiqua"/>
          <w:color w:val="000000"/>
        </w:rPr>
        <w:t xml:space="preserve"> </w:t>
      </w:r>
      <w:r>
        <w:rPr>
          <w:rFonts w:ascii="Book Antiqua" w:eastAsia="Book Antiqua" w:hAnsi="Book Antiqua" w:cs="Book Antiqua"/>
          <w:color w:val="000000"/>
        </w:rPr>
        <w:t>46.2-63.8</w:t>
      </w:r>
      <w:r w:rsidR="00DD51E0">
        <w:rPr>
          <w:rFonts w:ascii="Book Antiqua" w:eastAsia="Book Antiqua" w:hAnsi="Book Antiqua" w:cs="Book Antiqua"/>
          <w:color w:val="000000"/>
        </w:rPr>
        <w:t xml:space="preserve">], </w:t>
      </w:r>
      <w:r>
        <w:rPr>
          <w:rFonts w:ascii="Book Antiqua" w:eastAsia="Book Antiqua" w:hAnsi="Book Antiqua" w:cs="Book Antiqua"/>
          <w:color w:val="000000"/>
        </w:rPr>
        <w:t>congestion of hepatic sinuses 34.7% (95%CI:</w:t>
      </w:r>
      <w:r w:rsidR="00DD51E0">
        <w:rPr>
          <w:rFonts w:ascii="Book Antiqua" w:eastAsia="Book Antiqua" w:hAnsi="Book Antiqua" w:cs="Book Antiqua"/>
          <w:color w:val="000000"/>
        </w:rPr>
        <w:t xml:space="preserve"> </w:t>
      </w:r>
      <w:r>
        <w:rPr>
          <w:rFonts w:ascii="Book Antiqua" w:eastAsia="Book Antiqua" w:hAnsi="Book Antiqua" w:cs="Book Antiqua"/>
          <w:color w:val="000000"/>
        </w:rPr>
        <w:t>7.9-68.4), vascular thrombosis 29.4% (95%CI:</w:t>
      </w:r>
      <w:r w:rsidR="00DD51E0">
        <w:rPr>
          <w:rFonts w:ascii="Book Antiqua" w:eastAsia="Book Antiqua" w:hAnsi="Book Antiqua" w:cs="Book Antiqua"/>
          <w:color w:val="000000"/>
        </w:rPr>
        <w:t xml:space="preserve"> </w:t>
      </w:r>
      <w:r>
        <w:rPr>
          <w:rFonts w:ascii="Book Antiqua" w:eastAsia="Book Antiqua" w:hAnsi="Book Antiqua" w:cs="Book Antiqua"/>
          <w:color w:val="000000"/>
        </w:rPr>
        <w:t>0.4-87.2), fibrosis 20.5% (95%CI:</w:t>
      </w:r>
      <w:r w:rsidR="00DD51E0">
        <w:rPr>
          <w:rFonts w:ascii="Book Antiqua" w:eastAsia="Book Antiqua" w:hAnsi="Book Antiqua" w:cs="Book Antiqua"/>
          <w:color w:val="000000"/>
        </w:rPr>
        <w:t xml:space="preserve"> </w:t>
      </w:r>
      <w:r>
        <w:rPr>
          <w:rFonts w:ascii="Book Antiqua" w:eastAsia="Book Antiqua" w:hAnsi="Book Antiqua" w:cs="Book Antiqua"/>
          <w:color w:val="000000"/>
        </w:rPr>
        <w:t>0.6-57.9), Kupffer cell hyperplasia 13.5% (95%CI:</w:t>
      </w:r>
      <w:r w:rsidR="00DD51E0">
        <w:rPr>
          <w:rFonts w:ascii="Book Antiqua" w:eastAsia="Book Antiqua" w:hAnsi="Book Antiqua" w:cs="Book Antiqua"/>
          <w:color w:val="000000"/>
        </w:rPr>
        <w:t xml:space="preserve"> </w:t>
      </w:r>
      <w:r>
        <w:rPr>
          <w:rFonts w:ascii="Book Antiqua" w:eastAsia="Book Antiqua" w:hAnsi="Book Antiqua" w:cs="Book Antiqua"/>
          <w:color w:val="000000"/>
        </w:rPr>
        <w:t>0.6-54.3), portal inflammation 13.2% (95%CI:</w:t>
      </w:r>
      <w:r w:rsidR="00DD51E0">
        <w:rPr>
          <w:rFonts w:ascii="Book Antiqua" w:eastAsia="Book Antiqua" w:hAnsi="Book Antiqua" w:cs="Book Antiqua"/>
          <w:color w:val="000000"/>
        </w:rPr>
        <w:t xml:space="preserve"> </w:t>
      </w:r>
      <w:r>
        <w:rPr>
          <w:rFonts w:ascii="Book Antiqua" w:eastAsia="Book Antiqua" w:hAnsi="Book Antiqua" w:cs="Book Antiqua"/>
          <w:color w:val="000000"/>
        </w:rPr>
        <w:t>0.1-48.8), and lobular inflammation 11.6% (95%CI:</w:t>
      </w:r>
      <w:r w:rsidR="00DD51E0">
        <w:rPr>
          <w:rFonts w:ascii="Book Antiqua" w:eastAsia="Book Antiqua" w:hAnsi="Book Antiqua" w:cs="Book Antiqua"/>
          <w:color w:val="000000"/>
        </w:rPr>
        <w:t xml:space="preserve"> </w:t>
      </w:r>
      <w:r>
        <w:rPr>
          <w:rFonts w:ascii="Book Antiqua" w:eastAsia="Book Antiqua" w:hAnsi="Book Antiqua" w:cs="Book Antiqua"/>
          <w:color w:val="000000"/>
        </w:rPr>
        <w:t>0.3-35.7). We also identified the presence of venous outflow obstruction, phlebosclerosis of the portal vein, herniated portal vein, periportal abnormal vessels, hemophagocytosis, and necrosis.</w:t>
      </w:r>
    </w:p>
    <w:p w14:paraId="5F3601E9" w14:textId="77777777" w:rsidR="00A77B3E" w:rsidRDefault="00A77B3E">
      <w:pPr>
        <w:spacing w:line="360" w:lineRule="auto"/>
        <w:jc w:val="both"/>
      </w:pPr>
    </w:p>
    <w:p w14:paraId="35F43C9C" w14:textId="77777777" w:rsidR="00A77B3E" w:rsidRDefault="005C3C13">
      <w:pPr>
        <w:spacing w:line="360" w:lineRule="auto"/>
        <w:jc w:val="both"/>
      </w:pPr>
      <w:r>
        <w:rPr>
          <w:rFonts w:ascii="Book Antiqua" w:eastAsia="Book Antiqua" w:hAnsi="Book Antiqua" w:cs="Book Antiqua"/>
          <w:color w:val="000000"/>
        </w:rPr>
        <w:t>CONCLUSION</w:t>
      </w:r>
    </w:p>
    <w:p w14:paraId="75C60BE7" w14:textId="77777777" w:rsidR="00A77B3E" w:rsidRDefault="005C3C13">
      <w:pPr>
        <w:spacing w:line="360" w:lineRule="auto"/>
        <w:jc w:val="both"/>
      </w:pPr>
      <w:r>
        <w:rPr>
          <w:rFonts w:ascii="Book Antiqua" w:eastAsia="Book Antiqua" w:hAnsi="Book Antiqua" w:cs="Book Antiqua"/>
          <w:color w:val="000000"/>
        </w:rPr>
        <w:t>We found a high prevalence of hepatic steatosis and vascular thrombosis as major histological liver features. Other frequent findings included portal and lobular inflammation and Kupffer cell hyperplasia or proliferation. Further studies are needed to establish the mechanisms and implications of these findings.</w:t>
      </w:r>
    </w:p>
    <w:p w14:paraId="49C397F3" w14:textId="77777777" w:rsidR="00A77B3E" w:rsidRDefault="00A77B3E">
      <w:pPr>
        <w:spacing w:line="360" w:lineRule="auto"/>
        <w:jc w:val="both"/>
      </w:pPr>
    </w:p>
    <w:p w14:paraId="6FA92901" w14:textId="48AB8402" w:rsidR="00A77B3E" w:rsidRDefault="005C3C13">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Pathology; SARS-CoV-2; COVID-19; </w:t>
      </w:r>
      <w:r w:rsidR="00DD51E0">
        <w:rPr>
          <w:rFonts w:ascii="Book Antiqua" w:eastAsia="Book Antiqua" w:hAnsi="Book Antiqua" w:cs="Book Antiqua"/>
          <w:color w:val="000000"/>
        </w:rPr>
        <w:t>A</w:t>
      </w:r>
      <w:r>
        <w:rPr>
          <w:rFonts w:ascii="Book Antiqua" w:eastAsia="Book Antiqua" w:hAnsi="Book Antiqua" w:cs="Book Antiqua"/>
          <w:color w:val="000000"/>
        </w:rPr>
        <w:t xml:space="preserve">utopsies; </w:t>
      </w:r>
      <w:r w:rsidR="00DD51E0">
        <w:rPr>
          <w:rFonts w:ascii="Book Antiqua" w:eastAsia="Book Antiqua" w:hAnsi="Book Antiqua" w:cs="Book Antiqua"/>
          <w:color w:val="000000"/>
        </w:rPr>
        <w:t>Liver; Liv</w:t>
      </w:r>
      <w:r>
        <w:rPr>
          <w:rFonts w:ascii="Book Antiqua" w:eastAsia="Book Antiqua" w:hAnsi="Book Antiqua" w:cs="Book Antiqua"/>
          <w:color w:val="000000"/>
        </w:rPr>
        <w:t>er biopsies</w:t>
      </w:r>
    </w:p>
    <w:p w14:paraId="47970280" w14:textId="77777777" w:rsidR="00A77B3E" w:rsidRDefault="00A77B3E">
      <w:pPr>
        <w:spacing w:line="360" w:lineRule="auto"/>
        <w:jc w:val="both"/>
      </w:pPr>
    </w:p>
    <w:p w14:paraId="76CF5BFB" w14:textId="7049749E" w:rsidR="00B44B64" w:rsidRDefault="00B44B64">
      <w:pPr>
        <w:spacing w:line="360" w:lineRule="auto"/>
        <w:jc w:val="both"/>
        <w:rPr>
          <w:rFonts w:ascii="Book Antiqua" w:hAnsi="Book Antiqua" w:cs="Book Antiqua" w:hint="eastAsia"/>
          <w:color w:val="000000"/>
          <w:lang w:eastAsia="zh-CN"/>
        </w:rPr>
      </w:pPr>
      <w:r w:rsidRPr="00B44B64">
        <w:rPr>
          <w:rFonts w:ascii="Book Antiqua" w:hAnsi="Book Antiqua" w:cs="Book Antiqua" w:hint="eastAsia"/>
          <w:b/>
          <w:color w:val="000000"/>
          <w:lang w:val="es-ES" w:eastAsia="zh-CN"/>
        </w:rPr>
        <w:t xml:space="preserve">Citation: </w:t>
      </w:r>
      <w:r w:rsidR="005C3C13" w:rsidRPr="0069198E">
        <w:rPr>
          <w:rFonts w:ascii="Book Antiqua" w:eastAsia="Book Antiqua" w:hAnsi="Book Antiqua" w:cs="Book Antiqua"/>
          <w:color w:val="000000"/>
          <w:lang w:val="es-ES"/>
        </w:rPr>
        <w:t xml:space="preserve">Díaz LA, Idalsoaga F, Cannistra M, Candia R, Cabrera D, Barrera F, Soza A, Graham R, Riquelme A, Arrese M, Leise MD, Arab JP. </w:t>
      </w:r>
      <w:r w:rsidR="005C3C13">
        <w:rPr>
          <w:rFonts w:ascii="Book Antiqua" w:eastAsia="Book Antiqua" w:hAnsi="Book Antiqua" w:cs="Book Antiqua"/>
          <w:color w:val="000000"/>
        </w:rPr>
        <w:t xml:space="preserve">High prevalence of hepatic steatosis and vascular thrombosis in COVID-19: A </w:t>
      </w:r>
      <w:r w:rsidR="00DD51E0">
        <w:rPr>
          <w:rFonts w:ascii="Book Antiqua" w:eastAsia="Book Antiqua" w:hAnsi="Book Antiqua" w:cs="Book Antiqua"/>
          <w:color w:val="000000"/>
        </w:rPr>
        <w:t>systematic review and meta-analysi</w:t>
      </w:r>
      <w:r w:rsidR="005C3C13">
        <w:rPr>
          <w:rFonts w:ascii="Book Antiqua" w:eastAsia="Book Antiqua" w:hAnsi="Book Antiqua" w:cs="Book Antiqua"/>
          <w:color w:val="000000"/>
        </w:rPr>
        <w:t xml:space="preserve">s of autopsy data. </w:t>
      </w:r>
      <w:r w:rsidR="005C3C13">
        <w:rPr>
          <w:rFonts w:ascii="Book Antiqua" w:eastAsia="Book Antiqua" w:hAnsi="Book Antiqua" w:cs="Book Antiqua"/>
          <w:i/>
          <w:iCs/>
          <w:color w:val="000000"/>
        </w:rPr>
        <w:t>World J Gastroenterol</w:t>
      </w:r>
      <w:r w:rsidR="005C3C13">
        <w:rPr>
          <w:rFonts w:ascii="Book Antiqua" w:eastAsia="Book Antiqua" w:hAnsi="Book Antiqua" w:cs="Book Antiqua"/>
          <w:color w:val="000000"/>
        </w:rPr>
        <w:t xml:space="preserve"> 2020; </w:t>
      </w:r>
      <w:r w:rsidR="004610E0" w:rsidRPr="004610E0">
        <w:rPr>
          <w:rFonts w:ascii="Book Antiqua" w:eastAsia="Book Antiqua" w:hAnsi="Book Antiqua" w:cs="Book Antiqua"/>
          <w:color w:val="000000"/>
        </w:rPr>
        <w:t xml:space="preserve">26(48): </w:t>
      </w:r>
      <w:r w:rsidR="009A3C3D" w:rsidRPr="009A3C3D">
        <w:rPr>
          <w:rFonts w:ascii="Book Antiqua" w:eastAsia="Book Antiqua" w:hAnsi="Book Antiqua" w:cs="Book Antiqua"/>
          <w:color w:val="000000"/>
        </w:rPr>
        <w:t>7693-7706</w:t>
      </w:r>
      <w:r w:rsidR="004610E0" w:rsidRPr="004610E0">
        <w:rPr>
          <w:rFonts w:ascii="Book Antiqua" w:eastAsia="Book Antiqua" w:hAnsi="Book Antiqua" w:cs="Book Antiqua"/>
          <w:color w:val="000000"/>
        </w:rPr>
        <w:t xml:space="preserve">  </w:t>
      </w:r>
    </w:p>
    <w:p w14:paraId="43122BFD" w14:textId="77777777" w:rsidR="00B44B64" w:rsidRDefault="004610E0">
      <w:pPr>
        <w:spacing w:line="360" w:lineRule="auto"/>
        <w:jc w:val="both"/>
        <w:rPr>
          <w:rFonts w:ascii="Book Antiqua" w:hAnsi="Book Antiqua" w:cs="Book Antiqua" w:hint="eastAsia"/>
          <w:color w:val="000000"/>
          <w:lang w:eastAsia="zh-CN"/>
        </w:rPr>
      </w:pPr>
      <w:r w:rsidRPr="00B44B64">
        <w:rPr>
          <w:rFonts w:ascii="Book Antiqua" w:eastAsia="Book Antiqua" w:hAnsi="Book Antiqua" w:cs="Book Antiqua"/>
          <w:b/>
          <w:color w:val="000000"/>
        </w:rPr>
        <w:t xml:space="preserve">URL: </w:t>
      </w:r>
      <w:r w:rsidRPr="004610E0">
        <w:rPr>
          <w:rFonts w:ascii="Book Antiqua" w:eastAsia="Book Antiqua" w:hAnsi="Book Antiqua" w:cs="Book Antiqua"/>
          <w:color w:val="000000"/>
        </w:rPr>
        <w:t>https://www.wjgnet.com/1007-9327/full/v26/i48/</w:t>
      </w:r>
      <w:r w:rsidR="009A3C3D">
        <w:rPr>
          <w:rFonts w:ascii="Book Antiqua" w:hAnsi="Book Antiqua" w:cs="Book Antiqua" w:hint="eastAsia"/>
          <w:color w:val="000000"/>
          <w:lang w:eastAsia="zh-CN"/>
        </w:rPr>
        <w:t>7693</w:t>
      </w:r>
      <w:r w:rsidRPr="004610E0">
        <w:rPr>
          <w:rFonts w:ascii="Book Antiqua" w:eastAsia="Book Antiqua" w:hAnsi="Book Antiqua" w:cs="Book Antiqua"/>
          <w:color w:val="000000"/>
        </w:rPr>
        <w:t xml:space="preserve">.htm  </w:t>
      </w:r>
    </w:p>
    <w:p w14:paraId="0747BB26" w14:textId="2B2E6479" w:rsidR="00A77B3E" w:rsidRPr="009A3C3D" w:rsidRDefault="004610E0">
      <w:pPr>
        <w:spacing w:line="360" w:lineRule="auto"/>
        <w:jc w:val="both"/>
        <w:rPr>
          <w:rFonts w:hint="eastAsia"/>
          <w:lang w:eastAsia="zh-CN"/>
        </w:rPr>
      </w:pPr>
      <w:bookmarkStart w:id="1" w:name="_GoBack"/>
      <w:r w:rsidRPr="00B44B64">
        <w:rPr>
          <w:rFonts w:ascii="Book Antiqua" w:eastAsia="Book Antiqua" w:hAnsi="Book Antiqua" w:cs="Book Antiqua"/>
          <w:b/>
          <w:color w:val="000000"/>
        </w:rPr>
        <w:t xml:space="preserve">DOI: </w:t>
      </w:r>
      <w:bookmarkEnd w:id="1"/>
      <w:r w:rsidRPr="004610E0">
        <w:rPr>
          <w:rFonts w:ascii="Book Antiqua" w:eastAsia="Book Antiqua" w:hAnsi="Book Antiqua" w:cs="Book Antiqua"/>
          <w:color w:val="000000"/>
        </w:rPr>
        <w:t>https://dx.doi.org/10.3748/wjg.v26.i48.</w:t>
      </w:r>
      <w:r w:rsidR="009A3C3D">
        <w:rPr>
          <w:rFonts w:ascii="Book Antiqua" w:hAnsi="Book Antiqua" w:cs="Book Antiqua" w:hint="eastAsia"/>
          <w:color w:val="000000"/>
          <w:lang w:eastAsia="zh-CN"/>
        </w:rPr>
        <w:t>7693</w:t>
      </w:r>
    </w:p>
    <w:p w14:paraId="65E361B1" w14:textId="77777777" w:rsidR="00A77B3E" w:rsidRDefault="00A77B3E">
      <w:pPr>
        <w:spacing w:line="360" w:lineRule="auto"/>
        <w:jc w:val="both"/>
      </w:pPr>
    </w:p>
    <w:p w14:paraId="5F27A8AD" w14:textId="36250440" w:rsidR="00A77B3E" w:rsidRDefault="005C3C13">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In this systematic review of 18 studies, we identified that hepatic steatosis, congestion of hepatic sinuses, and vascular thrombosis are the main histological findings in deceased </w:t>
      </w:r>
      <w:r w:rsidR="0072453C">
        <w:rPr>
          <w:rFonts w:ascii="Book Antiqua" w:eastAsia="Book Antiqua" w:hAnsi="Book Antiqua" w:cs="Book Antiqua"/>
          <w:color w:val="000000"/>
        </w:rPr>
        <w:t>c</w:t>
      </w:r>
      <w:r w:rsidR="0072453C" w:rsidRPr="00633804">
        <w:rPr>
          <w:rFonts w:ascii="Book Antiqua" w:eastAsia="Book Antiqua" w:hAnsi="Book Antiqua" w:cs="Book Antiqua"/>
          <w:color w:val="000000"/>
        </w:rPr>
        <w:t>oronavirus disease 2019</w:t>
      </w:r>
      <w:r w:rsidR="0072453C">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72453C">
        <w:rPr>
          <w:rFonts w:ascii="Book Antiqua" w:eastAsia="Book Antiqua" w:hAnsi="Book Antiqua" w:cs="Book Antiqua"/>
          <w:color w:val="000000"/>
        </w:rPr>
        <w:t>)</w:t>
      </w:r>
      <w:r>
        <w:rPr>
          <w:rFonts w:ascii="Book Antiqua" w:eastAsia="Book Antiqua" w:hAnsi="Book Antiqua" w:cs="Book Antiqua"/>
          <w:color w:val="000000"/>
        </w:rPr>
        <w:t xml:space="preserve"> patients. Fibrosis is a common histological finding in deceased COVID-19 patients. Kupffer cell hyperplasia, portal inflammation, and lobular inflammation are related to the</w:t>
      </w:r>
      <w:r w:rsidR="0072453C">
        <w:rPr>
          <w:rFonts w:ascii="Book Antiqua" w:eastAsia="Book Antiqua" w:hAnsi="Book Antiqua" w:cs="Book Antiqua"/>
          <w:color w:val="000000"/>
        </w:rPr>
        <w:t xml:space="preserve"> </w:t>
      </w:r>
      <w:r w:rsidR="0072453C" w:rsidRPr="0072453C">
        <w:rPr>
          <w:rFonts w:ascii="Book Antiqua" w:eastAsia="Book Antiqua" w:hAnsi="Book Antiqua" w:cs="Book Antiqua"/>
          <w:color w:val="000000"/>
        </w:rPr>
        <w:t>severe acute respiratory syndrome coronavirus 2</w:t>
      </w:r>
      <w:r>
        <w:rPr>
          <w:rFonts w:ascii="Book Antiqua" w:eastAsia="Book Antiqua" w:hAnsi="Book Antiqua" w:cs="Book Antiqua"/>
          <w:color w:val="000000"/>
        </w:rPr>
        <w:t xml:space="preserve"> inflammatory process and are frequent histological findings. Other vascular abnormalities (such as venous outflow obstruction, phlebosclerosis of the portal vein, herniated portal vein, periportal abnormal vessels) are frequent histological finding in deceased COVID-19 patients.</w:t>
      </w:r>
    </w:p>
    <w:p w14:paraId="132A354E" w14:textId="4E2A1FCC" w:rsidR="00A77B3E" w:rsidRDefault="0072453C">
      <w:pPr>
        <w:spacing w:line="360" w:lineRule="auto"/>
        <w:jc w:val="both"/>
      </w:pPr>
      <w:r>
        <w:br w:type="page"/>
      </w:r>
      <w:r w:rsidR="005C3C13">
        <w:rPr>
          <w:rFonts w:ascii="Book Antiqua" w:eastAsia="Book Antiqua" w:hAnsi="Book Antiqua" w:cs="Book Antiqua"/>
          <w:b/>
          <w:caps/>
          <w:color w:val="000000"/>
          <w:u w:val="single"/>
        </w:rPr>
        <w:t>INTRODUCTION</w:t>
      </w:r>
    </w:p>
    <w:p w14:paraId="554BAC87" w14:textId="17A6D73D" w:rsidR="00A77B3E" w:rsidRDefault="005C3C13">
      <w:pPr>
        <w:spacing w:line="360" w:lineRule="auto"/>
        <w:jc w:val="both"/>
      </w:pPr>
      <w:r>
        <w:rPr>
          <w:rFonts w:ascii="Book Antiqua" w:eastAsia="Book Antiqua" w:hAnsi="Book Antiqua" w:cs="Book Antiqua"/>
          <w:color w:val="000000"/>
        </w:rPr>
        <w:t xml:space="preserve">The pandemic of the novel coronavirus, the </w:t>
      </w:r>
      <w:r w:rsidR="0072453C" w:rsidRPr="0072453C">
        <w:rPr>
          <w:rFonts w:ascii="Book Antiqua" w:eastAsia="Book Antiqua" w:hAnsi="Book Antiqua" w:cs="Book Antiqua"/>
          <w:color w:val="000000"/>
        </w:rPr>
        <w:t>severe acute respiratory syndrome coronavirus 2</w:t>
      </w:r>
      <w:r w:rsidR="0072453C">
        <w:rPr>
          <w:rFonts w:ascii="Book Antiqua" w:eastAsia="Book Antiqua" w:hAnsi="Book Antiqua" w:cs="Book Antiqua"/>
          <w:color w:val="000000"/>
        </w:rPr>
        <w:t xml:space="preserve"> (</w:t>
      </w:r>
      <w:r>
        <w:rPr>
          <w:rFonts w:ascii="Book Antiqua" w:eastAsia="Book Antiqua" w:hAnsi="Book Antiqua" w:cs="Book Antiqua"/>
          <w:color w:val="000000"/>
        </w:rPr>
        <w:t>SARS-CoV-2</w:t>
      </w:r>
      <w:r w:rsidR="0072453C">
        <w:rPr>
          <w:rFonts w:ascii="Book Antiqua" w:eastAsia="Book Antiqua" w:hAnsi="Book Antiqua" w:cs="Book Antiqua"/>
          <w:color w:val="000000"/>
        </w:rPr>
        <w:t>)</w:t>
      </w:r>
      <w:r>
        <w:rPr>
          <w:rFonts w:ascii="Book Antiqua" w:eastAsia="Book Antiqua" w:hAnsi="Book Antiqua" w:cs="Book Antiqua"/>
          <w:color w:val="000000"/>
        </w:rPr>
        <w:t xml:space="preserve"> infection (also known as </w:t>
      </w:r>
      <w:r w:rsidR="0072453C">
        <w:rPr>
          <w:rFonts w:ascii="Book Antiqua" w:eastAsia="Book Antiqua" w:hAnsi="Book Antiqua" w:cs="Book Antiqua"/>
          <w:color w:val="000000"/>
        </w:rPr>
        <w:t>c</w:t>
      </w:r>
      <w:r w:rsidR="0072453C" w:rsidRPr="00633804">
        <w:rPr>
          <w:rFonts w:ascii="Book Antiqua" w:eastAsia="Book Antiqua" w:hAnsi="Book Antiqua" w:cs="Book Antiqua"/>
          <w:color w:val="000000"/>
        </w:rPr>
        <w:t>oronavirus disease 2019</w:t>
      </w:r>
      <w:r w:rsidR="0072453C">
        <w:rPr>
          <w:rFonts w:ascii="Book Antiqua" w:eastAsia="Book Antiqua" w:hAnsi="Book Antiqua" w:cs="Book Antiqua"/>
          <w:color w:val="000000"/>
        </w:rPr>
        <w:t xml:space="preserve">, </w:t>
      </w:r>
      <w:r>
        <w:rPr>
          <w:rFonts w:ascii="Book Antiqua" w:eastAsia="Book Antiqua" w:hAnsi="Book Antiqua" w:cs="Book Antiqua"/>
          <w:color w:val="000000"/>
        </w:rPr>
        <w:t>COVID-19) has infected more than 59 million individuals worldwide and caused more than 1.4 million deaths. Although the main manifestations of COVID-19 are related to respiratory symptoms, the compromise of multiple organs has been described in the literature, including the digestive system</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There are several gastrointestinal manifestations, including anorexia, diarrhea, nausea/vomiting, and abdominal pain. Those symptoms have a pooled prevalence of 17.6% and are frequently observed in hospitalized patients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p>
    <w:p w14:paraId="0C6B1EEE" w14:textId="1D23A01C" w:rsidR="00A77B3E" w:rsidRDefault="005C3C13" w:rsidP="0072453C">
      <w:pPr>
        <w:spacing w:line="360" w:lineRule="auto"/>
        <w:ind w:firstLineChars="100" w:firstLine="240"/>
        <w:jc w:val="both"/>
      </w:pPr>
      <w:r>
        <w:rPr>
          <w:rFonts w:ascii="Book Antiqua" w:eastAsia="Book Antiqua" w:hAnsi="Book Antiqua" w:cs="Book Antiqua"/>
          <w:color w:val="000000"/>
        </w:rPr>
        <w:t>The liver is also one of the most common organs affected in COVID-19. In fact, between 2</w:t>
      </w:r>
      <w:r w:rsidR="0072453C">
        <w:rPr>
          <w:rFonts w:ascii="Book Antiqua" w:eastAsia="Book Antiqua" w:hAnsi="Book Antiqua" w:cs="Book Antiqua"/>
          <w:color w:val="000000"/>
        </w:rPr>
        <w:t>%</w:t>
      </w:r>
      <w:r>
        <w:rPr>
          <w:rFonts w:ascii="Book Antiqua" w:eastAsia="Book Antiqua" w:hAnsi="Book Antiqua" w:cs="Book Antiqua"/>
          <w:color w:val="000000"/>
        </w:rPr>
        <w:t>-11% of affected patients have liver comorbidities and 16</w:t>
      </w:r>
      <w:r w:rsidR="0072453C">
        <w:rPr>
          <w:rFonts w:ascii="Book Antiqua" w:eastAsia="Book Antiqua" w:hAnsi="Book Antiqua" w:cs="Book Antiqua"/>
          <w:color w:val="000000"/>
        </w:rPr>
        <w:t>%</w:t>
      </w:r>
      <w:r>
        <w:rPr>
          <w:rFonts w:ascii="Book Antiqua" w:eastAsia="Book Antiqua" w:hAnsi="Book Antiqua" w:cs="Book Antiqua"/>
          <w:color w:val="000000"/>
        </w:rPr>
        <w:t>-53% of cases reported abnormal liver tests</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The most frequent abnormalities are mildly elevated alanine aminotransferase (ALT) and aspartate aminotransferase (AST) and are</w:t>
      </w:r>
      <w:r w:rsidR="00E03BD1">
        <w:rPr>
          <w:rFonts w:ascii="Book Antiqua" w:eastAsia="Book Antiqua" w:hAnsi="Book Antiqua" w:cs="Book Antiqua"/>
          <w:color w:val="000000"/>
        </w:rPr>
        <w:t xml:space="preserve"> </w:t>
      </w:r>
      <w:r>
        <w:rPr>
          <w:rFonts w:ascii="Book Antiqua" w:eastAsia="Book Antiqua" w:hAnsi="Book Antiqua" w:cs="Book Antiqua"/>
          <w:color w:val="000000"/>
        </w:rPr>
        <w:t>more common in hospitalized patients</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Elevation of alkaline phosphatase and gamma-glutamyl transferase (GGT) has also been reported</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Those alterations have been related to expression of angiotensin-converting enzyme 2 (ACE-2), the putative receptor of SARS-CoV-2, in endothelial cells of the liver and the biliary epithelium</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In addition, since the frequency of liver dysfunction increases as COVID-19 is more severe, liver damage might be directly caused by the infection of liver. Abnormal liver tests can also be partially explained by drug-induced liver injury (DILI), cytokine storm, and/or pneumonia-associated hypoxia</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
    <w:p w14:paraId="5F1C3384" w14:textId="503E081F" w:rsidR="00A77B3E" w:rsidRDefault="005C3C13" w:rsidP="0072453C">
      <w:pPr>
        <w:spacing w:line="360" w:lineRule="auto"/>
        <w:ind w:firstLineChars="100" w:firstLine="240"/>
        <w:jc w:val="both"/>
      </w:pPr>
      <w:r>
        <w:rPr>
          <w:rFonts w:ascii="Book Antiqua" w:eastAsia="Book Antiqua" w:hAnsi="Book Antiqua" w:cs="Book Antiqua"/>
          <w:color w:val="000000"/>
        </w:rPr>
        <w:t>Pathological studies in patients with SARS-CoV-2 infection have confirmed the presence of the virus in liver tissue</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This finding was also described in SARS and MERS infection</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Although histopathological information is scarce, previous reports from SARS and MERS showed steatosis, mild portal tract and lobular lymphocytic inflammation, as well as mild cellular hydropic degeneration in hepatic parenchyma</w:t>
      </w:r>
      <w:r>
        <w:rPr>
          <w:rFonts w:ascii="Book Antiqua" w:eastAsia="Book Antiqua" w:hAnsi="Book Antiqua" w:cs="Book Antiqua"/>
          <w:color w:val="000000"/>
          <w:szCs w:val="30"/>
          <w:vertAlign w:val="superscript"/>
        </w:rPr>
        <w:t>[7,9-11]</w:t>
      </w:r>
      <w:r>
        <w:rPr>
          <w:rFonts w:ascii="Book Antiqua" w:eastAsia="Book Antiqua" w:hAnsi="Book Antiqua" w:cs="Book Antiqua"/>
          <w:color w:val="000000"/>
        </w:rPr>
        <w:t>. Regarding SARS-CoV-2 infection, initial reports of autopsies performed in COVID-19 patients have described steatosis, mild lobular and portal activity, lymphocytic endotheliitis, and necrosis</w:t>
      </w:r>
      <w:r>
        <w:rPr>
          <w:rFonts w:ascii="Book Antiqua" w:eastAsia="Book Antiqua" w:hAnsi="Book Antiqua" w:cs="Book Antiqua"/>
          <w:color w:val="000000"/>
          <w:szCs w:val="30"/>
          <w:vertAlign w:val="superscript"/>
        </w:rPr>
        <w:t>[12-14]</w:t>
      </w:r>
      <w:r>
        <w:rPr>
          <w:rFonts w:ascii="Book Antiqua" w:eastAsia="Book Antiqua" w:hAnsi="Book Antiqua" w:cs="Book Antiqua"/>
          <w:color w:val="000000"/>
        </w:rPr>
        <w:t>. However, data about the main histopathological findings in COVID-19 is still scarce. Thus, aiming to provide a comprehensive synthesis of the pathological findings in liver injury due to SARS-CoV-2 reported so far, we performed a systematic review and meta-analysis of each histopathological finding in liver samples from autopsies and biopsies of COVID-19 patients.</w:t>
      </w:r>
    </w:p>
    <w:p w14:paraId="57F134EE" w14:textId="77777777" w:rsidR="00A77B3E" w:rsidRDefault="00A77B3E">
      <w:pPr>
        <w:spacing w:line="360" w:lineRule="auto"/>
        <w:jc w:val="both"/>
      </w:pPr>
    </w:p>
    <w:p w14:paraId="5B887077" w14:textId="77777777" w:rsidR="00A77B3E" w:rsidRDefault="005C3C13">
      <w:pPr>
        <w:spacing w:line="360" w:lineRule="auto"/>
        <w:jc w:val="both"/>
      </w:pPr>
      <w:r>
        <w:rPr>
          <w:rFonts w:ascii="Book Antiqua" w:eastAsia="Book Antiqua" w:hAnsi="Book Antiqua" w:cs="Book Antiqua"/>
          <w:b/>
          <w:caps/>
          <w:color w:val="000000"/>
          <w:u w:val="single"/>
        </w:rPr>
        <w:t>MATERIALS AND METHODS</w:t>
      </w:r>
    </w:p>
    <w:p w14:paraId="1C4F758D" w14:textId="77777777" w:rsidR="00A77B3E" w:rsidRPr="0072453C" w:rsidRDefault="005C3C13">
      <w:pPr>
        <w:spacing w:line="360" w:lineRule="auto"/>
        <w:jc w:val="both"/>
        <w:rPr>
          <w:i/>
          <w:iCs/>
        </w:rPr>
      </w:pPr>
      <w:r w:rsidRPr="0072453C">
        <w:rPr>
          <w:rFonts w:ascii="Book Antiqua" w:eastAsia="Book Antiqua" w:hAnsi="Book Antiqua" w:cs="Book Antiqua"/>
          <w:b/>
          <w:bCs/>
          <w:i/>
          <w:iCs/>
          <w:color w:val="000000"/>
        </w:rPr>
        <w:t>Overview</w:t>
      </w:r>
    </w:p>
    <w:p w14:paraId="2F5D606A" w14:textId="77777777" w:rsidR="00A77B3E" w:rsidRDefault="005C3C13">
      <w:pPr>
        <w:spacing w:line="360" w:lineRule="auto"/>
        <w:jc w:val="both"/>
      </w:pPr>
      <w:r>
        <w:rPr>
          <w:rFonts w:ascii="Book Antiqua" w:eastAsia="Book Antiqua" w:hAnsi="Book Antiqua" w:cs="Book Antiqua"/>
          <w:color w:val="000000"/>
        </w:rPr>
        <w:t>This systematic review with meta-analysis was registered on PROSPERO (ID: CRD42020192813) and followed a prespecified analysis plan. This study is reported in accordance with the Preferred Reporting Items for a Review and Meta-analysis (PRISMA) guidelines</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w:t>
      </w:r>
    </w:p>
    <w:p w14:paraId="2C489335" w14:textId="77777777" w:rsidR="00A77B3E" w:rsidRDefault="00A77B3E">
      <w:pPr>
        <w:spacing w:line="360" w:lineRule="auto"/>
        <w:jc w:val="both"/>
      </w:pPr>
    </w:p>
    <w:p w14:paraId="774423C7" w14:textId="77777777" w:rsidR="00A77B3E" w:rsidRPr="0072453C" w:rsidRDefault="005C3C13">
      <w:pPr>
        <w:spacing w:line="360" w:lineRule="auto"/>
        <w:jc w:val="both"/>
        <w:rPr>
          <w:i/>
          <w:iCs/>
        </w:rPr>
      </w:pPr>
      <w:r w:rsidRPr="0072453C">
        <w:rPr>
          <w:rFonts w:ascii="Book Antiqua" w:eastAsia="Book Antiqua" w:hAnsi="Book Antiqua" w:cs="Book Antiqua"/>
          <w:b/>
          <w:bCs/>
          <w:i/>
          <w:iCs/>
          <w:color w:val="000000"/>
        </w:rPr>
        <w:t>Eligibility criteria</w:t>
      </w:r>
    </w:p>
    <w:p w14:paraId="0C1D8D18" w14:textId="77777777" w:rsidR="00A77B3E" w:rsidRDefault="005C3C13">
      <w:pPr>
        <w:spacing w:line="360" w:lineRule="auto"/>
        <w:jc w:val="both"/>
      </w:pPr>
      <w:r>
        <w:rPr>
          <w:rFonts w:ascii="Book Antiqua" w:eastAsia="Book Antiqua" w:hAnsi="Book Antiqua" w:cs="Book Antiqua"/>
          <w:color w:val="000000"/>
        </w:rPr>
        <w:t>Eligible trials had to include patients diagnosed with COVID-19, regardless of age and gender. The diagnosis of COVID-19 had to be based on a compatible clinical history and molecular evidence with a quantitative real-time polymerase chain reaction (qRT-PCR) for SARS-CoV-2. We included liver histopathological reports from deceased COVID-19 patients who subsequently were studied with autopsy or liver biopsies performed in alive COVID-19 patients.</w:t>
      </w:r>
    </w:p>
    <w:p w14:paraId="657FFF36" w14:textId="77777777" w:rsidR="00A77B3E" w:rsidRDefault="005C3C13" w:rsidP="0072453C">
      <w:pPr>
        <w:spacing w:line="360" w:lineRule="auto"/>
        <w:ind w:firstLineChars="100" w:firstLine="240"/>
        <w:jc w:val="both"/>
      </w:pPr>
      <w:r>
        <w:rPr>
          <w:rFonts w:ascii="Book Antiqua" w:eastAsia="Book Antiqua" w:hAnsi="Book Antiqua" w:cs="Book Antiqua"/>
          <w:color w:val="000000"/>
        </w:rPr>
        <w:t>We planned to include all the studies that report liver histopathological data, regardless of the design (case-reports, case-series, descriptive cases, cross-sectional studies, cohort studies, and randomized controlled trials). We excluded studies performed in vitro, animal models, or lacking evidence of SARS-CoV-2 infection from this systematic review. We did not include manuscripts performed before December 1, 2019.</w:t>
      </w:r>
    </w:p>
    <w:p w14:paraId="7A6E96B3" w14:textId="77777777" w:rsidR="00A77B3E" w:rsidRDefault="00A77B3E">
      <w:pPr>
        <w:spacing w:line="360" w:lineRule="auto"/>
        <w:jc w:val="both"/>
      </w:pPr>
    </w:p>
    <w:p w14:paraId="7F985A4B" w14:textId="77777777" w:rsidR="00A77B3E" w:rsidRPr="0072453C" w:rsidRDefault="005C3C13">
      <w:pPr>
        <w:spacing w:line="360" w:lineRule="auto"/>
        <w:jc w:val="both"/>
        <w:rPr>
          <w:i/>
          <w:iCs/>
        </w:rPr>
      </w:pPr>
      <w:r w:rsidRPr="0072453C">
        <w:rPr>
          <w:rFonts w:ascii="Book Antiqua" w:eastAsia="Book Antiqua" w:hAnsi="Book Antiqua" w:cs="Book Antiqua"/>
          <w:b/>
          <w:bCs/>
          <w:i/>
          <w:iCs/>
          <w:color w:val="000000"/>
        </w:rPr>
        <w:t>Search strategy and selection process</w:t>
      </w:r>
    </w:p>
    <w:p w14:paraId="12CCE676" w14:textId="66DD0668" w:rsidR="00A77B3E" w:rsidRDefault="005C3C13">
      <w:pPr>
        <w:spacing w:line="360" w:lineRule="auto"/>
        <w:jc w:val="both"/>
      </w:pPr>
      <w:r>
        <w:rPr>
          <w:rFonts w:ascii="Book Antiqua" w:eastAsia="Book Antiqua" w:hAnsi="Book Antiqua" w:cs="Book Antiqua"/>
          <w:color w:val="000000"/>
        </w:rPr>
        <w:t>We performed an electronic search from December 1, 2019, to June 3, 2020, in MEDLINE (</w:t>
      </w:r>
      <w:r w:rsidRPr="0072453C">
        <w:rPr>
          <w:rFonts w:ascii="Book Antiqua" w:eastAsia="Book Antiqua" w:hAnsi="Book Antiqua" w:cs="Book Antiqua"/>
          <w:i/>
          <w:iCs/>
          <w:color w:val="000000"/>
        </w:rPr>
        <w:t>via</w:t>
      </w:r>
      <w:r>
        <w:rPr>
          <w:rFonts w:ascii="Book Antiqua" w:eastAsia="Book Antiqua" w:hAnsi="Book Antiqua" w:cs="Book Antiqua"/>
          <w:color w:val="000000"/>
        </w:rPr>
        <w:t xml:space="preserve"> PubMed) and Embase databases. We used keywords and free-text words related to SARS-CoV-2 infection, autopsies, and liver biopsies. We reported the search strategy used in PubMed and Embase databases in the appendix. We hand searched (up to June 3, 2020) preprint servers (bioRxiv, medRxiv, and SSRN) and coronavirus resource centers of The Lancet, JAMA, and New England Journal of Medicine. We did not limit our search by language. Two investigators (</w:t>
      </w:r>
      <w:r w:rsidR="0072453C">
        <w:rPr>
          <w:rFonts w:ascii="Book Antiqua" w:eastAsia="Book Antiqua" w:hAnsi="Book Antiqua" w:cs="Book Antiqua"/>
          <w:color w:val="000000"/>
        </w:rPr>
        <w:t>Díaz LA</w:t>
      </w:r>
      <w:r>
        <w:rPr>
          <w:rFonts w:ascii="Book Antiqua" w:eastAsia="Book Antiqua" w:hAnsi="Book Antiqua" w:cs="Book Antiqua"/>
          <w:color w:val="000000"/>
        </w:rPr>
        <w:t xml:space="preserve"> and </w:t>
      </w:r>
      <w:r w:rsidR="0072453C" w:rsidRPr="00B0724E">
        <w:rPr>
          <w:rFonts w:ascii="Book Antiqua" w:eastAsia="Book Antiqua" w:hAnsi="Book Antiqua" w:cs="Book Antiqua"/>
          <w:color w:val="000000"/>
        </w:rPr>
        <w:t>Idalsoaga</w:t>
      </w:r>
      <w:r w:rsidR="0072453C">
        <w:rPr>
          <w:rFonts w:ascii="Book Antiqua" w:eastAsia="Book Antiqua" w:hAnsi="Book Antiqua" w:cs="Book Antiqua"/>
          <w:color w:val="000000"/>
        </w:rPr>
        <w:t xml:space="preserve"> F</w:t>
      </w:r>
      <w:r>
        <w:rPr>
          <w:rFonts w:ascii="Book Antiqua" w:eastAsia="Book Antiqua" w:hAnsi="Book Antiqua" w:cs="Book Antiqua"/>
          <w:color w:val="000000"/>
        </w:rPr>
        <w:t>) independently screened the titles and abstracts to ascertain whether each study met the eligibility criteria. The full texts of the identified eligible articles were then evaluated to determine whether they should be included in the analysis. Disagreements between the two reviewers were resolved by consensus. In case of persistent disagreement, arbitration by a third reviewer (</w:t>
      </w:r>
      <w:r w:rsidR="0072453C">
        <w:rPr>
          <w:rFonts w:ascii="Book Antiqua" w:eastAsia="Book Antiqua" w:hAnsi="Book Antiqua" w:cs="Book Antiqua"/>
          <w:color w:val="000000"/>
        </w:rPr>
        <w:t>Arab JP</w:t>
      </w:r>
      <w:r>
        <w:rPr>
          <w:rFonts w:ascii="Book Antiqua" w:eastAsia="Book Antiqua" w:hAnsi="Book Antiqua" w:cs="Book Antiqua"/>
          <w:color w:val="000000"/>
        </w:rPr>
        <w:t>) settled the discrepancy.</w:t>
      </w:r>
    </w:p>
    <w:p w14:paraId="59B1F00B" w14:textId="77777777" w:rsidR="00A77B3E" w:rsidRDefault="00A77B3E">
      <w:pPr>
        <w:spacing w:line="360" w:lineRule="auto"/>
        <w:jc w:val="both"/>
      </w:pPr>
    </w:p>
    <w:p w14:paraId="1A52B229" w14:textId="77777777" w:rsidR="00A77B3E" w:rsidRPr="0072453C" w:rsidRDefault="005C3C13">
      <w:pPr>
        <w:spacing w:line="360" w:lineRule="auto"/>
        <w:jc w:val="both"/>
        <w:rPr>
          <w:i/>
          <w:iCs/>
        </w:rPr>
      </w:pPr>
      <w:r w:rsidRPr="0072453C">
        <w:rPr>
          <w:rFonts w:ascii="Book Antiqua" w:eastAsia="Book Antiqua" w:hAnsi="Book Antiqua" w:cs="Book Antiqua"/>
          <w:b/>
          <w:bCs/>
          <w:i/>
          <w:iCs/>
          <w:color w:val="000000"/>
        </w:rPr>
        <w:t>Data collection and risk of bias assessment</w:t>
      </w:r>
    </w:p>
    <w:p w14:paraId="71899267" w14:textId="56B69DF6" w:rsidR="00A77B3E" w:rsidRDefault="005C3C13">
      <w:pPr>
        <w:spacing w:line="360" w:lineRule="auto"/>
        <w:jc w:val="both"/>
      </w:pPr>
      <w:r>
        <w:rPr>
          <w:rFonts w:ascii="Book Antiqua" w:eastAsia="Book Antiqua" w:hAnsi="Book Antiqua" w:cs="Book Antiqua"/>
          <w:color w:val="000000"/>
        </w:rPr>
        <w:t>Two authors (</w:t>
      </w:r>
      <w:r w:rsidR="0072453C">
        <w:rPr>
          <w:rFonts w:ascii="Book Antiqua" w:eastAsia="Book Antiqua" w:hAnsi="Book Antiqua" w:cs="Book Antiqua"/>
          <w:color w:val="000000"/>
        </w:rPr>
        <w:t>Díaz LA</w:t>
      </w:r>
      <w:r>
        <w:rPr>
          <w:rFonts w:ascii="Book Antiqua" w:eastAsia="Book Antiqua" w:hAnsi="Book Antiqua" w:cs="Book Antiqua"/>
          <w:color w:val="000000"/>
        </w:rPr>
        <w:t xml:space="preserve"> and </w:t>
      </w:r>
      <w:r w:rsidR="0072453C" w:rsidRPr="00B0724E">
        <w:rPr>
          <w:rFonts w:ascii="Book Antiqua" w:eastAsia="Book Antiqua" w:hAnsi="Book Antiqua" w:cs="Book Antiqua"/>
          <w:color w:val="000000"/>
        </w:rPr>
        <w:t>Cannistra</w:t>
      </w:r>
      <w:r w:rsidR="0072453C">
        <w:rPr>
          <w:rFonts w:ascii="Book Antiqua" w:eastAsia="Book Antiqua" w:hAnsi="Book Antiqua" w:cs="Book Antiqua"/>
          <w:color w:val="000000"/>
        </w:rPr>
        <w:t xml:space="preserve"> M</w:t>
      </w:r>
      <w:r>
        <w:rPr>
          <w:rFonts w:ascii="Book Antiqua" w:eastAsia="Book Antiqua" w:hAnsi="Book Antiqua" w:cs="Book Antiqua"/>
          <w:color w:val="000000"/>
        </w:rPr>
        <w:t>) independently extracted data from included studies using forms specially designed for this purpose. The following data were extracted describing the study, participants, source of sample (liver biopsy or autopsy), and the main liver histopathological findings. Discrepancies were resolved by a third reviewer (</w:t>
      </w:r>
      <w:r w:rsidR="0072453C">
        <w:rPr>
          <w:rFonts w:ascii="Book Antiqua" w:eastAsia="Book Antiqua" w:hAnsi="Book Antiqua" w:cs="Book Antiqua"/>
          <w:color w:val="000000"/>
        </w:rPr>
        <w:t>Arab JP</w:t>
      </w:r>
      <w:r>
        <w:rPr>
          <w:rFonts w:ascii="Book Antiqua" w:eastAsia="Book Antiqua" w:hAnsi="Book Antiqua" w:cs="Book Antiqua"/>
          <w:color w:val="000000"/>
        </w:rPr>
        <w:t>). Two investigators (</w:t>
      </w:r>
      <w:r w:rsidR="0072453C">
        <w:rPr>
          <w:rFonts w:ascii="Book Antiqua" w:eastAsia="Book Antiqua" w:hAnsi="Book Antiqua" w:cs="Book Antiqua"/>
          <w:color w:val="000000"/>
        </w:rPr>
        <w:t>Díaz LA</w:t>
      </w:r>
      <w:r>
        <w:rPr>
          <w:rFonts w:ascii="Book Antiqua" w:eastAsia="Book Antiqua" w:hAnsi="Book Antiqua" w:cs="Book Antiqua"/>
          <w:color w:val="000000"/>
        </w:rPr>
        <w:t xml:space="preserve"> and </w:t>
      </w:r>
      <w:r w:rsidR="0072453C" w:rsidRPr="00B0724E">
        <w:rPr>
          <w:rFonts w:ascii="Book Antiqua" w:eastAsia="Book Antiqua" w:hAnsi="Book Antiqua" w:cs="Book Antiqua"/>
          <w:color w:val="000000"/>
        </w:rPr>
        <w:t>Idalsoaga</w:t>
      </w:r>
      <w:r w:rsidR="0072453C">
        <w:rPr>
          <w:rFonts w:ascii="Book Antiqua" w:eastAsia="Book Antiqua" w:hAnsi="Book Antiqua" w:cs="Book Antiqua"/>
          <w:color w:val="000000"/>
        </w:rPr>
        <w:t xml:space="preserve"> F</w:t>
      </w:r>
      <w:r>
        <w:rPr>
          <w:rFonts w:ascii="Book Antiqua" w:eastAsia="Book Antiqua" w:hAnsi="Book Antiqua" w:cs="Book Antiqua"/>
          <w:color w:val="000000"/>
        </w:rPr>
        <w:t>) independently assessed the risk of bias of each included trial with the Appraisal tool for Cross-Sectional Studies (AXIS) checklist for cross-sectional studies, the Institute of Health Economics (IHE) checklist tool for Case Series, the Newcastle-Ottawa Scale (NOS) for case-control studies and cohort studies, and the Cochrane Risk of Bias Tool for randomized trials and quasi-experimental studies.</w:t>
      </w:r>
    </w:p>
    <w:p w14:paraId="45C26C82" w14:textId="77777777" w:rsidR="00A77B3E" w:rsidRDefault="00A77B3E">
      <w:pPr>
        <w:spacing w:line="360" w:lineRule="auto"/>
        <w:jc w:val="both"/>
      </w:pPr>
    </w:p>
    <w:p w14:paraId="4EC99111" w14:textId="77777777" w:rsidR="00A77B3E" w:rsidRPr="0072453C" w:rsidRDefault="005C3C13">
      <w:pPr>
        <w:spacing w:line="360" w:lineRule="auto"/>
        <w:jc w:val="both"/>
        <w:rPr>
          <w:i/>
          <w:iCs/>
        </w:rPr>
      </w:pPr>
      <w:r w:rsidRPr="0072453C">
        <w:rPr>
          <w:rFonts w:ascii="Book Antiqua" w:eastAsia="Book Antiqua" w:hAnsi="Book Antiqua" w:cs="Book Antiqua"/>
          <w:b/>
          <w:bCs/>
          <w:i/>
          <w:iCs/>
          <w:color w:val="000000"/>
        </w:rPr>
        <w:t>Outcomes</w:t>
      </w:r>
    </w:p>
    <w:p w14:paraId="25CF0AD9" w14:textId="6797E17C" w:rsidR="00A77B3E" w:rsidRDefault="005C3C13">
      <w:pPr>
        <w:spacing w:line="360" w:lineRule="auto"/>
        <w:jc w:val="both"/>
      </w:pPr>
      <w:r>
        <w:rPr>
          <w:rFonts w:ascii="Book Antiqua" w:eastAsia="Book Antiqua" w:hAnsi="Book Antiqua" w:cs="Book Antiqua"/>
          <w:color w:val="000000"/>
        </w:rPr>
        <w:t>The outcomes were defined by consensus with an expert pathologist (G</w:t>
      </w:r>
      <w:r w:rsidR="00E03BD1">
        <w:rPr>
          <w:rFonts w:ascii="Book Antiqua" w:eastAsia="Book Antiqua" w:hAnsi="Book Antiqua" w:cs="Book Antiqua"/>
          <w:color w:val="000000"/>
        </w:rPr>
        <w:t>raham R</w:t>
      </w:r>
      <w:r>
        <w:rPr>
          <w:rFonts w:ascii="Book Antiqua" w:eastAsia="Book Antiqua" w:hAnsi="Book Antiqua" w:cs="Book Antiqua"/>
          <w:color w:val="000000"/>
        </w:rPr>
        <w:t xml:space="preserve">). The main outcomes were the frequency of vascular thrombosis (presence or absence), venous outflow obstruction (presence or absence), frequency of portal </w:t>
      </w:r>
      <w:r w:rsidR="0072453C">
        <w:rPr>
          <w:rFonts w:ascii="Book Antiqua" w:eastAsia="Book Antiqua" w:hAnsi="Book Antiqua" w:cs="Book Antiqua"/>
          <w:color w:val="000000"/>
        </w:rPr>
        <w:t>and</w:t>
      </w:r>
      <w:r>
        <w:rPr>
          <w:rFonts w:ascii="Book Antiqua" w:eastAsia="Book Antiqua" w:hAnsi="Book Antiqua" w:cs="Book Antiqua"/>
          <w:color w:val="000000"/>
        </w:rPr>
        <w:t xml:space="preserve"> lobular Inflammation and severity (mild, moderate, or severe), Kupffer cell hyperplasia (presence or absence), steatosis (presence and fat percentage), fibrosis (based on METAVIR score, scores range from F0 to F4, with higher numbers reflecting greater fibrosis), and ductopenia (presence or absence). Secondary outcomes were the frequency phlebosclerosis of the portal vein, herniated portal vein, congestion of hepatic sinuses, and necrosis.</w:t>
      </w:r>
    </w:p>
    <w:p w14:paraId="12E00039" w14:textId="77777777" w:rsidR="00A77B3E" w:rsidRDefault="00A77B3E">
      <w:pPr>
        <w:spacing w:line="360" w:lineRule="auto"/>
        <w:jc w:val="both"/>
      </w:pPr>
    </w:p>
    <w:p w14:paraId="367558EF" w14:textId="77777777" w:rsidR="00A77B3E" w:rsidRPr="0072453C" w:rsidRDefault="005C3C13">
      <w:pPr>
        <w:spacing w:line="360" w:lineRule="auto"/>
        <w:jc w:val="both"/>
        <w:rPr>
          <w:i/>
          <w:iCs/>
        </w:rPr>
      </w:pPr>
      <w:r w:rsidRPr="0072453C">
        <w:rPr>
          <w:rFonts w:ascii="Book Antiqua" w:eastAsia="Book Antiqua" w:hAnsi="Book Antiqua" w:cs="Book Antiqua"/>
          <w:b/>
          <w:bCs/>
          <w:i/>
          <w:iCs/>
          <w:color w:val="000000"/>
        </w:rPr>
        <w:t>Data analysis</w:t>
      </w:r>
    </w:p>
    <w:p w14:paraId="4EE19493" w14:textId="77777777" w:rsidR="00A77B3E" w:rsidRDefault="005C3C13">
      <w:pPr>
        <w:spacing w:line="360" w:lineRule="auto"/>
        <w:jc w:val="both"/>
      </w:pPr>
      <w:r>
        <w:rPr>
          <w:rFonts w:ascii="Book Antiqua" w:eastAsia="Book Antiqua" w:hAnsi="Book Antiqua" w:cs="Book Antiqua"/>
          <w:color w:val="000000"/>
        </w:rPr>
        <w:t>Data were synthesized per each histopathological finding of SARS-CoV-2 infection. We estimated the prevalence of event rates in the form of a proportion (with a confidence interval of 95%). Proportions were pooled using random-effects models. Only those studies with a sample size of at least ten patients were included in the meta-analysis. We used Q statistic and 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to quantify heterogeneity. We planned a subgroup analysis according to the liver sample source (biopsy in alive patients or autopsy), ethnicity, and gender. We planned sensitivity analysis excluding the high risk of bias studies. A small study effect was evaluated with a funnel plot. As such, subgroup and sensitivity analyses should be considered exploratory. All statistical analyses were performed using MedCalc Statistical Software version 19.3.1 (MedCalc Software Ltd, Ostend, Belgium; https://www.medcalc.org; 2020).</w:t>
      </w:r>
    </w:p>
    <w:p w14:paraId="3F0DBDBE" w14:textId="77777777" w:rsidR="00A77B3E" w:rsidRDefault="00A77B3E">
      <w:pPr>
        <w:spacing w:line="360" w:lineRule="auto"/>
        <w:jc w:val="both"/>
      </w:pPr>
    </w:p>
    <w:p w14:paraId="0D3502E9" w14:textId="77777777" w:rsidR="00A77B3E" w:rsidRPr="0072453C" w:rsidRDefault="005C3C13">
      <w:pPr>
        <w:spacing w:line="360" w:lineRule="auto"/>
        <w:jc w:val="both"/>
        <w:rPr>
          <w:i/>
          <w:iCs/>
        </w:rPr>
      </w:pPr>
      <w:r w:rsidRPr="0072453C">
        <w:rPr>
          <w:rFonts w:ascii="Book Antiqua" w:eastAsia="Book Antiqua" w:hAnsi="Book Antiqua" w:cs="Book Antiqua"/>
          <w:b/>
          <w:bCs/>
          <w:i/>
          <w:iCs/>
          <w:color w:val="000000"/>
        </w:rPr>
        <w:t>Grading of evidence</w:t>
      </w:r>
    </w:p>
    <w:p w14:paraId="45BD52CD" w14:textId="77777777" w:rsidR="00A77B3E" w:rsidRDefault="005C3C13">
      <w:pPr>
        <w:spacing w:line="360" w:lineRule="auto"/>
        <w:jc w:val="both"/>
      </w:pPr>
      <w:r>
        <w:rPr>
          <w:rFonts w:ascii="Book Antiqua" w:eastAsia="Book Antiqua" w:hAnsi="Book Antiqua" w:cs="Book Antiqua"/>
          <w:color w:val="000000"/>
        </w:rPr>
        <w:t>The quality of evidence for the outcomes was graded with the GRADE framework.</w:t>
      </w:r>
    </w:p>
    <w:p w14:paraId="0B1E581F" w14:textId="77777777" w:rsidR="00A77B3E" w:rsidRPr="0072453C" w:rsidRDefault="00A77B3E">
      <w:pPr>
        <w:spacing w:line="360" w:lineRule="auto"/>
        <w:jc w:val="both"/>
        <w:rPr>
          <w:i/>
          <w:iCs/>
        </w:rPr>
      </w:pPr>
    </w:p>
    <w:p w14:paraId="262741FA" w14:textId="77777777" w:rsidR="00A77B3E" w:rsidRDefault="005C3C13">
      <w:pPr>
        <w:spacing w:line="360" w:lineRule="auto"/>
        <w:jc w:val="both"/>
      </w:pPr>
      <w:r w:rsidRPr="0072453C">
        <w:rPr>
          <w:rFonts w:ascii="Book Antiqua" w:eastAsia="Book Antiqua" w:hAnsi="Book Antiqua" w:cs="Book Antiqua"/>
          <w:b/>
          <w:bCs/>
          <w:i/>
          <w:iCs/>
          <w:color w:val="000000"/>
        </w:rPr>
        <w:t>Role of the funding source</w:t>
      </w:r>
    </w:p>
    <w:p w14:paraId="4B1AEDCF" w14:textId="77777777" w:rsidR="00A77B3E" w:rsidRDefault="005C3C13">
      <w:pPr>
        <w:spacing w:line="360" w:lineRule="auto"/>
        <w:jc w:val="both"/>
      </w:pPr>
      <w:r>
        <w:rPr>
          <w:rFonts w:ascii="Book Antiqua" w:eastAsia="Book Antiqua" w:hAnsi="Book Antiqua" w:cs="Book Antiqua"/>
          <w:color w:val="000000"/>
        </w:rPr>
        <w:t>The funding source only provided support for the financing of paid manuscripts during the review process. The researchers did not receive payment or other incentives.</w:t>
      </w:r>
    </w:p>
    <w:p w14:paraId="6321FDCE" w14:textId="77777777" w:rsidR="00A77B3E" w:rsidRDefault="00A77B3E">
      <w:pPr>
        <w:spacing w:line="360" w:lineRule="auto"/>
        <w:jc w:val="both"/>
      </w:pPr>
    </w:p>
    <w:p w14:paraId="2A12BF59" w14:textId="77777777" w:rsidR="00A77B3E" w:rsidRDefault="005C3C13">
      <w:pPr>
        <w:spacing w:line="360" w:lineRule="auto"/>
        <w:jc w:val="both"/>
      </w:pPr>
      <w:r>
        <w:rPr>
          <w:rFonts w:ascii="Book Antiqua" w:eastAsia="Book Antiqua" w:hAnsi="Book Antiqua" w:cs="Book Antiqua"/>
          <w:b/>
          <w:caps/>
          <w:color w:val="000000"/>
          <w:u w:val="single"/>
        </w:rPr>
        <w:t>RESULTS</w:t>
      </w:r>
    </w:p>
    <w:p w14:paraId="2C43884F" w14:textId="25AA3914" w:rsidR="00A77B3E" w:rsidRDefault="005C3C13">
      <w:pPr>
        <w:spacing w:line="360" w:lineRule="auto"/>
        <w:jc w:val="both"/>
      </w:pPr>
      <w:r>
        <w:rPr>
          <w:rFonts w:ascii="Book Antiqua" w:eastAsia="Book Antiqua" w:hAnsi="Book Antiqua" w:cs="Book Antiqua"/>
          <w:color w:val="000000"/>
        </w:rPr>
        <w:t>We identified 3060 records and 905 were duplicates. After a screening process against title and abstract, we obtained 58 full-text articles that were assessed for eligibility. We finally selected 18 studies for our systematic review from 7 countries (Austria, Belgium, China, Germany, Italy, Switzerland, and the United States). The selection process is described in Figure 1. All studies were observational in design; no randomized trials were identified. Among the 18 studies, 4 were case reports and 14 case series. The study with the largest sample size included a total of 48 cases</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Fifteen studies reported the proportion of each finding and the other three studies presented the pooled data without the prevalence of each finding. All the studies included autopsy data (</w:t>
      </w:r>
      <w:r w:rsidRPr="0072453C">
        <w:rPr>
          <w:rFonts w:ascii="Book Antiqua" w:eastAsia="Book Antiqua" w:hAnsi="Book Antiqua" w:cs="Book Antiqua"/>
          <w:i/>
          <w:iCs/>
          <w:color w:val="000000"/>
        </w:rPr>
        <w:t>i.e.</w:t>
      </w:r>
      <w:r>
        <w:rPr>
          <w:rFonts w:ascii="Book Antiqua" w:eastAsia="Book Antiqua" w:hAnsi="Book Antiqua" w:cs="Book Antiqua"/>
          <w:color w:val="000000"/>
        </w:rPr>
        <w:t>, no liver biopsies from living patients were identified). The risk of bias assessment was considered high.</w:t>
      </w:r>
    </w:p>
    <w:p w14:paraId="2E7C9C47" w14:textId="39776D45" w:rsidR="00A77B3E" w:rsidRDefault="005C3C13" w:rsidP="0072453C">
      <w:pPr>
        <w:spacing w:line="360" w:lineRule="auto"/>
        <w:ind w:firstLineChars="100" w:firstLine="240"/>
        <w:jc w:val="both"/>
      </w:pPr>
      <w:r>
        <w:rPr>
          <w:rFonts w:ascii="Book Antiqua" w:eastAsia="Book Antiqua" w:hAnsi="Book Antiqua" w:cs="Book Antiqua"/>
          <w:color w:val="000000"/>
        </w:rPr>
        <w:t xml:space="preserve">The pooled studies included a total of 167 patients. All the patients were over 15 years old and 67.2% were male. The grade of evidence was considered very low since all the information emerged from case reports and case series. For the meta-analysis of each finding, we included only five studies with at least ten patients. There was a maximum of 116 cases included in each meta-analysis. We did not perform subgroup analyses due to the low number of studies included. </w:t>
      </w:r>
      <w:r w:rsidRPr="00A4378B">
        <w:rPr>
          <w:rFonts w:ascii="Book Antiqua" w:eastAsia="Book Antiqua" w:hAnsi="Book Antiqua" w:cs="Book Antiqua"/>
          <w:color w:val="000000"/>
        </w:rPr>
        <w:t>Table 1</w:t>
      </w:r>
      <w:r w:rsidR="00E17B18">
        <w:rPr>
          <w:rFonts w:ascii="Book Antiqua" w:hAnsi="Book Antiqua" w:cs="Book Antiqua" w:hint="eastAsia"/>
          <w:color w:val="000000"/>
          <w:lang w:eastAsia="zh-CN"/>
        </w:rPr>
        <w:t xml:space="preserve"> </w:t>
      </w:r>
      <w:r w:rsidR="004D1BAC" w:rsidRPr="00A4378B">
        <w:rPr>
          <w:rFonts w:ascii="Book Antiqua" w:eastAsia="Book Antiqua" w:hAnsi="Book Antiqua" w:cs="Book Antiqua"/>
          <w:color w:val="000000"/>
          <w:vertAlign w:val="superscript"/>
        </w:rPr>
        <w:t>[17-</w:t>
      </w:r>
      <w:r w:rsidR="00817A2C">
        <w:rPr>
          <w:rFonts w:ascii="Book Antiqua" w:eastAsia="Book Antiqua" w:hAnsi="Book Antiqua" w:cs="Book Antiqua"/>
          <w:color w:val="000000"/>
          <w:vertAlign w:val="superscript"/>
        </w:rPr>
        <w:t>30</w:t>
      </w:r>
      <w:r w:rsidR="004D1BAC" w:rsidRPr="00A4378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summarizes the main baseline characteristics of each study. The main findings described in the selected studies were hepatic steatosis, congestion of hepatic sinuses, vascular thrombosis, fibrosis, Kupffer cell proliferation or hyperplasia, portal inflammation, lobular inflammation, venous outflow obstruction, phlebosclerosis of the portal vein, herniated portal vein, periportal abnormal vessels, hemophagocytosis, and necrosis. We did not find ductopenia in the selected studies. Figure 2 summarizes the major liver histological features. A detailed assessment of each feature is provided below. Funnel plot of the studies included in each meta-analysis are provided in </w:t>
      </w:r>
      <w:r w:rsidR="0072453C">
        <w:rPr>
          <w:rFonts w:ascii="Book Antiqua" w:eastAsia="Book Antiqua" w:hAnsi="Book Antiqua" w:cs="Book Antiqua"/>
          <w:color w:val="000000"/>
        </w:rPr>
        <w:t xml:space="preserve">Supplementary </w:t>
      </w:r>
      <w:r>
        <w:rPr>
          <w:rFonts w:ascii="Book Antiqua" w:eastAsia="Book Antiqua" w:hAnsi="Book Antiqua" w:cs="Book Antiqua"/>
          <w:color w:val="000000"/>
        </w:rPr>
        <w:t>Figure</w:t>
      </w:r>
      <w:r w:rsidR="0072453C">
        <w:rPr>
          <w:rFonts w:ascii="Book Antiqua" w:eastAsia="Book Antiqua" w:hAnsi="Book Antiqua" w:cs="Book Antiqua"/>
          <w:color w:val="000000"/>
        </w:rPr>
        <w:t xml:space="preserve"> </w:t>
      </w:r>
      <w:r>
        <w:rPr>
          <w:rFonts w:ascii="Book Antiqua" w:eastAsia="Book Antiqua" w:hAnsi="Book Antiqua" w:cs="Book Antiqua"/>
          <w:color w:val="000000"/>
        </w:rPr>
        <w:t>1 (Supplementary material).</w:t>
      </w:r>
    </w:p>
    <w:p w14:paraId="7D840E0E" w14:textId="77777777" w:rsidR="00A77B3E" w:rsidRDefault="00A77B3E">
      <w:pPr>
        <w:spacing w:line="360" w:lineRule="auto"/>
        <w:jc w:val="both"/>
      </w:pPr>
    </w:p>
    <w:p w14:paraId="4E1C2D1D" w14:textId="77777777" w:rsidR="00A77B3E" w:rsidRPr="0090055E" w:rsidRDefault="005C3C13">
      <w:pPr>
        <w:spacing w:line="360" w:lineRule="auto"/>
        <w:jc w:val="both"/>
        <w:rPr>
          <w:b/>
          <w:bCs/>
        </w:rPr>
      </w:pPr>
      <w:r w:rsidRPr="0090055E">
        <w:rPr>
          <w:rFonts w:ascii="Book Antiqua" w:eastAsia="Book Antiqua" w:hAnsi="Book Antiqua" w:cs="Book Antiqua"/>
          <w:b/>
          <w:bCs/>
          <w:i/>
          <w:iCs/>
          <w:color w:val="000000"/>
        </w:rPr>
        <w:t>Hepatic steatosis</w:t>
      </w:r>
    </w:p>
    <w:p w14:paraId="352110E3" w14:textId="225BBF95" w:rsidR="00A77B3E" w:rsidRDefault="005C3C13">
      <w:pPr>
        <w:spacing w:line="360" w:lineRule="auto"/>
        <w:jc w:val="both"/>
      </w:pPr>
      <w:r>
        <w:rPr>
          <w:rFonts w:ascii="Book Antiqua" w:eastAsia="Book Antiqua" w:hAnsi="Book Antiqua" w:cs="Book Antiqua"/>
          <w:color w:val="000000"/>
        </w:rPr>
        <w:t xml:space="preserve">A total of 78 from 139 (65.1%) patients demonstrated hepatic steatosis. Lipid droplet size was described in only 7 cases (9%): 4 macrovesicular, 1 microvesicular, and 2 mixed (macrovesicular and microvesicular). The studies of Lax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sidR="00D46CFB">
        <w:rPr>
          <w:rFonts w:ascii="Book Antiqua" w:eastAsia="Book Antiqua" w:hAnsi="Book Antiqua" w:cs="Book Antiqua"/>
          <w:color w:val="000000"/>
          <w:szCs w:val="30"/>
          <w:vertAlign w:val="superscript"/>
        </w:rPr>
        <w:t>27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and Prilutskiy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sidR="00D46CFB">
        <w:rPr>
          <w:rFonts w:ascii="Book Antiqua" w:eastAsia="Book Antiqua" w:hAnsi="Book Antiqua" w:cs="Book Antiqua"/>
          <w:color w:val="000000"/>
          <w:szCs w:val="30"/>
          <w:vertAlign w:val="superscript"/>
        </w:rPr>
        <w:t>28</w:t>
      </w:r>
      <w:r>
        <w:rPr>
          <w:rFonts w:ascii="Book Antiqua" w:eastAsia="Book Antiqua" w:hAnsi="Book Antiqua" w:cs="Book Antiqua"/>
          <w:color w:val="000000"/>
          <w:szCs w:val="30"/>
          <w:vertAlign w:val="superscript"/>
        </w:rPr>
        <w:t>] </w:t>
      </w:r>
      <w:r>
        <w:rPr>
          <w:rFonts w:ascii="Book Antiqua" w:eastAsia="Book Antiqua" w:hAnsi="Book Antiqua" w:cs="Book Antiqua"/>
          <w:color w:val="000000"/>
        </w:rPr>
        <w:t xml:space="preserve">also described the presence of hepatic steatosis without the proportion of this finding. When meta-analyzed, data showed a pooled prevalence of hepatic steatosis of 55.1% </w:t>
      </w:r>
      <w:r w:rsidR="006340ED">
        <w:rPr>
          <w:rFonts w:ascii="Book Antiqua" w:eastAsia="Book Antiqua" w:hAnsi="Book Antiqua" w:cs="Book Antiqua"/>
          <w:color w:val="000000"/>
        </w:rPr>
        <w:t xml:space="preserve">[5 </w:t>
      </w:r>
      <w:r>
        <w:rPr>
          <w:rFonts w:ascii="Book Antiqua" w:eastAsia="Book Antiqua" w:hAnsi="Book Antiqua" w:cs="Book Antiqua"/>
          <w:color w:val="000000"/>
        </w:rPr>
        <w:t>studies, 116 patients; 95%</w:t>
      </w:r>
      <w:r w:rsidR="006340ED">
        <w:rPr>
          <w:rFonts w:ascii="Book Antiqua" w:eastAsia="Book Antiqua" w:hAnsi="Book Antiqua" w:cs="Book Antiqua"/>
          <w:color w:val="000000"/>
        </w:rPr>
        <w:t xml:space="preserve"> </w:t>
      </w:r>
      <w:r w:rsidR="006340ED" w:rsidRPr="00616F4C">
        <w:rPr>
          <w:rFonts w:ascii="Book Antiqua" w:eastAsia="Malgun Gothic" w:hAnsi="Book Antiqua"/>
        </w:rPr>
        <w:t>confidence interval</w:t>
      </w:r>
      <w:r w:rsidR="006340ED">
        <w:rPr>
          <w:rFonts w:ascii="Book Antiqua" w:eastAsia="Book Antiqua" w:hAnsi="Book Antiqua" w:cs="Book Antiqua"/>
          <w:color w:val="000000"/>
        </w:rPr>
        <w:t xml:space="preserve"> (</w:t>
      </w:r>
      <w:r>
        <w:rPr>
          <w:rFonts w:ascii="Book Antiqua" w:eastAsia="Book Antiqua" w:hAnsi="Book Antiqua" w:cs="Book Antiqua"/>
          <w:color w:val="000000"/>
        </w:rPr>
        <w:t>CI</w:t>
      </w:r>
      <w:r w:rsidR="006340ED">
        <w:rPr>
          <w:rFonts w:ascii="Book Antiqua" w:eastAsia="Book Antiqua" w:hAnsi="Book Antiqua" w:cs="Book Antiqua"/>
          <w:color w:val="000000"/>
        </w:rPr>
        <w:t>)</w:t>
      </w:r>
      <w:r>
        <w:rPr>
          <w:rFonts w:ascii="Book Antiqua" w:eastAsia="Book Antiqua" w:hAnsi="Book Antiqua" w:cs="Book Antiqua"/>
          <w:color w:val="000000"/>
        </w:rPr>
        <w:t>: 46.2-63.8</w:t>
      </w:r>
      <w:r w:rsidR="006340ED">
        <w:rPr>
          <w:rFonts w:ascii="Book Antiqua" w:eastAsia="Book Antiqua" w:hAnsi="Book Antiqua" w:cs="Book Antiqua"/>
          <w:color w:val="000000"/>
        </w:rPr>
        <w:t xml:space="preserve">], </w:t>
      </w:r>
      <w:r>
        <w:rPr>
          <w:rFonts w:ascii="Book Antiqua" w:eastAsia="Book Antiqua" w:hAnsi="Book Antiqua" w:cs="Book Antiqua"/>
          <w:color w:val="000000"/>
        </w:rPr>
        <w:t>without significant heterogeneity among the studies (</w:t>
      </w:r>
      <w:r>
        <w:rPr>
          <w:rFonts w:ascii="Book Antiqua" w:eastAsia="Book Antiqua" w:hAnsi="Book Antiqua" w:cs="Book Antiqua"/>
          <w:i/>
          <w:iCs/>
          <w:color w:val="000000"/>
        </w:rPr>
        <w:t>P</w:t>
      </w:r>
      <w:r>
        <w:rPr>
          <w:rFonts w:ascii="Book Antiqua" w:eastAsia="Book Antiqua" w:hAnsi="Book Antiqua" w:cs="Book Antiqua"/>
          <w:color w:val="000000"/>
        </w:rPr>
        <w:t xml:space="preserve"> = 0.411; I</w:t>
      </w:r>
      <w:r>
        <w:rPr>
          <w:rFonts w:ascii="Book Antiqua" w:eastAsia="Book Antiqua" w:hAnsi="Book Antiqua" w:cs="Book Antiqua"/>
          <w:color w:val="000000"/>
          <w:szCs w:val="30"/>
          <w:vertAlign w:val="superscript"/>
        </w:rPr>
        <w:t>2</w:t>
      </w:r>
      <w:r w:rsidR="006340ED" w:rsidRPr="006340E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6340ED">
        <w:rPr>
          <w:rFonts w:ascii="Book Antiqua" w:eastAsia="Book Antiqua" w:hAnsi="Book Antiqua" w:cs="Book Antiqua"/>
          <w:color w:val="000000"/>
        </w:rPr>
        <w:t xml:space="preserve"> </w:t>
      </w:r>
      <w:r>
        <w:rPr>
          <w:rFonts w:ascii="Book Antiqua" w:eastAsia="Book Antiqua" w:hAnsi="Book Antiqua" w:cs="Book Antiqua"/>
          <w:color w:val="000000"/>
        </w:rPr>
        <w:t>0%) (Figure 3A).</w:t>
      </w:r>
    </w:p>
    <w:p w14:paraId="5091B5F2" w14:textId="77777777" w:rsidR="00A77B3E" w:rsidRDefault="00A77B3E">
      <w:pPr>
        <w:spacing w:line="360" w:lineRule="auto"/>
        <w:jc w:val="both"/>
      </w:pPr>
    </w:p>
    <w:p w14:paraId="00FDEAD2" w14:textId="77777777" w:rsidR="00A77B3E" w:rsidRPr="006340ED" w:rsidRDefault="005C3C13">
      <w:pPr>
        <w:spacing w:line="360" w:lineRule="auto"/>
        <w:jc w:val="both"/>
        <w:rPr>
          <w:b/>
          <w:bCs/>
        </w:rPr>
      </w:pPr>
      <w:r w:rsidRPr="006340ED">
        <w:rPr>
          <w:rFonts w:ascii="Book Antiqua" w:eastAsia="Book Antiqua" w:hAnsi="Book Antiqua" w:cs="Book Antiqua"/>
          <w:b/>
          <w:bCs/>
          <w:i/>
          <w:iCs/>
          <w:color w:val="000000"/>
        </w:rPr>
        <w:t>Congestion of hepatic sinuses and necrosis</w:t>
      </w:r>
    </w:p>
    <w:p w14:paraId="5BE487CE" w14:textId="7C051F35" w:rsidR="00A77B3E" w:rsidRDefault="005C3C13">
      <w:pPr>
        <w:spacing w:line="360" w:lineRule="auto"/>
        <w:jc w:val="both"/>
      </w:pPr>
      <w:r>
        <w:rPr>
          <w:rFonts w:ascii="Book Antiqua" w:eastAsia="Book Antiqua" w:hAnsi="Book Antiqua" w:cs="Book Antiqua"/>
          <w:color w:val="000000"/>
        </w:rPr>
        <w:t xml:space="preserve">A total of 28 from 163 cases (17.2%) reported congestion of hepatic sinuses. Additionally, the study of Prilutskiy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sidR="00D46CFB">
        <w:rPr>
          <w:rFonts w:ascii="Book Antiqua" w:eastAsia="Book Antiqua" w:hAnsi="Book Antiqua" w:cs="Book Antiqua"/>
          <w:color w:val="000000"/>
          <w:szCs w:val="30"/>
          <w:vertAlign w:val="superscript"/>
        </w:rPr>
        <w:t>28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described the presence of mild centrilobular congestion without the frequency of this finding. In the meta-analysis, the pooled prevalence of congestion of hepatic sinuses was 34.7% (</w:t>
      </w:r>
      <w:r w:rsidR="006340ED">
        <w:rPr>
          <w:rFonts w:ascii="Book Antiqua" w:eastAsia="Book Antiqua" w:hAnsi="Book Antiqua" w:cs="Book Antiqua"/>
          <w:color w:val="000000"/>
        </w:rPr>
        <w:t xml:space="preserve">5 </w:t>
      </w:r>
      <w:r>
        <w:rPr>
          <w:rFonts w:ascii="Book Antiqua" w:eastAsia="Book Antiqua" w:hAnsi="Book Antiqua" w:cs="Book Antiqua"/>
          <w:color w:val="000000"/>
        </w:rPr>
        <w:t>studies, 79 patients; 95%CI: 7.9-68.4) (Figure 3B). The heterogeneity was significant among studies (</w:t>
      </w:r>
      <w:r w:rsidR="006340ED" w:rsidRPr="006340ED">
        <w:rPr>
          <w:rFonts w:ascii="Book Antiqua" w:eastAsia="Book Antiqua" w:hAnsi="Book Antiqua" w:cs="Book Antiqua"/>
          <w:i/>
          <w:iCs/>
          <w:color w:val="000000"/>
        </w:rPr>
        <w:t>P</w:t>
      </w:r>
      <w:r w:rsidR="006340ED">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6340ED">
        <w:rPr>
          <w:rFonts w:ascii="Book Antiqua" w:eastAsia="Book Antiqua" w:hAnsi="Book Antiqua" w:cs="Book Antiqua"/>
          <w:color w:val="000000"/>
        </w:rPr>
        <w:t xml:space="preserve"> </w:t>
      </w:r>
      <w:r>
        <w:rPr>
          <w:rFonts w:ascii="Book Antiqua" w:eastAsia="Book Antiqua" w:hAnsi="Book Antiqua" w:cs="Book Antiqua"/>
          <w:color w:val="000000"/>
        </w:rPr>
        <w:t>0.001; I</w:t>
      </w:r>
      <w:r>
        <w:rPr>
          <w:rFonts w:ascii="Book Antiqua" w:eastAsia="Book Antiqua" w:hAnsi="Book Antiqua" w:cs="Book Antiqua"/>
          <w:color w:val="000000"/>
          <w:szCs w:val="30"/>
          <w:vertAlign w:val="superscript"/>
        </w:rPr>
        <w:t>2</w:t>
      </w:r>
      <w:r w:rsidR="006340E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6340ED">
        <w:rPr>
          <w:rFonts w:ascii="Book Antiqua" w:eastAsia="Book Antiqua" w:hAnsi="Book Antiqua" w:cs="Book Antiqua"/>
          <w:color w:val="000000"/>
        </w:rPr>
        <w:t xml:space="preserve"> </w:t>
      </w:r>
      <w:r>
        <w:rPr>
          <w:rFonts w:ascii="Book Antiqua" w:eastAsia="Book Antiqua" w:hAnsi="Book Antiqua" w:cs="Book Antiqua"/>
          <w:color w:val="000000"/>
        </w:rPr>
        <w:t xml:space="preserve">90.2%). Regarding necrosis, 14 of 91 patients (15.4%) presented this finding. Necrosis was also described without a proportion in the study of Yao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sidR="004D1BAC">
        <w:rPr>
          <w:rFonts w:ascii="Book Antiqua" w:eastAsia="Book Antiqua" w:hAnsi="Book Antiqua" w:cs="Book Antiqua"/>
          <w:color w:val="000000"/>
          <w:szCs w:val="30"/>
          <w:vertAlign w:val="superscript"/>
        </w:rPr>
        <w:t>30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We could not perform a meta-analysis of this finding due to the low number of patients and studies that adequately described the presence or absence of necrosis.</w:t>
      </w:r>
    </w:p>
    <w:p w14:paraId="693AD984" w14:textId="77777777" w:rsidR="00A77B3E" w:rsidRDefault="00A77B3E">
      <w:pPr>
        <w:spacing w:line="360" w:lineRule="auto"/>
        <w:jc w:val="both"/>
      </w:pPr>
    </w:p>
    <w:p w14:paraId="11B77FDD" w14:textId="77777777" w:rsidR="00A77B3E" w:rsidRPr="006340ED" w:rsidRDefault="005C3C13">
      <w:pPr>
        <w:spacing w:line="360" w:lineRule="auto"/>
        <w:jc w:val="both"/>
        <w:rPr>
          <w:b/>
          <w:bCs/>
        </w:rPr>
      </w:pPr>
      <w:r w:rsidRPr="006340ED">
        <w:rPr>
          <w:rFonts w:ascii="Book Antiqua" w:eastAsia="Book Antiqua" w:hAnsi="Book Antiqua" w:cs="Book Antiqua"/>
          <w:b/>
          <w:bCs/>
          <w:i/>
          <w:iCs/>
          <w:color w:val="000000"/>
        </w:rPr>
        <w:t>Vascular thrombosis and other vascular alterations</w:t>
      </w:r>
    </w:p>
    <w:p w14:paraId="6951BE07" w14:textId="5409B976" w:rsidR="00A77B3E" w:rsidRDefault="005C3C13">
      <w:pPr>
        <w:spacing w:line="360" w:lineRule="auto"/>
        <w:jc w:val="both"/>
      </w:pPr>
      <w:r>
        <w:rPr>
          <w:rFonts w:ascii="Book Antiqua" w:eastAsia="Book Antiqua" w:hAnsi="Book Antiqua" w:cs="Book Antiqua"/>
          <w:color w:val="000000"/>
        </w:rPr>
        <w:t>A total of 63 from 139 (45.3%) cases presented vascular thrombosis. The type of vessel thrombosed was not specified in the studies. When meta-analyzed, data showed a pooled prevalence of vascular thrombosis of 29.4% (</w:t>
      </w:r>
      <w:r w:rsidR="006340ED">
        <w:rPr>
          <w:rFonts w:ascii="Book Antiqua" w:eastAsia="Book Antiqua" w:hAnsi="Book Antiqua" w:cs="Book Antiqua"/>
          <w:color w:val="000000"/>
        </w:rPr>
        <w:t xml:space="preserve">5 </w:t>
      </w:r>
      <w:r>
        <w:rPr>
          <w:rFonts w:ascii="Book Antiqua" w:eastAsia="Book Antiqua" w:hAnsi="Book Antiqua" w:cs="Book Antiqua"/>
          <w:color w:val="000000"/>
        </w:rPr>
        <w:t>studies, 116 patients; 95%CI: 0.4-87.2). The heterogeneity was significant among studies (</w:t>
      </w:r>
      <w:r w:rsidR="006340ED" w:rsidRPr="006340ED">
        <w:rPr>
          <w:rFonts w:ascii="Book Antiqua" w:eastAsia="Book Antiqua" w:hAnsi="Book Antiqua" w:cs="Book Antiqua"/>
          <w:i/>
          <w:iCs/>
          <w:color w:val="000000"/>
        </w:rPr>
        <w:t>P</w:t>
      </w:r>
      <w:r w:rsidR="006340ED">
        <w:rPr>
          <w:rFonts w:ascii="Book Antiqua" w:eastAsia="Book Antiqua" w:hAnsi="Book Antiqua" w:cs="Book Antiqua"/>
          <w:i/>
          <w:iCs/>
          <w:color w:val="000000"/>
        </w:rPr>
        <w:t xml:space="preserve"> </w:t>
      </w:r>
      <w:r w:rsidR="006340ED">
        <w:rPr>
          <w:rFonts w:ascii="Book Antiqua" w:eastAsia="Book Antiqua" w:hAnsi="Book Antiqua" w:cs="Book Antiqua"/>
          <w:color w:val="000000"/>
        </w:rPr>
        <w:t xml:space="preserve">&lt; </w:t>
      </w:r>
      <w:r>
        <w:rPr>
          <w:rFonts w:ascii="Book Antiqua" w:eastAsia="Book Antiqua" w:hAnsi="Book Antiqua" w:cs="Book Antiqua"/>
          <w:color w:val="000000"/>
        </w:rPr>
        <w:t xml:space="preserve">0.001; </w:t>
      </w:r>
      <w:r w:rsidRPr="00F67947">
        <w:rPr>
          <w:rFonts w:ascii="Book Antiqua" w:eastAsia="Book Antiqua" w:hAnsi="Book Antiqua" w:cs="Book Antiqua"/>
          <w:i/>
          <w:color w:val="000000"/>
        </w:rPr>
        <w:t>I</w:t>
      </w:r>
      <w:r>
        <w:rPr>
          <w:rFonts w:ascii="Book Antiqua" w:eastAsia="Book Antiqua" w:hAnsi="Book Antiqua" w:cs="Book Antiqua"/>
          <w:color w:val="000000"/>
          <w:szCs w:val="30"/>
          <w:vertAlign w:val="superscript"/>
        </w:rPr>
        <w:t>2</w:t>
      </w:r>
      <w:r w:rsidR="006340E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6340ED">
        <w:rPr>
          <w:rFonts w:ascii="Book Antiqua" w:eastAsia="Book Antiqua" w:hAnsi="Book Antiqua" w:cs="Book Antiqua"/>
          <w:color w:val="000000"/>
        </w:rPr>
        <w:t xml:space="preserve"> </w:t>
      </w:r>
      <w:r>
        <w:rPr>
          <w:rFonts w:ascii="Book Antiqua" w:eastAsia="Book Antiqua" w:hAnsi="Book Antiqua" w:cs="Book Antiqua"/>
          <w:color w:val="000000"/>
        </w:rPr>
        <w:t>97.7%) (Figure 3C).</w:t>
      </w:r>
    </w:p>
    <w:p w14:paraId="50CDC313" w14:textId="141CD6E3" w:rsidR="00A77B3E" w:rsidRDefault="005C3C13" w:rsidP="006340ED">
      <w:pPr>
        <w:spacing w:line="360" w:lineRule="auto"/>
        <w:ind w:firstLineChars="100" w:firstLine="240"/>
        <w:jc w:val="both"/>
      </w:pPr>
      <w:r>
        <w:rPr>
          <w:rFonts w:ascii="Book Antiqua" w:eastAsia="Book Antiqua" w:hAnsi="Book Antiqua" w:cs="Book Antiqua"/>
          <w:color w:val="000000"/>
        </w:rPr>
        <w:t xml:space="preserve">Other vascular alterations were identified in the studies. The presence of venous outflow obstruction was described exclusively by Bryce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sidR="004D1BAC">
        <w:rPr>
          <w:rFonts w:ascii="Book Antiqua" w:eastAsia="Book Antiqua" w:hAnsi="Book Antiqua" w:cs="Book Antiqua"/>
          <w:color w:val="000000"/>
          <w:szCs w:val="30"/>
          <w:vertAlign w:val="superscript"/>
        </w:rPr>
        <w:t>29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with a prevalence of 36.4% (8 of 22 cases), and 5 of these cases (62.5%) were acute. The study by Sonzogni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reported additional vascular alterations in a serial of 48 cases: 29 patients demonstrated phlebosclerosis of the portal vein (60.4%), 36 had a herniated portal vein (75%), and 48 (100%) had abnormal periportal vessels (27 focal, 18 multifocal, and 3 diffuse).</w:t>
      </w:r>
    </w:p>
    <w:p w14:paraId="00C1A29F" w14:textId="77777777" w:rsidR="00A77B3E" w:rsidRDefault="00A77B3E">
      <w:pPr>
        <w:spacing w:line="360" w:lineRule="auto"/>
        <w:jc w:val="both"/>
      </w:pPr>
    </w:p>
    <w:p w14:paraId="1F8864C3" w14:textId="77777777" w:rsidR="00A77B3E" w:rsidRPr="006340ED" w:rsidRDefault="005C3C13">
      <w:pPr>
        <w:spacing w:line="360" w:lineRule="auto"/>
        <w:jc w:val="both"/>
        <w:rPr>
          <w:b/>
          <w:bCs/>
        </w:rPr>
      </w:pPr>
      <w:r w:rsidRPr="006340ED">
        <w:rPr>
          <w:rFonts w:ascii="Book Antiqua" w:eastAsia="Book Antiqua" w:hAnsi="Book Antiqua" w:cs="Book Antiqua"/>
          <w:b/>
          <w:bCs/>
          <w:i/>
          <w:iCs/>
          <w:color w:val="000000"/>
        </w:rPr>
        <w:t>Hepatic fibrosis</w:t>
      </w:r>
    </w:p>
    <w:p w14:paraId="44236B22" w14:textId="5B4A9C43" w:rsidR="00A77B3E" w:rsidRDefault="005C3C13">
      <w:pPr>
        <w:spacing w:line="360" w:lineRule="auto"/>
        <w:jc w:val="both"/>
      </w:pPr>
      <w:r>
        <w:rPr>
          <w:rFonts w:ascii="Book Antiqua" w:eastAsia="Book Antiqua" w:hAnsi="Book Antiqua" w:cs="Book Antiqua"/>
          <w:color w:val="000000"/>
        </w:rPr>
        <w:t xml:space="preserve">A total of 51 from 139 (36.7%) patients had fibrosis. The grade of fibrosis was only described in 7 cases: 1 case was graded as F3 (METAVIR scale) and 6 cases were graded as F4. The study by Lax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sidR="00D46CFB">
        <w:rPr>
          <w:rFonts w:ascii="Book Antiqua" w:eastAsia="Book Antiqua" w:hAnsi="Book Antiqua" w:cs="Book Antiqua"/>
          <w:color w:val="000000"/>
          <w:szCs w:val="30"/>
          <w:vertAlign w:val="superscript"/>
        </w:rPr>
        <w:t>27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and Prilutskiy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sidR="00D46CFB">
        <w:rPr>
          <w:rFonts w:ascii="Book Antiqua" w:eastAsia="Book Antiqua" w:hAnsi="Book Antiqua" w:cs="Book Antiqua"/>
          <w:color w:val="000000"/>
          <w:szCs w:val="30"/>
          <w:vertAlign w:val="superscript"/>
        </w:rPr>
        <w:t>28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also described the presence of fibrosis without the proportion of this finding. In the meta-analysis, the pooled prevalence of fibrosis was 20.5% (</w:t>
      </w:r>
      <w:r w:rsidR="006340ED">
        <w:rPr>
          <w:rFonts w:ascii="Book Antiqua" w:eastAsia="Book Antiqua" w:hAnsi="Book Antiqua" w:cs="Book Antiqua"/>
          <w:color w:val="000000"/>
        </w:rPr>
        <w:t xml:space="preserve">5 </w:t>
      </w:r>
      <w:r>
        <w:rPr>
          <w:rFonts w:ascii="Book Antiqua" w:eastAsia="Book Antiqua" w:hAnsi="Book Antiqua" w:cs="Book Antiqua"/>
          <w:color w:val="000000"/>
        </w:rPr>
        <w:t>studies, 116 patients; 95%CI: 0.6-57.9), with significant heterogeneity among the studies (</w:t>
      </w:r>
      <w:r w:rsidR="006340ED" w:rsidRPr="006340ED">
        <w:rPr>
          <w:rFonts w:ascii="Book Antiqua" w:eastAsia="Book Antiqua" w:hAnsi="Book Antiqua" w:cs="Book Antiqua"/>
          <w:i/>
          <w:iCs/>
          <w:color w:val="000000"/>
        </w:rPr>
        <w:t>P</w:t>
      </w:r>
      <w:r w:rsidR="006340ED">
        <w:rPr>
          <w:rFonts w:ascii="Book Antiqua" w:eastAsia="Book Antiqua" w:hAnsi="Book Antiqua" w:cs="Book Antiqua"/>
          <w:i/>
          <w:iCs/>
          <w:color w:val="000000"/>
        </w:rPr>
        <w:t xml:space="preserve"> </w:t>
      </w:r>
      <w:r w:rsidR="006340ED">
        <w:rPr>
          <w:rFonts w:ascii="Book Antiqua" w:eastAsia="Book Antiqua" w:hAnsi="Book Antiqua" w:cs="Book Antiqua"/>
          <w:color w:val="000000"/>
        </w:rPr>
        <w:t xml:space="preserve">&lt; </w:t>
      </w:r>
      <w:r>
        <w:rPr>
          <w:rFonts w:ascii="Book Antiqua" w:eastAsia="Book Antiqua" w:hAnsi="Book Antiqua" w:cs="Book Antiqua"/>
          <w:color w:val="000000"/>
        </w:rPr>
        <w:t>0.001; I</w:t>
      </w:r>
      <w:r>
        <w:rPr>
          <w:rFonts w:ascii="Book Antiqua" w:eastAsia="Book Antiqua" w:hAnsi="Book Antiqua" w:cs="Book Antiqua"/>
          <w:color w:val="000000"/>
          <w:szCs w:val="30"/>
          <w:vertAlign w:val="superscript"/>
        </w:rPr>
        <w:t>2</w:t>
      </w:r>
      <w:r w:rsidR="006340E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6340ED">
        <w:rPr>
          <w:rFonts w:ascii="Book Antiqua" w:eastAsia="Book Antiqua" w:hAnsi="Book Antiqua" w:cs="Book Antiqua"/>
          <w:color w:val="000000"/>
        </w:rPr>
        <w:t xml:space="preserve"> </w:t>
      </w:r>
      <w:r>
        <w:rPr>
          <w:rFonts w:ascii="Book Antiqua" w:eastAsia="Book Antiqua" w:hAnsi="Book Antiqua" w:cs="Book Antiqua"/>
          <w:color w:val="000000"/>
        </w:rPr>
        <w:t>94.5%) (Figure 3D).</w:t>
      </w:r>
    </w:p>
    <w:p w14:paraId="1DD1BF6F" w14:textId="77777777" w:rsidR="00A77B3E" w:rsidRDefault="00A77B3E">
      <w:pPr>
        <w:spacing w:line="360" w:lineRule="auto"/>
        <w:jc w:val="both"/>
      </w:pPr>
    </w:p>
    <w:p w14:paraId="12A9D520" w14:textId="77777777" w:rsidR="00A77B3E" w:rsidRPr="006340ED" w:rsidRDefault="005C3C13">
      <w:pPr>
        <w:spacing w:line="360" w:lineRule="auto"/>
        <w:jc w:val="both"/>
        <w:rPr>
          <w:b/>
          <w:bCs/>
        </w:rPr>
      </w:pPr>
      <w:r w:rsidRPr="006340ED">
        <w:rPr>
          <w:rFonts w:ascii="Book Antiqua" w:eastAsia="Book Antiqua" w:hAnsi="Book Antiqua" w:cs="Book Antiqua"/>
          <w:b/>
          <w:bCs/>
          <w:i/>
          <w:iCs/>
          <w:color w:val="000000"/>
        </w:rPr>
        <w:t>Kupffer cell proliferation or hyperplasia</w:t>
      </w:r>
    </w:p>
    <w:p w14:paraId="00715981" w14:textId="5309D2D1" w:rsidR="00A77B3E" w:rsidRDefault="005C3C13">
      <w:pPr>
        <w:spacing w:line="360" w:lineRule="auto"/>
        <w:jc w:val="both"/>
      </w:pPr>
      <w:r>
        <w:rPr>
          <w:rFonts w:ascii="Book Antiqua" w:eastAsia="Book Antiqua" w:hAnsi="Book Antiqua" w:cs="Book Antiqua"/>
          <w:color w:val="000000"/>
        </w:rPr>
        <w:t xml:space="preserve">Only 12 of 115 cases (10.4%) reported Kupffer cell proliferation or hyperplasia. The studies by Sonzogni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and Prilutskiy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sidR="00D46CFB">
        <w:rPr>
          <w:rFonts w:ascii="Book Antiqua" w:eastAsia="Book Antiqua" w:hAnsi="Book Antiqua" w:cs="Book Antiqua"/>
          <w:color w:val="000000"/>
          <w:szCs w:val="30"/>
          <w:vertAlign w:val="superscript"/>
        </w:rPr>
        <w:t>28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also described the presence of this phenomenon, but without a prevalence. Additionally, the study of Bryce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sidR="00D46CFB">
        <w:rPr>
          <w:rFonts w:ascii="Book Antiqua" w:eastAsia="Book Antiqua" w:hAnsi="Book Antiqua" w:cs="Book Antiqua"/>
          <w:color w:val="000000"/>
          <w:szCs w:val="30"/>
          <w:vertAlign w:val="superscript"/>
        </w:rPr>
        <w:t>30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described the presence of hemophagocytosis. In the meta-analysis, the pooled prevalence of Kupffer cell hyperplasia was 13.5% (</w:t>
      </w:r>
      <w:r w:rsidR="006340ED">
        <w:rPr>
          <w:rFonts w:ascii="Book Antiqua" w:eastAsia="Book Antiqua" w:hAnsi="Book Antiqua" w:cs="Book Antiqua"/>
          <w:color w:val="000000"/>
        </w:rPr>
        <w:t xml:space="preserve">5 </w:t>
      </w:r>
      <w:r>
        <w:rPr>
          <w:rFonts w:ascii="Book Antiqua" w:eastAsia="Book Antiqua" w:hAnsi="Book Antiqua" w:cs="Book Antiqua"/>
          <w:color w:val="000000"/>
        </w:rPr>
        <w:t>studies, 79 patients; 95%CI: 0.6-54.3%). The heterogeneity was significant among studies (</w:t>
      </w:r>
      <w:r w:rsidR="006340ED" w:rsidRPr="006340ED">
        <w:rPr>
          <w:rFonts w:ascii="Book Antiqua" w:eastAsia="Book Antiqua" w:hAnsi="Book Antiqua" w:cs="Book Antiqua"/>
          <w:i/>
          <w:iCs/>
          <w:color w:val="000000"/>
        </w:rPr>
        <w:t>P</w:t>
      </w:r>
      <w:r w:rsidR="006340ED">
        <w:rPr>
          <w:rFonts w:ascii="Book Antiqua" w:eastAsia="Book Antiqua" w:hAnsi="Book Antiqua" w:cs="Book Antiqua"/>
          <w:i/>
          <w:iCs/>
          <w:color w:val="000000"/>
        </w:rPr>
        <w:t xml:space="preserve"> </w:t>
      </w:r>
      <w:r w:rsidR="006340ED">
        <w:rPr>
          <w:rFonts w:ascii="Book Antiqua" w:eastAsia="Book Antiqua" w:hAnsi="Book Antiqua" w:cs="Book Antiqua"/>
          <w:color w:val="000000"/>
        </w:rPr>
        <w:t xml:space="preserve">&lt; </w:t>
      </w:r>
      <w:r>
        <w:rPr>
          <w:rFonts w:ascii="Book Antiqua" w:eastAsia="Book Antiqua" w:hAnsi="Book Antiqua" w:cs="Book Antiqua"/>
          <w:color w:val="000000"/>
        </w:rPr>
        <w:t>0.001; I</w:t>
      </w:r>
      <w:r>
        <w:rPr>
          <w:rFonts w:ascii="Book Antiqua" w:eastAsia="Book Antiqua" w:hAnsi="Book Antiqua" w:cs="Book Antiqua"/>
          <w:color w:val="000000"/>
          <w:szCs w:val="30"/>
          <w:vertAlign w:val="superscript"/>
        </w:rPr>
        <w:t>2</w:t>
      </w:r>
      <w:r w:rsidR="006340ED">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w:t>
      </w:r>
      <w:r w:rsidR="006340ED">
        <w:rPr>
          <w:rFonts w:ascii="Book Antiqua" w:eastAsia="Book Antiqua" w:hAnsi="Book Antiqua" w:cs="Book Antiqua"/>
          <w:color w:val="000000"/>
        </w:rPr>
        <w:t xml:space="preserve"> </w:t>
      </w:r>
      <w:r>
        <w:rPr>
          <w:rFonts w:ascii="Book Antiqua" w:eastAsia="Book Antiqua" w:hAnsi="Book Antiqua" w:cs="Book Antiqua"/>
          <w:color w:val="000000"/>
        </w:rPr>
        <w:t>94.3%) (Figure 4A).</w:t>
      </w:r>
    </w:p>
    <w:p w14:paraId="17836C41" w14:textId="77777777" w:rsidR="00A77B3E" w:rsidRDefault="00A77B3E">
      <w:pPr>
        <w:spacing w:line="360" w:lineRule="auto"/>
        <w:jc w:val="both"/>
      </w:pPr>
    </w:p>
    <w:p w14:paraId="27DCAA8B" w14:textId="77777777" w:rsidR="00A77B3E" w:rsidRPr="006340ED" w:rsidRDefault="005C3C13">
      <w:pPr>
        <w:spacing w:line="360" w:lineRule="auto"/>
        <w:jc w:val="both"/>
        <w:rPr>
          <w:b/>
          <w:bCs/>
        </w:rPr>
      </w:pPr>
      <w:r w:rsidRPr="006340ED">
        <w:rPr>
          <w:rFonts w:ascii="Book Antiqua" w:eastAsia="Book Antiqua" w:hAnsi="Book Antiqua" w:cs="Book Antiqua"/>
          <w:b/>
          <w:bCs/>
          <w:i/>
          <w:iCs/>
          <w:color w:val="000000"/>
        </w:rPr>
        <w:t>Portal and lobular inflammation</w:t>
      </w:r>
    </w:p>
    <w:p w14:paraId="016A9ACD" w14:textId="3AE98E6B" w:rsidR="00A77B3E" w:rsidRDefault="005C3C13">
      <w:pPr>
        <w:spacing w:line="360" w:lineRule="auto"/>
        <w:jc w:val="both"/>
      </w:pPr>
      <w:r>
        <w:rPr>
          <w:rFonts w:ascii="Book Antiqua" w:eastAsia="Book Antiqua" w:hAnsi="Book Antiqua" w:cs="Book Antiqua"/>
          <w:color w:val="000000"/>
        </w:rPr>
        <w:t>Histologic evaluation in a total of 41 out of 139 (29.5%) patients showed portal inflammation. The grade of inflammation was reported in 37 of 41 cases (90.2%); all were graded as mild, and the cells were lymphocytes and plasma cells. When meta-analyzed, data showed a pooled prevalence of portal inflammation of 13.2% (</w:t>
      </w:r>
      <w:r w:rsidR="006340ED">
        <w:rPr>
          <w:rFonts w:ascii="Book Antiqua" w:eastAsia="Book Antiqua" w:hAnsi="Book Antiqua" w:cs="Book Antiqua"/>
          <w:color w:val="000000"/>
        </w:rPr>
        <w:t xml:space="preserve">5 </w:t>
      </w:r>
      <w:r>
        <w:rPr>
          <w:rFonts w:ascii="Book Antiqua" w:eastAsia="Book Antiqua" w:hAnsi="Book Antiqua" w:cs="Book Antiqua"/>
          <w:color w:val="000000"/>
        </w:rPr>
        <w:t>studies, 116 patients; 95%CI: 0.1-48.8), with significant heterogeneity noted among studies (</w:t>
      </w:r>
      <w:r w:rsidR="006340ED" w:rsidRPr="006340ED">
        <w:rPr>
          <w:rFonts w:ascii="Book Antiqua" w:eastAsia="Book Antiqua" w:hAnsi="Book Antiqua" w:cs="Book Antiqua"/>
          <w:i/>
          <w:iCs/>
          <w:color w:val="000000"/>
        </w:rPr>
        <w:t>P</w:t>
      </w:r>
      <w:r w:rsidR="006340ED">
        <w:rPr>
          <w:rFonts w:ascii="Book Antiqua" w:eastAsia="Book Antiqua" w:hAnsi="Book Antiqua" w:cs="Book Antiqua"/>
          <w:i/>
          <w:iCs/>
          <w:color w:val="000000"/>
        </w:rPr>
        <w:t xml:space="preserve"> </w:t>
      </w:r>
      <w:r w:rsidR="006340ED">
        <w:rPr>
          <w:rFonts w:ascii="Book Antiqua" w:eastAsia="Book Antiqua" w:hAnsi="Book Antiqua" w:cs="Book Antiqua"/>
          <w:color w:val="000000"/>
        </w:rPr>
        <w:t xml:space="preserve">&lt; </w:t>
      </w:r>
      <w:r>
        <w:rPr>
          <w:rFonts w:ascii="Book Antiqua" w:eastAsia="Book Antiqua" w:hAnsi="Book Antiqua" w:cs="Book Antiqua"/>
          <w:color w:val="000000"/>
        </w:rPr>
        <w:t xml:space="preserve">0.001; </w:t>
      </w:r>
      <w:r w:rsidRPr="00F67947">
        <w:rPr>
          <w:rFonts w:ascii="Book Antiqua" w:eastAsia="Book Antiqua" w:hAnsi="Book Antiqua" w:cs="Book Antiqua"/>
          <w:i/>
          <w:color w:val="000000"/>
        </w:rPr>
        <w:t>I</w:t>
      </w:r>
      <w:r>
        <w:rPr>
          <w:rFonts w:ascii="Book Antiqua" w:eastAsia="Book Antiqua" w:hAnsi="Book Antiqua" w:cs="Book Antiqua"/>
          <w:color w:val="000000"/>
          <w:szCs w:val="30"/>
          <w:vertAlign w:val="superscript"/>
        </w:rPr>
        <w:t>2</w:t>
      </w:r>
      <w:r w:rsidR="006340E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6340ED">
        <w:rPr>
          <w:rFonts w:ascii="Book Antiqua" w:eastAsia="Book Antiqua" w:hAnsi="Book Antiqua" w:cs="Book Antiqua"/>
          <w:color w:val="000000"/>
        </w:rPr>
        <w:t xml:space="preserve"> </w:t>
      </w:r>
      <w:r>
        <w:rPr>
          <w:rFonts w:ascii="Book Antiqua" w:eastAsia="Book Antiqua" w:hAnsi="Book Antiqua" w:cs="Book Antiqua"/>
          <w:color w:val="000000"/>
        </w:rPr>
        <w:t>94.7%) (Figure 4B).</w:t>
      </w:r>
    </w:p>
    <w:p w14:paraId="2468CBFE" w14:textId="2D096754" w:rsidR="00A77B3E" w:rsidRDefault="005C3C13" w:rsidP="006340ED">
      <w:pPr>
        <w:spacing w:line="360" w:lineRule="auto"/>
        <w:ind w:firstLineChars="100" w:firstLine="240"/>
        <w:jc w:val="both"/>
      </w:pPr>
      <w:r>
        <w:rPr>
          <w:rFonts w:ascii="Book Antiqua" w:eastAsia="Book Antiqua" w:hAnsi="Book Antiqua" w:cs="Book Antiqua"/>
          <w:color w:val="000000"/>
        </w:rPr>
        <w:t>In the case of lobular inflammation, a total of 31 from 139 (22.3%) showed this finding. The grade of inflammation was reported in 28 of 31 cases (90.3%): 26 cases were mild (92.9%) and 2 were moderate (7.1%). The predominant cells were neutrophils and lymphocytes. In a meta-analysis, the pooled prevalence of lobular inflammation was 11.6% (</w:t>
      </w:r>
      <w:r w:rsidR="006340ED">
        <w:rPr>
          <w:rFonts w:ascii="Book Antiqua" w:eastAsia="Book Antiqua" w:hAnsi="Book Antiqua" w:cs="Book Antiqua"/>
          <w:color w:val="000000"/>
        </w:rPr>
        <w:t xml:space="preserve">5 </w:t>
      </w:r>
      <w:r>
        <w:rPr>
          <w:rFonts w:ascii="Book Antiqua" w:eastAsia="Book Antiqua" w:hAnsi="Book Antiqua" w:cs="Book Antiqua"/>
          <w:color w:val="000000"/>
        </w:rPr>
        <w:t>studies, 116 patients; 95%CI: 0.3-35.7), with significant heterogeneity noted among studies (</w:t>
      </w:r>
      <w:r w:rsidR="006340ED" w:rsidRPr="006340ED">
        <w:rPr>
          <w:rFonts w:ascii="Book Antiqua" w:eastAsia="Book Antiqua" w:hAnsi="Book Antiqua" w:cs="Book Antiqua"/>
          <w:i/>
          <w:iCs/>
          <w:color w:val="000000"/>
        </w:rPr>
        <w:t>P</w:t>
      </w:r>
      <w:r w:rsidR="006340ED">
        <w:rPr>
          <w:rFonts w:ascii="Book Antiqua" w:eastAsia="Book Antiqua" w:hAnsi="Book Antiqua" w:cs="Book Antiqua"/>
          <w:i/>
          <w:iCs/>
          <w:color w:val="000000"/>
        </w:rPr>
        <w:t xml:space="preserve"> </w:t>
      </w:r>
      <w:r w:rsidR="006340ED">
        <w:rPr>
          <w:rFonts w:ascii="Book Antiqua" w:eastAsia="Book Antiqua" w:hAnsi="Book Antiqua" w:cs="Book Antiqua"/>
          <w:color w:val="000000"/>
        </w:rPr>
        <w:t xml:space="preserve">&lt; </w:t>
      </w:r>
      <w:r>
        <w:rPr>
          <w:rFonts w:ascii="Book Antiqua" w:eastAsia="Book Antiqua" w:hAnsi="Book Antiqua" w:cs="Book Antiqua"/>
          <w:color w:val="000000"/>
        </w:rPr>
        <w:t>0.001; I</w:t>
      </w:r>
      <w:r>
        <w:rPr>
          <w:rFonts w:ascii="Book Antiqua" w:eastAsia="Book Antiqua" w:hAnsi="Book Antiqua" w:cs="Book Antiqua"/>
          <w:color w:val="000000"/>
          <w:szCs w:val="30"/>
          <w:vertAlign w:val="superscript"/>
        </w:rPr>
        <w:t>2</w:t>
      </w:r>
      <w:r w:rsidR="006340ED">
        <w:rPr>
          <w:rFonts w:ascii="Book Antiqua" w:eastAsia="Book Antiqua" w:hAnsi="Book Antiqua" w:cs="Book Antiqua"/>
          <w:color w:val="000000"/>
          <w:szCs w:val="30"/>
        </w:rPr>
        <w:t xml:space="preserve"> </w:t>
      </w:r>
      <w:r>
        <w:rPr>
          <w:rFonts w:ascii="Book Antiqua" w:eastAsia="Book Antiqua" w:hAnsi="Book Antiqua" w:cs="Book Antiqua"/>
          <w:color w:val="000000"/>
        </w:rPr>
        <w:t>=</w:t>
      </w:r>
      <w:r w:rsidR="006340ED">
        <w:rPr>
          <w:rFonts w:ascii="Book Antiqua" w:eastAsia="Book Antiqua" w:hAnsi="Book Antiqua" w:cs="Book Antiqua"/>
          <w:color w:val="000000"/>
        </w:rPr>
        <w:t xml:space="preserve"> </w:t>
      </w:r>
      <w:r>
        <w:rPr>
          <w:rFonts w:ascii="Book Antiqua" w:eastAsia="Book Antiqua" w:hAnsi="Book Antiqua" w:cs="Book Antiqua"/>
          <w:color w:val="000000"/>
        </w:rPr>
        <w:t>89.9%) (Figure 4C).</w:t>
      </w:r>
    </w:p>
    <w:p w14:paraId="6366982D" w14:textId="77777777" w:rsidR="00A77B3E" w:rsidRDefault="00A77B3E">
      <w:pPr>
        <w:spacing w:line="360" w:lineRule="auto"/>
        <w:jc w:val="both"/>
      </w:pPr>
    </w:p>
    <w:p w14:paraId="71E8EC6F" w14:textId="77777777" w:rsidR="00A77B3E" w:rsidRDefault="005C3C13">
      <w:pPr>
        <w:spacing w:line="360" w:lineRule="auto"/>
        <w:jc w:val="both"/>
      </w:pPr>
      <w:r>
        <w:rPr>
          <w:rFonts w:ascii="Book Antiqua" w:eastAsia="Book Antiqua" w:hAnsi="Book Antiqua" w:cs="Book Antiqua"/>
          <w:b/>
          <w:caps/>
          <w:color w:val="000000"/>
          <w:u w:val="single"/>
        </w:rPr>
        <w:t>DISCUSSION</w:t>
      </w:r>
    </w:p>
    <w:p w14:paraId="0FC3425B" w14:textId="1650DCAF" w:rsidR="00A77B3E" w:rsidRDefault="005C3C13">
      <w:pPr>
        <w:spacing w:line="360" w:lineRule="auto"/>
        <w:jc w:val="both"/>
      </w:pPr>
      <w:r>
        <w:rPr>
          <w:rFonts w:ascii="Book Antiqua" w:eastAsia="Book Antiqua" w:hAnsi="Book Antiqua" w:cs="Book Antiqua"/>
          <w:color w:val="000000"/>
        </w:rPr>
        <w:t>As previously reported for patients with SARS and MERS, the liver is frequently affected during a SARS-Cov-2-related disease (COVID-19)</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In this systematic review, we identified 18 studies from 7 countries (case reports and case series) that include data from autopsies of deceased patients with COVID-19. We identified multiple histopathological findings, including hepatic steatosis (55.1%), venous outflow obstruction (36.4%), congestion of hepatic sinuses (34.7%), vascular thrombosis (29.4%), fibrosis (20.5%), necrosis (15.4%), Kupffer cell hyperplasia (13.5%), portal inflammation (13.2%), and lobular inflammation (11.6%).</w:t>
      </w:r>
    </w:p>
    <w:p w14:paraId="2553C8DA" w14:textId="28CDBB34" w:rsidR="00A77B3E" w:rsidRDefault="005C3C13" w:rsidP="006340ED">
      <w:pPr>
        <w:spacing w:line="360" w:lineRule="auto"/>
        <w:ind w:firstLineChars="100" w:firstLine="240"/>
        <w:jc w:val="both"/>
      </w:pPr>
      <w:r>
        <w:rPr>
          <w:rFonts w:ascii="Book Antiqua" w:eastAsia="Book Antiqua" w:hAnsi="Book Antiqua" w:cs="Book Antiqua"/>
          <w:color w:val="000000"/>
        </w:rPr>
        <w:t>Several of the hepatic histopathological findings observed in this study have also been described in SARS and MERS patients. It may be related to the ongoing systemic inflammatory process and sepsis, affecting the liver rather than a direct manifestation of SARS-CoV-2</w:t>
      </w:r>
      <w:r>
        <w:rPr>
          <w:rFonts w:ascii="Book Antiqua" w:eastAsia="Book Antiqua" w:hAnsi="Book Antiqua" w:cs="Book Antiqua"/>
          <w:color w:val="000000"/>
          <w:szCs w:val="30"/>
          <w:vertAlign w:val="superscript"/>
        </w:rPr>
        <w:t>[7,9-11]</w:t>
      </w:r>
      <w:r>
        <w:rPr>
          <w:rFonts w:ascii="Book Antiqua" w:eastAsia="Book Antiqua" w:hAnsi="Book Antiqua" w:cs="Book Antiqua"/>
          <w:color w:val="000000"/>
        </w:rPr>
        <w:t>. There is still debate about whether SARS-CoV-2 directly causes liver injury or if the observed abnormalities in liver chemistries seen in COVID 19 are an indirect consequence of the disease reflecting severity, inflammation, and potentially confounding muscle injury that occurs in 19% of patients</w:t>
      </w:r>
      <w:r>
        <w:rPr>
          <w:rFonts w:ascii="Book Antiqua" w:eastAsia="Book Antiqua" w:hAnsi="Book Antiqua" w:cs="Book Antiqua"/>
          <w:color w:val="000000"/>
          <w:szCs w:val="30"/>
          <w:vertAlign w:val="superscript"/>
        </w:rPr>
        <w:t>[</w:t>
      </w:r>
      <w:r w:rsidR="00D46CFB">
        <w:rPr>
          <w:rFonts w:ascii="Book Antiqua" w:eastAsia="Book Antiqua" w:hAnsi="Book Antiqua" w:cs="Book Antiqua"/>
          <w:color w:val="000000"/>
          <w:szCs w:val="30"/>
          <w:vertAlign w:val="superscript"/>
        </w:rPr>
        <w:t>31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A recent study by Bloom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w:t>
      </w:r>
      <w:r w:rsidR="00D46CFB">
        <w:rPr>
          <w:rFonts w:ascii="Book Antiqua" w:eastAsia="Book Antiqua" w:hAnsi="Book Antiqua" w:cs="Book Antiqua"/>
          <w:color w:val="000000"/>
          <w:szCs w:val="30"/>
          <w:vertAlign w:val="superscript"/>
        </w:rPr>
        <w:t>32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showed that AST-dominant aminotransferase elevation is common in COVID-19, is not associated with muscle damage markers and correlates with disease severity, probably reflecting true hepatic injury. In a series including 148 patients from a single-center in China, 55 (37.2%) had abnormal liver chemistries on admission. Patients with elevated admission liver chemistries were also more likely to have a high-grade fever and higher C-reactive protein</w:t>
      </w:r>
      <w:r>
        <w:rPr>
          <w:rFonts w:ascii="Book Antiqua" w:eastAsia="Book Antiqua" w:hAnsi="Book Antiqua" w:cs="Book Antiqua"/>
          <w:color w:val="000000"/>
          <w:szCs w:val="30"/>
          <w:vertAlign w:val="superscript"/>
        </w:rPr>
        <w:t>[</w:t>
      </w:r>
      <w:r w:rsidR="00D46CFB">
        <w:rPr>
          <w:rFonts w:ascii="Book Antiqua" w:eastAsia="Book Antiqua" w:hAnsi="Book Antiqua" w:cs="Book Antiqua"/>
          <w:color w:val="000000"/>
          <w:szCs w:val="30"/>
          <w:vertAlign w:val="superscript"/>
        </w:rPr>
        <w:t>33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 two large Chinese cohorts, 6.2% and 11.6% of patients with COVID-19 developed liver chemistries over 3 times the upper limit of normal, suggesting that a minority of patients experience significant biochemistry elevations</w:t>
      </w:r>
      <w:r>
        <w:rPr>
          <w:rFonts w:ascii="Book Antiqua" w:eastAsia="Book Antiqua" w:hAnsi="Book Antiqua" w:cs="Book Antiqua"/>
          <w:color w:val="000000"/>
          <w:szCs w:val="30"/>
          <w:vertAlign w:val="superscript"/>
        </w:rPr>
        <w:t>[</w:t>
      </w:r>
      <w:r w:rsidR="00D46CFB">
        <w:rPr>
          <w:rFonts w:ascii="Book Antiqua" w:eastAsia="Book Antiqua" w:hAnsi="Book Antiqua" w:cs="Book Antiqua"/>
          <w:color w:val="000000"/>
          <w:szCs w:val="30"/>
          <w:vertAlign w:val="superscript"/>
        </w:rPr>
        <w:t>34</w:t>
      </w:r>
      <w:r>
        <w:rPr>
          <w:rFonts w:ascii="Book Antiqua" w:eastAsia="Book Antiqua" w:hAnsi="Book Antiqua" w:cs="Book Antiqua"/>
          <w:color w:val="000000"/>
          <w:szCs w:val="30"/>
          <w:vertAlign w:val="superscript"/>
        </w:rPr>
        <w:t>,</w:t>
      </w:r>
      <w:r w:rsidR="00D46CFB">
        <w:rPr>
          <w:rFonts w:ascii="Book Antiqua" w:eastAsia="Book Antiqua" w:hAnsi="Book Antiqua" w:cs="Book Antiqua"/>
          <w:color w:val="000000"/>
          <w:szCs w:val="30"/>
          <w:vertAlign w:val="superscript"/>
        </w:rPr>
        <w:t>3</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p>
    <w:p w14:paraId="1D4CC960" w14:textId="583ADBCE" w:rsidR="00A77B3E" w:rsidRDefault="005C3C13" w:rsidP="006340ED">
      <w:pPr>
        <w:spacing w:line="360" w:lineRule="auto"/>
        <w:ind w:firstLineChars="100" w:firstLine="240"/>
        <w:jc w:val="both"/>
      </w:pPr>
      <w:r>
        <w:rPr>
          <w:rFonts w:ascii="Book Antiqua" w:eastAsia="Book Antiqua" w:hAnsi="Book Antiqua" w:cs="Book Antiqua"/>
          <w:color w:val="000000"/>
        </w:rPr>
        <w:t>The most frequent histopathological finding was steatosis. This prevalence is higher than the general population</w:t>
      </w:r>
      <w:r>
        <w:rPr>
          <w:rFonts w:ascii="Book Antiqua" w:eastAsia="Book Antiqua" w:hAnsi="Book Antiqua" w:cs="Book Antiqua"/>
          <w:color w:val="000000"/>
          <w:szCs w:val="30"/>
          <w:vertAlign w:val="superscript"/>
        </w:rPr>
        <w:t>[</w:t>
      </w:r>
      <w:r w:rsidR="00D46CFB">
        <w:rPr>
          <w:rFonts w:ascii="Book Antiqua" w:eastAsia="Book Antiqua" w:hAnsi="Book Antiqua" w:cs="Book Antiqua"/>
          <w:color w:val="000000"/>
          <w:szCs w:val="30"/>
          <w:vertAlign w:val="superscript"/>
        </w:rPr>
        <w:t>36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This can be partially explained by the baseline characteristics of the population. Admitted COVID-19 patients suffer from more severe disease and more frequently exhibit chronic diseases (</w:t>
      </w:r>
      <w:r w:rsidRPr="006340ED">
        <w:rPr>
          <w:rFonts w:ascii="Book Antiqua" w:eastAsia="Book Antiqua" w:hAnsi="Book Antiqua" w:cs="Book Antiqua"/>
          <w:i/>
          <w:iCs/>
          <w:color w:val="000000"/>
        </w:rPr>
        <w:t>i.e.</w:t>
      </w:r>
      <w:r w:rsidR="006340ED">
        <w:rPr>
          <w:rFonts w:ascii="Book Antiqua" w:eastAsia="Book Antiqua" w:hAnsi="Book Antiqua" w:cs="Book Antiqua"/>
          <w:color w:val="000000"/>
        </w:rPr>
        <w:t>,</w:t>
      </w:r>
      <w:r>
        <w:rPr>
          <w:rFonts w:ascii="Book Antiqua" w:eastAsia="Book Antiqua" w:hAnsi="Book Antiqua" w:cs="Book Antiqua"/>
          <w:color w:val="000000"/>
        </w:rPr>
        <w:t xml:space="preserve"> diabetes mellitus, age, hypertension, obesity, and cardiovascular disease), which are also associated with hepatic steatosis</w:t>
      </w:r>
      <w:r>
        <w:rPr>
          <w:rFonts w:ascii="Book Antiqua" w:eastAsia="Book Antiqua" w:hAnsi="Book Antiqua" w:cs="Book Antiqua"/>
          <w:color w:val="000000"/>
          <w:szCs w:val="30"/>
          <w:vertAlign w:val="superscript"/>
        </w:rPr>
        <w:t>[</w:t>
      </w:r>
      <w:r w:rsidR="00D46CFB">
        <w:rPr>
          <w:rFonts w:ascii="Book Antiqua" w:eastAsia="Book Antiqua" w:hAnsi="Book Antiqua" w:cs="Book Antiqua"/>
          <w:color w:val="000000"/>
          <w:szCs w:val="30"/>
          <w:vertAlign w:val="superscript"/>
        </w:rPr>
        <w:t>37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However, existing data suggest that SARS-COV-2 may affect lipid metabolism</w:t>
      </w:r>
      <w:r>
        <w:rPr>
          <w:rFonts w:ascii="Book Antiqua" w:eastAsia="Book Antiqua" w:hAnsi="Book Antiqua" w:cs="Book Antiqua"/>
          <w:color w:val="000000"/>
          <w:szCs w:val="30"/>
          <w:vertAlign w:val="superscript"/>
        </w:rPr>
        <w:t>[</w:t>
      </w:r>
      <w:r w:rsidR="00D46CFB">
        <w:rPr>
          <w:rFonts w:ascii="Book Antiqua" w:eastAsia="Book Antiqua" w:hAnsi="Book Antiqua" w:cs="Book Antiqua"/>
          <w:color w:val="000000"/>
          <w:szCs w:val="30"/>
          <w:vertAlign w:val="superscript"/>
        </w:rPr>
        <w:t>38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 general, all viruses alter lipid synthesis and signaling in host cells as they highjack and utilize the cellular machinery to produce lipids for their envelope. Also, it has been shown that COVID-19 patients have elevated serum levels of fatty acids and infection with other SARS viruses determine long-lasting alterations in lipid metabolism</w:t>
      </w:r>
      <w:r>
        <w:rPr>
          <w:rFonts w:ascii="Book Antiqua" w:eastAsia="Book Antiqua" w:hAnsi="Book Antiqua" w:cs="Book Antiqua"/>
          <w:color w:val="000000"/>
          <w:szCs w:val="30"/>
          <w:vertAlign w:val="superscript"/>
        </w:rPr>
        <w:t>[</w:t>
      </w:r>
      <w:r w:rsidR="00D46CFB">
        <w:rPr>
          <w:rFonts w:ascii="Book Antiqua" w:eastAsia="Book Antiqua" w:hAnsi="Book Antiqua" w:cs="Book Antiqua"/>
          <w:color w:val="000000"/>
          <w:szCs w:val="30"/>
          <w:vertAlign w:val="superscript"/>
        </w:rPr>
        <w:t>39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I</w:t>
      </w:r>
      <w:r>
        <w:rPr>
          <w:rFonts w:ascii="Book Antiqua" w:eastAsia="Book Antiqua" w:hAnsi="Book Antiqua" w:cs="Book Antiqua"/>
          <w:color w:val="000000"/>
        </w:rPr>
        <w:t>t has been shown that metabolic-dysfunction associated fatty liver (MAFLD)</w:t>
      </w:r>
      <w:r>
        <w:rPr>
          <w:rFonts w:ascii="Book Antiqua" w:eastAsia="Book Antiqua" w:hAnsi="Book Antiqua" w:cs="Book Antiqua"/>
          <w:color w:val="000000"/>
          <w:szCs w:val="30"/>
          <w:vertAlign w:val="superscript"/>
        </w:rPr>
        <w:t>[</w:t>
      </w:r>
      <w:r w:rsidR="00D46CFB">
        <w:rPr>
          <w:rFonts w:ascii="Book Antiqua" w:eastAsia="Book Antiqua" w:hAnsi="Book Antiqua" w:cs="Book Antiqua"/>
          <w:color w:val="000000"/>
          <w:szCs w:val="30"/>
          <w:vertAlign w:val="superscript"/>
        </w:rPr>
        <w:t>40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condition is independently associated with a higher risk of severe COVID-19 (odds ratio 2.67)</w:t>
      </w:r>
      <w:r>
        <w:rPr>
          <w:rFonts w:ascii="Book Antiqua" w:eastAsia="Book Antiqua" w:hAnsi="Book Antiqua" w:cs="Book Antiqua"/>
          <w:color w:val="000000"/>
          <w:szCs w:val="30"/>
          <w:vertAlign w:val="superscript"/>
        </w:rPr>
        <w:t>[</w:t>
      </w:r>
      <w:r w:rsidR="00D46CFB">
        <w:rPr>
          <w:rFonts w:ascii="Book Antiqua" w:eastAsia="Book Antiqua" w:hAnsi="Book Antiqua" w:cs="Book Antiqua"/>
          <w:color w:val="000000"/>
          <w:szCs w:val="30"/>
          <w:vertAlign w:val="superscript"/>
        </w:rPr>
        <w:t>41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Also, advanced MAFLD (</w:t>
      </w:r>
      <w:r w:rsidRPr="006340ED">
        <w:rPr>
          <w:rFonts w:ascii="Book Antiqua" w:eastAsia="Book Antiqua" w:hAnsi="Book Antiqua" w:cs="Book Antiqua"/>
          <w:i/>
          <w:iCs/>
          <w:color w:val="000000"/>
        </w:rPr>
        <w:t>i.e.</w:t>
      </w:r>
      <w:r w:rsidR="006340ED">
        <w:rPr>
          <w:rFonts w:ascii="Book Antiqua" w:eastAsia="Book Antiqua" w:hAnsi="Book Antiqua" w:cs="Book Antiqua"/>
          <w:color w:val="000000"/>
        </w:rPr>
        <w:t>,</w:t>
      </w:r>
      <w:r>
        <w:rPr>
          <w:rFonts w:ascii="Book Antiqua" w:eastAsia="Book Antiqua" w:hAnsi="Book Antiqua" w:cs="Book Antiqua"/>
          <w:color w:val="000000"/>
        </w:rPr>
        <w:t xml:space="preserve"> fibrotic disease) is associated with a more severe disease irrespective of metabolic comorbidities. Since the liver hosts a significant mass of innate immune cells, hepatic release of proinflammatory cytokines may contribute to COVID-19 severity</w:t>
      </w:r>
      <w:r>
        <w:rPr>
          <w:rFonts w:ascii="Book Antiqua" w:eastAsia="Book Antiqua" w:hAnsi="Book Antiqua" w:cs="Book Antiqua"/>
          <w:color w:val="000000"/>
          <w:szCs w:val="30"/>
          <w:vertAlign w:val="superscript"/>
        </w:rPr>
        <w:t>[</w:t>
      </w:r>
      <w:r w:rsidR="00D46CFB">
        <w:rPr>
          <w:rFonts w:ascii="Book Antiqua" w:eastAsia="Book Antiqua" w:hAnsi="Book Antiqua" w:cs="Book Antiqua"/>
          <w:color w:val="000000"/>
          <w:szCs w:val="30"/>
          <w:vertAlign w:val="superscript"/>
        </w:rPr>
        <w:t>42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Also, some authors suggest NAFLD progression could be accelerated or exacerbated by COVID</w:t>
      </w:r>
      <w:r w:rsidR="006340ED">
        <w:rPr>
          <w:rFonts w:ascii="Book Antiqua" w:eastAsia="Book Antiqua" w:hAnsi="Book Antiqua" w:cs="Book Antiqua"/>
          <w:color w:val="000000"/>
        </w:rPr>
        <w:t>-</w:t>
      </w:r>
      <w:r>
        <w:rPr>
          <w:rFonts w:ascii="Book Antiqua" w:eastAsia="Book Antiqua" w:hAnsi="Book Antiqua" w:cs="Book Antiqua"/>
          <w:color w:val="000000"/>
        </w:rPr>
        <w:t>19</w:t>
      </w:r>
      <w:r>
        <w:rPr>
          <w:rFonts w:ascii="Book Antiqua" w:eastAsia="Book Antiqua" w:hAnsi="Book Antiqua" w:cs="Book Antiqua"/>
          <w:color w:val="000000"/>
          <w:szCs w:val="30"/>
          <w:vertAlign w:val="superscript"/>
        </w:rPr>
        <w:t>[</w:t>
      </w:r>
      <w:r w:rsidR="00D46CFB">
        <w:rPr>
          <w:rFonts w:ascii="Book Antiqua" w:eastAsia="Book Antiqua" w:hAnsi="Book Antiqua" w:cs="Book Antiqua"/>
          <w:color w:val="000000"/>
          <w:szCs w:val="30"/>
          <w:vertAlign w:val="superscript"/>
        </w:rPr>
        <w:t>42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24C3FC43" w14:textId="16BC03D5" w:rsidR="00A77B3E" w:rsidRDefault="005C3C13" w:rsidP="006340ED">
      <w:pPr>
        <w:spacing w:line="360" w:lineRule="auto"/>
        <w:ind w:firstLineChars="100" w:firstLine="240"/>
        <w:jc w:val="both"/>
      </w:pPr>
      <w:r>
        <w:rPr>
          <w:rFonts w:ascii="Book Antiqua" w:eastAsia="Book Antiqua" w:hAnsi="Book Antiqua" w:cs="Book Antiqua"/>
          <w:color w:val="000000"/>
        </w:rPr>
        <w:t>We observed an increased frequency of hepatic vascular alterations in patients with COVID-19. This may be due to endothelial dysfunction (endotheliitis), a pro-coagulant state, and direct vascular injury of the disease</w:t>
      </w:r>
      <w:r>
        <w:rPr>
          <w:rFonts w:ascii="Book Antiqua" w:eastAsia="Book Antiqua" w:hAnsi="Book Antiqua" w:cs="Book Antiqua"/>
          <w:color w:val="000000"/>
          <w:szCs w:val="30"/>
          <w:vertAlign w:val="superscript"/>
        </w:rPr>
        <w:t>[13,</w:t>
      </w:r>
      <w:r w:rsidR="00D46CFB">
        <w:rPr>
          <w:rFonts w:ascii="Book Antiqua" w:eastAsia="Book Antiqua" w:hAnsi="Book Antiqua" w:cs="Book Antiqua"/>
          <w:color w:val="000000"/>
          <w:szCs w:val="30"/>
          <w:vertAlign w:val="superscript"/>
        </w:rPr>
        <w:t>43</w:t>
      </w:r>
      <w:r>
        <w:rPr>
          <w:rFonts w:ascii="Book Antiqua" w:eastAsia="Book Antiqua" w:hAnsi="Book Antiqua" w:cs="Book Antiqua"/>
          <w:color w:val="000000"/>
          <w:szCs w:val="30"/>
          <w:vertAlign w:val="superscript"/>
        </w:rPr>
        <w:t>,</w:t>
      </w:r>
      <w:r w:rsidR="00D46CFB">
        <w:rPr>
          <w:rFonts w:ascii="Book Antiqua" w:eastAsia="Book Antiqua" w:hAnsi="Book Antiqua" w:cs="Book Antiqua"/>
          <w:color w:val="000000"/>
          <w:szCs w:val="30"/>
          <w:vertAlign w:val="superscript"/>
        </w:rPr>
        <w:t>44</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Congestion and necrosis are features of venous outflow obstruction and may also be explained by circulatory dysfunction, heart failure, and ischemia, which may complicate multiorgan failure. </w:t>
      </w:r>
    </w:p>
    <w:p w14:paraId="68384844" w14:textId="45EBBFE5" w:rsidR="00A77B3E" w:rsidRDefault="005C3C13" w:rsidP="006340ED">
      <w:pPr>
        <w:spacing w:line="360" w:lineRule="auto"/>
        <w:ind w:firstLineChars="100" w:firstLine="240"/>
        <w:jc w:val="both"/>
      </w:pPr>
      <w:r>
        <w:rPr>
          <w:rFonts w:ascii="Book Antiqua" w:eastAsia="Book Antiqua" w:hAnsi="Book Antiqua" w:cs="Book Antiqua"/>
          <w:color w:val="000000"/>
        </w:rPr>
        <w:t>Liver fibrosis was also frequently found in the published series of COVID-19 patients. Whether this is related to sustained liver injury or by prior history of chronic liver disease is unclear, though the latter is favored given the acute nature of COVID-19 disease. Of note, patients with cirrhosis have been shown to have a higher risk of mortality due to COVID-19 (relative risk of 4.6)</w:t>
      </w:r>
      <w:r>
        <w:rPr>
          <w:rFonts w:ascii="Book Antiqua" w:eastAsia="Book Antiqua" w:hAnsi="Book Antiqua" w:cs="Book Antiqua"/>
          <w:color w:val="000000"/>
          <w:szCs w:val="30"/>
          <w:vertAlign w:val="superscript"/>
        </w:rPr>
        <w:t>[</w:t>
      </w:r>
      <w:r w:rsidR="00D46CFB">
        <w:rPr>
          <w:rFonts w:ascii="Book Antiqua" w:eastAsia="Book Antiqua" w:hAnsi="Book Antiqua" w:cs="Book Antiqua"/>
          <w:color w:val="000000"/>
          <w:szCs w:val="30"/>
          <w:vertAlign w:val="superscript"/>
        </w:rPr>
        <w:t>45</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7818475F" w14:textId="002D92E8" w:rsidR="00A77B3E" w:rsidRDefault="005C3C13" w:rsidP="006340ED">
      <w:pPr>
        <w:spacing w:line="360" w:lineRule="auto"/>
        <w:ind w:firstLineChars="100" w:firstLine="240"/>
        <w:jc w:val="both"/>
      </w:pPr>
      <w:r>
        <w:rPr>
          <w:rFonts w:ascii="Book Antiqua" w:eastAsia="Book Antiqua" w:hAnsi="Book Antiqua" w:cs="Book Antiqua"/>
          <w:color w:val="000000"/>
        </w:rPr>
        <w:t>It is important to notice that no specific histologic indicator of direct infection (</w:t>
      </w:r>
      <w:r w:rsidRPr="006340ED">
        <w:rPr>
          <w:rFonts w:ascii="Book Antiqua" w:eastAsia="Book Antiqua" w:hAnsi="Book Antiqua" w:cs="Book Antiqua"/>
          <w:i/>
          <w:iCs/>
          <w:color w:val="000000"/>
        </w:rPr>
        <w:t>i</w:t>
      </w:r>
      <w:r w:rsidR="006340ED" w:rsidRPr="006340ED">
        <w:rPr>
          <w:rFonts w:ascii="Book Antiqua" w:eastAsia="Book Antiqua" w:hAnsi="Book Antiqua" w:cs="Book Antiqua"/>
          <w:i/>
          <w:iCs/>
          <w:color w:val="000000"/>
        </w:rPr>
        <w:t>.</w:t>
      </w:r>
      <w:r w:rsidRPr="006340ED">
        <w:rPr>
          <w:rFonts w:ascii="Book Antiqua" w:eastAsia="Book Antiqua" w:hAnsi="Book Antiqua" w:cs="Book Antiqua"/>
          <w:i/>
          <w:iCs/>
          <w:color w:val="000000"/>
        </w:rPr>
        <w:t>e.</w:t>
      </w:r>
      <w:r w:rsidR="006340ED">
        <w:rPr>
          <w:rFonts w:ascii="Book Antiqua" w:eastAsia="Book Antiqua" w:hAnsi="Book Antiqua" w:cs="Book Antiqua"/>
          <w:color w:val="000000"/>
        </w:rPr>
        <w:t>,</w:t>
      </w:r>
      <w:r>
        <w:rPr>
          <w:rFonts w:ascii="Book Antiqua" w:eastAsia="Book Antiqua" w:hAnsi="Book Antiqua" w:cs="Book Antiqua"/>
          <w:color w:val="000000"/>
        </w:rPr>
        <w:t xml:space="preserve"> viral cytopathic effect) in the liver tissue.</w:t>
      </w:r>
      <w:r w:rsidR="006340ED">
        <w:rPr>
          <w:rFonts w:ascii="Book Antiqua" w:eastAsia="Book Antiqua" w:hAnsi="Book Antiqua" w:cs="Book Antiqua"/>
          <w:color w:val="000000"/>
        </w:rPr>
        <w:t xml:space="preserve"> </w:t>
      </w:r>
      <w:r>
        <w:rPr>
          <w:rFonts w:ascii="Book Antiqua" w:eastAsia="Book Antiqua" w:hAnsi="Book Antiqua" w:cs="Book Antiqua"/>
          <w:color w:val="000000"/>
        </w:rPr>
        <w:t>Notably, there was a report from a pediatric living donor liver allograft recipient who, on a post-operative day 4, developed respiratory distress, fever, and an approximately 5-fold elevation of liver enzymes. The patient and donor were positive for SARS-CoV-2. Liver biopsy showed moderate acute hepatitis with prominent clusters of apoptotic hepatocytes, associated cellular debris, and lobular lymphohistiocytic inflammation. Typical portal features of mild to moderate acute cellular rejection were also noted</w:t>
      </w:r>
      <w:r>
        <w:rPr>
          <w:rFonts w:ascii="Book Antiqua" w:eastAsia="Book Antiqua" w:hAnsi="Book Antiqua" w:cs="Book Antiqua"/>
          <w:color w:val="000000"/>
          <w:szCs w:val="30"/>
          <w:vertAlign w:val="superscript"/>
        </w:rPr>
        <w:t>[</w:t>
      </w:r>
      <w:r w:rsidR="00D46CFB">
        <w:rPr>
          <w:rFonts w:ascii="Book Antiqua" w:eastAsia="Book Antiqua" w:hAnsi="Book Antiqua" w:cs="Book Antiqua"/>
          <w:color w:val="000000"/>
          <w:szCs w:val="30"/>
          <w:vertAlign w:val="superscript"/>
        </w:rPr>
        <w:t>46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This case report raises consideration for possible direct liver injury.</w:t>
      </w:r>
    </w:p>
    <w:p w14:paraId="2D9E1E2E" w14:textId="4FA91162" w:rsidR="00A77B3E" w:rsidRDefault="005C3C13" w:rsidP="006340ED">
      <w:pPr>
        <w:spacing w:line="360" w:lineRule="auto"/>
        <w:ind w:firstLineChars="100" w:firstLine="240"/>
        <w:jc w:val="both"/>
      </w:pPr>
      <w:r>
        <w:rPr>
          <w:rFonts w:ascii="Book Antiqua" w:eastAsia="Book Antiqua" w:hAnsi="Book Antiqua" w:cs="Book Antiqua"/>
          <w:color w:val="000000"/>
        </w:rPr>
        <w:t>The possible mechanisms by which SARS-CoV-2 exerts its pathogenetic role in the liver have been speculated in the literature. There is a known tropism of SARS-CoV-2 for ACE-2 receptors, and they are abundantly expressed in cholangiocytes. Nevertheless, a cholestatic pattern of liver injury is not the most common finding on presentation, as one might expect</w:t>
      </w:r>
      <w:r>
        <w:rPr>
          <w:rFonts w:ascii="Book Antiqua" w:eastAsia="Book Antiqua" w:hAnsi="Book Antiqua" w:cs="Book Antiqua"/>
          <w:color w:val="000000"/>
          <w:szCs w:val="30"/>
          <w:vertAlign w:val="superscript"/>
        </w:rPr>
        <w:t>[</w:t>
      </w:r>
      <w:r w:rsidR="00D46CFB">
        <w:rPr>
          <w:rFonts w:ascii="Book Antiqua" w:eastAsia="Book Antiqua" w:hAnsi="Book Antiqua" w:cs="Book Antiqua"/>
          <w:color w:val="000000"/>
          <w:szCs w:val="30"/>
          <w:vertAlign w:val="superscript"/>
        </w:rPr>
        <w:t>47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 second proposed mechanism is the cytokine storm, which leads to a surge in inflammatory cytokines affecting the liver</w:t>
      </w:r>
      <w:r>
        <w:rPr>
          <w:rFonts w:ascii="Book Antiqua" w:eastAsia="Book Antiqua" w:hAnsi="Book Antiqua" w:cs="Book Antiqua"/>
          <w:color w:val="000000"/>
          <w:szCs w:val="30"/>
          <w:vertAlign w:val="superscript"/>
        </w:rPr>
        <w:t>[</w:t>
      </w:r>
      <w:r w:rsidR="00D46CFB">
        <w:rPr>
          <w:rFonts w:ascii="Book Antiqua" w:eastAsia="Book Antiqua" w:hAnsi="Book Antiqua" w:cs="Book Antiqua"/>
          <w:color w:val="000000"/>
          <w:szCs w:val="30"/>
          <w:vertAlign w:val="superscript"/>
        </w:rPr>
        <w:t>48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SARS-CoV-2 induced acute respiratory distress syndrome and systemic inflammatory response syndrome lead to hypoxemia and shock, which can cause ischemia-reperfusion injury</w:t>
      </w:r>
      <w:r>
        <w:rPr>
          <w:rFonts w:ascii="Book Antiqua" w:eastAsia="Book Antiqua" w:hAnsi="Book Antiqua" w:cs="Book Antiqua"/>
          <w:color w:val="000000"/>
          <w:szCs w:val="30"/>
          <w:vertAlign w:val="superscript"/>
        </w:rPr>
        <w:t>[</w:t>
      </w:r>
      <w:r w:rsidR="00D46CFB">
        <w:rPr>
          <w:rFonts w:ascii="Book Antiqua" w:eastAsia="Book Antiqua" w:hAnsi="Book Antiqua" w:cs="Book Antiqua"/>
          <w:color w:val="000000"/>
          <w:szCs w:val="30"/>
          <w:vertAlign w:val="superscript"/>
        </w:rPr>
        <w:t>49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It has been reported that SARS-CoV-2 can infect the endothelial cells directly and result in widespread endotheliitis</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Furthermore, administration of multiple drugs attempting to treat the disease have the potential to produce DILI, exacerbating the liver involvement of the disease</w:t>
      </w:r>
      <w:r>
        <w:rPr>
          <w:rFonts w:ascii="Book Antiqua" w:eastAsia="Book Antiqua" w:hAnsi="Book Antiqua" w:cs="Book Antiqua"/>
          <w:color w:val="000000"/>
          <w:szCs w:val="30"/>
          <w:vertAlign w:val="superscript"/>
        </w:rPr>
        <w:t>[</w:t>
      </w:r>
      <w:r w:rsidR="00D46CFB">
        <w:rPr>
          <w:rFonts w:ascii="Book Antiqua" w:eastAsia="Book Antiqua" w:hAnsi="Book Antiqua" w:cs="Book Antiqua"/>
          <w:color w:val="000000"/>
          <w:szCs w:val="30"/>
          <w:vertAlign w:val="superscript"/>
        </w:rPr>
        <w:t>50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w:t>
      </w:r>
    </w:p>
    <w:p w14:paraId="4C580337" w14:textId="77777777" w:rsidR="00A77B3E" w:rsidRDefault="005C3C13" w:rsidP="006340ED">
      <w:pPr>
        <w:spacing w:line="360" w:lineRule="auto"/>
        <w:ind w:firstLineChars="100" w:firstLine="240"/>
        <w:jc w:val="both"/>
      </w:pPr>
      <w:r>
        <w:rPr>
          <w:rFonts w:ascii="Book Antiqua" w:eastAsia="Book Antiqua" w:hAnsi="Book Antiqua" w:cs="Book Antiqua"/>
          <w:color w:val="000000"/>
        </w:rPr>
        <w:t>The main limitation of our study is the inclusion of autopsies only, resulting in bias towards the most severe disease, with great influence by pre-existing co-morbid conditions. In our literature search, there were no reported liver biopsies from non-severe COVID-19 patients. A correlation between clinical condition, biochemistry, liver imaging, and autopsies would be desirable to explore. Another limitation of this systematic review is the high heterogeneity in the published articles. Finally, since this is a systematic review from autopsy data, relevant clinical information to interpret the causes of steatosis (such as alcohol consumption or body mass index) was not available. </w:t>
      </w:r>
    </w:p>
    <w:p w14:paraId="67804286" w14:textId="77777777" w:rsidR="00A77B3E" w:rsidRDefault="00A77B3E">
      <w:pPr>
        <w:spacing w:line="360" w:lineRule="auto"/>
        <w:jc w:val="both"/>
      </w:pPr>
    </w:p>
    <w:p w14:paraId="3E84FDF3" w14:textId="77777777" w:rsidR="00A77B3E" w:rsidRDefault="005C3C13">
      <w:pPr>
        <w:spacing w:line="360" w:lineRule="auto"/>
        <w:jc w:val="both"/>
      </w:pPr>
      <w:r>
        <w:rPr>
          <w:rFonts w:ascii="Book Antiqua" w:eastAsia="Book Antiqua" w:hAnsi="Book Antiqua" w:cs="Book Antiqua"/>
          <w:b/>
          <w:caps/>
          <w:color w:val="000000"/>
          <w:u w:val="single"/>
        </w:rPr>
        <w:t>CONCLUSION</w:t>
      </w:r>
    </w:p>
    <w:p w14:paraId="0F0F2301" w14:textId="77777777" w:rsidR="00A77B3E" w:rsidRDefault="005C3C13">
      <w:pPr>
        <w:spacing w:line="360" w:lineRule="auto"/>
        <w:jc w:val="both"/>
      </w:pPr>
      <w:r>
        <w:rPr>
          <w:rFonts w:ascii="Book Antiqua" w:eastAsia="Book Antiqua" w:hAnsi="Book Antiqua" w:cs="Book Antiqua"/>
          <w:color w:val="000000"/>
        </w:rPr>
        <w:t>In summary, in this systematic review and meta-analysis of autopsies from patients with COVID-19, we found a high prevalence of hepatic steatosis and the presence of vascular thrombosis as major histological liver features. Further studies are needed to establish the mechanism and implications of these findings.</w:t>
      </w:r>
    </w:p>
    <w:p w14:paraId="52BE9B07" w14:textId="77777777" w:rsidR="00A77B3E" w:rsidRDefault="00A77B3E">
      <w:pPr>
        <w:spacing w:line="360" w:lineRule="auto"/>
        <w:jc w:val="both"/>
      </w:pPr>
    </w:p>
    <w:p w14:paraId="754E4830" w14:textId="77777777" w:rsidR="00A77B3E" w:rsidRDefault="005C3C13">
      <w:pPr>
        <w:spacing w:line="360" w:lineRule="auto"/>
        <w:jc w:val="both"/>
      </w:pPr>
      <w:r>
        <w:rPr>
          <w:rFonts w:ascii="Book Antiqua" w:eastAsia="Book Antiqua" w:hAnsi="Book Antiqua" w:cs="Book Antiqua"/>
          <w:b/>
          <w:caps/>
          <w:color w:val="000000"/>
          <w:u w:val="single"/>
        </w:rPr>
        <w:t>ARTICLE HIGHLIGHTS</w:t>
      </w:r>
    </w:p>
    <w:p w14:paraId="573441D0" w14:textId="77777777" w:rsidR="00A77B3E" w:rsidRDefault="005C3C13">
      <w:pPr>
        <w:spacing w:line="360" w:lineRule="auto"/>
        <w:jc w:val="both"/>
      </w:pPr>
      <w:r>
        <w:rPr>
          <w:rFonts w:ascii="Book Antiqua" w:eastAsia="Book Antiqua" w:hAnsi="Book Antiqua" w:cs="Book Antiqua"/>
          <w:b/>
          <w:i/>
          <w:color w:val="000000"/>
        </w:rPr>
        <w:t>Research background</w:t>
      </w:r>
    </w:p>
    <w:p w14:paraId="0ACDA374" w14:textId="240CBA57" w:rsidR="00A77B3E" w:rsidRDefault="005C3C13">
      <w:pPr>
        <w:spacing w:line="360" w:lineRule="auto"/>
        <w:jc w:val="both"/>
      </w:pPr>
      <w:r>
        <w:rPr>
          <w:rFonts w:ascii="Book Antiqua" w:eastAsia="Book Antiqua" w:hAnsi="Book Antiqua" w:cs="Book Antiqua"/>
          <w:color w:val="000000"/>
        </w:rPr>
        <w:t xml:space="preserve">The liver is frequently involved during </w:t>
      </w:r>
      <w:r w:rsidR="006340ED" w:rsidRPr="0072453C">
        <w:rPr>
          <w:rFonts w:ascii="Book Antiqua" w:eastAsia="Book Antiqua" w:hAnsi="Book Antiqua" w:cs="Book Antiqua"/>
          <w:color w:val="000000"/>
        </w:rPr>
        <w:t>severe acute respiratory syndrome coronavirus 2</w:t>
      </w:r>
      <w:r>
        <w:rPr>
          <w:rFonts w:ascii="Book Antiqua" w:eastAsia="Book Antiqua" w:hAnsi="Book Antiqua" w:cs="Book Antiqua"/>
          <w:color w:val="000000"/>
        </w:rPr>
        <w:t xml:space="preserve"> infection and </w:t>
      </w:r>
      <w:r w:rsidR="006340ED">
        <w:rPr>
          <w:rFonts w:ascii="Book Antiqua" w:eastAsia="Book Antiqua" w:hAnsi="Book Antiqua" w:cs="Book Antiqua"/>
          <w:color w:val="000000"/>
        </w:rPr>
        <w:t>c</w:t>
      </w:r>
      <w:r w:rsidR="006340ED" w:rsidRPr="00633804">
        <w:rPr>
          <w:rFonts w:ascii="Book Antiqua" w:eastAsia="Book Antiqua" w:hAnsi="Book Antiqua" w:cs="Book Antiqua"/>
          <w:color w:val="000000"/>
        </w:rPr>
        <w:t>oronavirus disease 2019</w:t>
      </w:r>
      <w:r w:rsidR="006340ED">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6340ED">
        <w:rPr>
          <w:rFonts w:ascii="Book Antiqua" w:eastAsia="Book Antiqua" w:hAnsi="Book Antiqua" w:cs="Book Antiqua"/>
          <w:color w:val="000000"/>
        </w:rPr>
        <w:t>)</w:t>
      </w:r>
      <w:r>
        <w:rPr>
          <w:rFonts w:ascii="Book Antiqua" w:eastAsia="Book Antiqua" w:hAnsi="Book Antiqua" w:cs="Book Antiqua"/>
          <w:color w:val="000000"/>
        </w:rPr>
        <w:t>. However, there is no consensus about the main histopathological findings in COVID-19. </w:t>
      </w:r>
    </w:p>
    <w:p w14:paraId="0E045948" w14:textId="77777777" w:rsidR="00A77B3E" w:rsidRDefault="00A77B3E">
      <w:pPr>
        <w:spacing w:line="360" w:lineRule="auto"/>
        <w:jc w:val="both"/>
      </w:pPr>
    </w:p>
    <w:p w14:paraId="57E1E537" w14:textId="77777777" w:rsidR="00A77B3E" w:rsidRDefault="005C3C13">
      <w:pPr>
        <w:spacing w:line="360" w:lineRule="auto"/>
        <w:jc w:val="both"/>
      </w:pPr>
      <w:r>
        <w:rPr>
          <w:rFonts w:ascii="Book Antiqua" w:eastAsia="Book Antiqua" w:hAnsi="Book Antiqua" w:cs="Book Antiqua"/>
          <w:b/>
          <w:i/>
          <w:color w:val="000000"/>
        </w:rPr>
        <w:t>Research motivation</w:t>
      </w:r>
    </w:p>
    <w:p w14:paraId="10234274" w14:textId="77777777" w:rsidR="00A77B3E" w:rsidRDefault="005C3C13">
      <w:pPr>
        <w:spacing w:line="360" w:lineRule="auto"/>
        <w:jc w:val="both"/>
      </w:pPr>
      <w:r>
        <w:rPr>
          <w:rFonts w:ascii="Book Antiqua" w:eastAsia="Book Antiqua" w:hAnsi="Book Antiqua" w:cs="Book Antiqua"/>
          <w:color w:val="000000"/>
        </w:rPr>
        <w:t>Identifying the main histopathological findings could help understand the mechanism of liver injury frequently observed in COVID-19 patients.</w:t>
      </w:r>
    </w:p>
    <w:p w14:paraId="33B91CF4" w14:textId="77777777" w:rsidR="00A77B3E" w:rsidRDefault="00A77B3E">
      <w:pPr>
        <w:spacing w:line="360" w:lineRule="auto"/>
        <w:jc w:val="both"/>
      </w:pPr>
    </w:p>
    <w:p w14:paraId="5F989B0C" w14:textId="77777777" w:rsidR="00A77B3E" w:rsidRDefault="005C3C13">
      <w:pPr>
        <w:spacing w:line="360" w:lineRule="auto"/>
        <w:jc w:val="both"/>
      </w:pPr>
      <w:r>
        <w:rPr>
          <w:rFonts w:ascii="Book Antiqua" w:eastAsia="Book Antiqua" w:hAnsi="Book Antiqua" w:cs="Book Antiqua"/>
          <w:b/>
          <w:i/>
          <w:color w:val="000000"/>
        </w:rPr>
        <w:t>Research objectives</w:t>
      </w:r>
    </w:p>
    <w:p w14:paraId="7C811677" w14:textId="77777777" w:rsidR="00A77B3E" w:rsidRDefault="005C3C13">
      <w:pPr>
        <w:spacing w:line="360" w:lineRule="auto"/>
        <w:jc w:val="both"/>
      </w:pPr>
      <w:r>
        <w:rPr>
          <w:rFonts w:ascii="Book Antiqua" w:eastAsia="Book Antiqua" w:hAnsi="Book Antiqua" w:cs="Book Antiqua"/>
          <w:color w:val="000000"/>
        </w:rPr>
        <w:t>The characterization of the liver histopathological findings will impact the interpretation of liver chemistries and liver biopsies in COVID-19 patients.</w:t>
      </w:r>
    </w:p>
    <w:p w14:paraId="7F47BDC6" w14:textId="77777777" w:rsidR="00A77B3E" w:rsidRDefault="00A77B3E">
      <w:pPr>
        <w:spacing w:line="360" w:lineRule="auto"/>
        <w:jc w:val="both"/>
      </w:pPr>
    </w:p>
    <w:p w14:paraId="7E486085" w14:textId="77777777" w:rsidR="00A77B3E" w:rsidRDefault="005C3C13">
      <w:pPr>
        <w:spacing w:line="360" w:lineRule="auto"/>
        <w:jc w:val="both"/>
      </w:pPr>
      <w:r>
        <w:rPr>
          <w:rFonts w:ascii="Book Antiqua" w:eastAsia="Book Antiqua" w:hAnsi="Book Antiqua" w:cs="Book Antiqua"/>
          <w:b/>
          <w:i/>
          <w:color w:val="000000"/>
        </w:rPr>
        <w:t>Research methods</w:t>
      </w:r>
    </w:p>
    <w:p w14:paraId="39ABB771" w14:textId="77777777" w:rsidR="00A77B3E" w:rsidRDefault="005C3C13">
      <w:pPr>
        <w:spacing w:line="360" w:lineRule="auto"/>
        <w:jc w:val="both"/>
      </w:pPr>
      <w:r>
        <w:rPr>
          <w:rFonts w:ascii="Book Antiqua" w:eastAsia="Book Antiqua" w:hAnsi="Book Antiqua" w:cs="Book Antiqua"/>
          <w:color w:val="000000"/>
        </w:rPr>
        <w:t>We conducted a systematic review and meta-analysis, including liver biopsies and autopsies of COVID-19 patients. Proportions were estimated using random-effects models.</w:t>
      </w:r>
    </w:p>
    <w:p w14:paraId="0BA93DE6" w14:textId="77777777" w:rsidR="00A77B3E" w:rsidRDefault="00A77B3E">
      <w:pPr>
        <w:spacing w:line="360" w:lineRule="auto"/>
        <w:jc w:val="both"/>
      </w:pPr>
    </w:p>
    <w:p w14:paraId="76B85DD8" w14:textId="77777777" w:rsidR="00A77B3E" w:rsidRDefault="005C3C13">
      <w:pPr>
        <w:spacing w:line="360" w:lineRule="auto"/>
        <w:jc w:val="both"/>
      </w:pPr>
      <w:r>
        <w:rPr>
          <w:rFonts w:ascii="Book Antiqua" w:eastAsia="Book Antiqua" w:hAnsi="Book Antiqua" w:cs="Book Antiqua"/>
          <w:b/>
          <w:i/>
          <w:color w:val="000000"/>
        </w:rPr>
        <w:t>Research results</w:t>
      </w:r>
    </w:p>
    <w:p w14:paraId="19F517A4" w14:textId="77777777" w:rsidR="00A77B3E" w:rsidRDefault="005C3C13">
      <w:pPr>
        <w:spacing w:line="360" w:lineRule="auto"/>
        <w:jc w:val="both"/>
      </w:pPr>
      <w:r>
        <w:rPr>
          <w:rFonts w:ascii="Book Antiqua" w:eastAsia="Book Antiqua" w:hAnsi="Book Antiqua" w:cs="Book Antiqua"/>
          <w:color w:val="000000"/>
        </w:rPr>
        <w:t>We included 18 studies. The major histological findings are hepatic steatosis (55.1%), congestion of hepatic sinuses (34.7%), vascular thrombosis (29.4%), fibrosis (20.5%), Kupffer cell hyperplasia (13.5%), portal inflammation (13.2%), and lobular inflammation (11.6%). Other abnormalities can be identified, such as venous outflow obstruction, phlebosclerosis of the portal vein, herniated portal vein, periportal abnormal vessels, hemophagocytosis, and necrosis.</w:t>
      </w:r>
    </w:p>
    <w:p w14:paraId="6A989EE8" w14:textId="77777777" w:rsidR="00A77B3E" w:rsidRDefault="00A77B3E">
      <w:pPr>
        <w:spacing w:line="360" w:lineRule="auto"/>
        <w:jc w:val="both"/>
      </w:pPr>
    </w:p>
    <w:p w14:paraId="7C150A30" w14:textId="77777777" w:rsidR="00A77B3E" w:rsidRDefault="005C3C13">
      <w:pPr>
        <w:spacing w:line="360" w:lineRule="auto"/>
        <w:jc w:val="both"/>
      </w:pPr>
      <w:r>
        <w:rPr>
          <w:rFonts w:ascii="Book Antiqua" w:eastAsia="Book Antiqua" w:hAnsi="Book Antiqua" w:cs="Book Antiqua"/>
          <w:b/>
          <w:i/>
          <w:color w:val="000000"/>
        </w:rPr>
        <w:t>Research conclusions</w:t>
      </w:r>
    </w:p>
    <w:p w14:paraId="4E34C075" w14:textId="77777777" w:rsidR="00A77B3E" w:rsidRDefault="005C3C13">
      <w:pPr>
        <w:spacing w:line="360" w:lineRule="auto"/>
        <w:jc w:val="both"/>
      </w:pPr>
      <w:r>
        <w:rPr>
          <w:rFonts w:ascii="Book Antiqua" w:eastAsia="Book Antiqua" w:hAnsi="Book Antiqua" w:cs="Book Antiqua"/>
          <w:color w:val="000000"/>
        </w:rPr>
        <w:t>Steatosis, vascular thrombosis, fibrosis, and inflammatory abnormalities are the most frequent liver histopathological findings in COVID-19 patients.</w:t>
      </w:r>
    </w:p>
    <w:p w14:paraId="58C82D6E" w14:textId="77777777" w:rsidR="00A77B3E" w:rsidRDefault="00A77B3E">
      <w:pPr>
        <w:spacing w:line="360" w:lineRule="auto"/>
        <w:jc w:val="both"/>
      </w:pPr>
    </w:p>
    <w:p w14:paraId="1283C881" w14:textId="77777777" w:rsidR="00A77B3E" w:rsidRDefault="005C3C13">
      <w:pPr>
        <w:spacing w:line="360" w:lineRule="auto"/>
        <w:jc w:val="both"/>
      </w:pPr>
      <w:r>
        <w:rPr>
          <w:rFonts w:ascii="Book Antiqua" w:eastAsia="Book Antiqua" w:hAnsi="Book Antiqua" w:cs="Book Antiqua"/>
          <w:b/>
          <w:i/>
          <w:color w:val="000000"/>
        </w:rPr>
        <w:t>Research perspectives</w:t>
      </w:r>
    </w:p>
    <w:p w14:paraId="64AFB3C9" w14:textId="77777777" w:rsidR="00A77B3E" w:rsidRDefault="005C3C13">
      <w:pPr>
        <w:spacing w:line="360" w:lineRule="auto"/>
        <w:jc w:val="both"/>
      </w:pPr>
      <w:r>
        <w:rPr>
          <w:rFonts w:ascii="Book Antiqua" w:eastAsia="Book Antiqua" w:hAnsi="Book Antiqua" w:cs="Book Antiqua"/>
          <w:color w:val="000000"/>
        </w:rPr>
        <w:t>The multiple liver histopathological findings observed in COVID-19 demonstrate the susceptibility to liver injury in risk populations, the inflammatory response, and thrombosis associated with this infection.</w:t>
      </w:r>
    </w:p>
    <w:p w14:paraId="43910554" w14:textId="77777777" w:rsidR="00A77B3E" w:rsidRDefault="00A77B3E">
      <w:pPr>
        <w:spacing w:line="360" w:lineRule="auto"/>
        <w:jc w:val="both"/>
      </w:pPr>
    </w:p>
    <w:p w14:paraId="2D864328" w14:textId="77777777" w:rsidR="00A77B3E" w:rsidRDefault="005C3C13">
      <w:pPr>
        <w:spacing w:line="360" w:lineRule="auto"/>
        <w:jc w:val="both"/>
      </w:pPr>
      <w:r>
        <w:rPr>
          <w:rFonts w:ascii="Book Antiqua" w:eastAsia="Book Antiqua" w:hAnsi="Book Antiqua" w:cs="Book Antiqua"/>
          <w:b/>
          <w:caps/>
          <w:color w:val="000000"/>
          <w:u w:val="single"/>
        </w:rPr>
        <w:t>ACKNOWLEDGEMENTS</w:t>
      </w:r>
    </w:p>
    <w:p w14:paraId="12CB0EA1" w14:textId="17555800" w:rsidR="00A77B3E" w:rsidRDefault="005C3C13">
      <w:pPr>
        <w:spacing w:line="360" w:lineRule="auto"/>
        <w:jc w:val="both"/>
      </w:pPr>
      <w:r>
        <w:rPr>
          <w:rFonts w:ascii="Book Antiqua" w:eastAsia="Book Antiqua" w:hAnsi="Book Antiqua" w:cs="Book Antiqua"/>
          <w:color w:val="000000"/>
        </w:rPr>
        <w:t>To Riquelme</w:t>
      </w:r>
      <w:r w:rsidR="006340ED">
        <w:rPr>
          <w:rFonts w:ascii="Book Antiqua" w:eastAsia="Book Antiqua" w:hAnsi="Book Antiqua" w:cs="Book Antiqua"/>
          <w:color w:val="000000"/>
        </w:rPr>
        <w:t xml:space="preserve"> V</w:t>
      </w:r>
      <w:r>
        <w:rPr>
          <w:rFonts w:ascii="Book Antiqua" w:eastAsia="Book Antiqua" w:hAnsi="Book Antiqua" w:cs="Book Antiqua"/>
          <w:color w:val="000000"/>
        </w:rPr>
        <w:t>, Faculty of Arts, Pontificia Universidad Católica de Chile, for her contribution with illustrations.</w:t>
      </w:r>
    </w:p>
    <w:p w14:paraId="12FCF9B4" w14:textId="77777777" w:rsidR="00A77B3E" w:rsidRDefault="00A77B3E">
      <w:pPr>
        <w:spacing w:line="360" w:lineRule="auto"/>
        <w:jc w:val="both"/>
      </w:pPr>
    </w:p>
    <w:p w14:paraId="0E041F3F" w14:textId="77777777" w:rsidR="00A77B3E" w:rsidRDefault="005C3C13">
      <w:pPr>
        <w:spacing w:line="360" w:lineRule="auto"/>
        <w:jc w:val="both"/>
      </w:pPr>
      <w:r>
        <w:rPr>
          <w:rFonts w:ascii="Book Antiqua" w:eastAsia="Book Antiqua" w:hAnsi="Book Antiqua" w:cs="Book Antiqua"/>
          <w:b/>
          <w:color w:val="000000"/>
        </w:rPr>
        <w:t>REFERENCES</w:t>
      </w:r>
    </w:p>
    <w:p w14:paraId="4F2F77D9" w14:textId="77777777" w:rsidR="00A77B3E" w:rsidRDefault="005C3C13">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Díaz LA</w:t>
      </w:r>
      <w:r>
        <w:rPr>
          <w:rFonts w:ascii="Book Antiqua" w:eastAsia="Book Antiqua" w:hAnsi="Book Antiqua" w:cs="Book Antiqua"/>
          <w:color w:val="000000"/>
        </w:rPr>
        <w:t xml:space="preserve">, García-Salum T, Fuentes-López E, Ferrés M, Medina RA, Riquelme A. Symptom Profiles and Risk Factors for Hospitalization in Patients With SARS-CoV-2 and COVID-19: A Large Cohort From South America.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159</w:t>
      </w:r>
      <w:r>
        <w:rPr>
          <w:rFonts w:ascii="Book Antiqua" w:eastAsia="Book Antiqua" w:hAnsi="Book Antiqua" w:cs="Book Antiqua"/>
          <w:color w:val="000000"/>
        </w:rPr>
        <w:t>: 1148-1150 [PMID: 32437750 DOI: 10.1053/j.gastro.2020.05.014]</w:t>
      </w:r>
    </w:p>
    <w:p w14:paraId="6B159001" w14:textId="0F4DDBF8" w:rsidR="00A77B3E" w:rsidRDefault="005C3C13">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Cheung KS</w:t>
      </w:r>
      <w:r w:rsidRPr="00516149">
        <w:rPr>
          <w:rFonts w:ascii="Book Antiqua" w:eastAsia="Book Antiqua" w:hAnsi="Book Antiqua" w:cs="Book Antiqua"/>
          <w:color w:val="000000"/>
        </w:rPr>
        <w:t xml:space="preserve">, </w:t>
      </w:r>
      <w:r w:rsidR="00516149" w:rsidRPr="00516149">
        <w:rPr>
          <w:rFonts w:ascii="Book Antiqua" w:eastAsia="Book Antiqua" w:hAnsi="Book Antiqua" w:cs="Book Antiqua"/>
          <w:color w:val="000000"/>
        </w:rPr>
        <w:t xml:space="preserve">Hung IFN, Chan PPY, Lung KC, Tso E, Liu R, Ng YY, Chu MY, Chung TWH, Tam AR, Yip CCY, Leung KH, Fung AY, Zhang RR, Lin Y, Cheng HM, Zhang AJX, To KKW, Chan KH, Yuen KY, Leung WK. Gastrointestinal Manifestations of SARS-CoV-2 Infection and Virus Load in Fecal Samples From a Hong Kong Cohort: Systematic Review and Meta-analysis. </w:t>
      </w:r>
      <w:r w:rsidR="00516149" w:rsidRPr="00516149">
        <w:rPr>
          <w:rFonts w:ascii="Book Antiqua" w:eastAsia="Book Antiqua" w:hAnsi="Book Antiqua" w:cs="Book Antiqua"/>
          <w:i/>
          <w:iCs/>
          <w:color w:val="000000"/>
        </w:rPr>
        <w:t>Gastroenterology</w:t>
      </w:r>
      <w:r w:rsidR="00516149" w:rsidRPr="00516149">
        <w:rPr>
          <w:rFonts w:ascii="Book Antiqua" w:eastAsia="Book Antiqua" w:hAnsi="Book Antiqua" w:cs="Book Antiqua"/>
          <w:color w:val="000000"/>
        </w:rPr>
        <w:t xml:space="preserve"> 2020; </w:t>
      </w:r>
      <w:r w:rsidR="00516149" w:rsidRPr="00516149">
        <w:rPr>
          <w:rFonts w:ascii="Book Antiqua" w:eastAsia="Book Antiqua" w:hAnsi="Book Antiqua" w:cs="Book Antiqua"/>
          <w:b/>
          <w:bCs/>
          <w:color w:val="000000"/>
        </w:rPr>
        <w:t>159</w:t>
      </w:r>
      <w:r w:rsidR="00516149" w:rsidRPr="00516149">
        <w:rPr>
          <w:rFonts w:ascii="Book Antiqua" w:eastAsia="Book Antiqua" w:hAnsi="Book Antiqua" w:cs="Book Antiqua"/>
          <w:color w:val="000000"/>
        </w:rPr>
        <w:t>: 81-95 [PMID: 32251668 DOI: 10.1053/j.gastro.2020.03.065]</w:t>
      </w:r>
    </w:p>
    <w:p w14:paraId="35425DD7" w14:textId="424F2D62" w:rsidR="00A77B3E" w:rsidRDefault="005C3C13">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Zhang C</w:t>
      </w:r>
      <w:r>
        <w:rPr>
          <w:rFonts w:ascii="Book Antiqua" w:eastAsia="Book Antiqua" w:hAnsi="Book Antiqua" w:cs="Book Antiqua"/>
          <w:color w:val="000000"/>
        </w:rPr>
        <w:t xml:space="preserve">, Shi L, Wang FS. Liver injury in COVID-19: management and challenges. </w:t>
      </w:r>
      <w:r>
        <w:rPr>
          <w:rFonts w:ascii="Book Antiqua" w:eastAsia="Book Antiqua" w:hAnsi="Book Antiqua" w:cs="Book Antiqua"/>
          <w:i/>
          <w:iCs/>
          <w:color w:val="000000"/>
        </w:rPr>
        <w:t>Lancet Gastroenterol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xml:space="preserve">: 428-430 [PMID: 32145190 DOI: </w:t>
      </w:r>
      <w:r w:rsidR="00516149" w:rsidRPr="00516149">
        <w:rPr>
          <w:rFonts w:ascii="Book Antiqua" w:eastAsia="Book Antiqua" w:hAnsi="Book Antiqua" w:cs="Book Antiqua"/>
          <w:color w:val="000000"/>
        </w:rPr>
        <w:t>10.1016/S2468-1253(20)30057-1</w:t>
      </w:r>
      <w:r>
        <w:rPr>
          <w:rFonts w:ascii="Book Antiqua" w:eastAsia="Book Antiqua" w:hAnsi="Book Antiqua" w:cs="Book Antiqua"/>
          <w:color w:val="000000"/>
        </w:rPr>
        <w:t>]</w:t>
      </w:r>
    </w:p>
    <w:p w14:paraId="4E16D519" w14:textId="77777777" w:rsidR="00A77B3E" w:rsidRDefault="005C3C13">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Ridruejo E</w:t>
      </w:r>
      <w:r>
        <w:rPr>
          <w:rFonts w:ascii="Book Antiqua" w:eastAsia="Book Antiqua" w:hAnsi="Book Antiqua" w:cs="Book Antiqua"/>
          <w:color w:val="000000"/>
        </w:rPr>
        <w:t xml:space="preserve">, Soza A. The liver in times of COVID-19: What hepatologists should know. </w:t>
      </w:r>
      <w:r>
        <w:rPr>
          <w:rFonts w:ascii="Book Antiqua" w:eastAsia="Book Antiqua" w:hAnsi="Book Antiqua" w:cs="Book Antiqua"/>
          <w:i/>
          <w:iCs/>
          <w:color w:val="000000"/>
        </w:rPr>
        <w:t>Ann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19</w:t>
      </w:r>
      <w:r>
        <w:rPr>
          <w:rFonts w:ascii="Book Antiqua" w:eastAsia="Book Antiqua" w:hAnsi="Book Antiqua" w:cs="Book Antiqua"/>
          <w:color w:val="000000"/>
        </w:rPr>
        <w:t>: 353-358 [PMID: 32425991 DOI: 10.1016/j.aohep.2020.05.001]</w:t>
      </w:r>
    </w:p>
    <w:p w14:paraId="5CFA11AC" w14:textId="77777777" w:rsidR="00A77B3E" w:rsidRDefault="005C3C13">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Sultan S</w:t>
      </w:r>
      <w:r>
        <w:rPr>
          <w:rFonts w:ascii="Book Antiqua" w:eastAsia="Book Antiqua" w:hAnsi="Book Antiqua" w:cs="Book Antiqua"/>
          <w:color w:val="000000"/>
        </w:rPr>
        <w:t xml:space="preserve">, Altayar O, Siddique SM, Davitkov P, Feuerstein JD, Lim JK, Falck-Ytter Y, El-Serag HB; AGA Institute. Electronic address: ewilson@gastro.org. AGA Institute Rapid Review of the Gastrointestinal and Liver Manifestations of COVID-19, Meta-Analysis of International Data, and Recommendations for the Consultative Management of Patients with COVID-19.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159</w:t>
      </w:r>
      <w:r>
        <w:rPr>
          <w:rFonts w:ascii="Book Antiqua" w:eastAsia="Book Antiqua" w:hAnsi="Book Antiqua" w:cs="Book Antiqua"/>
          <w:color w:val="000000"/>
        </w:rPr>
        <w:t>: 320-334.e27 [PMID: 32407808 DOI: 10.1053/j.gastro.2020.05.001]</w:t>
      </w:r>
    </w:p>
    <w:p w14:paraId="0084DB6A" w14:textId="7BD68A69" w:rsidR="00A77B3E" w:rsidRDefault="005C3C13">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Zhang Y</w:t>
      </w:r>
      <w:r>
        <w:rPr>
          <w:rFonts w:ascii="Book Antiqua" w:eastAsia="Book Antiqua" w:hAnsi="Book Antiqua" w:cs="Book Antiqua"/>
          <w:color w:val="000000"/>
        </w:rPr>
        <w:t xml:space="preserve">, Zheng L, Liu L, Zhao M, Xiao J, Zhao Q. Liver impairment in COVID-19 patients: A retrospective analysis of 115 cases from a single centre in Wuhan city, China. </w:t>
      </w:r>
      <w:r>
        <w:rPr>
          <w:rFonts w:ascii="Book Antiqua" w:eastAsia="Book Antiqua" w:hAnsi="Book Antiqua" w:cs="Book Antiqua"/>
          <w:i/>
          <w:iCs/>
          <w:color w:val="000000"/>
        </w:rPr>
        <w:t>Liver Int</w:t>
      </w:r>
      <w:r>
        <w:rPr>
          <w:rFonts w:ascii="Book Antiqua" w:eastAsia="Book Antiqua" w:hAnsi="Book Antiqua" w:cs="Book Antiqua"/>
          <w:color w:val="000000"/>
        </w:rPr>
        <w:t xml:space="preserve"> 2020; </w:t>
      </w:r>
      <w:r>
        <w:rPr>
          <w:rFonts w:ascii="Book Antiqua" w:eastAsia="Book Antiqua" w:hAnsi="Book Antiqua" w:cs="Book Antiqua"/>
          <w:b/>
          <w:bCs/>
          <w:color w:val="000000"/>
        </w:rPr>
        <w:t>40</w:t>
      </w:r>
      <w:r>
        <w:rPr>
          <w:rFonts w:ascii="Book Antiqua" w:eastAsia="Book Antiqua" w:hAnsi="Book Antiqua" w:cs="Book Antiqua"/>
          <w:color w:val="000000"/>
        </w:rPr>
        <w:t>: 2095-2103 [PMID: 32239796 DOI: 10.1111/</w:t>
      </w:r>
      <w:r w:rsidR="00AB0D23">
        <w:rPr>
          <w:rFonts w:ascii="Book Antiqua" w:eastAsia="Book Antiqua" w:hAnsi="Book Antiqua" w:cs="Book Antiqua"/>
          <w:color w:val="000000"/>
        </w:rPr>
        <w:t>l</w:t>
      </w:r>
      <w:r>
        <w:rPr>
          <w:rFonts w:ascii="Book Antiqua" w:eastAsia="Book Antiqua" w:hAnsi="Book Antiqua" w:cs="Book Antiqua"/>
          <w:color w:val="000000"/>
        </w:rPr>
        <w:t>iv.14455]</w:t>
      </w:r>
    </w:p>
    <w:p w14:paraId="03E22284" w14:textId="621B0D5C" w:rsidR="00A77B3E" w:rsidRDefault="005C3C13">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Xu L</w:t>
      </w:r>
      <w:r w:rsidRPr="00516149">
        <w:rPr>
          <w:rFonts w:ascii="Book Antiqua" w:eastAsia="Book Antiqua" w:hAnsi="Book Antiqua" w:cs="Book Antiqua"/>
          <w:color w:val="000000"/>
        </w:rPr>
        <w:t xml:space="preserve">, </w:t>
      </w:r>
      <w:r w:rsidR="00516149" w:rsidRPr="00516149">
        <w:rPr>
          <w:rFonts w:ascii="Book Antiqua" w:eastAsia="Book Antiqua" w:hAnsi="Book Antiqua" w:cs="Book Antiqua"/>
          <w:color w:val="000000"/>
        </w:rPr>
        <w:t xml:space="preserve">Liu J, Lu M, Yang D, Zheng X. Liver injury during highly pathogenic human coronavirus infections. </w:t>
      </w:r>
      <w:r w:rsidR="00516149" w:rsidRPr="00516149">
        <w:rPr>
          <w:rFonts w:ascii="Book Antiqua" w:eastAsia="Book Antiqua" w:hAnsi="Book Antiqua" w:cs="Book Antiqua"/>
          <w:i/>
          <w:iCs/>
          <w:color w:val="000000"/>
        </w:rPr>
        <w:t>Liver Int</w:t>
      </w:r>
      <w:r w:rsidR="00516149" w:rsidRPr="00516149">
        <w:rPr>
          <w:rFonts w:ascii="Book Antiqua" w:eastAsia="Book Antiqua" w:hAnsi="Book Antiqua" w:cs="Book Antiqua"/>
          <w:color w:val="000000"/>
        </w:rPr>
        <w:t xml:space="preserve"> 2020; </w:t>
      </w:r>
      <w:r w:rsidR="00516149" w:rsidRPr="00516149">
        <w:rPr>
          <w:rFonts w:ascii="Book Antiqua" w:eastAsia="Book Antiqua" w:hAnsi="Book Antiqua" w:cs="Book Antiqua"/>
          <w:b/>
          <w:bCs/>
          <w:color w:val="000000"/>
        </w:rPr>
        <w:t>40</w:t>
      </w:r>
      <w:r w:rsidR="00516149" w:rsidRPr="00516149">
        <w:rPr>
          <w:rFonts w:ascii="Book Antiqua" w:eastAsia="Book Antiqua" w:hAnsi="Book Antiqua" w:cs="Book Antiqua"/>
          <w:color w:val="000000"/>
        </w:rPr>
        <w:t>: 998-1004 [PMID: 32170806 DOI: 10.1111/liv.14435]</w:t>
      </w:r>
    </w:p>
    <w:p w14:paraId="1552CD7E" w14:textId="77777777" w:rsidR="00A77B3E" w:rsidRDefault="005C3C13">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Adachi T</w:t>
      </w:r>
      <w:r>
        <w:rPr>
          <w:rFonts w:ascii="Book Antiqua" w:eastAsia="Book Antiqua" w:hAnsi="Book Antiqua" w:cs="Book Antiqua"/>
          <w:color w:val="000000"/>
        </w:rPr>
        <w:t xml:space="preserve">, Chong JM, Nakajima N, Sano M, Yamazaki J, Miyamoto I, Nishioka H, Akita H, Sato Y, Kataoka M, Katano H, Tobiume M, Sekizuka T, Itokawa K, Kuroda M, Suzuki T. Clinicopathologic and Immunohistochemical Findings from Autopsy of Patient with COVID-19, Japan. </w:t>
      </w:r>
      <w:r>
        <w:rPr>
          <w:rFonts w:ascii="Book Antiqua" w:eastAsia="Book Antiqua" w:hAnsi="Book Antiqua" w:cs="Book Antiqua"/>
          <w:i/>
          <w:iCs/>
          <w:color w:val="000000"/>
        </w:rPr>
        <w:t>Emerg Infect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[PMID: 32412897 DOI: 10.3201/eid2609.201353]</w:t>
      </w:r>
    </w:p>
    <w:p w14:paraId="24A207D7" w14:textId="77777777" w:rsidR="00A77B3E" w:rsidRDefault="005C3C13">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Chau TN</w:t>
      </w:r>
      <w:r>
        <w:rPr>
          <w:rFonts w:ascii="Book Antiqua" w:eastAsia="Book Antiqua" w:hAnsi="Book Antiqua" w:cs="Book Antiqua"/>
          <w:color w:val="000000"/>
        </w:rPr>
        <w:t xml:space="preserve">, Lee KC, Yao H, Tsang TY, Chow TC, Yeung YC, Choi KW, Tso YK, Lau T, Lai ST, Lai CL. SARS-associated viral hepatitis caused by a novel coronavirus: report of three cases.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2004; </w:t>
      </w:r>
      <w:r>
        <w:rPr>
          <w:rFonts w:ascii="Book Antiqua" w:eastAsia="Book Antiqua" w:hAnsi="Book Antiqua" w:cs="Book Antiqua"/>
          <w:b/>
          <w:bCs/>
          <w:color w:val="000000"/>
        </w:rPr>
        <w:t>39</w:t>
      </w:r>
      <w:r>
        <w:rPr>
          <w:rFonts w:ascii="Book Antiqua" w:eastAsia="Book Antiqua" w:hAnsi="Book Antiqua" w:cs="Book Antiqua"/>
          <w:color w:val="000000"/>
        </w:rPr>
        <w:t>: 302-310 [PMID: 14767982 DOI: 10.1002/hep.20111]</w:t>
      </w:r>
    </w:p>
    <w:p w14:paraId="77138BFD" w14:textId="2842FE1B" w:rsidR="00A77B3E" w:rsidRDefault="005C3C13">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Lang ZW</w:t>
      </w:r>
      <w:r>
        <w:rPr>
          <w:rFonts w:ascii="Book Antiqua" w:eastAsia="Book Antiqua" w:hAnsi="Book Antiqua" w:cs="Book Antiqua"/>
          <w:color w:val="000000"/>
        </w:rPr>
        <w:t xml:space="preserve">, Zhang LJ, Zhang SJ, Meng X, Li JQ, Song CZ, Sun L, Zhou YS. [A clinicopathological study on 3 cases of severe acute respiratory syndrome]. </w:t>
      </w:r>
      <w:r>
        <w:rPr>
          <w:rFonts w:ascii="Book Antiqua" w:eastAsia="Book Antiqua" w:hAnsi="Book Antiqua" w:cs="Book Antiqua"/>
          <w:i/>
          <w:iCs/>
          <w:color w:val="000000"/>
        </w:rPr>
        <w:t>Zhonghua Bing</w:t>
      </w:r>
      <w:r w:rsidR="00516149">
        <w:rPr>
          <w:rFonts w:ascii="Book Antiqua" w:eastAsia="Book Antiqua" w:hAnsi="Book Antiqua" w:cs="Book Antiqua"/>
          <w:i/>
          <w:iCs/>
          <w:color w:val="000000"/>
        </w:rPr>
        <w:t>l</w:t>
      </w:r>
      <w:r>
        <w:rPr>
          <w:rFonts w:ascii="Book Antiqua" w:eastAsia="Book Antiqua" w:hAnsi="Book Antiqua" w:cs="Book Antiqua"/>
          <w:i/>
          <w:iCs/>
          <w:color w:val="000000"/>
        </w:rPr>
        <w:t>i Xue Za</w:t>
      </w:r>
      <w:r w:rsidR="00516149">
        <w:rPr>
          <w:rFonts w:ascii="Book Antiqua" w:eastAsia="Book Antiqua" w:hAnsi="Book Antiqua" w:cs="Book Antiqua"/>
          <w:i/>
          <w:iCs/>
          <w:color w:val="000000"/>
        </w:rPr>
        <w:t>z</w:t>
      </w:r>
      <w:r>
        <w:rPr>
          <w:rFonts w:ascii="Book Antiqua" w:eastAsia="Book Antiqua" w:hAnsi="Book Antiqua" w:cs="Book Antiqua"/>
          <w:i/>
          <w:iCs/>
          <w:color w:val="000000"/>
        </w:rPr>
        <w:t>hi</w:t>
      </w:r>
      <w:r>
        <w:rPr>
          <w:rFonts w:ascii="Book Antiqua" w:eastAsia="Book Antiqua" w:hAnsi="Book Antiqua" w:cs="Book Antiqua"/>
          <w:color w:val="000000"/>
        </w:rPr>
        <w:t xml:space="preserve"> 2003; </w:t>
      </w:r>
      <w:r>
        <w:rPr>
          <w:rFonts w:ascii="Book Antiqua" w:eastAsia="Book Antiqua" w:hAnsi="Book Antiqua" w:cs="Book Antiqua"/>
          <w:b/>
          <w:bCs/>
          <w:color w:val="000000"/>
        </w:rPr>
        <w:t>32</w:t>
      </w:r>
      <w:r>
        <w:rPr>
          <w:rFonts w:ascii="Book Antiqua" w:eastAsia="Book Antiqua" w:hAnsi="Book Antiqua" w:cs="Book Antiqua"/>
          <w:color w:val="000000"/>
        </w:rPr>
        <w:t>: 201-204 [PMID: 12882681]</w:t>
      </w:r>
    </w:p>
    <w:p w14:paraId="43EE66DD" w14:textId="77777777" w:rsidR="00A77B3E" w:rsidRDefault="005C3C13">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Ng DL</w:t>
      </w:r>
      <w:r>
        <w:rPr>
          <w:rFonts w:ascii="Book Antiqua" w:eastAsia="Book Antiqua" w:hAnsi="Book Antiqua" w:cs="Book Antiqua"/>
          <w:color w:val="000000"/>
        </w:rPr>
        <w:t xml:space="preserve">, Al Hosani F, Keating MK, Gerber SI, Jones TL, Metcalfe MG, Tong S, Tao Y, Alami NN, Haynes LM, Mutei MA, Abdel-Wareth L, Uyeki TM, Swerdlow DL, Barakat M, Zaki SR. Clinicopathologic, Immunohistochemical, and Ultrastructural Findings of a Fatal Case of Middle East Respiratory Syndrome Coronavirus Infection in the United Arab Emirates, April 2014. </w:t>
      </w:r>
      <w:r>
        <w:rPr>
          <w:rFonts w:ascii="Book Antiqua" w:eastAsia="Book Antiqua" w:hAnsi="Book Antiqua" w:cs="Book Antiqua"/>
          <w:i/>
          <w:iCs/>
          <w:color w:val="000000"/>
        </w:rPr>
        <w:t>Am J Pathol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186</w:t>
      </w:r>
      <w:r>
        <w:rPr>
          <w:rFonts w:ascii="Book Antiqua" w:eastAsia="Book Antiqua" w:hAnsi="Book Antiqua" w:cs="Book Antiqua"/>
          <w:color w:val="000000"/>
        </w:rPr>
        <w:t>: 652-658 [PMID: 26857507 DOI: 10.1016/j.ajpath.2015.10.024]</w:t>
      </w:r>
    </w:p>
    <w:p w14:paraId="2BED132A" w14:textId="7541564C" w:rsidR="00A77B3E" w:rsidRDefault="005C3C13">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Xu Z</w:t>
      </w:r>
      <w:r>
        <w:rPr>
          <w:rFonts w:ascii="Book Antiqua" w:eastAsia="Book Antiqua" w:hAnsi="Book Antiqua" w:cs="Book Antiqua"/>
          <w:color w:val="000000"/>
        </w:rPr>
        <w:t xml:space="preserve">, Shi L, Wang Y, Zhang J, Huang L, Zhang C, Liu S, Zhao P, Liu H, Zhu L, Tai Y, Bai C, Gao T, Song J, Xia P, Dong J, Zhao J, Wang FS. Pathological findings of COVID-19 associated with acute respiratory distress syndrome. </w:t>
      </w:r>
      <w:r>
        <w:rPr>
          <w:rFonts w:ascii="Book Antiqua" w:eastAsia="Book Antiqua" w:hAnsi="Book Antiqua" w:cs="Book Antiqua"/>
          <w:i/>
          <w:iCs/>
          <w:color w:val="000000"/>
        </w:rPr>
        <w:t>Lancet Respir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xml:space="preserve">: 420-422 [PMID: 32085846 DOI: </w:t>
      </w:r>
      <w:r w:rsidR="00516149" w:rsidRPr="00516149">
        <w:rPr>
          <w:rFonts w:ascii="Book Antiqua" w:eastAsia="Book Antiqua" w:hAnsi="Book Antiqua" w:cs="Book Antiqua"/>
          <w:color w:val="000000"/>
        </w:rPr>
        <w:t>10.1016/S2213-2600(20)30076-X</w:t>
      </w:r>
      <w:r>
        <w:rPr>
          <w:rFonts w:ascii="Book Antiqua" w:eastAsia="Book Antiqua" w:hAnsi="Book Antiqua" w:cs="Book Antiqua"/>
          <w:color w:val="000000"/>
        </w:rPr>
        <w:t>]</w:t>
      </w:r>
    </w:p>
    <w:p w14:paraId="4104F4CB" w14:textId="2DA5F31B" w:rsidR="00A77B3E" w:rsidRDefault="005C3C13">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Varga Z</w:t>
      </w:r>
      <w:r w:rsidRPr="00516149">
        <w:rPr>
          <w:rFonts w:ascii="Book Antiqua" w:eastAsia="Book Antiqua" w:hAnsi="Book Antiqua" w:cs="Book Antiqua"/>
          <w:color w:val="000000"/>
        </w:rPr>
        <w:t xml:space="preserve">, </w:t>
      </w:r>
      <w:r w:rsidR="00516149" w:rsidRPr="00516149">
        <w:rPr>
          <w:rFonts w:ascii="Book Antiqua" w:eastAsia="Book Antiqua" w:hAnsi="Book Antiqua" w:cs="Book Antiqua"/>
          <w:color w:val="000000"/>
        </w:rPr>
        <w:t xml:space="preserve">Flammer AJ, Steiger P, Haberecker M, Andermatt R, Zinkernagel AS, Mehra MR, Schuepbach RA, Ruschitzka F, Moch H. Endothelial cell infection and endotheliitis in COVID-19. </w:t>
      </w:r>
      <w:r w:rsidR="00516149" w:rsidRPr="00516149">
        <w:rPr>
          <w:rFonts w:ascii="Book Antiqua" w:eastAsia="Book Antiqua" w:hAnsi="Book Antiqua" w:cs="Book Antiqua"/>
          <w:i/>
          <w:iCs/>
          <w:color w:val="000000"/>
        </w:rPr>
        <w:t>Lancet</w:t>
      </w:r>
      <w:r w:rsidR="00516149" w:rsidRPr="00516149">
        <w:rPr>
          <w:rFonts w:ascii="Book Antiqua" w:eastAsia="Book Antiqua" w:hAnsi="Book Antiqua" w:cs="Book Antiqua"/>
          <w:color w:val="000000"/>
        </w:rPr>
        <w:t xml:space="preserve"> 2020; </w:t>
      </w:r>
      <w:r w:rsidR="00516149" w:rsidRPr="00516149">
        <w:rPr>
          <w:rFonts w:ascii="Book Antiqua" w:eastAsia="Book Antiqua" w:hAnsi="Book Antiqua" w:cs="Book Antiqua"/>
          <w:b/>
          <w:bCs/>
          <w:color w:val="000000"/>
        </w:rPr>
        <w:t>395</w:t>
      </w:r>
      <w:r w:rsidR="00516149" w:rsidRPr="00516149">
        <w:rPr>
          <w:rFonts w:ascii="Book Antiqua" w:eastAsia="Book Antiqua" w:hAnsi="Book Antiqua" w:cs="Book Antiqua"/>
          <w:color w:val="000000"/>
        </w:rPr>
        <w:t>: 1417-1418 [PMID: 32325026 DOI: 10.1016/S0140-6736(20)30937-5]</w:t>
      </w:r>
    </w:p>
    <w:p w14:paraId="762FF4F9" w14:textId="1A8E6737" w:rsidR="00A77B3E" w:rsidRDefault="005C3C13">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Tian S</w:t>
      </w:r>
      <w:r w:rsidRPr="00516149">
        <w:rPr>
          <w:rFonts w:ascii="Book Antiqua" w:eastAsia="Book Antiqua" w:hAnsi="Book Antiqua" w:cs="Book Antiqua"/>
          <w:color w:val="000000"/>
        </w:rPr>
        <w:t xml:space="preserve">, </w:t>
      </w:r>
      <w:r w:rsidR="00516149" w:rsidRPr="00516149">
        <w:rPr>
          <w:rFonts w:ascii="Book Antiqua" w:eastAsia="Book Antiqua" w:hAnsi="Book Antiqua" w:cs="Book Antiqua"/>
          <w:color w:val="000000"/>
        </w:rPr>
        <w:t xml:space="preserve">Xiong Y, Liu H, Niu L, Guo J, Liao M, Xiao SY. Pathological study of the 2019 novel coronavirus disease (COVID-19) through postmortem core biopsies. </w:t>
      </w:r>
      <w:r w:rsidR="00516149" w:rsidRPr="00516149">
        <w:rPr>
          <w:rFonts w:ascii="Book Antiqua" w:eastAsia="Book Antiqua" w:hAnsi="Book Antiqua" w:cs="Book Antiqua"/>
          <w:i/>
          <w:iCs/>
          <w:color w:val="000000"/>
        </w:rPr>
        <w:t>Mod Pathol</w:t>
      </w:r>
      <w:r w:rsidR="00516149" w:rsidRPr="00516149">
        <w:rPr>
          <w:rFonts w:ascii="Book Antiqua" w:eastAsia="Book Antiqua" w:hAnsi="Book Antiqua" w:cs="Book Antiqua"/>
          <w:color w:val="000000"/>
        </w:rPr>
        <w:t xml:space="preserve"> 2020; </w:t>
      </w:r>
      <w:r w:rsidR="00516149" w:rsidRPr="00516149">
        <w:rPr>
          <w:rFonts w:ascii="Book Antiqua" w:eastAsia="Book Antiqua" w:hAnsi="Book Antiqua" w:cs="Book Antiqua"/>
          <w:b/>
          <w:bCs/>
          <w:color w:val="000000"/>
        </w:rPr>
        <w:t>33</w:t>
      </w:r>
      <w:r w:rsidR="00516149" w:rsidRPr="00516149">
        <w:rPr>
          <w:rFonts w:ascii="Book Antiqua" w:eastAsia="Book Antiqua" w:hAnsi="Book Antiqua" w:cs="Book Antiqua"/>
          <w:color w:val="000000"/>
        </w:rPr>
        <w:t>: 1007-1014 [PMID: 32291399 DOI: 10.1038/s41379-020-0536-x]</w:t>
      </w:r>
    </w:p>
    <w:p w14:paraId="28D5DD82" w14:textId="605C75C6" w:rsidR="00A77B3E" w:rsidRDefault="005C3C13">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Liberati A</w:t>
      </w:r>
      <w:r w:rsidRPr="00516149">
        <w:rPr>
          <w:rFonts w:ascii="Book Antiqua" w:eastAsia="Book Antiqua" w:hAnsi="Book Antiqua" w:cs="Book Antiqua"/>
          <w:color w:val="000000"/>
        </w:rPr>
        <w:t xml:space="preserve">, </w:t>
      </w:r>
      <w:r w:rsidR="00516149" w:rsidRPr="00516149">
        <w:rPr>
          <w:rFonts w:ascii="Book Antiqua" w:eastAsia="Book Antiqua" w:hAnsi="Book Antiqua" w:cs="Book Antiqua"/>
          <w:color w:val="000000"/>
        </w:rPr>
        <w:t xml:space="preserve">Altman DG, Tetzlaff J, Mulrow C, Gøtzsche PC, Ioannidis JP, Clarke M, Devereaux PJ, Kleijnen J, Moher D. The PRISMA statement for reporting systematic reviews and meta-analyses of studies that evaluate healthcare interventions: explanation and elaboration. </w:t>
      </w:r>
      <w:r w:rsidR="00516149" w:rsidRPr="00516149">
        <w:rPr>
          <w:rFonts w:ascii="Book Antiqua" w:eastAsia="Book Antiqua" w:hAnsi="Book Antiqua" w:cs="Book Antiqua"/>
          <w:i/>
          <w:iCs/>
          <w:color w:val="000000"/>
        </w:rPr>
        <w:t>BMJ</w:t>
      </w:r>
      <w:r w:rsidR="00516149" w:rsidRPr="00516149">
        <w:rPr>
          <w:rFonts w:ascii="Book Antiqua" w:eastAsia="Book Antiqua" w:hAnsi="Book Antiqua" w:cs="Book Antiqua"/>
          <w:color w:val="000000"/>
        </w:rPr>
        <w:t xml:space="preserve"> 2009; </w:t>
      </w:r>
      <w:r w:rsidR="00516149" w:rsidRPr="00516149">
        <w:rPr>
          <w:rFonts w:ascii="Book Antiqua" w:eastAsia="Book Antiqua" w:hAnsi="Book Antiqua" w:cs="Book Antiqua"/>
          <w:b/>
          <w:bCs/>
          <w:color w:val="000000"/>
        </w:rPr>
        <w:t>339</w:t>
      </w:r>
      <w:r w:rsidR="00516149" w:rsidRPr="00516149">
        <w:rPr>
          <w:rFonts w:ascii="Book Antiqua" w:eastAsia="Book Antiqua" w:hAnsi="Book Antiqua" w:cs="Book Antiqua"/>
          <w:color w:val="000000"/>
        </w:rPr>
        <w:t>: b2700 [PMID: 19622552 DOI: 10.1136/bmj.b2700]</w:t>
      </w:r>
    </w:p>
    <w:p w14:paraId="2F9F912E" w14:textId="77C87371" w:rsidR="00A77B3E" w:rsidRDefault="005C3C13">
      <w:pPr>
        <w:spacing w:line="360" w:lineRule="auto"/>
        <w:jc w:val="both"/>
        <w:rPr>
          <w:rFonts w:ascii="Book Antiqua" w:eastAsia="Book Antiqua" w:hAnsi="Book Antiqua" w:cs="Book Antiqua"/>
          <w:color w:val="000000"/>
        </w:rPr>
      </w:pPr>
      <w:r w:rsidRPr="0069198E">
        <w:rPr>
          <w:rFonts w:ascii="Book Antiqua" w:eastAsia="Book Antiqua" w:hAnsi="Book Antiqua" w:cs="Book Antiqua"/>
          <w:color w:val="000000"/>
        </w:rPr>
        <w:t xml:space="preserve">16 </w:t>
      </w:r>
      <w:r w:rsidRPr="0069198E">
        <w:rPr>
          <w:rFonts w:ascii="Book Antiqua" w:eastAsia="Book Antiqua" w:hAnsi="Book Antiqua" w:cs="Book Antiqua"/>
          <w:b/>
          <w:bCs/>
          <w:color w:val="000000"/>
        </w:rPr>
        <w:t>Sonzogni A</w:t>
      </w:r>
      <w:r w:rsidRPr="0069198E">
        <w:rPr>
          <w:rFonts w:ascii="Book Antiqua" w:eastAsia="Book Antiqua" w:hAnsi="Book Antiqua" w:cs="Book Antiqua"/>
          <w:color w:val="000000"/>
        </w:rPr>
        <w:t xml:space="preserve">, Previtali G, Seghezzi M, </w:t>
      </w:r>
      <w:r w:rsidR="00574F5D" w:rsidRPr="00574F5D">
        <w:rPr>
          <w:rFonts w:ascii="Book Antiqua" w:eastAsia="Book Antiqua" w:hAnsi="Book Antiqua" w:cs="Book Antiqua"/>
          <w:color w:val="000000"/>
        </w:rPr>
        <w:t>Grazia Alessio M</w:t>
      </w:r>
      <w:r w:rsidRPr="0069198E">
        <w:rPr>
          <w:rFonts w:ascii="Book Antiqua" w:eastAsia="Book Antiqua" w:hAnsi="Book Antiqua" w:cs="Book Antiqua"/>
          <w:color w:val="000000"/>
        </w:rPr>
        <w:t>, Gianatti A, Licini L</w:t>
      </w:r>
      <w:r w:rsidR="00574F5D" w:rsidRPr="00574F5D">
        <w:rPr>
          <w:rFonts w:ascii="Book Antiqua" w:eastAsia="Book Antiqua" w:hAnsi="Book Antiqua" w:cs="Book Antiqua"/>
          <w:color w:val="000000"/>
        </w:rPr>
        <w:t>, Morotti D</w:t>
      </w:r>
      <w:r w:rsidRPr="0069198E">
        <w:rPr>
          <w:rFonts w:ascii="Book Antiqua" w:eastAsia="Book Antiqua" w:hAnsi="Book Antiqua" w:cs="Book Antiqua"/>
          <w:color w:val="000000"/>
        </w:rPr>
        <w:t xml:space="preserve"> Zerbi P, Carsana L, Rossi R, Lauri E, Pellegrinelli A, Nebuloni M. </w:t>
      </w:r>
      <w:r w:rsidR="00436952" w:rsidRPr="0069198E">
        <w:rPr>
          <w:rFonts w:ascii="Book Antiqua" w:eastAsia="Book Antiqua" w:hAnsi="Book Antiqua" w:cs="Book Antiqua"/>
          <w:color w:val="000000"/>
        </w:rPr>
        <w:t>Liver histopathology in severe COVID 19 respiratory failure is suggestive of vascular alterations</w:t>
      </w:r>
      <w:r w:rsidRPr="0069198E">
        <w:rPr>
          <w:rFonts w:ascii="Book Antiqua" w:eastAsia="Book Antiqua" w:hAnsi="Book Antiqua" w:cs="Book Antiqua"/>
          <w:color w:val="000000"/>
        </w:rPr>
        <w:t xml:space="preserve">. </w:t>
      </w:r>
      <w:r w:rsidR="00436952" w:rsidRPr="0069198E">
        <w:rPr>
          <w:rFonts w:ascii="Book Antiqua" w:eastAsia="Book Antiqua" w:hAnsi="Book Antiqua" w:cs="Book Antiqua"/>
          <w:i/>
          <w:iCs/>
          <w:color w:val="000000"/>
        </w:rPr>
        <w:t xml:space="preserve">Liver Int </w:t>
      </w:r>
      <w:r w:rsidR="00436952" w:rsidRPr="00436952">
        <w:rPr>
          <w:rFonts w:ascii="Book Antiqua" w:eastAsia="Book Antiqua" w:hAnsi="Book Antiqua" w:cs="Book Antiqua"/>
          <w:color w:val="000000"/>
        </w:rPr>
        <w:t>2020;</w:t>
      </w:r>
      <w:r w:rsidR="0069198E">
        <w:rPr>
          <w:rFonts w:ascii="Book Antiqua" w:eastAsia="Book Antiqua" w:hAnsi="Book Antiqua" w:cs="Book Antiqua"/>
          <w:color w:val="000000"/>
        </w:rPr>
        <w:t xml:space="preserve"> </w:t>
      </w:r>
      <w:r w:rsidR="00436952" w:rsidRPr="0069198E">
        <w:rPr>
          <w:rFonts w:ascii="Book Antiqua" w:eastAsia="Book Antiqua" w:hAnsi="Book Antiqua" w:cs="Book Antiqua"/>
          <w:b/>
          <w:bCs/>
          <w:color w:val="000000"/>
        </w:rPr>
        <w:t>40</w:t>
      </w:r>
      <w:r w:rsidR="00436952" w:rsidRPr="00436952">
        <w:rPr>
          <w:rFonts w:ascii="Book Antiqua" w:eastAsia="Book Antiqua" w:hAnsi="Book Antiqua" w:cs="Book Antiqua"/>
          <w:color w:val="000000"/>
        </w:rPr>
        <w:t>: 2110-2116</w:t>
      </w:r>
      <w:r w:rsidR="00436952">
        <w:rPr>
          <w:rFonts w:ascii="Book Antiqua" w:eastAsia="Book Antiqua" w:hAnsi="Book Antiqua" w:cs="Book Antiqua"/>
          <w:color w:val="000000"/>
        </w:rPr>
        <w:t xml:space="preserve"> [</w:t>
      </w:r>
      <w:r w:rsidR="00436952" w:rsidRPr="00436952">
        <w:rPr>
          <w:rFonts w:ascii="Book Antiqua" w:eastAsia="Book Antiqua" w:hAnsi="Book Antiqua" w:cs="Book Antiqua"/>
          <w:color w:val="000000"/>
        </w:rPr>
        <w:t>PMID: 32654359 DOI: 10.1111/liv.14601</w:t>
      </w:r>
      <w:r w:rsidR="00436952">
        <w:rPr>
          <w:rFonts w:ascii="Book Antiqua" w:eastAsia="Book Antiqua" w:hAnsi="Book Antiqua" w:cs="Book Antiqua"/>
          <w:color w:val="000000"/>
        </w:rPr>
        <w:t>]</w:t>
      </w:r>
    </w:p>
    <w:p w14:paraId="0AFE8296" w14:textId="77777777" w:rsidR="00073698" w:rsidRDefault="00073698" w:rsidP="00073698">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Barton LM</w:t>
      </w:r>
      <w:r w:rsidRPr="00FD3D9C">
        <w:rPr>
          <w:rFonts w:ascii="Book Antiqua" w:eastAsia="Book Antiqua" w:hAnsi="Book Antiqua" w:cs="Book Antiqua"/>
          <w:color w:val="000000"/>
        </w:rPr>
        <w:t xml:space="preserve">, Duval EJ, Stroberg E, Ghosh S, Mukhopadhyay S. COVID-19 Autopsies, Oklahoma, USA. </w:t>
      </w:r>
      <w:r w:rsidRPr="00FD3D9C">
        <w:rPr>
          <w:rFonts w:ascii="Book Antiqua" w:eastAsia="Book Antiqua" w:hAnsi="Book Antiqua" w:cs="Book Antiqua"/>
          <w:i/>
          <w:iCs/>
          <w:color w:val="000000"/>
        </w:rPr>
        <w:t>Am J Clin Pathol</w:t>
      </w:r>
      <w:r w:rsidRPr="00FD3D9C">
        <w:rPr>
          <w:rFonts w:ascii="Book Antiqua" w:eastAsia="Book Antiqua" w:hAnsi="Book Antiqua" w:cs="Book Antiqua"/>
          <w:color w:val="000000"/>
        </w:rPr>
        <w:t xml:space="preserve"> 2020; </w:t>
      </w:r>
      <w:r w:rsidRPr="00FD3D9C">
        <w:rPr>
          <w:rFonts w:ascii="Book Antiqua" w:eastAsia="Book Antiqua" w:hAnsi="Book Antiqua" w:cs="Book Antiqua"/>
          <w:b/>
          <w:bCs/>
          <w:color w:val="000000"/>
        </w:rPr>
        <w:t>153</w:t>
      </w:r>
      <w:r w:rsidRPr="00FD3D9C">
        <w:rPr>
          <w:rFonts w:ascii="Book Antiqua" w:eastAsia="Book Antiqua" w:hAnsi="Book Antiqua" w:cs="Book Antiqua"/>
          <w:color w:val="000000"/>
        </w:rPr>
        <w:t>: 725-733 [PMID: 32275742 DOI: 10.1093/ajcp/aqaa062]</w:t>
      </w:r>
    </w:p>
    <w:p w14:paraId="60E478FA" w14:textId="750F49BF" w:rsidR="00073698" w:rsidRDefault="00073698" w:rsidP="00073698">
      <w:pPr>
        <w:spacing w:line="360" w:lineRule="auto"/>
        <w:jc w:val="both"/>
      </w:pPr>
      <w:r w:rsidRPr="0069198E">
        <w:rPr>
          <w:rFonts w:ascii="Book Antiqua" w:eastAsia="Book Antiqua" w:hAnsi="Book Antiqua" w:cs="Book Antiqua"/>
          <w:color w:val="000000"/>
        </w:rPr>
        <w:t xml:space="preserve">18 </w:t>
      </w:r>
      <w:r w:rsidRPr="0069198E">
        <w:rPr>
          <w:rFonts w:ascii="Book Antiqua" w:eastAsia="Book Antiqua" w:hAnsi="Book Antiqua" w:cs="Book Antiqua"/>
          <w:b/>
          <w:bCs/>
          <w:color w:val="000000"/>
        </w:rPr>
        <w:t>Bradley BT</w:t>
      </w:r>
      <w:r w:rsidRPr="0069198E">
        <w:rPr>
          <w:rFonts w:ascii="Book Antiqua" w:eastAsia="Book Antiqua" w:hAnsi="Book Antiqua" w:cs="Book Antiqua"/>
          <w:color w:val="000000"/>
        </w:rPr>
        <w:t>, Maioli H, Johnston R, Chaudhry I, Fink SL, Xu H</w:t>
      </w:r>
      <w:r w:rsidR="00574F5D" w:rsidRPr="00574F5D">
        <w:t xml:space="preserve"> </w:t>
      </w:r>
      <w:r w:rsidR="00574F5D" w:rsidRPr="00574F5D">
        <w:rPr>
          <w:rFonts w:ascii="Book Antiqua" w:eastAsia="Book Antiqua" w:hAnsi="Book Antiqua" w:cs="Book Antiqua"/>
          <w:color w:val="000000"/>
        </w:rPr>
        <w:t xml:space="preserve">Najafian B, Deutsch G, Lacy JM, Williams T, Yarid N, Marshall DA. </w:t>
      </w:r>
      <w:r w:rsidR="00575A9D" w:rsidRPr="0069198E">
        <w:rPr>
          <w:rFonts w:ascii="Book Antiqua" w:eastAsia="Book Antiqua" w:hAnsi="Book Antiqua" w:cs="Book Antiqua"/>
          <w:color w:val="000000"/>
        </w:rPr>
        <w:t>Histopathology and ultrastructural findings of fatal COVID-19 infections in Washington State: a case series.</w:t>
      </w:r>
      <w:r w:rsidRPr="0069198E">
        <w:rPr>
          <w:rFonts w:ascii="Book Antiqua" w:eastAsia="Book Antiqua" w:hAnsi="Book Antiqua" w:cs="Book Antiqua"/>
          <w:color w:val="000000"/>
        </w:rPr>
        <w:t xml:space="preserve"> </w:t>
      </w:r>
      <w:r w:rsidR="00575A9D" w:rsidRPr="0069198E">
        <w:rPr>
          <w:rFonts w:ascii="Book Antiqua" w:eastAsia="Book Antiqua" w:hAnsi="Book Antiqua" w:cs="Book Antiqua"/>
          <w:i/>
          <w:iCs/>
          <w:color w:val="000000"/>
        </w:rPr>
        <w:t xml:space="preserve">Lancet </w:t>
      </w:r>
      <w:r w:rsidR="00575A9D" w:rsidRPr="0069198E">
        <w:rPr>
          <w:rFonts w:ascii="Book Antiqua" w:eastAsia="Book Antiqua" w:hAnsi="Book Antiqua" w:cs="Book Antiqua"/>
          <w:color w:val="000000"/>
        </w:rPr>
        <w:t xml:space="preserve">2020; </w:t>
      </w:r>
      <w:r w:rsidR="00575A9D" w:rsidRPr="0069198E">
        <w:rPr>
          <w:rFonts w:ascii="Book Antiqua" w:eastAsia="Book Antiqua" w:hAnsi="Book Antiqua" w:cs="Book Antiqua"/>
          <w:b/>
          <w:bCs/>
          <w:color w:val="000000"/>
        </w:rPr>
        <w:t>396</w:t>
      </w:r>
      <w:r w:rsidR="00575A9D" w:rsidRPr="0069198E">
        <w:rPr>
          <w:rFonts w:ascii="Book Antiqua" w:eastAsia="Book Antiqua" w:hAnsi="Book Antiqua" w:cs="Book Antiqua"/>
          <w:color w:val="000000"/>
        </w:rPr>
        <w:t>: 320-332 [PMID: 32682491 DOI: 10.1016/S0140-6736(20)31305-2</w:t>
      </w:r>
      <w:r w:rsidRPr="0069198E">
        <w:rPr>
          <w:rFonts w:ascii="Book Antiqua" w:eastAsia="Book Antiqua" w:hAnsi="Book Antiqua" w:cs="Book Antiqua"/>
          <w:color w:val="000000"/>
        </w:rPr>
        <w:t>]</w:t>
      </w:r>
    </w:p>
    <w:p w14:paraId="3801E969" w14:textId="77777777" w:rsidR="00073698" w:rsidRDefault="00073698" w:rsidP="00073698">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Buja LM</w:t>
      </w:r>
      <w:r w:rsidRPr="00FD3D9C">
        <w:rPr>
          <w:rFonts w:ascii="Book Antiqua" w:eastAsia="Book Antiqua" w:hAnsi="Book Antiqua" w:cs="Book Antiqua"/>
          <w:color w:val="000000"/>
        </w:rPr>
        <w:t xml:space="preserve">, Wolf DA, Zhao B, Akkanti B, McDonald M, Lelenwa L, Reilly N, Ottaviani G, Elghetany MT, Trujillo DO, Aisenberg GM, Madjid M, Kar B. The emerging spectrum of cardiopulmonary pathology of the coronavirus disease 2019 (COVID-19): Report of 3 autopsies from Houston, Texas, and review of autopsy findings from other United States cities. </w:t>
      </w:r>
      <w:r w:rsidRPr="00FD3D9C">
        <w:rPr>
          <w:rFonts w:ascii="Book Antiqua" w:eastAsia="Book Antiqua" w:hAnsi="Book Antiqua" w:cs="Book Antiqua"/>
          <w:i/>
          <w:iCs/>
          <w:color w:val="000000"/>
        </w:rPr>
        <w:t>Cardiovasc Pathol</w:t>
      </w:r>
      <w:r w:rsidRPr="00FD3D9C">
        <w:rPr>
          <w:rFonts w:ascii="Book Antiqua" w:eastAsia="Book Antiqua" w:hAnsi="Book Antiqua" w:cs="Book Antiqua"/>
          <w:color w:val="000000"/>
        </w:rPr>
        <w:t xml:space="preserve"> 2020; </w:t>
      </w:r>
      <w:r w:rsidRPr="00FD3D9C">
        <w:rPr>
          <w:rFonts w:ascii="Book Antiqua" w:eastAsia="Book Antiqua" w:hAnsi="Book Antiqua" w:cs="Book Antiqua"/>
          <w:b/>
          <w:bCs/>
          <w:color w:val="000000"/>
        </w:rPr>
        <w:t>48</w:t>
      </w:r>
      <w:r w:rsidRPr="00FD3D9C">
        <w:rPr>
          <w:rFonts w:ascii="Book Antiqua" w:eastAsia="Book Antiqua" w:hAnsi="Book Antiqua" w:cs="Book Antiqua"/>
          <w:color w:val="000000"/>
        </w:rPr>
        <w:t>: 107233 [PMID: 32434133 DOI: 10.1016/j.carpath.2020.107233]</w:t>
      </w:r>
    </w:p>
    <w:p w14:paraId="3C642BC6" w14:textId="77777777" w:rsidR="00073698" w:rsidRDefault="00073698" w:rsidP="00073698">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Craver R</w:t>
      </w:r>
      <w:r>
        <w:rPr>
          <w:rFonts w:ascii="Book Antiqua" w:eastAsia="Book Antiqua" w:hAnsi="Book Antiqua" w:cs="Book Antiqua"/>
          <w:color w:val="000000"/>
        </w:rPr>
        <w:t xml:space="preserve">, Huber S, Sandomirsky M, McKenna D, Schieffelin J, Finger L. Fatal Eosinophilic Myocarditis in a Healthy 17-Year-Old Male with Severe Acute Respiratory Syndrome Coronavirus 2 (SARS-CoV-2c). </w:t>
      </w:r>
      <w:r>
        <w:rPr>
          <w:rFonts w:ascii="Book Antiqua" w:eastAsia="Book Antiqua" w:hAnsi="Book Antiqua" w:cs="Book Antiqua"/>
          <w:i/>
          <w:iCs/>
          <w:color w:val="000000"/>
        </w:rPr>
        <w:t>Fetal Pediatr Pathol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39</w:t>
      </w:r>
      <w:r>
        <w:rPr>
          <w:rFonts w:ascii="Book Antiqua" w:eastAsia="Book Antiqua" w:hAnsi="Book Antiqua" w:cs="Book Antiqua"/>
          <w:color w:val="000000"/>
        </w:rPr>
        <w:t>: 263-268 [PMID: 32401577 DOI: 10.1080/15513815.2020.1761491]</w:t>
      </w:r>
    </w:p>
    <w:p w14:paraId="69F02178" w14:textId="77777777" w:rsidR="00073698" w:rsidRDefault="00073698" w:rsidP="00073698">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Lacy JM</w:t>
      </w:r>
      <w:r>
        <w:rPr>
          <w:rFonts w:ascii="Book Antiqua" w:eastAsia="Book Antiqua" w:hAnsi="Book Antiqua" w:cs="Book Antiqua"/>
          <w:color w:val="000000"/>
        </w:rPr>
        <w:t xml:space="preserve">, Brooks EG, Akers J, Armstrong D, Decker L, Gonzalez A, Humphrey W, Mayer R, Miller M, Perez C, Arango JAR, Sathyavagiswaran L, Stroh W, Utley S. COVID-19: Postmortem Diagnostic and Biosafety Considerations. </w:t>
      </w:r>
      <w:r>
        <w:rPr>
          <w:rFonts w:ascii="Book Antiqua" w:eastAsia="Book Antiqua" w:hAnsi="Book Antiqua" w:cs="Book Antiqua"/>
          <w:i/>
          <w:iCs/>
          <w:color w:val="000000"/>
        </w:rPr>
        <w:t>Am J Forensic Med Pathol</w:t>
      </w:r>
      <w:r>
        <w:rPr>
          <w:rFonts w:ascii="Book Antiqua" w:eastAsia="Book Antiqua" w:hAnsi="Book Antiqua" w:cs="Book Antiqua"/>
          <w:color w:val="000000"/>
        </w:rPr>
        <w:t xml:space="preserve"> 2020; </w:t>
      </w:r>
      <w:r>
        <w:rPr>
          <w:rFonts w:ascii="Book Antiqua" w:eastAsia="Book Antiqua" w:hAnsi="Book Antiqua" w:cs="Book Antiqua"/>
          <w:b/>
          <w:bCs/>
          <w:color w:val="000000"/>
        </w:rPr>
        <w:t>41</w:t>
      </w:r>
      <w:r>
        <w:rPr>
          <w:rFonts w:ascii="Book Antiqua" w:eastAsia="Book Antiqua" w:hAnsi="Book Antiqua" w:cs="Book Antiqua"/>
          <w:color w:val="000000"/>
        </w:rPr>
        <w:t xml:space="preserve">: 143-151 [PMID: 32379077 DOI: </w:t>
      </w:r>
      <w:r w:rsidRPr="00175484">
        <w:rPr>
          <w:rFonts w:ascii="Book Antiqua" w:eastAsia="Book Antiqua" w:hAnsi="Book Antiqua" w:cs="Book Antiqua"/>
          <w:color w:val="000000"/>
        </w:rPr>
        <w:t>10.1097/PAF.0000000000000567</w:t>
      </w:r>
      <w:r>
        <w:rPr>
          <w:rFonts w:ascii="Book Antiqua" w:eastAsia="Book Antiqua" w:hAnsi="Book Antiqua" w:cs="Book Antiqua"/>
          <w:color w:val="000000"/>
        </w:rPr>
        <w:t>]</w:t>
      </w:r>
    </w:p>
    <w:p w14:paraId="3C40F0EE" w14:textId="77777777" w:rsidR="00073698" w:rsidRDefault="00073698" w:rsidP="00073698">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Martines RB</w:t>
      </w:r>
      <w:r>
        <w:rPr>
          <w:rFonts w:ascii="Book Antiqua" w:eastAsia="Book Antiqua" w:hAnsi="Book Antiqua" w:cs="Book Antiqua"/>
          <w:color w:val="000000"/>
        </w:rPr>
        <w:t xml:space="preserve">, Ritter JM, Matkovic E, Gary J, Bollweg BC, Bullock H, Goldsmith CS, Silva-Flannery L, Seixas JN, Reagan-Steiner S, Uyeki T, Denison A, Bhatnagar J, Shieh WJ, Zaki SR; COVID-19 Pathology Working Group. Pathology and Pathogenesis of SARS-CoV-2 Associated with Fatal Coronavirus Disease, United States. </w:t>
      </w:r>
      <w:r>
        <w:rPr>
          <w:rFonts w:ascii="Book Antiqua" w:eastAsia="Book Antiqua" w:hAnsi="Book Antiqua" w:cs="Book Antiqua"/>
          <w:i/>
          <w:iCs/>
          <w:color w:val="000000"/>
        </w:rPr>
        <w:t>Emerg Infect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26</w:t>
      </w:r>
      <w:r>
        <w:rPr>
          <w:rFonts w:ascii="Book Antiqua" w:eastAsia="Book Antiqua" w:hAnsi="Book Antiqua" w:cs="Book Antiqua"/>
          <w:color w:val="000000"/>
        </w:rPr>
        <w:t>: 2005-2015 [PMID: 32437316 DOI: 10.3201/eid2609.202095]</w:t>
      </w:r>
    </w:p>
    <w:p w14:paraId="2267A95D" w14:textId="77777777" w:rsidR="00073698" w:rsidRDefault="00073698" w:rsidP="00073698">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Menter T</w:t>
      </w:r>
      <w:r>
        <w:rPr>
          <w:rFonts w:ascii="Book Antiqua" w:eastAsia="Book Antiqua" w:hAnsi="Book Antiqua" w:cs="Book Antiqua"/>
          <w:color w:val="000000"/>
        </w:rPr>
        <w:t xml:space="preserve">, Haslbauer JD, Nienhold R, Savic S, Hopfer H, Deigendesch N, Frank S, Turek D, Willi N, Pargger H, Bassetti S, Leuppi JD, Cathomas G, Tolnay M, Mertz KD, Tzankov A. Postmortem examination of COVID-19 patients reveals diffuse alveolar damage with severe capillary congestion and variegated findings in lungs and other organs suggesting vascular dysfunction. </w:t>
      </w:r>
      <w:r>
        <w:rPr>
          <w:rFonts w:ascii="Book Antiqua" w:eastAsia="Book Antiqua" w:hAnsi="Book Antiqua" w:cs="Book Antiqua"/>
          <w:i/>
          <w:iCs/>
          <w:color w:val="000000"/>
        </w:rPr>
        <w:t>Histopathology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77</w:t>
      </w:r>
      <w:r>
        <w:rPr>
          <w:rFonts w:ascii="Book Antiqua" w:eastAsia="Book Antiqua" w:hAnsi="Book Antiqua" w:cs="Book Antiqua"/>
          <w:color w:val="000000"/>
        </w:rPr>
        <w:t>: 198-209 [PMID: 32364264 DOI: 10.1111/his.14134]</w:t>
      </w:r>
    </w:p>
    <w:p w14:paraId="7DD91286" w14:textId="6CE21D95" w:rsidR="00073698" w:rsidRDefault="00073698" w:rsidP="00073698">
      <w:pPr>
        <w:spacing w:line="360" w:lineRule="auto"/>
        <w:jc w:val="both"/>
      </w:pPr>
      <w:r w:rsidRPr="0069198E">
        <w:rPr>
          <w:rFonts w:ascii="Book Antiqua" w:eastAsia="Book Antiqua" w:hAnsi="Book Antiqua" w:cs="Book Antiqua"/>
          <w:color w:val="000000"/>
        </w:rPr>
        <w:t xml:space="preserve">24 </w:t>
      </w:r>
      <w:r w:rsidRPr="0069198E">
        <w:rPr>
          <w:rFonts w:ascii="Book Antiqua" w:eastAsia="Book Antiqua" w:hAnsi="Book Antiqua" w:cs="Book Antiqua"/>
          <w:b/>
          <w:bCs/>
          <w:color w:val="000000"/>
        </w:rPr>
        <w:t>Remmelink M</w:t>
      </w:r>
      <w:r w:rsidRPr="0069198E">
        <w:rPr>
          <w:rFonts w:ascii="Book Antiqua" w:eastAsia="Book Antiqua" w:hAnsi="Book Antiqua" w:cs="Book Antiqua"/>
          <w:color w:val="000000"/>
        </w:rPr>
        <w:t xml:space="preserve">, De </w:t>
      </w:r>
      <w:r w:rsidR="00574F5D" w:rsidRPr="00574F5D">
        <w:rPr>
          <w:rFonts w:ascii="Book Antiqua" w:eastAsia="Book Antiqua" w:hAnsi="Book Antiqua" w:cs="Book Antiqua"/>
          <w:color w:val="000000"/>
        </w:rPr>
        <w:t>Mendonça</w:t>
      </w:r>
      <w:r w:rsidRPr="0069198E">
        <w:rPr>
          <w:rFonts w:ascii="Book Antiqua" w:eastAsia="Book Antiqua" w:hAnsi="Book Antiqua" w:cs="Book Antiqua"/>
          <w:color w:val="000000"/>
        </w:rPr>
        <w:t xml:space="preserve"> R, D'Haene N, De Clercq S, Verocq C, Lebrun L, Lavis P, Racu ML, </w:t>
      </w:r>
      <w:r w:rsidR="00574F5D" w:rsidRPr="00574F5D">
        <w:rPr>
          <w:rFonts w:ascii="Book Antiqua" w:eastAsia="Book Antiqua" w:hAnsi="Book Antiqua" w:cs="Book Antiqua"/>
          <w:color w:val="000000"/>
        </w:rPr>
        <w:t>Trépant</w:t>
      </w:r>
      <w:r w:rsidRPr="0069198E">
        <w:rPr>
          <w:rFonts w:ascii="Book Antiqua" w:eastAsia="Book Antiqua" w:hAnsi="Book Antiqua" w:cs="Book Antiqua"/>
          <w:color w:val="000000"/>
        </w:rPr>
        <w:t xml:space="preserve"> AL, Maris C, Rorive S, Goffard JC, De Witte O, Peluso L, Vincent JL, Decaestecker C, Taccone FS, Salmon I. </w:t>
      </w:r>
      <w:r w:rsidR="00436952" w:rsidRPr="00436952">
        <w:rPr>
          <w:rFonts w:ascii="Book Antiqua" w:eastAsia="Book Antiqua" w:hAnsi="Book Antiqua" w:cs="Book Antiqua"/>
          <w:color w:val="000000"/>
        </w:rPr>
        <w:t xml:space="preserve">Unspecific post-mortem findings despite multiorgan viral spread in COVID-19 patients. </w:t>
      </w:r>
      <w:r w:rsidR="00436952" w:rsidRPr="0069198E">
        <w:rPr>
          <w:rFonts w:ascii="Book Antiqua" w:eastAsia="Book Antiqua" w:hAnsi="Book Antiqua" w:cs="Book Antiqua"/>
          <w:i/>
          <w:iCs/>
          <w:color w:val="000000"/>
        </w:rPr>
        <w:t>Crit Care</w:t>
      </w:r>
      <w:r w:rsidR="00436952" w:rsidRPr="00436952">
        <w:rPr>
          <w:rFonts w:ascii="Book Antiqua" w:eastAsia="Book Antiqua" w:hAnsi="Book Antiqua" w:cs="Book Antiqua"/>
          <w:color w:val="000000"/>
        </w:rPr>
        <w:t xml:space="preserve"> </w:t>
      </w:r>
      <w:r w:rsidR="00436952">
        <w:rPr>
          <w:rFonts w:ascii="Book Antiqua" w:eastAsia="Book Antiqua" w:hAnsi="Book Antiqua" w:cs="Book Antiqua"/>
          <w:color w:val="000000"/>
        </w:rPr>
        <w:t xml:space="preserve">2020; </w:t>
      </w:r>
      <w:r w:rsidR="00436952" w:rsidRPr="0069198E">
        <w:rPr>
          <w:rFonts w:ascii="Book Antiqua" w:eastAsia="Book Antiqua" w:hAnsi="Book Antiqua" w:cs="Book Antiqua"/>
          <w:b/>
          <w:bCs/>
          <w:color w:val="000000"/>
        </w:rPr>
        <w:t>24</w:t>
      </w:r>
      <w:r w:rsidR="00436952">
        <w:rPr>
          <w:rFonts w:ascii="Book Antiqua" w:eastAsia="Book Antiqua" w:hAnsi="Book Antiqua" w:cs="Book Antiqua"/>
          <w:color w:val="000000"/>
        </w:rPr>
        <w:t>:</w:t>
      </w:r>
      <w:r w:rsidR="00436952" w:rsidRPr="00436952">
        <w:rPr>
          <w:rFonts w:ascii="Book Antiqua" w:eastAsia="Book Antiqua" w:hAnsi="Book Antiqua" w:cs="Book Antiqua"/>
          <w:color w:val="000000"/>
        </w:rPr>
        <w:t xml:space="preserve"> 495</w:t>
      </w:r>
      <w:r w:rsidR="00436952">
        <w:rPr>
          <w:rFonts w:ascii="Book Antiqua" w:eastAsia="Book Antiqua" w:hAnsi="Book Antiqua" w:cs="Book Antiqua"/>
          <w:color w:val="000000"/>
        </w:rPr>
        <w:t xml:space="preserve"> [</w:t>
      </w:r>
      <w:r w:rsidR="00436952" w:rsidRPr="00436952">
        <w:rPr>
          <w:rFonts w:ascii="Book Antiqua" w:eastAsia="Book Antiqua" w:hAnsi="Book Antiqua" w:cs="Book Antiqua"/>
          <w:color w:val="000000"/>
        </w:rPr>
        <w:t>PMID: 32787909</w:t>
      </w:r>
      <w:r w:rsidR="00436952">
        <w:rPr>
          <w:rFonts w:ascii="Book Antiqua" w:eastAsia="Book Antiqua" w:hAnsi="Book Antiqua" w:cs="Book Antiqua"/>
          <w:color w:val="000000"/>
        </w:rPr>
        <w:t xml:space="preserve"> </w:t>
      </w:r>
      <w:r w:rsidR="00436952" w:rsidRPr="00436952">
        <w:rPr>
          <w:rFonts w:ascii="Book Antiqua" w:eastAsia="Book Antiqua" w:hAnsi="Book Antiqua" w:cs="Book Antiqua"/>
          <w:color w:val="000000"/>
        </w:rPr>
        <w:t>DOI: 10.1186/s13054-020-03218-5</w:t>
      </w:r>
      <w:r w:rsidR="00436952">
        <w:rPr>
          <w:rFonts w:ascii="Book Antiqua" w:eastAsia="Book Antiqua" w:hAnsi="Book Antiqua" w:cs="Book Antiqua"/>
          <w:color w:val="000000"/>
        </w:rPr>
        <w:t>]</w:t>
      </w:r>
    </w:p>
    <w:p w14:paraId="0BA8924C" w14:textId="77777777" w:rsidR="00073698" w:rsidRDefault="00073698" w:rsidP="00073698">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Schaller T</w:t>
      </w:r>
      <w:r w:rsidRPr="00175484">
        <w:rPr>
          <w:rFonts w:ascii="Book Antiqua" w:eastAsia="Book Antiqua" w:hAnsi="Book Antiqua" w:cs="Book Antiqua"/>
          <w:color w:val="000000"/>
        </w:rPr>
        <w:t xml:space="preserve">, Hirschbühl K, Burkhardt K, Braun G, Trepel M, Märkl B, Claus R. Postmortem Examination of Patients With COVID-19. </w:t>
      </w:r>
      <w:r w:rsidRPr="00175484">
        <w:rPr>
          <w:rFonts w:ascii="Book Antiqua" w:eastAsia="Book Antiqua" w:hAnsi="Book Antiqua" w:cs="Book Antiqua"/>
          <w:i/>
          <w:iCs/>
          <w:color w:val="000000"/>
        </w:rPr>
        <w:t>JAMA</w:t>
      </w:r>
      <w:r w:rsidRPr="00175484">
        <w:rPr>
          <w:rFonts w:ascii="Book Antiqua" w:eastAsia="Book Antiqua" w:hAnsi="Book Antiqua" w:cs="Book Antiqua"/>
          <w:color w:val="000000"/>
        </w:rPr>
        <w:t xml:space="preserve"> 2020; </w:t>
      </w:r>
      <w:r w:rsidRPr="00175484">
        <w:rPr>
          <w:rFonts w:ascii="Book Antiqua" w:eastAsia="Book Antiqua" w:hAnsi="Book Antiqua" w:cs="Book Antiqua"/>
          <w:b/>
          <w:bCs/>
          <w:color w:val="000000"/>
        </w:rPr>
        <w:t>323</w:t>
      </w:r>
      <w:r w:rsidRPr="00175484">
        <w:rPr>
          <w:rFonts w:ascii="Book Antiqua" w:eastAsia="Book Antiqua" w:hAnsi="Book Antiqua" w:cs="Book Antiqua"/>
          <w:color w:val="000000"/>
        </w:rPr>
        <w:t>: 2518-2520 [PMID: 32437497 DOI: 10.1001/jama.2020.8907]</w:t>
      </w:r>
    </w:p>
    <w:p w14:paraId="5D012B93" w14:textId="77777777" w:rsidR="00073698" w:rsidRDefault="00073698" w:rsidP="00073698">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Wang Y</w:t>
      </w:r>
      <w:r>
        <w:rPr>
          <w:rFonts w:ascii="Book Antiqua" w:eastAsia="Book Antiqua" w:hAnsi="Book Antiqua" w:cs="Book Antiqua"/>
          <w:color w:val="000000"/>
        </w:rPr>
        <w:t xml:space="preserve">, Liu S, Liu H, Li W, Lin F, Jiang L, Li X, Xu P, Zhang L, Zhao L, Cao Y, Kang J, Yang J, Li L, Liu X, Li Y, Nie R, Mu J, Lu F, Zhao S, Lu J, Zhao J. SARS-CoV-2 infection of the liver directly contributes to hepatic impairment in patients with COVID-19.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73</w:t>
      </w:r>
      <w:r>
        <w:rPr>
          <w:rFonts w:ascii="Book Antiqua" w:eastAsia="Book Antiqua" w:hAnsi="Book Antiqua" w:cs="Book Antiqua"/>
          <w:color w:val="000000"/>
        </w:rPr>
        <w:t>: 807-816 [PMID: 32437830 DOI: 10.1016/j.jhep.2020.05.002]</w:t>
      </w:r>
    </w:p>
    <w:p w14:paraId="17915A18" w14:textId="5DCA148B" w:rsidR="00A77B3E" w:rsidRDefault="00D46CFB">
      <w:pPr>
        <w:spacing w:line="360" w:lineRule="auto"/>
        <w:jc w:val="both"/>
      </w:pPr>
      <w:r>
        <w:rPr>
          <w:rFonts w:ascii="Book Antiqua" w:eastAsia="Book Antiqua" w:hAnsi="Book Antiqua" w:cs="Book Antiqua"/>
          <w:color w:val="000000"/>
        </w:rPr>
        <w:t xml:space="preserve">27 </w:t>
      </w:r>
      <w:r w:rsidR="005C3C13">
        <w:rPr>
          <w:rFonts w:ascii="Book Antiqua" w:eastAsia="Book Antiqua" w:hAnsi="Book Antiqua" w:cs="Book Antiqua"/>
          <w:b/>
          <w:bCs/>
          <w:color w:val="000000"/>
        </w:rPr>
        <w:t>Lax SF</w:t>
      </w:r>
      <w:r w:rsidR="005C3C13" w:rsidRPr="007F5FC8">
        <w:rPr>
          <w:rFonts w:ascii="Book Antiqua" w:eastAsia="Book Antiqua" w:hAnsi="Book Antiqua" w:cs="Book Antiqua"/>
          <w:color w:val="000000"/>
        </w:rPr>
        <w:t xml:space="preserve">, </w:t>
      </w:r>
      <w:r w:rsidR="007F5FC8" w:rsidRPr="007F5FC8">
        <w:rPr>
          <w:rFonts w:ascii="Book Antiqua" w:eastAsia="Book Antiqua" w:hAnsi="Book Antiqua" w:cs="Book Antiqua"/>
          <w:color w:val="000000"/>
        </w:rPr>
        <w:t xml:space="preserve">Skok K, Zechner P, Kessler HH, Kaufmann N, Koelblinger C, Vander K, Bargfrieder U, Trauner M. Pulmonary Arterial Thrombosis in COVID-19 With Fatal Outcome : Results From a Prospective, Single-Center, Clinicopathologic Case Series. </w:t>
      </w:r>
      <w:r w:rsidR="007F5FC8" w:rsidRPr="007F5FC8">
        <w:rPr>
          <w:rFonts w:ascii="Book Antiqua" w:eastAsia="Book Antiqua" w:hAnsi="Book Antiqua" w:cs="Book Antiqua"/>
          <w:i/>
          <w:iCs/>
          <w:color w:val="000000"/>
        </w:rPr>
        <w:t>Ann Intern Med</w:t>
      </w:r>
      <w:r w:rsidR="007F5FC8" w:rsidRPr="007F5FC8">
        <w:rPr>
          <w:rFonts w:ascii="Book Antiqua" w:eastAsia="Book Antiqua" w:hAnsi="Book Antiqua" w:cs="Book Antiqua"/>
          <w:color w:val="000000"/>
        </w:rPr>
        <w:t xml:space="preserve"> 2020; </w:t>
      </w:r>
      <w:r w:rsidR="007F5FC8" w:rsidRPr="007F5FC8">
        <w:rPr>
          <w:rFonts w:ascii="Book Antiqua" w:eastAsia="Book Antiqua" w:hAnsi="Book Antiqua" w:cs="Book Antiqua"/>
          <w:b/>
          <w:bCs/>
          <w:color w:val="000000"/>
        </w:rPr>
        <w:t>173</w:t>
      </w:r>
      <w:r w:rsidR="007F5FC8" w:rsidRPr="007F5FC8">
        <w:rPr>
          <w:rFonts w:ascii="Book Antiqua" w:eastAsia="Book Antiqua" w:hAnsi="Book Antiqua" w:cs="Book Antiqua"/>
          <w:color w:val="000000"/>
        </w:rPr>
        <w:t>: 350-361 [PMID: 32422076 DOI: 10.7326/M20-2566]</w:t>
      </w:r>
    </w:p>
    <w:p w14:paraId="3E3A1007" w14:textId="6E186EA5" w:rsidR="00A77B3E" w:rsidRDefault="00D46CFB">
      <w:pPr>
        <w:spacing w:line="360" w:lineRule="auto"/>
        <w:jc w:val="both"/>
        <w:rPr>
          <w:rFonts w:ascii="Book Antiqua" w:eastAsia="Book Antiqua" w:hAnsi="Book Antiqua" w:cs="Book Antiqua"/>
          <w:color w:val="000000"/>
        </w:rPr>
      </w:pPr>
      <w:r w:rsidRPr="0069198E">
        <w:rPr>
          <w:rFonts w:ascii="Book Antiqua" w:eastAsia="Book Antiqua" w:hAnsi="Book Antiqua" w:cs="Book Antiqua"/>
          <w:color w:val="000000"/>
        </w:rPr>
        <w:t xml:space="preserve">28 </w:t>
      </w:r>
      <w:r w:rsidR="005C3C13" w:rsidRPr="0069198E">
        <w:rPr>
          <w:rFonts w:ascii="Book Antiqua" w:eastAsia="Book Antiqua" w:hAnsi="Book Antiqua" w:cs="Book Antiqua"/>
          <w:b/>
          <w:bCs/>
          <w:color w:val="000000"/>
        </w:rPr>
        <w:t>Prilutskiy A</w:t>
      </w:r>
      <w:r w:rsidR="005C3C13" w:rsidRPr="0069198E">
        <w:rPr>
          <w:rFonts w:ascii="Book Antiqua" w:eastAsia="Book Antiqua" w:hAnsi="Book Antiqua" w:cs="Book Antiqua"/>
          <w:color w:val="000000"/>
        </w:rPr>
        <w:t>, Kritselis M, Shevtsov A, Yambayev I, Vadlamudi C, Zhao Q, Kataria Y, Sarosiek S</w:t>
      </w:r>
      <w:r w:rsidR="00574F5D">
        <w:rPr>
          <w:rFonts w:ascii="Book Antiqua" w:eastAsia="Book Antiqua" w:hAnsi="Book Antiqua" w:cs="Book Antiqua"/>
          <w:color w:val="000000"/>
        </w:rPr>
        <w:t>R</w:t>
      </w:r>
      <w:r w:rsidR="005C3C13" w:rsidRPr="0069198E">
        <w:rPr>
          <w:rFonts w:ascii="Book Antiqua" w:eastAsia="Book Antiqua" w:hAnsi="Book Antiqua" w:cs="Book Antiqua"/>
          <w:color w:val="000000"/>
        </w:rPr>
        <w:t>, Lerner A, Sloan JM, Quillen K, Burks E</w:t>
      </w:r>
      <w:r w:rsidR="00574F5D">
        <w:rPr>
          <w:rFonts w:ascii="Book Antiqua" w:eastAsia="Book Antiqua" w:hAnsi="Book Antiqua" w:cs="Book Antiqua"/>
          <w:color w:val="000000"/>
        </w:rPr>
        <w:t>J</w:t>
      </w:r>
      <w:r w:rsidR="005C3C13" w:rsidRPr="0069198E">
        <w:rPr>
          <w:rFonts w:ascii="Book Antiqua" w:eastAsia="Book Antiqua" w:hAnsi="Book Antiqua" w:cs="Book Antiqua"/>
          <w:color w:val="000000"/>
        </w:rPr>
        <w:t xml:space="preserve">. </w:t>
      </w:r>
      <w:r w:rsidR="00575A9D" w:rsidRPr="0069198E">
        <w:rPr>
          <w:rFonts w:ascii="Book Antiqua" w:eastAsia="Book Antiqua" w:hAnsi="Book Antiqua" w:cs="Book Antiqua"/>
          <w:color w:val="000000"/>
        </w:rPr>
        <w:t>SARS-CoV-2 Infection-Associated Hemophagocytic Lymphohistiocytosis</w:t>
      </w:r>
      <w:r w:rsidR="005C3C13" w:rsidRPr="0069198E">
        <w:rPr>
          <w:rFonts w:ascii="Book Antiqua" w:eastAsia="Book Antiqua" w:hAnsi="Book Antiqua" w:cs="Book Antiqua"/>
          <w:color w:val="000000"/>
        </w:rPr>
        <w:t xml:space="preserve">. </w:t>
      </w:r>
      <w:r w:rsidR="00575A9D" w:rsidRPr="0069198E">
        <w:rPr>
          <w:rFonts w:ascii="Book Antiqua" w:eastAsia="Book Antiqua" w:hAnsi="Book Antiqua" w:cs="Book Antiqua"/>
          <w:i/>
          <w:iCs/>
          <w:color w:val="000000"/>
        </w:rPr>
        <w:t>Am J Clin Pathol</w:t>
      </w:r>
      <w:r w:rsidR="00575A9D" w:rsidRPr="0069198E">
        <w:rPr>
          <w:rFonts w:ascii="Book Antiqua" w:eastAsia="Book Antiqua" w:hAnsi="Book Antiqua" w:cs="Book Antiqua"/>
          <w:color w:val="000000"/>
        </w:rPr>
        <w:t xml:space="preserve"> 2020; </w:t>
      </w:r>
      <w:r w:rsidR="00575A9D" w:rsidRPr="0069198E">
        <w:rPr>
          <w:rFonts w:ascii="Book Antiqua" w:eastAsia="Book Antiqua" w:hAnsi="Book Antiqua" w:cs="Book Antiqua"/>
          <w:b/>
          <w:bCs/>
          <w:color w:val="000000"/>
        </w:rPr>
        <w:t>154</w:t>
      </w:r>
      <w:r w:rsidR="00575A9D" w:rsidRPr="0069198E">
        <w:rPr>
          <w:rFonts w:ascii="Book Antiqua" w:eastAsia="Book Antiqua" w:hAnsi="Book Antiqua" w:cs="Book Antiqua"/>
          <w:color w:val="000000"/>
        </w:rPr>
        <w:t>: 466-474</w:t>
      </w:r>
      <w:r w:rsidR="005C3C13" w:rsidRPr="0069198E">
        <w:rPr>
          <w:rFonts w:ascii="Book Antiqua" w:eastAsia="Book Antiqua" w:hAnsi="Book Antiqua" w:cs="Book Antiqua"/>
          <w:color w:val="000000"/>
        </w:rPr>
        <w:t xml:space="preserve"> [</w:t>
      </w:r>
      <w:r w:rsidR="00575A9D" w:rsidRPr="0069198E">
        <w:rPr>
          <w:rFonts w:ascii="Book Antiqua" w:eastAsia="Book Antiqua" w:hAnsi="Book Antiqua" w:cs="Book Antiqua"/>
          <w:color w:val="000000"/>
        </w:rPr>
        <w:t>PMID: 32681166 DOI: 10.1093/ajcp/aqaa124</w:t>
      </w:r>
      <w:r w:rsidR="005C3C13" w:rsidRPr="0069198E">
        <w:rPr>
          <w:rFonts w:ascii="Book Antiqua" w:eastAsia="Book Antiqua" w:hAnsi="Book Antiqua" w:cs="Book Antiqua"/>
          <w:color w:val="000000"/>
        </w:rPr>
        <w:t>]</w:t>
      </w:r>
    </w:p>
    <w:p w14:paraId="41AE7A32" w14:textId="5BB0DB24" w:rsidR="004D1BAC" w:rsidRDefault="004D1BAC">
      <w:pPr>
        <w:spacing w:line="360" w:lineRule="auto"/>
        <w:jc w:val="both"/>
      </w:pPr>
      <w:r>
        <w:rPr>
          <w:rFonts w:ascii="Book Antiqua" w:eastAsia="Book Antiqua" w:hAnsi="Book Antiqua" w:cs="Book Antiqua"/>
          <w:color w:val="000000"/>
          <w:highlight w:val="yellow"/>
        </w:rPr>
        <w:t>29</w:t>
      </w:r>
      <w:r w:rsidRPr="007F5FC8">
        <w:rPr>
          <w:rFonts w:ascii="Book Antiqua" w:eastAsia="Book Antiqua" w:hAnsi="Book Antiqua" w:cs="Book Antiqua"/>
          <w:color w:val="000000"/>
          <w:highlight w:val="yellow"/>
        </w:rPr>
        <w:t xml:space="preserve"> </w:t>
      </w:r>
      <w:r w:rsidRPr="007F5FC8">
        <w:rPr>
          <w:rFonts w:ascii="Book Antiqua" w:eastAsia="Book Antiqua" w:hAnsi="Book Antiqua" w:cs="Book Antiqua"/>
          <w:b/>
          <w:bCs/>
          <w:color w:val="000000"/>
          <w:highlight w:val="yellow"/>
        </w:rPr>
        <w:t>Bryce C</w:t>
      </w:r>
      <w:r w:rsidRPr="007F5FC8">
        <w:rPr>
          <w:rFonts w:ascii="Book Antiqua" w:eastAsia="Book Antiqua" w:hAnsi="Book Antiqua" w:cs="Book Antiqua"/>
          <w:color w:val="000000"/>
          <w:highlight w:val="yellow"/>
        </w:rPr>
        <w:t xml:space="preserve">, Grimes Z, Pujadas E, Ahuja S, Beasley MB, Albrecht R, Hernandez T, Stock A, Zhao Z, Al Rasheed M, Chen J, Li L, Wang D, Corben A, Haines K, Westra W, Umphlett M, Gordon RE, Reidy J, Petersen B, Salem F, Fiel M, El Jamal SM, Tsankova NM, Houldsworth J, Mussa Z, Liu W-C, Veremis B, Sordillo E, Gitman M, Nowak M, Brody R, Harpaz N, Merad M, Gnjatic S, Donnelly R, Seigler P, Keys C, Cameron J, Moultrie I, Washington K-L, Treatman J, Sebra R, Jhang J, Firpo A, Lednicky J, Paniz-Mondolfi A, Cordon-Cardo C, Fowkes M. Pathophysiology of SARS-CoV-2: targeting of endothelial cells renders a complex disease with thrombotic microangiopathy and aberrant immune response. The Mount Sinai COVID-19 autopsy experience. </w:t>
      </w:r>
      <w:r w:rsidRPr="00C836A0">
        <w:rPr>
          <w:rFonts w:ascii="Book Antiqua" w:eastAsia="Book Antiqua" w:hAnsi="Book Antiqua" w:cs="Book Antiqua"/>
          <w:i/>
          <w:color w:val="000000"/>
          <w:highlight w:val="yellow"/>
        </w:rPr>
        <w:t>medRxiv</w:t>
      </w:r>
      <w:r w:rsidRPr="007F5FC8">
        <w:rPr>
          <w:rFonts w:ascii="Book Antiqua" w:eastAsia="Book Antiqua" w:hAnsi="Book Antiqua" w:cs="Book Antiqua"/>
          <w:color w:val="000000"/>
          <w:highlight w:val="yellow"/>
        </w:rPr>
        <w:t xml:space="preserve"> 2020: 2020.2005.2018.20099960 [DOI: 10.1101/2020.05.18.20099960]</w:t>
      </w:r>
    </w:p>
    <w:p w14:paraId="5485B70E" w14:textId="3AEA4D20" w:rsidR="00A77B3E" w:rsidRDefault="004D1BAC">
      <w:pPr>
        <w:spacing w:line="360" w:lineRule="auto"/>
        <w:jc w:val="both"/>
      </w:pPr>
      <w:r>
        <w:rPr>
          <w:rFonts w:ascii="Book Antiqua" w:eastAsia="Book Antiqua" w:hAnsi="Book Antiqua" w:cs="Book Antiqua"/>
          <w:color w:val="000000"/>
        </w:rPr>
        <w:t>30</w:t>
      </w:r>
      <w:r w:rsidR="00D46CFB">
        <w:rPr>
          <w:rFonts w:ascii="Book Antiqua" w:eastAsia="Book Antiqua" w:hAnsi="Book Antiqua" w:cs="Book Antiqua"/>
          <w:color w:val="000000"/>
        </w:rPr>
        <w:t xml:space="preserve"> </w:t>
      </w:r>
      <w:r w:rsidR="005C3C13">
        <w:rPr>
          <w:rFonts w:ascii="Book Antiqua" w:eastAsia="Book Antiqua" w:hAnsi="Book Antiqua" w:cs="Book Antiqua"/>
          <w:b/>
          <w:bCs/>
          <w:color w:val="000000"/>
        </w:rPr>
        <w:t>Yao XH</w:t>
      </w:r>
      <w:r w:rsidR="005C3C13">
        <w:rPr>
          <w:rFonts w:ascii="Book Antiqua" w:eastAsia="Book Antiqua" w:hAnsi="Book Antiqua" w:cs="Book Antiqua"/>
          <w:color w:val="000000"/>
        </w:rPr>
        <w:t xml:space="preserve">, Li TY, He ZC, Ping YF, Liu HW, Yu SC, Mou HM, Wang LH, Zhang HR, Fu WJ, Luo T, Liu F, Guo QN, Chen C, Xiao HL, Guo HT, Lin S, Xiang DF, Shi Y, Pan GQ, Li QR, Huang X, Cui Y, Liu XZ, Tang W, Pan PF, Huang XQ, Ding YQ, Bian XW. [A pathological report of three COVID-19 cases by minimal invasive autopsies]. </w:t>
      </w:r>
      <w:r w:rsidR="005C3C13">
        <w:rPr>
          <w:rFonts w:ascii="Book Antiqua" w:eastAsia="Book Antiqua" w:hAnsi="Book Antiqua" w:cs="Book Antiqua"/>
          <w:i/>
          <w:iCs/>
          <w:color w:val="000000"/>
        </w:rPr>
        <w:t>Zhonghua Bing</w:t>
      </w:r>
      <w:r w:rsidR="007F5FC8">
        <w:rPr>
          <w:rFonts w:ascii="Book Antiqua" w:eastAsia="Book Antiqua" w:hAnsi="Book Antiqua" w:cs="Book Antiqua"/>
          <w:i/>
          <w:iCs/>
          <w:color w:val="000000"/>
        </w:rPr>
        <w:t>l</w:t>
      </w:r>
      <w:r w:rsidR="005C3C13">
        <w:rPr>
          <w:rFonts w:ascii="Book Antiqua" w:eastAsia="Book Antiqua" w:hAnsi="Book Antiqua" w:cs="Book Antiqua"/>
          <w:i/>
          <w:iCs/>
          <w:color w:val="000000"/>
        </w:rPr>
        <w:t>i Xue Za</w:t>
      </w:r>
      <w:r w:rsidR="007F5FC8">
        <w:rPr>
          <w:rFonts w:ascii="Book Antiqua" w:eastAsia="Book Antiqua" w:hAnsi="Book Antiqua" w:cs="Book Antiqua"/>
          <w:i/>
          <w:iCs/>
          <w:color w:val="000000"/>
        </w:rPr>
        <w:t>z</w:t>
      </w:r>
      <w:r w:rsidR="005C3C13">
        <w:rPr>
          <w:rFonts w:ascii="Book Antiqua" w:eastAsia="Book Antiqua" w:hAnsi="Book Antiqua" w:cs="Book Antiqua"/>
          <w:i/>
          <w:iCs/>
          <w:color w:val="000000"/>
        </w:rPr>
        <w:t>hi</w:t>
      </w:r>
      <w:r w:rsidR="005C3C13">
        <w:rPr>
          <w:rFonts w:ascii="Book Antiqua" w:eastAsia="Book Antiqua" w:hAnsi="Book Antiqua" w:cs="Book Antiqua"/>
          <w:color w:val="000000"/>
        </w:rPr>
        <w:t xml:space="preserve"> 2020; </w:t>
      </w:r>
      <w:r w:rsidR="005C3C13">
        <w:rPr>
          <w:rFonts w:ascii="Book Antiqua" w:eastAsia="Book Antiqua" w:hAnsi="Book Antiqua" w:cs="Book Antiqua"/>
          <w:b/>
          <w:bCs/>
          <w:color w:val="000000"/>
        </w:rPr>
        <w:t>49</w:t>
      </w:r>
      <w:r w:rsidR="005C3C13">
        <w:rPr>
          <w:rFonts w:ascii="Book Antiqua" w:eastAsia="Book Antiqua" w:hAnsi="Book Antiqua" w:cs="Book Antiqua"/>
          <w:color w:val="000000"/>
        </w:rPr>
        <w:t>: 411-417 [PMID: 32172546 DOI: 10.3760/cma.j.cn112151-20200312-00193]</w:t>
      </w:r>
    </w:p>
    <w:p w14:paraId="480ED2D6" w14:textId="5CBA6B05" w:rsidR="00A77B3E" w:rsidRDefault="00D46CFB">
      <w:pPr>
        <w:spacing w:line="360" w:lineRule="auto"/>
        <w:jc w:val="both"/>
      </w:pPr>
      <w:r>
        <w:rPr>
          <w:rFonts w:ascii="Book Antiqua" w:eastAsia="Book Antiqua" w:hAnsi="Book Antiqua" w:cs="Book Antiqua"/>
          <w:color w:val="000000"/>
        </w:rPr>
        <w:t xml:space="preserve">31 </w:t>
      </w:r>
      <w:r w:rsidR="005C3C13">
        <w:rPr>
          <w:rFonts w:ascii="Book Antiqua" w:eastAsia="Book Antiqua" w:hAnsi="Book Antiqua" w:cs="Book Antiqua"/>
          <w:b/>
          <w:bCs/>
          <w:color w:val="000000"/>
        </w:rPr>
        <w:t>Mao L</w:t>
      </w:r>
      <w:r w:rsidR="005C3C13">
        <w:rPr>
          <w:rFonts w:ascii="Book Antiqua" w:eastAsia="Book Antiqua" w:hAnsi="Book Antiqua" w:cs="Book Antiqua"/>
          <w:color w:val="000000"/>
        </w:rPr>
        <w:t xml:space="preserve">, Jin H, Wang M, Hu Y, Chen S, He Q, Chang J, Hong C, Zhou Y, Wang D, Miao X, Li Y, Hu B. Neurologic Manifestations of Hospitalized Patients With Coronavirus Disease 2019 in Wuhan, China. </w:t>
      </w:r>
      <w:r w:rsidR="005C3C13">
        <w:rPr>
          <w:rFonts w:ascii="Book Antiqua" w:eastAsia="Book Antiqua" w:hAnsi="Book Antiqua" w:cs="Book Antiqua"/>
          <w:i/>
          <w:iCs/>
          <w:color w:val="000000"/>
        </w:rPr>
        <w:t>JAMA Neurol</w:t>
      </w:r>
      <w:r w:rsidR="005C3C13">
        <w:rPr>
          <w:rFonts w:ascii="Book Antiqua" w:eastAsia="Book Antiqua" w:hAnsi="Book Antiqua" w:cs="Book Antiqua"/>
          <w:color w:val="000000"/>
        </w:rPr>
        <w:t xml:space="preserve"> 2020; </w:t>
      </w:r>
      <w:r w:rsidR="005C3C13">
        <w:rPr>
          <w:rFonts w:ascii="Book Antiqua" w:eastAsia="Book Antiqua" w:hAnsi="Book Antiqua" w:cs="Book Antiqua"/>
          <w:b/>
          <w:bCs/>
          <w:color w:val="000000"/>
        </w:rPr>
        <w:t>77</w:t>
      </w:r>
      <w:r w:rsidR="005C3C13">
        <w:rPr>
          <w:rFonts w:ascii="Book Antiqua" w:eastAsia="Book Antiqua" w:hAnsi="Book Antiqua" w:cs="Book Antiqua"/>
          <w:color w:val="000000"/>
        </w:rPr>
        <w:t>: 683-690 [PMID: 32275288 DOI: 10.1001/jamaneurol.2020.1127]</w:t>
      </w:r>
    </w:p>
    <w:p w14:paraId="7BBB2D56" w14:textId="76A88205" w:rsidR="00A77B3E" w:rsidRDefault="00D46CFB">
      <w:pPr>
        <w:spacing w:line="360" w:lineRule="auto"/>
        <w:jc w:val="both"/>
      </w:pPr>
      <w:r>
        <w:rPr>
          <w:rFonts w:ascii="Book Antiqua" w:eastAsia="Book Antiqua" w:hAnsi="Book Antiqua" w:cs="Book Antiqua"/>
          <w:color w:val="000000"/>
        </w:rPr>
        <w:t xml:space="preserve">32 </w:t>
      </w:r>
      <w:r w:rsidR="005C3C13">
        <w:rPr>
          <w:rFonts w:ascii="Book Antiqua" w:eastAsia="Book Antiqua" w:hAnsi="Book Antiqua" w:cs="Book Antiqua"/>
          <w:b/>
          <w:bCs/>
          <w:color w:val="000000"/>
        </w:rPr>
        <w:t>Bloom PP</w:t>
      </w:r>
      <w:r w:rsidR="005C3C13">
        <w:rPr>
          <w:rFonts w:ascii="Book Antiqua" w:eastAsia="Book Antiqua" w:hAnsi="Book Antiqua" w:cs="Book Antiqua"/>
          <w:color w:val="000000"/>
        </w:rPr>
        <w:t xml:space="preserve">, Meyerowitz EA, Reinus Z, Daidone M, Gustafson J, Kim AY, Schaefer E, Chung RT. Liver Biochemistries in Hospitalized Patients With COVID-19. </w:t>
      </w:r>
      <w:r w:rsidR="005C3C13">
        <w:rPr>
          <w:rFonts w:ascii="Book Antiqua" w:eastAsia="Book Antiqua" w:hAnsi="Book Antiqua" w:cs="Book Antiqua"/>
          <w:i/>
          <w:iCs/>
          <w:color w:val="000000"/>
        </w:rPr>
        <w:t>Hepatology</w:t>
      </w:r>
      <w:r w:rsidR="005C3C13">
        <w:rPr>
          <w:rFonts w:ascii="Book Antiqua" w:eastAsia="Book Antiqua" w:hAnsi="Book Antiqua" w:cs="Book Antiqua"/>
          <w:color w:val="000000"/>
        </w:rPr>
        <w:t xml:space="preserve"> 2020; : [PMID: 32415860 DOI: 10.1002/hep.31326]</w:t>
      </w:r>
    </w:p>
    <w:p w14:paraId="56C73507" w14:textId="3990E68A" w:rsidR="00A77B3E" w:rsidRDefault="00D46CFB">
      <w:pPr>
        <w:spacing w:line="360" w:lineRule="auto"/>
        <w:jc w:val="both"/>
      </w:pPr>
      <w:r>
        <w:rPr>
          <w:rFonts w:ascii="Book Antiqua" w:eastAsia="Book Antiqua" w:hAnsi="Book Antiqua" w:cs="Book Antiqua"/>
          <w:color w:val="000000"/>
        </w:rPr>
        <w:t xml:space="preserve">33 </w:t>
      </w:r>
      <w:r w:rsidR="005C3C13">
        <w:rPr>
          <w:rFonts w:ascii="Book Antiqua" w:eastAsia="Book Antiqua" w:hAnsi="Book Antiqua" w:cs="Book Antiqua"/>
          <w:b/>
          <w:bCs/>
          <w:color w:val="000000"/>
        </w:rPr>
        <w:t>Fan Z</w:t>
      </w:r>
      <w:r w:rsidR="005C3C13">
        <w:rPr>
          <w:rFonts w:ascii="Book Antiqua" w:eastAsia="Book Antiqua" w:hAnsi="Book Antiqua" w:cs="Book Antiqua"/>
          <w:color w:val="000000"/>
        </w:rPr>
        <w:t xml:space="preserve">, Chen L, Li J, Cheng X, Yang J, Tian C, Zhang Y, Huang S, Liu Z, Cheng J. Clinical Features of COVID-19-Related Liver Functional Abnormality. </w:t>
      </w:r>
      <w:r w:rsidR="005C3C13">
        <w:rPr>
          <w:rFonts w:ascii="Book Antiqua" w:eastAsia="Book Antiqua" w:hAnsi="Book Antiqua" w:cs="Book Antiqua"/>
          <w:i/>
          <w:iCs/>
          <w:color w:val="000000"/>
        </w:rPr>
        <w:t>Clin Gastroenterol Hepatol</w:t>
      </w:r>
      <w:r w:rsidR="005C3C13">
        <w:rPr>
          <w:rFonts w:ascii="Book Antiqua" w:eastAsia="Book Antiqua" w:hAnsi="Book Antiqua" w:cs="Book Antiqua"/>
          <w:color w:val="000000"/>
        </w:rPr>
        <w:t xml:space="preserve"> 2020; </w:t>
      </w:r>
      <w:r w:rsidR="005C3C13">
        <w:rPr>
          <w:rFonts w:ascii="Book Antiqua" w:eastAsia="Book Antiqua" w:hAnsi="Book Antiqua" w:cs="Book Antiqua"/>
          <w:b/>
          <w:bCs/>
          <w:color w:val="000000"/>
        </w:rPr>
        <w:t>18</w:t>
      </w:r>
      <w:r w:rsidR="005C3C13">
        <w:rPr>
          <w:rFonts w:ascii="Book Antiqua" w:eastAsia="Book Antiqua" w:hAnsi="Book Antiqua" w:cs="Book Antiqua"/>
          <w:color w:val="000000"/>
        </w:rPr>
        <w:t>: 1561-1566 [PMID: 32283325 DOI: 10.1016/j.cgh.2020.04.002]</w:t>
      </w:r>
    </w:p>
    <w:p w14:paraId="334A1FE4" w14:textId="06E90531" w:rsidR="00A77B3E" w:rsidRDefault="00D46CFB">
      <w:pPr>
        <w:spacing w:line="360" w:lineRule="auto"/>
        <w:jc w:val="both"/>
      </w:pPr>
      <w:r>
        <w:rPr>
          <w:rFonts w:ascii="Book Antiqua" w:eastAsia="Book Antiqua" w:hAnsi="Book Antiqua" w:cs="Book Antiqua"/>
          <w:color w:val="000000"/>
        </w:rPr>
        <w:t xml:space="preserve">34 </w:t>
      </w:r>
      <w:r w:rsidR="005C3C13">
        <w:rPr>
          <w:rFonts w:ascii="Book Antiqua" w:eastAsia="Book Antiqua" w:hAnsi="Book Antiqua" w:cs="Book Antiqua"/>
          <w:b/>
          <w:bCs/>
          <w:color w:val="000000"/>
        </w:rPr>
        <w:t>Cai Q</w:t>
      </w:r>
      <w:r w:rsidR="005C3C13">
        <w:rPr>
          <w:rFonts w:ascii="Book Antiqua" w:eastAsia="Book Antiqua" w:hAnsi="Book Antiqua" w:cs="Book Antiqua"/>
          <w:color w:val="000000"/>
        </w:rPr>
        <w:t xml:space="preserve">, Huang D, Yu H, Zhu Z, Xia Z, Su Y, Li Z, Zhou G, Gou J, Qu J, Sun Y, Liu Y, He Q, Chen J, Liu L, Xu L. COVID-19: Abnormal liver function tests. </w:t>
      </w:r>
      <w:r w:rsidR="005C3C13">
        <w:rPr>
          <w:rFonts w:ascii="Book Antiqua" w:eastAsia="Book Antiqua" w:hAnsi="Book Antiqua" w:cs="Book Antiqua"/>
          <w:i/>
          <w:iCs/>
          <w:color w:val="000000"/>
        </w:rPr>
        <w:t>J Hepatol</w:t>
      </w:r>
      <w:r w:rsidR="005C3C13">
        <w:rPr>
          <w:rFonts w:ascii="Book Antiqua" w:eastAsia="Book Antiqua" w:hAnsi="Book Antiqua" w:cs="Book Antiqua"/>
          <w:color w:val="000000"/>
        </w:rPr>
        <w:t xml:space="preserve"> 2020; </w:t>
      </w:r>
      <w:r w:rsidR="005C3C13">
        <w:rPr>
          <w:rFonts w:ascii="Book Antiqua" w:eastAsia="Book Antiqua" w:hAnsi="Book Antiqua" w:cs="Book Antiqua"/>
          <w:b/>
          <w:bCs/>
          <w:color w:val="000000"/>
        </w:rPr>
        <w:t>73</w:t>
      </w:r>
      <w:r w:rsidR="005C3C13">
        <w:rPr>
          <w:rFonts w:ascii="Book Antiqua" w:eastAsia="Book Antiqua" w:hAnsi="Book Antiqua" w:cs="Book Antiqua"/>
          <w:color w:val="000000"/>
        </w:rPr>
        <w:t>: 566-574 [PMID: 32298767 DOI: 10.1016/j.jhep.2020.04.006]</w:t>
      </w:r>
    </w:p>
    <w:p w14:paraId="3DB63935" w14:textId="3478E019" w:rsidR="00A77B3E" w:rsidRDefault="00D46CFB">
      <w:pPr>
        <w:spacing w:line="360" w:lineRule="auto"/>
        <w:jc w:val="both"/>
      </w:pPr>
      <w:r>
        <w:rPr>
          <w:rFonts w:ascii="Book Antiqua" w:eastAsia="Book Antiqua" w:hAnsi="Book Antiqua" w:cs="Book Antiqua"/>
          <w:color w:val="000000"/>
        </w:rPr>
        <w:t xml:space="preserve">35 </w:t>
      </w:r>
      <w:r w:rsidR="005C3C13">
        <w:rPr>
          <w:rFonts w:ascii="Book Antiqua" w:eastAsia="Book Antiqua" w:hAnsi="Book Antiqua" w:cs="Book Antiqua"/>
          <w:b/>
          <w:bCs/>
          <w:color w:val="000000"/>
        </w:rPr>
        <w:t>Lei F</w:t>
      </w:r>
      <w:r w:rsidR="005C3C13">
        <w:rPr>
          <w:rFonts w:ascii="Book Antiqua" w:eastAsia="Book Antiqua" w:hAnsi="Book Antiqua" w:cs="Book Antiqua"/>
          <w:color w:val="000000"/>
        </w:rPr>
        <w:t xml:space="preserve">, Liu YM, Zhou F, Qin JJ, Zhang P, Zhu L, Zhang XJ, Cai J, Lin L, Ouyang S, Wang X, Yang C, Cheng X, Liu W, Li H, Xie J, Wu B, Luo H, Xiao F, Chen J, Tao L, Cheng G, She ZG, Zhou J, Wang H, Lin J, Luo P, Fu S, Zhou J, Ye P, Xiao B, Mao W, Liu L, Yan Y, Liu L, Chen G, Li H, Huang X, Zhang BH, Yuan Y. Longitudinal Association Between Markers of Liver Injury and Mortality in COVID-19 in China. </w:t>
      </w:r>
      <w:r w:rsidR="005C3C13">
        <w:rPr>
          <w:rFonts w:ascii="Book Antiqua" w:eastAsia="Book Antiqua" w:hAnsi="Book Antiqua" w:cs="Book Antiqua"/>
          <w:i/>
          <w:iCs/>
          <w:color w:val="000000"/>
        </w:rPr>
        <w:t>Hepatology</w:t>
      </w:r>
      <w:r w:rsidR="005C3C13">
        <w:rPr>
          <w:rFonts w:ascii="Book Antiqua" w:eastAsia="Book Antiqua" w:hAnsi="Book Antiqua" w:cs="Book Antiqua"/>
          <w:color w:val="000000"/>
        </w:rPr>
        <w:t xml:space="preserve"> 2020; </w:t>
      </w:r>
      <w:r w:rsidR="005C3C13">
        <w:rPr>
          <w:rFonts w:ascii="Book Antiqua" w:eastAsia="Book Antiqua" w:hAnsi="Book Antiqua" w:cs="Book Antiqua"/>
          <w:b/>
          <w:bCs/>
          <w:color w:val="000000"/>
        </w:rPr>
        <w:t>72</w:t>
      </w:r>
      <w:r w:rsidR="005C3C13">
        <w:rPr>
          <w:rFonts w:ascii="Book Antiqua" w:eastAsia="Book Antiqua" w:hAnsi="Book Antiqua" w:cs="Book Antiqua"/>
          <w:color w:val="000000"/>
        </w:rPr>
        <w:t>: 389-398 [PMID: 32359177 DOI: 10.1002/hep.31301]</w:t>
      </w:r>
    </w:p>
    <w:p w14:paraId="12BD75C2" w14:textId="775A040A" w:rsidR="00A77B3E" w:rsidRDefault="00D46CFB">
      <w:pPr>
        <w:spacing w:line="360" w:lineRule="auto"/>
        <w:jc w:val="both"/>
      </w:pPr>
      <w:r>
        <w:rPr>
          <w:rFonts w:ascii="Book Antiqua" w:eastAsia="Book Antiqua" w:hAnsi="Book Antiqua" w:cs="Book Antiqua"/>
          <w:color w:val="000000"/>
        </w:rPr>
        <w:t xml:space="preserve">36 </w:t>
      </w:r>
      <w:r w:rsidR="005C3C13">
        <w:rPr>
          <w:rFonts w:ascii="Book Antiqua" w:eastAsia="Book Antiqua" w:hAnsi="Book Antiqua" w:cs="Book Antiqua"/>
          <w:b/>
          <w:bCs/>
          <w:color w:val="000000"/>
        </w:rPr>
        <w:t>Younossi ZM</w:t>
      </w:r>
      <w:r w:rsidR="005C3C13">
        <w:rPr>
          <w:rFonts w:ascii="Book Antiqua" w:eastAsia="Book Antiqua" w:hAnsi="Book Antiqua" w:cs="Book Antiqua"/>
          <w:color w:val="000000"/>
        </w:rPr>
        <w:t xml:space="preserve">, Koenig AB, Abdelatif D, Fazel Y, Henry L, Wymer M. Global epidemiology of nonalcoholic fatty liver disease-Meta-analytic assessment of prevalence, incidence, and outcomes. </w:t>
      </w:r>
      <w:r w:rsidR="005C3C13">
        <w:rPr>
          <w:rFonts w:ascii="Book Antiqua" w:eastAsia="Book Antiqua" w:hAnsi="Book Antiqua" w:cs="Book Antiqua"/>
          <w:i/>
          <w:iCs/>
          <w:color w:val="000000"/>
        </w:rPr>
        <w:t>Hepatology</w:t>
      </w:r>
      <w:r w:rsidR="005C3C13">
        <w:rPr>
          <w:rFonts w:ascii="Book Antiqua" w:eastAsia="Book Antiqua" w:hAnsi="Book Antiqua" w:cs="Book Antiqua"/>
          <w:color w:val="000000"/>
        </w:rPr>
        <w:t xml:space="preserve"> 2016; </w:t>
      </w:r>
      <w:r w:rsidR="005C3C13">
        <w:rPr>
          <w:rFonts w:ascii="Book Antiqua" w:eastAsia="Book Antiqua" w:hAnsi="Book Antiqua" w:cs="Book Antiqua"/>
          <w:b/>
          <w:bCs/>
          <w:color w:val="000000"/>
        </w:rPr>
        <w:t>64</w:t>
      </w:r>
      <w:r w:rsidR="005C3C13">
        <w:rPr>
          <w:rFonts w:ascii="Book Antiqua" w:eastAsia="Book Antiqua" w:hAnsi="Book Antiqua" w:cs="Book Antiqua"/>
          <w:color w:val="000000"/>
        </w:rPr>
        <w:t>: 73-84 [PMID: 26707365 DOI: 10.1002/hep.28431]</w:t>
      </w:r>
    </w:p>
    <w:p w14:paraId="095B3C3E" w14:textId="5359FB54" w:rsidR="00A77B3E" w:rsidRDefault="00D46CFB">
      <w:pPr>
        <w:spacing w:line="360" w:lineRule="auto"/>
        <w:jc w:val="both"/>
      </w:pPr>
      <w:r>
        <w:rPr>
          <w:rFonts w:ascii="Book Antiqua" w:eastAsia="Book Antiqua" w:hAnsi="Book Antiqua" w:cs="Book Antiqua"/>
          <w:color w:val="000000"/>
        </w:rPr>
        <w:t xml:space="preserve">37 </w:t>
      </w:r>
      <w:r w:rsidR="005C3C13">
        <w:rPr>
          <w:rFonts w:ascii="Book Antiqua" w:eastAsia="Book Antiqua" w:hAnsi="Book Antiqua" w:cs="Book Antiqua"/>
          <w:b/>
          <w:bCs/>
          <w:color w:val="000000"/>
        </w:rPr>
        <w:t>Zheng Z</w:t>
      </w:r>
      <w:r w:rsidR="005C3C13">
        <w:rPr>
          <w:rFonts w:ascii="Book Antiqua" w:eastAsia="Book Antiqua" w:hAnsi="Book Antiqua" w:cs="Book Antiqua"/>
          <w:color w:val="000000"/>
        </w:rPr>
        <w:t xml:space="preserve">, Peng F, Xu B, Zhao J, Liu H, Peng J, Li Q, Jiang C, Zhou Y, Liu S, Ye C, Zhang P, Xing Y, Guo H, Tang W. Risk factors of critical &amp; mortal COVID-19 cases: A systematic literature review and meta-analysis. </w:t>
      </w:r>
      <w:r w:rsidR="005C3C13">
        <w:rPr>
          <w:rFonts w:ascii="Book Antiqua" w:eastAsia="Book Antiqua" w:hAnsi="Book Antiqua" w:cs="Book Antiqua"/>
          <w:i/>
          <w:iCs/>
          <w:color w:val="000000"/>
        </w:rPr>
        <w:t>J Infect</w:t>
      </w:r>
      <w:r w:rsidR="005C3C13">
        <w:rPr>
          <w:rFonts w:ascii="Book Antiqua" w:eastAsia="Book Antiqua" w:hAnsi="Book Antiqua" w:cs="Book Antiqua"/>
          <w:color w:val="000000"/>
        </w:rPr>
        <w:t xml:space="preserve"> 2020; </w:t>
      </w:r>
      <w:r w:rsidR="005C3C13">
        <w:rPr>
          <w:rFonts w:ascii="Book Antiqua" w:eastAsia="Book Antiqua" w:hAnsi="Book Antiqua" w:cs="Book Antiqua"/>
          <w:b/>
          <w:bCs/>
          <w:color w:val="000000"/>
        </w:rPr>
        <w:t>81</w:t>
      </w:r>
      <w:r w:rsidR="005C3C13">
        <w:rPr>
          <w:rFonts w:ascii="Book Antiqua" w:eastAsia="Book Antiqua" w:hAnsi="Book Antiqua" w:cs="Book Antiqua"/>
          <w:color w:val="000000"/>
        </w:rPr>
        <w:t>: e16-e25 [PMID: 32335169 DOI: 10.1016/j.jinf.2020.04.021]</w:t>
      </w:r>
    </w:p>
    <w:p w14:paraId="0C22C2CF" w14:textId="21254E1B" w:rsidR="00A77B3E" w:rsidRDefault="00D46CFB">
      <w:pPr>
        <w:spacing w:line="360" w:lineRule="auto"/>
        <w:jc w:val="both"/>
      </w:pPr>
      <w:r>
        <w:rPr>
          <w:rFonts w:ascii="Book Antiqua" w:eastAsia="Book Antiqua" w:hAnsi="Book Antiqua" w:cs="Book Antiqua"/>
          <w:color w:val="000000"/>
        </w:rPr>
        <w:t xml:space="preserve">38 </w:t>
      </w:r>
      <w:r w:rsidR="005C3C13">
        <w:rPr>
          <w:rFonts w:ascii="Book Antiqua" w:eastAsia="Book Antiqua" w:hAnsi="Book Antiqua" w:cs="Book Antiqua"/>
          <w:b/>
          <w:bCs/>
          <w:color w:val="000000"/>
        </w:rPr>
        <w:t>Abu-Farha M</w:t>
      </w:r>
      <w:r w:rsidR="005C3C13">
        <w:rPr>
          <w:rFonts w:ascii="Book Antiqua" w:eastAsia="Book Antiqua" w:hAnsi="Book Antiqua" w:cs="Book Antiqua"/>
          <w:color w:val="000000"/>
        </w:rPr>
        <w:t xml:space="preserve">, Thanaraj TA, Qaddoumi MG, Hashem A, Abubaker J, Al-Mulla F. The Role of Lipid Metabolism in COVID-19 Virus Infection and as a Drug Target. </w:t>
      </w:r>
      <w:r w:rsidR="005C3C13">
        <w:rPr>
          <w:rFonts w:ascii="Book Antiqua" w:eastAsia="Book Antiqua" w:hAnsi="Book Antiqua" w:cs="Book Antiqua"/>
          <w:i/>
          <w:iCs/>
          <w:color w:val="000000"/>
        </w:rPr>
        <w:t>Int J Mol Sci</w:t>
      </w:r>
      <w:r w:rsidR="005C3C13">
        <w:rPr>
          <w:rFonts w:ascii="Book Antiqua" w:eastAsia="Book Antiqua" w:hAnsi="Book Antiqua" w:cs="Book Antiqua"/>
          <w:color w:val="000000"/>
        </w:rPr>
        <w:t xml:space="preserve"> 2020; </w:t>
      </w:r>
      <w:r w:rsidR="005C3C13">
        <w:rPr>
          <w:rFonts w:ascii="Book Antiqua" w:eastAsia="Book Antiqua" w:hAnsi="Book Antiqua" w:cs="Book Antiqua"/>
          <w:b/>
          <w:bCs/>
          <w:color w:val="000000"/>
        </w:rPr>
        <w:t>21</w:t>
      </w:r>
      <w:r w:rsidR="005C3C13">
        <w:rPr>
          <w:rFonts w:ascii="Book Antiqua" w:eastAsia="Book Antiqua" w:hAnsi="Book Antiqua" w:cs="Book Antiqua"/>
          <w:color w:val="000000"/>
        </w:rPr>
        <w:t>: [PMID: 32429572 DOI: 10.3390/ijms21103544]</w:t>
      </w:r>
    </w:p>
    <w:p w14:paraId="2C984017" w14:textId="2F32130A" w:rsidR="00A77B3E" w:rsidRDefault="00D46CFB">
      <w:pPr>
        <w:spacing w:line="360" w:lineRule="auto"/>
        <w:jc w:val="both"/>
      </w:pPr>
      <w:r>
        <w:rPr>
          <w:rFonts w:ascii="Book Antiqua" w:eastAsia="Book Antiqua" w:hAnsi="Book Antiqua" w:cs="Book Antiqua"/>
          <w:color w:val="000000"/>
        </w:rPr>
        <w:t xml:space="preserve">39 </w:t>
      </w:r>
      <w:r w:rsidR="005C3C13">
        <w:rPr>
          <w:rFonts w:ascii="Book Antiqua" w:eastAsia="Book Antiqua" w:hAnsi="Book Antiqua" w:cs="Book Antiqua"/>
          <w:b/>
          <w:bCs/>
          <w:color w:val="000000"/>
        </w:rPr>
        <w:t>Wu Q</w:t>
      </w:r>
      <w:r w:rsidR="005C3C13" w:rsidRPr="00FD3D9C">
        <w:rPr>
          <w:rFonts w:ascii="Book Antiqua" w:eastAsia="Book Antiqua" w:hAnsi="Book Antiqua" w:cs="Book Antiqua"/>
          <w:color w:val="000000"/>
        </w:rPr>
        <w:t xml:space="preserve">, </w:t>
      </w:r>
      <w:r w:rsidR="00FD3D9C" w:rsidRPr="00FD3D9C">
        <w:rPr>
          <w:rFonts w:ascii="Book Antiqua" w:eastAsia="Book Antiqua" w:hAnsi="Book Antiqua" w:cs="Book Antiqua"/>
          <w:color w:val="000000"/>
        </w:rPr>
        <w:t xml:space="preserve">Zhou L, Sun X, Yan Z, Hu C, Wu J, Xu L, Li X, Liu H, Yin P, Li K, Zhao J, Li Y, Wang X, Li Y, Zhang Q, Xu G, Chen H. Altered Lipid Metabolism in Recovered SARS Patients Twelve Years after Infection. </w:t>
      </w:r>
      <w:r w:rsidR="00FD3D9C" w:rsidRPr="00FD3D9C">
        <w:rPr>
          <w:rFonts w:ascii="Book Antiqua" w:eastAsia="Book Antiqua" w:hAnsi="Book Antiqua" w:cs="Book Antiqua"/>
          <w:i/>
          <w:iCs/>
          <w:color w:val="000000"/>
        </w:rPr>
        <w:t>Sci Rep</w:t>
      </w:r>
      <w:r w:rsidR="00FD3D9C" w:rsidRPr="00FD3D9C">
        <w:rPr>
          <w:rFonts w:ascii="Book Antiqua" w:eastAsia="Book Antiqua" w:hAnsi="Book Antiqua" w:cs="Book Antiqua"/>
          <w:color w:val="000000"/>
        </w:rPr>
        <w:t xml:space="preserve"> 2017; </w:t>
      </w:r>
      <w:r w:rsidR="00FD3D9C" w:rsidRPr="00FD3D9C">
        <w:rPr>
          <w:rFonts w:ascii="Book Antiqua" w:eastAsia="Book Antiqua" w:hAnsi="Book Antiqua" w:cs="Book Antiqua"/>
          <w:b/>
          <w:bCs/>
          <w:color w:val="000000"/>
        </w:rPr>
        <w:t>7</w:t>
      </w:r>
      <w:r w:rsidR="00FD3D9C" w:rsidRPr="00FD3D9C">
        <w:rPr>
          <w:rFonts w:ascii="Book Antiqua" w:eastAsia="Book Antiqua" w:hAnsi="Book Antiqua" w:cs="Book Antiqua"/>
          <w:color w:val="000000"/>
        </w:rPr>
        <w:t>: 9110 [PMID: 28831119 DOI: 10.1038/s41598-017-09536-z]</w:t>
      </w:r>
    </w:p>
    <w:p w14:paraId="67DF715E" w14:textId="2F112713" w:rsidR="00A77B3E" w:rsidRDefault="00D46CFB">
      <w:pPr>
        <w:spacing w:line="360" w:lineRule="auto"/>
        <w:jc w:val="both"/>
      </w:pPr>
      <w:r>
        <w:rPr>
          <w:rFonts w:ascii="Book Antiqua" w:eastAsia="Book Antiqua" w:hAnsi="Book Antiqua" w:cs="Book Antiqua"/>
          <w:color w:val="000000"/>
        </w:rPr>
        <w:t xml:space="preserve">40 </w:t>
      </w:r>
      <w:r w:rsidR="005C3C13">
        <w:rPr>
          <w:rFonts w:ascii="Book Antiqua" w:eastAsia="Book Antiqua" w:hAnsi="Book Antiqua" w:cs="Book Antiqua"/>
          <w:b/>
          <w:bCs/>
          <w:color w:val="000000"/>
        </w:rPr>
        <w:t>Eslam M</w:t>
      </w:r>
      <w:r w:rsidR="005C3C13">
        <w:rPr>
          <w:rFonts w:ascii="Book Antiqua" w:eastAsia="Book Antiqua" w:hAnsi="Book Antiqua" w:cs="Book Antiqua"/>
          <w:color w:val="000000"/>
        </w:rPr>
        <w:t xml:space="preserve">, Sanyal AJ, George J; International Consensus Panel. MAFLD: A Consensus-Driven Proposed Nomenclature for Metabolic Associated Fatty Liver Disease. </w:t>
      </w:r>
      <w:r w:rsidR="005C3C13">
        <w:rPr>
          <w:rFonts w:ascii="Book Antiqua" w:eastAsia="Book Antiqua" w:hAnsi="Book Antiqua" w:cs="Book Antiqua"/>
          <w:i/>
          <w:iCs/>
          <w:color w:val="000000"/>
        </w:rPr>
        <w:t>Gastroenterology</w:t>
      </w:r>
      <w:r w:rsidR="005C3C13">
        <w:rPr>
          <w:rFonts w:ascii="Book Antiqua" w:eastAsia="Book Antiqua" w:hAnsi="Book Antiqua" w:cs="Book Antiqua"/>
          <w:color w:val="000000"/>
        </w:rPr>
        <w:t xml:space="preserve"> 2020; </w:t>
      </w:r>
      <w:r w:rsidR="005C3C13">
        <w:rPr>
          <w:rFonts w:ascii="Book Antiqua" w:eastAsia="Book Antiqua" w:hAnsi="Book Antiqua" w:cs="Book Antiqua"/>
          <w:b/>
          <w:bCs/>
          <w:color w:val="000000"/>
        </w:rPr>
        <w:t>158</w:t>
      </w:r>
      <w:r w:rsidR="005C3C13">
        <w:rPr>
          <w:rFonts w:ascii="Book Antiqua" w:eastAsia="Book Antiqua" w:hAnsi="Book Antiqua" w:cs="Book Antiqua"/>
          <w:color w:val="000000"/>
        </w:rPr>
        <w:t>: 1999-2014.e1 [PMID: 32044314 DOI: 10.1053/j.gastro.2019.11.312]</w:t>
      </w:r>
    </w:p>
    <w:p w14:paraId="020D1A23" w14:textId="4014BF78" w:rsidR="00A77B3E" w:rsidRPr="00FD3D9C" w:rsidRDefault="00D46CFB">
      <w:pPr>
        <w:spacing w:line="360" w:lineRule="auto"/>
        <w:jc w:val="both"/>
      </w:pPr>
      <w:r>
        <w:rPr>
          <w:rFonts w:ascii="Book Antiqua" w:eastAsia="Book Antiqua" w:hAnsi="Book Antiqua" w:cs="Book Antiqua"/>
          <w:color w:val="000000"/>
        </w:rPr>
        <w:t xml:space="preserve">41 </w:t>
      </w:r>
      <w:r w:rsidR="00FD3D9C" w:rsidRPr="00FD3D9C">
        <w:rPr>
          <w:rFonts w:ascii="Book Antiqua" w:eastAsia="Book Antiqua" w:hAnsi="Book Antiqua" w:cs="Book Antiqua"/>
          <w:b/>
          <w:bCs/>
          <w:color w:val="000000"/>
        </w:rPr>
        <w:t>Zhou Y</w:t>
      </w:r>
      <w:r w:rsidR="00FD3D9C" w:rsidRPr="00FD3D9C">
        <w:rPr>
          <w:rFonts w:ascii="Book Antiqua" w:eastAsia="Book Antiqua" w:hAnsi="Book Antiqua" w:cs="Book Antiqua"/>
          <w:color w:val="000000"/>
        </w:rPr>
        <w:t xml:space="preserve">J, Zheng KI, Wang XB, Yan HD, Sun QF, Pan KH, Wang TY, Ma HL, Chen YP, George J, Zheng MH. Younger patients with MAFLD are at increased risk of severe COVID-19 illness: A multicenter preliminary analysis. </w:t>
      </w:r>
      <w:r w:rsidR="00FD3D9C" w:rsidRPr="00FD3D9C">
        <w:rPr>
          <w:rFonts w:ascii="Book Antiqua" w:eastAsia="Book Antiqua" w:hAnsi="Book Antiqua" w:cs="Book Antiqua"/>
          <w:i/>
          <w:iCs/>
          <w:color w:val="000000"/>
        </w:rPr>
        <w:t>J Hepatol</w:t>
      </w:r>
      <w:r w:rsidR="00FD3D9C" w:rsidRPr="00FD3D9C">
        <w:rPr>
          <w:rFonts w:ascii="Book Antiqua" w:eastAsia="Book Antiqua" w:hAnsi="Book Antiqua" w:cs="Book Antiqua"/>
          <w:color w:val="000000"/>
        </w:rPr>
        <w:t xml:space="preserve"> 2020; </w:t>
      </w:r>
      <w:r w:rsidR="00FD3D9C" w:rsidRPr="00FD3D9C">
        <w:rPr>
          <w:rFonts w:ascii="Book Antiqua" w:eastAsia="Book Antiqua" w:hAnsi="Book Antiqua" w:cs="Book Antiqua"/>
          <w:b/>
          <w:bCs/>
          <w:color w:val="000000"/>
        </w:rPr>
        <w:t>73</w:t>
      </w:r>
      <w:r w:rsidR="00FD3D9C" w:rsidRPr="00FD3D9C">
        <w:rPr>
          <w:rFonts w:ascii="Book Antiqua" w:eastAsia="Book Antiqua" w:hAnsi="Book Antiqua" w:cs="Book Antiqua"/>
          <w:color w:val="000000"/>
        </w:rPr>
        <w:t>: 719-721 [PMID: 32348790 DOI: 10.1016/j.jhep.2020.04.027]</w:t>
      </w:r>
    </w:p>
    <w:p w14:paraId="4BB07546" w14:textId="22E89380" w:rsidR="00A77B3E" w:rsidRDefault="00D46CFB">
      <w:pPr>
        <w:spacing w:line="360" w:lineRule="auto"/>
        <w:jc w:val="both"/>
      </w:pPr>
      <w:r>
        <w:rPr>
          <w:rFonts w:ascii="Book Antiqua" w:eastAsia="Book Antiqua" w:hAnsi="Book Antiqua" w:cs="Book Antiqua"/>
          <w:color w:val="000000"/>
        </w:rPr>
        <w:t xml:space="preserve">42 </w:t>
      </w:r>
      <w:r w:rsidR="005C3C13">
        <w:rPr>
          <w:rFonts w:ascii="Book Antiqua" w:eastAsia="Book Antiqua" w:hAnsi="Book Antiqua" w:cs="Book Antiqua"/>
          <w:b/>
          <w:bCs/>
          <w:color w:val="000000"/>
        </w:rPr>
        <w:t>Prins GH</w:t>
      </w:r>
      <w:r w:rsidR="005C3C13">
        <w:rPr>
          <w:rFonts w:ascii="Book Antiqua" w:eastAsia="Book Antiqua" w:hAnsi="Book Antiqua" w:cs="Book Antiqua"/>
          <w:color w:val="000000"/>
        </w:rPr>
        <w:t xml:space="preserve">, Olinga P. Potential implications of COVID-19 in non-alcoholic fatty liver disease. </w:t>
      </w:r>
      <w:r w:rsidR="005C3C13">
        <w:rPr>
          <w:rFonts w:ascii="Book Antiqua" w:eastAsia="Book Antiqua" w:hAnsi="Book Antiqua" w:cs="Book Antiqua"/>
          <w:i/>
          <w:iCs/>
          <w:color w:val="000000"/>
        </w:rPr>
        <w:t>Liver Int</w:t>
      </w:r>
      <w:r w:rsidR="005C3C13">
        <w:rPr>
          <w:rFonts w:ascii="Book Antiqua" w:eastAsia="Book Antiqua" w:hAnsi="Book Antiqua" w:cs="Book Antiqua"/>
          <w:color w:val="000000"/>
        </w:rPr>
        <w:t xml:space="preserve"> 2020; </w:t>
      </w:r>
      <w:r w:rsidR="005C3C13">
        <w:rPr>
          <w:rFonts w:ascii="Book Antiqua" w:eastAsia="Book Antiqua" w:hAnsi="Book Antiqua" w:cs="Book Antiqua"/>
          <w:b/>
          <w:bCs/>
          <w:color w:val="000000"/>
        </w:rPr>
        <w:t>40</w:t>
      </w:r>
      <w:r w:rsidR="005C3C13">
        <w:rPr>
          <w:rFonts w:ascii="Book Antiqua" w:eastAsia="Book Antiqua" w:hAnsi="Book Antiqua" w:cs="Book Antiqua"/>
          <w:color w:val="000000"/>
        </w:rPr>
        <w:t>: 2568 [PMID: 32306495 DOI: 10.1111/</w:t>
      </w:r>
      <w:r w:rsidR="00AB0D23">
        <w:rPr>
          <w:rFonts w:ascii="Book Antiqua" w:eastAsia="Book Antiqua" w:hAnsi="Book Antiqua" w:cs="Book Antiqua"/>
          <w:color w:val="000000"/>
        </w:rPr>
        <w:t>l</w:t>
      </w:r>
      <w:r w:rsidR="005C3C13">
        <w:rPr>
          <w:rFonts w:ascii="Book Antiqua" w:eastAsia="Book Antiqua" w:hAnsi="Book Antiqua" w:cs="Book Antiqua"/>
          <w:color w:val="000000"/>
        </w:rPr>
        <w:t>iv.14484]</w:t>
      </w:r>
    </w:p>
    <w:p w14:paraId="4B8FDFFD" w14:textId="2D8ED13A" w:rsidR="00A77B3E" w:rsidRDefault="00D46CFB">
      <w:pPr>
        <w:spacing w:line="360" w:lineRule="auto"/>
        <w:jc w:val="both"/>
      </w:pPr>
      <w:r>
        <w:rPr>
          <w:rFonts w:ascii="Book Antiqua" w:eastAsia="Book Antiqua" w:hAnsi="Book Antiqua" w:cs="Book Antiqua"/>
          <w:color w:val="000000"/>
        </w:rPr>
        <w:t xml:space="preserve">43 </w:t>
      </w:r>
      <w:r w:rsidR="005C3C13">
        <w:rPr>
          <w:rFonts w:ascii="Book Antiqua" w:eastAsia="Book Antiqua" w:hAnsi="Book Antiqua" w:cs="Book Antiqua"/>
          <w:b/>
          <w:bCs/>
          <w:color w:val="000000"/>
        </w:rPr>
        <w:t>Ackermann M</w:t>
      </w:r>
      <w:r w:rsidR="005C3C13">
        <w:rPr>
          <w:rFonts w:ascii="Book Antiqua" w:eastAsia="Book Antiqua" w:hAnsi="Book Antiqua" w:cs="Book Antiqua"/>
          <w:color w:val="000000"/>
        </w:rPr>
        <w:t xml:space="preserve">, Verleden SE, Kuehnel M, Haverich A, Welte T, Laenger F, Vanstapel A, Werlein C, Stark H, Tzankov A, Li WW, Li VW, Mentzer SJ, Jonigk D. Pulmonary Vascular Endothelialitis, Thrombosis, and Angiogenesis in Covid-19. </w:t>
      </w:r>
      <w:r w:rsidR="005C3C13">
        <w:rPr>
          <w:rFonts w:ascii="Book Antiqua" w:eastAsia="Book Antiqua" w:hAnsi="Book Antiqua" w:cs="Book Antiqua"/>
          <w:i/>
          <w:iCs/>
          <w:color w:val="000000"/>
        </w:rPr>
        <w:t>N Engl J Med</w:t>
      </w:r>
      <w:r w:rsidR="005C3C13">
        <w:rPr>
          <w:rFonts w:ascii="Book Antiqua" w:eastAsia="Book Antiqua" w:hAnsi="Book Antiqua" w:cs="Book Antiqua"/>
          <w:color w:val="000000"/>
        </w:rPr>
        <w:t xml:space="preserve"> 2020; </w:t>
      </w:r>
      <w:r w:rsidR="005C3C13">
        <w:rPr>
          <w:rFonts w:ascii="Book Antiqua" w:eastAsia="Book Antiqua" w:hAnsi="Book Antiqua" w:cs="Book Antiqua"/>
          <w:b/>
          <w:bCs/>
          <w:color w:val="000000"/>
        </w:rPr>
        <w:t>383</w:t>
      </w:r>
      <w:r w:rsidR="005C3C13">
        <w:rPr>
          <w:rFonts w:ascii="Book Antiqua" w:eastAsia="Book Antiqua" w:hAnsi="Book Antiqua" w:cs="Book Antiqua"/>
          <w:color w:val="000000"/>
        </w:rPr>
        <w:t>: 120-128 [PMID: 32437596 DOI: 10.1056/NEJMoa2015432]</w:t>
      </w:r>
    </w:p>
    <w:p w14:paraId="6990CA6B" w14:textId="5AFD6E78" w:rsidR="00A77B3E" w:rsidRDefault="00D46CFB">
      <w:pPr>
        <w:spacing w:line="360" w:lineRule="auto"/>
        <w:jc w:val="both"/>
      </w:pPr>
      <w:r>
        <w:rPr>
          <w:rFonts w:ascii="Book Antiqua" w:eastAsia="Book Antiqua" w:hAnsi="Book Antiqua" w:cs="Book Antiqua"/>
          <w:color w:val="000000"/>
        </w:rPr>
        <w:t xml:space="preserve">44 </w:t>
      </w:r>
      <w:r w:rsidR="005C3C13">
        <w:rPr>
          <w:rFonts w:ascii="Book Antiqua" w:eastAsia="Book Antiqua" w:hAnsi="Book Antiqua" w:cs="Book Antiqua"/>
          <w:b/>
          <w:bCs/>
          <w:color w:val="000000"/>
        </w:rPr>
        <w:t>Escher R</w:t>
      </w:r>
      <w:r w:rsidR="005C3C13">
        <w:rPr>
          <w:rFonts w:ascii="Book Antiqua" w:eastAsia="Book Antiqua" w:hAnsi="Book Antiqua" w:cs="Book Antiqua"/>
          <w:color w:val="000000"/>
        </w:rPr>
        <w:t xml:space="preserve">, Breakey N, Lämmle B. Severe COVID-19 infection associated with endothelial activation. </w:t>
      </w:r>
      <w:r w:rsidR="005C3C13">
        <w:rPr>
          <w:rFonts w:ascii="Book Antiqua" w:eastAsia="Book Antiqua" w:hAnsi="Book Antiqua" w:cs="Book Antiqua"/>
          <w:i/>
          <w:iCs/>
          <w:color w:val="000000"/>
        </w:rPr>
        <w:t>Thromb Res</w:t>
      </w:r>
      <w:r w:rsidR="005C3C13">
        <w:rPr>
          <w:rFonts w:ascii="Book Antiqua" w:eastAsia="Book Antiqua" w:hAnsi="Book Antiqua" w:cs="Book Antiqua"/>
          <w:color w:val="000000"/>
        </w:rPr>
        <w:t xml:space="preserve"> 2020; </w:t>
      </w:r>
      <w:r w:rsidR="005C3C13">
        <w:rPr>
          <w:rFonts w:ascii="Book Antiqua" w:eastAsia="Book Antiqua" w:hAnsi="Book Antiqua" w:cs="Book Antiqua"/>
          <w:b/>
          <w:bCs/>
          <w:color w:val="000000"/>
        </w:rPr>
        <w:t>190</w:t>
      </w:r>
      <w:r w:rsidR="005C3C13">
        <w:rPr>
          <w:rFonts w:ascii="Book Antiqua" w:eastAsia="Book Antiqua" w:hAnsi="Book Antiqua" w:cs="Book Antiqua"/>
          <w:color w:val="000000"/>
        </w:rPr>
        <w:t>: 62 [PMID: 32305740 DOI: 10.1016/j.thromres.2020.04.014]</w:t>
      </w:r>
    </w:p>
    <w:p w14:paraId="72B25F15" w14:textId="4783C79C" w:rsidR="00A77B3E" w:rsidRPr="00FD3D9C" w:rsidRDefault="00D46CFB">
      <w:pPr>
        <w:spacing w:line="360" w:lineRule="auto"/>
        <w:jc w:val="both"/>
      </w:pPr>
      <w:r>
        <w:rPr>
          <w:rFonts w:ascii="Book Antiqua" w:eastAsia="Book Antiqua" w:hAnsi="Book Antiqua" w:cs="Book Antiqua"/>
          <w:color w:val="000000"/>
        </w:rPr>
        <w:t xml:space="preserve">45 </w:t>
      </w:r>
      <w:r w:rsidR="005C3C13">
        <w:rPr>
          <w:rFonts w:ascii="Book Antiqua" w:eastAsia="Book Antiqua" w:hAnsi="Book Antiqua" w:cs="Book Antiqua"/>
          <w:b/>
          <w:bCs/>
          <w:color w:val="000000"/>
        </w:rPr>
        <w:t>Singh S</w:t>
      </w:r>
      <w:r w:rsidR="00FD3D9C" w:rsidRPr="00FD3D9C">
        <w:rPr>
          <w:rFonts w:ascii="Book Antiqua" w:eastAsia="Book Antiqua" w:hAnsi="Book Antiqua" w:cs="Book Antiqua"/>
          <w:color w:val="000000"/>
        </w:rPr>
        <w:t xml:space="preserve">, Khan A. Clinical Characteristics and Outcomes of Coronavirus Disease 2019 Among Patients With Preexisting Liver Disease in the United States: A Multicenter Research Network Study. </w:t>
      </w:r>
      <w:r w:rsidR="00FD3D9C" w:rsidRPr="00FD3D9C">
        <w:rPr>
          <w:rFonts w:ascii="Book Antiqua" w:eastAsia="Book Antiqua" w:hAnsi="Book Antiqua" w:cs="Book Antiqua"/>
          <w:i/>
          <w:iCs/>
          <w:color w:val="000000"/>
        </w:rPr>
        <w:t>Gastroenterology</w:t>
      </w:r>
      <w:r w:rsidR="00FD3D9C" w:rsidRPr="00FD3D9C">
        <w:rPr>
          <w:rFonts w:ascii="Book Antiqua" w:eastAsia="Book Antiqua" w:hAnsi="Book Antiqua" w:cs="Book Antiqua"/>
          <w:color w:val="000000"/>
        </w:rPr>
        <w:t xml:space="preserve"> 2020; </w:t>
      </w:r>
      <w:r w:rsidR="00FD3D9C" w:rsidRPr="00FD3D9C">
        <w:rPr>
          <w:rFonts w:ascii="Book Antiqua" w:eastAsia="Book Antiqua" w:hAnsi="Book Antiqua" w:cs="Book Antiqua"/>
          <w:b/>
          <w:bCs/>
          <w:color w:val="000000"/>
        </w:rPr>
        <w:t>159</w:t>
      </w:r>
      <w:r w:rsidR="00FD3D9C" w:rsidRPr="00FD3D9C">
        <w:rPr>
          <w:rFonts w:ascii="Book Antiqua" w:eastAsia="Book Antiqua" w:hAnsi="Book Antiqua" w:cs="Book Antiqua"/>
          <w:color w:val="000000"/>
        </w:rPr>
        <w:t>: 768-771.e3 [PMID: 32376408 DOI: 10.1053/j.gastro.2020.04.064]</w:t>
      </w:r>
    </w:p>
    <w:p w14:paraId="3FF69E44" w14:textId="258D9998" w:rsidR="00A77B3E" w:rsidRDefault="00D46CFB">
      <w:pPr>
        <w:spacing w:line="360" w:lineRule="auto"/>
        <w:jc w:val="both"/>
      </w:pPr>
      <w:r>
        <w:rPr>
          <w:rFonts w:ascii="Book Antiqua" w:eastAsia="Book Antiqua" w:hAnsi="Book Antiqua" w:cs="Book Antiqua"/>
          <w:color w:val="000000"/>
        </w:rPr>
        <w:t xml:space="preserve">46 </w:t>
      </w:r>
      <w:r w:rsidR="005C3C13">
        <w:rPr>
          <w:rFonts w:ascii="Book Antiqua" w:eastAsia="Book Antiqua" w:hAnsi="Book Antiqua" w:cs="Book Antiqua"/>
          <w:b/>
          <w:bCs/>
          <w:color w:val="000000"/>
        </w:rPr>
        <w:t>Lagana SM</w:t>
      </w:r>
      <w:r w:rsidR="005C3C13">
        <w:rPr>
          <w:rFonts w:ascii="Book Antiqua" w:eastAsia="Book Antiqua" w:hAnsi="Book Antiqua" w:cs="Book Antiqua"/>
          <w:color w:val="000000"/>
        </w:rPr>
        <w:t xml:space="preserve">, De Michele S, Lee MJ, Emond JC, Griesemer AD, Tulin-Silver SA, Verna EC, Martinez M, Lefkowitch JH. COVID-19 Associated Hepatitis Complicating Recent Living Donor Liver Transplantation. </w:t>
      </w:r>
      <w:r w:rsidR="005C3C13">
        <w:rPr>
          <w:rFonts w:ascii="Book Antiqua" w:eastAsia="Book Antiqua" w:hAnsi="Book Antiqua" w:cs="Book Antiqua"/>
          <w:i/>
          <w:iCs/>
          <w:color w:val="000000"/>
        </w:rPr>
        <w:t>Arch Pathol Lab Med</w:t>
      </w:r>
      <w:r w:rsidR="005C3C13">
        <w:rPr>
          <w:rFonts w:ascii="Book Antiqua" w:eastAsia="Book Antiqua" w:hAnsi="Book Antiqua" w:cs="Book Antiqua"/>
          <w:color w:val="000000"/>
        </w:rPr>
        <w:t xml:space="preserve"> 2020; : [PMID: 32302212 DOI: 10.5858/arpa.2020-0186-SA]</w:t>
      </w:r>
    </w:p>
    <w:p w14:paraId="7322776F" w14:textId="444A219A" w:rsidR="00A77B3E" w:rsidRDefault="00D46CFB">
      <w:pPr>
        <w:spacing w:line="360" w:lineRule="auto"/>
        <w:jc w:val="both"/>
      </w:pPr>
      <w:r>
        <w:rPr>
          <w:rFonts w:ascii="Book Antiqua" w:eastAsia="Book Antiqua" w:hAnsi="Book Antiqua" w:cs="Book Antiqua"/>
          <w:color w:val="000000"/>
        </w:rPr>
        <w:t xml:space="preserve">47 </w:t>
      </w:r>
      <w:r w:rsidR="005C3C13">
        <w:rPr>
          <w:rFonts w:ascii="Book Antiqua" w:eastAsia="Book Antiqua" w:hAnsi="Book Antiqua" w:cs="Book Antiqua"/>
          <w:b/>
          <w:bCs/>
          <w:color w:val="000000"/>
        </w:rPr>
        <w:t>Bloom PP</w:t>
      </w:r>
      <w:r w:rsidR="005C3C13">
        <w:rPr>
          <w:rFonts w:ascii="Book Antiqua" w:eastAsia="Book Antiqua" w:hAnsi="Book Antiqua" w:cs="Book Antiqua"/>
          <w:color w:val="000000"/>
        </w:rPr>
        <w:t xml:space="preserve">, Pasricha TS, Viveiros K. We Know Liver Biochemistries Are Elevated in COVID-19, But Should We Be Concerned? </w:t>
      </w:r>
      <w:r w:rsidR="005C3C13">
        <w:rPr>
          <w:rFonts w:ascii="Book Antiqua" w:eastAsia="Book Antiqua" w:hAnsi="Book Antiqua" w:cs="Book Antiqua"/>
          <w:i/>
          <w:iCs/>
          <w:color w:val="000000"/>
        </w:rPr>
        <w:t>Clin Gastroenterol Hepatol</w:t>
      </w:r>
      <w:r w:rsidR="005C3C13">
        <w:rPr>
          <w:rFonts w:ascii="Book Antiqua" w:eastAsia="Book Antiqua" w:hAnsi="Book Antiqua" w:cs="Book Antiqua"/>
          <w:color w:val="000000"/>
        </w:rPr>
        <w:t xml:space="preserve"> 2020; </w:t>
      </w:r>
      <w:r w:rsidR="005C3C13">
        <w:rPr>
          <w:rFonts w:ascii="Book Antiqua" w:eastAsia="Book Antiqua" w:hAnsi="Book Antiqua" w:cs="Book Antiqua"/>
          <w:b/>
          <w:bCs/>
          <w:color w:val="000000"/>
        </w:rPr>
        <w:t>18</w:t>
      </w:r>
      <w:r w:rsidR="005C3C13">
        <w:rPr>
          <w:rFonts w:ascii="Book Antiqua" w:eastAsia="Book Antiqua" w:hAnsi="Book Antiqua" w:cs="Book Antiqua"/>
          <w:color w:val="000000"/>
        </w:rPr>
        <w:t>: 2384-2385 [PMID: 32425706 DOI: 10.1016/j.cgh.2020.05.018]</w:t>
      </w:r>
    </w:p>
    <w:p w14:paraId="0C4CCA46" w14:textId="6AF7F26D" w:rsidR="00A77B3E" w:rsidRDefault="00D46CFB">
      <w:pPr>
        <w:spacing w:line="360" w:lineRule="auto"/>
        <w:jc w:val="both"/>
      </w:pPr>
      <w:r>
        <w:rPr>
          <w:rFonts w:ascii="Book Antiqua" w:eastAsia="Book Antiqua" w:hAnsi="Book Antiqua" w:cs="Book Antiqua"/>
          <w:color w:val="000000"/>
        </w:rPr>
        <w:t xml:space="preserve">48 </w:t>
      </w:r>
      <w:r w:rsidR="005C3C13">
        <w:rPr>
          <w:rFonts w:ascii="Book Antiqua" w:eastAsia="Book Antiqua" w:hAnsi="Book Antiqua" w:cs="Book Antiqua"/>
          <w:b/>
          <w:bCs/>
          <w:color w:val="000000"/>
        </w:rPr>
        <w:t>Mehta P</w:t>
      </w:r>
      <w:r w:rsidR="005C3C13">
        <w:rPr>
          <w:rFonts w:ascii="Book Antiqua" w:eastAsia="Book Antiqua" w:hAnsi="Book Antiqua" w:cs="Book Antiqua"/>
          <w:color w:val="000000"/>
        </w:rPr>
        <w:t xml:space="preserve">, McAuley DF, Brown M, Sanchez E, Tattersall RS, Manson JJ; HLH Across Speciality Collaboration, UK. COVID-19: consider cytokine storm syndromes and immunosuppression. </w:t>
      </w:r>
      <w:r w:rsidR="005C3C13">
        <w:rPr>
          <w:rFonts w:ascii="Book Antiqua" w:eastAsia="Book Antiqua" w:hAnsi="Book Antiqua" w:cs="Book Antiqua"/>
          <w:i/>
          <w:iCs/>
          <w:color w:val="000000"/>
        </w:rPr>
        <w:t>Lancet</w:t>
      </w:r>
      <w:r w:rsidR="005C3C13">
        <w:rPr>
          <w:rFonts w:ascii="Book Antiqua" w:eastAsia="Book Antiqua" w:hAnsi="Book Antiqua" w:cs="Book Antiqua"/>
          <w:color w:val="000000"/>
        </w:rPr>
        <w:t xml:space="preserve"> 2020; </w:t>
      </w:r>
      <w:r w:rsidR="005C3C13">
        <w:rPr>
          <w:rFonts w:ascii="Book Antiqua" w:eastAsia="Book Antiqua" w:hAnsi="Book Antiqua" w:cs="Book Antiqua"/>
          <w:b/>
          <w:bCs/>
          <w:color w:val="000000"/>
        </w:rPr>
        <w:t>395</w:t>
      </w:r>
      <w:r w:rsidR="005C3C13">
        <w:rPr>
          <w:rFonts w:ascii="Book Antiqua" w:eastAsia="Book Antiqua" w:hAnsi="Book Antiqua" w:cs="Book Antiqua"/>
          <w:color w:val="000000"/>
        </w:rPr>
        <w:t xml:space="preserve">: 1033-1034 [PMID: 32192578 DOI: </w:t>
      </w:r>
      <w:r w:rsidR="00FD3D9C" w:rsidRPr="00FD3D9C">
        <w:rPr>
          <w:rFonts w:ascii="Book Antiqua" w:eastAsia="Book Antiqua" w:hAnsi="Book Antiqua" w:cs="Book Antiqua"/>
          <w:color w:val="000000"/>
        </w:rPr>
        <w:t>10.1016/S0140-6736(20)30628-0</w:t>
      </w:r>
      <w:r w:rsidR="005C3C13">
        <w:rPr>
          <w:rFonts w:ascii="Book Antiqua" w:eastAsia="Book Antiqua" w:hAnsi="Book Antiqua" w:cs="Book Antiqua"/>
          <w:color w:val="000000"/>
        </w:rPr>
        <w:t>]</w:t>
      </w:r>
    </w:p>
    <w:p w14:paraId="78F89719" w14:textId="451C2580" w:rsidR="00A77B3E" w:rsidRDefault="00D46CFB">
      <w:pPr>
        <w:spacing w:line="360" w:lineRule="auto"/>
        <w:jc w:val="both"/>
      </w:pPr>
      <w:r>
        <w:rPr>
          <w:rFonts w:ascii="Book Antiqua" w:eastAsia="Book Antiqua" w:hAnsi="Book Antiqua" w:cs="Book Antiqua"/>
          <w:color w:val="000000"/>
        </w:rPr>
        <w:t xml:space="preserve">49 </w:t>
      </w:r>
      <w:r w:rsidR="005C3C13">
        <w:rPr>
          <w:rFonts w:ascii="Book Antiqua" w:eastAsia="Book Antiqua" w:hAnsi="Book Antiqua" w:cs="Book Antiqua"/>
          <w:b/>
          <w:bCs/>
          <w:color w:val="000000"/>
        </w:rPr>
        <w:t>Hu LL</w:t>
      </w:r>
      <w:r w:rsidR="005C3C13">
        <w:rPr>
          <w:rFonts w:ascii="Book Antiqua" w:eastAsia="Book Antiqua" w:hAnsi="Book Antiqua" w:cs="Book Antiqua"/>
          <w:color w:val="000000"/>
        </w:rPr>
        <w:t xml:space="preserve">, Wang WJ, Zhu QJ, Yang L. [Novel coronavirus pneumonia-related liver injury: etiological analysis and treatment strategy]. </w:t>
      </w:r>
      <w:r w:rsidR="005C3C13">
        <w:rPr>
          <w:rFonts w:ascii="Book Antiqua" w:eastAsia="Book Antiqua" w:hAnsi="Book Antiqua" w:cs="Book Antiqua"/>
          <w:i/>
          <w:iCs/>
          <w:color w:val="000000"/>
        </w:rPr>
        <w:t>Zhonghua Gan Zang Bing Za Zhi</w:t>
      </w:r>
      <w:r w:rsidR="005C3C13">
        <w:rPr>
          <w:rFonts w:ascii="Book Antiqua" w:eastAsia="Book Antiqua" w:hAnsi="Book Antiqua" w:cs="Book Antiqua"/>
          <w:color w:val="000000"/>
        </w:rPr>
        <w:t xml:space="preserve"> 2020; </w:t>
      </w:r>
      <w:r w:rsidR="005C3C13">
        <w:rPr>
          <w:rFonts w:ascii="Book Antiqua" w:eastAsia="Book Antiqua" w:hAnsi="Book Antiqua" w:cs="Book Antiqua"/>
          <w:b/>
          <w:bCs/>
          <w:color w:val="000000"/>
        </w:rPr>
        <w:t>28</w:t>
      </w:r>
      <w:r w:rsidR="005C3C13">
        <w:rPr>
          <w:rFonts w:ascii="Book Antiqua" w:eastAsia="Book Antiqua" w:hAnsi="Book Antiqua" w:cs="Book Antiqua"/>
          <w:color w:val="000000"/>
        </w:rPr>
        <w:t>: 97-99 [PMID: 32075364 DOI: 10.3760/cma.j.issn.1007-3418.2020.02.001]</w:t>
      </w:r>
    </w:p>
    <w:p w14:paraId="73C998B5" w14:textId="63D77A89" w:rsidR="00A77B3E" w:rsidRPr="00FD3D9C" w:rsidRDefault="00D46CFB">
      <w:pPr>
        <w:spacing w:line="360" w:lineRule="auto"/>
        <w:jc w:val="both"/>
      </w:pPr>
      <w:r>
        <w:rPr>
          <w:rFonts w:ascii="Book Antiqua" w:eastAsia="Book Antiqua" w:hAnsi="Book Antiqua" w:cs="Book Antiqua"/>
          <w:color w:val="000000"/>
        </w:rPr>
        <w:t xml:space="preserve">50 </w:t>
      </w:r>
      <w:r w:rsidR="005C3C13">
        <w:rPr>
          <w:rFonts w:ascii="Book Antiqua" w:eastAsia="Book Antiqua" w:hAnsi="Book Antiqua" w:cs="Book Antiqua"/>
          <w:b/>
          <w:bCs/>
          <w:color w:val="000000"/>
        </w:rPr>
        <w:t>Kulkarni AV</w:t>
      </w:r>
      <w:r w:rsidR="00FD3D9C" w:rsidRPr="00FD3D9C">
        <w:rPr>
          <w:rFonts w:ascii="Book Antiqua" w:eastAsia="Book Antiqua" w:hAnsi="Book Antiqua" w:cs="Book Antiqua"/>
          <w:color w:val="000000"/>
        </w:rPr>
        <w:t xml:space="preserve">, Kumar P, Tevethia HV, Premkumar M, Arab JP, Candia R, Talukdar R, Sharma M, Qi X, Rao PN, Reddy DN. Systematic review with meta-analysis: liver manifestations and outcomes in COVID-19. </w:t>
      </w:r>
      <w:r w:rsidR="00FD3D9C" w:rsidRPr="00FD3D9C">
        <w:rPr>
          <w:rFonts w:ascii="Book Antiqua" w:eastAsia="Book Antiqua" w:hAnsi="Book Antiqua" w:cs="Book Antiqua"/>
          <w:i/>
          <w:iCs/>
          <w:color w:val="000000"/>
        </w:rPr>
        <w:t>Aliment Pharmacol Ther</w:t>
      </w:r>
      <w:r w:rsidR="00FD3D9C" w:rsidRPr="00FD3D9C">
        <w:rPr>
          <w:rFonts w:ascii="Book Antiqua" w:eastAsia="Book Antiqua" w:hAnsi="Book Antiqua" w:cs="Book Antiqua"/>
          <w:color w:val="000000"/>
        </w:rPr>
        <w:t xml:space="preserve"> 2020; </w:t>
      </w:r>
      <w:r w:rsidR="00FD3D9C" w:rsidRPr="00FD3D9C">
        <w:rPr>
          <w:rFonts w:ascii="Book Antiqua" w:eastAsia="Book Antiqua" w:hAnsi="Book Antiqua" w:cs="Book Antiqua"/>
          <w:b/>
          <w:bCs/>
          <w:color w:val="000000"/>
        </w:rPr>
        <w:t>52</w:t>
      </w:r>
      <w:r w:rsidR="00FD3D9C" w:rsidRPr="00FD3D9C">
        <w:rPr>
          <w:rFonts w:ascii="Book Antiqua" w:eastAsia="Book Antiqua" w:hAnsi="Book Antiqua" w:cs="Book Antiqua"/>
          <w:color w:val="000000"/>
        </w:rPr>
        <w:t>: 584-599 [PMID: 32638436 DOI: 10.1111/apt.15916]</w:t>
      </w:r>
    </w:p>
    <w:p w14:paraId="378AF79E"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694A4229" w14:textId="77777777" w:rsidR="00A77B3E" w:rsidRDefault="005C3C13">
      <w:pPr>
        <w:spacing w:line="360" w:lineRule="auto"/>
        <w:jc w:val="both"/>
      </w:pPr>
      <w:r>
        <w:rPr>
          <w:rFonts w:ascii="Book Antiqua" w:eastAsia="Book Antiqua" w:hAnsi="Book Antiqua" w:cs="Book Antiqua"/>
          <w:b/>
          <w:color w:val="000000"/>
        </w:rPr>
        <w:t>Footnotes</w:t>
      </w:r>
    </w:p>
    <w:p w14:paraId="60D90FF6" w14:textId="77777777" w:rsidR="00A77B3E" w:rsidRDefault="005C3C13">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nothing to disclose.</w:t>
      </w:r>
    </w:p>
    <w:p w14:paraId="02462DE2" w14:textId="77777777" w:rsidR="00A77B3E" w:rsidRDefault="00A77B3E">
      <w:pPr>
        <w:spacing w:line="360" w:lineRule="auto"/>
        <w:jc w:val="both"/>
      </w:pPr>
    </w:p>
    <w:p w14:paraId="595ADE96" w14:textId="77777777" w:rsidR="00A77B3E" w:rsidRDefault="005C3C13">
      <w:pPr>
        <w:spacing w:line="360" w:lineRule="auto"/>
        <w:jc w:val="both"/>
      </w:pPr>
      <w:r>
        <w:rPr>
          <w:rFonts w:ascii="Book Antiqua" w:eastAsia="Book Antiqua" w:hAnsi="Book Antiqua" w:cs="Book Antiqua"/>
          <w:b/>
          <w:bCs/>
          <w:color w:val="000000"/>
        </w:rPr>
        <w:t xml:space="preserve">PRISMA 2009 Checklist statement: </w:t>
      </w:r>
      <w:r>
        <w:rPr>
          <w:rFonts w:ascii="Book Antiqua" w:eastAsia="Book Antiqua" w:hAnsi="Book Antiqua" w:cs="Book Antiqua"/>
          <w:color w:val="000000"/>
          <w:shd w:val="clear" w:color="auto" w:fill="FFFFFF"/>
        </w:rPr>
        <w:t>The authors have read the PRISMA 2009 Checklist, and the manuscript was prepared and revised according to the PRISMA 2009 Checklist.</w:t>
      </w:r>
    </w:p>
    <w:p w14:paraId="0E1A1623" w14:textId="77777777" w:rsidR="00A77B3E" w:rsidRDefault="00A77B3E">
      <w:pPr>
        <w:spacing w:line="360" w:lineRule="auto"/>
        <w:jc w:val="both"/>
      </w:pPr>
    </w:p>
    <w:p w14:paraId="19CFE794" w14:textId="77777777" w:rsidR="00A77B3E" w:rsidRDefault="005C3C13">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7F3C858" w14:textId="77777777" w:rsidR="00A77B3E" w:rsidRDefault="00A77B3E">
      <w:pPr>
        <w:spacing w:line="360" w:lineRule="auto"/>
        <w:jc w:val="both"/>
      </w:pPr>
    </w:p>
    <w:p w14:paraId="3E59BEEC" w14:textId="13C50157" w:rsidR="00A77B3E" w:rsidRDefault="005C3C13">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w:t>
      </w:r>
      <w:r w:rsidR="00516149">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13FE2D3E" w14:textId="77777777" w:rsidR="00A77B3E" w:rsidRDefault="00A77B3E">
      <w:pPr>
        <w:spacing w:line="360" w:lineRule="auto"/>
        <w:jc w:val="both"/>
      </w:pPr>
    </w:p>
    <w:p w14:paraId="191A5E45" w14:textId="77777777" w:rsidR="00A77B3E" w:rsidRDefault="005C3C1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21, 2020</w:t>
      </w:r>
    </w:p>
    <w:p w14:paraId="239F4021" w14:textId="77777777" w:rsidR="00A77B3E" w:rsidRDefault="005C3C1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13, 2020</w:t>
      </w:r>
    </w:p>
    <w:p w14:paraId="2F6BFB45" w14:textId="2D43775D" w:rsidR="00A77B3E" w:rsidRDefault="005C3C13">
      <w:pPr>
        <w:spacing w:line="360" w:lineRule="auto"/>
        <w:jc w:val="both"/>
      </w:pPr>
      <w:r>
        <w:rPr>
          <w:rFonts w:ascii="Book Antiqua" w:eastAsia="Book Antiqua" w:hAnsi="Book Antiqua" w:cs="Book Antiqua"/>
          <w:b/>
          <w:color w:val="000000"/>
        </w:rPr>
        <w:t xml:space="preserve">Article in press: </w:t>
      </w:r>
      <w:r w:rsidR="008D4821" w:rsidRPr="00A933BF">
        <w:rPr>
          <w:rFonts w:ascii="Book Antiqua" w:eastAsia="Book Antiqua" w:hAnsi="Book Antiqua" w:cs="Book Antiqua"/>
          <w:color w:val="000000"/>
        </w:rPr>
        <w:t>December 6, 2020</w:t>
      </w:r>
    </w:p>
    <w:p w14:paraId="5C935244" w14:textId="77777777" w:rsidR="00A77B3E" w:rsidRDefault="00A77B3E">
      <w:pPr>
        <w:spacing w:line="360" w:lineRule="auto"/>
        <w:jc w:val="both"/>
      </w:pPr>
    </w:p>
    <w:p w14:paraId="1AC7F07E" w14:textId="7F6340F3" w:rsidR="00A77B3E" w:rsidRDefault="005C3C1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516149">
        <w:rPr>
          <w:rFonts w:ascii="Book Antiqua" w:eastAsia="Book Antiqua" w:hAnsi="Book Antiqua" w:cs="Book Antiqua"/>
          <w:color w:val="000000"/>
        </w:rPr>
        <w:t>he</w:t>
      </w:r>
      <w:r>
        <w:rPr>
          <w:rFonts w:ascii="Book Antiqua" w:eastAsia="Book Antiqua" w:hAnsi="Book Antiqua" w:cs="Book Antiqua"/>
          <w:color w:val="000000"/>
        </w:rPr>
        <w:t>patology</w:t>
      </w:r>
    </w:p>
    <w:p w14:paraId="0361D9EF" w14:textId="77777777" w:rsidR="00A77B3E" w:rsidRDefault="005C3C1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Chile</w:t>
      </w:r>
    </w:p>
    <w:p w14:paraId="5BF2563A" w14:textId="77777777" w:rsidR="00A77B3E" w:rsidRDefault="005C3C13">
      <w:pPr>
        <w:spacing w:line="360" w:lineRule="auto"/>
        <w:jc w:val="both"/>
      </w:pPr>
      <w:r>
        <w:rPr>
          <w:rFonts w:ascii="Book Antiqua" w:eastAsia="Book Antiqua" w:hAnsi="Book Antiqua" w:cs="Book Antiqua"/>
          <w:b/>
          <w:color w:val="000000"/>
        </w:rPr>
        <w:t>Peer-review report’s scientific quality classification</w:t>
      </w:r>
    </w:p>
    <w:p w14:paraId="7AE2D5F2" w14:textId="77777777" w:rsidR="00A77B3E" w:rsidRDefault="005C3C13">
      <w:pPr>
        <w:spacing w:line="360" w:lineRule="auto"/>
        <w:jc w:val="both"/>
      </w:pPr>
      <w:r>
        <w:rPr>
          <w:rFonts w:ascii="Book Antiqua" w:eastAsia="Book Antiqua" w:hAnsi="Book Antiqua" w:cs="Book Antiqua"/>
          <w:color w:val="000000"/>
        </w:rPr>
        <w:t>Grade A (Excellent): 0</w:t>
      </w:r>
    </w:p>
    <w:p w14:paraId="6B368DD0" w14:textId="77777777" w:rsidR="00A77B3E" w:rsidRDefault="005C3C13">
      <w:pPr>
        <w:spacing w:line="360" w:lineRule="auto"/>
        <w:jc w:val="both"/>
      </w:pPr>
      <w:r>
        <w:rPr>
          <w:rFonts w:ascii="Book Antiqua" w:eastAsia="Book Antiqua" w:hAnsi="Book Antiqua" w:cs="Book Antiqua"/>
          <w:color w:val="000000"/>
        </w:rPr>
        <w:t>Grade B (Very good): 0</w:t>
      </w:r>
    </w:p>
    <w:p w14:paraId="26EB49CB" w14:textId="77777777" w:rsidR="00A77B3E" w:rsidRDefault="005C3C13">
      <w:pPr>
        <w:spacing w:line="360" w:lineRule="auto"/>
        <w:jc w:val="both"/>
      </w:pPr>
      <w:r>
        <w:rPr>
          <w:rFonts w:ascii="Book Antiqua" w:eastAsia="Book Antiqua" w:hAnsi="Book Antiqua" w:cs="Book Antiqua"/>
          <w:color w:val="000000"/>
        </w:rPr>
        <w:t>Grade C (Good): C</w:t>
      </w:r>
    </w:p>
    <w:p w14:paraId="2B7AB382" w14:textId="77777777" w:rsidR="00A77B3E" w:rsidRDefault="005C3C13">
      <w:pPr>
        <w:spacing w:line="360" w:lineRule="auto"/>
        <w:jc w:val="both"/>
      </w:pPr>
      <w:r>
        <w:rPr>
          <w:rFonts w:ascii="Book Antiqua" w:eastAsia="Book Antiqua" w:hAnsi="Book Antiqua" w:cs="Book Antiqua"/>
          <w:color w:val="000000"/>
        </w:rPr>
        <w:t>Grade D (Fair): 0</w:t>
      </w:r>
    </w:p>
    <w:p w14:paraId="1D455600" w14:textId="77777777" w:rsidR="00A77B3E" w:rsidRDefault="005C3C13">
      <w:pPr>
        <w:spacing w:line="360" w:lineRule="auto"/>
        <w:jc w:val="both"/>
      </w:pPr>
      <w:r>
        <w:rPr>
          <w:rFonts w:ascii="Book Antiqua" w:eastAsia="Book Antiqua" w:hAnsi="Book Antiqua" w:cs="Book Antiqua"/>
          <w:color w:val="000000"/>
        </w:rPr>
        <w:t>Grade E (Poor): 0</w:t>
      </w:r>
    </w:p>
    <w:p w14:paraId="0800F454" w14:textId="77777777" w:rsidR="00A77B3E" w:rsidRDefault="00A77B3E">
      <w:pPr>
        <w:spacing w:line="360" w:lineRule="auto"/>
        <w:jc w:val="both"/>
      </w:pPr>
    </w:p>
    <w:p w14:paraId="27A9E214" w14:textId="77777777" w:rsidR="00A77B3E" w:rsidRDefault="005C3C1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Zhang Y</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65A5D496" w14:textId="77777777" w:rsidR="00C836A0" w:rsidRDefault="00C836A0">
      <w:pPr>
        <w:spacing w:line="360" w:lineRule="auto"/>
        <w:jc w:val="both"/>
        <w:sectPr w:rsidR="00C836A0">
          <w:pgSz w:w="12240" w:h="15840"/>
          <w:pgMar w:top="1440" w:right="1440" w:bottom="1440" w:left="1440" w:header="720" w:footer="720" w:gutter="0"/>
          <w:cols w:space="720"/>
          <w:docGrid w:linePitch="360"/>
        </w:sectPr>
      </w:pPr>
    </w:p>
    <w:p w14:paraId="3B52EF82" w14:textId="721F1DEB" w:rsidR="00A77B3E" w:rsidRDefault="005C3C1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Figure Legends</w:t>
      </w:r>
    </w:p>
    <w:p w14:paraId="2ECBA41A" w14:textId="429676E9" w:rsidR="00B16E6D" w:rsidRDefault="00B16E6D">
      <w:pPr>
        <w:spacing w:line="360" w:lineRule="auto"/>
        <w:jc w:val="both"/>
      </w:pPr>
      <w:r>
        <w:rPr>
          <w:noProof/>
          <w:lang w:eastAsia="zh-CN"/>
        </w:rPr>
        <w:drawing>
          <wp:inline distT="0" distB="0" distL="0" distR="0" wp14:anchorId="215C96F2" wp14:editId="781794A2">
            <wp:extent cx="5119725" cy="5800767"/>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19725" cy="5800767"/>
                    </a:xfrm>
                    <a:prstGeom prst="rect">
                      <a:avLst/>
                    </a:prstGeom>
                  </pic:spPr>
                </pic:pic>
              </a:graphicData>
            </a:graphic>
          </wp:inline>
        </w:drawing>
      </w:r>
    </w:p>
    <w:p w14:paraId="77BB2AAF" w14:textId="05503C1F" w:rsidR="00A77B3E" w:rsidRPr="00B16E6D" w:rsidRDefault="005C3C13">
      <w:pPr>
        <w:spacing w:line="360" w:lineRule="auto"/>
        <w:jc w:val="both"/>
        <w:rPr>
          <w:b/>
          <w:bCs/>
        </w:rPr>
      </w:pPr>
      <w:r>
        <w:rPr>
          <w:rFonts w:ascii="Book Antiqua" w:eastAsia="Book Antiqua" w:hAnsi="Book Antiqua" w:cs="Book Antiqua"/>
          <w:b/>
          <w:bCs/>
          <w:color w:val="000000"/>
        </w:rPr>
        <w:t>Figure 1</w:t>
      </w:r>
      <w:r w:rsidR="00B16E6D" w:rsidRPr="00B16E6D">
        <w:rPr>
          <w:rFonts w:ascii="Book Antiqua" w:eastAsia="Book Antiqua" w:hAnsi="Book Antiqua" w:cs="Book Antiqua"/>
          <w:b/>
          <w:bCs/>
          <w:color w:val="000000"/>
        </w:rPr>
        <w:t xml:space="preserve"> </w:t>
      </w:r>
      <w:r w:rsidRPr="00B16E6D">
        <w:rPr>
          <w:rFonts w:ascii="Book Antiqua" w:eastAsia="Book Antiqua" w:hAnsi="Book Antiqua" w:cs="Book Antiqua"/>
          <w:b/>
          <w:bCs/>
          <w:color w:val="000000"/>
        </w:rPr>
        <w:t>Study selection for the systematic review.</w:t>
      </w:r>
    </w:p>
    <w:p w14:paraId="62618152" w14:textId="018C7896" w:rsidR="00A77B3E" w:rsidRDefault="00B16E6D">
      <w:pPr>
        <w:spacing w:line="360" w:lineRule="auto"/>
        <w:jc w:val="both"/>
      </w:pPr>
      <w:r>
        <w:br w:type="page"/>
      </w:r>
      <w:r>
        <w:rPr>
          <w:noProof/>
          <w:lang w:eastAsia="zh-CN"/>
        </w:rPr>
        <w:drawing>
          <wp:inline distT="0" distB="0" distL="0" distR="0" wp14:anchorId="04FAB33D" wp14:editId="20BAED1A">
            <wp:extent cx="5772192" cy="5857918"/>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72192" cy="5857918"/>
                    </a:xfrm>
                    <a:prstGeom prst="rect">
                      <a:avLst/>
                    </a:prstGeom>
                  </pic:spPr>
                </pic:pic>
              </a:graphicData>
            </a:graphic>
          </wp:inline>
        </w:drawing>
      </w:r>
    </w:p>
    <w:p w14:paraId="51AB0978" w14:textId="2F23B4ED" w:rsidR="00A77B3E" w:rsidRDefault="005C3C13">
      <w:pPr>
        <w:spacing w:line="360" w:lineRule="auto"/>
        <w:jc w:val="both"/>
      </w:pPr>
      <w:r>
        <w:rPr>
          <w:rFonts w:ascii="Book Antiqua" w:eastAsia="Book Antiqua" w:hAnsi="Book Antiqua" w:cs="Book Antiqua"/>
          <w:b/>
          <w:bCs/>
          <w:color w:val="000000"/>
        </w:rPr>
        <w:t>Figure 2</w:t>
      </w:r>
      <w:r w:rsidR="00B16E6D">
        <w:rPr>
          <w:rFonts w:ascii="Book Antiqua" w:eastAsia="Book Antiqua" w:hAnsi="Book Antiqua" w:cs="Book Antiqua"/>
          <w:b/>
          <w:bCs/>
          <w:color w:val="000000"/>
        </w:rPr>
        <w:t xml:space="preserve"> </w:t>
      </w:r>
      <w:r w:rsidRPr="00B16E6D">
        <w:rPr>
          <w:rFonts w:ascii="Book Antiqua" w:eastAsia="Book Antiqua" w:hAnsi="Book Antiqua" w:cs="Book Antiqua"/>
          <w:b/>
          <w:bCs/>
          <w:color w:val="000000"/>
        </w:rPr>
        <w:t>Major liver histological features observed in 6 studies (</w:t>
      </w:r>
      <w:r w:rsidRPr="00B16E6D">
        <w:rPr>
          <w:rFonts w:ascii="Book Antiqua" w:eastAsia="Book Antiqua" w:hAnsi="Book Antiqua" w:cs="Book Antiqua"/>
          <w:b/>
          <w:bCs/>
          <w:i/>
          <w:iCs/>
          <w:color w:val="000000"/>
        </w:rPr>
        <w:t>n</w:t>
      </w:r>
      <w:r w:rsidRPr="00B16E6D">
        <w:rPr>
          <w:rFonts w:ascii="Book Antiqua" w:eastAsia="Book Antiqua" w:hAnsi="Book Antiqua" w:cs="Book Antiqua"/>
          <w:b/>
          <w:bCs/>
          <w:color w:val="000000"/>
        </w:rPr>
        <w:t xml:space="preserve"> = 116 autopsies from deceased </w:t>
      </w:r>
      <w:r w:rsidR="00B16E6D">
        <w:rPr>
          <w:rFonts w:ascii="Book Antiqua" w:eastAsia="Book Antiqua" w:hAnsi="Book Antiqua" w:cs="Book Antiqua"/>
          <w:b/>
          <w:bCs/>
          <w:color w:val="000000"/>
        </w:rPr>
        <w:t>c</w:t>
      </w:r>
      <w:r w:rsidR="00B16E6D" w:rsidRPr="00B16E6D">
        <w:rPr>
          <w:rFonts w:ascii="Book Antiqua" w:eastAsia="Book Antiqua" w:hAnsi="Book Antiqua" w:cs="Book Antiqua"/>
          <w:b/>
          <w:bCs/>
          <w:color w:val="000000"/>
        </w:rPr>
        <w:t>oronavirus disease 2019</w:t>
      </w:r>
      <w:r w:rsidRPr="00B16E6D">
        <w:rPr>
          <w:rFonts w:ascii="Book Antiqua" w:eastAsia="Book Antiqua" w:hAnsi="Book Antiqua" w:cs="Book Antiqua"/>
          <w:b/>
          <w:bCs/>
          <w:color w:val="000000"/>
        </w:rPr>
        <w:t xml:space="preserve"> patients). </w:t>
      </w:r>
      <w:r>
        <w:rPr>
          <w:rFonts w:ascii="Book Antiqua" w:eastAsia="Book Antiqua" w:hAnsi="Book Antiqua" w:cs="Book Antiqua"/>
          <w:color w:val="000000"/>
        </w:rPr>
        <w:t>Steatosis was the most frequent finding (55.1%). Studies also reported congestion of hepatic sinuses (34.6%), vascular thrombosis (29.4%), fibrosis (20.5%), Kupffer cell hyperplasia (13.5%), portal inflammation (13.2%), and lobular inflammation (11.6%), Other findings observed were venous outflow obstruction, phlebosclerosis of the portal vein, herniated portal vein, periportal abnormal vessels, hemophagocytosis, and necrosis. </w:t>
      </w:r>
    </w:p>
    <w:p w14:paraId="299722E7" w14:textId="5A4FB02F" w:rsidR="00A77B3E" w:rsidRDefault="00B16E6D">
      <w:pPr>
        <w:spacing w:line="360" w:lineRule="auto"/>
        <w:jc w:val="both"/>
      </w:pPr>
      <w:r>
        <w:br w:type="page"/>
        <w:t>A</w:t>
      </w:r>
      <w:r w:rsidRPr="00B16E6D">
        <w:rPr>
          <w:noProof/>
          <w:lang w:eastAsia="zh-CN"/>
        </w:rPr>
        <w:drawing>
          <wp:inline distT="0" distB="0" distL="0" distR="0" wp14:anchorId="026A4B66" wp14:editId="6C930D7B">
            <wp:extent cx="5943600" cy="1910715"/>
            <wp:effectExtent l="0" t="0" r="0" b="0"/>
            <wp:docPr id="9" name="Imagen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AE3B91F-7A3E-7E44-8E75-7C2CDFD7BB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AE3B91F-7A3E-7E44-8E75-7C2CDFD7BB3E}"/>
                        </a:ext>
                      </a:extLst>
                    </pic:cNvPr>
                    <pic:cNvPicPr>
                      <a:picLocks noChangeAspect="1"/>
                    </pic:cNvPicPr>
                  </pic:nvPicPr>
                  <pic:blipFill>
                    <a:blip r:embed="rId11"/>
                    <a:stretch>
                      <a:fillRect/>
                    </a:stretch>
                  </pic:blipFill>
                  <pic:spPr>
                    <a:xfrm>
                      <a:off x="0" y="0"/>
                      <a:ext cx="5943600" cy="1910715"/>
                    </a:xfrm>
                    <a:prstGeom prst="rect">
                      <a:avLst/>
                    </a:prstGeom>
                  </pic:spPr>
                </pic:pic>
              </a:graphicData>
            </a:graphic>
          </wp:inline>
        </w:drawing>
      </w:r>
    </w:p>
    <w:p w14:paraId="3E26CF98" w14:textId="24911C5E" w:rsidR="00B16E6D" w:rsidRDefault="00B16E6D">
      <w:pPr>
        <w:spacing w:line="360" w:lineRule="auto"/>
        <w:jc w:val="both"/>
        <w:rPr>
          <w:lang w:eastAsia="zh-CN"/>
        </w:rPr>
      </w:pPr>
      <w:r>
        <w:rPr>
          <w:rFonts w:hint="eastAsia"/>
          <w:lang w:eastAsia="zh-CN"/>
        </w:rPr>
        <w:t>B</w:t>
      </w:r>
    </w:p>
    <w:p w14:paraId="6DF9F5EC" w14:textId="75AF4DEE" w:rsidR="00B16E6D" w:rsidRDefault="00B16E6D">
      <w:pPr>
        <w:spacing w:line="360" w:lineRule="auto"/>
        <w:jc w:val="both"/>
        <w:rPr>
          <w:lang w:eastAsia="zh-CN"/>
        </w:rPr>
      </w:pPr>
      <w:r w:rsidRPr="00B16E6D">
        <w:rPr>
          <w:noProof/>
          <w:lang w:eastAsia="zh-CN"/>
        </w:rPr>
        <w:drawing>
          <wp:inline distT="0" distB="0" distL="0" distR="0" wp14:anchorId="1BBD356C" wp14:editId="78AD7770">
            <wp:extent cx="5943600" cy="1910715"/>
            <wp:effectExtent l="0" t="0" r="0" b="0"/>
            <wp:docPr id="11" name="Imagen 1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E5872C-CBF0-E84D-903A-136338A02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E5872C-CBF0-E84D-903A-136338A02000}"/>
                        </a:ext>
                      </a:extLst>
                    </pic:cNvPr>
                    <pic:cNvPicPr>
                      <a:picLocks noChangeAspect="1"/>
                    </pic:cNvPicPr>
                  </pic:nvPicPr>
                  <pic:blipFill>
                    <a:blip r:embed="rId12"/>
                    <a:stretch>
                      <a:fillRect/>
                    </a:stretch>
                  </pic:blipFill>
                  <pic:spPr>
                    <a:xfrm>
                      <a:off x="0" y="0"/>
                      <a:ext cx="5943600" cy="1910715"/>
                    </a:xfrm>
                    <a:prstGeom prst="rect">
                      <a:avLst/>
                    </a:prstGeom>
                  </pic:spPr>
                </pic:pic>
              </a:graphicData>
            </a:graphic>
          </wp:inline>
        </w:drawing>
      </w:r>
    </w:p>
    <w:p w14:paraId="614D88EA" w14:textId="342952ED" w:rsidR="00B16E6D" w:rsidRDefault="00B16E6D">
      <w:pPr>
        <w:spacing w:line="360" w:lineRule="auto"/>
        <w:jc w:val="both"/>
        <w:rPr>
          <w:lang w:eastAsia="zh-CN"/>
        </w:rPr>
      </w:pPr>
      <w:r>
        <w:rPr>
          <w:rFonts w:hint="eastAsia"/>
          <w:lang w:eastAsia="zh-CN"/>
        </w:rPr>
        <w:t>C</w:t>
      </w:r>
    </w:p>
    <w:p w14:paraId="305F19DA" w14:textId="00FF70BF" w:rsidR="00B16E6D" w:rsidRDefault="00B16E6D">
      <w:pPr>
        <w:spacing w:line="360" w:lineRule="auto"/>
        <w:jc w:val="both"/>
        <w:rPr>
          <w:lang w:eastAsia="zh-CN"/>
        </w:rPr>
      </w:pPr>
      <w:r w:rsidRPr="00B16E6D">
        <w:rPr>
          <w:noProof/>
          <w:lang w:eastAsia="zh-CN"/>
        </w:rPr>
        <w:drawing>
          <wp:inline distT="0" distB="0" distL="0" distR="0" wp14:anchorId="0E5C5406" wp14:editId="2EAB7739">
            <wp:extent cx="5943600" cy="1910715"/>
            <wp:effectExtent l="0" t="0" r="0" b="0"/>
            <wp:docPr id="13" name="Imagen 1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D920BE-428C-AA48-86AC-21B3759B1D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9D920BE-428C-AA48-86AC-21B3759B1DBE}"/>
                        </a:ext>
                      </a:extLst>
                    </pic:cNvPr>
                    <pic:cNvPicPr>
                      <a:picLocks noChangeAspect="1"/>
                    </pic:cNvPicPr>
                  </pic:nvPicPr>
                  <pic:blipFill>
                    <a:blip r:embed="rId13"/>
                    <a:stretch>
                      <a:fillRect/>
                    </a:stretch>
                  </pic:blipFill>
                  <pic:spPr>
                    <a:xfrm>
                      <a:off x="0" y="0"/>
                      <a:ext cx="5943600" cy="1910715"/>
                    </a:xfrm>
                    <a:prstGeom prst="rect">
                      <a:avLst/>
                    </a:prstGeom>
                  </pic:spPr>
                </pic:pic>
              </a:graphicData>
            </a:graphic>
          </wp:inline>
        </w:drawing>
      </w:r>
    </w:p>
    <w:p w14:paraId="62950B1A" w14:textId="50902846" w:rsidR="00B16E6D" w:rsidRDefault="00B16E6D">
      <w:pPr>
        <w:spacing w:line="360" w:lineRule="auto"/>
        <w:jc w:val="both"/>
        <w:rPr>
          <w:lang w:eastAsia="zh-CN"/>
        </w:rPr>
      </w:pPr>
      <w:r>
        <w:rPr>
          <w:rFonts w:hint="eastAsia"/>
          <w:lang w:eastAsia="zh-CN"/>
        </w:rPr>
        <w:t>D</w:t>
      </w:r>
    </w:p>
    <w:p w14:paraId="4565E6C3" w14:textId="03722CC0" w:rsidR="00B16E6D" w:rsidRDefault="00B16E6D">
      <w:pPr>
        <w:spacing w:line="360" w:lineRule="auto"/>
        <w:jc w:val="both"/>
        <w:rPr>
          <w:lang w:eastAsia="zh-CN"/>
        </w:rPr>
      </w:pPr>
      <w:r w:rsidRPr="00B16E6D">
        <w:rPr>
          <w:noProof/>
          <w:lang w:eastAsia="zh-CN"/>
        </w:rPr>
        <w:drawing>
          <wp:inline distT="0" distB="0" distL="0" distR="0" wp14:anchorId="4E2B6D82" wp14:editId="3DB1EB7B">
            <wp:extent cx="5943600" cy="1910715"/>
            <wp:effectExtent l="0" t="0" r="0" b="0"/>
            <wp:docPr id="15" name="Imagen 1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965D257-6625-B74A-ABBB-428B7D8A38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965D257-6625-B74A-ABBB-428B7D8A38B5}"/>
                        </a:ext>
                      </a:extLst>
                    </pic:cNvPr>
                    <pic:cNvPicPr>
                      <a:picLocks noChangeAspect="1"/>
                    </pic:cNvPicPr>
                  </pic:nvPicPr>
                  <pic:blipFill>
                    <a:blip r:embed="rId14"/>
                    <a:stretch>
                      <a:fillRect/>
                    </a:stretch>
                  </pic:blipFill>
                  <pic:spPr>
                    <a:xfrm>
                      <a:off x="0" y="0"/>
                      <a:ext cx="5943600" cy="1910715"/>
                    </a:xfrm>
                    <a:prstGeom prst="rect">
                      <a:avLst/>
                    </a:prstGeom>
                  </pic:spPr>
                </pic:pic>
              </a:graphicData>
            </a:graphic>
          </wp:inline>
        </w:drawing>
      </w:r>
    </w:p>
    <w:p w14:paraId="2622B762" w14:textId="1659D1C1" w:rsidR="002F5DD4" w:rsidRDefault="005C3C13">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B16E6D" w:rsidRPr="00B16E6D">
        <w:rPr>
          <w:rFonts w:ascii="Book Antiqua" w:eastAsia="Book Antiqua" w:hAnsi="Book Antiqua" w:cs="Book Antiqua"/>
          <w:b/>
          <w:bCs/>
          <w:color w:val="000000"/>
        </w:rPr>
        <w:t xml:space="preserve"> </w:t>
      </w:r>
      <w:r w:rsidRPr="00B16E6D">
        <w:rPr>
          <w:rFonts w:ascii="Book Antiqua" w:eastAsia="Book Antiqua" w:hAnsi="Book Antiqua" w:cs="Book Antiqua"/>
          <w:b/>
          <w:bCs/>
          <w:color w:val="000000"/>
        </w:rPr>
        <w:t xml:space="preserve">Forest plots of major liver histological features from deceased </w:t>
      </w:r>
      <w:r w:rsidR="00B16E6D">
        <w:rPr>
          <w:rFonts w:ascii="Book Antiqua" w:eastAsia="Book Antiqua" w:hAnsi="Book Antiqua" w:cs="Book Antiqua"/>
          <w:b/>
          <w:bCs/>
          <w:color w:val="000000"/>
        </w:rPr>
        <w:t>c</w:t>
      </w:r>
      <w:r w:rsidR="00B16E6D" w:rsidRPr="00B16E6D">
        <w:rPr>
          <w:rFonts w:ascii="Book Antiqua" w:eastAsia="Book Antiqua" w:hAnsi="Book Antiqua" w:cs="Book Antiqua"/>
          <w:b/>
          <w:bCs/>
          <w:color w:val="000000"/>
        </w:rPr>
        <w:t>oronavirus disease 2019</w:t>
      </w:r>
      <w:r w:rsidRPr="00B16E6D">
        <w:rPr>
          <w:rFonts w:ascii="Book Antiqua" w:eastAsia="Book Antiqua" w:hAnsi="Book Antiqua" w:cs="Book Antiqua"/>
          <w:b/>
          <w:bCs/>
          <w:color w:val="000000"/>
        </w:rPr>
        <w:t xml:space="preserve"> patients.</w:t>
      </w:r>
      <w:r>
        <w:rPr>
          <w:rFonts w:ascii="Book Antiqua" w:eastAsia="Book Antiqua" w:hAnsi="Book Antiqua" w:cs="Book Antiqua"/>
          <w:color w:val="000000"/>
        </w:rPr>
        <w:t xml:space="preserve"> </w:t>
      </w:r>
      <w:r w:rsidR="00B16E6D">
        <w:rPr>
          <w:rFonts w:ascii="Book Antiqua" w:eastAsia="Book Antiqua" w:hAnsi="Book Antiqua" w:cs="Book Antiqua"/>
          <w:color w:val="000000"/>
        </w:rPr>
        <w:t xml:space="preserve">A-D: </w:t>
      </w:r>
      <w:r>
        <w:rPr>
          <w:rFonts w:ascii="Book Antiqua" w:eastAsia="Book Antiqua" w:hAnsi="Book Antiqua" w:cs="Book Antiqua"/>
          <w:color w:val="000000"/>
        </w:rPr>
        <w:t>The figure includes forest plots of hepatic steatosis (A), congestion of hepatic sinuses (B), vascular thrombosis (C), and fibrosis (D). Heterogeneity was assessed using 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and Q statistics.</w:t>
      </w:r>
      <w:r w:rsidR="002F5DD4">
        <w:rPr>
          <w:rFonts w:ascii="Book Antiqua" w:eastAsia="Book Antiqua" w:hAnsi="Book Antiqua" w:cs="Book Antiqua"/>
          <w:color w:val="000000"/>
        </w:rPr>
        <w:t xml:space="preserve"> CI: </w:t>
      </w:r>
      <w:bookmarkStart w:id="2" w:name="_Hlk57740566"/>
      <w:r w:rsidR="002F5DD4">
        <w:rPr>
          <w:rFonts w:ascii="Book Antiqua" w:eastAsia="Malgun Gothic" w:hAnsi="Book Antiqua"/>
        </w:rPr>
        <w:t>C</w:t>
      </w:r>
      <w:r w:rsidR="002F5DD4" w:rsidRPr="00616F4C">
        <w:rPr>
          <w:rFonts w:ascii="Book Antiqua" w:eastAsia="Malgun Gothic" w:hAnsi="Book Antiqua"/>
        </w:rPr>
        <w:t>onfidence interval</w:t>
      </w:r>
      <w:bookmarkEnd w:id="2"/>
      <w:r w:rsidR="002F5DD4">
        <w:rPr>
          <w:rFonts w:ascii="Book Antiqua" w:eastAsia="Malgun Gothic" w:hAnsi="Book Antiqua"/>
        </w:rPr>
        <w:t>.</w:t>
      </w:r>
    </w:p>
    <w:p w14:paraId="0A1BF485" w14:textId="2064399C" w:rsidR="00A77B3E" w:rsidRDefault="002F5DD4">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t>A</w:t>
      </w:r>
    </w:p>
    <w:p w14:paraId="4002D403" w14:textId="06FB426D" w:rsidR="002F5DD4" w:rsidRDefault="002F5DD4">
      <w:pPr>
        <w:spacing w:line="360" w:lineRule="auto"/>
        <w:jc w:val="both"/>
      </w:pPr>
      <w:r w:rsidRPr="002F5DD4">
        <w:rPr>
          <w:noProof/>
          <w:lang w:eastAsia="zh-CN"/>
        </w:rPr>
        <w:drawing>
          <wp:inline distT="0" distB="0" distL="0" distR="0" wp14:anchorId="023B94FB" wp14:editId="73727143">
            <wp:extent cx="5943600" cy="1910715"/>
            <wp:effectExtent l="0" t="0" r="0" b="0"/>
            <wp:docPr id="17" name="Imagen 1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5447F6-0BA4-4A43-85F7-0713A8711F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15447F6-0BA4-4A43-85F7-0713A8711F7F}"/>
                        </a:ext>
                      </a:extLst>
                    </pic:cNvPr>
                    <pic:cNvPicPr>
                      <a:picLocks noChangeAspect="1"/>
                    </pic:cNvPicPr>
                  </pic:nvPicPr>
                  <pic:blipFill>
                    <a:blip r:embed="rId15"/>
                    <a:stretch>
                      <a:fillRect/>
                    </a:stretch>
                  </pic:blipFill>
                  <pic:spPr>
                    <a:xfrm>
                      <a:off x="0" y="0"/>
                      <a:ext cx="5943600" cy="1910715"/>
                    </a:xfrm>
                    <a:prstGeom prst="rect">
                      <a:avLst/>
                    </a:prstGeom>
                  </pic:spPr>
                </pic:pic>
              </a:graphicData>
            </a:graphic>
          </wp:inline>
        </w:drawing>
      </w:r>
    </w:p>
    <w:p w14:paraId="703006D1" w14:textId="6D3B9D06" w:rsidR="002F5DD4" w:rsidRDefault="002F5DD4">
      <w:pPr>
        <w:spacing w:line="360" w:lineRule="auto"/>
        <w:jc w:val="both"/>
        <w:rPr>
          <w:lang w:eastAsia="zh-CN"/>
        </w:rPr>
      </w:pPr>
      <w:r>
        <w:rPr>
          <w:rFonts w:hint="eastAsia"/>
          <w:lang w:eastAsia="zh-CN"/>
        </w:rPr>
        <w:t>B</w:t>
      </w:r>
    </w:p>
    <w:p w14:paraId="2303E87E" w14:textId="1A14F762" w:rsidR="002F5DD4" w:rsidRDefault="002F5DD4">
      <w:pPr>
        <w:spacing w:line="360" w:lineRule="auto"/>
        <w:jc w:val="both"/>
        <w:rPr>
          <w:lang w:eastAsia="zh-CN"/>
        </w:rPr>
      </w:pPr>
      <w:r w:rsidRPr="002F5DD4">
        <w:rPr>
          <w:noProof/>
          <w:lang w:eastAsia="zh-CN"/>
        </w:rPr>
        <w:drawing>
          <wp:inline distT="0" distB="0" distL="0" distR="0" wp14:anchorId="663E1894" wp14:editId="0AC18575">
            <wp:extent cx="5943600" cy="1910715"/>
            <wp:effectExtent l="0" t="0" r="0" b="0"/>
            <wp:docPr id="19" name="Imagen 1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8F822CB-417C-624D-83B2-B8FF8A00C5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8F822CB-417C-624D-83B2-B8FF8A00C570}"/>
                        </a:ext>
                      </a:extLst>
                    </pic:cNvPr>
                    <pic:cNvPicPr>
                      <a:picLocks noChangeAspect="1"/>
                    </pic:cNvPicPr>
                  </pic:nvPicPr>
                  <pic:blipFill>
                    <a:blip r:embed="rId16"/>
                    <a:stretch>
                      <a:fillRect/>
                    </a:stretch>
                  </pic:blipFill>
                  <pic:spPr>
                    <a:xfrm>
                      <a:off x="0" y="0"/>
                      <a:ext cx="5943600" cy="1910715"/>
                    </a:xfrm>
                    <a:prstGeom prst="rect">
                      <a:avLst/>
                    </a:prstGeom>
                  </pic:spPr>
                </pic:pic>
              </a:graphicData>
            </a:graphic>
          </wp:inline>
        </w:drawing>
      </w:r>
    </w:p>
    <w:p w14:paraId="31631F5A" w14:textId="31FC64B7" w:rsidR="002F5DD4" w:rsidRDefault="002F5DD4">
      <w:pPr>
        <w:spacing w:line="360" w:lineRule="auto"/>
        <w:jc w:val="both"/>
        <w:rPr>
          <w:lang w:eastAsia="zh-CN"/>
        </w:rPr>
      </w:pPr>
      <w:r>
        <w:rPr>
          <w:rFonts w:hint="eastAsia"/>
          <w:lang w:eastAsia="zh-CN"/>
        </w:rPr>
        <w:t>C</w:t>
      </w:r>
    </w:p>
    <w:p w14:paraId="3AB09CF1" w14:textId="14BD9C60" w:rsidR="002F5DD4" w:rsidRDefault="002F5DD4">
      <w:pPr>
        <w:spacing w:line="360" w:lineRule="auto"/>
        <w:jc w:val="both"/>
        <w:rPr>
          <w:lang w:eastAsia="zh-CN"/>
        </w:rPr>
      </w:pPr>
      <w:r w:rsidRPr="002F5DD4">
        <w:rPr>
          <w:noProof/>
          <w:lang w:eastAsia="zh-CN"/>
        </w:rPr>
        <w:drawing>
          <wp:inline distT="0" distB="0" distL="0" distR="0" wp14:anchorId="4924CD11" wp14:editId="1FAC7920">
            <wp:extent cx="5943600" cy="1910715"/>
            <wp:effectExtent l="0" t="0" r="0" b="0"/>
            <wp:docPr id="21" name="Imagen 2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183B73-28C6-4E47-894D-BFBD145654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0">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183B73-28C6-4E47-894D-BFBD14565403}"/>
                        </a:ext>
                      </a:extLst>
                    </pic:cNvPr>
                    <pic:cNvPicPr>
                      <a:picLocks noChangeAspect="1"/>
                    </pic:cNvPicPr>
                  </pic:nvPicPr>
                  <pic:blipFill>
                    <a:blip r:embed="rId17"/>
                    <a:stretch>
                      <a:fillRect/>
                    </a:stretch>
                  </pic:blipFill>
                  <pic:spPr>
                    <a:xfrm>
                      <a:off x="0" y="0"/>
                      <a:ext cx="5943600" cy="1910715"/>
                    </a:xfrm>
                    <a:prstGeom prst="rect">
                      <a:avLst/>
                    </a:prstGeom>
                  </pic:spPr>
                </pic:pic>
              </a:graphicData>
            </a:graphic>
          </wp:inline>
        </w:drawing>
      </w:r>
    </w:p>
    <w:p w14:paraId="28B064A7" w14:textId="77777777" w:rsidR="00073698" w:rsidRDefault="005C3C13">
      <w:pPr>
        <w:spacing w:line="360" w:lineRule="auto"/>
        <w:jc w:val="both"/>
        <w:rPr>
          <w:rFonts w:ascii="Book Antiqua" w:eastAsia="Malgun Gothic" w:hAnsi="Book Antiqua"/>
        </w:rPr>
      </w:pPr>
      <w:r>
        <w:rPr>
          <w:rFonts w:ascii="Book Antiqua" w:eastAsia="Book Antiqua" w:hAnsi="Book Antiqua" w:cs="Book Antiqua"/>
          <w:b/>
          <w:bCs/>
          <w:color w:val="000000"/>
        </w:rPr>
        <w:t>Figure 4</w:t>
      </w:r>
      <w:r w:rsidR="002F5DD4">
        <w:rPr>
          <w:rFonts w:ascii="Book Antiqua" w:eastAsia="Book Antiqua" w:hAnsi="Book Antiqua" w:cs="Book Antiqua"/>
          <w:b/>
          <w:bCs/>
          <w:color w:val="000000"/>
        </w:rPr>
        <w:t xml:space="preserve"> </w:t>
      </w:r>
      <w:r w:rsidRPr="002F5DD4">
        <w:rPr>
          <w:rFonts w:ascii="Book Antiqua" w:eastAsia="Book Antiqua" w:hAnsi="Book Antiqua" w:cs="Book Antiqua"/>
          <w:b/>
          <w:bCs/>
          <w:color w:val="000000"/>
        </w:rPr>
        <w:t xml:space="preserve">Forest plots of inflammatory liver histological features from deceased </w:t>
      </w:r>
      <w:r w:rsidR="00B16E6D" w:rsidRPr="002F5DD4">
        <w:rPr>
          <w:rFonts w:ascii="Book Antiqua" w:eastAsia="Book Antiqua" w:hAnsi="Book Antiqua" w:cs="Book Antiqua"/>
          <w:b/>
          <w:bCs/>
          <w:color w:val="000000"/>
        </w:rPr>
        <w:t>coronavirus disease 2019</w:t>
      </w:r>
      <w:r w:rsidRPr="002F5DD4">
        <w:rPr>
          <w:rFonts w:ascii="Book Antiqua" w:eastAsia="Book Antiqua" w:hAnsi="Book Antiqua" w:cs="Book Antiqua"/>
          <w:b/>
          <w:bCs/>
          <w:color w:val="000000"/>
        </w:rPr>
        <w:t xml:space="preserve"> patients.</w:t>
      </w:r>
      <w:r>
        <w:rPr>
          <w:rFonts w:ascii="Book Antiqua" w:eastAsia="Book Antiqua" w:hAnsi="Book Antiqua" w:cs="Book Antiqua"/>
          <w:color w:val="000000"/>
        </w:rPr>
        <w:t xml:space="preserve"> </w:t>
      </w:r>
      <w:r w:rsidR="002F5DD4">
        <w:rPr>
          <w:rFonts w:ascii="Book Antiqua" w:eastAsia="Book Antiqua" w:hAnsi="Book Antiqua" w:cs="Book Antiqua"/>
          <w:color w:val="000000"/>
        </w:rPr>
        <w:t xml:space="preserve">A-C: </w:t>
      </w:r>
      <w:r>
        <w:rPr>
          <w:rFonts w:ascii="Book Antiqua" w:eastAsia="Book Antiqua" w:hAnsi="Book Antiqua" w:cs="Book Antiqua"/>
          <w:color w:val="000000"/>
        </w:rPr>
        <w:t>The figure includes forest plots of Kupffer cell hyperplasia (A), portal inflammation (B), and lobular inflammation (C). Heterogeneity was assessed using I</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and Q statistics.</w:t>
      </w:r>
      <w:r w:rsidR="002F5DD4">
        <w:rPr>
          <w:rFonts w:ascii="Book Antiqua" w:eastAsia="Book Antiqua" w:hAnsi="Book Antiqua" w:cs="Book Antiqua"/>
          <w:color w:val="000000"/>
        </w:rPr>
        <w:t xml:space="preserve"> CI: </w:t>
      </w:r>
      <w:r w:rsidR="002F5DD4">
        <w:rPr>
          <w:rFonts w:ascii="Book Antiqua" w:eastAsia="Malgun Gothic" w:hAnsi="Book Antiqua"/>
        </w:rPr>
        <w:t>C</w:t>
      </w:r>
      <w:r w:rsidR="002F5DD4" w:rsidRPr="00616F4C">
        <w:rPr>
          <w:rFonts w:ascii="Book Antiqua" w:eastAsia="Malgun Gothic" w:hAnsi="Book Antiqua"/>
        </w:rPr>
        <w:t>onfidence interval</w:t>
      </w:r>
      <w:r w:rsidR="002F5DD4">
        <w:rPr>
          <w:rFonts w:ascii="Book Antiqua" w:eastAsia="Malgun Gothic" w:hAnsi="Book Antiqua"/>
        </w:rPr>
        <w:t>.</w:t>
      </w:r>
    </w:p>
    <w:p w14:paraId="4B41CCBF" w14:textId="4221E08D" w:rsidR="00342E61" w:rsidRDefault="00342E61">
      <w:pPr>
        <w:spacing w:line="360" w:lineRule="auto"/>
        <w:jc w:val="both"/>
        <w:rPr>
          <w:rFonts w:ascii="Book Antiqua" w:eastAsia="Malgun Gothic" w:hAnsi="Book Antiqua"/>
        </w:rPr>
        <w:sectPr w:rsidR="00342E61">
          <w:pgSz w:w="12240" w:h="15840"/>
          <w:pgMar w:top="1440" w:right="1440" w:bottom="1440" w:left="1440" w:header="720" w:footer="720" w:gutter="0"/>
          <w:cols w:space="720"/>
          <w:docGrid w:linePitch="360"/>
        </w:sectPr>
      </w:pPr>
    </w:p>
    <w:p w14:paraId="1CE1FEAC" w14:textId="44F6FE0E" w:rsidR="00A77B3E" w:rsidRDefault="00073698">
      <w:pPr>
        <w:spacing w:line="360" w:lineRule="auto"/>
        <w:jc w:val="both"/>
        <w:rPr>
          <w:rFonts w:ascii="Book Antiqua" w:eastAsia="Calibri" w:hAnsi="Book Antiqua" w:cs="Calibri"/>
          <w:b/>
          <w:bCs/>
        </w:rPr>
      </w:pPr>
      <w:r w:rsidRPr="009335B2">
        <w:rPr>
          <w:rFonts w:ascii="Book Antiqua" w:eastAsia="Calibri" w:hAnsi="Book Antiqua" w:cs="Calibri"/>
          <w:b/>
        </w:rPr>
        <w:t>Table 1</w:t>
      </w:r>
      <w:r>
        <w:rPr>
          <w:rFonts w:ascii="Book Antiqua" w:eastAsia="Calibri" w:hAnsi="Book Antiqua" w:cs="Calibri"/>
          <w:b/>
        </w:rPr>
        <w:t xml:space="preserve"> </w:t>
      </w:r>
      <w:r w:rsidRPr="00073698">
        <w:rPr>
          <w:rFonts w:ascii="Book Antiqua" w:eastAsia="Calibri" w:hAnsi="Book Antiqua" w:cs="Calibri"/>
          <w:b/>
          <w:bCs/>
        </w:rPr>
        <w:t>Main characteristics of studies included in the analysis</w:t>
      </w:r>
    </w:p>
    <w:tbl>
      <w:tblPr>
        <w:tblW w:w="5000" w:type="pct"/>
        <w:tblLayout w:type="fixed"/>
        <w:tblLook w:val="0400" w:firstRow="0" w:lastRow="0" w:firstColumn="0" w:lastColumn="0" w:noHBand="0" w:noVBand="1"/>
      </w:tblPr>
      <w:tblGrid>
        <w:gridCol w:w="1395"/>
        <w:gridCol w:w="1366"/>
        <w:gridCol w:w="1105"/>
        <w:gridCol w:w="1196"/>
        <w:gridCol w:w="829"/>
        <w:gridCol w:w="830"/>
        <w:gridCol w:w="1195"/>
        <w:gridCol w:w="1473"/>
        <w:gridCol w:w="3661"/>
      </w:tblGrid>
      <w:tr w:rsidR="00073698" w:rsidRPr="00C72DF7" w14:paraId="5A98ED33" w14:textId="77777777" w:rsidTr="004D1BAC">
        <w:trPr>
          <w:trHeight w:val="364"/>
        </w:trPr>
        <w:tc>
          <w:tcPr>
            <w:tcW w:w="1075" w:type="dxa"/>
            <w:tcBorders>
              <w:top w:val="single" w:sz="4" w:space="0" w:color="auto"/>
              <w:bottom w:val="single" w:sz="4" w:space="0" w:color="auto"/>
            </w:tcBorders>
            <w:tcMar>
              <w:top w:w="30" w:type="dxa"/>
              <w:left w:w="45" w:type="dxa"/>
              <w:bottom w:w="30" w:type="dxa"/>
              <w:right w:w="45" w:type="dxa"/>
            </w:tcMar>
          </w:tcPr>
          <w:p w14:paraId="27749368" w14:textId="78064AFA" w:rsidR="00073698" w:rsidRPr="00C72DF7" w:rsidRDefault="00073698" w:rsidP="00073698">
            <w:pPr>
              <w:spacing w:line="360" w:lineRule="auto"/>
              <w:jc w:val="both"/>
              <w:rPr>
                <w:rFonts w:ascii="Book Antiqua" w:eastAsia="Calibri" w:hAnsi="Book Antiqua" w:cs="Calibri"/>
                <w:b/>
              </w:rPr>
            </w:pPr>
            <w:r>
              <w:rPr>
                <w:rFonts w:ascii="Book Antiqua" w:eastAsia="Calibri" w:hAnsi="Book Antiqua" w:cs="Calibri"/>
                <w:b/>
              </w:rPr>
              <w:t>Ref.</w:t>
            </w:r>
          </w:p>
        </w:tc>
        <w:tc>
          <w:tcPr>
            <w:tcW w:w="1052" w:type="dxa"/>
            <w:tcBorders>
              <w:top w:val="single" w:sz="4" w:space="0" w:color="auto"/>
              <w:bottom w:val="single" w:sz="4" w:space="0" w:color="auto"/>
            </w:tcBorders>
            <w:tcMar>
              <w:top w:w="30" w:type="dxa"/>
              <w:left w:w="45" w:type="dxa"/>
              <w:bottom w:w="30" w:type="dxa"/>
              <w:right w:w="45" w:type="dxa"/>
            </w:tcMar>
          </w:tcPr>
          <w:p w14:paraId="3E47CCA8" w14:textId="77777777" w:rsidR="00073698" w:rsidRPr="00C72DF7" w:rsidRDefault="00073698" w:rsidP="00073698">
            <w:pPr>
              <w:spacing w:line="360" w:lineRule="auto"/>
              <w:jc w:val="both"/>
              <w:rPr>
                <w:rFonts w:ascii="Book Antiqua" w:eastAsia="Calibri" w:hAnsi="Book Antiqua" w:cs="Calibri"/>
                <w:b/>
              </w:rPr>
            </w:pPr>
            <w:r w:rsidRPr="00C72DF7">
              <w:rPr>
                <w:rFonts w:ascii="Book Antiqua" w:eastAsia="Calibri" w:hAnsi="Book Antiqua" w:cs="Calibri"/>
                <w:b/>
              </w:rPr>
              <w:t>Date</w:t>
            </w:r>
          </w:p>
        </w:tc>
        <w:tc>
          <w:tcPr>
            <w:tcW w:w="851" w:type="dxa"/>
            <w:tcBorders>
              <w:top w:val="single" w:sz="4" w:space="0" w:color="auto"/>
              <w:bottom w:val="single" w:sz="4" w:space="0" w:color="auto"/>
            </w:tcBorders>
            <w:tcMar>
              <w:top w:w="30" w:type="dxa"/>
              <w:left w:w="45" w:type="dxa"/>
              <w:bottom w:w="30" w:type="dxa"/>
              <w:right w:w="45" w:type="dxa"/>
            </w:tcMar>
          </w:tcPr>
          <w:p w14:paraId="638314A2" w14:textId="77777777" w:rsidR="00073698" w:rsidRPr="00C72DF7" w:rsidRDefault="00073698" w:rsidP="00073698">
            <w:pPr>
              <w:spacing w:line="360" w:lineRule="auto"/>
              <w:jc w:val="both"/>
              <w:rPr>
                <w:rFonts w:ascii="Book Antiqua" w:eastAsia="Calibri" w:hAnsi="Book Antiqua" w:cs="Calibri"/>
                <w:b/>
              </w:rPr>
            </w:pPr>
            <w:r w:rsidRPr="00C72DF7">
              <w:rPr>
                <w:rFonts w:ascii="Book Antiqua" w:eastAsia="Calibri" w:hAnsi="Book Antiqua" w:cs="Calibri"/>
                <w:b/>
              </w:rPr>
              <w:t>Country</w:t>
            </w:r>
          </w:p>
        </w:tc>
        <w:tc>
          <w:tcPr>
            <w:tcW w:w="921" w:type="dxa"/>
            <w:tcBorders>
              <w:top w:val="single" w:sz="4" w:space="0" w:color="auto"/>
              <w:bottom w:val="single" w:sz="4" w:space="0" w:color="auto"/>
            </w:tcBorders>
            <w:tcMar>
              <w:top w:w="30" w:type="dxa"/>
              <w:left w:w="45" w:type="dxa"/>
              <w:bottom w:w="30" w:type="dxa"/>
              <w:right w:w="45" w:type="dxa"/>
            </w:tcMar>
          </w:tcPr>
          <w:p w14:paraId="36BB6F42" w14:textId="77777777" w:rsidR="00073698" w:rsidRPr="00C72DF7" w:rsidRDefault="00073698" w:rsidP="00073698">
            <w:pPr>
              <w:spacing w:line="360" w:lineRule="auto"/>
              <w:jc w:val="both"/>
              <w:rPr>
                <w:rFonts w:ascii="Book Antiqua" w:eastAsia="Calibri" w:hAnsi="Book Antiqua" w:cs="Calibri"/>
                <w:b/>
              </w:rPr>
            </w:pPr>
            <w:r w:rsidRPr="00C72DF7">
              <w:rPr>
                <w:rFonts w:ascii="Book Antiqua" w:eastAsia="Calibri" w:hAnsi="Book Antiqua" w:cs="Calibri"/>
                <w:b/>
              </w:rPr>
              <w:t>Sources of samples</w:t>
            </w:r>
          </w:p>
        </w:tc>
        <w:tc>
          <w:tcPr>
            <w:tcW w:w="638" w:type="dxa"/>
            <w:tcBorders>
              <w:top w:val="single" w:sz="4" w:space="0" w:color="auto"/>
              <w:bottom w:val="single" w:sz="4" w:space="0" w:color="auto"/>
            </w:tcBorders>
            <w:tcMar>
              <w:top w:w="30" w:type="dxa"/>
              <w:left w:w="45" w:type="dxa"/>
              <w:bottom w:w="30" w:type="dxa"/>
              <w:right w:w="45" w:type="dxa"/>
            </w:tcMar>
          </w:tcPr>
          <w:p w14:paraId="4FA7F9BD" w14:textId="77777777" w:rsidR="00073698" w:rsidRPr="00C72DF7" w:rsidRDefault="00073698" w:rsidP="00073698">
            <w:pPr>
              <w:spacing w:line="360" w:lineRule="auto"/>
              <w:jc w:val="both"/>
              <w:rPr>
                <w:rFonts w:ascii="Book Antiqua" w:eastAsia="Calibri" w:hAnsi="Book Antiqua" w:cs="Calibri"/>
                <w:b/>
              </w:rPr>
            </w:pPr>
            <w:r w:rsidRPr="00C72DF7">
              <w:rPr>
                <w:rFonts w:ascii="Book Antiqua" w:eastAsia="Calibri" w:hAnsi="Book Antiqua" w:cs="Calibri"/>
                <w:b/>
              </w:rPr>
              <w:t>Nº of pts</w:t>
            </w:r>
          </w:p>
        </w:tc>
        <w:tc>
          <w:tcPr>
            <w:tcW w:w="639" w:type="dxa"/>
            <w:tcBorders>
              <w:top w:val="single" w:sz="4" w:space="0" w:color="auto"/>
              <w:bottom w:val="single" w:sz="4" w:space="0" w:color="auto"/>
            </w:tcBorders>
            <w:tcMar>
              <w:top w:w="30" w:type="dxa"/>
              <w:left w:w="45" w:type="dxa"/>
              <w:bottom w:w="30" w:type="dxa"/>
              <w:right w:w="45" w:type="dxa"/>
            </w:tcMar>
          </w:tcPr>
          <w:p w14:paraId="7A249B6D" w14:textId="66E973E4" w:rsidR="00073698" w:rsidRPr="00C72DF7" w:rsidRDefault="00073698" w:rsidP="00073698">
            <w:pPr>
              <w:spacing w:line="360" w:lineRule="auto"/>
              <w:jc w:val="both"/>
              <w:rPr>
                <w:rFonts w:ascii="Book Antiqua" w:eastAsia="Calibri" w:hAnsi="Book Antiqua" w:cs="Calibri"/>
                <w:b/>
              </w:rPr>
            </w:pPr>
            <w:r w:rsidRPr="00C72DF7">
              <w:rPr>
                <w:rFonts w:ascii="Book Antiqua" w:eastAsia="Calibri" w:hAnsi="Book Antiqua" w:cs="Calibri"/>
                <w:b/>
              </w:rPr>
              <w:t>Age (y</w:t>
            </w:r>
            <w:r>
              <w:rPr>
                <w:rFonts w:ascii="Book Antiqua" w:eastAsia="Calibri" w:hAnsi="Book Antiqua" w:cs="Calibri"/>
                <w:b/>
              </w:rPr>
              <w:t>r</w:t>
            </w:r>
            <w:r w:rsidRPr="00C72DF7">
              <w:rPr>
                <w:rFonts w:ascii="Book Antiqua" w:eastAsia="Calibri" w:hAnsi="Book Antiqua" w:cs="Calibri"/>
                <w:b/>
              </w:rPr>
              <w:t>)</w:t>
            </w:r>
          </w:p>
        </w:tc>
        <w:tc>
          <w:tcPr>
            <w:tcW w:w="920" w:type="dxa"/>
            <w:tcBorders>
              <w:top w:val="single" w:sz="4" w:space="0" w:color="auto"/>
              <w:bottom w:val="single" w:sz="4" w:space="0" w:color="auto"/>
            </w:tcBorders>
            <w:tcMar>
              <w:top w:w="30" w:type="dxa"/>
              <w:left w:w="45" w:type="dxa"/>
              <w:bottom w:w="30" w:type="dxa"/>
              <w:right w:w="45" w:type="dxa"/>
            </w:tcMar>
          </w:tcPr>
          <w:p w14:paraId="696BA7A5" w14:textId="77777777" w:rsidR="00073698" w:rsidRPr="00C72DF7" w:rsidRDefault="00073698" w:rsidP="00073698">
            <w:pPr>
              <w:spacing w:line="360" w:lineRule="auto"/>
              <w:jc w:val="both"/>
              <w:rPr>
                <w:rFonts w:ascii="Book Antiqua" w:eastAsia="Calibri" w:hAnsi="Book Antiqua" w:cs="Calibri"/>
                <w:b/>
              </w:rPr>
            </w:pPr>
            <w:r w:rsidRPr="00C72DF7">
              <w:rPr>
                <w:rFonts w:ascii="Book Antiqua" w:eastAsia="Calibri" w:hAnsi="Book Antiqua" w:cs="Calibri"/>
                <w:b/>
              </w:rPr>
              <w:t>Gender</w:t>
            </w:r>
          </w:p>
        </w:tc>
        <w:tc>
          <w:tcPr>
            <w:tcW w:w="1134" w:type="dxa"/>
            <w:tcBorders>
              <w:top w:val="single" w:sz="4" w:space="0" w:color="auto"/>
              <w:bottom w:val="single" w:sz="4" w:space="0" w:color="auto"/>
            </w:tcBorders>
            <w:tcMar>
              <w:top w:w="30" w:type="dxa"/>
              <w:left w:w="45" w:type="dxa"/>
              <w:bottom w:w="30" w:type="dxa"/>
              <w:right w:w="45" w:type="dxa"/>
            </w:tcMar>
          </w:tcPr>
          <w:p w14:paraId="620B594E" w14:textId="77777777" w:rsidR="00073698" w:rsidRPr="00C72DF7" w:rsidRDefault="00073698" w:rsidP="00073698">
            <w:pPr>
              <w:spacing w:line="360" w:lineRule="auto"/>
              <w:jc w:val="both"/>
              <w:rPr>
                <w:rFonts w:ascii="Book Antiqua" w:eastAsia="Calibri" w:hAnsi="Book Antiqua" w:cs="Calibri"/>
                <w:b/>
              </w:rPr>
            </w:pPr>
            <w:r w:rsidRPr="00C72DF7">
              <w:rPr>
                <w:rFonts w:ascii="Book Antiqua" w:eastAsia="Calibri" w:hAnsi="Book Antiqua" w:cs="Calibri"/>
                <w:b/>
              </w:rPr>
              <w:t>Ethnicity</w:t>
            </w:r>
          </w:p>
        </w:tc>
        <w:tc>
          <w:tcPr>
            <w:tcW w:w="2819" w:type="dxa"/>
            <w:tcBorders>
              <w:top w:val="single" w:sz="4" w:space="0" w:color="auto"/>
              <w:bottom w:val="single" w:sz="4" w:space="0" w:color="auto"/>
            </w:tcBorders>
            <w:tcMar>
              <w:top w:w="30" w:type="dxa"/>
              <w:left w:w="45" w:type="dxa"/>
              <w:bottom w:w="30" w:type="dxa"/>
              <w:right w:w="45" w:type="dxa"/>
            </w:tcMar>
          </w:tcPr>
          <w:p w14:paraId="686DE28B" w14:textId="77777777" w:rsidR="00073698" w:rsidRPr="00C72DF7" w:rsidRDefault="00073698" w:rsidP="00073698">
            <w:pPr>
              <w:spacing w:line="360" w:lineRule="auto"/>
              <w:jc w:val="both"/>
              <w:rPr>
                <w:rFonts w:ascii="Book Antiqua" w:eastAsia="Calibri" w:hAnsi="Book Antiqua" w:cs="Calibri"/>
                <w:b/>
              </w:rPr>
            </w:pPr>
            <w:r w:rsidRPr="00C72DF7">
              <w:rPr>
                <w:rFonts w:ascii="Book Antiqua" w:eastAsia="Calibri" w:hAnsi="Book Antiqua" w:cs="Calibri"/>
                <w:b/>
              </w:rPr>
              <w:t>Comorbidities</w:t>
            </w:r>
          </w:p>
        </w:tc>
      </w:tr>
      <w:tr w:rsidR="00073698" w:rsidRPr="00C72DF7" w14:paraId="179C6A0A" w14:textId="77777777" w:rsidTr="004D1BAC">
        <w:trPr>
          <w:trHeight w:val="255"/>
        </w:trPr>
        <w:tc>
          <w:tcPr>
            <w:tcW w:w="1075" w:type="dxa"/>
            <w:tcBorders>
              <w:top w:val="single" w:sz="4" w:space="0" w:color="auto"/>
            </w:tcBorders>
            <w:shd w:val="clear" w:color="auto" w:fill="auto"/>
            <w:tcMar>
              <w:top w:w="30" w:type="dxa"/>
              <w:left w:w="45" w:type="dxa"/>
              <w:bottom w:w="30" w:type="dxa"/>
              <w:right w:w="45" w:type="dxa"/>
            </w:tcMar>
          </w:tcPr>
          <w:p w14:paraId="37D09D49" w14:textId="38F13934"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 xml:space="preserve">Barton </w:t>
            </w:r>
            <w:r w:rsidRPr="00073698">
              <w:rPr>
                <w:rFonts w:ascii="Book Antiqua" w:eastAsia="Calibri" w:hAnsi="Book Antiqua" w:cs="Calibri"/>
                <w:i/>
                <w:iCs/>
              </w:rPr>
              <w:t>et al</w:t>
            </w:r>
            <w:r w:rsidRPr="00073698">
              <w:rPr>
                <w:rFonts w:ascii="Book Antiqua" w:eastAsia="Calibri" w:hAnsi="Book Antiqua" w:cs="Calibri"/>
                <w:vertAlign w:val="superscript"/>
              </w:rPr>
              <w:t>[17]</w:t>
            </w:r>
          </w:p>
        </w:tc>
        <w:tc>
          <w:tcPr>
            <w:tcW w:w="1052" w:type="dxa"/>
            <w:tcBorders>
              <w:top w:val="single" w:sz="4" w:space="0" w:color="auto"/>
            </w:tcBorders>
            <w:shd w:val="clear" w:color="auto" w:fill="auto"/>
            <w:tcMar>
              <w:top w:w="30" w:type="dxa"/>
              <w:left w:w="45" w:type="dxa"/>
              <w:bottom w:w="30" w:type="dxa"/>
              <w:right w:w="45" w:type="dxa"/>
            </w:tcMar>
          </w:tcPr>
          <w:p w14:paraId="592ED89A"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April 2020</w:t>
            </w:r>
          </w:p>
        </w:tc>
        <w:tc>
          <w:tcPr>
            <w:tcW w:w="851" w:type="dxa"/>
            <w:tcBorders>
              <w:top w:val="single" w:sz="4" w:space="0" w:color="auto"/>
            </w:tcBorders>
            <w:shd w:val="clear" w:color="auto" w:fill="auto"/>
            <w:tcMar>
              <w:top w:w="30" w:type="dxa"/>
              <w:left w:w="45" w:type="dxa"/>
              <w:bottom w:w="30" w:type="dxa"/>
              <w:right w:w="45" w:type="dxa"/>
            </w:tcMar>
          </w:tcPr>
          <w:p w14:paraId="7538790A" w14:textId="48A03DA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U</w:t>
            </w:r>
            <w:r>
              <w:rPr>
                <w:rFonts w:ascii="Book Antiqua" w:eastAsia="Calibri" w:hAnsi="Book Antiqua" w:cs="Calibri"/>
              </w:rPr>
              <w:t>nited States</w:t>
            </w:r>
          </w:p>
        </w:tc>
        <w:tc>
          <w:tcPr>
            <w:tcW w:w="921" w:type="dxa"/>
            <w:tcBorders>
              <w:top w:val="single" w:sz="4" w:space="0" w:color="auto"/>
            </w:tcBorders>
            <w:shd w:val="clear" w:color="auto" w:fill="auto"/>
            <w:tcMar>
              <w:top w:w="30" w:type="dxa"/>
              <w:left w:w="45" w:type="dxa"/>
              <w:bottom w:w="30" w:type="dxa"/>
              <w:right w:w="45" w:type="dxa"/>
            </w:tcMar>
          </w:tcPr>
          <w:p w14:paraId="12886075"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Autopsy</w:t>
            </w:r>
          </w:p>
        </w:tc>
        <w:tc>
          <w:tcPr>
            <w:tcW w:w="638" w:type="dxa"/>
            <w:tcBorders>
              <w:top w:val="single" w:sz="4" w:space="0" w:color="auto"/>
            </w:tcBorders>
            <w:shd w:val="clear" w:color="auto" w:fill="auto"/>
            <w:tcMar>
              <w:top w:w="30" w:type="dxa"/>
              <w:left w:w="45" w:type="dxa"/>
              <w:bottom w:w="30" w:type="dxa"/>
              <w:right w:w="45" w:type="dxa"/>
            </w:tcMar>
          </w:tcPr>
          <w:p w14:paraId="14E92AAB"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2</w:t>
            </w:r>
          </w:p>
        </w:tc>
        <w:tc>
          <w:tcPr>
            <w:tcW w:w="639" w:type="dxa"/>
            <w:tcBorders>
              <w:top w:val="single" w:sz="4" w:space="0" w:color="auto"/>
            </w:tcBorders>
            <w:shd w:val="clear" w:color="auto" w:fill="auto"/>
            <w:tcMar>
              <w:top w:w="30" w:type="dxa"/>
              <w:left w:w="45" w:type="dxa"/>
              <w:bottom w:w="30" w:type="dxa"/>
              <w:right w:w="45" w:type="dxa"/>
            </w:tcMar>
          </w:tcPr>
          <w:p w14:paraId="5016A482"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77 and 42</w:t>
            </w:r>
          </w:p>
        </w:tc>
        <w:tc>
          <w:tcPr>
            <w:tcW w:w="920" w:type="dxa"/>
            <w:tcBorders>
              <w:top w:val="single" w:sz="4" w:space="0" w:color="auto"/>
            </w:tcBorders>
            <w:shd w:val="clear" w:color="auto" w:fill="auto"/>
            <w:tcMar>
              <w:top w:w="30" w:type="dxa"/>
              <w:left w:w="45" w:type="dxa"/>
              <w:bottom w:w="30" w:type="dxa"/>
              <w:right w:w="45" w:type="dxa"/>
            </w:tcMar>
          </w:tcPr>
          <w:p w14:paraId="0FB1E685" w14:textId="6D80E4C1"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 xml:space="preserve">2 </w:t>
            </w:r>
            <w:r>
              <w:rPr>
                <w:rFonts w:ascii="Book Antiqua" w:eastAsia="Calibri" w:hAnsi="Book Antiqua" w:cs="Calibri"/>
              </w:rPr>
              <w:t>M</w:t>
            </w:r>
            <w:r w:rsidRPr="00C72DF7">
              <w:rPr>
                <w:rFonts w:ascii="Book Antiqua" w:eastAsia="Calibri" w:hAnsi="Book Antiqua" w:cs="Calibri"/>
              </w:rPr>
              <w:t>ales</w:t>
            </w:r>
          </w:p>
        </w:tc>
        <w:tc>
          <w:tcPr>
            <w:tcW w:w="1134" w:type="dxa"/>
            <w:tcBorders>
              <w:top w:val="single" w:sz="4" w:space="0" w:color="auto"/>
            </w:tcBorders>
            <w:shd w:val="clear" w:color="auto" w:fill="auto"/>
            <w:tcMar>
              <w:top w:w="30" w:type="dxa"/>
              <w:left w:w="45" w:type="dxa"/>
              <w:bottom w:w="30" w:type="dxa"/>
              <w:right w:w="45" w:type="dxa"/>
            </w:tcMar>
          </w:tcPr>
          <w:p w14:paraId="36E5473F"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Not reported</w:t>
            </w:r>
          </w:p>
        </w:tc>
        <w:tc>
          <w:tcPr>
            <w:tcW w:w="2819" w:type="dxa"/>
            <w:tcBorders>
              <w:top w:val="single" w:sz="4" w:space="0" w:color="auto"/>
            </w:tcBorders>
            <w:shd w:val="clear" w:color="auto" w:fill="auto"/>
            <w:tcMar>
              <w:top w:w="30" w:type="dxa"/>
              <w:left w:w="45" w:type="dxa"/>
              <w:bottom w:w="30" w:type="dxa"/>
              <w:right w:w="45" w:type="dxa"/>
            </w:tcMar>
          </w:tcPr>
          <w:p w14:paraId="14EB07F1"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Obesity (2/2), hypertension (1/2), splenectomy (1/2), myotonic dystrophy (1/2)</w:t>
            </w:r>
          </w:p>
        </w:tc>
      </w:tr>
      <w:tr w:rsidR="00073698" w:rsidRPr="00C72DF7" w14:paraId="3EC9BE52" w14:textId="77777777" w:rsidTr="004D1BAC">
        <w:trPr>
          <w:trHeight w:val="255"/>
        </w:trPr>
        <w:tc>
          <w:tcPr>
            <w:tcW w:w="1075" w:type="dxa"/>
            <w:shd w:val="clear" w:color="auto" w:fill="auto"/>
            <w:tcMar>
              <w:top w:w="30" w:type="dxa"/>
              <w:left w:w="45" w:type="dxa"/>
              <w:bottom w:w="30" w:type="dxa"/>
              <w:right w:w="45" w:type="dxa"/>
            </w:tcMar>
          </w:tcPr>
          <w:p w14:paraId="669CD207" w14:textId="0C9A7013"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 xml:space="preserve">Bradley </w:t>
            </w:r>
            <w:r w:rsidRPr="00073698">
              <w:rPr>
                <w:rFonts w:ascii="Book Antiqua" w:eastAsia="Calibri" w:hAnsi="Book Antiqua" w:cs="Calibri"/>
                <w:i/>
                <w:iCs/>
              </w:rPr>
              <w:t>et al</w:t>
            </w:r>
            <w:r w:rsidRPr="00073698">
              <w:rPr>
                <w:rFonts w:ascii="Book Antiqua" w:eastAsia="Calibri" w:hAnsi="Book Antiqua" w:cs="Calibri"/>
                <w:vertAlign w:val="superscript"/>
              </w:rPr>
              <w:t>[1</w:t>
            </w:r>
            <w:r>
              <w:rPr>
                <w:rFonts w:ascii="Book Antiqua" w:eastAsia="Calibri" w:hAnsi="Book Antiqua" w:cs="Calibri"/>
                <w:vertAlign w:val="superscript"/>
              </w:rPr>
              <w:t>8</w:t>
            </w:r>
            <w:r w:rsidRPr="00073698">
              <w:rPr>
                <w:rFonts w:ascii="Book Antiqua" w:eastAsia="Calibri" w:hAnsi="Book Antiqua" w:cs="Calibri"/>
                <w:vertAlign w:val="superscript"/>
              </w:rPr>
              <w:t>]</w:t>
            </w:r>
          </w:p>
        </w:tc>
        <w:tc>
          <w:tcPr>
            <w:tcW w:w="1052" w:type="dxa"/>
            <w:shd w:val="clear" w:color="auto" w:fill="auto"/>
            <w:tcMar>
              <w:top w:w="30" w:type="dxa"/>
              <w:left w:w="45" w:type="dxa"/>
              <w:bottom w:w="30" w:type="dxa"/>
              <w:right w:w="45" w:type="dxa"/>
            </w:tcMar>
          </w:tcPr>
          <w:p w14:paraId="293252ED"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April 2020</w:t>
            </w:r>
          </w:p>
        </w:tc>
        <w:tc>
          <w:tcPr>
            <w:tcW w:w="851" w:type="dxa"/>
            <w:shd w:val="clear" w:color="auto" w:fill="auto"/>
            <w:tcMar>
              <w:top w:w="30" w:type="dxa"/>
              <w:left w:w="45" w:type="dxa"/>
              <w:bottom w:w="30" w:type="dxa"/>
              <w:right w:w="45" w:type="dxa"/>
            </w:tcMar>
          </w:tcPr>
          <w:p w14:paraId="0AA415A8" w14:textId="0448D7F0"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U</w:t>
            </w:r>
            <w:r>
              <w:rPr>
                <w:rFonts w:ascii="Book Antiqua" w:eastAsia="Calibri" w:hAnsi="Book Antiqua" w:cs="Calibri"/>
              </w:rPr>
              <w:t>nited States</w:t>
            </w:r>
          </w:p>
        </w:tc>
        <w:tc>
          <w:tcPr>
            <w:tcW w:w="921" w:type="dxa"/>
            <w:shd w:val="clear" w:color="auto" w:fill="auto"/>
            <w:tcMar>
              <w:top w:w="30" w:type="dxa"/>
              <w:left w:w="45" w:type="dxa"/>
              <w:bottom w:w="30" w:type="dxa"/>
              <w:right w:w="45" w:type="dxa"/>
            </w:tcMar>
          </w:tcPr>
          <w:p w14:paraId="53DF936A"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Autopsy</w:t>
            </w:r>
          </w:p>
        </w:tc>
        <w:tc>
          <w:tcPr>
            <w:tcW w:w="638" w:type="dxa"/>
            <w:shd w:val="clear" w:color="auto" w:fill="auto"/>
            <w:tcMar>
              <w:top w:w="30" w:type="dxa"/>
              <w:left w:w="45" w:type="dxa"/>
              <w:bottom w:w="30" w:type="dxa"/>
              <w:right w:w="45" w:type="dxa"/>
            </w:tcMar>
          </w:tcPr>
          <w:p w14:paraId="43272AFD"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12</w:t>
            </w:r>
          </w:p>
        </w:tc>
        <w:tc>
          <w:tcPr>
            <w:tcW w:w="639" w:type="dxa"/>
            <w:shd w:val="clear" w:color="auto" w:fill="auto"/>
            <w:tcMar>
              <w:top w:w="30" w:type="dxa"/>
              <w:left w:w="45" w:type="dxa"/>
              <w:bottom w:w="30" w:type="dxa"/>
              <w:right w:w="45" w:type="dxa"/>
            </w:tcMar>
          </w:tcPr>
          <w:p w14:paraId="50A911D0"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70.4 (42-84)</w:t>
            </w:r>
          </w:p>
        </w:tc>
        <w:tc>
          <w:tcPr>
            <w:tcW w:w="920" w:type="dxa"/>
            <w:shd w:val="clear" w:color="auto" w:fill="auto"/>
            <w:tcMar>
              <w:top w:w="30" w:type="dxa"/>
              <w:left w:w="45" w:type="dxa"/>
              <w:bottom w:w="30" w:type="dxa"/>
              <w:right w:w="45" w:type="dxa"/>
            </w:tcMar>
          </w:tcPr>
          <w:p w14:paraId="011D339B" w14:textId="700DFEBD"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 xml:space="preserve">5 </w:t>
            </w:r>
            <w:r>
              <w:rPr>
                <w:rFonts w:ascii="Book Antiqua" w:eastAsia="Calibri" w:hAnsi="Book Antiqua" w:cs="Calibri"/>
              </w:rPr>
              <w:t>M</w:t>
            </w:r>
            <w:r w:rsidRPr="00C72DF7">
              <w:rPr>
                <w:rFonts w:ascii="Book Antiqua" w:eastAsia="Calibri" w:hAnsi="Book Antiqua" w:cs="Calibri"/>
              </w:rPr>
              <w:t>ales and 7 females</w:t>
            </w:r>
          </w:p>
        </w:tc>
        <w:tc>
          <w:tcPr>
            <w:tcW w:w="1134" w:type="dxa"/>
            <w:shd w:val="clear" w:color="auto" w:fill="auto"/>
            <w:tcMar>
              <w:top w:w="30" w:type="dxa"/>
              <w:left w:w="45" w:type="dxa"/>
              <w:bottom w:w="30" w:type="dxa"/>
              <w:right w:w="45" w:type="dxa"/>
            </w:tcMar>
          </w:tcPr>
          <w:p w14:paraId="58516905"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Not reported</w:t>
            </w:r>
          </w:p>
        </w:tc>
        <w:tc>
          <w:tcPr>
            <w:tcW w:w="2819" w:type="dxa"/>
            <w:shd w:val="clear" w:color="auto" w:fill="auto"/>
            <w:tcMar>
              <w:top w:w="30" w:type="dxa"/>
              <w:left w:w="45" w:type="dxa"/>
              <w:bottom w:w="30" w:type="dxa"/>
              <w:right w:w="45" w:type="dxa"/>
            </w:tcMar>
          </w:tcPr>
          <w:p w14:paraId="4636C8FF"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Not reported</w:t>
            </w:r>
          </w:p>
        </w:tc>
      </w:tr>
      <w:tr w:rsidR="00073698" w:rsidRPr="00C72DF7" w14:paraId="0FF72457" w14:textId="77777777" w:rsidTr="004D1BAC">
        <w:trPr>
          <w:trHeight w:val="255"/>
        </w:trPr>
        <w:tc>
          <w:tcPr>
            <w:tcW w:w="1075" w:type="dxa"/>
            <w:shd w:val="clear" w:color="auto" w:fill="auto"/>
            <w:tcMar>
              <w:top w:w="30" w:type="dxa"/>
              <w:left w:w="45" w:type="dxa"/>
              <w:bottom w:w="30" w:type="dxa"/>
              <w:right w:w="45" w:type="dxa"/>
            </w:tcMar>
          </w:tcPr>
          <w:p w14:paraId="5C9727E7" w14:textId="07B8E332"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 xml:space="preserve">Bryce </w:t>
            </w:r>
            <w:r w:rsidRPr="00073698">
              <w:rPr>
                <w:rFonts w:ascii="Book Antiqua" w:eastAsia="Calibri" w:hAnsi="Book Antiqua" w:cs="Calibri"/>
                <w:i/>
                <w:iCs/>
              </w:rPr>
              <w:t>et al</w:t>
            </w:r>
            <w:r w:rsidRPr="00073698">
              <w:rPr>
                <w:rFonts w:ascii="Book Antiqua" w:eastAsia="Calibri" w:hAnsi="Book Antiqua" w:cs="Calibri"/>
                <w:vertAlign w:val="superscript"/>
              </w:rPr>
              <w:t>[</w:t>
            </w:r>
            <w:r w:rsidR="004D1BAC">
              <w:rPr>
                <w:rFonts w:ascii="Book Antiqua" w:eastAsia="Calibri" w:hAnsi="Book Antiqua" w:cs="Calibri"/>
                <w:vertAlign w:val="superscript"/>
              </w:rPr>
              <w:t>29</w:t>
            </w:r>
            <w:r w:rsidRPr="00073698">
              <w:rPr>
                <w:rFonts w:ascii="Book Antiqua" w:eastAsia="Calibri" w:hAnsi="Book Antiqua" w:cs="Calibri"/>
                <w:vertAlign w:val="superscript"/>
              </w:rPr>
              <w:t>]</w:t>
            </w:r>
          </w:p>
        </w:tc>
        <w:tc>
          <w:tcPr>
            <w:tcW w:w="1052" w:type="dxa"/>
            <w:shd w:val="clear" w:color="auto" w:fill="auto"/>
            <w:tcMar>
              <w:top w:w="30" w:type="dxa"/>
              <w:left w:w="45" w:type="dxa"/>
              <w:bottom w:w="30" w:type="dxa"/>
              <w:right w:w="45" w:type="dxa"/>
            </w:tcMar>
          </w:tcPr>
          <w:p w14:paraId="2DE2BA23"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May 2020</w:t>
            </w:r>
          </w:p>
        </w:tc>
        <w:tc>
          <w:tcPr>
            <w:tcW w:w="851" w:type="dxa"/>
            <w:shd w:val="clear" w:color="auto" w:fill="auto"/>
            <w:tcMar>
              <w:top w:w="30" w:type="dxa"/>
              <w:left w:w="45" w:type="dxa"/>
              <w:bottom w:w="30" w:type="dxa"/>
              <w:right w:w="45" w:type="dxa"/>
            </w:tcMar>
          </w:tcPr>
          <w:p w14:paraId="6E0B95CC" w14:textId="41F61CB0"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U</w:t>
            </w:r>
            <w:r>
              <w:rPr>
                <w:rFonts w:ascii="Book Antiqua" w:eastAsia="Calibri" w:hAnsi="Book Antiqua" w:cs="Calibri"/>
              </w:rPr>
              <w:t>nited States</w:t>
            </w:r>
          </w:p>
        </w:tc>
        <w:tc>
          <w:tcPr>
            <w:tcW w:w="921" w:type="dxa"/>
            <w:shd w:val="clear" w:color="auto" w:fill="auto"/>
            <w:tcMar>
              <w:top w:w="30" w:type="dxa"/>
              <w:left w:w="45" w:type="dxa"/>
              <w:bottom w:w="30" w:type="dxa"/>
              <w:right w:w="45" w:type="dxa"/>
            </w:tcMar>
          </w:tcPr>
          <w:p w14:paraId="4D7E9F15"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Autopsy</w:t>
            </w:r>
          </w:p>
        </w:tc>
        <w:tc>
          <w:tcPr>
            <w:tcW w:w="638" w:type="dxa"/>
            <w:shd w:val="clear" w:color="auto" w:fill="auto"/>
            <w:tcMar>
              <w:top w:w="30" w:type="dxa"/>
              <w:left w:w="45" w:type="dxa"/>
              <w:bottom w:w="30" w:type="dxa"/>
              <w:right w:w="45" w:type="dxa"/>
            </w:tcMar>
          </w:tcPr>
          <w:p w14:paraId="0DA9B8BB"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22</w:t>
            </w:r>
          </w:p>
        </w:tc>
        <w:tc>
          <w:tcPr>
            <w:tcW w:w="639" w:type="dxa"/>
            <w:shd w:val="clear" w:color="auto" w:fill="auto"/>
            <w:tcMar>
              <w:top w:w="30" w:type="dxa"/>
              <w:left w:w="45" w:type="dxa"/>
              <w:bottom w:w="30" w:type="dxa"/>
              <w:right w:w="45" w:type="dxa"/>
            </w:tcMar>
          </w:tcPr>
          <w:p w14:paraId="43209814" w14:textId="77777777" w:rsidR="00073698" w:rsidRPr="00C72DF7" w:rsidRDefault="00073698" w:rsidP="00073698">
            <w:pPr>
              <w:spacing w:line="360" w:lineRule="auto"/>
              <w:jc w:val="both"/>
              <w:rPr>
                <w:rFonts w:ascii="Book Antiqua" w:eastAsia="Calibri" w:hAnsi="Book Antiqua" w:cs="Calibri"/>
                <w:color w:val="000000"/>
              </w:rPr>
            </w:pPr>
            <w:r w:rsidRPr="00C72DF7">
              <w:rPr>
                <w:rFonts w:ascii="Book Antiqua" w:eastAsia="Calibri" w:hAnsi="Book Antiqua" w:cs="Calibri"/>
                <w:color w:val="000000"/>
              </w:rPr>
              <w:t>Not reported</w:t>
            </w:r>
          </w:p>
        </w:tc>
        <w:tc>
          <w:tcPr>
            <w:tcW w:w="920" w:type="dxa"/>
            <w:shd w:val="clear" w:color="auto" w:fill="auto"/>
            <w:tcMar>
              <w:top w:w="30" w:type="dxa"/>
              <w:left w:w="45" w:type="dxa"/>
              <w:bottom w:w="30" w:type="dxa"/>
              <w:right w:w="45" w:type="dxa"/>
            </w:tcMar>
          </w:tcPr>
          <w:p w14:paraId="54770F4E"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Not reported</w:t>
            </w:r>
          </w:p>
        </w:tc>
        <w:tc>
          <w:tcPr>
            <w:tcW w:w="1134" w:type="dxa"/>
            <w:shd w:val="clear" w:color="auto" w:fill="auto"/>
            <w:tcMar>
              <w:top w:w="30" w:type="dxa"/>
              <w:left w:w="45" w:type="dxa"/>
              <w:bottom w:w="30" w:type="dxa"/>
              <w:right w:w="45" w:type="dxa"/>
            </w:tcMar>
          </w:tcPr>
          <w:p w14:paraId="76930D95"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Not reported</w:t>
            </w:r>
          </w:p>
        </w:tc>
        <w:tc>
          <w:tcPr>
            <w:tcW w:w="2819" w:type="dxa"/>
            <w:shd w:val="clear" w:color="auto" w:fill="auto"/>
            <w:tcMar>
              <w:top w:w="30" w:type="dxa"/>
              <w:left w:w="45" w:type="dxa"/>
              <w:bottom w:w="30" w:type="dxa"/>
              <w:right w:w="45" w:type="dxa"/>
            </w:tcMar>
          </w:tcPr>
          <w:p w14:paraId="027CFCB4"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Not reported</w:t>
            </w:r>
          </w:p>
        </w:tc>
      </w:tr>
      <w:tr w:rsidR="00073698" w:rsidRPr="00C72DF7" w14:paraId="4C46A824" w14:textId="77777777" w:rsidTr="004D1BAC">
        <w:trPr>
          <w:trHeight w:val="255"/>
        </w:trPr>
        <w:tc>
          <w:tcPr>
            <w:tcW w:w="1075" w:type="dxa"/>
            <w:shd w:val="clear" w:color="auto" w:fill="auto"/>
            <w:tcMar>
              <w:top w:w="30" w:type="dxa"/>
              <w:left w:w="45" w:type="dxa"/>
              <w:bottom w:w="30" w:type="dxa"/>
              <w:right w:w="45" w:type="dxa"/>
            </w:tcMar>
          </w:tcPr>
          <w:p w14:paraId="1739D1C3" w14:textId="108B54A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 xml:space="preserve">Buja </w:t>
            </w:r>
            <w:r w:rsidRPr="00073698">
              <w:rPr>
                <w:rFonts w:ascii="Book Antiqua" w:eastAsia="Calibri" w:hAnsi="Book Antiqua" w:cs="Calibri"/>
                <w:i/>
                <w:iCs/>
              </w:rPr>
              <w:t>et al</w:t>
            </w:r>
            <w:r w:rsidRPr="00073698">
              <w:rPr>
                <w:rFonts w:ascii="Book Antiqua" w:eastAsia="Calibri" w:hAnsi="Book Antiqua" w:cs="Calibri"/>
                <w:vertAlign w:val="superscript"/>
              </w:rPr>
              <w:t>[1</w:t>
            </w:r>
            <w:r>
              <w:rPr>
                <w:rFonts w:ascii="Book Antiqua" w:eastAsia="Calibri" w:hAnsi="Book Antiqua" w:cs="Calibri"/>
                <w:vertAlign w:val="superscript"/>
              </w:rPr>
              <w:t>9</w:t>
            </w:r>
            <w:r w:rsidRPr="00073698">
              <w:rPr>
                <w:rFonts w:ascii="Book Antiqua" w:eastAsia="Calibri" w:hAnsi="Book Antiqua" w:cs="Calibri"/>
                <w:vertAlign w:val="superscript"/>
              </w:rPr>
              <w:t>]</w:t>
            </w:r>
          </w:p>
        </w:tc>
        <w:tc>
          <w:tcPr>
            <w:tcW w:w="1052" w:type="dxa"/>
            <w:shd w:val="clear" w:color="auto" w:fill="auto"/>
            <w:tcMar>
              <w:top w:w="30" w:type="dxa"/>
              <w:left w:w="45" w:type="dxa"/>
              <w:bottom w:w="30" w:type="dxa"/>
              <w:right w:w="45" w:type="dxa"/>
            </w:tcMar>
          </w:tcPr>
          <w:p w14:paraId="2030DA24"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May 2020</w:t>
            </w:r>
          </w:p>
        </w:tc>
        <w:tc>
          <w:tcPr>
            <w:tcW w:w="851" w:type="dxa"/>
            <w:shd w:val="clear" w:color="auto" w:fill="auto"/>
            <w:tcMar>
              <w:top w:w="30" w:type="dxa"/>
              <w:left w:w="45" w:type="dxa"/>
              <w:bottom w:w="30" w:type="dxa"/>
              <w:right w:w="45" w:type="dxa"/>
            </w:tcMar>
          </w:tcPr>
          <w:p w14:paraId="0D2D68AE" w14:textId="2CF34784"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U</w:t>
            </w:r>
            <w:r>
              <w:rPr>
                <w:rFonts w:ascii="Book Antiqua" w:eastAsia="Calibri" w:hAnsi="Book Antiqua" w:cs="Calibri"/>
              </w:rPr>
              <w:t>nited States</w:t>
            </w:r>
          </w:p>
        </w:tc>
        <w:tc>
          <w:tcPr>
            <w:tcW w:w="921" w:type="dxa"/>
            <w:shd w:val="clear" w:color="auto" w:fill="auto"/>
            <w:tcMar>
              <w:top w:w="30" w:type="dxa"/>
              <w:left w:w="45" w:type="dxa"/>
              <w:bottom w:w="30" w:type="dxa"/>
              <w:right w:w="45" w:type="dxa"/>
            </w:tcMar>
          </w:tcPr>
          <w:p w14:paraId="22158745"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Autopsy</w:t>
            </w:r>
          </w:p>
        </w:tc>
        <w:tc>
          <w:tcPr>
            <w:tcW w:w="638" w:type="dxa"/>
            <w:shd w:val="clear" w:color="auto" w:fill="auto"/>
            <w:tcMar>
              <w:top w:w="30" w:type="dxa"/>
              <w:left w:w="45" w:type="dxa"/>
              <w:bottom w:w="30" w:type="dxa"/>
              <w:right w:w="45" w:type="dxa"/>
            </w:tcMar>
          </w:tcPr>
          <w:p w14:paraId="2EF3346A"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3</w:t>
            </w:r>
          </w:p>
        </w:tc>
        <w:tc>
          <w:tcPr>
            <w:tcW w:w="639" w:type="dxa"/>
            <w:shd w:val="clear" w:color="auto" w:fill="auto"/>
            <w:tcMar>
              <w:top w:w="30" w:type="dxa"/>
              <w:left w:w="45" w:type="dxa"/>
              <w:bottom w:w="30" w:type="dxa"/>
              <w:right w:w="45" w:type="dxa"/>
            </w:tcMar>
          </w:tcPr>
          <w:p w14:paraId="432E91E3"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62, 34 and 48</w:t>
            </w:r>
          </w:p>
        </w:tc>
        <w:tc>
          <w:tcPr>
            <w:tcW w:w="920" w:type="dxa"/>
            <w:shd w:val="clear" w:color="auto" w:fill="auto"/>
            <w:tcMar>
              <w:top w:w="30" w:type="dxa"/>
              <w:left w:w="45" w:type="dxa"/>
              <w:bottom w:w="30" w:type="dxa"/>
              <w:right w:w="45" w:type="dxa"/>
            </w:tcMar>
          </w:tcPr>
          <w:p w14:paraId="6C9F80F6" w14:textId="6D8E8011"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 xml:space="preserve">2 </w:t>
            </w:r>
            <w:r>
              <w:rPr>
                <w:rFonts w:ascii="Book Antiqua" w:eastAsia="Calibri" w:hAnsi="Book Antiqua" w:cs="Calibri"/>
              </w:rPr>
              <w:t>M</w:t>
            </w:r>
            <w:r w:rsidRPr="00C72DF7">
              <w:rPr>
                <w:rFonts w:ascii="Book Antiqua" w:eastAsia="Calibri" w:hAnsi="Book Antiqua" w:cs="Calibri"/>
              </w:rPr>
              <w:t>ales and 1 female</w:t>
            </w:r>
          </w:p>
        </w:tc>
        <w:tc>
          <w:tcPr>
            <w:tcW w:w="1134" w:type="dxa"/>
            <w:shd w:val="clear" w:color="auto" w:fill="auto"/>
            <w:tcMar>
              <w:top w:w="30" w:type="dxa"/>
              <w:left w:w="45" w:type="dxa"/>
              <w:bottom w:w="30" w:type="dxa"/>
              <w:right w:w="45" w:type="dxa"/>
            </w:tcMar>
          </w:tcPr>
          <w:p w14:paraId="3E2352DB" w14:textId="63EDA43A"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 xml:space="preserve">2 </w:t>
            </w:r>
            <w:r>
              <w:rPr>
                <w:rFonts w:ascii="Book Antiqua" w:eastAsia="Calibri" w:hAnsi="Book Antiqua" w:cs="Calibri"/>
              </w:rPr>
              <w:t>H</w:t>
            </w:r>
            <w:r w:rsidRPr="00C72DF7">
              <w:rPr>
                <w:rFonts w:ascii="Book Antiqua" w:eastAsia="Calibri" w:hAnsi="Book Antiqua" w:cs="Calibri"/>
              </w:rPr>
              <w:t>ispanic and 1 afro-american</w:t>
            </w:r>
          </w:p>
        </w:tc>
        <w:tc>
          <w:tcPr>
            <w:tcW w:w="2819" w:type="dxa"/>
            <w:shd w:val="clear" w:color="auto" w:fill="auto"/>
            <w:tcMar>
              <w:top w:w="30" w:type="dxa"/>
              <w:left w:w="45" w:type="dxa"/>
              <w:bottom w:w="30" w:type="dxa"/>
              <w:right w:w="45" w:type="dxa"/>
            </w:tcMar>
          </w:tcPr>
          <w:p w14:paraId="6C2E6E34"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Obesity (3/3), hypertension (1/3), heart failure (1/3), diabetes (1/3) and microcytic anemia (1/3)</w:t>
            </w:r>
          </w:p>
        </w:tc>
      </w:tr>
      <w:tr w:rsidR="00073698" w:rsidRPr="00C72DF7" w14:paraId="671F1795" w14:textId="77777777" w:rsidTr="004D1BAC">
        <w:trPr>
          <w:trHeight w:val="255"/>
        </w:trPr>
        <w:tc>
          <w:tcPr>
            <w:tcW w:w="1075" w:type="dxa"/>
            <w:shd w:val="clear" w:color="auto" w:fill="auto"/>
            <w:tcMar>
              <w:top w:w="30" w:type="dxa"/>
              <w:left w:w="45" w:type="dxa"/>
              <w:bottom w:w="30" w:type="dxa"/>
              <w:right w:w="45" w:type="dxa"/>
            </w:tcMar>
          </w:tcPr>
          <w:p w14:paraId="4DAD529B" w14:textId="305CC682"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 xml:space="preserve">Craver </w:t>
            </w:r>
            <w:r w:rsidRPr="00073698">
              <w:rPr>
                <w:rFonts w:ascii="Book Antiqua" w:eastAsia="Calibri" w:hAnsi="Book Antiqua" w:cs="Calibri"/>
                <w:i/>
                <w:iCs/>
              </w:rPr>
              <w:t>et al</w:t>
            </w:r>
            <w:r w:rsidRPr="00073698">
              <w:rPr>
                <w:rFonts w:ascii="Book Antiqua" w:eastAsia="Calibri" w:hAnsi="Book Antiqua" w:cs="Calibri"/>
                <w:vertAlign w:val="superscript"/>
              </w:rPr>
              <w:t>[</w:t>
            </w:r>
            <w:r>
              <w:rPr>
                <w:rFonts w:ascii="Book Antiqua" w:eastAsia="Calibri" w:hAnsi="Book Antiqua" w:cs="Calibri"/>
                <w:vertAlign w:val="superscript"/>
              </w:rPr>
              <w:t>20</w:t>
            </w:r>
            <w:r w:rsidRPr="00073698">
              <w:rPr>
                <w:rFonts w:ascii="Book Antiqua" w:eastAsia="Calibri" w:hAnsi="Book Antiqua" w:cs="Calibri"/>
                <w:vertAlign w:val="superscript"/>
              </w:rPr>
              <w:t>]</w:t>
            </w:r>
          </w:p>
        </w:tc>
        <w:tc>
          <w:tcPr>
            <w:tcW w:w="1052" w:type="dxa"/>
            <w:shd w:val="clear" w:color="auto" w:fill="auto"/>
            <w:tcMar>
              <w:top w:w="30" w:type="dxa"/>
              <w:left w:w="45" w:type="dxa"/>
              <w:bottom w:w="30" w:type="dxa"/>
              <w:right w:w="45" w:type="dxa"/>
            </w:tcMar>
          </w:tcPr>
          <w:p w14:paraId="0D46E2DF"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April 2020</w:t>
            </w:r>
          </w:p>
        </w:tc>
        <w:tc>
          <w:tcPr>
            <w:tcW w:w="851" w:type="dxa"/>
            <w:shd w:val="clear" w:color="auto" w:fill="auto"/>
            <w:tcMar>
              <w:top w:w="30" w:type="dxa"/>
              <w:left w:w="45" w:type="dxa"/>
              <w:bottom w:w="30" w:type="dxa"/>
              <w:right w:w="45" w:type="dxa"/>
            </w:tcMar>
          </w:tcPr>
          <w:p w14:paraId="737A4154" w14:textId="2C4B4593"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U</w:t>
            </w:r>
            <w:r>
              <w:rPr>
                <w:rFonts w:ascii="Book Antiqua" w:eastAsia="Calibri" w:hAnsi="Book Antiqua" w:cs="Calibri"/>
              </w:rPr>
              <w:t>nited States</w:t>
            </w:r>
          </w:p>
        </w:tc>
        <w:tc>
          <w:tcPr>
            <w:tcW w:w="921" w:type="dxa"/>
            <w:shd w:val="clear" w:color="auto" w:fill="auto"/>
            <w:tcMar>
              <w:top w:w="30" w:type="dxa"/>
              <w:left w:w="45" w:type="dxa"/>
              <w:bottom w:w="30" w:type="dxa"/>
              <w:right w:w="45" w:type="dxa"/>
            </w:tcMar>
          </w:tcPr>
          <w:p w14:paraId="342915D3"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Autopsy</w:t>
            </w:r>
          </w:p>
        </w:tc>
        <w:tc>
          <w:tcPr>
            <w:tcW w:w="638" w:type="dxa"/>
            <w:shd w:val="clear" w:color="auto" w:fill="auto"/>
            <w:tcMar>
              <w:top w:w="30" w:type="dxa"/>
              <w:left w:w="45" w:type="dxa"/>
              <w:bottom w:w="30" w:type="dxa"/>
              <w:right w:w="45" w:type="dxa"/>
            </w:tcMar>
          </w:tcPr>
          <w:p w14:paraId="2736FF1E"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1</w:t>
            </w:r>
          </w:p>
        </w:tc>
        <w:tc>
          <w:tcPr>
            <w:tcW w:w="639" w:type="dxa"/>
            <w:shd w:val="clear" w:color="auto" w:fill="auto"/>
            <w:tcMar>
              <w:top w:w="30" w:type="dxa"/>
              <w:left w:w="45" w:type="dxa"/>
              <w:bottom w:w="30" w:type="dxa"/>
              <w:right w:w="45" w:type="dxa"/>
            </w:tcMar>
          </w:tcPr>
          <w:p w14:paraId="03E5F5F9"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17</w:t>
            </w:r>
          </w:p>
        </w:tc>
        <w:tc>
          <w:tcPr>
            <w:tcW w:w="920" w:type="dxa"/>
            <w:shd w:val="clear" w:color="auto" w:fill="auto"/>
            <w:tcMar>
              <w:top w:w="30" w:type="dxa"/>
              <w:left w:w="45" w:type="dxa"/>
              <w:bottom w:w="30" w:type="dxa"/>
              <w:right w:w="45" w:type="dxa"/>
            </w:tcMar>
          </w:tcPr>
          <w:p w14:paraId="2819FD4B"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Male</w:t>
            </w:r>
          </w:p>
        </w:tc>
        <w:tc>
          <w:tcPr>
            <w:tcW w:w="1134" w:type="dxa"/>
            <w:shd w:val="clear" w:color="auto" w:fill="auto"/>
            <w:tcMar>
              <w:top w:w="30" w:type="dxa"/>
              <w:left w:w="45" w:type="dxa"/>
              <w:bottom w:w="30" w:type="dxa"/>
              <w:right w:w="45" w:type="dxa"/>
            </w:tcMar>
          </w:tcPr>
          <w:p w14:paraId="0816E3B1" w14:textId="3DE8AFF9" w:rsidR="00073698" w:rsidRPr="00C72DF7" w:rsidRDefault="00073698" w:rsidP="00073698">
            <w:pPr>
              <w:spacing w:line="360" w:lineRule="auto"/>
              <w:jc w:val="both"/>
              <w:rPr>
                <w:rFonts w:ascii="Book Antiqua" w:eastAsia="Calibri" w:hAnsi="Book Antiqua" w:cs="Calibri"/>
              </w:rPr>
            </w:pPr>
            <w:r>
              <w:rPr>
                <w:rFonts w:ascii="Book Antiqua" w:eastAsia="Calibri" w:hAnsi="Book Antiqua" w:cs="Calibri"/>
              </w:rPr>
              <w:t>A</w:t>
            </w:r>
            <w:r w:rsidRPr="00C72DF7">
              <w:rPr>
                <w:rFonts w:ascii="Book Antiqua" w:eastAsia="Calibri" w:hAnsi="Book Antiqua" w:cs="Calibri"/>
              </w:rPr>
              <w:t>fro-american</w:t>
            </w:r>
          </w:p>
        </w:tc>
        <w:tc>
          <w:tcPr>
            <w:tcW w:w="2819" w:type="dxa"/>
            <w:shd w:val="clear" w:color="auto" w:fill="auto"/>
            <w:tcMar>
              <w:top w:w="30" w:type="dxa"/>
              <w:left w:w="45" w:type="dxa"/>
              <w:bottom w:w="30" w:type="dxa"/>
              <w:right w:w="45" w:type="dxa"/>
            </w:tcMar>
          </w:tcPr>
          <w:p w14:paraId="7129AEAD"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None</w:t>
            </w:r>
          </w:p>
        </w:tc>
      </w:tr>
      <w:tr w:rsidR="00073698" w:rsidRPr="00C72DF7" w14:paraId="2B6D692E" w14:textId="77777777" w:rsidTr="004D1BAC">
        <w:trPr>
          <w:trHeight w:val="255"/>
        </w:trPr>
        <w:tc>
          <w:tcPr>
            <w:tcW w:w="1075" w:type="dxa"/>
            <w:shd w:val="clear" w:color="auto" w:fill="auto"/>
            <w:tcMar>
              <w:top w:w="30" w:type="dxa"/>
              <w:left w:w="45" w:type="dxa"/>
              <w:bottom w:w="30" w:type="dxa"/>
              <w:right w:w="45" w:type="dxa"/>
            </w:tcMar>
          </w:tcPr>
          <w:p w14:paraId="2ED8AF55" w14:textId="49E254BC"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 xml:space="preserve">Lacy </w:t>
            </w:r>
            <w:r w:rsidRPr="00073698">
              <w:rPr>
                <w:rFonts w:ascii="Book Antiqua" w:eastAsia="Calibri" w:hAnsi="Book Antiqua" w:cs="Calibri"/>
                <w:i/>
                <w:iCs/>
              </w:rPr>
              <w:t>et al</w:t>
            </w:r>
            <w:r w:rsidRPr="00073698">
              <w:rPr>
                <w:rFonts w:ascii="Book Antiqua" w:eastAsia="Calibri" w:hAnsi="Book Antiqua" w:cs="Calibri"/>
                <w:vertAlign w:val="superscript"/>
              </w:rPr>
              <w:t>[</w:t>
            </w:r>
            <w:r>
              <w:rPr>
                <w:rFonts w:ascii="Book Antiqua" w:eastAsia="Calibri" w:hAnsi="Book Antiqua" w:cs="Calibri"/>
                <w:vertAlign w:val="superscript"/>
              </w:rPr>
              <w:t>21</w:t>
            </w:r>
            <w:r w:rsidRPr="00073698">
              <w:rPr>
                <w:rFonts w:ascii="Book Antiqua" w:eastAsia="Calibri" w:hAnsi="Book Antiqua" w:cs="Calibri"/>
                <w:vertAlign w:val="superscript"/>
              </w:rPr>
              <w:t>]</w:t>
            </w:r>
          </w:p>
        </w:tc>
        <w:tc>
          <w:tcPr>
            <w:tcW w:w="1052" w:type="dxa"/>
            <w:shd w:val="clear" w:color="auto" w:fill="auto"/>
            <w:tcMar>
              <w:top w:w="30" w:type="dxa"/>
              <w:left w:w="45" w:type="dxa"/>
              <w:bottom w:w="30" w:type="dxa"/>
              <w:right w:w="45" w:type="dxa"/>
            </w:tcMar>
          </w:tcPr>
          <w:p w14:paraId="49CB218D"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April 2020</w:t>
            </w:r>
          </w:p>
        </w:tc>
        <w:tc>
          <w:tcPr>
            <w:tcW w:w="851" w:type="dxa"/>
            <w:shd w:val="clear" w:color="auto" w:fill="auto"/>
            <w:tcMar>
              <w:top w:w="30" w:type="dxa"/>
              <w:left w:w="45" w:type="dxa"/>
              <w:bottom w:w="30" w:type="dxa"/>
              <w:right w:w="45" w:type="dxa"/>
            </w:tcMar>
          </w:tcPr>
          <w:p w14:paraId="10D2F79E" w14:textId="78B08080"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U</w:t>
            </w:r>
            <w:r>
              <w:rPr>
                <w:rFonts w:ascii="Book Antiqua" w:eastAsia="Calibri" w:hAnsi="Book Antiqua" w:cs="Calibri"/>
              </w:rPr>
              <w:t>nited States</w:t>
            </w:r>
          </w:p>
        </w:tc>
        <w:tc>
          <w:tcPr>
            <w:tcW w:w="921" w:type="dxa"/>
            <w:shd w:val="clear" w:color="auto" w:fill="auto"/>
            <w:tcMar>
              <w:top w:w="30" w:type="dxa"/>
              <w:left w:w="45" w:type="dxa"/>
              <w:bottom w:w="30" w:type="dxa"/>
              <w:right w:w="45" w:type="dxa"/>
            </w:tcMar>
          </w:tcPr>
          <w:p w14:paraId="08721044"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Autopsy</w:t>
            </w:r>
          </w:p>
        </w:tc>
        <w:tc>
          <w:tcPr>
            <w:tcW w:w="638" w:type="dxa"/>
            <w:shd w:val="clear" w:color="auto" w:fill="auto"/>
            <w:tcMar>
              <w:top w:w="30" w:type="dxa"/>
              <w:left w:w="45" w:type="dxa"/>
              <w:bottom w:w="30" w:type="dxa"/>
              <w:right w:w="45" w:type="dxa"/>
            </w:tcMar>
          </w:tcPr>
          <w:p w14:paraId="1AE6A618"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1</w:t>
            </w:r>
          </w:p>
        </w:tc>
        <w:tc>
          <w:tcPr>
            <w:tcW w:w="639" w:type="dxa"/>
            <w:shd w:val="clear" w:color="auto" w:fill="auto"/>
            <w:tcMar>
              <w:top w:w="30" w:type="dxa"/>
              <w:left w:w="45" w:type="dxa"/>
              <w:bottom w:w="30" w:type="dxa"/>
              <w:right w:w="45" w:type="dxa"/>
            </w:tcMar>
          </w:tcPr>
          <w:p w14:paraId="1D7EB2B3"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58</w:t>
            </w:r>
          </w:p>
        </w:tc>
        <w:tc>
          <w:tcPr>
            <w:tcW w:w="920" w:type="dxa"/>
            <w:shd w:val="clear" w:color="auto" w:fill="auto"/>
            <w:tcMar>
              <w:top w:w="30" w:type="dxa"/>
              <w:left w:w="45" w:type="dxa"/>
              <w:bottom w:w="30" w:type="dxa"/>
              <w:right w:w="45" w:type="dxa"/>
            </w:tcMar>
          </w:tcPr>
          <w:p w14:paraId="209A378C"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Female</w:t>
            </w:r>
          </w:p>
        </w:tc>
        <w:tc>
          <w:tcPr>
            <w:tcW w:w="1134" w:type="dxa"/>
            <w:shd w:val="clear" w:color="auto" w:fill="auto"/>
            <w:tcMar>
              <w:top w:w="30" w:type="dxa"/>
              <w:left w:w="45" w:type="dxa"/>
              <w:bottom w:w="30" w:type="dxa"/>
              <w:right w:w="45" w:type="dxa"/>
            </w:tcMar>
          </w:tcPr>
          <w:p w14:paraId="5751CA61"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Not reported</w:t>
            </w:r>
          </w:p>
        </w:tc>
        <w:tc>
          <w:tcPr>
            <w:tcW w:w="2819" w:type="dxa"/>
            <w:shd w:val="clear" w:color="auto" w:fill="auto"/>
            <w:tcMar>
              <w:top w:w="30" w:type="dxa"/>
              <w:left w:w="45" w:type="dxa"/>
              <w:bottom w:w="30" w:type="dxa"/>
              <w:right w:w="45" w:type="dxa"/>
            </w:tcMar>
          </w:tcPr>
          <w:p w14:paraId="77CDC0E1"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Diabetes, obesity, hyperlipidemia, Asthma, and chronic lower extremity swelling with ulceration</w:t>
            </w:r>
          </w:p>
        </w:tc>
      </w:tr>
      <w:tr w:rsidR="00073698" w:rsidRPr="00C72DF7" w14:paraId="6F2336BA" w14:textId="77777777" w:rsidTr="004D1BAC">
        <w:trPr>
          <w:trHeight w:val="255"/>
        </w:trPr>
        <w:tc>
          <w:tcPr>
            <w:tcW w:w="1075" w:type="dxa"/>
            <w:shd w:val="clear" w:color="auto" w:fill="auto"/>
            <w:tcMar>
              <w:top w:w="30" w:type="dxa"/>
              <w:left w:w="45" w:type="dxa"/>
              <w:bottom w:w="30" w:type="dxa"/>
              <w:right w:w="45" w:type="dxa"/>
            </w:tcMar>
          </w:tcPr>
          <w:p w14:paraId="1F68E3DA" w14:textId="7ADE525B"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 xml:space="preserve">Lax </w:t>
            </w:r>
            <w:r w:rsidRPr="00073698">
              <w:rPr>
                <w:rFonts w:ascii="Book Antiqua" w:eastAsia="Calibri" w:hAnsi="Book Antiqua" w:cs="Calibri"/>
                <w:i/>
                <w:iCs/>
              </w:rPr>
              <w:t>et al</w:t>
            </w:r>
            <w:r w:rsidRPr="00073698">
              <w:rPr>
                <w:rFonts w:ascii="Book Antiqua" w:eastAsia="Calibri" w:hAnsi="Book Antiqua" w:cs="Calibri"/>
                <w:vertAlign w:val="superscript"/>
              </w:rPr>
              <w:t>[</w:t>
            </w:r>
            <w:r>
              <w:rPr>
                <w:rFonts w:ascii="Book Antiqua" w:eastAsia="Calibri" w:hAnsi="Book Antiqua" w:cs="Calibri"/>
                <w:vertAlign w:val="superscript"/>
              </w:rPr>
              <w:t>2</w:t>
            </w:r>
            <w:r w:rsidRPr="00073698">
              <w:rPr>
                <w:rFonts w:ascii="Book Antiqua" w:eastAsia="Calibri" w:hAnsi="Book Antiqua" w:cs="Calibri"/>
                <w:vertAlign w:val="superscript"/>
              </w:rPr>
              <w:t>7]</w:t>
            </w:r>
          </w:p>
        </w:tc>
        <w:tc>
          <w:tcPr>
            <w:tcW w:w="1052" w:type="dxa"/>
            <w:shd w:val="clear" w:color="auto" w:fill="auto"/>
            <w:tcMar>
              <w:top w:w="30" w:type="dxa"/>
              <w:left w:w="45" w:type="dxa"/>
              <w:bottom w:w="30" w:type="dxa"/>
              <w:right w:w="45" w:type="dxa"/>
            </w:tcMar>
          </w:tcPr>
          <w:p w14:paraId="15F9E961"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May 2020</w:t>
            </w:r>
          </w:p>
        </w:tc>
        <w:tc>
          <w:tcPr>
            <w:tcW w:w="851" w:type="dxa"/>
            <w:shd w:val="clear" w:color="auto" w:fill="auto"/>
            <w:tcMar>
              <w:top w:w="30" w:type="dxa"/>
              <w:left w:w="45" w:type="dxa"/>
              <w:bottom w:w="30" w:type="dxa"/>
              <w:right w:w="45" w:type="dxa"/>
            </w:tcMar>
          </w:tcPr>
          <w:p w14:paraId="2F7AF725"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Austria</w:t>
            </w:r>
          </w:p>
        </w:tc>
        <w:tc>
          <w:tcPr>
            <w:tcW w:w="921" w:type="dxa"/>
            <w:shd w:val="clear" w:color="auto" w:fill="auto"/>
            <w:tcMar>
              <w:top w:w="30" w:type="dxa"/>
              <w:left w:w="45" w:type="dxa"/>
              <w:bottom w:w="30" w:type="dxa"/>
              <w:right w:w="45" w:type="dxa"/>
            </w:tcMar>
          </w:tcPr>
          <w:p w14:paraId="1B68162B"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Autopsy</w:t>
            </w:r>
          </w:p>
        </w:tc>
        <w:tc>
          <w:tcPr>
            <w:tcW w:w="638" w:type="dxa"/>
            <w:shd w:val="clear" w:color="auto" w:fill="auto"/>
            <w:tcMar>
              <w:top w:w="30" w:type="dxa"/>
              <w:left w:w="45" w:type="dxa"/>
              <w:bottom w:w="30" w:type="dxa"/>
              <w:right w:w="45" w:type="dxa"/>
            </w:tcMar>
          </w:tcPr>
          <w:p w14:paraId="03272D4B"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11</w:t>
            </w:r>
          </w:p>
        </w:tc>
        <w:tc>
          <w:tcPr>
            <w:tcW w:w="639" w:type="dxa"/>
            <w:shd w:val="clear" w:color="auto" w:fill="auto"/>
            <w:tcMar>
              <w:top w:w="30" w:type="dxa"/>
              <w:left w:w="45" w:type="dxa"/>
              <w:bottom w:w="30" w:type="dxa"/>
              <w:right w:w="45" w:type="dxa"/>
            </w:tcMar>
          </w:tcPr>
          <w:p w14:paraId="1101362B"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80.5 (66-91)</w:t>
            </w:r>
          </w:p>
        </w:tc>
        <w:tc>
          <w:tcPr>
            <w:tcW w:w="920" w:type="dxa"/>
            <w:shd w:val="clear" w:color="auto" w:fill="auto"/>
            <w:tcMar>
              <w:top w:w="30" w:type="dxa"/>
              <w:left w:w="45" w:type="dxa"/>
              <w:bottom w:w="30" w:type="dxa"/>
              <w:right w:w="45" w:type="dxa"/>
            </w:tcMar>
          </w:tcPr>
          <w:p w14:paraId="7687D1A2" w14:textId="74ACFC6F"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 xml:space="preserve">8 </w:t>
            </w:r>
            <w:r>
              <w:rPr>
                <w:rFonts w:ascii="Book Antiqua" w:eastAsia="Calibri" w:hAnsi="Book Antiqua" w:cs="Calibri"/>
              </w:rPr>
              <w:t>M</w:t>
            </w:r>
            <w:r w:rsidRPr="00C72DF7">
              <w:rPr>
                <w:rFonts w:ascii="Book Antiqua" w:eastAsia="Calibri" w:hAnsi="Book Antiqua" w:cs="Calibri"/>
              </w:rPr>
              <w:t>ales and 3 females</w:t>
            </w:r>
          </w:p>
        </w:tc>
        <w:tc>
          <w:tcPr>
            <w:tcW w:w="1134" w:type="dxa"/>
            <w:shd w:val="clear" w:color="auto" w:fill="auto"/>
            <w:tcMar>
              <w:top w:w="30" w:type="dxa"/>
              <w:left w:w="45" w:type="dxa"/>
              <w:bottom w:w="30" w:type="dxa"/>
              <w:right w:w="45" w:type="dxa"/>
            </w:tcMar>
          </w:tcPr>
          <w:p w14:paraId="538225AB"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Not reported</w:t>
            </w:r>
          </w:p>
        </w:tc>
        <w:tc>
          <w:tcPr>
            <w:tcW w:w="2819" w:type="dxa"/>
            <w:shd w:val="clear" w:color="auto" w:fill="auto"/>
            <w:tcMar>
              <w:top w:w="30" w:type="dxa"/>
              <w:left w:w="45" w:type="dxa"/>
              <w:bottom w:w="30" w:type="dxa"/>
              <w:right w:w="45" w:type="dxa"/>
            </w:tcMar>
          </w:tcPr>
          <w:p w14:paraId="42EBE7AA"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Hypertension (9/11), diabetes mellitus (5/11), coronary artery disease (2/11), previous malignant disease (2/11), COPD (2/11), cerebrovascular disease (4/11), and dementia (4/11)</w:t>
            </w:r>
          </w:p>
        </w:tc>
      </w:tr>
      <w:tr w:rsidR="00073698" w:rsidRPr="00C72DF7" w14:paraId="3D0ED9A6" w14:textId="77777777" w:rsidTr="004D1BAC">
        <w:trPr>
          <w:trHeight w:val="255"/>
        </w:trPr>
        <w:tc>
          <w:tcPr>
            <w:tcW w:w="1075" w:type="dxa"/>
            <w:shd w:val="clear" w:color="auto" w:fill="auto"/>
            <w:tcMar>
              <w:top w:w="30" w:type="dxa"/>
              <w:left w:w="45" w:type="dxa"/>
              <w:bottom w:w="30" w:type="dxa"/>
              <w:right w:w="45" w:type="dxa"/>
            </w:tcMar>
          </w:tcPr>
          <w:p w14:paraId="34F772D6" w14:textId="7B7DDECD"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 xml:space="preserve">Martines </w:t>
            </w:r>
            <w:r w:rsidRPr="00073698">
              <w:rPr>
                <w:rFonts w:ascii="Book Antiqua" w:eastAsia="Calibri" w:hAnsi="Book Antiqua" w:cs="Calibri"/>
                <w:i/>
                <w:iCs/>
              </w:rPr>
              <w:t>et al</w:t>
            </w:r>
            <w:r w:rsidRPr="00073698">
              <w:rPr>
                <w:rFonts w:ascii="Book Antiqua" w:eastAsia="Calibri" w:hAnsi="Book Antiqua" w:cs="Calibri"/>
                <w:vertAlign w:val="superscript"/>
              </w:rPr>
              <w:t>[</w:t>
            </w:r>
            <w:r>
              <w:rPr>
                <w:rFonts w:ascii="Book Antiqua" w:eastAsia="Calibri" w:hAnsi="Book Antiqua" w:cs="Calibri"/>
                <w:vertAlign w:val="superscript"/>
              </w:rPr>
              <w:t>22</w:t>
            </w:r>
            <w:r w:rsidRPr="00073698">
              <w:rPr>
                <w:rFonts w:ascii="Book Antiqua" w:eastAsia="Calibri" w:hAnsi="Book Antiqua" w:cs="Calibri"/>
                <w:vertAlign w:val="superscript"/>
              </w:rPr>
              <w:t>]</w:t>
            </w:r>
          </w:p>
        </w:tc>
        <w:tc>
          <w:tcPr>
            <w:tcW w:w="1052" w:type="dxa"/>
            <w:shd w:val="clear" w:color="auto" w:fill="auto"/>
            <w:tcMar>
              <w:top w:w="30" w:type="dxa"/>
              <w:left w:w="45" w:type="dxa"/>
              <w:bottom w:w="30" w:type="dxa"/>
              <w:right w:w="45" w:type="dxa"/>
            </w:tcMar>
          </w:tcPr>
          <w:p w14:paraId="13FD3990"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May 2020</w:t>
            </w:r>
          </w:p>
        </w:tc>
        <w:tc>
          <w:tcPr>
            <w:tcW w:w="851" w:type="dxa"/>
            <w:shd w:val="clear" w:color="auto" w:fill="auto"/>
            <w:tcMar>
              <w:top w:w="30" w:type="dxa"/>
              <w:left w:w="45" w:type="dxa"/>
              <w:bottom w:w="30" w:type="dxa"/>
              <w:right w:w="45" w:type="dxa"/>
            </w:tcMar>
          </w:tcPr>
          <w:p w14:paraId="7495F72A" w14:textId="4F422FCF"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U</w:t>
            </w:r>
            <w:r>
              <w:rPr>
                <w:rFonts w:ascii="Book Antiqua" w:eastAsia="Calibri" w:hAnsi="Book Antiqua" w:cs="Calibri"/>
              </w:rPr>
              <w:t>nited States</w:t>
            </w:r>
          </w:p>
        </w:tc>
        <w:tc>
          <w:tcPr>
            <w:tcW w:w="921" w:type="dxa"/>
            <w:shd w:val="clear" w:color="auto" w:fill="auto"/>
            <w:tcMar>
              <w:top w:w="30" w:type="dxa"/>
              <w:left w:w="45" w:type="dxa"/>
              <w:bottom w:w="30" w:type="dxa"/>
              <w:right w:w="45" w:type="dxa"/>
            </w:tcMar>
          </w:tcPr>
          <w:p w14:paraId="38380CC1"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Autopsy</w:t>
            </w:r>
          </w:p>
        </w:tc>
        <w:tc>
          <w:tcPr>
            <w:tcW w:w="638" w:type="dxa"/>
            <w:shd w:val="clear" w:color="auto" w:fill="auto"/>
            <w:tcMar>
              <w:top w:w="30" w:type="dxa"/>
              <w:left w:w="45" w:type="dxa"/>
              <w:bottom w:w="30" w:type="dxa"/>
              <w:right w:w="45" w:type="dxa"/>
            </w:tcMar>
          </w:tcPr>
          <w:p w14:paraId="594E23C0"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8</w:t>
            </w:r>
          </w:p>
        </w:tc>
        <w:tc>
          <w:tcPr>
            <w:tcW w:w="639" w:type="dxa"/>
            <w:shd w:val="clear" w:color="auto" w:fill="auto"/>
            <w:tcMar>
              <w:top w:w="30" w:type="dxa"/>
              <w:left w:w="45" w:type="dxa"/>
              <w:bottom w:w="30" w:type="dxa"/>
              <w:right w:w="45" w:type="dxa"/>
            </w:tcMar>
          </w:tcPr>
          <w:p w14:paraId="25BE5C36"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73.5</w:t>
            </w:r>
          </w:p>
        </w:tc>
        <w:tc>
          <w:tcPr>
            <w:tcW w:w="920" w:type="dxa"/>
            <w:shd w:val="clear" w:color="auto" w:fill="auto"/>
            <w:tcMar>
              <w:top w:w="30" w:type="dxa"/>
              <w:left w:w="45" w:type="dxa"/>
              <w:bottom w:w="30" w:type="dxa"/>
              <w:right w:w="45" w:type="dxa"/>
            </w:tcMar>
          </w:tcPr>
          <w:p w14:paraId="12E446D5" w14:textId="2D568AD4"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 xml:space="preserve">4 </w:t>
            </w:r>
            <w:r>
              <w:rPr>
                <w:rFonts w:ascii="Book Antiqua" w:eastAsia="Calibri" w:hAnsi="Book Antiqua" w:cs="Calibri"/>
              </w:rPr>
              <w:t>M</w:t>
            </w:r>
            <w:r w:rsidRPr="00C72DF7">
              <w:rPr>
                <w:rFonts w:ascii="Book Antiqua" w:eastAsia="Calibri" w:hAnsi="Book Antiqua" w:cs="Calibri"/>
              </w:rPr>
              <w:t>ales and 4 females</w:t>
            </w:r>
          </w:p>
        </w:tc>
        <w:tc>
          <w:tcPr>
            <w:tcW w:w="1134" w:type="dxa"/>
            <w:shd w:val="clear" w:color="auto" w:fill="auto"/>
            <w:tcMar>
              <w:top w:w="30" w:type="dxa"/>
              <w:left w:w="45" w:type="dxa"/>
              <w:bottom w:w="30" w:type="dxa"/>
              <w:right w:w="45" w:type="dxa"/>
            </w:tcMar>
          </w:tcPr>
          <w:p w14:paraId="5A7E0A3B" w14:textId="0A0DA15E"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 xml:space="preserve">7 </w:t>
            </w:r>
            <w:r>
              <w:rPr>
                <w:rFonts w:ascii="Book Antiqua" w:eastAsia="Calibri" w:hAnsi="Book Antiqua" w:cs="Calibri"/>
              </w:rPr>
              <w:t>C</w:t>
            </w:r>
            <w:r w:rsidRPr="00C72DF7">
              <w:rPr>
                <w:rFonts w:ascii="Book Antiqua" w:eastAsia="Calibri" w:hAnsi="Book Antiqua" w:cs="Calibri"/>
              </w:rPr>
              <w:t>aucasian and 1 hispanic</w:t>
            </w:r>
          </w:p>
        </w:tc>
        <w:tc>
          <w:tcPr>
            <w:tcW w:w="2819" w:type="dxa"/>
            <w:shd w:val="clear" w:color="auto" w:fill="auto"/>
            <w:tcMar>
              <w:top w:w="30" w:type="dxa"/>
              <w:left w:w="45" w:type="dxa"/>
              <w:bottom w:w="30" w:type="dxa"/>
              <w:right w:w="45" w:type="dxa"/>
            </w:tcMar>
          </w:tcPr>
          <w:p w14:paraId="305B63C2" w14:textId="065B98D2"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Arterial hypertension (6/8), chronic kidney disease (6/8) cardiovascular disease (6/8), obesity (5/8), diabetes (4/8), chronic lung disease (2/8), immunocompromised condition (3/8), among others</w:t>
            </w:r>
          </w:p>
        </w:tc>
      </w:tr>
      <w:tr w:rsidR="00073698" w:rsidRPr="00C72DF7" w14:paraId="27BC9058" w14:textId="77777777" w:rsidTr="004D1BAC">
        <w:trPr>
          <w:trHeight w:val="255"/>
        </w:trPr>
        <w:tc>
          <w:tcPr>
            <w:tcW w:w="1075" w:type="dxa"/>
            <w:shd w:val="clear" w:color="auto" w:fill="auto"/>
            <w:tcMar>
              <w:top w:w="30" w:type="dxa"/>
              <w:left w:w="45" w:type="dxa"/>
              <w:bottom w:w="30" w:type="dxa"/>
              <w:right w:w="45" w:type="dxa"/>
            </w:tcMar>
          </w:tcPr>
          <w:p w14:paraId="7DC09CC7" w14:textId="34C72718"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 xml:space="preserve">Menter </w:t>
            </w:r>
            <w:r w:rsidRPr="00073698">
              <w:rPr>
                <w:rFonts w:ascii="Book Antiqua" w:eastAsia="Calibri" w:hAnsi="Book Antiqua" w:cs="Calibri"/>
                <w:i/>
                <w:iCs/>
              </w:rPr>
              <w:t>et al</w:t>
            </w:r>
            <w:r w:rsidRPr="00073698">
              <w:rPr>
                <w:rFonts w:ascii="Book Antiqua" w:eastAsia="Calibri" w:hAnsi="Book Antiqua" w:cs="Calibri"/>
                <w:vertAlign w:val="superscript"/>
              </w:rPr>
              <w:t>[</w:t>
            </w:r>
            <w:r>
              <w:rPr>
                <w:rFonts w:ascii="Book Antiqua" w:eastAsia="Calibri" w:hAnsi="Book Antiqua" w:cs="Calibri"/>
                <w:vertAlign w:val="superscript"/>
              </w:rPr>
              <w:t>23</w:t>
            </w:r>
            <w:r w:rsidRPr="00073698">
              <w:rPr>
                <w:rFonts w:ascii="Book Antiqua" w:eastAsia="Calibri" w:hAnsi="Book Antiqua" w:cs="Calibri"/>
                <w:vertAlign w:val="superscript"/>
              </w:rPr>
              <w:t>]</w:t>
            </w:r>
          </w:p>
        </w:tc>
        <w:tc>
          <w:tcPr>
            <w:tcW w:w="1052" w:type="dxa"/>
            <w:shd w:val="clear" w:color="auto" w:fill="auto"/>
            <w:tcMar>
              <w:top w:w="30" w:type="dxa"/>
              <w:left w:w="45" w:type="dxa"/>
              <w:bottom w:w="30" w:type="dxa"/>
              <w:right w:w="45" w:type="dxa"/>
            </w:tcMar>
          </w:tcPr>
          <w:p w14:paraId="614B7893"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May 2020</w:t>
            </w:r>
          </w:p>
        </w:tc>
        <w:tc>
          <w:tcPr>
            <w:tcW w:w="851" w:type="dxa"/>
            <w:shd w:val="clear" w:color="auto" w:fill="auto"/>
            <w:tcMar>
              <w:top w:w="30" w:type="dxa"/>
              <w:left w:w="45" w:type="dxa"/>
              <w:bottom w:w="30" w:type="dxa"/>
              <w:right w:w="45" w:type="dxa"/>
            </w:tcMar>
          </w:tcPr>
          <w:p w14:paraId="275D8A07"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Switzerland</w:t>
            </w:r>
          </w:p>
        </w:tc>
        <w:tc>
          <w:tcPr>
            <w:tcW w:w="921" w:type="dxa"/>
            <w:shd w:val="clear" w:color="auto" w:fill="auto"/>
            <w:tcMar>
              <w:top w:w="30" w:type="dxa"/>
              <w:left w:w="45" w:type="dxa"/>
              <w:bottom w:w="30" w:type="dxa"/>
              <w:right w:w="45" w:type="dxa"/>
            </w:tcMar>
          </w:tcPr>
          <w:p w14:paraId="4A84F43A"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Autopsy</w:t>
            </w:r>
          </w:p>
        </w:tc>
        <w:tc>
          <w:tcPr>
            <w:tcW w:w="638" w:type="dxa"/>
            <w:shd w:val="clear" w:color="auto" w:fill="auto"/>
            <w:tcMar>
              <w:top w:w="30" w:type="dxa"/>
              <w:left w:w="45" w:type="dxa"/>
              <w:bottom w:w="30" w:type="dxa"/>
              <w:right w:w="45" w:type="dxa"/>
            </w:tcMar>
          </w:tcPr>
          <w:p w14:paraId="699A2C0F"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17</w:t>
            </w:r>
          </w:p>
        </w:tc>
        <w:tc>
          <w:tcPr>
            <w:tcW w:w="639" w:type="dxa"/>
            <w:shd w:val="clear" w:color="auto" w:fill="auto"/>
            <w:tcMar>
              <w:top w:w="30" w:type="dxa"/>
              <w:left w:w="45" w:type="dxa"/>
              <w:bottom w:w="30" w:type="dxa"/>
              <w:right w:w="45" w:type="dxa"/>
            </w:tcMar>
          </w:tcPr>
          <w:p w14:paraId="5A99373B"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Adult patients</w:t>
            </w:r>
          </w:p>
        </w:tc>
        <w:tc>
          <w:tcPr>
            <w:tcW w:w="920" w:type="dxa"/>
            <w:shd w:val="clear" w:color="auto" w:fill="auto"/>
            <w:tcMar>
              <w:top w:w="30" w:type="dxa"/>
              <w:left w:w="45" w:type="dxa"/>
              <w:bottom w:w="30" w:type="dxa"/>
              <w:right w:w="45" w:type="dxa"/>
            </w:tcMar>
          </w:tcPr>
          <w:p w14:paraId="42E8AEF8"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Not specified</w:t>
            </w:r>
          </w:p>
        </w:tc>
        <w:tc>
          <w:tcPr>
            <w:tcW w:w="1134" w:type="dxa"/>
            <w:shd w:val="clear" w:color="auto" w:fill="auto"/>
            <w:tcMar>
              <w:top w:w="30" w:type="dxa"/>
              <w:left w:w="45" w:type="dxa"/>
              <w:bottom w:w="30" w:type="dxa"/>
              <w:right w:w="45" w:type="dxa"/>
            </w:tcMar>
          </w:tcPr>
          <w:p w14:paraId="738D4671"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Not specified</w:t>
            </w:r>
          </w:p>
        </w:tc>
        <w:tc>
          <w:tcPr>
            <w:tcW w:w="2819" w:type="dxa"/>
            <w:shd w:val="clear" w:color="auto" w:fill="auto"/>
            <w:tcMar>
              <w:top w:w="30" w:type="dxa"/>
              <w:left w:w="45" w:type="dxa"/>
              <w:bottom w:w="30" w:type="dxa"/>
              <w:right w:w="45" w:type="dxa"/>
            </w:tcMar>
          </w:tcPr>
          <w:p w14:paraId="0DD461E7" w14:textId="77777777" w:rsidR="00073698" w:rsidRPr="00C72DF7" w:rsidRDefault="00073698" w:rsidP="00073698">
            <w:pPr>
              <w:spacing w:line="360" w:lineRule="auto"/>
              <w:jc w:val="both"/>
              <w:rPr>
                <w:rFonts w:ascii="Book Antiqua" w:eastAsia="Calibri" w:hAnsi="Book Antiqua" w:cs="Calibri"/>
              </w:rPr>
            </w:pPr>
            <w:r w:rsidRPr="00C72DF7">
              <w:rPr>
                <w:rFonts w:ascii="Book Antiqua" w:eastAsia="Calibri" w:hAnsi="Book Antiqua" w:cs="Calibri"/>
              </w:rPr>
              <w:t>Not specified</w:t>
            </w:r>
          </w:p>
        </w:tc>
      </w:tr>
      <w:tr w:rsidR="00073698" w:rsidRPr="00C72DF7" w14:paraId="5E529B6C" w14:textId="77777777" w:rsidTr="004D1BAC">
        <w:trPr>
          <w:trHeight w:val="255"/>
        </w:trPr>
        <w:tc>
          <w:tcPr>
            <w:tcW w:w="1075" w:type="dxa"/>
            <w:shd w:val="clear" w:color="auto" w:fill="auto"/>
            <w:tcMar>
              <w:top w:w="30" w:type="dxa"/>
              <w:left w:w="45" w:type="dxa"/>
              <w:bottom w:w="30" w:type="dxa"/>
              <w:right w:w="45" w:type="dxa"/>
            </w:tcMar>
          </w:tcPr>
          <w:p w14:paraId="07FA4701" w14:textId="13D59AA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 xml:space="preserve">Prilutskiy </w:t>
            </w:r>
            <w:r w:rsidRPr="00073698">
              <w:rPr>
                <w:rFonts w:ascii="Book Antiqua" w:eastAsia="Calibri" w:hAnsi="Book Antiqua" w:cs="Calibri"/>
                <w:i/>
                <w:iCs/>
              </w:rPr>
              <w:t>et al</w:t>
            </w:r>
            <w:r w:rsidRPr="00073698">
              <w:rPr>
                <w:rFonts w:ascii="Book Antiqua" w:eastAsia="Calibri" w:hAnsi="Book Antiqua" w:cs="Calibri"/>
                <w:vertAlign w:val="superscript"/>
              </w:rPr>
              <w:t>[</w:t>
            </w:r>
            <w:r>
              <w:rPr>
                <w:rFonts w:ascii="Book Antiqua" w:eastAsia="Calibri" w:hAnsi="Book Antiqua" w:cs="Calibri"/>
                <w:vertAlign w:val="superscript"/>
              </w:rPr>
              <w:t>28</w:t>
            </w:r>
            <w:r w:rsidRPr="00073698">
              <w:rPr>
                <w:rFonts w:ascii="Book Antiqua" w:eastAsia="Calibri" w:hAnsi="Book Antiqua" w:cs="Calibri"/>
                <w:vertAlign w:val="superscript"/>
              </w:rPr>
              <w:t>]</w:t>
            </w:r>
          </w:p>
        </w:tc>
        <w:tc>
          <w:tcPr>
            <w:tcW w:w="1052" w:type="dxa"/>
            <w:shd w:val="clear" w:color="auto" w:fill="auto"/>
            <w:tcMar>
              <w:top w:w="30" w:type="dxa"/>
              <w:left w:w="45" w:type="dxa"/>
              <w:bottom w:w="30" w:type="dxa"/>
              <w:right w:w="45" w:type="dxa"/>
            </w:tcMar>
          </w:tcPr>
          <w:p w14:paraId="2782AC55"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March 2020</w:t>
            </w:r>
          </w:p>
        </w:tc>
        <w:tc>
          <w:tcPr>
            <w:tcW w:w="851" w:type="dxa"/>
            <w:shd w:val="clear" w:color="auto" w:fill="auto"/>
            <w:tcMar>
              <w:top w:w="30" w:type="dxa"/>
              <w:left w:w="45" w:type="dxa"/>
              <w:bottom w:w="30" w:type="dxa"/>
              <w:right w:w="45" w:type="dxa"/>
            </w:tcMar>
          </w:tcPr>
          <w:p w14:paraId="5B1A10D8" w14:textId="2477AA2E"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U</w:t>
            </w:r>
            <w:r>
              <w:rPr>
                <w:rFonts w:ascii="Book Antiqua" w:eastAsia="Calibri" w:hAnsi="Book Antiqua" w:cs="Calibri"/>
              </w:rPr>
              <w:t>nited States</w:t>
            </w:r>
          </w:p>
        </w:tc>
        <w:tc>
          <w:tcPr>
            <w:tcW w:w="921" w:type="dxa"/>
            <w:shd w:val="clear" w:color="auto" w:fill="auto"/>
            <w:tcMar>
              <w:top w:w="30" w:type="dxa"/>
              <w:left w:w="45" w:type="dxa"/>
              <w:bottom w:w="30" w:type="dxa"/>
              <w:right w:w="45" w:type="dxa"/>
            </w:tcMar>
          </w:tcPr>
          <w:p w14:paraId="120511C0"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Autopsy</w:t>
            </w:r>
          </w:p>
        </w:tc>
        <w:tc>
          <w:tcPr>
            <w:tcW w:w="638" w:type="dxa"/>
            <w:shd w:val="clear" w:color="auto" w:fill="auto"/>
            <w:tcMar>
              <w:top w:w="30" w:type="dxa"/>
              <w:left w:w="45" w:type="dxa"/>
              <w:bottom w:w="30" w:type="dxa"/>
              <w:right w:w="45" w:type="dxa"/>
            </w:tcMar>
          </w:tcPr>
          <w:p w14:paraId="6786C013"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4</w:t>
            </w:r>
          </w:p>
        </w:tc>
        <w:tc>
          <w:tcPr>
            <w:tcW w:w="639" w:type="dxa"/>
            <w:shd w:val="clear" w:color="auto" w:fill="auto"/>
            <w:tcMar>
              <w:top w:w="30" w:type="dxa"/>
              <w:left w:w="45" w:type="dxa"/>
              <w:bottom w:w="30" w:type="dxa"/>
              <w:right w:w="45" w:type="dxa"/>
            </w:tcMar>
          </w:tcPr>
          <w:p w14:paraId="37838420"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64-91</w:t>
            </w:r>
          </w:p>
        </w:tc>
        <w:tc>
          <w:tcPr>
            <w:tcW w:w="920" w:type="dxa"/>
            <w:shd w:val="clear" w:color="auto" w:fill="auto"/>
            <w:tcMar>
              <w:top w:w="30" w:type="dxa"/>
              <w:left w:w="45" w:type="dxa"/>
              <w:bottom w:w="30" w:type="dxa"/>
              <w:right w:w="45" w:type="dxa"/>
            </w:tcMar>
          </w:tcPr>
          <w:p w14:paraId="4B7096B1" w14:textId="7579D951"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 xml:space="preserve">3 </w:t>
            </w:r>
            <w:r w:rsidR="006C5DCF">
              <w:rPr>
                <w:rFonts w:ascii="Book Antiqua" w:eastAsia="Calibri" w:hAnsi="Book Antiqua" w:cs="Calibri"/>
              </w:rPr>
              <w:t>M</w:t>
            </w:r>
            <w:r w:rsidRPr="00C72DF7">
              <w:rPr>
                <w:rFonts w:ascii="Book Antiqua" w:eastAsia="Calibri" w:hAnsi="Book Antiqua" w:cs="Calibri"/>
              </w:rPr>
              <w:t>ales and 1 female</w:t>
            </w:r>
          </w:p>
        </w:tc>
        <w:tc>
          <w:tcPr>
            <w:tcW w:w="1134" w:type="dxa"/>
            <w:shd w:val="clear" w:color="auto" w:fill="auto"/>
            <w:tcMar>
              <w:top w:w="30" w:type="dxa"/>
              <w:left w:w="45" w:type="dxa"/>
              <w:bottom w:w="30" w:type="dxa"/>
              <w:right w:w="45" w:type="dxa"/>
            </w:tcMar>
          </w:tcPr>
          <w:p w14:paraId="3951E0B0" w14:textId="62EB180B"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 xml:space="preserve">3 </w:t>
            </w:r>
            <w:r w:rsidR="006C5DCF">
              <w:rPr>
                <w:rFonts w:ascii="Book Antiqua" w:eastAsia="Calibri" w:hAnsi="Book Antiqua" w:cs="Calibri"/>
              </w:rPr>
              <w:t>A</w:t>
            </w:r>
            <w:r w:rsidRPr="00C72DF7">
              <w:rPr>
                <w:rFonts w:ascii="Book Antiqua" w:eastAsia="Calibri" w:hAnsi="Book Antiqua" w:cs="Calibri"/>
              </w:rPr>
              <w:t>fro-american and 1 caucasian</w:t>
            </w:r>
          </w:p>
        </w:tc>
        <w:tc>
          <w:tcPr>
            <w:tcW w:w="2819" w:type="dxa"/>
            <w:shd w:val="clear" w:color="auto" w:fill="auto"/>
            <w:tcMar>
              <w:top w:w="30" w:type="dxa"/>
              <w:left w:w="45" w:type="dxa"/>
              <w:bottom w:w="30" w:type="dxa"/>
              <w:right w:w="45" w:type="dxa"/>
            </w:tcMar>
          </w:tcPr>
          <w:p w14:paraId="1525985B"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Not reported</w:t>
            </w:r>
          </w:p>
        </w:tc>
      </w:tr>
      <w:tr w:rsidR="00073698" w:rsidRPr="00C72DF7" w14:paraId="50A3993C" w14:textId="77777777" w:rsidTr="004D1BAC">
        <w:trPr>
          <w:trHeight w:val="255"/>
        </w:trPr>
        <w:tc>
          <w:tcPr>
            <w:tcW w:w="1075" w:type="dxa"/>
            <w:shd w:val="clear" w:color="auto" w:fill="auto"/>
            <w:tcMar>
              <w:top w:w="30" w:type="dxa"/>
              <w:left w:w="45" w:type="dxa"/>
              <w:bottom w:w="30" w:type="dxa"/>
              <w:right w:w="45" w:type="dxa"/>
            </w:tcMar>
          </w:tcPr>
          <w:p w14:paraId="22215933" w14:textId="0B8CB0AE"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 xml:space="preserve">Remmelink </w:t>
            </w:r>
            <w:r w:rsidRPr="00073698">
              <w:rPr>
                <w:rFonts w:ascii="Book Antiqua" w:eastAsia="Calibri" w:hAnsi="Book Antiqua" w:cs="Calibri"/>
                <w:i/>
                <w:iCs/>
              </w:rPr>
              <w:t>et al</w:t>
            </w:r>
            <w:r w:rsidRPr="00073698">
              <w:rPr>
                <w:rFonts w:ascii="Book Antiqua" w:eastAsia="Calibri" w:hAnsi="Book Antiqua" w:cs="Calibri"/>
                <w:vertAlign w:val="superscript"/>
              </w:rPr>
              <w:t>[</w:t>
            </w:r>
            <w:r>
              <w:rPr>
                <w:rFonts w:ascii="Book Antiqua" w:eastAsia="Calibri" w:hAnsi="Book Antiqua" w:cs="Calibri"/>
                <w:vertAlign w:val="superscript"/>
              </w:rPr>
              <w:t>24</w:t>
            </w:r>
            <w:r w:rsidRPr="00073698">
              <w:rPr>
                <w:rFonts w:ascii="Book Antiqua" w:eastAsia="Calibri" w:hAnsi="Book Antiqua" w:cs="Calibri"/>
                <w:vertAlign w:val="superscript"/>
              </w:rPr>
              <w:t>]</w:t>
            </w:r>
          </w:p>
        </w:tc>
        <w:tc>
          <w:tcPr>
            <w:tcW w:w="1052" w:type="dxa"/>
            <w:shd w:val="clear" w:color="auto" w:fill="auto"/>
            <w:tcMar>
              <w:top w:w="30" w:type="dxa"/>
              <w:left w:w="45" w:type="dxa"/>
              <w:bottom w:w="30" w:type="dxa"/>
              <w:right w:w="45" w:type="dxa"/>
            </w:tcMar>
          </w:tcPr>
          <w:p w14:paraId="7467C0A2"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May 2020</w:t>
            </w:r>
          </w:p>
        </w:tc>
        <w:tc>
          <w:tcPr>
            <w:tcW w:w="851" w:type="dxa"/>
            <w:shd w:val="clear" w:color="auto" w:fill="auto"/>
            <w:tcMar>
              <w:top w:w="30" w:type="dxa"/>
              <w:left w:w="45" w:type="dxa"/>
              <w:bottom w:w="30" w:type="dxa"/>
              <w:right w:w="45" w:type="dxa"/>
            </w:tcMar>
          </w:tcPr>
          <w:p w14:paraId="4B55EF27"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Belgium</w:t>
            </w:r>
          </w:p>
        </w:tc>
        <w:tc>
          <w:tcPr>
            <w:tcW w:w="921" w:type="dxa"/>
            <w:shd w:val="clear" w:color="auto" w:fill="auto"/>
            <w:tcMar>
              <w:top w:w="30" w:type="dxa"/>
              <w:left w:w="45" w:type="dxa"/>
              <w:bottom w:w="30" w:type="dxa"/>
              <w:right w:w="45" w:type="dxa"/>
            </w:tcMar>
          </w:tcPr>
          <w:p w14:paraId="3AC47F03"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Autopsy</w:t>
            </w:r>
          </w:p>
        </w:tc>
        <w:tc>
          <w:tcPr>
            <w:tcW w:w="638" w:type="dxa"/>
            <w:shd w:val="clear" w:color="auto" w:fill="auto"/>
            <w:tcMar>
              <w:top w:w="30" w:type="dxa"/>
              <w:left w:w="45" w:type="dxa"/>
              <w:bottom w:w="30" w:type="dxa"/>
              <w:right w:w="45" w:type="dxa"/>
            </w:tcMar>
          </w:tcPr>
          <w:p w14:paraId="1F4979BF"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17</w:t>
            </w:r>
          </w:p>
        </w:tc>
        <w:tc>
          <w:tcPr>
            <w:tcW w:w="639" w:type="dxa"/>
            <w:shd w:val="clear" w:color="auto" w:fill="auto"/>
            <w:tcMar>
              <w:top w:w="30" w:type="dxa"/>
              <w:left w:w="45" w:type="dxa"/>
              <w:bottom w:w="30" w:type="dxa"/>
              <w:right w:w="45" w:type="dxa"/>
            </w:tcMar>
          </w:tcPr>
          <w:p w14:paraId="60D05E30"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72 [62-77]</w:t>
            </w:r>
          </w:p>
        </w:tc>
        <w:tc>
          <w:tcPr>
            <w:tcW w:w="920" w:type="dxa"/>
            <w:shd w:val="clear" w:color="auto" w:fill="auto"/>
            <w:tcMar>
              <w:top w:w="30" w:type="dxa"/>
              <w:left w:w="45" w:type="dxa"/>
              <w:bottom w:w="30" w:type="dxa"/>
              <w:right w:w="45" w:type="dxa"/>
            </w:tcMar>
          </w:tcPr>
          <w:p w14:paraId="34BA546B" w14:textId="48338068"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 xml:space="preserve">12 </w:t>
            </w:r>
            <w:r w:rsidR="006C5DCF">
              <w:rPr>
                <w:rFonts w:ascii="Book Antiqua" w:eastAsia="Calibri" w:hAnsi="Book Antiqua" w:cs="Calibri"/>
              </w:rPr>
              <w:t>M</w:t>
            </w:r>
            <w:r w:rsidRPr="00C72DF7">
              <w:rPr>
                <w:rFonts w:ascii="Book Antiqua" w:eastAsia="Calibri" w:hAnsi="Book Antiqua" w:cs="Calibri"/>
              </w:rPr>
              <w:t>ales and 5 females</w:t>
            </w:r>
          </w:p>
        </w:tc>
        <w:tc>
          <w:tcPr>
            <w:tcW w:w="1134" w:type="dxa"/>
            <w:shd w:val="clear" w:color="auto" w:fill="auto"/>
            <w:tcMar>
              <w:top w:w="30" w:type="dxa"/>
              <w:left w:w="45" w:type="dxa"/>
              <w:bottom w:w="30" w:type="dxa"/>
              <w:right w:w="45" w:type="dxa"/>
            </w:tcMar>
          </w:tcPr>
          <w:p w14:paraId="6B4565CF"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Not reported</w:t>
            </w:r>
          </w:p>
        </w:tc>
        <w:tc>
          <w:tcPr>
            <w:tcW w:w="2819" w:type="dxa"/>
            <w:shd w:val="clear" w:color="auto" w:fill="auto"/>
            <w:tcMar>
              <w:top w:w="30" w:type="dxa"/>
              <w:left w:w="45" w:type="dxa"/>
              <w:bottom w:w="30" w:type="dxa"/>
              <w:right w:w="45" w:type="dxa"/>
            </w:tcMar>
          </w:tcPr>
          <w:p w14:paraId="605FA757"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Cirrhosis (2/17), liver transplantation (1/17), hypertension (10/17), diabetes (9/17), cerebrovascular disease (4/17), coronary artery disease (4/17), and solid cancer (4/17)</w:t>
            </w:r>
          </w:p>
        </w:tc>
      </w:tr>
      <w:tr w:rsidR="00073698" w:rsidRPr="00C72DF7" w14:paraId="4E80FE7A" w14:textId="77777777" w:rsidTr="004D1BAC">
        <w:trPr>
          <w:trHeight w:val="255"/>
        </w:trPr>
        <w:tc>
          <w:tcPr>
            <w:tcW w:w="1075" w:type="dxa"/>
            <w:shd w:val="clear" w:color="auto" w:fill="auto"/>
            <w:tcMar>
              <w:top w:w="30" w:type="dxa"/>
              <w:left w:w="45" w:type="dxa"/>
              <w:bottom w:w="30" w:type="dxa"/>
              <w:right w:w="45" w:type="dxa"/>
            </w:tcMar>
          </w:tcPr>
          <w:p w14:paraId="2F3A6A77" w14:textId="776D976E"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 xml:space="preserve">Schaller </w:t>
            </w:r>
            <w:r w:rsidRPr="00073698">
              <w:rPr>
                <w:rFonts w:ascii="Book Antiqua" w:eastAsia="Calibri" w:hAnsi="Book Antiqua" w:cs="Calibri"/>
                <w:i/>
                <w:iCs/>
              </w:rPr>
              <w:t>et al</w:t>
            </w:r>
            <w:r w:rsidRPr="00073698">
              <w:rPr>
                <w:rFonts w:ascii="Book Antiqua" w:eastAsia="Calibri" w:hAnsi="Book Antiqua" w:cs="Calibri"/>
                <w:vertAlign w:val="superscript"/>
              </w:rPr>
              <w:t>[</w:t>
            </w:r>
            <w:r>
              <w:rPr>
                <w:rFonts w:ascii="Book Antiqua" w:eastAsia="Calibri" w:hAnsi="Book Antiqua" w:cs="Calibri"/>
                <w:vertAlign w:val="superscript"/>
              </w:rPr>
              <w:t>25</w:t>
            </w:r>
            <w:r w:rsidRPr="00073698">
              <w:rPr>
                <w:rFonts w:ascii="Book Antiqua" w:eastAsia="Calibri" w:hAnsi="Book Antiqua" w:cs="Calibri"/>
                <w:vertAlign w:val="superscript"/>
              </w:rPr>
              <w:t>]</w:t>
            </w:r>
          </w:p>
        </w:tc>
        <w:tc>
          <w:tcPr>
            <w:tcW w:w="1052" w:type="dxa"/>
            <w:shd w:val="clear" w:color="auto" w:fill="auto"/>
            <w:tcMar>
              <w:top w:w="30" w:type="dxa"/>
              <w:left w:w="45" w:type="dxa"/>
              <w:bottom w:w="30" w:type="dxa"/>
              <w:right w:w="45" w:type="dxa"/>
            </w:tcMar>
          </w:tcPr>
          <w:p w14:paraId="6F131EA2"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May 2020</w:t>
            </w:r>
          </w:p>
        </w:tc>
        <w:tc>
          <w:tcPr>
            <w:tcW w:w="851" w:type="dxa"/>
            <w:shd w:val="clear" w:color="auto" w:fill="auto"/>
            <w:tcMar>
              <w:top w:w="30" w:type="dxa"/>
              <w:left w:w="45" w:type="dxa"/>
              <w:bottom w:w="30" w:type="dxa"/>
              <w:right w:w="45" w:type="dxa"/>
            </w:tcMar>
          </w:tcPr>
          <w:p w14:paraId="4B8B3106"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Germany</w:t>
            </w:r>
          </w:p>
        </w:tc>
        <w:tc>
          <w:tcPr>
            <w:tcW w:w="921" w:type="dxa"/>
            <w:shd w:val="clear" w:color="auto" w:fill="auto"/>
            <w:tcMar>
              <w:top w:w="30" w:type="dxa"/>
              <w:left w:w="45" w:type="dxa"/>
              <w:bottom w:w="30" w:type="dxa"/>
              <w:right w:w="45" w:type="dxa"/>
            </w:tcMar>
          </w:tcPr>
          <w:p w14:paraId="35E49CE8"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Autopsy</w:t>
            </w:r>
          </w:p>
        </w:tc>
        <w:tc>
          <w:tcPr>
            <w:tcW w:w="638" w:type="dxa"/>
            <w:shd w:val="clear" w:color="auto" w:fill="auto"/>
            <w:tcMar>
              <w:top w:w="30" w:type="dxa"/>
              <w:left w:w="45" w:type="dxa"/>
              <w:bottom w:w="30" w:type="dxa"/>
              <w:right w:w="45" w:type="dxa"/>
            </w:tcMar>
          </w:tcPr>
          <w:p w14:paraId="1E642F13"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10</w:t>
            </w:r>
          </w:p>
        </w:tc>
        <w:tc>
          <w:tcPr>
            <w:tcW w:w="639" w:type="dxa"/>
            <w:shd w:val="clear" w:color="auto" w:fill="auto"/>
            <w:tcMar>
              <w:top w:w="30" w:type="dxa"/>
              <w:left w:w="45" w:type="dxa"/>
              <w:bottom w:w="30" w:type="dxa"/>
              <w:right w:w="45" w:type="dxa"/>
            </w:tcMar>
          </w:tcPr>
          <w:p w14:paraId="046EA7A0"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79 (64-90)</w:t>
            </w:r>
          </w:p>
        </w:tc>
        <w:tc>
          <w:tcPr>
            <w:tcW w:w="920" w:type="dxa"/>
            <w:shd w:val="clear" w:color="auto" w:fill="auto"/>
            <w:tcMar>
              <w:top w:w="30" w:type="dxa"/>
              <w:left w:w="45" w:type="dxa"/>
              <w:bottom w:w="30" w:type="dxa"/>
              <w:right w:w="45" w:type="dxa"/>
            </w:tcMar>
          </w:tcPr>
          <w:p w14:paraId="24214FB0" w14:textId="3D6FF22F"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 xml:space="preserve">7 </w:t>
            </w:r>
            <w:r w:rsidR="006C5DCF">
              <w:rPr>
                <w:rFonts w:ascii="Book Antiqua" w:eastAsia="Calibri" w:hAnsi="Book Antiqua" w:cs="Calibri"/>
              </w:rPr>
              <w:t>M</w:t>
            </w:r>
            <w:r w:rsidRPr="00C72DF7">
              <w:rPr>
                <w:rFonts w:ascii="Book Antiqua" w:eastAsia="Calibri" w:hAnsi="Book Antiqua" w:cs="Calibri"/>
              </w:rPr>
              <w:t>ales and 3 females</w:t>
            </w:r>
          </w:p>
        </w:tc>
        <w:tc>
          <w:tcPr>
            <w:tcW w:w="1134" w:type="dxa"/>
            <w:shd w:val="clear" w:color="auto" w:fill="auto"/>
            <w:tcMar>
              <w:top w:w="30" w:type="dxa"/>
              <w:left w:w="45" w:type="dxa"/>
              <w:bottom w:w="30" w:type="dxa"/>
              <w:right w:w="45" w:type="dxa"/>
            </w:tcMar>
          </w:tcPr>
          <w:p w14:paraId="2CFACD02"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Not reported</w:t>
            </w:r>
          </w:p>
        </w:tc>
        <w:tc>
          <w:tcPr>
            <w:tcW w:w="2819" w:type="dxa"/>
            <w:shd w:val="clear" w:color="auto" w:fill="auto"/>
            <w:tcMar>
              <w:top w:w="30" w:type="dxa"/>
              <w:left w:w="45" w:type="dxa"/>
              <w:bottom w:w="30" w:type="dxa"/>
              <w:right w:w="45" w:type="dxa"/>
            </w:tcMar>
          </w:tcPr>
          <w:p w14:paraId="2C9796CD"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Fatty liver disease (1/10), hypertension (7/10), atrial fibrillation (4/10), chronic kidney failure (3/10), COPD (2/10), heart failure (2/10), obesity (2/10), diabetes (1/10), among others</w:t>
            </w:r>
          </w:p>
        </w:tc>
      </w:tr>
      <w:tr w:rsidR="00073698" w:rsidRPr="00C72DF7" w14:paraId="75FBACA5" w14:textId="77777777" w:rsidTr="004D1BAC">
        <w:trPr>
          <w:trHeight w:val="255"/>
        </w:trPr>
        <w:tc>
          <w:tcPr>
            <w:tcW w:w="1075" w:type="dxa"/>
            <w:shd w:val="clear" w:color="auto" w:fill="auto"/>
            <w:tcMar>
              <w:top w:w="30" w:type="dxa"/>
              <w:left w:w="45" w:type="dxa"/>
              <w:bottom w:w="30" w:type="dxa"/>
              <w:right w:w="45" w:type="dxa"/>
            </w:tcMar>
          </w:tcPr>
          <w:p w14:paraId="45AF7D84" w14:textId="2E3D620D"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 xml:space="preserve">Sonzogni </w:t>
            </w:r>
            <w:r w:rsidRPr="00073698">
              <w:rPr>
                <w:rFonts w:ascii="Book Antiqua" w:eastAsia="Calibri" w:hAnsi="Book Antiqua" w:cs="Calibri"/>
                <w:i/>
                <w:iCs/>
              </w:rPr>
              <w:t>et al</w:t>
            </w:r>
            <w:r w:rsidRPr="00073698">
              <w:rPr>
                <w:rFonts w:ascii="Book Antiqua" w:eastAsia="Calibri" w:hAnsi="Book Antiqua" w:cs="Calibri"/>
                <w:vertAlign w:val="superscript"/>
              </w:rPr>
              <w:t>[1</w:t>
            </w:r>
            <w:r>
              <w:rPr>
                <w:rFonts w:ascii="Book Antiqua" w:eastAsia="Calibri" w:hAnsi="Book Antiqua" w:cs="Calibri"/>
                <w:vertAlign w:val="superscript"/>
              </w:rPr>
              <w:t>6</w:t>
            </w:r>
            <w:r w:rsidRPr="00073698">
              <w:rPr>
                <w:rFonts w:ascii="Book Antiqua" w:eastAsia="Calibri" w:hAnsi="Book Antiqua" w:cs="Calibri"/>
                <w:vertAlign w:val="superscript"/>
              </w:rPr>
              <w:t>]</w:t>
            </w:r>
          </w:p>
        </w:tc>
        <w:tc>
          <w:tcPr>
            <w:tcW w:w="1052" w:type="dxa"/>
            <w:shd w:val="clear" w:color="auto" w:fill="auto"/>
            <w:tcMar>
              <w:top w:w="30" w:type="dxa"/>
              <w:left w:w="45" w:type="dxa"/>
              <w:bottom w:w="30" w:type="dxa"/>
              <w:right w:w="45" w:type="dxa"/>
            </w:tcMar>
          </w:tcPr>
          <w:p w14:paraId="786EF9B5"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May 2020</w:t>
            </w:r>
          </w:p>
        </w:tc>
        <w:tc>
          <w:tcPr>
            <w:tcW w:w="851" w:type="dxa"/>
            <w:shd w:val="clear" w:color="auto" w:fill="auto"/>
            <w:tcMar>
              <w:top w:w="30" w:type="dxa"/>
              <w:left w:w="45" w:type="dxa"/>
              <w:bottom w:w="30" w:type="dxa"/>
              <w:right w:w="45" w:type="dxa"/>
            </w:tcMar>
          </w:tcPr>
          <w:p w14:paraId="546E7CE7"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Italy</w:t>
            </w:r>
          </w:p>
        </w:tc>
        <w:tc>
          <w:tcPr>
            <w:tcW w:w="921" w:type="dxa"/>
            <w:shd w:val="clear" w:color="auto" w:fill="auto"/>
            <w:tcMar>
              <w:top w:w="30" w:type="dxa"/>
              <w:left w:w="45" w:type="dxa"/>
              <w:bottom w:w="30" w:type="dxa"/>
              <w:right w:w="45" w:type="dxa"/>
            </w:tcMar>
          </w:tcPr>
          <w:p w14:paraId="2DBA9657"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Autopsy</w:t>
            </w:r>
          </w:p>
        </w:tc>
        <w:tc>
          <w:tcPr>
            <w:tcW w:w="638" w:type="dxa"/>
            <w:shd w:val="clear" w:color="auto" w:fill="auto"/>
            <w:tcMar>
              <w:top w:w="30" w:type="dxa"/>
              <w:left w:w="45" w:type="dxa"/>
              <w:bottom w:w="30" w:type="dxa"/>
              <w:right w:w="45" w:type="dxa"/>
            </w:tcMar>
          </w:tcPr>
          <w:p w14:paraId="6A265B13"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48</w:t>
            </w:r>
          </w:p>
        </w:tc>
        <w:tc>
          <w:tcPr>
            <w:tcW w:w="639" w:type="dxa"/>
            <w:shd w:val="clear" w:color="auto" w:fill="auto"/>
            <w:tcMar>
              <w:top w:w="30" w:type="dxa"/>
              <w:left w:w="45" w:type="dxa"/>
              <w:bottom w:w="30" w:type="dxa"/>
              <w:right w:w="45" w:type="dxa"/>
            </w:tcMar>
          </w:tcPr>
          <w:p w14:paraId="5C80CF14"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71.2 (32-87)</w:t>
            </w:r>
          </w:p>
        </w:tc>
        <w:tc>
          <w:tcPr>
            <w:tcW w:w="920" w:type="dxa"/>
            <w:shd w:val="clear" w:color="auto" w:fill="auto"/>
            <w:tcMar>
              <w:top w:w="30" w:type="dxa"/>
              <w:left w:w="45" w:type="dxa"/>
              <w:bottom w:w="30" w:type="dxa"/>
              <w:right w:w="45" w:type="dxa"/>
            </w:tcMar>
          </w:tcPr>
          <w:p w14:paraId="549510AD" w14:textId="5740A820"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 xml:space="preserve">35 </w:t>
            </w:r>
            <w:r w:rsidR="006C5DCF">
              <w:rPr>
                <w:rFonts w:ascii="Book Antiqua" w:eastAsia="Calibri" w:hAnsi="Book Antiqua" w:cs="Calibri"/>
              </w:rPr>
              <w:t>M</w:t>
            </w:r>
            <w:r w:rsidRPr="00C72DF7">
              <w:rPr>
                <w:rFonts w:ascii="Book Antiqua" w:eastAsia="Calibri" w:hAnsi="Book Antiqua" w:cs="Calibri"/>
              </w:rPr>
              <w:t>ales and 13 females</w:t>
            </w:r>
          </w:p>
        </w:tc>
        <w:tc>
          <w:tcPr>
            <w:tcW w:w="1134" w:type="dxa"/>
            <w:shd w:val="clear" w:color="auto" w:fill="auto"/>
            <w:tcMar>
              <w:top w:w="30" w:type="dxa"/>
              <w:left w:w="45" w:type="dxa"/>
              <w:bottom w:w="30" w:type="dxa"/>
              <w:right w:w="45" w:type="dxa"/>
            </w:tcMar>
          </w:tcPr>
          <w:p w14:paraId="75AD9197"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Not reported</w:t>
            </w:r>
          </w:p>
        </w:tc>
        <w:tc>
          <w:tcPr>
            <w:tcW w:w="2819" w:type="dxa"/>
            <w:shd w:val="clear" w:color="auto" w:fill="auto"/>
            <w:tcMar>
              <w:top w:w="30" w:type="dxa"/>
              <w:left w:w="45" w:type="dxa"/>
              <w:bottom w:w="30" w:type="dxa"/>
              <w:right w:w="45" w:type="dxa"/>
            </w:tcMar>
          </w:tcPr>
          <w:p w14:paraId="1EB73868"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Not specified</w:t>
            </w:r>
          </w:p>
        </w:tc>
      </w:tr>
      <w:tr w:rsidR="00073698" w:rsidRPr="00C72DF7" w14:paraId="7F50B96F" w14:textId="77777777" w:rsidTr="004D1BAC">
        <w:trPr>
          <w:trHeight w:val="255"/>
        </w:trPr>
        <w:tc>
          <w:tcPr>
            <w:tcW w:w="1075" w:type="dxa"/>
            <w:shd w:val="clear" w:color="auto" w:fill="auto"/>
            <w:tcMar>
              <w:top w:w="30" w:type="dxa"/>
              <w:left w:w="45" w:type="dxa"/>
              <w:bottom w:w="30" w:type="dxa"/>
              <w:right w:w="45" w:type="dxa"/>
            </w:tcMar>
          </w:tcPr>
          <w:p w14:paraId="531B1EFD" w14:textId="4E8D72A0"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 xml:space="preserve">Tian </w:t>
            </w:r>
            <w:r w:rsidRPr="00073698">
              <w:rPr>
                <w:rFonts w:ascii="Book Antiqua" w:eastAsia="Calibri" w:hAnsi="Book Antiqua" w:cs="Calibri"/>
                <w:i/>
                <w:iCs/>
              </w:rPr>
              <w:t>et al</w:t>
            </w:r>
            <w:r w:rsidRPr="00073698">
              <w:rPr>
                <w:rFonts w:ascii="Book Antiqua" w:eastAsia="Calibri" w:hAnsi="Book Antiqua" w:cs="Calibri"/>
                <w:vertAlign w:val="superscript"/>
              </w:rPr>
              <w:t>[1</w:t>
            </w:r>
            <w:r>
              <w:rPr>
                <w:rFonts w:ascii="Book Antiqua" w:eastAsia="Calibri" w:hAnsi="Book Antiqua" w:cs="Calibri"/>
                <w:vertAlign w:val="superscript"/>
              </w:rPr>
              <w:t>4</w:t>
            </w:r>
            <w:r w:rsidRPr="00073698">
              <w:rPr>
                <w:rFonts w:ascii="Book Antiqua" w:eastAsia="Calibri" w:hAnsi="Book Antiqua" w:cs="Calibri"/>
                <w:vertAlign w:val="superscript"/>
              </w:rPr>
              <w:t>]</w:t>
            </w:r>
          </w:p>
        </w:tc>
        <w:tc>
          <w:tcPr>
            <w:tcW w:w="1052" w:type="dxa"/>
            <w:shd w:val="clear" w:color="auto" w:fill="auto"/>
            <w:tcMar>
              <w:top w:w="30" w:type="dxa"/>
              <w:left w:w="45" w:type="dxa"/>
              <w:bottom w:w="30" w:type="dxa"/>
              <w:right w:w="45" w:type="dxa"/>
            </w:tcMar>
          </w:tcPr>
          <w:p w14:paraId="5280C339"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April 2020</w:t>
            </w:r>
          </w:p>
        </w:tc>
        <w:tc>
          <w:tcPr>
            <w:tcW w:w="851" w:type="dxa"/>
            <w:shd w:val="clear" w:color="auto" w:fill="auto"/>
            <w:tcMar>
              <w:top w:w="30" w:type="dxa"/>
              <w:left w:w="45" w:type="dxa"/>
              <w:bottom w:w="30" w:type="dxa"/>
              <w:right w:w="45" w:type="dxa"/>
            </w:tcMar>
          </w:tcPr>
          <w:p w14:paraId="30CE5074"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China</w:t>
            </w:r>
          </w:p>
        </w:tc>
        <w:tc>
          <w:tcPr>
            <w:tcW w:w="921" w:type="dxa"/>
            <w:shd w:val="clear" w:color="auto" w:fill="auto"/>
            <w:tcMar>
              <w:top w:w="30" w:type="dxa"/>
              <w:left w:w="45" w:type="dxa"/>
              <w:bottom w:w="30" w:type="dxa"/>
              <w:right w:w="45" w:type="dxa"/>
            </w:tcMar>
          </w:tcPr>
          <w:p w14:paraId="75F13772"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Autopsy</w:t>
            </w:r>
          </w:p>
        </w:tc>
        <w:tc>
          <w:tcPr>
            <w:tcW w:w="638" w:type="dxa"/>
            <w:shd w:val="clear" w:color="auto" w:fill="auto"/>
            <w:tcMar>
              <w:top w:w="30" w:type="dxa"/>
              <w:left w:w="45" w:type="dxa"/>
              <w:bottom w:w="30" w:type="dxa"/>
              <w:right w:w="45" w:type="dxa"/>
            </w:tcMar>
          </w:tcPr>
          <w:p w14:paraId="41E9114A"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4</w:t>
            </w:r>
          </w:p>
        </w:tc>
        <w:tc>
          <w:tcPr>
            <w:tcW w:w="639" w:type="dxa"/>
            <w:shd w:val="clear" w:color="auto" w:fill="auto"/>
            <w:tcMar>
              <w:top w:w="30" w:type="dxa"/>
              <w:left w:w="45" w:type="dxa"/>
              <w:bottom w:w="30" w:type="dxa"/>
              <w:right w:w="45" w:type="dxa"/>
            </w:tcMar>
          </w:tcPr>
          <w:p w14:paraId="25492DE9"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78, 74, 81, 59</w:t>
            </w:r>
          </w:p>
        </w:tc>
        <w:tc>
          <w:tcPr>
            <w:tcW w:w="920" w:type="dxa"/>
            <w:shd w:val="clear" w:color="auto" w:fill="auto"/>
            <w:tcMar>
              <w:top w:w="30" w:type="dxa"/>
              <w:left w:w="45" w:type="dxa"/>
              <w:bottom w:w="30" w:type="dxa"/>
              <w:right w:w="45" w:type="dxa"/>
            </w:tcMar>
          </w:tcPr>
          <w:p w14:paraId="0372F7F3" w14:textId="5C87C602"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 xml:space="preserve">3 </w:t>
            </w:r>
            <w:r w:rsidR="006C5DCF">
              <w:rPr>
                <w:rFonts w:ascii="Book Antiqua" w:eastAsia="Calibri" w:hAnsi="Book Antiqua" w:cs="Calibri"/>
              </w:rPr>
              <w:t>M</w:t>
            </w:r>
            <w:r w:rsidRPr="00C72DF7">
              <w:rPr>
                <w:rFonts w:ascii="Book Antiqua" w:eastAsia="Calibri" w:hAnsi="Book Antiqua" w:cs="Calibri"/>
              </w:rPr>
              <w:t>ales and 1 female</w:t>
            </w:r>
          </w:p>
        </w:tc>
        <w:tc>
          <w:tcPr>
            <w:tcW w:w="1134" w:type="dxa"/>
            <w:shd w:val="clear" w:color="auto" w:fill="auto"/>
            <w:tcMar>
              <w:top w:w="30" w:type="dxa"/>
              <w:left w:w="45" w:type="dxa"/>
              <w:bottom w:w="30" w:type="dxa"/>
              <w:right w:w="45" w:type="dxa"/>
            </w:tcMar>
          </w:tcPr>
          <w:p w14:paraId="6C9ED082"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Asian</w:t>
            </w:r>
          </w:p>
        </w:tc>
        <w:tc>
          <w:tcPr>
            <w:tcW w:w="2819" w:type="dxa"/>
            <w:shd w:val="clear" w:color="auto" w:fill="auto"/>
            <w:tcMar>
              <w:top w:w="30" w:type="dxa"/>
              <w:left w:w="45" w:type="dxa"/>
              <w:bottom w:w="30" w:type="dxa"/>
              <w:right w:w="45" w:type="dxa"/>
            </w:tcMar>
          </w:tcPr>
          <w:p w14:paraId="23B20403"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Chronic lymphocytic leukemia; Cirrhosis, DM2, HTA</w:t>
            </w:r>
          </w:p>
        </w:tc>
      </w:tr>
      <w:tr w:rsidR="00073698" w:rsidRPr="00C72DF7" w14:paraId="4208DDBF" w14:textId="77777777" w:rsidTr="004D1BAC">
        <w:trPr>
          <w:trHeight w:val="255"/>
        </w:trPr>
        <w:tc>
          <w:tcPr>
            <w:tcW w:w="1075" w:type="dxa"/>
            <w:shd w:val="clear" w:color="auto" w:fill="auto"/>
            <w:tcMar>
              <w:top w:w="30" w:type="dxa"/>
              <w:left w:w="45" w:type="dxa"/>
              <w:bottom w:w="30" w:type="dxa"/>
              <w:right w:w="45" w:type="dxa"/>
            </w:tcMar>
          </w:tcPr>
          <w:p w14:paraId="56E6C910" w14:textId="5C1E8422"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 xml:space="preserve">Varga </w:t>
            </w:r>
            <w:r w:rsidRPr="00073698">
              <w:rPr>
                <w:rFonts w:ascii="Book Antiqua" w:eastAsia="Calibri" w:hAnsi="Book Antiqua" w:cs="Calibri"/>
                <w:i/>
                <w:iCs/>
              </w:rPr>
              <w:t>et al</w:t>
            </w:r>
            <w:r w:rsidRPr="00073698">
              <w:rPr>
                <w:rFonts w:ascii="Book Antiqua" w:eastAsia="Calibri" w:hAnsi="Book Antiqua" w:cs="Calibri"/>
                <w:vertAlign w:val="superscript"/>
              </w:rPr>
              <w:t>[1</w:t>
            </w:r>
            <w:r>
              <w:rPr>
                <w:rFonts w:ascii="Book Antiqua" w:eastAsia="Calibri" w:hAnsi="Book Antiqua" w:cs="Calibri"/>
                <w:vertAlign w:val="superscript"/>
              </w:rPr>
              <w:t>3</w:t>
            </w:r>
            <w:r w:rsidRPr="00073698">
              <w:rPr>
                <w:rFonts w:ascii="Book Antiqua" w:eastAsia="Calibri" w:hAnsi="Book Antiqua" w:cs="Calibri"/>
                <w:vertAlign w:val="superscript"/>
              </w:rPr>
              <w:t>]</w:t>
            </w:r>
          </w:p>
        </w:tc>
        <w:tc>
          <w:tcPr>
            <w:tcW w:w="1052" w:type="dxa"/>
            <w:shd w:val="clear" w:color="auto" w:fill="auto"/>
            <w:tcMar>
              <w:top w:w="30" w:type="dxa"/>
              <w:left w:w="45" w:type="dxa"/>
              <w:bottom w:w="30" w:type="dxa"/>
              <w:right w:w="45" w:type="dxa"/>
            </w:tcMar>
          </w:tcPr>
          <w:p w14:paraId="6EBC60D2"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April 2020</w:t>
            </w:r>
          </w:p>
        </w:tc>
        <w:tc>
          <w:tcPr>
            <w:tcW w:w="851" w:type="dxa"/>
            <w:shd w:val="clear" w:color="auto" w:fill="auto"/>
            <w:tcMar>
              <w:top w:w="30" w:type="dxa"/>
              <w:left w:w="45" w:type="dxa"/>
              <w:bottom w:w="30" w:type="dxa"/>
              <w:right w:w="45" w:type="dxa"/>
            </w:tcMar>
          </w:tcPr>
          <w:p w14:paraId="4BDB5BB7"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Switzerland</w:t>
            </w:r>
          </w:p>
        </w:tc>
        <w:tc>
          <w:tcPr>
            <w:tcW w:w="921" w:type="dxa"/>
            <w:shd w:val="clear" w:color="auto" w:fill="auto"/>
            <w:tcMar>
              <w:top w:w="30" w:type="dxa"/>
              <w:left w:w="45" w:type="dxa"/>
              <w:bottom w:w="30" w:type="dxa"/>
              <w:right w:w="45" w:type="dxa"/>
            </w:tcMar>
          </w:tcPr>
          <w:p w14:paraId="395A4609"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Autopsy</w:t>
            </w:r>
          </w:p>
        </w:tc>
        <w:tc>
          <w:tcPr>
            <w:tcW w:w="638" w:type="dxa"/>
            <w:shd w:val="clear" w:color="auto" w:fill="auto"/>
            <w:tcMar>
              <w:top w:w="30" w:type="dxa"/>
              <w:left w:w="45" w:type="dxa"/>
              <w:bottom w:w="30" w:type="dxa"/>
              <w:right w:w="45" w:type="dxa"/>
            </w:tcMar>
          </w:tcPr>
          <w:p w14:paraId="573D96D8"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1</w:t>
            </w:r>
          </w:p>
        </w:tc>
        <w:tc>
          <w:tcPr>
            <w:tcW w:w="639" w:type="dxa"/>
            <w:shd w:val="clear" w:color="auto" w:fill="auto"/>
            <w:tcMar>
              <w:top w:w="30" w:type="dxa"/>
              <w:left w:w="45" w:type="dxa"/>
              <w:bottom w:w="30" w:type="dxa"/>
              <w:right w:w="45" w:type="dxa"/>
            </w:tcMar>
          </w:tcPr>
          <w:p w14:paraId="70D0B28F"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58</w:t>
            </w:r>
          </w:p>
        </w:tc>
        <w:tc>
          <w:tcPr>
            <w:tcW w:w="920" w:type="dxa"/>
            <w:shd w:val="clear" w:color="auto" w:fill="auto"/>
            <w:tcMar>
              <w:top w:w="30" w:type="dxa"/>
              <w:left w:w="45" w:type="dxa"/>
              <w:bottom w:w="30" w:type="dxa"/>
              <w:right w:w="45" w:type="dxa"/>
            </w:tcMar>
          </w:tcPr>
          <w:p w14:paraId="115F0CD7"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Female</w:t>
            </w:r>
          </w:p>
        </w:tc>
        <w:tc>
          <w:tcPr>
            <w:tcW w:w="1134" w:type="dxa"/>
            <w:shd w:val="clear" w:color="auto" w:fill="auto"/>
            <w:tcMar>
              <w:top w:w="30" w:type="dxa"/>
              <w:left w:w="45" w:type="dxa"/>
              <w:bottom w:w="30" w:type="dxa"/>
              <w:right w:w="45" w:type="dxa"/>
            </w:tcMar>
          </w:tcPr>
          <w:p w14:paraId="067C555F"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Not reported</w:t>
            </w:r>
          </w:p>
        </w:tc>
        <w:tc>
          <w:tcPr>
            <w:tcW w:w="2819" w:type="dxa"/>
            <w:shd w:val="clear" w:color="auto" w:fill="auto"/>
            <w:tcMar>
              <w:top w:w="30" w:type="dxa"/>
              <w:left w:w="45" w:type="dxa"/>
              <w:bottom w:w="30" w:type="dxa"/>
              <w:right w:w="45" w:type="dxa"/>
            </w:tcMar>
          </w:tcPr>
          <w:p w14:paraId="6AE3D901"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Diabetes, hypertension, and obesity</w:t>
            </w:r>
          </w:p>
        </w:tc>
      </w:tr>
      <w:tr w:rsidR="00073698" w:rsidRPr="00C72DF7" w14:paraId="303C886B" w14:textId="77777777" w:rsidTr="004D1BAC">
        <w:trPr>
          <w:trHeight w:val="255"/>
        </w:trPr>
        <w:tc>
          <w:tcPr>
            <w:tcW w:w="1075" w:type="dxa"/>
            <w:shd w:val="clear" w:color="auto" w:fill="auto"/>
            <w:tcMar>
              <w:top w:w="30" w:type="dxa"/>
              <w:left w:w="45" w:type="dxa"/>
              <w:bottom w:w="30" w:type="dxa"/>
              <w:right w:w="45" w:type="dxa"/>
            </w:tcMar>
          </w:tcPr>
          <w:p w14:paraId="692FAEE4" w14:textId="6B91E3FD"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 xml:space="preserve">Wang </w:t>
            </w:r>
            <w:r w:rsidRPr="00073698">
              <w:rPr>
                <w:rFonts w:ascii="Book Antiqua" w:eastAsia="Calibri" w:hAnsi="Book Antiqua" w:cs="Calibri"/>
                <w:i/>
                <w:iCs/>
              </w:rPr>
              <w:t>et al</w:t>
            </w:r>
            <w:r w:rsidRPr="00073698">
              <w:rPr>
                <w:rFonts w:ascii="Book Antiqua" w:eastAsia="Calibri" w:hAnsi="Book Antiqua" w:cs="Calibri"/>
                <w:vertAlign w:val="superscript"/>
              </w:rPr>
              <w:t>[</w:t>
            </w:r>
            <w:r>
              <w:rPr>
                <w:rFonts w:ascii="Book Antiqua" w:eastAsia="Calibri" w:hAnsi="Book Antiqua" w:cs="Calibri"/>
                <w:vertAlign w:val="superscript"/>
              </w:rPr>
              <w:t>26</w:t>
            </w:r>
            <w:r w:rsidRPr="00073698">
              <w:rPr>
                <w:rFonts w:ascii="Book Antiqua" w:eastAsia="Calibri" w:hAnsi="Book Antiqua" w:cs="Calibri"/>
                <w:vertAlign w:val="superscript"/>
              </w:rPr>
              <w:t>]</w:t>
            </w:r>
          </w:p>
        </w:tc>
        <w:tc>
          <w:tcPr>
            <w:tcW w:w="1052" w:type="dxa"/>
            <w:shd w:val="clear" w:color="auto" w:fill="auto"/>
            <w:tcMar>
              <w:top w:w="30" w:type="dxa"/>
              <w:left w:w="45" w:type="dxa"/>
              <w:bottom w:w="30" w:type="dxa"/>
              <w:right w:w="45" w:type="dxa"/>
            </w:tcMar>
          </w:tcPr>
          <w:p w14:paraId="65555E1B"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May 2020</w:t>
            </w:r>
          </w:p>
        </w:tc>
        <w:tc>
          <w:tcPr>
            <w:tcW w:w="851" w:type="dxa"/>
            <w:shd w:val="clear" w:color="auto" w:fill="auto"/>
            <w:tcMar>
              <w:top w:w="30" w:type="dxa"/>
              <w:left w:w="45" w:type="dxa"/>
              <w:bottom w:w="30" w:type="dxa"/>
              <w:right w:w="45" w:type="dxa"/>
            </w:tcMar>
          </w:tcPr>
          <w:p w14:paraId="170826A0"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China</w:t>
            </w:r>
          </w:p>
        </w:tc>
        <w:tc>
          <w:tcPr>
            <w:tcW w:w="921" w:type="dxa"/>
            <w:shd w:val="clear" w:color="auto" w:fill="auto"/>
            <w:tcMar>
              <w:top w:w="30" w:type="dxa"/>
              <w:left w:w="45" w:type="dxa"/>
              <w:bottom w:w="30" w:type="dxa"/>
              <w:right w:w="45" w:type="dxa"/>
            </w:tcMar>
          </w:tcPr>
          <w:p w14:paraId="2EBE826C"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Autopsy</w:t>
            </w:r>
          </w:p>
        </w:tc>
        <w:tc>
          <w:tcPr>
            <w:tcW w:w="638" w:type="dxa"/>
            <w:shd w:val="clear" w:color="auto" w:fill="auto"/>
            <w:tcMar>
              <w:top w:w="30" w:type="dxa"/>
              <w:left w:w="45" w:type="dxa"/>
              <w:bottom w:w="30" w:type="dxa"/>
              <w:right w:w="45" w:type="dxa"/>
            </w:tcMar>
          </w:tcPr>
          <w:p w14:paraId="5D9E28D9"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2</w:t>
            </w:r>
          </w:p>
        </w:tc>
        <w:tc>
          <w:tcPr>
            <w:tcW w:w="639" w:type="dxa"/>
            <w:shd w:val="clear" w:color="auto" w:fill="auto"/>
            <w:tcMar>
              <w:top w:w="30" w:type="dxa"/>
              <w:left w:w="45" w:type="dxa"/>
              <w:bottom w:w="30" w:type="dxa"/>
              <w:right w:w="45" w:type="dxa"/>
            </w:tcMar>
          </w:tcPr>
          <w:p w14:paraId="1791EED7"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50 and 79</w:t>
            </w:r>
          </w:p>
        </w:tc>
        <w:tc>
          <w:tcPr>
            <w:tcW w:w="920" w:type="dxa"/>
            <w:shd w:val="clear" w:color="auto" w:fill="auto"/>
            <w:tcMar>
              <w:top w:w="30" w:type="dxa"/>
              <w:left w:w="45" w:type="dxa"/>
              <w:bottom w:w="30" w:type="dxa"/>
              <w:right w:w="45" w:type="dxa"/>
            </w:tcMar>
          </w:tcPr>
          <w:p w14:paraId="5484780F" w14:textId="04917F99"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 xml:space="preserve">1 </w:t>
            </w:r>
            <w:r w:rsidR="006C5DCF">
              <w:rPr>
                <w:rFonts w:ascii="Book Antiqua" w:eastAsia="Calibri" w:hAnsi="Book Antiqua" w:cs="Calibri"/>
              </w:rPr>
              <w:t>M</w:t>
            </w:r>
            <w:r w:rsidRPr="00C72DF7">
              <w:rPr>
                <w:rFonts w:ascii="Book Antiqua" w:eastAsia="Calibri" w:hAnsi="Book Antiqua" w:cs="Calibri"/>
              </w:rPr>
              <w:t>ale and 1 female</w:t>
            </w:r>
          </w:p>
        </w:tc>
        <w:tc>
          <w:tcPr>
            <w:tcW w:w="1134" w:type="dxa"/>
            <w:shd w:val="clear" w:color="auto" w:fill="auto"/>
            <w:tcMar>
              <w:top w:w="30" w:type="dxa"/>
              <w:left w:w="45" w:type="dxa"/>
              <w:bottom w:w="30" w:type="dxa"/>
              <w:right w:w="45" w:type="dxa"/>
            </w:tcMar>
          </w:tcPr>
          <w:p w14:paraId="78FEBC00"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2 Asian</w:t>
            </w:r>
          </w:p>
        </w:tc>
        <w:tc>
          <w:tcPr>
            <w:tcW w:w="2819" w:type="dxa"/>
            <w:shd w:val="clear" w:color="auto" w:fill="auto"/>
            <w:tcMar>
              <w:top w:w="30" w:type="dxa"/>
              <w:left w:w="45" w:type="dxa"/>
              <w:bottom w:w="30" w:type="dxa"/>
              <w:right w:w="45" w:type="dxa"/>
            </w:tcMar>
          </w:tcPr>
          <w:p w14:paraId="5F7F430F"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Not reported</w:t>
            </w:r>
          </w:p>
        </w:tc>
      </w:tr>
      <w:tr w:rsidR="00073698" w:rsidRPr="00C72DF7" w14:paraId="64898B2A" w14:textId="77777777" w:rsidTr="004D1BAC">
        <w:trPr>
          <w:trHeight w:val="255"/>
        </w:trPr>
        <w:tc>
          <w:tcPr>
            <w:tcW w:w="1075" w:type="dxa"/>
            <w:shd w:val="clear" w:color="auto" w:fill="auto"/>
            <w:tcMar>
              <w:top w:w="30" w:type="dxa"/>
              <w:left w:w="45" w:type="dxa"/>
              <w:bottom w:w="30" w:type="dxa"/>
              <w:right w:w="45" w:type="dxa"/>
            </w:tcMar>
          </w:tcPr>
          <w:p w14:paraId="1D4A2EEA" w14:textId="28B41108"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 xml:space="preserve">Xu </w:t>
            </w:r>
            <w:r w:rsidRPr="00073698">
              <w:rPr>
                <w:rFonts w:ascii="Book Antiqua" w:eastAsia="Calibri" w:hAnsi="Book Antiqua" w:cs="Calibri"/>
                <w:i/>
                <w:iCs/>
              </w:rPr>
              <w:t>et al</w:t>
            </w:r>
            <w:r w:rsidRPr="00073698">
              <w:rPr>
                <w:rFonts w:ascii="Book Antiqua" w:eastAsia="Calibri" w:hAnsi="Book Antiqua" w:cs="Calibri"/>
                <w:vertAlign w:val="superscript"/>
              </w:rPr>
              <w:t>[1</w:t>
            </w:r>
            <w:r>
              <w:rPr>
                <w:rFonts w:ascii="Book Antiqua" w:eastAsia="Calibri" w:hAnsi="Book Antiqua" w:cs="Calibri"/>
                <w:vertAlign w:val="superscript"/>
              </w:rPr>
              <w:t>2</w:t>
            </w:r>
            <w:r w:rsidRPr="00073698">
              <w:rPr>
                <w:rFonts w:ascii="Book Antiqua" w:eastAsia="Calibri" w:hAnsi="Book Antiqua" w:cs="Calibri"/>
                <w:vertAlign w:val="superscript"/>
              </w:rPr>
              <w:t>]</w:t>
            </w:r>
          </w:p>
        </w:tc>
        <w:tc>
          <w:tcPr>
            <w:tcW w:w="1052" w:type="dxa"/>
            <w:shd w:val="clear" w:color="auto" w:fill="auto"/>
            <w:tcMar>
              <w:top w:w="30" w:type="dxa"/>
              <w:left w:w="45" w:type="dxa"/>
              <w:bottom w:w="30" w:type="dxa"/>
              <w:right w:w="45" w:type="dxa"/>
            </w:tcMar>
          </w:tcPr>
          <w:p w14:paraId="41F689C5"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February 2020</w:t>
            </w:r>
          </w:p>
        </w:tc>
        <w:tc>
          <w:tcPr>
            <w:tcW w:w="851" w:type="dxa"/>
            <w:shd w:val="clear" w:color="auto" w:fill="auto"/>
            <w:tcMar>
              <w:top w:w="30" w:type="dxa"/>
              <w:left w:w="45" w:type="dxa"/>
              <w:bottom w:w="30" w:type="dxa"/>
              <w:right w:w="45" w:type="dxa"/>
            </w:tcMar>
          </w:tcPr>
          <w:p w14:paraId="2A101E57"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China</w:t>
            </w:r>
          </w:p>
        </w:tc>
        <w:tc>
          <w:tcPr>
            <w:tcW w:w="921" w:type="dxa"/>
            <w:shd w:val="clear" w:color="auto" w:fill="auto"/>
            <w:tcMar>
              <w:top w:w="30" w:type="dxa"/>
              <w:left w:w="45" w:type="dxa"/>
              <w:bottom w:w="30" w:type="dxa"/>
              <w:right w:w="45" w:type="dxa"/>
            </w:tcMar>
          </w:tcPr>
          <w:p w14:paraId="4768A5EE"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Autopsy</w:t>
            </w:r>
          </w:p>
        </w:tc>
        <w:tc>
          <w:tcPr>
            <w:tcW w:w="638" w:type="dxa"/>
            <w:shd w:val="clear" w:color="auto" w:fill="auto"/>
            <w:tcMar>
              <w:top w:w="30" w:type="dxa"/>
              <w:left w:w="45" w:type="dxa"/>
              <w:bottom w:w="30" w:type="dxa"/>
              <w:right w:w="45" w:type="dxa"/>
            </w:tcMar>
          </w:tcPr>
          <w:p w14:paraId="14B26964"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1</w:t>
            </w:r>
          </w:p>
        </w:tc>
        <w:tc>
          <w:tcPr>
            <w:tcW w:w="639" w:type="dxa"/>
            <w:shd w:val="clear" w:color="auto" w:fill="auto"/>
            <w:tcMar>
              <w:top w:w="30" w:type="dxa"/>
              <w:left w:w="45" w:type="dxa"/>
              <w:bottom w:w="30" w:type="dxa"/>
              <w:right w:w="45" w:type="dxa"/>
            </w:tcMar>
          </w:tcPr>
          <w:p w14:paraId="1B81D136"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50</w:t>
            </w:r>
          </w:p>
        </w:tc>
        <w:tc>
          <w:tcPr>
            <w:tcW w:w="920" w:type="dxa"/>
            <w:shd w:val="clear" w:color="auto" w:fill="auto"/>
            <w:tcMar>
              <w:top w:w="30" w:type="dxa"/>
              <w:left w:w="45" w:type="dxa"/>
              <w:bottom w:w="30" w:type="dxa"/>
              <w:right w:w="45" w:type="dxa"/>
            </w:tcMar>
          </w:tcPr>
          <w:p w14:paraId="5E43BAB7"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Male</w:t>
            </w:r>
          </w:p>
        </w:tc>
        <w:tc>
          <w:tcPr>
            <w:tcW w:w="1134" w:type="dxa"/>
            <w:shd w:val="clear" w:color="auto" w:fill="auto"/>
            <w:tcMar>
              <w:top w:w="30" w:type="dxa"/>
              <w:left w:w="45" w:type="dxa"/>
              <w:bottom w:w="30" w:type="dxa"/>
              <w:right w:w="45" w:type="dxa"/>
            </w:tcMar>
          </w:tcPr>
          <w:p w14:paraId="675EDDDD"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Asian</w:t>
            </w:r>
          </w:p>
        </w:tc>
        <w:tc>
          <w:tcPr>
            <w:tcW w:w="2819" w:type="dxa"/>
            <w:shd w:val="clear" w:color="auto" w:fill="auto"/>
            <w:tcMar>
              <w:top w:w="30" w:type="dxa"/>
              <w:left w:w="45" w:type="dxa"/>
              <w:bottom w:w="30" w:type="dxa"/>
              <w:right w:w="45" w:type="dxa"/>
            </w:tcMar>
          </w:tcPr>
          <w:p w14:paraId="3D7249E4"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Not reported</w:t>
            </w:r>
          </w:p>
        </w:tc>
      </w:tr>
      <w:tr w:rsidR="00073698" w:rsidRPr="00C72DF7" w14:paraId="79AB4A00" w14:textId="77777777" w:rsidTr="004D1BAC">
        <w:trPr>
          <w:trHeight w:val="255"/>
        </w:trPr>
        <w:tc>
          <w:tcPr>
            <w:tcW w:w="1075" w:type="dxa"/>
            <w:tcBorders>
              <w:bottom w:val="single" w:sz="4" w:space="0" w:color="auto"/>
            </w:tcBorders>
            <w:shd w:val="clear" w:color="auto" w:fill="auto"/>
            <w:tcMar>
              <w:top w:w="30" w:type="dxa"/>
              <w:left w:w="45" w:type="dxa"/>
              <w:bottom w:w="30" w:type="dxa"/>
              <w:right w:w="45" w:type="dxa"/>
            </w:tcMar>
          </w:tcPr>
          <w:p w14:paraId="0BACB436" w14:textId="38D5DC4D"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 xml:space="preserve">Yao </w:t>
            </w:r>
            <w:r w:rsidRPr="00073698">
              <w:rPr>
                <w:rFonts w:ascii="Book Antiqua" w:eastAsia="Calibri" w:hAnsi="Book Antiqua" w:cs="Calibri"/>
                <w:i/>
                <w:iCs/>
              </w:rPr>
              <w:t>et al</w:t>
            </w:r>
            <w:r w:rsidRPr="00073698">
              <w:rPr>
                <w:rFonts w:ascii="Book Antiqua" w:eastAsia="Calibri" w:hAnsi="Book Antiqua" w:cs="Calibri"/>
                <w:vertAlign w:val="superscript"/>
              </w:rPr>
              <w:t>[</w:t>
            </w:r>
            <w:r w:rsidR="00673FEC">
              <w:rPr>
                <w:rFonts w:ascii="Book Antiqua" w:eastAsia="Calibri" w:hAnsi="Book Antiqua" w:cs="Calibri"/>
                <w:vertAlign w:val="superscript"/>
              </w:rPr>
              <w:t>30</w:t>
            </w:r>
            <w:r w:rsidRPr="00073698">
              <w:rPr>
                <w:rFonts w:ascii="Book Antiqua" w:eastAsia="Calibri" w:hAnsi="Book Antiqua" w:cs="Calibri"/>
                <w:vertAlign w:val="superscript"/>
              </w:rPr>
              <w:t>]</w:t>
            </w:r>
          </w:p>
        </w:tc>
        <w:tc>
          <w:tcPr>
            <w:tcW w:w="1052" w:type="dxa"/>
            <w:tcBorders>
              <w:bottom w:val="single" w:sz="4" w:space="0" w:color="auto"/>
            </w:tcBorders>
            <w:shd w:val="clear" w:color="auto" w:fill="auto"/>
            <w:tcMar>
              <w:top w:w="30" w:type="dxa"/>
              <w:left w:w="45" w:type="dxa"/>
              <w:bottom w:w="30" w:type="dxa"/>
              <w:right w:w="45" w:type="dxa"/>
            </w:tcMar>
          </w:tcPr>
          <w:p w14:paraId="7B8A28F2"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May 2020</w:t>
            </w:r>
          </w:p>
        </w:tc>
        <w:tc>
          <w:tcPr>
            <w:tcW w:w="851" w:type="dxa"/>
            <w:tcBorders>
              <w:bottom w:val="single" w:sz="4" w:space="0" w:color="auto"/>
            </w:tcBorders>
            <w:shd w:val="clear" w:color="auto" w:fill="auto"/>
            <w:tcMar>
              <w:top w:w="30" w:type="dxa"/>
              <w:left w:w="45" w:type="dxa"/>
              <w:bottom w:w="30" w:type="dxa"/>
              <w:right w:w="45" w:type="dxa"/>
            </w:tcMar>
          </w:tcPr>
          <w:p w14:paraId="7E51C7FE"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China</w:t>
            </w:r>
          </w:p>
        </w:tc>
        <w:tc>
          <w:tcPr>
            <w:tcW w:w="921" w:type="dxa"/>
            <w:tcBorders>
              <w:bottom w:val="single" w:sz="4" w:space="0" w:color="auto"/>
            </w:tcBorders>
            <w:shd w:val="clear" w:color="auto" w:fill="auto"/>
            <w:tcMar>
              <w:top w:w="30" w:type="dxa"/>
              <w:left w:w="45" w:type="dxa"/>
              <w:bottom w:w="30" w:type="dxa"/>
              <w:right w:w="45" w:type="dxa"/>
            </w:tcMar>
          </w:tcPr>
          <w:p w14:paraId="227253AF"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Autopsy</w:t>
            </w:r>
          </w:p>
        </w:tc>
        <w:tc>
          <w:tcPr>
            <w:tcW w:w="638" w:type="dxa"/>
            <w:tcBorders>
              <w:bottom w:val="single" w:sz="4" w:space="0" w:color="auto"/>
            </w:tcBorders>
            <w:shd w:val="clear" w:color="auto" w:fill="auto"/>
            <w:tcMar>
              <w:top w:w="30" w:type="dxa"/>
              <w:left w:w="45" w:type="dxa"/>
              <w:bottom w:w="30" w:type="dxa"/>
              <w:right w:w="45" w:type="dxa"/>
            </w:tcMar>
          </w:tcPr>
          <w:p w14:paraId="17013685"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3</w:t>
            </w:r>
          </w:p>
        </w:tc>
        <w:tc>
          <w:tcPr>
            <w:tcW w:w="639" w:type="dxa"/>
            <w:tcBorders>
              <w:bottom w:val="single" w:sz="4" w:space="0" w:color="auto"/>
            </w:tcBorders>
            <w:shd w:val="clear" w:color="auto" w:fill="auto"/>
            <w:tcMar>
              <w:top w:w="30" w:type="dxa"/>
              <w:left w:w="45" w:type="dxa"/>
              <w:bottom w:w="30" w:type="dxa"/>
              <w:right w:w="45" w:type="dxa"/>
            </w:tcMar>
          </w:tcPr>
          <w:p w14:paraId="24954CE8"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63, 69, and 79</w:t>
            </w:r>
          </w:p>
        </w:tc>
        <w:tc>
          <w:tcPr>
            <w:tcW w:w="920" w:type="dxa"/>
            <w:tcBorders>
              <w:bottom w:val="single" w:sz="4" w:space="0" w:color="auto"/>
            </w:tcBorders>
            <w:shd w:val="clear" w:color="auto" w:fill="auto"/>
            <w:tcMar>
              <w:top w:w="30" w:type="dxa"/>
              <w:left w:w="45" w:type="dxa"/>
              <w:bottom w:w="30" w:type="dxa"/>
              <w:right w:w="45" w:type="dxa"/>
            </w:tcMar>
          </w:tcPr>
          <w:p w14:paraId="0EB429CA" w14:textId="7FF806DF"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 xml:space="preserve">2 </w:t>
            </w:r>
            <w:r w:rsidR="006C5DCF">
              <w:rPr>
                <w:rFonts w:ascii="Book Antiqua" w:eastAsia="Calibri" w:hAnsi="Book Antiqua" w:cs="Calibri"/>
              </w:rPr>
              <w:t>M</w:t>
            </w:r>
            <w:r w:rsidRPr="00C72DF7">
              <w:rPr>
                <w:rFonts w:ascii="Book Antiqua" w:eastAsia="Calibri" w:hAnsi="Book Antiqua" w:cs="Calibri"/>
              </w:rPr>
              <w:t>ales and 1 female</w:t>
            </w:r>
          </w:p>
        </w:tc>
        <w:tc>
          <w:tcPr>
            <w:tcW w:w="1134" w:type="dxa"/>
            <w:tcBorders>
              <w:bottom w:val="single" w:sz="4" w:space="0" w:color="auto"/>
            </w:tcBorders>
            <w:shd w:val="clear" w:color="auto" w:fill="auto"/>
            <w:tcMar>
              <w:top w:w="30" w:type="dxa"/>
              <w:left w:w="45" w:type="dxa"/>
              <w:bottom w:w="30" w:type="dxa"/>
              <w:right w:w="45" w:type="dxa"/>
            </w:tcMar>
          </w:tcPr>
          <w:p w14:paraId="30B3E521" w14:textId="77777777" w:rsidR="00073698" w:rsidRPr="00C72DF7" w:rsidRDefault="00073698" w:rsidP="006C5DCF">
            <w:pPr>
              <w:spacing w:line="360" w:lineRule="auto"/>
              <w:jc w:val="both"/>
              <w:rPr>
                <w:rFonts w:ascii="Book Antiqua" w:eastAsia="Calibri" w:hAnsi="Book Antiqua" w:cs="Calibri"/>
              </w:rPr>
            </w:pPr>
            <w:r w:rsidRPr="00C72DF7">
              <w:rPr>
                <w:rFonts w:ascii="Book Antiqua" w:eastAsia="Calibri" w:hAnsi="Book Antiqua" w:cs="Calibri"/>
              </w:rPr>
              <w:t>3 Asian</w:t>
            </w:r>
          </w:p>
        </w:tc>
        <w:tc>
          <w:tcPr>
            <w:tcW w:w="2819" w:type="dxa"/>
            <w:tcBorders>
              <w:bottom w:val="single" w:sz="4" w:space="0" w:color="auto"/>
            </w:tcBorders>
            <w:shd w:val="clear" w:color="auto" w:fill="auto"/>
            <w:tcMar>
              <w:top w:w="30" w:type="dxa"/>
              <w:left w:w="45" w:type="dxa"/>
              <w:bottom w:w="30" w:type="dxa"/>
              <w:right w:w="45" w:type="dxa"/>
            </w:tcMar>
          </w:tcPr>
          <w:p w14:paraId="0069E60E" w14:textId="5392D4A3" w:rsidR="00073698" w:rsidRPr="00C72DF7" w:rsidRDefault="006C5DCF" w:rsidP="006C5DCF">
            <w:pPr>
              <w:spacing w:line="360" w:lineRule="auto"/>
              <w:jc w:val="both"/>
              <w:rPr>
                <w:rFonts w:ascii="Book Antiqua" w:eastAsia="Calibri" w:hAnsi="Book Antiqua" w:cs="Calibri"/>
              </w:rPr>
            </w:pPr>
            <w:r w:rsidRPr="00C72DF7">
              <w:rPr>
                <w:rFonts w:ascii="Book Antiqua" w:eastAsia="Calibri" w:hAnsi="Book Antiqua" w:cs="Calibri"/>
              </w:rPr>
              <w:t>D</w:t>
            </w:r>
            <w:r w:rsidR="00073698" w:rsidRPr="00C72DF7">
              <w:rPr>
                <w:rFonts w:ascii="Book Antiqua" w:eastAsia="Calibri" w:hAnsi="Book Antiqua" w:cs="Calibri"/>
              </w:rPr>
              <w:t>iabetes</w:t>
            </w:r>
            <w:r>
              <w:rPr>
                <w:rFonts w:ascii="Book Antiqua" w:eastAsia="Calibri" w:hAnsi="Book Antiqua" w:cs="Calibri"/>
              </w:rPr>
              <w:t xml:space="preserve"> </w:t>
            </w:r>
            <w:r w:rsidR="00073698" w:rsidRPr="00C72DF7">
              <w:rPr>
                <w:rFonts w:ascii="Book Antiqua" w:eastAsia="Calibri" w:hAnsi="Book Antiqua" w:cs="Calibri"/>
              </w:rPr>
              <w:t>(1/3), hyperglycemia (1/3) bronchiectasis (1/3), solid cancer (1/3)</w:t>
            </w:r>
          </w:p>
        </w:tc>
      </w:tr>
    </w:tbl>
    <w:p w14:paraId="527D4643" w14:textId="77777777" w:rsidR="00073698" w:rsidRPr="00073698" w:rsidRDefault="00073698">
      <w:pPr>
        <w:spacing w:line="360" w:lineRule="auto"/>
        <w:jc w:val="both"/>
        <w:rPr>
          <w:b/>
          <w:bCs/>
        </w:rPr>
      </w:pPr>
    </w:p>
    <w:sectPr w:rsidR="00073698" w:rsidRPr="00073698" w:rsidSect="0007369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CF0453" w14:textId="77777777" w:rsidR="008A4D4B" w:rsidRDefault="008A4D4B" w:rsidP="002D6257">
      <w:r>
        <w:separator/>
      </w:r>
    </w:p>
  </w:endnote>
  <w:endnote w:type="continuationSeparator" w:id="0">
    <w:p w14:paraId="0EC0041C" w14:textId="77777777" w:rsidR="008A4D4B" w:rsidRDefault="008A4D4B" w:rsidP="002D6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1005893"/>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6265995" w14:textId="0AABF371" w:rsidR="008959C8" w:rsidRPr="008959C8" w:rsidRDefault="008959C8" w:rsidP="008959C8">
            <w:pPr>
              <w:pStyle w:val="a4"/>
              <w:jc w:val="right"/>
              <w:rPr>
                <w:rFonts w:ascii="Book Antiqua" w:hAnsi="Book Antiqua"/>
                <w:sz w:val="24"/>
                <w:szCs w:val="24"/>
              </w:rPr>
            </w:pPr>
            <w:r>
              <w:rPr>
                <w:lang w:val="zh-CN" w:eastAsia="zh-CN"/>
              </w:rPr>
              <w:t xml:space="preserve"> </w:t>
            </w:r>
            <w:r w:rsidRPr="008959C8">
              <w:rPr>
                <w:rFonts w:ascii="Book Antiqua" w:hAnsi="Book Antiqua"/>
                <w:sz w:val="24"/>
                <w:szCs w:val="24"/>
              </w:rPr>
              <w:fldChar w:fldCharType="begin"/>
            </w:r>
            <w:r w:rsidRPr="008959C8">
              <w:rPr>
                <w:rFonts w:ascii="Book Antiqua" w:hAnsi="Book Antiqua"/>
                <w:sz w:val="24"/>
                <w:szCs w:val="24"/>
              </w:rPr>
              <w:instrText>PAGE</w:instrText>
            </w:r>
            <w:r w:rsidRPr="008959C8">
              <w:rPr>
                <w:rFonts w:ascii="Book Antiqua" w:hAnsi="Book Antiqua"/>
                <w:sz w:val="24"/>
                <w:szCs w:val="24"/>
              </w:rPr>
              <w:fldChar w:fldCharType="separate"/>
            </w:r>
            <w:r w:rsidR="008A4D4B">
              <w:rPr>
                <w:rFonts w:ascii="Book Antiqua" w:hAnsi="Book Antiqua"/>
                <w:noProof/>
                <w:sz w:val="24"/>
                <w:szCs w:val="24"/>
              </w:rPr>
              <w:t>1</w:t>
            </w:r>
            <w:r w:rsidRPr="008959C8">
              <w:rPr>
                <w:rFonts w:ascii="Book Antiqua" w:hAnsi="Book Antiqua"/>
                <w:sz w:val="24"/>
                <w:szCs w:val="24"/>
              </w:rPr>
              <w:fldChar w:fldCharType="end"/>
            </w:r>
            <w:r w:rsidRPr="008959C8">
              <w:rPr>
                <w:rFonts w:ascii="Book Antiqua" w:hAnsi="Book Antiqua"/>
                <w:sz w:val="24"/>
                <w:szCs w:val="24"/>
                <w:lang w:val="zh-CN" w:eastAsia="zh-CN"/>
              </w:rPr>
              <w:t xml:space="preserve"> / </w:t>
            </w:r>
            <w:r w:rsidRPr="008959C8">
              <w:rPr>
                <w:rFonts w:ascii="Book Antiqua" w:hAnsi="Book Antiqua"/>
                <w:sz w:val="24"/>
                <w:szCs w:val="24"/>
              </w:rPr>
              <w:fldChar w:fldCharType="begin"/>
            </w:r>
            <w:r w:rsidRPr="008959C8">
              <w:rPr>
                <w:rFonts w:ascii="Book Antiqua" w:hAnsi="Book Antiqua"/>
                <w:sz w:val="24"/>
                <w:szCs w:val="24"/>
              </w:rPr>
              <w:instrText>NUMPAGES</w:instrText>
            </w:r>
            <w:r w:rsidRPr="008959C8">
              <w:rPr>
                <w:rFonts w:ascii="Book Antiqua" w:hAnsi="Book Antiqua"/>
                <w:sz w:val="24"/>
                <w:szCs w:val="24"/>
              </w:rPr>
              <w:fldChar w:fldCharType="separate"/>
            </w:r>
            <w:r w:rsidR="008A4D4B">
              <w:rPr>
                <w:rFonts w:ascii="Book Antiqua" w:hAnsi="Book Antiqua"/>
                <w:noProof/>
                <w:sz w:val="24"/>
                <w:szCs w:val="24"/>
              </w:rPr>
              <w:t>1</w:t>
            </w:r>
            <w:r w:rsidRPr="008959C8">
              <w:rPr>
                <w:rFonts w:ascii="Book Antiqua" w:hAnsi="Book Antiqua"/>
                <w:sz w:val="24"/>
                <w:szCs w:val="24"/>
              </w:rPr>
              <w:fldChar w:fldCharType="end"/>
            </w:r>
          </w:p>
        </w:sdtContent>
      </w:sdt>
    </w:sdtContent>
  </w:sdt>
  <w:p w14:paraId="392B5A42" w14:textId="77777777" w:rsidR="008959C8" w:rsidRPr="008959C8" w:rsidRDefault="008959C8" w:rsidP="008959C8">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6F9495" w14:textId="77777777" w:rsidR="008A4D4B" w:rsidRDefault="008A4D4B" w:rsidP="002D6257">
      <w:r>
        <w:separator/>
      </w:r>
    </w:p>
  </w:footnote>
  <w:footnote w:type="continuationSeparator" w:id="0">
    <w:p w14:paraId="6092E1CD" w14:textId="77777777" w:rsidR="008A4D4B" w:rsidRDefault="008A4D4B" w:rsidP="002D625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207AC3"/>
    <w:multiLevelType w:val="multilevel"/>
    <w:tmpl w:val="DE8C5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73698"/>
    <w:rsid w:val="00113AD5"/>
    <w:rsid w:val="001355FF"/>
    <w:rsid w:val="00136AA6"/>
    <w:rsid w:val="00154B4B"/>
    <w:rsid w:val="00175484"/>
    <w:rsid w:val="001A0BEC"/>
    <w:rsid w:val="00257602"/>
    <w:rsid w:val="002D6257"/>
    <w:rsid w:val="002F5DD4"/>
    <w:rsid w:val="00342E61"/>
    <w:rsid w:val="00372D04"/>
    <w:rsid w:val="00436952"/>
    <w:rsid w:val="004610E0"/>
    <w:rsid w:val="00471968"/>
    <w:rsid w:val="004D1BAC"/>
    <w:rsid w:val="004D63F4"/>
    <w:rsid w:val="00516149"/>
    <w:rsid w:val="00574F5D"/>
    <w:rsid w:val="00575A9D"/>
    <w:rsid w:val="0058059A"/>
    <w:rsid w:val="005C3C13"/>
    <w:rsid w:val="00607B6E"/>
    <w:rsid w:val="00633804"/>
    <w:rsid w:val="006340ED"/>
    <w:rsid w:val="00640352"/>
    <w:rsid w:val="00673FEC"/>
    <w:rsid w:val="0069198E"/>
    <w:rsid w:val="006A00DE"/>
    <w:rsid w:val="006C5DCF"/>
    <w:rsid w:val="0072453C"/>
    <w:rsid w:val="00797B2F"/>
    <w:rsid w:val="007F249E"/>
    <w:rsid w:val="007F5FC8"/>
    <w:rsid w:val="008135A3"/>
    <w:rsid w:val="00817A2C"/>
    <w:rsid w:val="008959C8"/>
    <w:rsid w:val="008A4D4B"/>
    <w:rsid w:val="008D4821"/>
    <w:rsid w:val="0090055E"/>
    <w:rsid w:val="0092137E"/>
    <w:rsid w:val="009A3C3D"/>
    <w:rsid w:val="00A2090C"/>
    <w:rsid w:val="00A4378B"/>
    <w:rsid w:val="00A77B3E"/>
    <w:rsid w:val="00A933BF"/>
    <w:rsid w:val="00AB0D23"/>
    <w:rsid w:val="00B0724E"/>
    <w:rsid w:val="00B16E6D"/>
    <w:rsid w:val="00B44B64"/>
    <w:rsid w:val="00C836A0"/>
    <w:rsid w:val="00CA2A55"/>
    <w:rsid w:val="00CC3399"/>
    <w:rsid w:val="00D303B3"/>
    <w:rsid w:val="00D36248"/>
    <w:rsid w:val="00D46CFB"/>
    <w:rsid w:val="00DD51E0"/>
    <w:rsid w:val="00E03BD1"/>
    <w:rsid w:val="00E17B18"/>
    <w:rsid w:val="00E91EF2"/>
    <w:rsid w:val="00F307C3"/>
    <w:rsid w:val="00F67947"/>
    <w:rsid w:val="00FD3D9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95E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3">
    <w:name w:val="heading 3"/>
    <w:basedOn w:val="a"/>
    <w:link w:val="3Char"/>
    <w:uiPriority w:val="9"/>
    <w:qFormat/>
    <w:rsid w:val="00436952"/>
    <w:pPr>
      <w:spacing w:before="100" w:beforeAutospacing="1" w:after="100" w:afterAutospacing="1"/>
      <w:outlineLvl w:val="2"/>
    </w:pPr>
    <w:rPr>
      <w:rFonts w:eastAsia="Times New Roman"/>
      <w:b/>
      <w:bCs/>
      <w:sz w:val="27"/>
      <w:szCs w:val="27"/>
      <w:lang w:val="es-CL"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D625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D6257"/>
    <w:rPr>
      <w:sz w:val="18"/>
      <w:szCs w:val="18"/>
    </w:rPr>
  </w:style>
  <w:style w:type="paragraph" w:styleId="a4">
    <w:name w:val="footer"/>
    <w:basedOn w:val="a"/>
    <w:link w:val="Char0"/>
    <w:uiPriority w:val="99"/>
    <w:unhideWhenUsed/>
    <w:rsid w:val="002D6257"/>
    <w:pPr>
      <w:tabs>
        <w:tab w:val="center" w:pos="4153"/>
        <w:tab w:val="right" w:pos="8306"/>
      </w:tabs>
      <w:snapToGrid w:val="0"/>
    </w:pPr>
    <w:rPr>
      <w:sz w:val="18"/>
      <w:szCs w:val="18"/>
    </w:rPr>
  </w:style>
  <w:style w:type="character" w:customStyle="1" w:styleId="Char0">
    <w:name w:val="页脚 Char"/>
    <w:basedOn w:val="a0"/>
    <w:link w:val="a4"/>
    <w:uiPriority w:val="99"/>
    <w:rsid w:val="002D6257"/>
    <w:rPr>
      <w:sz w:val="18"/>
      <w:szCs w:val="18"/>
    </w:rPr>
  </w:style>
  <w:style w:type="paragraph" w:styleId="a5">
    <w:name w:val="Balloon Text"/>
    <w:basedOn w:val="a"/>
    <w:link w:val="Char1"/>
    <w:rsid w:val="00B0724E"/>
    <w:rPr>
      <w:sz w:val="18"/>
      <w:szCs w:val="18"/>
    </w:rPr>
  </w:style>
  <w:style w:type="character" w:customStyle="1" w:styleId="Char1">
    <w:name w:val="批注框文本 Char"/>
    <w:basedOn w:val="a0"/>
    <w:link w:val="a5"/>
    <w:rsid w:val="00B0724E"/>
    <w:rPr>
      <w:sz w:val="18"/>
      <w:szCs w:val="18"/>
    </w:rPr>
  </w:style>
  <w:style w:type="character" w:styleId="a6">
    <w:name w:val="annotation reference"/>
    <w:basedOn w:val="a0"/>
    <w:semiHidden/>
    <w:unhideWhenUsed/>
    <w:rsid w:val="006340ED"/>
    <w:rPr>
      <w:sz w:val="21"/>
      <w:szCs w:val="21"/>
    </w:rPr>
  </w:style>
  <w:style w:type="paragraph" w:styleId="a7">
    <w:name w:val="annotation text"/>
    <w:basedOn w:val="a"/>
    <w:link w:val="Char2"/>
    <w:semiHidden/>
    <w:unhideWhenUsed/>
    <w:rsid w:val="006340ED"/>
  </w:style>
  <w:style w:type="character" w:customStyle="1" w:styleId="Char2">
    <w:name w:val="批注文字 Char"/>
    <w:basedOn w:val="a0"/>
    <w:link w:val="a7"/>
    <w:semiHidden/>
    <w:rsid w:val="006340ED"/>
    <w:rPr>
      <w:sz w:val="24"/>
      <w:szCs w:val="24"/>
    </w:rPr>
  </w:style>
  <w:style w:type="paragraph" w:styleId="a8">
    <w:name w:val="annotation subject"/>
    <w:basedOn w:val="a7"/>
    <w:next w:val="a7"/>
    <w:link w:val="Char3"/>
    <w:semiHidden/>
    <w:unhideWhenUsed/>
    <w:rsid w:val="006340ED"/>
    <w:rPr>
      <w:b/>
      <w:bCs/>
    </w:rPr>
  </w:style>
  <w:style w:type="character" w:customStyle="1" w:styleId="Char3">
    <w:name w:val="批注主题 Char"/>
    <w:basedOn w:val="Char2"/>
    <w:link w:val="a8"/>
    <w:semiHidden/>
    <w:rsid w:val="006340ED"/>
    <w:rPr>
      <w:b/>
      <w:bCs/>
      <w:sz w:val="24"/>
      <w:szCs w:val="24"/>
    </w:rPr>
  </w:style>
  <w:style w:type="paragraph" w:styleId="a9">
    <w:name w:val="Revision"/>
    <w:hidden/>
    <w:uiPriority w:val="99"/>
    <w:semiHidden/>
    <w:rsid w:val="00E03BD1"/>
    <w:rPr>
      <w:sz w:val="24"/>
      <w:szCs w:val="24"/>
    </w:rPr>
  </w:style>
  <w:style w:type="character" w:customStyle="1" w:styleId="period">
    <w:name w:val="period"/>
    <w:basedOn w:val="a0"/>
    <w:rsid w:val="00436952"/>
  </w:style>
  <w:style w:type="character" w:customStyle="1" w:styleId="apple-converted-space">
    <w:name w:val="apple-converted-space"/>
    <w:basedOn w:val="a0"/>
    <w:rsid w:val="00436952"/>
  </w:style>
  <w:style w:type="character" w:customStyle="1" w:styleId="cit">
    <w:name w:val="cit"/>
    <w:basedOn w:val="a0"/>
    <w:rsid w:val="00436952"/>
  </w:style>
  <w:style w:type="character" w:customStyle="1" w:styleId="citation-doi">
    <w:name w:val="citation-doi"/>
    <w:basedOn w:val="a0"/>
    <w:rsid w:val="00436952"/>
  </w:style>
  <w:style w:type="character" w:customStyle="1" w:styleId="secondary-date">
    <w:name w:val="secondary-date"/>
    <w:basedOn w:val="a0"/>
    <w:rsid w:val="00436952"/>
  </w:style>
  <w:style w:type="character" w:customStyle="1" w:styleId="3Char">
    <w:name w:val="标题 3 Char"/>
    <w:basedOn w:val="a0"/>
    <w:link w:val="3"/>
    <w:uiPriority w:val="9"/>
    <w:rsid w:val="00436952"/>
    <w:rPr>
      <w:rFonts w:eastAsia="Times New Roman"/>
      <w:b/>
      <w:bCs/>
      <w:sz w:val="27"/>
      <w:szCs w:val="27"/>
      <w:lang w:val="es-CL" w:eastAsia="zh-CN"/>
    </w:rPr>
  </w:style>
  <w:style w:type="character" w:customStyle="1" w:styleId="action">
    <w:name w:val="action"/>
    <w:basedOn w:val="a0"/>
    <w:rsid w:val="00436952"/>
  </w:style>
  <w:style w:type="character" w:styleId="aa">
    <w:name w:val="Hyperlink"/>
    <w:basedOn w:val="a0"/>
    <w:uiPriority w:val="99"/>
    <w:semiHidden/>
    <w:unhideWhenUsed/>
    <w:rsid w:val="0043695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3">
    <w:name w:val="heading 3"/>
    <w:basedOn w:val="a"/>
    <w:link w:val="3Char"/>
    <w:uiPriority w:val="9"/>
    <w:qFormat/>
    <w:rsid w:val="00436952"/>
    <w:pPr>
      <w:spacing w:before="100" w:beforeAutospacing="1" w:after="100" w:afterAutospacing="1"/>
      <w:outlineLvl w:val="2"/>
    </w:pPr>
    <w:rPr>
      <w:rFonts w:eastAsia="Times New Roman"/>
      <w:b/>
      <w:bCs/>
      <w:sz w:val="27"/>
      <w:szCs w:val="27"/>
      <w:lang w:val="es-CL"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2D625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2D6257"/>
    <w:rPr>
      <w:sz w:val="18"/>
      <w:szCs w:val="18"/>
    </w:rPr>
  </w:style>
  <w:style w:type="paragraph" w:styleId="a4">
    <w:name w:val="footer"/>
    <w:basedOn w:val="a"/>
    <w:link w:val="Char0"/>
    <w:uiPriority w:val="99"/>
    <w:unhideWhenUsed/>
    <w:rsid w:val="002D6257"/>
    <w:pPr>
      <w:tabs>
        <w:tab w:val="center" w:pos="4153"/>
        <w:tab w:val="right" w:pos="8306"/>
      </w:tabs>
      <w:snapToGrid w:val="0"/>
    </w:pPr>
    <w:rPr>
      <w:sz w:val="18"/>
      <w:szCs w:val="18"/>
    </w:rPr>
  </w:style>
  <w:style w:type="character" w:customStyle="1" w:styleId="Char0">
    <w:name w:val="页脚 Char"/>
    <w:basedOn w:val="a0"/>
    <w:link w:val="a4"/>
    <w:uiPriority w:val="99"/>
    <w:rsid w:val="002D6257"/>
    <w:rPr>
      <w:sz w:val="18"/>
      <w:szCs w:val="18"/>
    </w:rPr>
  </w:style>
  <w:style w:type="paragraph" w:styleId="a5">
    <w:name w:val="Balloon Text"/>
    <w:basedOn w:val="a"/>
    <w:link w:val="Char1"/>
    <w:rsid w:val="00B0724E"/>
    <w:rPr>
      <w:sz w:val="18"/>
      <w:szCs w:val="18"/>
    </w:rPr>
  </w:style>
  <w:style w:type="character" w:customStyle="1" w:styleId="Char1">
    <w:name w:val="批注框文本 Char"/>
    <w:basedOn w:val="a0"/>
    <w:link w:val="a5"/>
    <w:rsid w:val="00B0724E"/>
    <w:rPr>
      <w:sz w:val="18"/>
      <w:szCs w:val="18"/>
    </w:rPr>
  </w:style>
  <w:style w:type="character" w:styleId="a6">
    <w:name w:val="annotation reference"/>
    <w:basedOn w:val="a0"/>
    <w:semiHidden/>
    <w:unhideWhenUsed/>
    <w:rsid w:val="006340ED"/>
    <w:rPr>
      <w:sz w:val="21"/>
      <w:szCs w:val="21"/>
    </w:rPr>
  </w:style>
  <w:style w:type="paragraph" w:styleId="a7">
    <w:name w:val="annotation text"/>
    <w:basedOn w:val="a"/>
    <w:link w:val="Char2"/>
    <w:semiHidden/>
    <w:unhideWhenUsed/>
    <w:rsid w:val="006340ED"/>
  </w:style>
  <w:style w:type="character" w:customStyle="1" w:styleId="Char2">
    <w:name w:val="批注文字 Char"/>
    <w:basedOn w:val="a0"/>
    <w:link w:val="a7"/>
    <w:semiHidden/>
    <w:rsid w:val="006340ED"/>
    <w:rPr>
      <w:sz w:val="24"/>
      <w:szCs w:val="24"/>
    </w:rPr>
  </w:style>
  <w:style w:type="paragraph" w:styleId="a8">
    <w:name w:val="annotation subject"/>
    <w:basedOn w:val="a7"/>
    <w:next w:val="a7"/>
    <w:link w:val="Char3"/>
    <w:semiHidden/>
    <w:unhideWhenUsed/>
    <w:rsid w:val="006340ED"/>
    <w:rPr>
      <w:b/>
      <w:bCs/>
    </w:rPr>
  </w:style>
  <w:style w:type="character" w:customStyle="1" w:styleId="Char3">
    <w:name w:val="批注主题 Char"/>
    <w:basedOn w:val="Char2"/>
    <w:link w:val="a8"/>
    <w:semiHidden/>
    <w:rsid w:val="006340ED"/>
    <w:rPr>
      <w:b/>
      <w:bCs/>
      <w:sz w:val="24"/>
      <w:szCs w:val="24"/>
    </w:rPr>
  </w:style>
  <w:style w:type="paragraph" w:styleId="a9">
    <w:name w:val="Revision"/>
    <w:hidden/>
    <w:uiPriority w:val="99"/>
    <w:semiHidden/>
    <w:rsid w:val="00E03BD1"/>
    <w:rPr>
      <w:sz w:val="24"/>
      <w:szCs w:val="24"/>
    </w:rPr>
  </w:style>
  <w:style w:type="character" w:customStyle="1" w:styleId="period">
    <w:name w:val="period"/>
    <w:basedOn w:val="a0"/>
    <w:rsid w:val="00436952"/>
  </w:style>
  <w:style w:type="character" w:customStyle="1" w:styleId="apple-converted-space">
    <w:name w:val="apple-converted-space"/>
    <w:basedOn w:val="a0"/>
    <w:rsid w:val="00436952"/>
  </w:style>
  <w:style w:type="character" w:customStyle="1" w:styleId="cit">
    <w:name w:val="cit"/>
    <w:basedOn w:val="a0"/>
    <w:rsid w:val="00436952"/>
  </w:style>
  <w:style w:type="character" w:customStyle="1" w:styleId="citation-doi">
    <w:name w:val="citation-doi"/>
    <w:basedOn w:val="a0"/>
    <w:rsid w:val="00436952"/>
  </w:style>
  <w:style w:type="character" w:customStyle="1" w:styleId="secondary-date">
    <w:name w:val="secondary-date"/>
    <w:basedOn w:val="a0"/>
    <w:rsid w:val="00436952"/>
  </w:style>
  <w:style w:type="character" w:customStyle="1" w:styleId="3Char">
    <w:name w:val="标题 3 Char"/>
    <w:basedOn w:val="a0"/>
    <w:link w:val="3"/>
    <w:uiPriority w:val="9"/>
    <w:rsid w:val="00436952"/>
    <w:rPr>
      <w:rFonts w:eastAsia="Times New Roman"/>
      <w:b/>
      <w:bCs/>
      <w:sz w:val="27"/>
      <w:szCs w:val="27"/>
      <w:lang w:val="es-CL" w:eastAsia="zh-CN"/>
    </w:rPr>
  </w:style>
  <w:style w:type="character" w:customStyle="1" w:styleId="action">
    <w:name w:val="action"/>
    <w:basedOn w:val="a0"/>
    <w:rsid w:val="00436952"/>
  </w:style>
  <w:style w:type="character" w:styleId="aa">
    <w:name w:val="Hyperlink"/>
    <w:basedOn w:val="a0"/>
    <w:uiPriority w:val="99"/>
    <w:semiHidden/>
    <w:unhideWhenUsed/>
    <w:rsid w:val="0043695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513233">
      <w:bodyDiv w:val="1"/>
      <w:marLeft w:val="0"/>
      <w:marRight w:val="0"/>
      <w:marTop w:val="0"/>
      <w:marBottom w:val="0"/>
      <w:divBdr>
        <w:top w:val="none" w:sz="0" w:space="0" w:color="auto"/>
        <w:left w:val="none" w:sz="0" w:space="0" w:color="auto"/>
        <w:bottom w:val="none" w:sz="0" w:space="0" w:color="auto"/>
        <w:right w:val="none" w:sz="0" w:space="0" w:color="auto"/>
      </w:divBdr>
      <w:divsChild>
        <w:div w:id="1718049518">
          <w:marLeft w:val="0"/>
          <w:marRight w:val="0"/>
          <w:marTop w:val="0"/>
          <w:marBottom w:val="0"/>
          <w:divBdr>
            <w:top w:val="none" w:sz="0" w:space="0" w:color="auto"/>
            <w:left w:val="none" w:sz="0" w:space="0" w:color="auto"/>
            <w:bottom w:val="none" w:sz="0" w:space="0" w:color="auto"/>
            <w:right w:val="none" w:sz="0" w:space="0" w:color="auto"/>
          </w:divBdr>
        </w:div>
      </w:divsChild>
    </w:div>
    <w:div w:id="236748554">
      <w:bodyDiv w:val="1"/>
      <w:marLeft w:val="0"/>
      <w:marRight w:val="0"/>
      <w:marTop w:val="0"/>
      <w:marBottom w:val="0"/>
      <w:divBdr>
        <w:top w:val="none" w:sz="0" w:space="0" w:color="auto"/>
        <w:left w:val="none" w:sz="0" w:space="0" w:color="auto"/>
        <w:bottom w:val="none" w:sz="0" w:space="0" w:color="auto"/>
        <w:right w:val="none" w:sz="0" w:space="0" w:color="auto"/>
      </w:divBdr>
    </w:div>
    <w:div w:id="339507895">
      <w:bodyDiv w:val="1"/>
      <w:marLeft w:val="0"/>
      <w:marRight w:val="0"/>
      <w:marTop w:val="0"/>
      <w:marBottom w:val="0"/>
      <w:divBdr>
        <w:top w:val="none" w:sz="0" w:space="0" w:color="auto"/>
        <w:left w:val="none" w:sz="0" w:space="0" w:color="auto"/>
        <w:bottom w:val="none" w:sz="0" w:space="0" w:color="auto"/>
        <w:right w:val="none" w:sz="0" w:space="0" w:color="auto"/>
      </w:divBdr>
      <w:divsChild>
        <w:div w:id="1138569123">
          <w:marLeft w:val="0"/>
          <w:marRight w:val="0"/>
          <w:marTop w:val="0"/>
          <w:marBottom w:val="0"/>
          <w:divBdr>
            <w:top w:val="none" w:sz="0" w:space="0" w:color="auto"/>
            <w:left w:val="none" w:sz="0" w:space="0" w:color="auto"/>
            <w:bottom w:val="none" w:sz="0" w:space="0" w:color="auto"/>
            <w:right w:val="none" w:sz="0" w:space="0" w:color="auto"/>
          </w:divBdr>
          <w:divsChild>
            <w:div w:id="78500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574235">
      <w:bodyDiv w:val="1"/>
      <w:marLeft w:val="0"/>
      <w:marRight w:val="0"/>
      <w:marTop w:val="0"/>
      <w:marBottom w:val="0"/>
      <w:divBdr>
        <w:top w:val="none" w:sz="0" w:space="0" w:color="auto"/>
        <w:left w:val="none" w:sz="0" w:space="0" w:color="auto"/>
        <w:bottom w:val="none" w:sz="0" w:space="0" w:color="auto"/>
        <w:right w:val="none" w:sz="0" w:space="0" w:color="auto"/>
      </w:divBdr>
    </w:div>
    <w:div w:id="545338319">
      <w:bodyDiv w:val="1"/>
      <w:marLeft w:val="0"/>
      <w:marRight w:val="0"/>
      <w:marTop w:val="0"/>
      <w:marBottom w:val="0"/>
      <w:divBdr>
        <w:top w:val="none" w:sz="0" w:space="0" w:color="auto"/>
        <w:left w:val="none" w:sz="0" w:space="0" w:color="auto"/>
        <w:bottom w:val="none" w:sz="0" w:space="0" w:color="auto"/>
        <w:right w:val="none" w:sz="0" w:space="0" w:color="auto"/>
      </w:divBdr>
      <w:divsChild>
        <w:div w:id="473571114">
          <w:marLeft w:val="0"/>
          <w:marRight w:val="0"/>
          <w:marTop w:val="0"/>
          <w:marBottom w:val="0"/>
          <w:divBdr>
            <w:top w:val="none" w:sz="0" w:space="0" w:color="auto"/>
            <w:left w:val="none" w:sz="0" w:space="0" w:color="auto"/>
            <w:bottom w:val="none" w:sz="0" w:space="0" w:color="auto"/>
            <w:right w:val="none" w:sz="0" w:space="0" w:color="auto"/>
          </w:divBdr>
          <w:divsChild>
            <w:div w:id="50664533">
              <w:marLeft w:val="0"/>
              <w:marRight w:val="0"/>
              <w:marTop w:val="0"/>
              <w:marBottom w:val="0"/>
              <w:divBdr>
                <w:top w:val="none" w:sz="0" w:space="0" w:color="auto"/>
                <w:left w:val="none" w:sz="0" w:space="0" w:color="auto"/>
                <w:bottom w:val="none" w:sz="0" w:space="0" w:color="auto"/>
                <w:right w:val="none" w:sz="0" w:space="0" w:color="auto"/>
              </w:divBdr>
              <w:divsChild>
                <w:div w:id="327633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270692">
      <w:bodyDiv w:val="1"/>
      <w:marLeft w:val="0"/>
      <w:marRight w:val="0"/>
      <w:marTop w:val="0"/>
      <w:marBottom w:val="0"/>
      <w:divBdr>
        <w:top w:val="none" w:sz="0" w:space="0" w:color="auto"/>
        <w:left w:val="none" w:sz="0" w:space="0" w:color="auto"/>
        <w:bottom w:val="none" w:sz="0" w:space="0" w:color="auto"/>
        <w:right w:val="none" w:sz="0" w:space="0" w:color="auto"/>
      </w:divBdr>
    </w:div>
    <w:div w:id="871267418">
      <w:bodyDiv w:val="1"/>
      <w:marLeft w:val="0"/>
      <w:marRight w:val="0"/>
      <w:marTop w:val="0"/>
      <w:marBottom w:val="0"/>
      <w:divBdr>
        <w:top w:val="none" w:sz="0" w:space="0" w:color="auto"/>
        <w:left w:val="none" w:sz="0" w:space="0" w:color="auto"/>
        <w:bottom w:val="none" w:sz="0" w:space="0" w:color="auto"/>
        <w:right w:val="none" w:sz="0" w:space="0" w:color="auto"/>
      </w:divBdr>
    </w:div>
    <w:div w:id="887835283">
      <w:bodyDiv w:val="1"/>
      <w:marLeft w:val="0"/>
      <w:marRight w:val="0"/>
      <w:marTop w:val="0"/>
      <w:marBottom w:val="0"/>
      <w:divBdr>
        <w:top w:val="none" w:sz="0" w:space="0" w:color="auto"/>
        <w:left w:val="none" w:sz="0" w:space="0" w:color="auto"/>
        <w:bottom w:val="none" w:sz="0" w:space="0" w:color="auto"/>
        <w:right w:val="none" w:sz="0" w:space="0" w:color="auto"/>
      </w:divBdr>
    </w:div>
    <w:div w:id="930361019">
      <w:bodyDiv w:val="1"/>
      <w:marLeft w:val="0"/>
      <w:marRight w:val="0"/>
      <w:marTop w:val="0"/>
      <w:marBottom w:val="0"/>
      <w:divBdr>
        <w:top w:val="none" w:sz="0" w:space="0" w:color="auto"/>
        <w:left w:val="none" w:sz="0" w:space="0" w:color="auto"/>
        <w:bottom w:val="none" w:sz="0" w:space="0" w:color="auto"/>
        <w:right w:val="none" w:sz="0" w:space="0" w:color="auto"/>
      </w:divBdr>
    </w:div>
    <w:div w:id="1185092044">
      <w:bodyDiv w:val="1"/>
      <w:marLeft w:val="0"/>
      <w:marRight w:val="0"/>
      <w:marTop w:val="0"/>
      <w:marBottom w:val="0"/>
      <w:divBdr>
        <w:top w:val="none" w:sz="0" w:space="0" w:color="auto"/>
        <w:left w:val="none" w:sz="0" w:space="0" w:color="auto"/>
        <w:bottom w:val="none" w:sz="0" w:space="0" w:color="auto"/>
        <w:right w:val="none" w:sz="0" w:space="0" w:color="auto"/>
      </w:divBdr>
    </w:div>
    <w:div w:id="1496148056">
      <w:bodyDiv w:val="1"/>
      <w:marLeft w:val="0"/>
      <w:marRight w:val="0"/>
      <w:marTop w:val="0"/>
      <w:marBottom w:val="0"/>
      <w:divBdr>
        <w:top w:val="none" w:sz="0" w:space="0" w:color="auto"/>
        <w:left w:val="none" w:sz="0" w:space="0" w:color="auto"/>
        <w:bottom w:val="none" w:sz="0" w:space="0" w:color="auto"/>
        <w:right w:val="none" w:sz="0" w:space="0" w:color="auto"/>
      </w:divBdr>
    </w:div>
    <w:div w:id="1824004716">
      <w:bodyDiv w:val="1"/>
      <w:marLeft w:val="0"/>
      <w:marRight w:val="0"/>
      <w:marTop w:val="0"/>
      <w:marBottom w:val="0"/>
      <w:divBdr>
        <w:top w:val="none" w:sz="0" w:space="0" w:color="auto"/>
        <w:left w:val="none" w:sz="0" w:space="0" w:color="auto"/>
        <w:bottom w:val="none" w:sz="0" w:space="0" w:color="auto"/>
        <w:right w:val="none" w:sz="0" w:space="0" w:color="auto"/>
      </w:divBdr>
    </w:div>
    <w:div w:id="1917322355">
      <w:bodyDiv w:val="1"/>
      <w:marLeft w:val="0"/>
      <w:marRight w:val="0"/>
      <w:marTop w:val="0"/>
      <w:marBottom w:val="0"/>
      <w:divBdr>
        <w:top w:val="none" w:sz="0" w:space="0" w:color="auto"/>
        <w:left w:val="none" w:sz="0" w:space="0" w:color="auto"/>
        <w:bottom w:val="none" w:sz="0" w:space="0" w:color="auto"/>
        <w:right w:val="none" w:sz="0" w:space="0" w:color="auto"/>
      </w:divBdr>
    </w:div>
    <w:div w:id="1926064001">
      <w:bodyDiv w:val="1"/>
      <w:marLeft w:val="0"/>
      <w:marRight w:val="0"/>
      <w:marTop w:val="0"/>
      <w:marBottom w:val="0"/>
      <w:divBdr>
        <w:top w:val="none" w:sz="0" w:space="0" w:color="auto"/>
        <w:left w:val="none" w:sz="0" w:space="0" w:color="auto"/>
        <w:bottom w:val="none" w:sz="0" w:space="0" w:color="auto"/>
        <w:right w:val="none" w:sz="0" w:space="0" w:color="auto"/>
      </w:divBdr>
    </w:div>
    <w:div w:id="2119252473">
      <w:bodyDiv w:val="1"/>
      <w:marLeft w:val="0"/>
      <w:marRight w:val="0"/>
      <w:marTop w:val="0"/>
      <w:marBottom w:val="0"/>
      <w:divBdr>
        <w:top w:val="none" w:sz="0" w:space="0" w:color="auto"/>
        <w:left w:val="none" w:sz="0" w:space="0" w:color="auto"/>
        <w:bottom w:val="none" w:sz="0" w:space="0" w:color="auto"/>
        <w:right w:val="none" w:sz="0" w:space="0" w:color="auto"/>
      </w:divBdr>
    </w:div>
    <w:div w:id="21270436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ti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if"/><Relationship Id="rId17" Type="http://schemas.openxmlformats.org/officeDocument/2006/relationships/image" Target="media/image9.tif"/><Relationship Id="rId2" Type="http://schemas.openxmlformats.org/officeDocument/2006/relationships/styles" Target="styles.xml"/><Relationship Id="rId16" Type="http://schemas.openxmlformats.org/officeDocument/2006/relationships/image" Target="media/image8.ti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tif"/><Relationship Id="rId5" Type="http://schemas.openxmlformats.org/officeDocument/2006/relationships/webSettings" Target="webSettings.xml"/><Relationship Id="rId15" Type="http://schemas.openxmlformats.org/officeDocument/2006/relationships/image" Target="media/image7.tif"/><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34</Pages>
  <Words>7373</Words>
  <Characters>42031</Characters>
  <Application>Microsoft Office Word</Application>
  <DocSecurity>0</DocSecurity>
  <Lines>350</Lines>
  <Paragraphs>98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49306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liujihong2008@qq.con</cp:lastModifiedBy>
  <cp:revision>8</cp:revision>
  <cp:lastPrinted>2020-12-02T02:18:00Z</cp:lastPrinted>
  <dcterms:created xsi:type="dcterms:W3CDTF">2020-12-06T01:01:00Z</dcterms:created>
  <dcterms:modified xsi:type="dcterms:W3CDTF">2020-12-24T06:27:00Z</dcterms:modified>
</cp:coreProperties>
</file>