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07DDD1"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Name of Journal: </w:t>
      </w:r>
      <w:r w:rsidRPr="00A24FC8">
        <w:rPr>
          <w:rFonts w:ascii="Book Antiqua" w:eastAsia="Book Antiqua" w:hAnsi="Book Antiqua" w:cs="Book Antiqua"/>
          <w:i/>
          <w:color w:val="000000"/>
        </w:rPr>
        <w:t>World Journal of Gastroenterology</w:t>
      </w:r>
    </w:p>
    <w:p w14:paraId="69D54E66"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Manuscript NO: </w:t>
      </w:r>
      <w:r w:rsidRPr="00A24FC8">
        <w:rPr>
          <w:rFonts w:ascii="Book Antiqua" w:eastAsia="Book Antiqua" w:hAnsi="Book Antiqua" w:cs="Book Antiqua"/>
          <w:color w:val="000000"/>
        </w:rPr>
        <w:t>60251</w:t>
      </w:r>
    </w:p>
    <w:p w14:paraId="372D971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Manuscript Type: </w:t>
      </w:r>
      <w:r w:rsidRPr="00A24FC8">
        <w:rPr>
          <w:rFonts w:ascii="Book Antiqua" w:eastAsia="Book Antiqua" w:hAnsi="Book Antiqua" w:cs="Book Antiqua"/>
          <w:color w:val="000000"/>
        </w:rPr>
        <w:t>ORIGINAL ARTICLE</w:t>
      </w:r>
    </w:p>
    <w:p w14:paraId="6B0A26BE" w14:textId="77777777" w:rsidR="00A77B3E" w:rsidRPr="00A24FC8" w:rsidRDefault="00A77B3E" w:rsidP="00A24FC8">
      <w:pPr>
        <w:adjustRightInd w:val="0"/>
        <w:snapToGrid w:val="0"/>
        <w:spacing w:line="360" w:lineRule="auto"/>
        <w:jc w:val="both"/>
        <w:rPr>
          <w:rFonts w:ascii="Book Antiqua" w:hAnsi="Book Antiqua"/>
        </w:rPr>
      </w:pPr>
    </w:p>
    <w:p w14:paraId="7F7D3B9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Prospective Study</w:t>
      </w:r>
    </w:p>
    <w:p w14:paraId="0264C1CB" w14:textId="413C43B9" w:rsidR="00A77B3E" w:rsidRPr="00A24FC8" w:rsidRDefault="00A32083" w:rsidP="00A24FC8">
      <w:pPr>
        <w:adjustRightInd w:val="0"/>
        <w:snapToGrid w:val="0"/>
        <w:spacing w:line="360" w:lineRule="auto"/>
        <w:jc w:val="both"/>
        <w:rPr>
          <w:rFonts w:ascii="Book Antiqua" w:hAnsi="Book Antiqua"/>
        </w:rPr>
      </w:pPr>
      <w:bookmarkStart w:id="0" w:name="OLE_LINK17"/>
      <w:bookmarkStart w:id="1" w:name="OLE_LINK18"/>
      <w:r w:rsidRPr="00A24FC8">
        <w:rPr>
          <w:rFonts w:ascii="Book Antiqua" w:eastAsia="Book Antiqua" w:hAnsi="Book Antiqua" w:cs="Book Antiqua"/>
          <w:b/>
          <w:bCs/>
          <w:color w:val="000000"/>
        </w:rPr>
        <w:t xml:space="preserve">Prevalence of </w:t>
      </w:r>
      <w:r w:rsidR="00BE60DE" w:rsidRPr="00A24FC8">
        <w:rPr>
          <w:rFonts w:ascii="Book Antiqua" w:eastAsia="Book Antiqua" w:hAnsi="Book Antiqua" w:cs="Book Antiqua"/>
          <w:b/>
          <w:bCs/>
          <w:color w:val="000000"/>
        </w:rPr>
        <w:t>a</w:t>
      </w:r>
      <w:r w:rsidRPr="00A24FC8">
        <w:rPr>
          <w:rFonts w:ascii="Book Antiqua" w:eastAsia="Book Antiqua" w:hAnsi="Book Antiqua" w:cs="Book Antiqua"/>
          <w:b/>
          <w:bCs/>
          <w:color w:val="000000"/>
        </w:rPr>
        <w:t xml:space="preserve">dvanced </w:t>
      </w:r>
      <w:r w:rsidR="00BE60DE" w:rsidRPr="00A24FC8">
        <w:rPr>
          <w:rFonts w:ascii="Book Antiqua" w:eastAsia="Book Antiqua" w:hAnsi="Book Antiqua" w:cs="Book Antiqua"/>
          <w:b/>
          <w:bCs/>
          <w:color w:val="000000"/>
        </w:rPr>
        <w:t>l</w:t>
      </w:r>
      <w:r w:rsidRPr="00A24FC8">
        <w:rPr>
          <w:rFonts w:ascii="Book Antiqua" w:eastAsia="Book Antiqua" w:hAnsi="Book Antiqua" w:cs="Book Antiqua"/>
          <w:b/>
          <w:bCs/>
          <w:color w:val="000000"/>
        </w:rPr>
        <w:t xml:space="preserve">iver </w:t>
      </w:r>
      <w:r w:rsidR="00BE60DE" w:rsidRPr="00A24FC8">
        <w:rPr>
          <w:rFonts w:ascii="Book Antiqua" w:eastAsia="Book Antiqua" w:hAnsi="Book Antiqua" w:cs="Book Antiqua"/>
          <w:b/>
          <w:bCs/>
          <w:color w:val="000000"/>
        </w:rPr>
        <w:t>f</w:t>
      </w:r>
      <w:r w:rsidRPr="00A24FC8">
        <w:rPr>
          <w:rFonts w:ascii="Book Antiqua" w:eastAsia="Book Antiqua" w:hAnsi="Book Antiqua" w:cs="Book Antiqua"/>
          <w:b/>
          <w:bCs/>
          <w:color w:val="000000"/>
        </w:rPr>
        <w:t xml:space="preserve">ibrosis and </w:t>
      </w:r>
      <w:r w:rsidR="00BE60DE" w:rsidRPr="00A24FC8">
        <w:rPr>
          <w:rFonts w:ascii="Book Antiqua" w:eastAsia="Book Antiqua" w:hAnsi="Book Antiqua" w:cs="Book Antiqua"/>
          <w:b/>
          <w:bCs/>
          <w:color w:val="000000"/>
        </w:rPr>
        <w:t>s</w:t>
      </w:r>
      <w:r w:rsidRPr="00A24FC8">
        <w:rPr>
          <w:rFonts w:ascii="Book Antiqua" w:eastAsia="Book Antiqua" w:hAnsi="Book Antiqua" w:cs="Book Antiqua"/>
          <w:b/>
          <w:bCs/>
          <w:color w:val="000000"/>
        </w:rPr>
        <w:t xml:space="preserve">teatosis in </w:t>
      </w:r>
      <w:r w:rsidR="00BE60DE" w:rsidRPr="00A24FC8">
        <w:rPr>
          <w:rFonts w:ascii="Book Antiqua" w:eastAsia="Book Antiqua" w:hAnsi="Book Antiqua" w:cs="Book Antiqua"/>
          <w:b/>
          <w:bCs/>
          <w:color w:val="000000"/>
        </w:rPr>
        <w:t>t</w:t>
      </w:r>
      <w:r w:rsidRPr="00A24FC8">
        <w:rPr>
          <w:rFonts w:ascii="Book Antiqua" w:eastAsia="Book Antiqua" w:hAnsi="Book Antiqua" w:cs="Book Antiqua"/>
          <w:b/>
          <w:bCs/>
          <w:color w:val="000000"/>
        </w:rPr>
        <w:t xml:space="preserve">ype-2 </w:t>
      </w:r>
      <w:r w:rsidR="00BE60DE" w:rsidRPr="00A24FC8">
        <w:rPr>
          <w:rFonts w:ascii="Book Antiqua" w:eastAsia="Book Antiqua" w:hAnsi="Book Antiqua" w:cs="Book Antiqua"/>
          <w:b/>
          <w:bCs/>
          <w:color w:val="000000"/>
        </w:rPr>
        <w:t>d</w:t>
      </w:r>
      <w:r w:rsidRPr="00A24FC8">
        <w:rPr>
          <w:rFonts w:ascii="Book Antiqua" w:eastAsia="Book Antiqua" w:hAnsi="Book Antiqua" w:cs="Book Antiqua"/>
          <w:b/>
          <w:bCs/>
          <w:color w:val="000000"/>
        </w:rPr>
        <w:t xml:space="preserve">iabetics with </w:t>
      </w:r>
      <w:r w:rsidR="00BE60DE" w:rsidRPr="00A24FC8">
        <w:rPr>
          <w:rFonts w:ascii="Book Antiqua" w:eastAsia="Book Antiqua" w:hAnsi="Book Antiqua" w:cs="Book Antiqua"/>
          <w:b/>
          <w:bCs/>
          <w:color w:val="000000"/>
        </w:rPr>
        <w:t>n</w:t>
      </w:r>
      <w:r w:rsidRPr="00A24FC8">
        <w:rPr>
          <w:rFonts w:ascii="Book Antiqua" w:eastAsia="Book Antiqua" w:hAnsi="Book Antiqua" w:cs="Book Antiqua"/>
          <w:b/>
          <w:bCs/>
          <w:color w:val="000000"/>
        </w:rPr>
        <w:t xml:space="preserve">ormal </w:t>
      </w:r>
      <w:r w:rsidR="00BE60DE" w:rsidRPr="00A24FC8">
        <w:rPr>
          <w:rFonts w:ascii="Book Antiqua" w:eastAsia="Book Antiqua" w:hAnsi="Book Antiqua" w:cs="Book Antiqua"/>
          <w:b/>
          <w:bCs/>
          <w:color w:val="000000"/>
        </w:rPr>
        <w:t>t</w:t>
      </w:r>
      <w:r w:rsidRPr="00A24FC8">
        <w:rPr>
          <w:rFonts w:ascii="Book Antiqua" w:eastAsia="Book Antiqua" w:hAnsi="Book Antiqua" w:cs="Book Antiqua"/>
          <w:b/>
          <w:bCs/>
          <w:color w:val="000000"/>
        </w:rPr>
        <w:t xml:space="preserve">ransaminases: A </w:t>
      </w:r>
      <w:r w:rsidR="00BE60DE" w:rsidRPr="00A24FC8">
        <w:rPr>
          <w:rFonts w:ascii="Book Antiqua" w:eastAsia="Book Antiqua" w:hAnsi="Book Antiqua" w:cs="Book Antiqua"/>
          <w:b/>
          <w:bCs/>
          <w:color w:val="000000"/>
        </w:rPr>
        <w:t>p</w:t>
      </w:r>
      <w:r w:rsidRPr="00A24FC8">
        <w:rPr>
          <w:rFonts w:ascii="Book Antiqua" w:eastAsia="Book Antiqua" w:hAnsi="Book Antiqua" w:cs="Book Antiqua"/>
          <w:b/>
          <w:bCs/>
          <w:color w:val="000000"/>
        </w:rPr>
        <w:t xml:space="preserve">rospective </w:t>
      </w:r>
      <w:r w:rsidR="00BE60DE" w:rsidRPr="00A24FC8">
        <w:rPr>
          <w:rFonts w:ascii="Book Antiqua" w:eastAsia="Book Antiqua" w:hAnsi="Book Antiqua" w:cs="Book Antiqua"/>
          <w:b/>
          <w:bCs/>
          <w:color w:val="000000"/>
        </w:rPr>
        <w:t>c</w:t>
      </w:r>
      <w:r w:rsidRPr="00A24FC8">
        <w:rPr>
          <w:rFonts w:ascii="Book Antiqua" w:eastAsia="Book Antiqua" w:hAnsi="Book Antiqua" w:cs="Book Antiqua"/>
          <w:b/>
          <w:bCs/>
          <w:color w:val="000000"/>
        </w:rPr>
        <w:t xml:space="preserve">ohort </w:t>
      </w:r>
      <w:r w:rsidR="00BE60DE" w:rsidRPr="00A24FC8">
        <w:rPr>
          <w:rFonts w:ascii="Book Antiqua" w:eastAsia="Book Antiqua" w:hAnsi="Book Antiqua" w:cs="Book Antiqua"/>
          <w:b/>
          <w:bCs/>
          <w:color w:val="000000"/>
        </w:rPr>
        <w:t>s</w:t>
      </w:r>
      <w:r w:rsidRPr="00A24FC8">
        <w:rPr>
          <w:rFonts w:ascii="Book Antiqua" w:eastAsia="Book Antiqua" w:hAnsi="Book Antiqua" w:cs="Book Antiqua"/>
          <w:b/>
          <w:bCs/>
          <w:color w:val="000000"/>
        </w:rPr>
        <w:t>tudy</w:t>
      </w:r>
    </w:p>
    <w:bookmarkEnd w:id="0"/>
    <w:bookmarkEnd w:id="1"/>
    <w:p w14:paraId="6E6B2E6F" w14:textId="77777777" w:rsidR="00A77B3E" w:rsidRPr="00A24FC8" w:rsidRDefault="00A77B3E" w:rsidP="00A24FC8">
      <w:pPr>
        <w:adjustRightInd w:val="0"/>
        <w:snapToGrid w:val="0"/>
        <w:spacing w:line="360" w:lineRule="auto"/>
        <w:jc w:val="both"/>
        <w:rPr>
          <w:rFonts w:ascii="Book Antiqua" w:hAnsi="Book Antiqua"/>
        </w:rPr>
      </w:pPr>
    </w:p>
    <w:p w14:paraId="20E1402E" w14:textId="668C8EF1" w:rsidR="00A77B3E" w:rsidRPr="00A24FC8" w:rsidRDefault="00BE60DE"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Makker J </w:t>
      </w:r>
      <w:r w:rsidRPr="00A24FC8">
        <w:rPr>
          <w:rFonts w:ascii="Book Antiqua" w:eastAsia="Book Antiqua" w:hAnsi="Book Antiqua" w:cs="Book Antiqua"/>
          <w:i/>
          <w:iCs/>
          <w:color w:val="000000"/>
        </w:rPr>
        <w:t>et al.</w:t>
      </w:r>
      <w:r w:rsidRPr="00A24FC8">
        <w:rPr>
          <w:rFonts w:ascii="Book Antiqua" w:eastAsia="Book Antiqua" w:hAnsi="Book Antiqua" w:cs="Book Antiqua"/>
          <w:color w:val="000000"/>
        </w:rPr>
        <w:t xml:space="preserve"> </w:t>
      </w:r>
      <w:bookmarkStart w:id="2" w:name="OLE_LINK7"/>
      <w:bookmarkStart w:id="3" w:name="OLE_LINK8"/>
      <w:r w:rsidR="00A32083" w:rsidRPr="00A24FC8">
        <w:rPr>
          <w:rFonts w:ascii="Book Antiqua" w:eastAsia="Book Antiqua" w:hAnsi="Book Antiqua" w:cs="Book Antiqua"/>
          <w:color w:val="000000"/>
        </w:rPr>
        <w:t xml:space="preserve">Elastography in </w:t>
      </w:r>
      <w:r w:rsidRPr="00A24FC8">
        <w:rPr>
          <w:rFonts w:ascii="Book Antiqua" w:eastAsia="Book Antiqua" w:hAnsi="Book Antiqua" w:cs="Book Antiqua"/>
          <w:color w:val="000000"/>
        </w:rPr>
        <w:t>t</w:t>
      </w:r>
      <w:r w:rsidR="00A32083" w:rsidRPr="00A24FC8">
        <w:rPr>
          <w:rFonts w:ascii="Book Antiqua" w:eastAsia="Book Antiqua" w:hAnsi="Book Antiqua" w:cs="Book Antiqua"/>
          <w:color w:val="000000"/>
        </w:rPr>
        <w:t xml:space="preserve">ype 2 </w:t>
      </w:r>
      <w:r w:rsidRPr="00A24FC8">
        <w:rPr>
          <w:rFonts w:ascii="Book Antiqua" w:eastAsia="Book Antiqua" w:hAnsi="Book Antiqua" w:cs="Book Antiqua"/>
          <w:color w:val="000000"/>
        </w:rPr>
        <w:t>d</w:t>
      </w:r>
      <w:r w:rsidR="00A32083" w:rsidRPr="00A24FC8">
        <w:rPr>
          <w:rFonts w:ascii="Book Antiqua" w:eastAsia="Book Antiqua" w:hAnsi="Book Antiqua" w:cs="Book Antiqua"/>
          <w:color w:val="000000"/>
        </w:rPr>
        <w:t>iabetes</w:t>
      </w:r>
    </w:p>
    <w:bookmarkEnd w:id="2"/>
    <w:bookmarkEnd w:id="3"/>
    <w:p w14:paraId="7C67E5D2" w14:textId="77777777" w:rsidR="00A77B3E" w:rsidRPr="00A24FC8" w:rsidRDefault="00A77B3E" w:rsidP="00A24FC8">
      <w:pPr>
        <w:adjustRightInd w:val="0"/>
        <w:snapToGrid w:val="0"/>
        <w:spacing w:line="360" w:lineRule="auto"/>
        <w:jc w:val="both"/>
        <w:rPr>
          <w:rFonts w:ascii="Book Antiqua" w:hAnsi="Book Antiqua"/>
        </w:rPr>
      </w:pPr>
    </w:p>
    <w:p w14:paraId="38E8A393"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Jasbir Makker, Hassan Tariq, Kishore Kumar, Madhavi Ravi, Danial Haris Shaikh, Vivien Leung, Umar Hayat, Muhammad T Hassan, Harish Patel, Suresh Nayudu, Sridhar Chilimuri</w:t>
      </w:r>
    </w:p>
    <w:p w14:paraId="4FD802A9" w14:textId="77777777" w:rsidR="00A77B3E" w:rsidRPr="00A24FC8" w:rsidRDefault="00A77B3E" w:rsidP="00A24FC8">
      <w:pPr>
        <w:adjustRightInd w:val="0"/>
        <w:snapToGrid w:val="0"/>
        <w:spacing w:line="360" w:lineRule="auto"/>
        <w:jc w:val="both"/>
        <w:rPr>
          <w:rFonts w:ascii="Book Antiqua" w:hAnsi="Book Antiqua"/>
        </w:rPr>
      </w:pPr>
    </w:p>
    <w:p w14:paraId="2CEAF971" w14:textId="1D3902FE"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Jasbir Makker, Hassan Tariq, Kishore Kumar, Madhavi Ravi, Danial Haris Shaikh, </w:t>
      </w:r>
      <w:r w:rsidR="00FA353C" w:rsidRPr="00A24FC8">
        <w:rPr>
          <w:rFonts w:ascii="Book Antiqua" w:eastAsia="Book Antiqua" w:hAnsi="Book Antiqua" w:cs="Book Antiqua"/>
          <w:b/>
          <w:bCs/>
          <w:color w:val="000000"/>
        </w:rPr>
        <w:t xml:space="preserve">Vivien Leung, </w:t>
      </w:r>
      <w:r w:rsidRPr="00A24FC8">
        <w:rPr>
          <w:rFonts w:ascii="Book Antiqua" w:eastAsia="Book Antiqua" w:hAnsi="Book Antiqua" w:cs="Book Antiqua"/>
          <w:b/>
          <w:bCs/>
          <w:color w:val="000000"/>
        </w:rPr>
        <w:t xml:space="preserve">Harish Patel, Suresh Nayudu, Sridhar Chilimuri, </w:t>
      </w:r>
      <w:r w:rsidRPr="00A24FC8">
        <w:rPr>
          <w:rFonts w:ascii="Book Antiqua" w:eastAsia="Book Antiqua" w:hAnsi="Book Antiqua" w:cs="Book Antiqua"/>
          <w:color w:val="000000"/>
        </w:rPr>
        <w:t>Division of Gastroenterology, Department of Medicine, BronxCare Health System, Bronx, N</w:t>
      </w:r>
      <w:r w:rsidR="00BE60DE" w:rsidRPr="00A24FC8">
        <w:rPr>
          <w:rFonts w:ascii="Book Antiqua" w:eastAsia="Book Antiqua" w:hAnsi="Book Antiqua" w:cs="Book Antiqua"/>
          <w:color w:val="000000"/>
        </w:rPr>
        <w:t>Y</w:t>
      </w:r>
      <w:r w:rsidRPr="00A24FC8">
        <w:rPr>
          <w:rFonts w:ascii="Book Antiqua" w:eastAsia="Book Antiqua" w:hAnsi="Book Antiqua" w:cs="Book Antiqua"/>
          <w:color w:val="000000"/>
        </w:rPr>
        <w:t xml:space="preserve"> 10457, United States</w:t>
      </w:r>
    </w:p>
    <w:p w14:paraId="434EC10B" w14:textId="77777777" w:rsidR="00A77B3E" w:rsidRPr="00A24FC8" w:rsidRDefault="00A77B3E" w:rsidP="00A24FC8">
      <w:pPr>
        <w:adjustRightInd w:val="0"/>
        <w:snapToGrid w:val="0"/>
        <w:spacing w:line="360" w:lineRule="auto"/>
        <w:jc w:val="both"/>
        <w:rPr>
          <w:rFonts w:ascii="Book Antiqua" w:hAnsi="Book Antiqua"/>
        </w:rPr>
      </w:pPr>
    </w:p>
    <w:p w14:paraId="3F50A959" w14:textId="43EEF29A"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Umar Hayat, </w:t>
      </w:r>
      <w:r w:rsidRPr="00A24FC8">
        <w:rPr>
          <w:rFonts w:ascii="Book Antiqua" w:eastAsia="Book Antiqua" w:hAnsi="Book Antiqua" w:cs="Book Antiqua"/>
          <w:color w:val="000000"/>
        </w:rPr>
        <w:t>KU School of Medicine-Wichita, University of Kansas, Wichita, K</w:t>
      </w:r>
      <w:r w:rsidR="00BE60DE" w:rsidRPr="00A24FC8">
        <w:rPr>
          <w:rFonts w:ascii="Book Antiqua" w:eastAsia="Book Antiqua" w:hAnsi="Book Antiqua" w:cs="Book Antiqua"/>
          <w:color w:val="000000"/>
        </w:rPr>
        <w:t>S</w:t>
      </w:r>
      <w:r w:rsidRPr="00A24FC8">
        <w:rPr>
          <w:rFonts w:ascii="Book Antiqua" w:eastAsia="Book Antiqua" w:hAnsi="Book Antiqua" w:cs="Book Antiqua"/>
          <w:color w:val="000000"/>
        </w:rPr>
        <w:t xml:space="preserve"> 67214, United States</w:t>
      </w:r>
    </w:p>
    <w:p w14:paraId="147D99D2" w14:textId="77777777" w:rsidR="00A77B3E" w:rsidRPr="00A24FC8" w:rsidRDefault="00A77B3E" w:rsidP="00A24FC8">
      <w:pPr>
        <w:adjustRightInd w:val="0"/>
        <w:snapToGrid w:val="0"/>
        <w:spacing w:line="360" w:lineRule="auto"/>
        <w:jc w:val="both"/>
        <w:rPr>
          <w:rFonts w:ascii="Book Antiqua" w:hAnsi="Book Antiqua"/>
        </w:rPr>
      </w:pPr>
    </w:p>
    <w:p w14:paraId="3182C2A4" w14:textId="1B63D7E8"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Muhammad T Hassan, </w:t>
      </w:r>
      <w:r w:rsidRPr="00A24FC8">
        <w:rPr>
          <w:rFonts w:ascii="Book Antiqua" w:eastAsia="Book Antiqua" w:hAnsi="Book Antiqua" w:cs="Book Antiqua"/>
          <w:color w:val="000000"/>
        </w:rPr>
        <w:t>Department of Medicine, BronxCare Health System, Bronx, N</w:t>
      </w:r>
      <w:r w:rsidR="00BE60DE" w:rsidRPr="00A24FC8">
        <w:rPr>
          <w:rFonts w:ascii="Book Antiqua" w:eastAsia="Book Antiqua" w:hAnsi="Book Antiqua" w:cs="Book Antiqua"/>
          <w:color w:val="000000"/>
        </w:rPr>
        <w:t>Y</w:t>
      </w:r>
      <w:r w:rsidRPr="00A24FC8">
        <w:rPr>
          <w:rFonts w:ascii="Book Antiqua" w:eastAsia="Book Antiqua" w:hAnsi="Book Antiqua" w:cs="Book Antiqua"/>
          <w:color w:val="000000"/>
        </w:rPr>
        <w:t xml:space="preserve"> 10457, United States</w:t>
      </w:r>
    </w:p>
    <w:p w14:paraId="0071CDA5" w14:textId="77777777" w:rsidR="00A77B3E" w:rsidRPr="00A24FC8" w:rsidRDefault="00A77B3E" w:rsidP="00A24FC8">
      <w:pPr>
        <w:adjustRightInd w:val="0"/>
        <w:snapToGrid w:val="0"/>
        <w:spacing w:line="360" w:lineRule="auto"/>
        <w:jc w:val="both"/>
        <w:rPr>
          <w:rFonts w:ascii="Book Antiqua" w:hAnsi="Book Antiqua"/>
        </w:rPr>
      </w:pPr>
    </w:p>
    <w:p w14:paraId="28EAF208" w14:textId="3E2B1745"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Author contributions:</w:t>
      </w:r>
      <w:r w:rsidRPr="00A24FC8">
        <w:rPr>
          <w:rFonts w:ascii="Book Antiqua" w:eastAsia="Book Antiqua" w:hAnsi="Book Antiqua" w:cs="Book Antiqua"/>
          <w:color w:val="000000"/>
        </w:rPr>
        <w:t xml:space="preserve"> </w:t>
      </w:r>
      <w:bookmarkStart w:id="4" w:name="OLE_LINK29"/>
      <w:r w:rsidRPr="00A24FC8">
        <w:rPr>
          <w:rFonts w:ascii="Book Antiqua" w:eastAsia="Book Antiqua" w:hAnsi="Book Antiqua" w:cs="Book Antiqua"/>
          <w:color w:val="000000"/>
        </w:rPr>
        <w:t>Makker</w:t>
      </w:r>
      <w:r w:rsidR="00BE60DE" w:rsidRPr="00A24FC8">
        <w:rPr>
          <w:rFonts w:ascii="Book Antiqua" w:eastAsia="Book Antiqua" w:hAnsi="Book Antiqua" w:cs="Book Antiqua"/>
          <w:color w:val="000000"/>
        </w:rPr>
        <w:t xml:space="preserve"> J</w:t>
      </w:r>
      <w:r w:rsidRPr="00A24FC8">
        <w:rPr>
          <w:rFonts w:ascii="Book Antiqua" w:eastAsia="Book Antiqua" w:hAnsi="Book Antiqua" w:cs="Book Antiqua"/>
          <w:color w:val="000000"/>
        </w:rPr>
        <w:t xml:space="preserve"> and Tariq</w:t>
      </w:r>
      <w:r w:rsidR="00BE60DE" w:rsidRPr="00A24FC8">
        <w:rPr>
          <w:rFonts w:ascii="Book Antiqua" w:eastAsia="Book Antiqua" w:hAnsi="Book Antiqua" w:cs="Book Antiqua"/>
          <w:color w:val="000000"/>
        </w:rPr>
        <w:t xml:space="preserve"> H</w:t>
      </w:r>
      <w:r w:rsidRPr="00A24FC8">
        <w:rPr>
          <w:rFonts w:ascii="Book Antiqua" w:eastAsia="Book Antiqua" w:hAnsi="Book Antiqua" w:cs="Book Antiqua"/>
          <w:color w:val="000000"/>
        </w:rPr>
        <w:t xml:space="preserve"> designed and performed the study, analyzed the data, and drafted the manuscript; Kumar</w:t>
      </w:r>
      <w:r w:rsidR="00BE60DE" w:rsidRPr="00A24FC8">
        <w:rPr>
          <w:rFonts w:ascii="Book Antiqua" w:eastAsia="Book Antiqua" w:hAnsi="Book Antiqua" w:cs="Book Antiqua"/>
          <w:color w:val="000000"/>
        </w:rPr>
        <w:t xml:space="preserve"> K</w:t>
      </w:r>
      <w:r w:rsidRPr="00A24FC8">
        <w:rPr>
          <w:rFonts w:ascii="Book Antiqua" w:eastAsia="Book Antiqua" w:hAnsi="Book Antiqua" w:cs="Book Antiqua"/>
          <w:color w:val="000000"/>
        </w:rPr>
        <w:t xml:space="preserve"> and Ravi</w:t>
      </w:r>
      <w:r w:rsidR="00BE60DE" w:rsidRPr="00A24FC8">
        <w:rPr>
          <w:rFonts w:ascii="Book Antiqua" w:eastAsia="Book Antiqua" w:hAnsi="Book Antiqua" w:cs="Book Antiqua"/>
          <w:color w:val="000000"/>
        </w:rPr>
        <w:t xml:space="preserve"> M</w:t>
      </w:r>
      <w:r w:rsidRPr="00A24FC8">
        <w:rPr>
          <w:rFonts w:ascii="Book Antiqua" w:eastAsia="Book Antiqua" w:hAnsi="Book Antiqua" w:cs="Book Antiqua"/>
          <w:color w:val="000000"/>
        </w:rPr>
        <w:t xml:space="preserve"> collected the clinical data and performed Liver elastography; Hayat</w:t>
      </w:r>
      <w:r w:rsidR="00BE60DE" w:rsidRPr="00A24FC8">
        <w:rPr>
          <w:rFonts w:ascii="Book Antiqua" w:eastAsia="Book Antiqua" w:hAnsi="Book Antiqua" w:cs="Book Antiqua"/>
          <w:color w:val="000000"/>
        </w:rPr>
        <w:t xml:space="preserve"> U</w:t>
      </w:r>
      <w:r w:rsidRPr="00A24FC8">
        <w:rPr>
          <w:rFonts w:ascii="Book Antiqua" w:eastAsia="Book Antiqua" w:hAnsi="Book Antiqua" w:cs="Book Antiqua"/>
          <w:color w:val="000000"/>
        </w:rPr>
        <w:t xml:space="preserve"> and Patel</w:t>
      </w:r>
      <w:r w:rsidR="00BE60DE" w:rsidRPr="00A24FC8">
        <w:rPr>
          <w:rFonts w:ascii="Book Antiqua" w:eastAsia="Book Antiqua" w:hAnsi="Book Antiqua" w:cs="Book Antiqua"/>
          <w:color w:val="000000"/>
        </w:rPr>
        <w:t xml:space="preserve"> H</w:t>
      </w:r>
      <w:r w:rsidRPr="00A24FC8">
        <w:rPr>
          <w:rFonts w:ascii="Book Antiqua" w:eastAsia="Book Antiqua" w:hAnsi="Book Antiqua" w:cs="Book Antiqua"/>
          <w:color w:val="000000"/>
        </w:rPr>
        <w:t xml:space="preserve"> performed the bio statistical analysis; Shaikh</w:t>
      </w:r>
      <w:r w:rsidR="00BE60DE" w:rsidRPr="00A24FC8">
        <w:rPr>
          <w:rFonts w:ascii="Book Antiqua" w:eastAsia="Book Antiqua" w:hAnsi="Book Antiqua" w:cs="Book Antiqua"/>
          <w:color w:val="000000"/>
        </w:rPr>
        <w:t xml:space="preserve"> D</w:t>
      </w:r>
      <w:r w:rsidR="00D76FA1" w:rsidRPr="00A24FC8">
        <w:rPr>
          <w:rFonts w:ascii="Book Antiqua" w:eastAsia="Book Antiqua" w:hAnsi="Book Antiqua" w:cs="Book Antiqua"/>
          <w:color w:val="000000"/>
        </w:rPr>
        <w:t>H</w:t>
      </w:r>
      <w:r w:rsidRPr="00A24FC8">
        <w:rPr>
          <w:rFonts w:ascii="Book Antiqua" w:eastAsia="Book Antiqua" w:hAnsi="Book Antiqua" w:cs="Book Antiqua"/>
          <w:color w:val="000000"/>
        </w:rPr>
        <w:t>, Hassan</w:t>
      </w:r>
      <w:r w:rsidR="00BE60DE" w:rsidRPr="00A24FC8">
        <w:rPr>
          <w:rFonts w:ascii="Book Antiqua" w:eastAsia="Book Antiqua" w:hAnsi="Book Antiqua" w:cs="Book Antiqua"/>
          <w:color w:val="000000"/>
        </w:rPr>
        <w:t xml:space="preserve"> MT</w:t>
      </w:r>
      <w:r w:rsidRPr="00A24FC8">
        <w:rPr>
          <w:rFonts w:ascii="Book Antiqua" w:eastAsia="Book Antiqua" w:hAnsi="Book Antiqua" w:cs="Book Antiqua"/>
          <w:color w:val="000000"/>
        </w:rPr>
        <w:t>, Patel</w:t>
      </w:r>
      <w:r w:rsidR="00BE60DE" w:rsidRPr="00A24FC8">
        <w:rPr>
          <w:rFonts w:ascii="Book Antiqua" w:eastAsia="Book Antiqua" w:hAnsi="Book Antiqua" w:cs="Book Antiqua"/>
          <w:color w:val="000000"/>
        </w:rPr>
        <w:t xml:space="preserve"> H</w:t>
      </w:r>
      <w:r w:rsidRPr="00A24FC8">
        <w:rPr>
          <w:rFonts w:ascii="Book Antiqua" w:eastAsia="Book Antiqua" w:hAnsi="Book Antiqua" w:cs="Book Antiqua"/>
          <w:color w:val="000000"/>
        </w:rPr>
        <w:t xml:space="preserve"> and Leung</w:t>
      </w:r>
      <w:r w:rsidR="00BE60DE" w:rsidRPr="00A24FC8">
        <w:rPr>
          <w:rFonts w:ascii="Book Antiqua" w:eastAsia="Book Antiqua" w:hAnsi="Book Antiqua" w:cs="Book Antiqua"/>
          <w:color w:val="000000"/>
        </w:rPr>
        <w:t xml:space="preserve"> </w:t>
      </w:r>
      <w:r w:rsidR="00BE60DE" w:rsidRPr="00A24FC8">
        <w:rPr>
          <w:rFonts w:ascii="Book Antiqua" w:eastAsia="Book Antiqua" w:hAnsi="Book Antiqua" w:cs="Book Antiqua"/>
          <w:color w:val="000000"/>
        </w:rPr>
        <w:lastRenderedPageBreak/>
        <w:t>V</w:t>
      </w:r>
      <w:r w:rsidRPr="00A24FC8">
        <w:rPr>
          <w:rFonts w:ascii="Book Antiqua" w:eastAsia="Book Antiqua" w:hAnsi="Book Antiqua" w:cs="Book Antiqua"/>
          <w:color w:val="000000"/>
        </w:rPr>
        <w:t xml:space="preserve"> made critical revisions to the manuscript; Nayudu</w:t>
      </w:r>
      <w:r w:rsidR="00BE60DE" w:rsidRPr="00A24FC8">
        <w:rPr>
          <w:rFonts w:ascii="Book Antiqua" w:eastAsia="Book Antiqua" w:hAnsi="Book Antiqua" w:cs="Book Antiqua"/>
          <w:color w:val="000000"/>
        </w:rPr>
        <w:t xml:space="preserve"> S</w:t>
      </w:r>
      <w:r w:rsidRPr="00A24FC8">
        <w:rPr>
          <w:rFonts w:ascii="Book Antiqua" w:eastAsia="Book Antiqua" w:hAnsi="Book Antiqua" w:cs="Book Antiqua"/>
          <w:color w:val="000000"/>
        </w:rPr>
        <w:t xml:space="preserve"> and Chilimuri</w:t>
      </w:r>
      <w:r w:rsidR="00BE60DE" w:rsidRPr="00A24FC8">
        <w:rPr>
          <w:rFonts w:ascii="Book Antiqua" w:eastAsia="Book Antiqua" w:hAnsi="Book Antiqua" w:cs="Book Antiqua"/>
          <w:color w:val="000000"/>
        </w:rPr>
        <w:t xml:space="preserve"> S</w:t>
      </w:r>
      <w:r w:rsidRPr="00A24FC8">
        <w:rPr>
          <w:rFonts w:ascii="Book Antiqua" w:eastAsia="Book Antiqua" w:hAnsi="Book Antiqua" w:cs="Book Antiqua"/>
          <w:color w:val="000000"/>
        </w:rPr>
        <w:t xml:space="preserve"> supervised the study performance, reviewed the manuscript and gave final approval of the version of the article to be published.</w:t>
      </w:r>
    </w:p>
    <w:bookmarkEnd w:id="4"/>
    <w:p w14:paraId="5853F47F" w14:textId="77777777" w:rsidR="00A77B3E" w:rsidRPr="00A24FC8" w:rsidRDefault="00A77B3E" w:rsidP="00A24FC8">
      <w:pPr>
        <w:adjustRightInd w:val="0"/>
        <w:snapToGrid w:val="0"/>
        <w:spacing w:line="360" w:lineRule="auto"/>
        <w:jc w:val="both"/>
        <w:rPr>
          <w:rFonts w:ascii="Book Antiqua" w:hAnsi="Book Antiqua"/>
        </w:rPr>
      </w:pPr>
    </w:p>
    <w:p w14:paraId="27D79E71" w14:textId="722E9C61"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Corresponding author: Jasbir Makker, MBBS, Attending Doctor, </w:t>
      </w:r>
      <w:r w:rsidRPr="00A24FC8">
        <w:rPr>
          <w:rFonts w:ascii="Book Antiqua" w:eastAsia="Book Antiqua" w:hAnsi="Book Antiqua" w:cs="Book Antiqua"/>
          <w:color w:val="000000"/>
        </w:rPr>
        <w:t>Division of Gastroenterology, Department of Medicine, BronxCare Health System, 1650 Selwyn Avenue, Apt 10C, Bronx, N</w:t>
      </w:r>
      <w:r w:rsidR="00BE60DE" w:rsidRPr="00A24FC8">
        <w:rPr>
          <w:rFonts w:ascii="Book Antiqua" w:eastAsia="Book Antiqua" w:hAnsi="Book Antiqua" w:cs="Book Antiqua"/>
          <w:color w:val="000000"/>
        </w:rPr>
        <w:t>Y</w:t>
      </w:r>
      <w:r w:rsidRPr="00A24FC8">
        <w:rPr>
          <w:rFonts w:ascii="Book Antiqua" w:eastAsia="Book Antiqua" w:hAnsi="Book Antiqua" w:cs="Book Antiqua"/>
          <w:color w:val="000000"/>
        </w:rPr>
        <w:t xml:space="preserve"> 10457, United States. jmakker@bronxcare.org</w:t>
      </w:r>
    </w:p>
    <w:p w14:paraId="15E61F3C" w14:textId="77777777" w:rsidR="00A77B3E" w:rsidRPr="00A24FC8" w:rsidRDefault="00A77B3E" w:rsidP="00A24FC8">
      <w:pPr>
        <w:adjustRightInd w:val="0"/>
        <w:snapToGrid w:val="0"/>
        <w:spacing w:line="360" w:lineRule="auto"/>
        <w:jc w:val="both"/>
        <w:rPr>
          <w:rFonts w:ascii="Book Antiqua" w:hAnsi="Book Antiqua"/>
        </w:rPr>
      </w:pPr>
    </w:p>
    <w:p w14:paraId="3848ED88"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Received: </w:t>
      </w:r>
      <w:r w:rsidRPr="00A24FC8">
        <w:rPr>
          <w:rFonts w:ascii="Book Antiqua" w:eastAsia="Book Antiqua" w:hAnsi="Book Antiqua" w:cs="Book Antiqua"/>
          <w:color w:val="000000"/>
        </w:rPr>
        <w:t>November 7, 2020</w:t>
      </w:r>
    </w:p>
    <w:p w14:paraId="60CD3EBD" w14:textId="3ADB5335" w:rsidR="00A77B3E" w:rsidRPr="00A24FC8" w:rsidRDefault="00A32083" w:rsidP="00A24FC8">
      <w:pPr>
        <w:adjustRightInd w:val="0"/>
        <w:snapToGrid w:val="0"/>
        <w:spacing w:line="360" w:lineRule="auto"/>
        <w:jc w:val="both"/>
        <w:rPr>
          <w:rFonts w:ascii="Book Antiqua" w:eastAsia="Book Antiqua" w:hAnsi="Book Antiqua" w:cs="Book Antiqua"/>
          <w:color w:val="000000"/>
        </w:rPr>
      </w:pPr>
      <w:r w:rsidRPr="00A24FC8">
        <w:rPr>
          <w:rFonts w:ascii="Book Antiqua" w:eastAsia="Book Antiqua" w:hAnsi="Book Antiqua" w:cs="Book Antiqua"/>
          <w:b/>
          <w:bCs/>
          <w:color w:val="000000"/>
        </w:rPr>
        <w:t xml:space="preserve">Revised: </w:t>
      </w:r>
      <w:r w:rsidR="00BE60DE" w:rsidRPr="00A24FC8">
        <w:rPr>
          <w:rFonts w:ascii="Book Antiqua" w:eastAsia="Book Antiqua" w:hAnsi="Book Antiqua" w:cs="Book Antiqua"/>
          <w:color w:val="000000"/>
        </w:rPr>
        <w:t>December 12, 2020</w:t>
      </w:r>
    </w:p>
    <w:p w14:paraId="3CECCBAD" w14:textId="03539C1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Accepted: </w:t>
      </w:r>
      <w:r w:rsidR="00BC5872" w:rsidRPr="00BC5872">
        <w:rPr>
          <w:rFonts w:ascii="Book Antiqua" w:eastAsia="Book Antiqua" w:hAnsi="Book Antiqua" w:cs="Book Antiqua"/>
          <w:color w:val="000000"/>
        </w:rPr>
        <w:t>December 27, 2020</w:t>
      </w:r>
    </w:p>
    <w:p w14:paraId="634E7EB7" w14:textId="5F4C2AFF"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Published online: </w:t>
      </w:r>
      <w:r w:rsidR="00E03861" w:rsidRPr="00E03861">
        <w:rPr>
          <w:rFonts w:ascii="Book Antiqua" w:eastAsia="Book Antiqua" w:hAnsi="Book Antiqua" w:cs="Book Antiqua"/>
          <w:bCs/>
          <w:color w:val="000000"/>
        </w:rPr>
        <w:t>February</w:t>
      </w:r>
      <w:r w:rsidR="00E03861">
        <w:rPr>
          <w:rFonts w:ascii="Book Antiqua" w:hAnsi="Book Antiqua" w:cs="Book Antiqua" w:hint="eastAsia"/>
          <w:bCs/>
          <w:color w:val="000000"/>
          <w:lang w:eastAsia="zh-CN"/>
        </w:rPr>
        <w:t xml:space="preserve"> </w:t>
      </w:r>
      <w:r w:rsidR="00E67B8C">
        <w:rPr>
          <w:rFonts w:ascii="Book Antiqua" w:hAnsi="Book Antiqua" w:cs="Book Antiqua" w:hint="eastAsia"/>
          <w:bCs/>
          <w:color w:val="000000"/>
          <w:lang w:eastAsia="zh-CN"/>
        </w:rPr>
        <w:t>14</w:t>
      </w:r>
      <w:r w:rsidR="009B5665" w:rsidRPr="00A84834">
        <w:rPr>
          <w:rFonts w:ascii="Book Antiqua" w:hAnsi="Book Antiqua" w:cs="Book Antiqua" w:hint="eastAsia"/>
          <w:bCs/>
          <w:color w:val="000000"/>
          <w:lang w:eastAsia="zh-CN"/>
        </w:rPr>
        <w:t>, 202</w:t>
      </w:r>
      <w:r w:rsidR="0064002D">
        <w:rPr>
          <w:rFonts w:ascii="Book Antiqua" w:hAnsi="Book Antiqua" w:cs="Book Antiqua" w:hint="eastAsia"/>
          <w:bCs/>
          <w:color w:val="000000"/>
          <w:lang w:eastAsia="zh-CN"/>
        </w:rPr>
        <w:t>1</w:t>
      </w:r>
    </w:p>
    <w:p w14:paraId="55602EA3" w14:textId="77777777" w:rsidR="00A77B3E" w:rsidRPr="00A24FC8" w:rsidRDefault="00A77B3E" w:rsidP="00A24FC8">
      <w:pPr>
        <w:adjustRightInd w:val="0"/>
        <w:snapToGrid w:val="0"/>
        <w:spacing w:line="360" w:lineRule="auto"/>
        <w:jc w:val="both"/>
        <w:rPr>
          <w:rFonts w:ascii="Book Antiqua" w:hAnsi="Book Antiqua"/>
        </w:rPr>
        <w:sectPr w:rsidR="00A77B3E" w:rsidRPr="00A24FC8" w:rsidSect="00FA353C">
          <w:footerReference w:type="default" r:id="rId7"/>
          <w:type w:val="continuous"/>
          <w:pgSz w:w="12240" w:h="15840"/>
          <w:pgMar w:top="1440" w:right="1800" w:bottom="1440" w:left="1800" w:header="720" w:footer="720" w:gutter="0"/>
          <w:cols w:space="720"/>
          <w:docGrid w:linePitch="360"/>
        </w:sectPr>
      </w:pPr>
    </w:p>
    <w:p w14:paraId="65E9FC3A" w14:textId="2F349042" w:rsidR="00A77B3E" w:rsidRPr="00A24FC8" w:rsidRDefault="00FA353C"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br w:type="page"/>
      </w:r>
      <w:r w:rsidR="00A32083" w:rsidRPr="00A24FC8">
        <w:rPr>
          <w:rFonts w:ascii="Book Antiqua" w:eastAsia="Book Antiqua" w:hAnsi="Book Antiqua" w:cs="Book Antiqua"/>
          <w:b/>
          <w:color w:val="000000"/>
        </w:rPr>
        <w:t>Abstract</w:t>
      </w:r>
    </w:p>
    <w:p w14:paraId="5C7E352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BACKGROUND</w:t>
      </w:r>
    </w:p>
    <w:p w14:paraId="70CB0611" w14:textId="1E3A12A1" w:rsidR="00A77B3E" w:rsidRPr="00A24FC8" w:rsidRDefault="00A32083" w:rsidP="00A24FC8">
      <w:pPr>
        <w:adjustRightInd w:val="0"/>
        <w:snapToGrid w:val="0"/>
        <w:spacing w:line="360" w:lineRule="auto"/>
        <w:jc w:val="both"/>
        <w:rPr>
          <w:rFonts w:ascii="Book Antiqua" w:hAnsi="Book Antiqua"/>
        </w:rPr>
      </w:pPr>
      <w:bookmarkStart w:id="5" w:name="OLE_LINK33"/>
      <w:bookmarkStart w:id="6" w:name="OLE_LINK34"/>
      <w:r w:rsidRPr="00A24FC8">
        <w:rPr>
          <w:rFonts w:ascii="Book Antiqua" w:eastAsia="Book Antiqua" w:hAnsi="Book Antiqua" w:cs="Book Antiqua"/>
          <w:color w:val="000000"/>
        </w:rPr>
        <w:t>Nonalcoholic fatty liver disease (NAFLD) and type-2 diabetes mellitus (T2DM) have an intricate bidirectional relationship. Individuals with T2DM, not only have a higher prevalence of non-alcoholic steatosis, but also carry a higher risk of progression to nonalcoholic steatohepatitis. Experts still differ in their recommendations of screening for NAFLD among patients with T2DM.</w:t>
      </w:r>
    </w:p>
    <w:bookmarkEnd w:id="5"/>
    <w:bookmarkEnd w:id="6"/>
    <w:p w14:paraId="37B4AAA5" w14:textId="77777777" w:rsidR="00A77B3E" w:rsidRPr="00A24FC8" w:rsidRDefault="00A77B3E" w:rsidP="00A24FC8">
      <w:pPr>
        <w:adjustRightInd w:val="0"/>
        <w:snapToGrid w:val="0"/>
        <w:spacing w:line="360" w:lineRule="auto"/>
        <w:jc w:val="both"/>
        <w:rPr>
          <w:rFonts w:ascii="Book Antiqua" w:hAnsi="Book Antiqua"/>
        </w:rPr>
      </w:pPr>
    </w:p>
    <w:p w14:paraId="29034825"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AIM</w:t>
      </w:r>
    </w:p>
    <w:p w14:paraId="7DF382DD"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To study the prevalence of NAFLD and advanced fibrosis among our patient population with T2DM.</w:t>
      </w:r>
    </w:p>
    <w:p w14:paraId="01F046CF" w14:textId="77777777" w:rsidR="00A77B3E" w:rsidRPr="00A24FC8" w:rsidRDefault="00A77B3E" w:rsidP="00A24FC8">
      <w:pPr>
        <w:adjustRightInd w:val="0"/>
        <w:snapToGrid w:val="0"/>
        <w:spacing w:line="360" w:lineRule="auto"/>
        <w:jc w:val="both"/>
        <w:rPr>
          <w:rFonts w:ascii="Book Antiqua" w:hAnsi="Book Antiqua"/>
        </w:rPr>
      </w:pPr>
    </w:p>
    <w:p w14:paraId="79D923AD"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METHODS</w:t>
      </w:r>
    </w:p>
    <w:p w14:paraId="1A3A91B3" w14:textId="77777777" w:rsidR="00A77B3E" w:rsidRPr="00A24FC8" w:rsidRDefault="00A32083" w:rsidP="00A24FC8">
      <w:pPr>
        <w:adjustRightInd w:val="0"/>
        <w:snapToGrid w:val="0"/>
        <w:spacing w:line="360" w:lineRule="auto"/>
        <w:jc w:val="both"/>
        <w:rPr>
          <w:rFonts w:ascii="Book Antiqua" w:hAnsi="Book Antiqua"/>
        </w:rPr>
      </w:pPr>
      <w:bookmarkStart w:id="7" w:name="OLE_LINK35"/>
      <w:bookmarkStart w:id="8" w:name="OLE_LINK36"/>
      <w:r w:rsidRPr="00A24FC8">
        <w:rPr>
          <w:rFonts w:ascii="Book Antiqua" w:eastAsia="Book Antiqua" w:hAnsi="Book Antiqua" w:cs="Book Antiqua"/>
          <w:color w:val="000000"/>
        </w:rPr>
        <w:t>During the study period (November 2018 to January 2020), 59 adult patients with T2DM and 26 non-diabetic control group individuals were recruited prospectively. Patients with known significant liver disease and alcohol use were excluded. Demographic data and lab parameters were recorded. Liver elastography was performed in all patients.</w:t>
      </w:r>
    </w:p>
    <w:bookmarkEnd w:id="7"/>
    <w:bookmarkEnd w:id="8"/>
    <w:p w14:paraId="53F42F28" w14:textId="77777777" w:rsidR="00A77B3E" w:rsidRPr="00A24FC8" w:rsidRDefault="00A77B3E" w:rsidP="00A24FC8">
      <w:pPr>
        <w:adjustRightInd w:val="0"/>
        <w:snapToGrid w:val="0"/>
        <w:spacing w:line="360" w:lineRule="auto"/>
        <w:jc w:val="both"/>
        <w:rPr>
          <w:rFonts w:ascii="Book Antiqua" w:hAnsi="Book Antiqua"/>
        </w:rPr>
      </w:pPr>
    </w:p>
    <w:p w14:paraId="59C1F50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RESULTS</w:t>
      </w:r>
    </w:p>
    <w:p w14:paraId="00E23C81" w14:textId="6BB378CE" w:rsidR="00A77B3E" w:rsidRPr="00A24FC8" w:rsidRDefault="00A32083" w:rsidP="00A24FC8">
      <w:pPr>
        <w:adjustRightInd w:val="0"/>
        <w:snapToGrid w:val="0"/>
        <w:spacing w:line="360" w:lineRule="auto"/>
        <w:jc w:val="both"/>
        <w:rPr>
          <w:rFonts w:ascii="Book Antiqua" w:hAnsi="Book Antiqua"/>
        </w:rPr>
      </w:pPr>
      <w:bookmarkStart w:id="9" w:name="OLE_LINK37"/>
      <w:bookmarkStart w:id="10" w:name="OLE_LINK38"/>
      <w:r w:rsidRPr="00A24FC8">
        <w:rPr>
          <w:rFonts w:ascii="Book Antiqua" w:eastAsia="Book Antiqua" w:hAnsi="Book Antiqua" w:cs="Book Antiqua"/>
          <w:color w:val="000000"/>
        </w:rPr>
        <w:t>In the study group comprised of patients with T2DM and normal alanine aminotransferase levels (mean 17.8 ± 7 U/L), 81% had hepatic steatosis as diagnosed by elastography. Advanced hepatic fibrosis (stage F3 or F4) was present in 12% of patients with T2DM as compared to none in the control group. Patients with T2DM also had higher number of indi</w:t>
      </w:r>
      <w:r w:rsidR="00FA353C" w:rsidRPr="00A24FC8">
        <w:rPr>
          <w:rFonts w:ascii="Book Antiqua" w:eastAsia="Book Antiqua" w:hAnsi="Book Antiqua" w:cs="Book Antiqua"/>
          <w:color w:val="000000"/>
        </w:rPr>
        <w:t>viduals with grade 3 steatosis [</w:t>
      </w:r>
      <w:r w:rsidRPr="00A24FC8">
        <w:rPr>
          <w:rFonts w:ascii="Book Antiqua" w:eastAsia="Book Antiqua" w:hAnsi="Book Antiqua" w:cs="Book Antiqua"/>
          <w:color w:val="000000"/>
        </w:rPr>
        <w:t xml:space="preserve">45.8% </w:t>
      </w:r>
      <w:r w:rsidRPr="00A24FC8">
        <w:rPr>
          <w:rFonts w:ascii="Book Antiqua" w:eastAsia="Book Antiqua" w:hAnsi="Book Antiqua" w:cs="Book Antiqua"/>
          <w:i/>
          <w:iCs/>
          <w:color w:val="000000"/>
        </w:rPr>
        <w:t>vs</w:t>
      </w:r>
      <w:r w:rsidRPr="00A24FC8">
        <w:rPr>
          <w:rFonts w:ascii="Book Antiqua" w:eastAsia="Book Antiqua" w:hAnsi="Book Antiqua" w:cs="Book Antiqua"/>
          <w:color w:val="000000"/>
        </w:rPr>
        <w:t xml:space="preserve"> 11.5%, (</w:t>
      </w:r>
      <w:r w:rsidR="00BE60DE" w:rsidRPr="00A24FC8">
        <w:rPr>
          <w:rFonts w:ascii="Book Antiqua" w:eastAsia="Book Antiqua" w:hAnsi="Book Antiqua" w:cs="Book Antiqua"/>
          <w:i/>
          <w:iCs/>
          <w:color w:val="000000"/>
        </w:rPr>
        <w:t>P</w:t>
      </w:r>
      <w:r w:rsidRPr="00A24FC8">
        <w:rPr>
          <w:rFonts w:ascii="Book Antiqua" w:eastAsia="Book Antiqua" w:hAnsi="Book Antiqua" w:cs="Book Antiqua"/>
          <w:color w:val="000000"/>
        </w:rPr>
        <w:t xml:space="preserve"> &lt; 0.00001) and metabolic syndrome (84.7% </w:t>
      </w:r>
      <w:r w:rsidRPr="00A24FC8">
        <w:rPr>
          <w:rFonts w:ascii="Book Antiqua" w:eastAsia="Book Antiqua" w:hAnsi="Book Antiqua" w:cs="Book Antiqua"/>
          <w:i/>
          <w:iCs/>
          <w:color w:val="000000"/>
        </w:rPr>
        <w:t>vs</w:t>
      </w:r>
      <w:r w:rsidRPr="00A24FC8">
        <w:rPr>
          <w:rFonts w:ascii="Book Antiqua" w:eastAsia="Book Antiqua" w:hAnsi="Book Antiqua" w:cs="Book Antiqua"/>
          <w:color w:val="000000"/>
        </w:rPr>
        <w:t xml:space="preserve"> 11.5%, </w:t>
      </w:r>
      <w:r w:rsidR="00BE60DE" w:rsidRPr="00A24FC8">
        <w:rPr>
          <w:rFonts w:ascii="Book Antiqua" w:eastAsia="Book Antiqua" w:hAnsi="Book Antiqua" w:cs="Book Antiqua"/>
          <w:i/>
          <w:iCs/>
          <w:color w:val="000000"/>
        </w:rPr>
        <w:t>P</w:t>
      </w:r>
      <w:r w:rsidRPr="00A24FC8">
        <w:rPr>
          <w:rFonts w:ascii="Book Antiqua" w:eastAsia="Book Antiqua" w:hAnsi="Book Antiqua" w:cs="Book Antiqua"/>
          <w:color w:val="000000"/>
        </w:rPr>
        <w:t xml:space="preserve"> &lt; 0.00001)</w:t>
      </w:r>
      <w:r w:rsidR="00FA353C" w:rsidRPr="00A24FC8">
        <w:rPr>
          <w:rFonts w:ascii="Book Antiqua" w:eastAsia="Book Antiqua" w:hAnsi="Book Antiqua" w:cs="Book Antiqua"/>
          <w:color w:val="000000"/>
        </w:rPr>
        <w:t>]</w:t>
      </w:r>
      <w:r w:rsidRPr="00A24FC8">
        <w:rPr>
          <w:rFonts w:ascii="Book Antiqua" w:eastAsia="Book Antiqua" w:hAnsi="Book Antiqua" w:cs="Book Antiqua"/>
          <w:color w:val="000000"/>
        </w:rPr>
        <w:t>.</w:t>
      </w:r>
    </w:p>
    <w:bookmarkEnd w:id="9"/>
    <w:bookmarkEnd w:id="10"/>
    <w:p w14:paraId="0237D95D" w14:textId="77777777" w:rsidR="00A77B3E" w:rsidRPr="00A24FC8" w:rsidRDefault="00A77B3E" w:rsidP="00A24FC8">
      <w:pPr>
        <w:adjustRightInd w:val="0"/>
        <w:snapToGrid w:val="0"/>
        <w:spacing w:line="360" w:lineRule="auto"/>
        <w:jc w:val="both"/>
        <w:rPr>
          <w:rFonts w:ascii="Book Antiqua" w:hAnsi="Book Antiqua"/>
        </w:rPr>
      </w:pPr>
    </w:p>
    <w:p w14:paraId="339A769D"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CONCLUSION</w:t>
      </w:r>
    </w:p>
    <w:p w14:paraId="47C5425B" w14:textId="77777777" w:rsidR="00A77B3E" w:rsidRPr="00A24FC8" w:rsidRDefault="00A32083" w:rsidP="00A24FC8">
      <w:pPr>
        <w:adjustRightInd w:val="0"/>
        <w:snapToGrid w:val="0"/>
        <w:spacing w:line="360" w:lineRule="auto"/>
        <w:jc w:val="both"/>
        <w:rPr>
          <w:rFonts w:ascii="Book Antiqua" w:hAnsi="Book Antiqua"/>
        </w:rPr>
      </w:pPr>
      <w:bookmarkStart w:id="11" w:name="OLE_LINK1"/>
      <w:bookmarkStart w:id="12" w:name="OLE_LINK2"/>
      <w:r w:rsidRPr="00A24FC8">
        <w:rPr>
          <w:rFonts w:ascii="Book Antiqua" w:eastAsia="Book Antiqua" w:hAnsi="Book Antiqua" w:cs="Book Antiqua"/>
          <w:color w:val="000000"/>
        </w:rPr>
        <w:t xml:space="preserve">A significant number of patients with T2DM, despite having normal transaminase levels, have NAFLD, grade 3 steatosis and advanced hepatic fibrosis as measured by liver elastography. </w:t>
      </w:r>
    </w:p>
    <w:bookmarkEnd w:id="11"/>
    <w:bookmarkEnd w:id="12"/>
    <w:p w14:paraId="758F7C07" w14:textId="77777777" w:rsidR="00A77B3E" w:rsidRPr="00A24FC8" w:rsidRDefault="00A77B3E" w:rsidP="00A24FC8">
      <w:pPr>
        <w:adjustRightInd w:val="0"/>
        <w:snapToGrid w:val="0"/>
        <w:spacing w:line="360" w:lineRule="auto"/>
        <w:jc w:val="both"/>
        <w:rPr>
          <w:rFonts w:ascii="Book Antiqua" w:hAnsi="Book Antiqua"/>
        </w:rPr>
      </w:pPr>
    </w:p>
    <w:p w14:paraId="1C960E55" w14:textId="2AE2B43C"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Key Words: </w:t>
      </w:r>
      <w:bookmarkStart w:id="13" w:name="OLE_LINK19"/>
      <w:bookmarkStart w:id="14" w:name="OLE_LINK20"/>
      <w:bookmarkStart w:id="15" w:name="OLE_LINK30"/>
      <w:bookmarkStart w:id="16" w:name="OLE_LINK31"/>
      <w:r w:rsidRPr="00A24FC8">
        <w:rPr>
          <w:rFonts w:ascii="Book Antiqua" w:eastAsia="Book Antiqua" w:hAnsi="Book Antiqua" w:cs="Book Antiqua"/>
          <w:color w:val="000000"/>
        </w:rPr>
        <w:t xml:space="preserve">Advanced </w:t>
      </w:r>
      <w:r w:rsidR="00FA353C" w:rsidRPr="00A24FC8">
        <w:rPr>
          <w:rFonts w:ascii="Book Antiqua" w:eastAsia="Book Antiqua" w:hAnsi="Book Antiqua" w:cs="Book Antiqua"/>
          <w:color w:val="000000"/>
        </w:rPr>
        <w:t>liver fibrosis</w:t>
      </w:r>
      <w:bookmarkEnd w:id="13"/>
      <w:bookmarkEnd w:id="14"/>
      <w:r w:rsidRPr="00A24FC8">
        <w:rPr>
          <w:rFonts w:ascii="Book Antiqua" w:eastAsia="Book Antiqua" w:hAnsi="Book Antiqua" w:cs="Book Antiqua"/>
          <w:color w:val="000000"/>
        </w:rPr>
        <w:t xml:space="preserve">; </w:t>
      </w:r>
      <w:bookmarkStart w:id="17" w:name="OLE_LINK9"/>
      <w:bookmarkStart w:id="18" w:name="OLE_LINK10"/>
      <w:r w:rsidRPr="00A24FC8">
        <w:rPr>
          <w:rFonts w:ascii="Book Antiqua" w:eastAsia="Book Antiqua" w:hAnsi="Book Antiqua" w:cs="Book Antiqua"/>
          <w:color w:val="000000"/>
        </w:rPr>
        <w:t>Diabetes; Steatosis</w:t>
      </w:r>
      <w:bookmarkEnd w:id="17"/>
      <w:bookmarkEnd w:id="18"/>
      <w:r w:rsidRPr="00A24FC8">
        <w:rPr>
          <w:rFonts w:ascii="Book Antiqua" w:eastAsia="Book Antiqua" w:hAnsi="Book Antiqua" w:cs="Book Antiqua"/>
          <w:color w:val="000000"/>
        </w:rPr>
        <w:t xml:space="preserve">; </w:t>
      </w:r>
      <w:bookmarkStart w:id="19" w:name="OLE_LINK22"/>
      <w:bookmarkStart w:id="20" w:name="OLE_LINK23"/>
      <w:r w:rsidRPr="00A24FC8">
        <w:rPr>
          <w:rFonts w:ascii="Book Antiqua" w:eastAsia="Book Antiqua" w:hAnsi="Book Antiqua" w:cs="Book Antiqua"/>
          <w:color w:val="000000"/>
        </w:rPr>
        <w:t xml:space="preserve">Normal </w:t>
      </w:r>
      <w:r w:rsidR="00FA353C" w:rsidRPr="00A24FC8">
        <w:rPr>
          <w:rFonts w:ascii="Book Antiqua" w:eastAsia="Book Antiqua" w:hAnsi="Book Antiqua" w:cs="Book Antiqua"/>
          <w:color w:val="000000"/>
        </w:rPr>
        <w:t>transaminases</w:t>
      </w:r>
      <w:bookmarkEnd w:id="19"/>
      <w:bookmarkEnd w:id="20"/>
      <w:r w:rsidRPr="00A24FC8">
        <w:rPr>
          <w:rFonts w:ascii="Book Antiqua" w:eastAsia="Book Antiqua" w:hAnsi="Book Antiqua" w:cs="Book Antiqua"/>
          <w:color w:val="000000"/>
        </w:rPr>
        <w:t xml:space="preserve">; </w:t>
      </w:r>
      <w:bookmarkStart w:id="21" w:name="OLE_LINK11"/>
      <w:bookmarkStart w:id="22" w:name="OLE_LINK12"/>
      <w:bookmarkStart w:id="23" w:name="OLE_LINK21"/>
      <w:r w:rsidRPr="00A24FC8">
        <w:rPr>
          <w:rFonts w:ascii="Book Antiqua" w:eastAsia="Book Antiqua" w:hAnsi="Book Antiqua" w:cs="Book Antiqua"/>
          <w:color w:val="000000"/>
        </w:rPr>
        <w:t xml:space="preserve">Fatty </w:t>
      </w:r>
      <w:r w:rsidR="00FA353C" w:rsidRPr="00A24FC8">
        <w:rPr>
          <w:rFonts w:ascii="Book Antiqua" w:eastAsia="Book Antiqua" w:hAnsi="Book Antiqua" w:cs="Book Antiqua"/>
          <w:color w:val="000000"/>
        </w:rPr>
        <w:t>liver disease</w:t>
      </w:r>
      <w:bookmarkEnd w:id="21"/>
      <w:bookmarkEnd w:id="22"/>
      <w:bookmarkEnd w:id="23"/>
      <w:r w:rsidRPr="00A24FC8">
        <w:rPr>
          <w:rFonts w:ascii="Book Antiqua" w:eastAsia="Book Antiqua" w:hAnsi="Book Antiqua" w:cs="Book Antiqua"/>
          <w:color w:val="000000"/>
        </w:rPr>
        <w:t xml:space="preserve">; </w:t>
      </w:r>
      <w:bookmarkStart w:id="24" w:name="OLE_LINK13"/>
      <w:bookmarkStart w:id="25" w:name="OLE_LINK14"/>
      <w:bookmarkStart w:id="26" w:name="OLE_LINK24"/>
      <w:r w:rsidRPr="00A24FC8">
        <w:rPr>
          <w:rFonts w:ascii="Book Antiqua" w:eastAsia="Book Antiqua" w:hAnsi="Book Antiqua" w:cs="Book Antiqua"/>
          <w:color w:val="000000"/>
        </w:rPr>
        <w:t xml:space="preserve">Metabolic </w:t>
      </w:r>
      <w:r w:rsidR="00FA353C" w:rsidRPr="00A24FC8">
        <w:rPr>
          <w:rFonts w:ascii="Book Antiqua" w:eastAsia="Book Antiqua" w:hAnsi="Book Antiqua" w:cs="Book Antiqua"/>
          <w:color w:val="000000"/>
        </w:rPr>
        <w:t>syndrome</w:t>
      </w:r>
      <w:bookmarkEnd w:id="24"/>
      <w:bookmarkEnd w:id="25"/>
      <w:bookmarkEnd w:id="26"/>
    </w:p>
    <w:bookmarkEnd w:id="15"/>
    <w:bookmarkEnd w:id="16"/>
    <w:p w14:paraId="716E6A4E" w14:textId="77777777" w:rsidR="00AC7777" w:rsidRDefault="00AC7777" w:rsidP="00AC7777">
      <w:pPr>
        <w:spacing w:line="360" w:lineRule="auto"/>
        <w:jc w:val="both"/>
        <w:rPr>
          <w:lang w:eastAsia="zh-CN"/>
        </w:rPr>
      </w:pPr>
    </w:p>
    <w:p w14:paraId="33F124C1" w14:textId="77777777" w:rsidR="00AC7777" w:rsidRPr="00026CB8" w:rsidRDefault="00AC7777" w:rsidP="00AC777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3B09B09" w14:textId="77777777" w:rsidR="00A77B3E" w:rsidRPr="00A24FC8" w:rsidRDefault="00A77B3E" w:rsidP="00A24FC8">
      <w:pPr>
        <w:adjustRightInd w:val="0"/>
        <w:snapToGrid w:val="0"/>
        <w:spacing w:line="360" w:lineRule="auto"/>
        <w:jc w:val="both"/>
        <w:rPr>
          <w:rFonts w:ascii="Book Antiqua" w:hAnsi="Book Antiqua"/>
        </w:rPr>
      </w:pPr>
      <w:bookmarkStart w:id="27" w:name="_GoBack"/>
      <w:bookmarkEnd w:id="27"/>
    </w:p>
    <w:p w14:paraId="43B2DD27" w14:textId="7F306432" w:rsidR="00036F26" w:rsidRDefault="00036F26" w:rsidP="00A24FC8">
      <w:pPr>
        <w:adjustRightInd w:val="0"/>
        <w:snapToGrid w:val="0"/>
        <w:spacing w:line="360" w:lineRule="auto"/>
        <w:jc w:val="both"/>
        <w:rPr>
          <w:rFonts w:ascii="Book Antiqua" w:hAnsi="Book Antiqua" w:cs="Book Antiqua" w:hint="eastAsia"/>
          <w:color w:val="000000"/>
          <w:lang w:eastAsia="zh-CN"/>
        </w:rPr>
      </w:pPr>
      <w:bookmarkStart w:id="28" w:name="OLE_LINK25"/>
      <w:bookmarkStart w:id="29" w:name="OLE_LINK26"/>
      <w:r w:rsidRPr="00036F26">
        <w:rPr>
          <w:rFonts w:ascii="Book Antiqua" w:hAnsi="Book Antiqua" w:cs="Book Antiqua" w:hint="eastAsia"/>
          <w:b/>
          <w:color w:val="000000"/>
          <w:lang w:eastAsia="zh-CN"/>
        </w:rPr>
        <w:t xml:space="preserve">Citation: </w:t>
      </w:r>
      <w:r w:rsidR="00A32083" w:rsidRPr="00A24FC8">
        <w:rPr>
          <w:rFonts w:ascii="Book Antiqua" w:eastAsia="Book Antiqua" w:hAnsi="Book Antiqua" w:cs="Book Antiqua"/>
          <w:color w:val="000000"/>
        </w:rPr>
        <w:t xml:space="preserve">Makker J, Tariq H, Kumar K, Ravi M, Shaikh DH, Leung V, Hayat U, Hassan MT, Patel H, Nayudu S, Chilimuri S. </w:t>
      </w:r>
      <w:r w:rsidR="00D76FA1" w:rsidRPr="00A24FC8">
        <w:rPr>
          <w:rFonts w:ascii="Book Antiqua" w:eastAsia="Book Antiqua" w:hAnsi="Book Antiqua" w:cs="Book Antiqua"/>
          <w:color w:val="000000"/>
        </w:rPr>
        <w:t>Prevalence of advanced liver fibrosis and steatosis in type-2 diabetics with normal transaminases: A prospective cohort study.</w:t>
      </w:r>
      <w:r w:rsidR="00A32083" w:rsidRPr="00A24FC8">
        <w:rPr>
          <w:rFonts w:ascii="Book Antiqua" w:eastAsia="Book Antiqua" w:hAnsi="Book Antiqua" w:cs="Book Antiqua"/>
          <w:color w:val="000000"/>
        </w:rPr>
        <w:t xml:space="preserve"> </w:t>
      </w:r>
      <w:r w:rsidR="00A32083" w:rsidRPr="00A24FC8">
        <w:rPr>
          <w:rFonts w:ascii="Book Antiqua" w:eastAsia="Book Antiqua" w:hAnsi="Book Antiqua" w:cs="Book Antiqua"/>
          <w:i/>
          <w:iCs/>
          <w:color w:val="000000"/>
        </w:rPr>
        <w:t>World J Gastroenterol</w:t>
      </w:r>
      <w:r w:rsidR="00A32083" w:rsidRPr="00A24FC8">
        <w:rPr>
          <w:rFonts w:ascii="Book Antiqua" w:eastAsia="Book Antiqua" w:hAnsi="Book Antiqua" w:cs="Book Antiqua"/>
          <w:color w:val="000000"/>
        </w:rPr>
        <w:t xml:space="preserve"> </w:t>
      </w:r>
      <w:bookmarkStart w:id="30" w:name="OLE_LINK230"/>
      <w:bookmarkStart w:id="31" w:name="OLE_LINK231"/>
      <w:r w:rsidR="004B7180" w:rsidRPr="0032360E">
        <w:rPr>
          <w:rFonts w:ascii="Book Antiqua" w:eastAsia="Book Antiqua" w:hAnsi="Book Antiqua" w:cs="Book Antiqua"/>
          <w:color w:val="000000"/>
        </w:rPr>
        <w:t>202</w:t>
      </w:r>
      <w:r w:rsidR="00C16A11">
        <w:rPr>
          <w:rFonts w:ascii="Book Antiqua" w:hAnsi="Book Antiqua" w:cs="Book Antiqua" w:hint="eastAsia"/>
          <w:color w:val="000000"/>
          <w:lang w:eastAsia="zh-CN"/>
        </w:rPr>
        <w:t>1</w:t>
      </w:r>
      <w:r w:rsidR="004B7180" w:rsidRPr="0032360E">
        <w:rPr>
          <w:rFonts w:ascii="Book Antiqua" w:eastAsia="Book Antiqua" w:hAnsi="Book Antiqua" w:cs="Book Antiqua"/>
          <w:color w:val="000000"/>
        </w:rPr>
        <w:t>; 2</w:t>
      </w:r>
      <w:r w:rsidR="004B7180">
        <w:rPr>
          <w:rFonts w:ascii="Book Antiqua" w:hAnsi="Book Antiqua" w:cs="Book Antiqua" w:hint="eastAsia"/>
          <w:color w:val="000000"/>
          <w:lang w:eastAsia="zh-CN"/>
        </w:rPr>
        <w:t>7</w:t>
      </w:r>
      <w:r w:rsidR="004B7180" w:rsidRPr="0032360E">
        <w:rPr>
          <w:rFonts w:ascii="Book Antiqua" w:eastAsia="Book Antiqua" w:hAnsi="Book Antiqua" w:cs="Book Antiqua"/>
          <w:color w:val="000000"/>
        </w:rPr>
        <w:t>(</w:t>
      </w:r>
      <w:r w:rsidR="00E67249">
        <w:rPr>
          <w:rFonts w:ascii="Book Antiqua" w:hAnsi="Book Antiqua" w:cs="Book Antiqua" w:hint="eastAsia"/>
          <w:color w:val="000000"/>
          <w:lang w:eastAsia="zh-CN"/>
        </w:rPr>
        <w:t>6</w:t>
      </w:r>
      <w:r w:rsidR="004B7180" w:rsidRPr="0032360E">
        <w:rPr>
          <w:rFonts w:ascii="Book Antiqua" w:eastAsia="Book Antiqua" w:hAnsi="Book Antiqua" w:cs="Book Antiqua"/>
          <w:color w:val="000000"/>
        </w:rPr>
        <w:t xml:space="preserve">): </w:t>
      </w:r>
      <w:r w:rsidR="009700FB" w:rsidRPr="009700FB">
        <w:rPr>
          <w:rFonts w:ascii="Book Antiqua" w:hAnsi="Book Antiqua" w:cs="Book Antiqua"/>
          <w:color w:val="000000"/>
          <w:lang w:eastAsia="zh-CN"/>
        </w:rPr>
        <w:t>523-533</w:t>
      </w:r>
      <w:r w:rsidR="004B7180" w:rsidRPr="0032360E">
        <w:rPr>
          <w:rFonts w:ascii="Book Antiqua" w:eastAsia="Book Antiqua" w:hAnsi="Book Antiqua" w:cs="Book Antiqua"/>
          <w:color w:val="000000"/>
        </w:rPr>
        <w:t xml:space="preserve"> </w:t>
      </w:r>
      <w:bookmarkEnd w:id="30"/>
      <w:bookmarkEnd w:id="31"/>
      <w:r w:rsidR="004B7180" w:rsidRPr="0032360E">
        <w:rPr>
          <w:rFonts w:ascii="Book Antiqua" w:eastAsia="Book Antiqua" w:hAnsi="Book Antiqua" w:cs="Book Antiqua"/>
          <w:color w:val="000000"/>
        </w:rPr>
        <w:t xml:space="preserve"> </w:t>
      </w:r>
    </w:p>
    <w:p w14:paraId="4F384942" w14:textId="77777777" w:rsidR="00036F26" w:rsidRDefault="004B7180" w:rsidP="00A24FC8">
      <w:pPr>
        <w:adjustRightInd w:val="0"/>
        <w:snapToGrid w:val="0"/>
        <w:spacing w:line="360" w:lineRule="auto"/>
        <w:jc w:val="both"/>
        <w:rPr>
          <w:rFonts w:ascii="Book Antiqua" w:hAnsi="Book Antiqua" w:cs="Book Antiqua" w:hint="eastAsia"/>
          <w:color w:val="000000"/>
          <w:lang w:eastAsia="zh-CN"/>
        </w:rPr>
      </w:pPr>
      <w:r w:rsidRPr="00036F26">
        <w:rPr>
          <w:rFonts w:ascii="Book Antiqua" w:eastAsia="Book Antiqua" w:hAnsi="Book Antiqua" w:cs="Book Antiqua"/>
          <w:b/>
          <w:color w:val="000000"/>
        </w:rPr>
        <w:t>URL:</w:t>
      </w:r>
      <w:r w:rsidRPr="0032360E">
        <w:rPr>
          <w:rFonts w:ascii="Book Antiqua" w:eastAsia="Book Antiqua" w:hAnsi="Book Antiqua" w:cs="Book Antiqua"/>
          <w:color w:val="000000"/>
        </w:rPr>
        <w:t xml:space="preserve"> 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sidR="00E67249">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207F9E">
        <w:rPr>
          <w:rFonts w:ascii="Book Antiqua" w:hAnsi="Book Antiqua" w:cs="Book Antiqua" w:hint="eastAsia"/>
          <w:color w:val="000000"/>
          <w:lang w:eastAsia="zh-CN"/>
        </w:rPr>
        <w:t>523</w:t>
      </w:r>
      <w:r w:rsidRPr="0032360E">
        <w:rPr>
          <w:rFonts w:ascii="Book Antiqua" w:eastAsia="Book Antiqua" w:hAnsi="Book Antiqua" w:cs="Book Antiqua"/>
          <w:color w:val="000000"/>
        </w:rPr>
        <w:t xml:space="preserve">.htm  </w:t>
      </w:r>
    </w:p>
    <w:p w14:paraId="69387F09" w14:textId="3D5F57F2" w:rsidR="00A77B3E" w:rsidRPr="00A24FC8" w:rsidRDefault="004B7180" w:rsidP="00A24FC8">
      <w:pPr>
        <w:adjustRightInd w:val="0"/>
        <w:snapToGrid w:val="0"/>
        <w:spacing w:line="360" w:lineRule="auto"/>
        <w:jc w:val="both"/>
        <w:rPr>
          <w:rFonts w:ascii="Book Antiqua" w:hAnsi="Book Antiqua"/>
        </w:rPr>
      </w:pPr>
      <w:r w:rsidRPr="00036F26">
        <w:rPr>
          <w:rFonts w:ascii="Book Antiqua" w:eastAsia="Book Antiqua" w:hAnsi="Book Antiqua" w:cs="Book Antiqua"/>
          <w:b/>
          <w:color w:val="000000"/>
        </w:rPr>
        <w:t xml:space="preserve">DOI: </w:t>
      </w:r>
      <w:r w:rsidRPr="0032360E">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sidR="00E67249">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CA06B6">
        <w:rPr>
          <w:rFonts w:ascii="Book Antiqua" w:hAnsi="Book Antiqua" w:cs="Book Antiqua" w:hint="eastAsia"/>
          <w:color w:val="000000"/>
          <w:lang w:eastAsia="zh-CN"/>
        </w:rPr>
        <w:t>523</w:t>
      </w:r>
    </w:p>
    <w:bookmarkEnd w:id="28"/>
    <w:bookmarkEnd w:id="29"/>
    <w:p w14:paraId="376E6326" w14:textId="77777777" w:rsidR="00A77B3E" w:rsidRPr="00A24FC8" w:rsidRDefault="00A77B3E" w:rsidP="00A24FC8">
      <w:pPr>
        <w:adjustRightInd w:val="0"/>
        <w:snapToGrid w:val="0"/>
        <w:spacing w:line="360" w:lineRule="auto"/>
        <w:jc w:val="both"/>
        <w:rPr>
          <w:rFonts w:ascii="Book Antiqua" w:hAnsi="Book Antiqua"/>
        </w:rPr>
      </w:pPr>
    </w:p>
    <w:p w14:paraId="20DE6B58" w14:textId="17643785"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Core Tip: </w:t>
      </w:r>
      <w:bookmarkStart w:id="32" w:name="OLE_LINK27"/>
      <w:bookmarkStart w:id="33" w:name="OLE_LINK28"/>
      <w:bookmarkStart w:id="34" w:name="OLE_LINK32"/>
      <w:r w:rsidRPr="00A24FC8">
        <w:rPr>
          <w:rFonts w:ascii="Book Antiqua" w:eastAsia="Book Antiqua" w:hAnsi="Book Antiqua" w:cs="Book Antiqua"/>
          <w:color w:val="000000"/>
        </w:rPr>
        <w:t xml:space="preserve">Individuals with type 2 diabetes mellitus (T2DM) have a higher prevalence of non-alcoholic steatosis and a higher risk of progression to non-alcoholic steatohepatitis and cirrhosis. Experts differ in their screening recommendations for </w:t>
      </w:r>
      <w:r w:rsidR="00D76FA1" w:rsidRPr="00A24FC8">
        <w:rPr>
          <w:rFonts w:ascii="Book Antiqua" w:eastAsia="Book Antiqua" w:hAnsi="Book Antiqua" w:cs="Book Antiqua"/>
          <w:color w:val="000000"/>
        </w:rPr>
        <w:t>nonalcoholic fatty liver disease</w:t>
      </w:r>
      <w:r w:rsidRPr="00A24FC8">
        <w:rPr>
          <w:rFonts w:ascii="Book Antiqua" w:eastAsia="Book Antiqua" w:hAnsi="Book Antiqua" w:cs="Book Antiqua"/>
          <w:color w:val="000000"/>
        </w:rPr>
        <w:t xml:space="preserve"> among patients with T2DM. We prospectively recruited and performed liver elastography on 59 diabetics and 26 non-diabetic control patients. Patients with known liver disease and alcohol use were excluded. Our study shows advanced fibrosis is prevalent among patients with T2DM as compared to non-diabetics, even with normal liver enzymes. Screening for liver fibrosis in all patients with T2DM should be considered, regardless of liver enzyme levels.</w:t>
      </w:r>
    </w:p>
    <w:bookmarkEnd w:id="32"/>
    <w:bookmarkEnd w:id="33"/>
    <w:bookmarkEnd w:id="34"/>
    <w:p w14:paraId="258D4D6E" w14:textId="7AB2B42B" w:rsidR="00A77B3E" w:rsidRPr="00A24FC8" w:rsidRDefault="00D76FA1" w:rsidP="00A24FC8">
      <w:pPr>
        <w:adjustRightInd w:val="0"/>
        <w:snapToGrid w:val="0"/>
        <w:spacing w:line="360" w:lineRule="auto"/>
        <w:jc w:val="both"/>
        <w:rPr>
          <w:rFonts w:ascii="Book Antiqua" w:hAnsi="Book Antiqua"/>
        </w:rPr>
      </w:pPr>
      <w:r w:rsidRPr="00A24FC8">
        <w:rPr>
          <w:rFonts w:ascii="Book Antiqua" w:hAnsi="Book Antiqua"/>
        </w:rPr>
        <w:br w:type="page"/>
      </w:r>
      <w:r w:rsidR="00A32083" w:rsidRPr="00A24FC8">
        <w:rPr>
          <w:rFonts w:ascii="Book Antiqua" w:eastAsia="Book Antiqua" w:hAnsi="Book Antiqua" w:cs="Book Antiqua"/>
          <w:b/>
          <w:caps/>
          <w:color w:val="000000"/>
          <w:u w:val="single"/>
        </w:rPr>
        <w:t>INTRODUCTION</w:t>
      </w:r>
    </w:p>
    <w:p w14:paraId="38E041C3" w14:textId="4C57EF34" w:rsidR="00A77B3E" w:rsidRPr="00A24FC8" w:rsidRDefault="00A32083" w:rsidP="00A24FC8">
      <w:pPr>
        <w:adjustRightInd w:val="0"/>
        <w:snapToGrid w:val="0"/>
        <w:spacing w:line="360" w:lineRule="auto"/>
        <w:jc w:val="both"/>
        <w:rPr>
          <w:rFonts w:ascii="Book Antiqua" w:hAnsi="Book Antiqua"/>
        </w:rPr>
      </w:pPr>
      <w:bookmarkStart w:id="35" w:name="OLE_LINK39"/>
      <w:bookmarkStart w:id="36" w:name="OLE_LINK40"/>
      <w:bookmarkStart w:id="37" w:name="OLE_LINK43"/>
      <w:r w:rsidRPr="00A24FC8">
        <w:rPr>
          <w:rFonts w:ascii="Book Antiqua" w:eastAsia="Book Antiqua" w:hAnsi="Book Antiqua" w:cs="Book Antiqua"/>
          <w:color w:val="000000"/>
        </w:rPr>
        <w:t>Nonalcoholic fatty liver disease (NAFLD) encompasses a spectrum of clinico-pathological conditions ranging from simple fatty liver disease to nonalcoholic steatohepatitis (NASH). The risk of progression of NASH to cirrhosis has previously been estimated at 21</w:t>
      </w:r>
      <w:r w:rsidR="00D76FA1" w:rsidRPr="00A24FC8">
        <w:rPr>
          <w:rFonts w:ascii="Book Antiqua" w:eastAsia="Book Antiqua" w:hAnsi="Book Antiqua" w:cs="Book Antiqua"/>
          <w:color w:val="000000"/>
        </w:rPr>
        <w:t>%</w:t>
      </w:r>
      <w:r w:rsidRPr="00A24FC8">
        <w:rPr>
          <w:rFonts w:ascii="Book Antiqua" w:eastAsia="Book Antiqua" w:hAnsi="Book Antiqua" w:cs="Book Antiqua"/>
          <w:color w:val="000000"/>
        </w:rPr>
        <w:t>-26% over a mean follow up of 8.2 years</w:t>
      </w:r>
      <w:r w:rsidRPr="00A24FC8">
        <w:rPr>
          <w:rFonts w:ascii="Book Antiqua" w:eastAsia="Book Antiqua" w:hAnsi="Book Antiqua" w:cs="Book Antiqua"/>
          <w:color w:val="000000"/>
          <w:vertAlign w:val="superscript"/>
        </w:rPr>
        <w:t>[1]</w:t>
      </w:r>
      <w:r w:rsidRPr="00A24FC8">
        <w:rPr>
          <w:rFonts w:ascii="Book Antiqua" w:eastAsia="Book Antiqua" w:hAnsi="Book Antiqua" w:cs="Book Antiqua"/>
          <w:color w:val="000000"/>
        </w:rPr>
        <w:t>. With the globalization of western diets and increasingly sedentary lifestyles, obesity rates have skyrocketed to epidemic proportions. In parallel with obesity, the prevalence of NAFLD has dramatically increased. The prevalence of NAFLD worldwide ranges from 6% to 35% depending on the method used for diagnosis and the study population</w:t>
      </w:r>
      <w:r w:rsidRPr="00A24FC8">
        <w:rPr>
          <w:rFonts w:ascii="Book Antiqua" w:eastAsia="Book Antiqua" w:hAnsi="Book Antiqua" w:cs="Book Antiqua"/>
          <w:color w:val="000000"/>
          <w:vertAlign w:val="superscript"/>
        </w:rPr>
        <w:t>[2]</w:t>
      </w:r>
      <w:r w:rsidRPr="00A24FC8">
        <w:rPr>
          <w:rFonts w:ascii="Book Antiqua" w:eastAsia="Book Antiqua" w:hAnsi="Book Antiqua" w:cs="Book Antiqua"/>
          <w:color w:val="000000"/>
        </w:rPr>
        <w:t>. The prevalence in United States has ranged between 11</w:t>
      </w:r>
      <w:r w:rsidR="001E729D" w:rsidRPr="00A24FC8">
        <w:rPr>
          <w:rFonts w:ascii="Book Antiqua" w:eastAsia="Book Antiqua" w:hAnsi="Book Antiqua" w:cs="Book Antiqua"/>
          <w:color w:val="000000"/>
        </w:rPr>
        <w:t>%</w:t>
      </w:r>
      <w:r w:rsidRPr="00A24FC8">
        <w:rPr>
          <w:rFonts w:ascii="Book Antiqua" w:eastAsia="Book Antiqua" w:hAnsi="Book Antiqua" w:cs="Book Antiqua"/>
          <w:color w:val="000000"/>
        </w:rPr>
        <w:t>-34% with the most recent study reporting a prevalence of 46%</w:t>
      </w:r>
      <w:r w:rsidRPr="00A24FC8">
        <w:rPr>
          <w:rFonts w:ascii="Book Antiqua" w:eastAsia="Book Antiqua" w:hAnsi="Book Antiqua" w:cs="Book Antiqua"/>
          <w:color w:val="000000"/>
          <w:vertAlign w:val="superscript"/>
        </w:rPr>
        <w:t>[3]</w:t>
      </w:r>
      <w:r w:rsidRPr="00A24FC8">
        <w:rPr>
          <w:rFonts w:ascii="Book Antiqua" w:eastAsia="Book Antiqua" w:hAnsi="Book Antiqua" w:cs="Book Antiqua"/>
          <w:color w:val="000000"/>
        </w:rPr>
        <w:t>. As a result of its increasing prevalence, NAFLD has now become the leading cause of liver disease in the western countries</w:t>
      </w:r>
      <w:r w:rsidRPr="00A24FC8">
        <w:rPr>
          <w:rFonts w:ascii="Book Antiqua" w:eastAsia="Book Antiqua" w:hAnsi="Book Antiqua" w:cs="Book Antiqua"/>
          <w:color w:val="000000"/>
          <w:vertAlign w:val="superscript"/>
        </w:rPr>
        <w:t>[2]</w:t>
      </w:r>
      <w:r w:rsidRPr="00A24FC8">
        <w:rPr>
          <w:rFonts w:ascii="Book Antiqua" w:eastAsia="Book Antiqua" w:hAnsi="Book Antiqua" w:cs="Book Antiqua"/>
          <w:color w:val="000000"/>
        </w:rPr>
        <w:t>. With the rising rates of NAFLD, and the availability of effective durable treatment options for other chronic liver diseases like chronic hepatitis C, experts have predicted NAFLD to become the leading cause of liver transplantation in the near future.</w:t>
      </w:r>
    </w:p>
    <w:p w14:paraId="5058EF83" w14:textId="1780D62C" w:rsidR="00F41911"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NAFLD and type-2 diabetes mellitus (T2DM) are intricately related to each other and this relationship is bidirectional. Development of insulin resistance is a key phenomenon underlying NAFLD as well as T2DM and as a result, these two disorders commonly occur together. Individuals with T2DM have a higher prevalence of NAFLD</w:t>
      </w:r>
      <w:r w:rsidRPr="00A24FC8">
        <w:rPr>
          <w:rFonts w:ascii="Book Antiqua" w:eastAsia="Book Antiqua" w:hAnsi="Book Antiqua" w:cs="Book Antiqua"/>
          <w:color w:val="000000"/>
          <w:vertAlign w:val="superscript"/>
        </w:rPr>
        <w:t>[4]</w:t>
      </w:r>
      <w:r w:rsidRPr="00A24FC8">
        <w:rPr>
          <w:rFonts w:ascii="Book Antiqua" w:eastAsia="Book Antiqua" w:hAnsi="Book Antiqua" w:cs="Book Antiqua"/>
          <w:color w:val="000000"/>
        </w:rPr>
        <w:t>. Individuals with T2DM who develop non-alcoholic steatosis also carry a higher risk of progression to NASH</w:t>
      </w:r>
      <w:r w:rsidRPr="00A24FC8">
        <w:rPr>
          <w:rFonts w:ascii="Book Antiqua" w:eastAsia="Book Antiqua" w:hAnsi="Book Antiqua" w:cs="Book Antiqua"/>
          <w:color w:val="000000"/>
          <w:vertAlign w:val="superscript"/>
        </w:rPr>
        <w:t>[5]</w:t>
      </w:r>
      <w:r w:rsidRPr="00A24FC8">
        <w:rPr>
          <w:rFonts w:ascii="Book Antiqua" w:eastAsia="Book Antiqua" w:hAnsi="Book Antiqua" w:cs="Book Antiqua"/>
          <w:color w:val="000000"/>
        </w:rPr>
        <w:t xml:space="preserve">. Development of NASH is characterized by progressive hepatocyte necroinflammation which is an important harbinger of cirrhosis and its associated complications such as hepatocellular cancer. In a study from the </w:t>
      </w:r>
      <w:r w:rsidR="00D76FA1" w:rsidRPr="00A24FC8">
        <w:rPr>
          <w:rFonts w:ascii="Book Antiqua" w:eastAsia="Book Antiqua" w:hAnsi="Book Antiqua" w:cs="Book Antiqua"/>
          <w:color w:val="000000"/>
        </w:rPr>
        <w:t>United States</w:t>
      </w:r>
      <w:r w:rsidRPr="00A24FC8">
        <w:rPr>
          <w:rFonts w:ascii="Book Antiqua" w:eastAsia="Book Antiqua" w:hAnsi="Book Antiqua" w:cs="Book Antiqua"/>
          <w:color w:val="000000"/>
        </w:rPr>
        <w:t xml:space="preserve">. </w:t>
      </w:r>
      <w:r w:rsidR="00FA353C" w:rsidRPr="00A24FC8">
        <w:rPr>
          <w:rFonts w:ascii="Book Antiqua" w:eastAsia="Book Antiqua" w:hAnsi="Book Antiqua" w:cs="Book Antiqua"/>
          <w:color w:val="000000"/>
        </w:rPr>
        <w:t xml:space="preserve">Involving </w:t>
      </w:r>
      <w:r w:rsidRPr="00A24FC8">
        <w:rPr>
          <w:rFonts w:ascii="Book Antiqua" w:eastAsia="Book Antiqua" w:hAnsi="Book Antiqua" w:cs="Book Antiqua"/>
          <w:color w:val="000000"/>
        </w:rPr>
        <w:t>1249 patients with T2DM and biopsy proven NAFLD, prevalence of NASH and advanced liver fibrosis was 69.2% and 41% respectively</w:t>
      </w:r>
      <w:r w:rsidRPr="00A24FC8">
        <w:rPr>
          <w:rFonts w:ascii="Book Antiqua" w:eastAsia="Book Antiqua" w:hAnsi="Book Antiqua" w:cs="Book Antiqua"/>
          <w:color w:val="000000"/>
          <w:vertAlign w:val="superscript"/>
        </w:rPr>
        <w:t>[6]</w:t>
      </w:r>
      <w:r w:rsidRPr="00A24FC8">
        <w:rPr>
          <w:rFonts w:ascii="Book Antiqua" w:eastAsia="Book Antiqua" w:hAnsi="Book Antiqua" w:cs="Book Antiqua"/>
          <w:color w:val="000000"/>
        </w:rPr>
        <w:t>. A Canadian study with a 12-year follow-up involving nearly 2.5 million participants, among which nearly one-fifth had newly diagnosed T2DM, found more than two-fold risk of incident liver cirrhosis in patients with newly diagnosed T2DM</w:t>
      </w:r>
      <w:r w:rsidRPr="00A24FC8">
        <w:rPr>
          <w:rFonts w:ascii="Book Antiqua" w:eastAsia="Book Antiqua" w:hAnsi="Book Antiqua" w:cs="Book Antiqua"/>
          <w:color w:val="000000"/>
          <w:vertAlign w:val="superscript"/>
        </w:rPr>
        <w:t>[7]</w:t>
      </w:r>
      <w:r w:rsidRPr="00A24FC8">
        <w:rPr>
          <w:rFonts w:ascii="Book Antiqua" w:eastAsia="Book Antiqua" w:hAnsi="Book Antiqua" w:cs="Book Antiqua"/>
          <w:color w:val="000000"/>
        </w:rPr>
        <w:t>.</w:t>
      </w:r>
    </w:p>
    <w:p w14:paraId="45F6BD01" w14:textId="08EB9251"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Despite the alarming rise in NAFLD prevalence among patients with T2DM, major societies differ in their recommendations about screening for NAFLD among patients with T2DM. The American Association for the Study of Liver Diseases does not recommend NAFLD screening in individuals with T2DM due to its unknown long-term benefits and cost-effectiveness</w:t>
      </w:r>
      <w:r w:rsidRPr="00A24FC8">
        <w:rPr>
          <w:rFonts w:ascii="Book Antiqua" w:eastAsia="Book Antiqua" w:hAnsi="Book Antiqua" w:cs="Book Antiqua"/>
          <w:color w:val="000000"/>
          <w:vertAlign w:val="superscript"/>
        </w:rPr>
        <w:t>[8]</w:t>
      </w:r>
      <w:r w:rsidRPr="00A24FC8">
        <w:rPr>
          <w:rFonts w:ascii="Book Antiqua" w:eastAsia="Book Antiqua" w:hAnsi="Book Antiqua" w:cs="Book Antiqua"/>
          <w:color w:val="000000"/>
        </w:rPr>
        <w:t>. On the other hand, American Diabetes Association recommends assessment of liver fibrosis in patients with T2DM and elevated transaminases</w:t>
      </w:r>
      <w:r w:rsidRPr="00A24FC8">
        <w:rPr>
          <w:rFonts w:ascii="Book Antiqua" w:eastAsia="Book Antiqua" w:hAnsi="Book Antiqua" w:cs="Book Antiqua"/>
          <w:color w:val="000000"/>
          <w:vertAlign w:val="superscript"/>
        </w:rPr>
        <w:t>[9]</w:t>
      </w:r>
      <w:r w:rsidRPr="00A24FC8">
        <w:rPr>
          <w:rFonts w:ascii="Book Antiqua" w:eastAsia="Book Antiqua" w:hAnsi="Book Antiqua" w:cs="Book Antiqua"/>
          <w:color w:val="000000"/>
        </w:rPr>
        <w:t>. Our study was conducted to explore the prevalence of NAFLD and advanced fibrosis among our minority inner city population with T2DM who had normal transaminases.</w:t>
      </w:r>
    </w:p>
    <w:bookmarkEnd w:id="35"/>
    <w:bookmarkEnd w:id="36"/>
    <w:bookmarkEnd w:id="37"/>
    <w:p w14:paraId="25BDBAD0" w14:textId="77777777" w:rsidR="00A77B3E" w:rsidRPr="00A24FC8" w:rsidRDefault="00A77B3E" w:rsidP="00A24FC8">
      <w:pPr>
        <w:adjustRightInd w:val="0"/>
        <w:snapToGrid w:val="0"/>
        <w:spacing w:line="360" w:lineRule="auto"/>
        <w:jc w:val="both"/>
        <w:rPr>
          <w:rFonts w:ascii="Book Antiqua" w:hAnsi="Book Antiqua"/>
        </w:rPr>
      </w:pPr>
    </w:p>
    <w:p w14:paraId="7AB48EA2"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aps/>
          <w:color w:val="000000"/>
          <w:u w:val="single"/>
        </w:rPr>
        <w:t>MATERIALS AND METHODS</w:t>
      </w:r>
    </w:p>
    <w:p w14:paraId="7BD0CB38" w14:textId="77777777" w:rsidR="00A77B3E" w:rsidRPr="00A24FC8" w:rsidRDefault="00A32083" w:rsidP="00A24FC8">
      <w:pPr>
        <w:adjustRightInd w:val="0"/>
        <w:snapToGrid w:val="0"/>
        <w:spacing w:line="360" w:lineRule="auto"/>
        <w:jc w:val="both"/>
        <w:rPr>
          <w:rFonts w:ascii="Book Antiqua" w:hAnsi="Book Antiqua"/>
          <w:b/>
          <w:bCs/>
        </w:rPr>
      </w:pPr>
      <w:bookmarkStart w:id="38" w:name="OLE_LINK41"/>
      <w:bookmarkStart w:id="39" w:name="OLE_LINK42"/>
      <w:bookmarkStart w:id="40" w:name="OLE_LINK49"/>
      <w:bookmarkStart w:id="41" w:name="OLE_LINK44"/>
      <w:bookmarkStart w:id="42" w:name="OLE_LINK45"/>
      <w:bookmarkStart w:id="43" w:name="OLE_LINK46"/>
      <w:r w:rsidRPr="00A24FC8">
        <w:rPr>
          <w:rFonts w:ascii="Book Antiqua" w:eastAsia="Book Antiqua" w:hAnsi="Book Antiqua" w:cs="Book Antiqua"/>
          <w:b/>
          <w:bCs/>
          <w:i/>
          <w:iCs/>
          <w:color w:val="000000"/>
        </w:rPr>
        <w:t>Study group</w:t>
      </w:r>
    </w:p>
    <w:p w14:paraId="1411129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From November 2018 to January 2020, all patients aged 18 years and above with T2DM attending the endocrine clinic at our hospital were offered enrollment in this prospective cohort study. All patients who agreed, provided a written and informed consent for their participation. Patients with a known diagnosis of cirrhosis, chronic hepatitis B, chronic hepatitis C, autoimmune hepatitis, drug induced hepatitis, cholestatic liver disease, hemochromatosis and alcoholic liver disease were excluded. Patients with significant alcohol use defined as more than 20 g of daily alcohol use were excluded. Furthermore, any patient with alanine transaminase (ALT) level more than 40 (upper limit of normal at our lab) was excluded.</w:t>
      </w:r>
    </w:p>
    <w:p w14:paraId="25D53661" w14:textId="77777777"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The study protocol conformed to the ethical guidelines of the 1975 Declaration of Helsinki, as reflected in the Bronx Care Health System Institutional Review Board’s approval (IRB #05 10 18 04). </w:t>
      </w:r>
    </w:p>
    <w:p w14:paraId="7F93E965" w14:textId="77777777" w:rsidR="00A77B3E" w:rsidRPr="00A24FC8" w:rsidRDefault="00A77B3E" w:rsidP="00A24FC8">
      <w:pPr>
        <w:adjustRightInd w:val="0"/>
        <w:snapToGrid w:val="0"/>
        <w:spacing w:line="360" w:lineRule="auto"/>
        <w:jc w:val="both"/>
        <w:rPr>
          <w:rFonts w:ascii="Book Antiqua" w:hAnsi="Book Antiqua"/>
        </w:rPr>
      </w:pPr>
    </w:p>
    <w:p w14:paraId="686DD6CD"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i/>
          <w:iCs/>
          <w:color w:val="000000"/>
        </w:rPr>
        <w:t>Control group</w:t>
      </w:r>
    </w:p>
    <w:p w14:paraId="58D67447" w14:textId="565343E2"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The control group comprised of patients without T2DM and normal ALT level (&lt;</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40 U/L) as defined by our lab. Patients were recruited from the gastroenterology clinic at our hospital. These patients had no known history of fatty liver disease. Exclusion criteria similar to the study group were applied.</w:t>
      </w:r>
    </w:p>
    <w:p w14:paraId="3637A0A9" w14:textId="77777777" w:rsidR="00A77B3E" w:rsidRPr="00A24FC8" w:rsidRDefault="00A77B3E" w:rsidP="00A24FC8">
      <w:pPr>
        <w:adjustRightInd w:val="0"/>
        <w:snapToGrid w:val="0"/>
        <w:spacing w:line="360" w:lineRule="auto"/>
        <w:jc w:val="both"/>
        <w:rPr>
          <w:rFonts w:ascii="Book Antiqua" w:hAnsi="Book Antiqua"/>
        </w:rPr>
      </w:pPr>
    </w:p>
    <w:p w14:paraId="0F1B3735"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Clinical and laboratory parameters</w:t>
      </w:r>
    </w:p>
    <w:p w14:paraId="2221AE7E" w14:textId="1BACD173"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Demographic data including age, gender and ethnicity were collected. All comorbid medical conditions and a complete drug history were recorded </w:t>
      </w:r>
      <w:r w:rsidRPr="00A24FC8">
        <w:rPr>
          <w:rFonts w:ascii="Book Antiqua" w:eastAsia="Book Antiqua" w:hAnsi="Book Antiqua" w:cs="Book Antiqua"/>
          <w:i/>
          <w:iCs/>
          <w:color w:val="000000"/>
        </w:rPr>
        <w:t>via</w:t>
      </w:r>
      <w:r w:rsidRPr="00A24FC8">
        <w:rPr>
          <w:rFonts w:ascii="Book Antiqua" w:eastAsia="Book Antiqua" w:hAnsi="Book Antiqua" w:cs="Book Antiqua"/>
          <w:color w:val="000000"/>
        </w:rPr>
        <w:t xml:space="preserve"> patient interviews. A physical examination including measurement of waist circumference, weight, height and body mass index (BMI) was performed at the time of inclusion. Laboratory data including liver enzymes, hemoglobin A1c, lipid profile available within one year of enrollment were recorded.</w:t>
      </w:r>
    </w:p>
    <w:p w14:paraId="012FE122" w14:textId="77777777" w:rsidR="00A77B3E" w:rsidRPr="00A24FC8" w:rsidRDefault="00A77B3E" w:rsidP="00A24FC8">
      <w:pPr>
        <w:adjustRightInd w:val="0"/>
        <w:snapToGrid w:val="0"/>
        <w:spacing w:line="360" w:lineRule="auto"/>
        <w:jc w:val="both"/>
        <w:rPr>
          <w:rFonts w:ascii="Book Antiqua" w:hAnsi="Book Antiqua"/>
        </w:rPr>
      </w:pPr>
    </w:p>
    <w:p w14:paraId="24DC8229"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Assessment of hepatic steatosis and fibrosis using transient elastography</w:t>
      </w:r>
    </w:p>
    <w:p w14:paraId="3A7A2A33" w14:textId="6A2D5474"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All patients were required to fast for three hours prior to elastography. Liver elastography was performed using the M or XL probe from Fibroscan 502 touch model (Echosens). The probe is automatically selected by the software based on thoracic perimeter and skin capsule distance measurements. Liver stiffness measurement and controlled attenuation parameter (CAP) which estimates the amount of liver fat was obtained. Elastography examination was considered reliable if at least 10 measurements were taken with an interquartile range interval per median LS less than 30%. Liver stiffness and CAP are calculated as a median over minimum 10 validated measurements and expressed in kilopascals (Kpa) and decibel per meter (db/m), respectively. Cut off for stage F0-1, F2, F3 and F4 fibrosis were ≤</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7 Kpa, ≥</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7.5 Kpa, ≥</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10 Kpa and ≥</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14.0 Kpa, respectively</w:t>
      </w:r>
      <w:r w:rsidRPr="00A24FC8">
        <w:rPr>
          <w:rFonts w:ascii="Book Antiqua" w:eastAsia="Book Antiqua" w:hAnsi="Book Antiqua" w:cs="Book Antiqua"/>
          <w:color w:val="000000"/>
          <w:vertAlign w:val="superscript"/>
        </w:rPr>
        <w:t>[10]</w:t>
      </w:r>
      <w:r w:rsidRPr="00A24FC8">
        <w:rPr>
          <w:rFonts w:ascii="Book Antiqua" w:eastAsia="Book Antiqua" w:hAnsi="Book Antiqua" w:cs="Book Antiqua"/>
          <w:color w:val="000000"/>
        </w:rPr>
        <w:t>. Cut off for CAP to diagnose hepatic steatosis grade 1 (5%-33% steatosis), grade 2 (34%-66% steatosis) and grade 3 (&gt; 66% steatosis) were 238 db/m, 259 db/m and 290 db/m respectively</w:t>
      </w:r>
      <w:r w:rsidRPr="00A24FC8">
        <w:rPr>
          <w:rFonts w:ascii="Book Antiqua" w:eastAsia="Book Antiqua" w:hAnsi="Book Antiqua" w:cs="Book Antiqua"/>
          <w:color w:val="000000"/>
          <w:vertAlign w:val="superscript"/>
        </w:rPr>
        <w:t>[11]</w:t>
      </w:r>
      <w:r w:rsidRPr="00A24FC8">
        <w:rPr>
          <w:rFonts w:ascii="Book Antiqua" w:eastAsia="Book Antiqua" w:hAnsi="Book Antiqua" w:cs="Book Antiqua"/>
          <w:color w:val="000000"/>
        </w:rPr>
        <w:t>.</w:t>
      </w:r>
    </w:p>
    <w:p w14:paraId="7BB1BA8E" w14:textId="77777777" w:rsidR="00A77B3E" w:rsidRPr="00A24FC8" w:rsidRDefault="00A77B3E" w:rsidP="00A24FC8">
      <w:pPr>
        <w:adjustRightInd w:val="0"/>
        <w:snapToGrid w:val="0"/>
        <w:spacing w:line="360" w:lineRule="auto"/>
        <w:jc w:val="both"/>
        <w:rPr>
          <w:rFonts w:ascii="Book Antiqua" w:hAnsi="Book Antiqua"/>
        </w:rPr>
      </w:pPr>
    </w:p>
    <w:p w14:paraId="6C4EE1CE"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Metabolic syndrome</w:t>
      </w:r>
      <w:r w:rsidRPr="00A24FC8">
        <w:rPr>
          <w:rFonts w:ascii="Book Antiqua" w:eastAsia="Book Antiqua" w:hAnsi="Book Antiqua" w:cs="Book Antiqua"/>
          <w:b/>
          <w:bCs/>
          <w:color w:val="000000"/>
        </w:rPr>
        <w:t xml:space="preserve"> </w:t>
      </w:r>
    </w:p>
    <w:p w14:paraId="29397E5E" w14:textId="5C65740A"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Metabolic syndrome was defined by the National Cholesterol Education Program’s Adult Treatment Panel III criteria. It is defined as presence of </w:t>
      </w:r>
      <w:r w:rsidRPr="00A24FC8">
        <w:rPr>
          <w:rFonts w:ascii="Book Antiqua" w:eastAsia="Book Antiqua" w:hAnsi="Book Antiqua" w:cs="Book Antiqua"/>
          <w:color w:val="000000"/>
          <w:shd w:val="clear" w:color="auto" w:fill="FFFFFF"/>
        </w:rPr>
        <w:t>at least </w:t>
      </w:r>
      <w:r w:rsidRPr="00A24FC8">
        <w:rPr>
          <w:rFonts w:ascii="Book Antiqua" w:eastAsia="Book Antiqua" w:hAnsi="Book Antiqua" w:cs="Book Antiqua"/>
          <w:color w:val="000000"/>
        </w:rPr>
        <w:t>three</w:t>
      </w:r>
      <w:r w:rsidRPr="00A24FC8">
        <w:rPr>
          <w:rFonts w:ascii="Book Antiqua" w:eastAsia="Book Antiqua" w:hAnsi="Book Antiqua" w:cs="Book Antiqua"/>
          <w:color w:val="000000"/>
          <w:shd w:val="clear" w:color="auto" w:fill="FFFFFF"/>
        </w:rPr>
        <w:t> of the following </w:t>
      </w:r>
      <w:r w:rsidRPr="00A24FC8">
        <w:rPr>
          <w:rFonts w:ascii="Book Antiqua" w:eastAsia="Book Antiqua" w:hAnsi="Book Antiqua" w:cs="Book Antiqua"/>
          <w:color w:val="000000"/>
        </w:rPr>
        <w:t>criteria</w:t>
      </w:r>
      <w:r w:rsidRPr="00A24FC8">
        <w:rPr>
          <w:rFonts w:ascii="Book Antiqua" w:eastAsia="Book Antiqua" w:hAnsi="Book Antiqua" w:cs="Book Antiqua"/>
          <w:color w:val="000000"/>
          <w:shd w:val="clear" w:color="auto" w:fill="FFFFFF"/>
        </w:rPr>
        <w:t>: waist circumference &gt;</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102 cm in men or &gt;</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88 cm in women, plasma triglycerides ≥</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 xml:space="preserve">150 mg/dL, high density lipoprotein </w:t>
      </w:r>
      <w:r w:rsidRPr="00A24FC8">
        <w:rPr>
          <w:rFonts w:ascii="Book Antiqua" w:eastAsia="Book Antiqua" w:hAnsi="Book Antiqua" w:cs="Book Antiqua"/>
          <w:color w:val="000000"/>
        </w:rPr>
        <w:t>cholesterol</w:t>
      </w:r>
      <w:r w:rsidRPr="00A24FC8">
        <w:rPr>
          <w:rFonts w:ascii="Book Antiqua" w:eastAsia="Book Antiqua" w:hAnsi="Book Antiqua" w:cs="Book Antiqua"/>
          <w:color w:val="000000"/>
          <w:shd w:val="clear" w:color="auto" w:fill="FFFFFF"/>
        </w:rPr>
        <w:t> &lt;</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40 mg/dL in men or &lt;</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50 mg/dL in women, blood pressure ≥</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130/85 mmHg, and fasting plasma glucose ≥</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110 mg/dL</w:t>
      </w:r>
      <w:r w:rsidRPr="00A24FC8">
        <w:rPr>
          <w:rFonts w:ascii="Book Antiqua" w:eastAsia="Book Antiqua" w:hAnsi="Book Antiqua" w:cs="Book Antiqua"/>
          <w:color w:val="000000"/>
          <w:vertAlign w:val="superscript"/>
        </w:rPr>
        <w:t>[12]</w:t>
      </w:r>
      <w:r w:rsidRPr="00A24FC8">
        <w:rPr>
          <w:rFonts w:ascii="Book Antiqua" w:eastAsia="Book Antiqua" w:hAnsi="Book Antiqua" w:cs="Book Antiqua"/>
          <w:color w:val="000000"/>
        </w:rPr>
        <w:t>.</w:t>
      </w:r>
    </w:p>
    <w:p w14:paraId="1DB1B098" w14:textId="77777777" w:rsidR="00A77B3E" w:rsidRPr="00A24FC8" w:rsidRDefault="00A77B3E" w:rsidP="00A24FC8">
      <w:pPr>
        <w:adjustRightInd w:val="0"/>
        <w:snapToGrid w:val="0"/>
        <w:spacing w:line="360" w:lineRule="auto"/>
        <w:jc w:val="both"/>
        <w:rPr>
          <w:rFonts w:ascii="Book Antiqua" w:hAnsi="Book Antiqua"/>
        </w:rPr>
      </w:pPr>
    </w:p>
    <w:p w14:paraId="0EAD7165" w14:textId="3B2186EA"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Sample size and statistical analysis</w:t>
      </w:r>
    </w:p>
    <w:p w14:paraId="2EE3E2F2" w14:textId="3DB1841A"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Sample size estimation</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was based on the assumption that prevalence of advanced fibrosis among patients with T2DM is around 20%. For a power of 80% at 5% significance level, 57 patients were required in the study group.</w:t>
      </w:r>
    </w:p>
    <w:p w14:paraId="6EBA6AF6" w14:textId="15451611"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Statistical analysis was performed using statistical analysis system statistical software, version 9.4 and Graphpad Prism software version 8.4.3. Frequencies and percentages were reported for categorical variables. Mean and standard deviations were reported for numerical continuous variables. Dichotomous variables were compared by Chi-square analysis using the Pearson test. A two-tailed value of &lt;</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0.05 was considered statistically significant. Bivariate analysis was done using analysis of variance</w:t>
      </w:r>
      <w:r w:rsidR="00893C13"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to determine predictors of advanced fibrosis.</w:t>
      </w:r>
    </w:p>
    <w:bookmarkEnd w:id="38"/>
    <w:bookmarkEnd w:id="39"/>
    <w:bookmarkEnd w:id="40"/>
    <w:p w14:paraId="00A652FC" w14:textId="77777777" w:rsidR="00A77B3E" w:rsidRPr="00A24FC8" w:rsidRDefault="00A77B3E" w:rsidP="00A24FC8">
      <w:pPr>
        <w:adjustRightInd w:val="0"/>
        <w:snapToGrid w:val="0"/>
        <w:spacing w:line="360" w:lineRule="auto"/>
        <w:jc w:val="both"/>
        <w:rPr>
          <w:rFonts w:ascii="Book Antiqua" w:hAnsi="Book Antiqua"/>
        </w:rPr>
      </w:pPr>
    </w:p>
    <w:p w14:paraId="07CA4B84"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aps/>
          <w:color w:val="000000"/>
          <w:u w:val="single"/>
        </w:rPr>
        <w:t>RESULTS</w:t>
      </w:r>
    </w:p>
    <w:p w14:paraId="76BFC2BE" w14:textId="6EC5E48F" w:rsidR="00A77B3E" w:rsidRPr="00A24FC8" w:rsidRDefault="00A32083" w:rsidP="00A24FC8">
      <w:pPr>
        <w:adjustRightInd w:val="0"/>
        <w:snapToGrid w:val="0"/>
        <w:spacing w:line="360" w:lineRule="auto"/>
        <w:jc w:val="both"/>
        <w:rPr>
          <w:rFonts w:ascii="Book Antiqua" w:hAnsi="Book Antiqua"/>
        </w:rPr>
      </w:pPr>
      <w:bookmarkStart w:id="44" w:name="OLE_LINK47"/>
      <w:bookmarkStart w:id="45" w:name="OLE_LINK48"/>
      <w:r w:rsidRPr="00A24FC8">
        <w:rPr>
          <w:rFonts w:ascii="Book Antiqua" w:eastAsia="Book Antiqua" w:hAnsi="Book Antiqua" w:cs="Book Antiqua"/>
          <w:color w:val="000000"/>
        </w:rPr>
        <w:t xml:space="preserve">The study group comprised of 59 patients, whereas the control group had 26 patients. Demographics and baseline characteristics of both the groups were compared as shown in </w:t>
      </w:r>
      <w:r w:rsidR="00FA353C" w:rsidRPr="00A24FC8">
        <w:rPr>
          <w:rFonts w:ascii="Book Antiqua" w:eastAsia="Book Antiqua" w:hAnsi="Book Antiqua" w:cs="Book Antiqua"/>
          <w:color w:val="000000"/>
        </w:rPr>
        <w:t xml:space="preserve">Table </w:t>
      </w:r>
      <w:r w:rsidRPr="00A24FC8">
        <w:rPr>
          <w:rFonts w:ascii="Book Antiqua" w:eastAsia="Book Antiqua" w:hAnsi="Book Antiqua" w:cs="Book Antiqua"/>
          <w:color w:val="000000"/>
        </w:rPr>
        <w:t xml:space="preserve">1. The mean duration of T2DM in the study group was 15 ± 9 years. Diabetic microvascular complications including retinopathy, nephropathy, and neuropathy were prevalent in 22%, 30% and 17% of study patients, respectively. 41% of these patients were on insulin, 59% on metformin, 17% on sulfonylureas, 20% on glucagon-like peptide 1 receptor agonists, 8% on pioglitazone, 12% on sodium-glucose cotransporter-2 inhibitors, and 19% on dipeptidyl peptidase 4 inhibitors. Mean </w:t>
      </w:r>
      <w:bookmarkStart w:id="46" w:name="OLE_LINK15"/>
      <w:bookmarkStart w:id="47" w:name="OLE_LINK16"/>
      <w:r w:rsidRPr="00A24FC8">
        <w:rPr>
          <w:rFonts w:ascii="Book Antiqua" w:eastAsia="Book Antiqua" w:hAnsi="Book Antiqua" w:cs="Book Antiqua"/>
          <w:color w:val="000000"/>
        </w:rPr>
        <w:t>BMI</w:t>
      </w:r>
      <w:bookmarkEnd w:id="46"/>
      <w:bookmarkEnd w:id="47"/>
      <w:r w:rsidRPr="00A24FC8">
        <w:rPr>
          <w:rFonts w:ascii="Book Antiqua" w:eastAsia="Book Antiqua" w:hAnsi="Book Antiqua" w:cs="Book Antiqua"/>
          <w:color w:val="000000"/>
        </w:rPr>
        <w:t xml:space="preserve"> of patients in the study group was significantly higher as compared to those in the control group (33.1 ± 8.4 </w:t>
      </w:r>
      <w:r w:rsidRPr="00A24FC8">
        <w:rPr>
          <w:rFonts w:ascii="Book Antiqua" w:eastAsia="Book Antiqua" w:hAnsi="Book Antiqua" w:cs="Book Antiqua"/>
          <w:i/>
          <w:iCs/>
          <w:color w:val="000000"/>
        </w:rPr>
        <w:t>vs</w:t>
      </w:r>
      <w:r w:rsidRPr="00A24FC8">
        <w:rPr>
          <w:rFonts w:ascii="Book Antiqua" w:eastAsia="Book Antiqua" w:hAnsi="Book Antiqua" w:cs="Book Antiqua"/>
          <w:color w:val="000000"/>
        </w:rPr>
        <w:t xml:space="preserve"> 27.6 ± 4.7, </w:t>
      </w:r>
      <w:r w:rsidR="00D76FA1" w:rsidRPr="00A24FC8">
        <w:rPr>
          <w:rFonts w:ascii="Book Antiqua" w:eastAsia="Book Antiqua" w:hAnsi="Book Antiqua" w:cs="Book Antiqua"/>
          <w:i/>
          <w:iCs/>
          <w:color w:val="000000"/>
        </w:rPr>
        <w:t>P</w:t>
      </w:r>
      <w:r w:rsidR="00FA353C" w:rsidRPr="00A24FC8">
        <w:rPr>
          <w:rFonts w:ascii="Book Antiqua" w:eastAsia="Book Antiqua" w:hAnsi="Book Antiqua" w:cs="Book Antiqua"/>
          <w:i/>
          <w:iCs/>
          <w:color w:val="000000"/>
        </w:rPr>
        <w:t xml:space="preserve"> =</w:t>
      </w:r>
      <w:r w:rsidRPr="00A24FC8">
        <w:rPr>
          <w:rFonts w:ascii="Book Antiqua" w:eastAsia="Book Antiqua" w:hAnsi="Book Antiqua" w:cs="Book Antiqua"/>
          <w:i/>
          <w:iCs/>
          <w:color w:val="000000"/>
        </w:rPr>
        <w:t xml:space="preserve"> </w:t>
      </w:r>
      <w:r w:rsidRPr="00A24FC8">
        <w:rPr>
          <w:rFonts w:ascii="Book Antiqua" w:eastAsia="Book Antiqua" w:hAnsi="Book Antiqua" w:cs="Book Antiqua"/>
          <w:iCs/>
          <w:color w:val="000000"/>
        </w:rPr>
        <w:t>0.0002</w:t>
      </w:r>
      <w:r w:rsidRPr="00A24FC8">
        <w:rPr>
          <w:rFonts w:ascii="Book Antiqua" w:eastAsia="Book Antiqua" w:hAnsi="Book Antiqua" w:cs="Book Antiqua"/>
          <w:color w:val="000000"/>
        </w:rPr>
        <w:t>). A total of 7 patients in the study group were not obese and had BMI &lt;</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25, 18 patients were with BMI</w:t>
      </w:r>
      <w:r w:rsidR="00FA353C" w:rsidRPr="00A24FC8">
        <w:rPr>
          <w:rFonts w:ascii="Book Antiqua" w:eastAsia="Book Antiqua" w:hAnsi="Book Antiqua" w:cs="Book Antiqua"/>
          <w:color w:val="000000"/>
        </w:rPr>
        <w:t>:</w:t>
      </w:r>
      <w:r w:rsidRPr="00A24FC8">
        <w:rPr>
          <w:rFonts w:ascii="Book Antiqua" w:eastAsia="Book Antiqua" w:hAnsi="Book Antiqua" w:cs="Book Antiqua"/>
          <w:color w:val="000000"/>
        </w:rPr>
        <w:t xml:space="preserve"> 25-29.9, 11 had a BMI</w:t>
      </w:r>
      <w:r w:rsidR="00FA353C" w:rsidRPr="00A24FC8">
        <w:rPr>
          <w:rFonts w:ascii="Book Antiqua" w:eastAsia="Book Antiqua" w:hAnsi="Book Antiqua" w:cs="Book Antiqua"/>
          <w:color w:val="000000"/>
        </w:rPr>
        <w:t>:</w:t>
      </w:r>
      <w:r w:rsidRPr="00A24FC8">
        <w:rPr>
          <w:rFonts w:ascii="Book Antiqua" w:eastAsia="Book Antiqua" w:hAnsi="Book Antiqua" w:cs="Book Antiqua"/>
          <w:color w:val="000000"/>
        </w:rPr>
        <w:t xml:space="preserve"> 30-34.9, 14 had a BMI</w:t>
      </w:r>
      <w:r w:rsidR="00FA353C" w:rsidRPr="00A24FC8">
        <w:rPr>
          <w:rFonts w:ascii="Book Antiqua" w:eastAsia="Book Antiqua" w:hAnsi="Book Antiqua" w:cs="Book Antiqua"/>
          <w:color w:val="000000"/>
        </w:rPr>
        <w:t>:</w:t>
      </w:r>
      <w:r w:rsidRPr="00A24FC8">
        <w:rPr>
          <w:rFonts w:ascii="Book Antiqua" w:eastAsia="Book Antiqua" w:hAnsi="Book Antiqua" w:cs="Book Antiqua"/>
          <w:color w:val="000000"/>
        </w:rPr>
        <w:t xml:space="preserve"> 35-39.9, and 9 patients had a BMI of &gt;</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40.</w:t>
      </w:r>
    </w:p>
    <w:p w14:paraId="359EFCC8" w14:textId="77777777" w:rsidR="00A77B3E" w:rsidRPr="00A24FC8" w:rsidRDefault="00A77B3E" w:rsidP="00A24FC8">
      <w:pPr>
        <w:adjustRightInd w:val="0"/>
        <w:snapToGrid w:val="0"/>
        <w:spacing w:line="360" w:lineRule="auto"/>
        <w:jc w:val="both"/>
        <w:rPr>
          <w:rFonts w:ascii="Book Antiqua" w:hAnsi="Book Antiqua"/>
        </w:rPr>
      </w:pPr>
    </w:p>
    <w:p w14:paraId="2F54495E" w14:textId="5CA2F8BD"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Prevalence of hepatic fibrosis</w:t>
      </w:r>
    </w:p>
    <w:p w14:paraId="4F8F644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Elastography revealed that 76% of our study group patients had absent or low-grade (F0-1) fibrosis, 12% had F2 stage fibrosis, 5% had F3 stage fibrosis, and 7% had F4 stage fibrosis. Advanced fibrosis stage (F3 or F4) was diagnosed in a total of seven (12%) patients from the study group (Figure 1). In the control group none of the patients had advanced stage fibrosis, 2 (8%) patients had F2 fibrosis and 24 (92%) patients had F0-1 stage fibrosis (Figure 2).</w:t>
      </w:r>
    </w:p>
    <w:p w14:paraId="4B06DC6C" w14:textId="77777777" w:rsidR="00A77B3E" w:rsidRPr="00A24FC8" w:rsidRDefault="00A77B3E" w:rsidP="00A24FC8">
      <w:pPr>
        <w:adjustRightInd w:val="0"/>
        <w:snapToGrid w:val="0"/>
        <w:spacing w:line="360" w:lineRule="auto"/>
        <w:jc w:val="both"/>
        <w:rPr>
          <w:rFonts w:ascii="Book Antiqua" w:hAnsi="Book Antiqua"/>
        </w:rPr>
      </w:pPr>
    </w:p>
    <w:p w14:paraId="6142F2E6" w14:textId="43157EF1"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Prevalence of hepatic steatosis</w:t>
      </w:r>
    </w:p>
    <w:p w14:paraId="606D4F53" w14:textId="3EB42556"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Eighty-one percent of our study group patients with T2DM had hepatic steatosis as diagnosed by liver elastography. Steatosis grade 3 was prevalent in 27 (46%) patients as compared to 3 (12%) patients in the control group (</w:t>
      </w:r>
      <w:r w:rsidR="00D76FA1" w:rsidRPr="00A24FC8">
        <w:rPr>
          <w:rFonts w:ascii="Book Antiqua" w:eastAsia="Book Antiqua" w:hAnsi="Book Antiqua" w:cs="Book Antiqua"/>
          <w:i/>
          <w:iCs/>
          <w:color w:val="000000"/>
        </w:rPr>
        <w:t>P</w:t>
      </w:r>
      <w:r w:rsidR="00FA353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value &lt; 0.00001). Steatosis stage 0, 1, and 2 were diagnosed in 11 (19%), 8 (13%), and 13 (22%) patients respectively in the study group (Figure 3). In comparison, the control group had 11 (42%), 7 (27%), and 5 (19%) patients with steatosis stage 0, 1, and 2 respectively.</w:t>
      </w:r>
    </w:p>
    <w:p w14:paraId="5C8900F6" w14:textId="77777777" w:rsidR="00A77B3E" w:rsidRPr="00A24FC8" w:rsidRDefault="00A77B3E" w:rsidP="00A24FC8">
      <w:pPr>
        <w:adjustRightInd w:val="0"/>
        <w:snapToGrid w:val="0"/>
        <w:spacing w:line="360" w:lineRule="auto"/>
        <w:jc w:val="both"/>
        <w:rPr>
          <w:rFonts w:ascii="Book Antiqua" w:hAnsi="Book Antiqua"/>
        </w:rPr>
      </w:pPr>
    </w:p>
    <w:p w14:paraId="0EF6C718"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Prevalence of metabolic syndrome</w:t>
      </w:r>
    </w:p>
    <w:p w14:paraId="2C40A283" w14:textId="5F3166D4"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Metabolic syndrome was more prevalent among the study group patients. Fifty (85%) patients were diagnosed with metabolic syndrome in the study group and on the contrary only three (12%) patients in the control group had metabolic syndrome (</w:t>
      </w:r>
      <w:r w:rsidR="00D76FA1" w:rsidRPr="00A24FC8">
        <w:rPr>
          <w:rFonts w:ascii="Book Antiqua" w:eastAsia="Book Antiqua" w:hAnsi="Book Antiqua" w:cs="Book Antiqua"/>
          <w:i/>
          <w:iCs/>
          <w:color w:val="000000"/>
        </w:rPr>
        <w:t>P</w:t>
      </w:r>
      <w:r w:rsidRPr="00A24FC8">
        <w:rPr>
          <w:rFonts w:ascii="Book Antiqua" w:eastAsia="Book Antiqua" w:hAnsi="Book Antiqua" w:cs="Book Antiqua"/>
          <w:color w:val="000000"/>
        </w:rPr>
        <w:t xml:space="preserve"> &lt; 0.00001). Among the 27 (46%) patients in the study group who had S3 steatosis, 26 (96%) had metabolic syndrome. Twenty-eight out of the 59 (48%) patients who had metabolic syndrome in the study group met three criteria for metabolic syndrome, 13 (22%) patients met four criteria and remaining 9 (15%) patients met all the five criteria for metabolic syndrome (Figure 4).</w:t>
      </w:r>
    </w:p>
    <w:p w14:paraId="1801A2A0" w14:textId="2993BCDC"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 xml:space="preserve">Bivariate Analysis was performed using </w:t>
      </w:r>
      <w:r w:rsidR="00893C13" w:rsidRPr="00A24FC8">
        <w:rPr>
          <w:rFonts w:ascii="Book Antiqua" w:eastAsia="Book Antiqua" w:hAnsi="Book Antiqua" w:cs="Book Antiqua"/>
          <w:color w:val="000000"/>
        </w:rPr>
        <w:t>analysis of variance</w:t>
      </w:r>
      <w:r w:rsidRPr="00A24FC8">
        <w:rPr>
          <w:rFonts w:ascii="Book Antiqua" w:eastAsia="Book Antiqua" w:hAnsi="Book Antiqua" w:cs="Book Antiqua"/>
          <w:color w:val="000000"/>
        </w:rPr>
        <w:t xml:space="preserve"> to determine predictors of advanced fibrosis. Duration of T2DM was found to be a significant predictor (</w:t>
      </w:r>
      <w:r w:rsidR="00D76FA1" w:rsidRPr="00A24FC8">
        <w:rPr>
          <w:rFonts w:ascii="Book Antiqua" w:eastAsia="Book Antiqua" w:hAnsi="Book Antiqua" w:cs="Book Antiqua"/>
          <w:i/>
          <w:iCs/>
          <w:color w:val="000000"/>
        </w:rPr>
        <w:t>P</w:t>
      </w:r>
      <w:r w:rsidRPr="00A24FC8">
        <w:rPr>
          <w:rFonts w:ascii="Book Antiqua" w:eastAsia="Book Antiqua" w:hAnsi="Book Antiqua" w:cs="Book Antiqua"/>
          <w:color w:val="000000"/>
        </w:rPr>
        <w:t xml:space="preserve"> &lt;</w:t>
      </w:r>
      <w:r w:rsidR="00FA353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0.05) of advanced fibrosis. Age (</w:t>
      </w:r>
      <w:r w:rsidR="00D76FA1" w:rsidRPr="00A24FC8">
        <w:rPr>
          <w:rFonts w:ascii="Book Antiqua" w:eastAsia="Book Antiqua" w:hAnsi="Book Antiqua" w:cs="Book Antiqua"/>
          <w:i/>
          <w:iCs/>
          <w:color w:val="000000"/>
        </w:rPr>
        <w:t>P</w:t>
      </w:r>
      <w:r w:rsidR="00FA353C" w:rsidRPr="00A24FC8">
        <w:rPr>
          <w:rFonts w:ascii="Book Antiqua" w:eastAsia="Book Antiqua" w:hAnsi="Book Antiqua" w:cs="Book Antiqua"/>
          <w:i/>
          <w:iCs/>
          <w:color w:val="000000"/>
        </w:rPr>
        <w:t xml:space="preserve"> =</w:t>
      </w:r>
      <w:r w:rsidRPr="00A24FC8">
        <w:rPr>
          <w:rFonts w:ascii="Book Antiqua" w:eastAsia="Book Antiqua" w:hAnsi="Book Antiqua" w:cs="Book Antiqua"/>
          <w:color w:val="000000"/>
        </w:rPr>
        <w:t xml:space="preserve"> 0.29), BMI (</w:t>
      </w:r>
      <w:r w:rsidR="00D76FA1" w:rsidRPr="00A24FC8">
        <w:rPr>
          <w:rFonts w:ascii="Book Antiqua" w:eastAsia="Book Antiqua" w:hAnsi="Book Antiqua" w:cs="Book Antiqua"/>
          <w:i/>
          <w:iCs/>
          <w:color w:val="000000"/>
        </w:rPr>
        <w:t>P</w:t>
      </w:r>
      <w:r w:rsidR="00FA353C" w:rsidRPr="00A24FC8">
        <w:rPr>
          <w:rFonts w:ascii="Book Antiqua" w:eastAsia="Book Antiqua" w:hAnsi="Book Antiqua" w:cs="Book Antiqua"/>
          <w:i/>
          <w:iCs/>
          <w:color w:val="000000"/>
        </w:rPr>
        <w:t xml:space="preserve"> =</w:t>
      </w:r>
      <w:r w:rsidRPr="00A24FC8">
        <w:rPr>
          <w:rFonts w:ascii="Book Antiqua" w:eastAsia="Book Antiqua" w:hAnsi="Book Antiqua" w:cs="Book Antiqua"/>
          <w:color w:val="000000"/>
        </w:rPr>
        <w:t xml:space="preserve"> 0.30), and waist circumference (</w:t>
      </w:r>
      <w:r w:rsidR="00D76FA1" w:rsidRPr="00A24FC8">
        <w:rPr>
          <w:rFonts w:ascii="Book Antiqua" w:eastAsia="Book Antiqua" w:hAnsi="Book Antiqua" w:cs="Book Antiqua"/>
          <w:i/>
          <w:iCs/>
          <w:color w:val="000000"/>
        </w:rPr>
        <w:t>P</w:t>
      </w:r>
      <w:r w:rsidR="00FA353C" w:rsidRPr="00A24FC8">
        <w:rPr>
          <w:rFonts w:ascii="Book Antiqua" w:eastAsia="Book Antiqua" w:hAnsi="Book Antiqua" w:cs="Book Antiqua"/>
          <w:i/>
          <w:iCs/>
          <w:color w:val="000000"/>
        </w:rPr>
        <w:t xml:space="preserve"> =</w:t>
      </w:r>
      <w:r w:rsidRPr="00A24FC8">
        <w:rPr>
          <w:rFonts w:ascii="Book Antiqua" w:eastAsia="Book Antiqua" w:hAnsi="Book Antiqua" w:cs="Book Antiqua"/>
          <w:color w:val="000000"/>
        </w:rPr>
        <w:t xml:space="preserve"> 0.46) had no association with advanced fibrosis.</w:t>
      </w:r>
    </w:p>
    <w:bookmarkEnd w:id="41"/>
    <w:bookmarkEnd w:id="42"/>
    <w:bookmarkEnd w:id="43"/>
    <w:bookmarkEnd w:id="44"/>
    <w:bookmarkEnd w:id="45"/>
    <w:p w14:paraId="11C88E33" w14:textId="77777777" w:rsidR="00A77B3E" w:rsidRPr="00A24FC8" w:rsidRDefault="00A77B3E" w:rsidP="00A24FC8">
      <w:pPr>
        <w:adjustRightInd w:val="0"/>
        <w:snapToGrid w:val="0"/>
        <w:spacing w:line="360" w:lineRule="auto"/>
        <w:jc w:val="both"/>
        <w:rPr>
          <w:rFonts w:ascii="Book Antiqua" w:hAnsi="Book Antiqua"/>
        </w:rPr>
      </w:pPr>
    </w:p>
    <w:p w14:paraId="5603E53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aps/>
          <w:color w:val="000000"/>
          <w:u w:val="single"/>
        </w:rPr>
        <w:t>DISCUSSION</w:t>
      </w:r>
    </w:p>
    <w:p w14:paraId="6E7E1D2A" w14:textId="74AF060D" w:rsidR="00A77B3E" w:rsidRPr="00A24FC8" w:rsidRDefault="00A32083" w:rsidP="00A24FC8">
      <w:pPr>
        <w:adjustRightInd w:val="0"/>
        <w:snapToGrid w:val="0"/>
        <w:spacing w:line="360" w:lineRule="auto"/>
        <w:jc w:val="both"/>
        <w:rPr>
          <w:rFonts w:ascii="Book Antiqua" w:hAnsi="Book Antiqua"/>
        </w:rPr>
      </w:pPr>
      <w:bookmarkStart w:id="48" w:name="OLE_LINK50"/>
      <w:bookmarkStart w:id="49" w:name="OLE_LINK51"/>
      <w:r w:rsidRPr="00A24FC8">
        <w:rPr>
          <w:rFonts w:ascii="Book Antiqua" w:eastAsia="Book Antiqua" w:hAnsi="Book Antiqua" w:cs="Book Antiqua"/>
          <w:color w:val="000000"/>
        </w:rPr>
        <w:t>With the prevalence rate of obesity and T2DM reaching epidemic proportions, NAFLD has become a health crisis. NAFLD is seen frequently in T2DM with prevalence reported as high as 74% reported in one of the studies</w:t>
      </w:r>
      <w:r w:rsidRPr="00A24FC8">
        <w:rPr>
          <w:rFonts w:ascii="Book Antiqua" w:eastAsia="Book Antiqua" w:hAnsi="Book Antiqua" w:cs="Book Antiqua"/>
          <w:color w:val="000000"/>
          <w:vertAlign w:val="superscript"/>
        </w:rPr>
        <w:t>[13]</w:t>
      </w:r>
      <w:r w:rsidRPr="00A24FC8">
        <w:rPr>
          <w:rFonts w:ascii="Book Antiqua" w:eastAsia="Book Antiqua" w:hAnsi="Book Antiqua" w:cs="Book Antiqua"/>
          <w:color w:val="000000"/>
        </w:rPr>
        <w:t>. The pathophysiology of NAFLD and T2DM are intricately intertwined with insulin resistance serving as the common mediator. Severe hepatic necro-inflammation can progress to cirrhosis, especially more so in patients with T2DM. A study conducted by McPherson</w:t>
      </w:r>
      <w:r w:rsidRPr="00A24FC8">
        <w:rPr>
          <w:rFonts w:ascii="Book Antiqua" w:eastAsia="Book Antiqua" w:hAnsi="Book Antiqua" w:cs="Book Antiqua"/>
          <w:color w:val="000000"/>
          <w:vertAlign w:val="superscript"/>
        </w:rPr>
        <w:t>[14]</w:t>
      </w:r>
      <w:r w:rsidRPr="00A24FC8">
        <w:rPr>
          <w:rFonts w:ascii="Book Antiqua" w:eastAsia="Book Antiqua" w:hAnsi="Book Antiqua" w:cs="Book Antiqua"/>
          <w:color w:val="000000"/>
        </w:rPr>
        <w:t xml:space="preserve"> has previously shown an alarmingly high rate of fibrosis progression not only in patients with NASH but also in individuals with NAFLD. The same study also showed that 22% of their patients who had NAFLD at their index liver biopsy showed progression to advanced fibrosis on their follow-up biopsy. Co-occurrence of NAFLD and T2DM poses a heightened risk of extrahepatic morbidity and mortality from cardiovascular disease, chronic kidney disease and hepatocellular cancer</w:t>
      </w:r>
      <w:r w:rsidRPr="00A24FC8">
        <w:rPr>
          <w:rFonts w:ascii="Book Antiqua" w:eastAsia="Book Antiqua" w:hAnsi="Book Antiqua" w:cs="Book Antiqua"/>
          <w:color w:val="000000"/>
          <w:vertAlign w:val="superscript"/>
        </w:rPr>
        <w:t>[15]</w:t>
      </w:r>
      <w:r w:rsidRPr="00A24FC8">
        <w:rPr>
          <w:rFonts w:ascii="Book Antiqua" w:eastAsia="Book Antiqua" w:hAnsi="Book Antiqua" w:cs="Book Antiqua"/>
          <w:color w:val="000000"/>
        </w:rPr>
        <w:t>. Despite these findings, guidelines from the expert societies differ in their opinion regarding the utility of screening for hepatic fibrosis in patients with NAFLD.</w:t>
      </w:r>
    </w:p>
    <w:p w14:paraId="4B2401E5" w14:textId="23C10A0F"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The prevalence of NAFLD in our study patients was higher than in previous reports, ranging from 40</w:t>
      </w:r>
      <w:r w:rsidR="001D2654" w:rsidRPr="00A24FC8">
        <w:rPr>
          <w:rFonts w:ascii="Book Antiqua" w:eastAsia="Book Antiqua" w:hAnsi="Book Antiqua" w:cs="Book Antiqua"/>
          <w:color w:val="000000"/>
        </w:rPr>
        <w:t>%</w:t>
      </w:r>
      <w:r w:rsidRPr="00A24FC8">
        <w:rPr>
          <w:rFonts w:ascii="Book Antiqua" w:eastAsia="Book Antiqua" w:hAnsi="Book Antiqua" w:cs="Book Antiqua"/>
          <w:color w:val="000000"/>
        </w:rPr>
        <w:t xml:space="preserve"> to 70% in patients with T2DM</w:t>
      </w:r>
      <w:r w:rsidRPr="00A24FC8">
        <w:rPr>
          <w:rFonts w:ascii="Book Antiqua" w:eastAsia="Book Antiqua" w:hAnsi="Book Antiqua" w:cs="Book Antiqua"/>
          <w:color w:val="000000"/>
          <w:vertAlign w:val="superscript"/>
        </w:rPr>
        <w:t>[16]</w:t>
      </w:r>
      <w:r w:rsidRPr="00A24FC8">
        <w:rPr>
          <w:rFonts w:ascii="Book Antiqua" w:eastAsia="Book Antiqua" w:hAnsi="Book Antiqua" w:cs="Book Antiqua"/>
          <w:color w:val="000000"/>
        </w:rPr>
        <w:t>. Eighty-one percent of our patients with T2DM were found to have hepatic steatosis and nearly half of them had S3 steatosis. The prevalence of NAFLD in patients with T2DM previously reported in literature varies depending on the ethnicity and method used to diagnose NAFLD. Hispanics have been reported to have highest prevalence of non-alcoholic fatty liver disease</w:t>
      </w:r>
      <w:r w:rsidRPr="00A24FC8">
        <w:rPr>
          <w:rFonts w:ascii="Book Antiqua" w:eastAsia="Book Antiqua" w:hAnsi="Book Antiqua" w:cs="Book Antiqua"/>
          <w:color w:val="000000"/>
          <w:vertAlign w:val="superscript"/>
        </w:rPr>
        <w:t>[13]</w:t>
      </w:r>
      <w:r w:rsidRPr="00A24FC8">
        <w:rPr>
          <w:rFonts w:ascii="Book Antiqua" w:eastAsia="Book Antiqua" w:hAnsi="Book Antiqua" w:cs="Book Antiqua"/>
          <w:color w:val="000000"/>
        </w:rPr>
        <w:t xml:space="preserve"> and more than 80% of our study patients were of Hispanic ethnicity.</w:t>
      </w:r>
    </w:p>
    <w:p w14:paraId="50BC53BF" w14:textId="77777777"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Our study demonstrated that even patients with T2DM who had normal ALT levels were at risk of severe progressive liver disease. Twelve percent of our patients with T2DM had undiagnosed advanced fibrosis. Importantly, these patients who were noted to have advanced fibrosis had normal transaminases (mean ALT = 17.8 ± 7 U/L). Thus, based on current guidelines, these patients without clinically obvious cirrhosis would have gone undiagnosed for years. Among the seven study patients with BMI less than 25, five patients met criteria for metabolic syndrome, four patients had hepatic steatosis and one patient had advanced stage hepatic fibrosis. Thus, even non-obese patients with T2DM and normal transaminases could not be assumed to have a safer metabolic profile.</w:t>
      </w:r>
    </w:p>
    <w:p w14:paraId="7D574AAF" w14:textId="74CBA644"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 xml:space="preserve">A cross sectional study done by Tuong </w:t>
      </w:r>
      <w:r w:rsidRPr="00A24FC8">
        <w:rPr>
          <w:rFonts w:ascii="Book Antiqua" w:eastAsia="Book Antiqua" w:hAnsi="Book Antiqua" w:cs="Book Antiqua"/>
          <w:i/>
          <w:iCs/>
          <w:color w:val="000000"/>
        </w:rPr>
        <w:t>et</w:t>
      </w:r>
      <w:r w:rsidR="00635A2C" w:rsidRPr="00A24FC8">
        <w:rPr>
          <w:rFonts w:ascii="Book Antiqua" w:eastAsia="Book Antiqua" w:hAnsi="Book Antiqua" w:cs="Book Antiqua"/>
          <w:i/>
          <w:iCs/>
          <w:color w:val="000000"/>
        </w:rPr>
        <w:t xml:space="preserve"> </w:t>
      </w:r>
      <w:r w:rsidRPr="00A24FC8">
        <w:rPr>
          <w:rFonts w:ascii="Book Antiqua" w:eastAsia="Book Antiqua" w:hAnsi="Book Antiqua" w:cs="Book Antiqua"/>
          <w:i/>
          <w:iCs/>
          <w:color w:val="000000"/>
        </w:rPr>
        <w:t>al</w:t>
      </w:r>
      <w:r w:rsidRPr="00A24FC8">
        <w:rPr>
          <w:rFonts w:ascii="Book Antiqua" w:eastAsia="Book Antiqua" w:hAnsi="Book Antiqua" w:cs="Book Antiqua"/>
          <w:color w:val="000000"/>
          <w:vertAlign w:val="superscript"/>
        </w:rPr>
        <w:t>[17]</w:t>
      </w:r>
      <w:r w:rsidRPr="00A24FC8">
        <w:rPr>
          <w:rFonts w:ascii="Book Antiqua" w:eastAsia="Book Antiqua" w:hAnsi="Book Antiqua" w:cs="Book Antiqua"/>
          <w:color w:val="000000"/>
        </w:rPr>
        <w:t xml:space="preserve"> similarly studied the prevalence of hepatic fibrosis among patients with T2DM and found 73.3% of their diabetic patients to have NAFLD. The prevalence of F3 and F4 in their study group was 5.9% and 3.6% respectively, but they included patients with elevated transaminases as well, with a mean ALT of 60.6 U/L in the advanced fibrosis group. Another cross-sectional study by Lai </w:t>
      </w:r>
      <w:r w:rsidRPr="00A24FC8">
        <w:rPr>
          <w:rFonts w:ascii="Book Antiqua" w:eastAsia="Book Antiqua" w:hAnsi="Book Antiqua" w:cs="Book Antiqua"/>
          <w:i/>
          <w:iCs/>
          <w:color w:val="000000"/>
        </w:rPr>
        <w:t>et</w:t>
      </w:r>
      <w:r w:rsidR="00635A2C" w:rsidRPr="00A24FC8">
        <w:rPr>
          <w:rFonts w:ascii="Book Antiqua" w:eastAsia="Book Antiqua" w:hAnsi="Book Antiqua" w:cs="Book Antiqua"/>
          <w:i/>
          <w:iCs/>
          <w:color w:val="000000"/>
        </w:rPr>
        <w:t xml:space="preserve"> </w:t>
      </w:r>
      <w:r w:rsidRPr="00A24FC8">
        <w:rPr>
          <w:rFonts w:ascii="Book Antiqua" w:eastAsia="Book Antiqua" w:hAnsi="Book Antiqua" w:cs="Book Antiqua"/>
          <w:i/>
          <w:iCs/>
          <w:color w:val="000000"/>
        </w:rPr>
        <w:t>al</w:t>
      </w:r>
      <w:r w:rsidRPr="00A24FC8">
        <w:rPr>
          <w:rFonts w:ascii="Book Antiqua" w:eastAsia="Book Antiqua" w:hAnsi="Book Antiqua" w:cs="Book Antiqua"/>
          <w:color w:val="000000"/>
          <w:vertAlign w:val="superscript"/>
        </w:rPr>
        <w:t>[18]</w:t>
      </w:r>
      <w:r w:rsidRPr="00A24FC8">
        <w:rPr>
          <w:rFonts w:ascii="Book Antiqua" w:eastAsia="Book Antiqua" w:hAnsi="Book Antiqua" w:cs="Book Antiqua"/>
          <w:color w:val="000000"/>
        </w:rPr>
        <w:t xml:space="preserve"> using transient elastography in patients with T2DM, showed a prevalence of cirrhosis and advanced fibrosis in 13.5% and 21% of patients, respectively. This study also included patients with elevated transaminases with a mean ALT of 38 U/L in patients with cirrhosis. A Turkish study found prevalence of advanced fibrosis of 16.9% and cirrhosis of 8% in their patients with T2DM. The mean ALT in their patients with F3 fibrosis was 39 U/L</w:t>
      </w:r>
      <w:r w:rsidRPr="00A24FC8">
        <w:rPr>
          <w:rFonts w:ascii="Book Antiqua" w:eastAsia="Book Antiqua" w:hAnsi="Book Antiqua" w:cs="Book Antiqua"/>
          <w:color w:val="000000"/>
          <w:vertAlign w:val="superscript"/>
        </w:rPr>
        <w:t>[19]</w:t>
      </w:r>
      <w:r w:rsidRPr="00A24FC8">
        <w:rPr>
          <w:rFonts w:ascii="Book Antiqua" w:eastAsia="Book Antiqua" w:hAnsi="Book Antiqua" w:cs="Book Antiqua"/>
          <w:color w:val="000000"/>
        </w:rPr>
        <w:t>. In a large prospective cohort study from Hong Kong involving 1918 patients with T2DM, increased liver stiffness suggestive of F3 or F4 fibrosis was found in 18.8% of their diabetic patients with normal ALT, defined as ALT less than 30 U/L in men and less than 19 U/L in women. This data is predominantly from an Asian population and does not reflect our study population</w:t>
      </w:r>
      <w:r w:rsidRPr="00A24FC8">
        <w:rPr>
          <w:rFonts w:ascii="Book Antiqua" w:eastAsia="Book Antiqua" w:hAnsi="Book Antiqua" w:cs="Book Antiqua"/>
          <w:color w:val="000000"/>
          <w:vertAlign w:val="superscript"/>
        </w:rPr>
        <w:t>[20]</w:t>
      </w:r>
      <w:r w:rsidRPr="00A24FC8">
        <w:rPr>
          <w:rFonts w:ascii="Book Antiqua" w:eastAsia="Book Antiqua" w:hAnsi="Book Antiqua" w:cs="Book Antiqua"/>
          <w:color w:val="000000"/>
        </w:rPr>
        <w:t>. In a study from Australia, prevalence of significant fibrosis, defined by the study as stage F2 and above, was 35% in diabetics. The mean ALT level was 38 U/L among these patients with significant fibrosis</w:t>
      </w:r>
      <w:r w:rsidRPr="00A24FC8">
        <w:rPr>
          <w:rFonts w:ascii="Book Antiqua" w:eastAsia="Book Antiqua" w:hAnsi="Book Antiqua" w:cs="Book Antiqua"/>
          <w:color w:val="000000"/>
          <w:vertAlign w:val="superscript"/>
        </w:rPr>
        <w:t>[21]</w:t>
      </w:r>
      <w:r w:rsidRPr="00A24FC8">
        <w:rPr>
          <w:rFonts w:ascii="Book Antiqua" w:eastAsia="Book Antiqua" w:hAnsi="Book Antiqua" w:cs="Book Antiqua"/>
          <w:color w:val="000000"/>
        </w:rPr>
        <w:t>. In a prospective French study, significant fibrosis defined as liver stiffness &gt;</w:t>
      </w:r>
      <w:r w:rsidR="00635A2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8.7 kPa was found in 12.9% of patients with T2DM. However, this study did not exclude patients with significant alcohol use and some of their patients found to have cirrhosis reported &gt;</w:t>
      </w:r>
      <w:r w:rsidR="00635A2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70 drinks of alcohol per week</w:t>
      </w:r>
      <w:r w:rsidRPr="00A24FC8">
        <w:rPr>
          <w:rFonts w:ascii="Book Antiqua" w:eastAsia="Book Antiqua" w:hAnsi="Book Antiqua" w:cs="Book Antiqua"/>
          <w:color w:val="000000"/>
          <w:vertAlign w:val="superscript"/>
        </w:rPr>
        <w:t>[22]</w:t>
      </w:r>
      <w:r w:rsidRPr="00A24FC8">
        <w:rPr>
          <w:rFonts w:ascii="Book Antiqua" w:eastAsia="Book Antiqua" w:hAnsi="Book Antiqua" w:cs="Book Antiqua"/>
          <w:color w:val="000000"/>
        </w:rPr>
        <w:t>. Prevalence of F4 stage fibrosis defined as liver stiffness &gt;</w:t>
      </w:r>
      <w:r w:rsidR="00635A2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9.5</w:t>
      </w:r>
      <w:r w:rsidR="006B72B7"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kPA in another study from Romania was 18.6%. However, like most of the other studies, they too included patients with elevated ALT, with a significant number of patients having an ALT more than 40 U/L</w:t>
      </w:r>
      <w:r w:rsidRPr="00A24FC8">
        <w:rPr>
          <w:rFonts w:ascii="Book Antiqua" w:eastAsia="Book Antiqua" w:hAnsi="Book Antiqua" w:cs="Book Antiqua"/>
          <w:color w:val="000000"/>
          <w:vertAlign w:val="superscript"/>
        </w:rPr>
        <w:t>[23]</w:t>
      </w:r>
      <w:r w:rsidRPr="00A24FC8">
        <w:rPr>
          <w:rFonts w:ascii="Book Antiqua" w:eastAsia="Book Antiqua" w:hAnsi="Book Antiqua" w:cs="Book Antiqua"/>
          <w:color w:val="000000"/>
        </w:rPr>
        <w:t>. Currently, it is not the standard of care to assess liver fibrosis using liver biopsy in patients with normal ALT levels. However, it has been shown before that ALT is not a reliable criterion to exclude patients for assessment of liver fibrosis</w:t>
      </w:r>
      <w:r w:rsidRPr="00A24FC8">
        <w:rPr>
          <w:rFonts w:ascii="Book Antiqua" w:eastAsia="Book Antiqua" w:hAnsi="Book Antiqua" w:cs="Book Antiqua"/>
          <w:color w:val="000000"/>
          <w:vertAlign w:val="superscript"/>
        </w:rPr>
        <w:t>[24]</w:t>
      </w:r>
      <w:r w:rsidRPr="00A24FC8">
        <w:rPr>
          <w:rFonts w:ascii="Book Antiqua" w:eastAsia="Book Antiqua" w:hAnsi="Book Antiqua" w:cs="Book Antiqua"/>
          <w:color w:val="000000"/>
        </w:rPr>
        <w:t>. In this Italian study involving 458 Liver biopsy confirmed NAFLD patients, 63 patients had normal ALT. NASH was demonstrated in 27% of those who had ALT levels less than 30 U/L in men and 19 U/L in women.</w:t>
      </w:r>
    </w:p>
    <w:p w14:paraId="5C16F285" w14:textId="77777777"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Liver biopsy is considered a gold standard diagnostic method for evaluating chronic liver diseases. In patients with NAFLD, it is particularly useful to assess for the presence of steatohepatitis which may progress to the development of cirrhosis. However, liver biopsy is an imperfect tool that is costly and invasive. It is associated with complications including pain in up to 50% of patients, serious bleeding in 0.6%, injury to other internal organs in about 0.08% and rarely death in 0.1% of patients</w:t>
      </w:r>
      <w:r w:rsidRPr="00A24FC8">
        <w:rPr>
          <w:rFonts w:ascii="Book Antiqua" w:eastAsia="Book Antiqua" w:hAnsi="Book Antiqua" w:cs="Book Antiqua"/>
          <w:color w:val="000000"/>
          <w:vertAlign w:val="superscript"/>
        </w:rPr>
        <w:t>[25]</w:t>
      </w:r>
      <w:r w:rsidRPr="00A24FC8">
        <w:rPr>
          <w:rFonts w:ascii="Book Antiqua" w:eastAsia="Book Antiqua" w:hAnsi="Book Antiqua" w:cs="Book Antiqua"/>
          <w:color w:val="000000"/>
        </w:rPr>
        <w:t>. Considering the enormous burden of NAFLD in our communities and the invasive nature of liver biopsy, it is not practically feasible to subject all patients with NAFLD to liver biopsy. Surrogate non-invasive methods of liver fibrosis assessment have been developed and are widely available. Vibration controlled liver elastography is one such tool, that is commonly available in United States. It is a quick office-based procedure with acceptable intra-observer and inter-observer variability which has been validated worldwide</w:t>
      </w:r>
      <w:r w:rsidRPr="00A24FC8">
        <w:rPr>
          <w:rFonts w:ascii="Book Antiqua" w:eastAsia="Book Antiqua" w:hAnsi="Book Antiqua" w:cs="Book Antiqua"/>
          <w:color w:val="000000"/>
          <w:vertAlign w:val="superscript"/>
        </w:rPr>
        <w:t>[26]</w:t>
      </w:r>
      <w:r w:rsidRPr="00A24FC8">
        <w:rPr>
          <w:rFonts w:ascii="Book Antiqua" w:eastAsia="Book Antiqua" w:hAnsi="Book Antiqua" w:cs="Book Antiqua"/>
          <w:color w:val="000000"/>
        </w:rPr>
        <w:t>.</w:t>
      </w:r>
    </w:p>
    <w:p w14:paraId="249AE931" w14:textId="77777777"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We noticed striking gender differences in our study population. In general, higher prevalence of NAFLD has been reported in males as compared to female patients. However, when age specific gender differences are explored further, post-menopausal women have a higher prevalence of NAFLD as compared to men</w:t>
      </w:r>
      <w:r w:rsidRPr="00A24FC8">
        <w:rPr>
          <w:rFonts w:ascii="Book Antiqua" w:eastAsia="Book Antiqua" w:hAnsi="Book Antiqua" w:cs="Book Antiqua"/>
          <w:color w:val="000000"/>
          <w:vertAlign w:val="superscript"/>
        </w:rPr>
        <w:t>[27]</w:t>
      </w:r>
      <w:r w:rsidRPr="00A24FC8">
        <w:rPr>
          <w:rFonts w:ascii="Book Antiqua" w:eastAsia="Book Antiqua" w:hAnsi="Book Antiqua" w:cs="Book Antiqua"/>
          <w:color w:val="000000"/>
        </w:rPr>
        <w:t>. Our study results are consistent with these findings, demonstrating that 86% of all female patients as compared to 78% of all male patients had NAFLD. Among the 23 male patients in the study group (mean age of 63 years) only one (4%) patient had advanced fibrosis. In comparison, 36 patients were females (mean age of 62 years) and a total of six (17%) had advanced fibrosis. Female patients not only had higher prevalence of NAFLD, but also had a higher prevalence of grade 3 steatosis which was observed in 55% of females as compared to 30% of males. Although gender has been consistently shown to be a significant modifier, gender specific personalized therapy for NAFLD has not been explored and further research is needed to investigate this area.</w:t>
      </w:r>
    </w:p>
    <w:p w14:paraId="65F0BAEA" w14:textId="77777777" w:rsidR="00A77B3E" w:rsidRPr="00A24FC8" w:rsidRDefault="00A77B3E" w:rsidP="00A24FC8">
      <w:pPr>
        <w:adjustRightInd w:val="0"/>
        <w:snapToGrid w:val="0"/>
        <w:spacing w:line="360" w:lineRule="auto"/>
        <w:jc w:val="both"/>
        <w:rPr>
          <w:rFonts w:ascii="Book Antiqua" w:hAnsi="Book Antiqua"/>
        </w:rPr>
      </w:pPr>
    </w:p>
    <w:p w14:paraId="5F3F9319"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Clinical implication</w:t>
      </w:r>
    </w:p>
    <w:p w14:paraId="24FB1C1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Considering the high prevalence of T2DM and NAFLD in our modern world, the burden of undiagnosed cirrhosis is enormous. Diagnosing these patients in a timely fashion would provide the opportunity to adopt intensive lifestyle modifications, and consequently avoid or at the least delay the progression to advanced hepatic fibrosis. Thus, it is important to recognize these patients early on, emphasize the progression of untreated NAFLD to liver cirrhosis, and potentially reduce morbidity, mortality and its related health care burden.</w:t>
      </w:r>
    </w:p>
    <w:p w14:paraId="5071A1C7" w14:textId="77777777" w:rsidR="00A77B3E" w:rsidRPr="00A24FC8" w:rsidRDefault="00A77B3E" w:rsidP="00A24FC8">
      <w:pPr>
        <w:adjustRightInd w:val="0"/>
        <w:snapToGrid w:val="0"/>
        <w:spacing w:line="360" w:lineRule="auto"/>
        <w:jc w:val="both"/>
        <w:rPr>
          <w:rFonts w:ascii="Book Antiqua" w:hAnsi="Book Antiqua"/>
        </w:rPr>
      </w:pPr>
    </w:p>
    <w:p w14:paraId="32584010"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Study limitations</w:t>
      </w:r>
    </w:p>
    <w:p w14:paraId="7E9E6772" w14:textId="2BB6CBC5"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Our study has several limitations. Firstly, the number of overall patients in our study group is small and hence further studies with larger sample sizes are needed to validate our results. Second, we utilized liver elastography to diagnose NAFLD and liver biopsy was not performed in our patients, hence, we do not know the prevalence of NASH, which is the main driver for cirrhosis. However, it is not only unethical but risky too, to perform a liver biopsy in all T2DM patients especially with normal transaminase levels. Thirdly, the inclusion criteria in our study required a normal ALT level, defined as less than 40 U/L by our lab, which is higher than the current accepted standard. Nevertheless, the mean ALT level in the control and study group was 17 and 17.8 U/L, respectively. Fourthly, patients in our study group are older than the control group. Multiple studies have explored the influence of age on liver stiffness, and the results have been conflicting so far, reporting no difference across age groups</w:t>
      </w:r>
      <w:r w:rsidRPr="00A24FC8">
        <w:rPr>
          <w:rFonts w:ascii="Book Antiqua" w:eastAsia="Book Antiqua" w:hAnsi="Book Antiqua" w:cs="Book Antiqua"/>
          <w:color w:val="000000"/>
          <w:vertAlign w:val="superscript"/>
        </w:rPr>
        <w:t>[28,29]</w:t>
      </w:r>
      <w:r w:rsidRPr="00A24FC8">
        <w:rPr>
          <w:rFonts w:ascii="Book Antiqua" w:eastAsia="Book Antiqua" w:hAnsi="Book Antiqua" w:cs="Book Antiqua"/>
          <w:color w:val="000000"/>
        </w:rPr>
        <w:t xml:space="preserve">, higher </w:t>
      </w:r>
      <w:r w:rsidR="00D76FA1" w:rsidRPr="00A24FC8">
        <w:rPr>
          <w:rFonts w:ascii="Book Antiqua" w:eastAsia="Book Antiqua" w:hAnsi="Book Antiqua" w:cs="Book Antiqua"/>
          <w:color w:val="000000"/>
        </w:rPr>
        <w:t xml:space="preserve">liver stiffness measurement </w:t>
      </w:r>
      <w:r w:rsidRPr="00A24FC8">
        <w:rPr>
          <w:rFonts w:ascii="Book Antiqua" w:eastAsia="Book Antiqua" w:hAnsi="Book Antiqua" w:cs="Book Antiqua"/>
          <w:color w:val="000000"/>
        </w:rPr>
        <w:t>in younger</w:t>
      </w:r>
      <w:r w:rsidRPr="00A24FC8">
        <w:rPr>
          <w:rFonts w:ascii="Book Antiqua" w:eastAsia="Book Antiqua" w:hAnsi="Book Antiqua" w:cs="Book Antiqua"/>
          <w:color w:val="000000"/>
          <w:vertAlign w:val="superscript"/>
        </w:rPr>
        <w:t>[30]</w:t>
      </w:r>
      <w:r w:rsidRPr="00A24FC8">
        <w:rPr>
          <w:rFonts w:ascii="Book Antiqua" w:eastAsia="Book Antiqua" w:hAnsi="Book Antiqua" w:cs="Book Antiqua"/>
          <w:color w:val="000000"/>
        </w:rPr>
        <w:t xml:space="preserve"> or older</w:t>
      </w:r>
      <w:r w:rsidRPr="00A24FC8">
        <w:rPr>
          <w:rFonts w:ascii="Book Antiqua" w:eastAsia="Book Antiqua" w:hAnsi="Book Antiqua" w:cs="Book Antiqua"/>
          <w:color w:val="000000"/>
          <w:vertAlign w:val="superscript"/>
        </w:rPr>
        <w:t>[31]</w:t>
      </w:r>
      <w:r w:rsidRPr="00A24FC8">
        <w:rPr>
          <w:rFonts w:ascii="Book Antiqua" w:eastAsia="Book Antiqua" w:hAnsi="Book Antiqua" w:cs="Book Antiqua"/>
          <w:color w:val="000000"/>
        </w:rPr>
        <w:t xml:space="preserve"> age. Lastly, our study and control group populations comprised predominantly of Hispanics and African Americans and hence these results cannot be generalized.</w:t>
      </w:r>
    </w:p>
    <w:bookmarkEnd w:id="48"/>
    <w:bookmarkEnd w:id="49"/>
    <w:p w14:paraId="1DF3851D" w14:textId="77777777" w:rsidR="00A77B3E" w:rsidRPr="00A24FC8" w:rsidRDefault="00A77B3E" w:rsidP="00A24FC8">
      <w:pPr>
        <w:adjustRightInd w:val="0"/>
        <w:snapToGrid w:val="0"/>
        <w:spacing w:line="360" w:lineRule="auto"/>
        <w:jc w:val="both"/>
        <w:rPr>
          <w:rFonts w:ascii="Book Antiqua" w:hAnsi="Book Antiqua"/>
        </w:rPr>
      </w:pPr>
    </w:p>
    <w:p w14:paraId="22467763"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aps/>
          <w:color w:val="000000"/>
          <w:u w:val="single"/>
        </w:rPr>
        <w:t>CONCLUSION</w:t>
      </w:r>
    </w:p>
    <w:p w14:paraId="045EE03E" w14:textId="77777777" w:rsidR="00A77B3E" w:rsidRPr="00A24FC8" w:rsidRDefault="00A32083" w:rsidP="00A24FC8">
      <w:pPr>
        <w:adjustRightInd w:val="0"/>
        <w:snapToGrid w:val="0"/>
        <w:spacing w:line="360" w:lineRule="auto"/>
        <w:jc w:val="both"/>
        <w:rPr>
          <w:rFonts w:ascii="Book Antiqua" w:hAnsi="Book Antiqua"/>
        </w:rPr>
      </w:pPr>
      <w:bookmarkStart w:id="50" w:name="OLE_LINK52"/>
      <w:bookmarkStart w:id="51" w:name="OLE_LINK53"/>
      <w:r w:rsidRPr="00A24FC8">
        <w:rPr>
          <w:rFonts w:ascii="Book Antiqua" w:eastAsia="Book Antiqua" w:hAnsi="Book Antiqua" w:cs="Book Antiqua"/>
          <w:color w:val="000000"/>
        </w:rPr>
        <w:t>In conclusion, our study data shows that significant liver disease is prevalent among patients with T2DM, even with normal ALT levels. Measuring ALT levels in our study as a predictor of significant liver disease was unreliable. Timely work up with non-invasive techniques for estimation of liver fibrosis is warranted to prevent presentation at advanced stages of fibrosis. Primary care physicians and endocrinologists should be aware of this complication and should consider screening for liver fibrosis in all patients with T2DM, regardless of liver enzyme levels. Larger studies involving other ethnic groups are needed to validate our results.</w:t>
      </w:r>
    </w:p>
    <w:bookmarkEnd w:id="50"/>
    <w:bookmarkEnd w:id="51"/>
    <w:p w14:paraId="46CD64BE" w14:textId="77777777" w:rsidR="00A77B3E" w:rsidRPr="00A24FC8" w:rsidRDefault="00A77B3E" w:rsidP="00A24FC8">
      <w:pPr>
        <w:adjustRightInd w:val="0"/>
        <w:snapToGrid w:val="0"/>
        <w:spacing w:line="360" w:lineRule="auto"/>
        <w:jc w:val="both"/>
        <w:rPr>
          <w:rFonts w:ascii="Book Antiqua" w:hAnsi="Book Antiqua"/>
        </w:rPr>
      </w:pPr>
    </w:p>
    <w:p w14:paraId="509EAC08"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aps/>
          <w:color w:val="000000"/>
          <w:u w:val="single"/>
        </w:rPr>
        <w:t>ARTICLE HIGHLIGHTS</w:t>
      </w:r>
    </w:p>
    <w:p w14:paraId="723A9508"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background</w:t>
      </w:r>
    </w:p>
    <w:p w14:paraId="4C7443D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With the current obesity epidemic, prevalence of non-alcoholic fatty liver disease (NAFLD) has increased. Individuals with type 2 diabetes mellitus (T2DM) have a higher prevalence of non-alcoholic steatosis, may carry a higher risk of progression to nonalcoholic steatohepatitis and eventually cirrhosis. </w:t>
      </w:r>
    </w:p>
    <w:p w14:paraId="235BC40F" w14:textId="77777777" w:rsidR="00A77B3E" w:rsidRPr="00A24FC8" w:rsidRDefault="00A77B3E" w:rsidP="00A24FC8">
      <w:pPr>
        <w:adjustRightInd w:val="0"/>
        <w:snapToGrid w:val="0"/>
        <w:spacing w:line="360" w:lineRule="auto"/>
        <w:jc w:val="both"/>
        <w:rPr>
          <w:rFonts w:ascii="Book Antiqua" w:hAnsi="Book Antiqua"/>
        </w:rPr>
      </w:pPr>
    </w:p>
    <w:p w14:paraId="127D4054"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motivation</w:t>
      </w:r>
    </w:p>
    <w:p w14:paraId="6A1997ED" w14:textId="133847FA"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Experts still differ in their recommendations of screening for NAFLD among patients with T2DM</w:t>
      </w:r>
      <w:r w:rsidR="00F41911" w:rsidRPr="00A24FC8">
        <w:rPr>
          <w:rFonts w:ascii="Book Antiqua" w:eastAsia="Book Antiqua" w:hAnsi="Book Antiqua" w:cs="Book Antiqua"/>
          <w:color w:val="000000"/>
        </w:rPr>
        <w:t>.</w:t>
      </w:r>
    </w:p>
    <w:p w14:paraId="72E64EE3" w14:textId="77777777" w:rsidR="00A77B3E" w:rsidRPr="00A24FC8" w:rsidRDefault="00A77B3E" w:rsidP="00A24FC8">
      <w:pPr>
        <w:adjustRightInd w:val="0"/>
        <w:snapToGrid w:val="0"/>
        <w:spacing w:line="360" w:lineRule="auto"/>
        <w:jc w:val="both"/>
        <w:rPr>
          <w:rFonts w:ascii="Book Antiqua" w:hAnsi="Book Antiqua"/>
        </w:rPr>
      </w:pPr>
    </w:p>
    <w:p w14:paraId="086D5AF8"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objectives</w:t>
      </w:r>
    </w:p>
    <w:p w14:paraId="6647A35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To study the prevalence of NAFLD and advanced fibrosis among our patient population with T2DM with normal transaminases and without known liver disease.</w:t>
      </w:r>
    </w:p>
    <w:p w14:paraId="65528391" w14:textId="77777777" w:rsidR="00A77B3E" w:rsidRPr="00A24FC8" w:rsidRDefault="00A77B3E" w:rsidP="00A24FC8">
      <w:pPr>
        <w:adjustRightInd w:val="0"/>
        <w:snapToGrid w:val="0"/>
        <w:spacing w:line="360" w:lineRule="auto"/>
        <w:jc w:val="both"/>
        <w:rPr>
          <w:rFonts w:ascii="Book Antiqua" w:hAnsi="Book Antiqua"/>
        </w:rPr>
      </w:pPr>
    </w:p>
    <w:p w14:paraId="298E43A5"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methods</w:t>
      </w:r>
    </w:p>
    <w:p w14:paraId="51C5CEFB"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Prospective cohort study assessing hepatic steatosis and fibrosis using transient elastography in 59 patients with T2DM, compared to 26 non-diabetic control group patients.</w:t>
      </w:r>
    </w:p>
    <w:p w14:paraId="2CA25C4F" w14:textId="77777777" w:rsidR="00A77B3E" w:rsidRPr="00A24FC8" w:rsidRDefault="00A77B3E" w:rsidP="00A24FC8">
      <w:pPr>
        <w:adjustRightInd w:val="0"/>
        <w:snapToGrid w:val="0"/>
        <w:spacing w:line="360" w:lineRule="auto"/>
        <w:jc w:val="both"/>
        <w:rPr>
          <w:rFonts w:ascii="Book Antiqua" w:hAnsi="Book Antiqua"/>
        </w:rPr>
      </w:pPr>
    </w:p>
    <w:p w14:paraId="6BBC167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results</w:t>
      </w:r>
    </w:p>
    <w:p w14:paraId="29B6D648" w14:textId="48919A3C"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In our study group, 81% of patients had hepatic steatosis and 12% had advanced fibrosis on liver elastography. In the control group none of the patients had advanced stage fibrosis. Grade 3 steatosis was prevalent in 46% of patients in the study group as compared to 12% patients in the control group (</w:t>
      </w:r>
      <w:r w:rsidR="00635A2C" w:rsidRPr="00A24FC8">
        <w:rPr>
          <w:rFonts w:ascii="Book Antiqua" w:eastAsia="Book Antiqua" w:hAnsi="Book Antiqua" w:cs="Book Antiqua"/>
          <w:i/>
          <w:iCs/>
          <w:color w:val="000000"/>
        </w:rPr>
        <w:t>P</w:t>
      </w:r>
      <w:r w:rsidR="006B72B7"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value &lt; 0.00001).</w:t>
      </w:r>
    </w:p>
    <w:p w14:paraId="66475628" w14:textId="77777777" w:rsidR="00A77B3E" w:rsidRPr="00A24FC8" w:rsidRDefault="00A77B3E" w:rsidP="00A24FC8">
      <w:pPr>
        <w:adjustRightInd w:val="0"/>
        <w:snapToGrid w:val="0"/>
        <w:spacing w:line="360" w:lineRule="auto"/>
        <w:jc w:val="both"/>
        <w:rPr>
          <w:rFonts w:ascii="Book Antiqua" w:hAnsi="Book Antiqua"/>
        </w:rPr>
      </w:pPr>
    </w:p>
    <w:p w14:paraId="59C119B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conclusions</w:t>
      </w:r>
    </w:p>
    <w:p w14:paraId="6005665D"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A significant number of patients with T2DM, despite having normal transaminase levels, have advanced fibrosis or steatosis as measured by liver elastography.</w:t>
      </w:r>
    </w:p>
    <w:p w14:paraId="4A34DD8B" w14:textId="77777777" w:rsidR="00A77B3E" w:rsidRPr="00A24FC8" w:rsidRDefault="00A77B3E" w:rsidP="00A24FC8">
      <w:pPr>
        <w:adjustRightInd w:val="0"/>
        <w:snapToGrid w:val="0"/>
        <w:spacing w:line="360" w:lineRule="auto"/>
        <w:jc w:val="both"/>
        <w:rPr>
          <w:rFonts w:ascii="Book Antiqua" w:hAnsi="Book Antiqua"/>
        </w:rPr>
      </w:pPr>
    </w:p>
    <w:p w14:paraId="6923FC94"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perspectives</w:t>
      </w:r>
    </w:p>
    <w:p w14:paraId="249DA6DD" w14:textId="77777777" w:rsidR="00A77B3E" w:rsidRPr="00A24FC8" w:rsidRDefault="00A32083" w:rsidP="00A24FC8">
      <w:pPr>
        <w:adjustRightInd w:val="0"/>
        <w:snapToGrid w:val="0"/>
        <w:spacing w:line="360" w:lineRule="auto"/>
        <w:jc w:val="both"/>
        <w:rPr>
          <w:rFonts w:ascii="Book Antiqua" w:hAnsi="Book Antiqua"/>
        </w:rPr>
      </w:pPr>
      <w:bookmarkStart w:id="52" w:name="OLE_LINK3"/>
      <w:bookmarkStart w:id="53" w:name="OLE_LINK4"/>
      <w:r w:rsidRPr="00A24FC8">
        <w:rPr>
          <w:rFonts w:ascii="Book Antiqua" w:eastAsia="Book Antiqua" w:hAnsi="Book Antiqua" w:cs="Book Antiqua"/>
          <w:color w:val="000000"/>
        </w:rPr>
        <w:t>Physicians should be aware of prevalence of significant liver disease among patients with T2DM, even with normal liver enzymes and should consider earlier screening to prevent presentation at advanced stages of fibrosis. Larger studies are needed to confirm and validate our results.</w:t>
      </w:r>
    </w:p>
    <w:bookmarkEnd w:id="52"/>
    <w:bookmarkEnd w:id="53"/>
    <w:p w14:paraId="5BB56312" w14:textId="77777777" w:rsidR="00A77B3E" w:rsidRPr="00A24FC8" w:rsidRDefault="00A77B3E" w:rsidP="00A24FC8">
      <w:pPr>
        <w:adjustRightInd w:val="0"/>
        <w:snapToGrid w:val="0"/>
        <w:spacing w:line="360" w:lineRule="auto"/>
        <w:jc w:val="both"/>
        <w:rPr>
          <w:rFonts w:ascii="Book Antiqua" w:hAnsi="Book Antiqua"/>
        </w:rPr>
      </w:pPr>
    </w:p>
    <w:p w14:paraId="58A69A74"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REFERENCES</w:t>
      </w:r>
    </w:p>
    <w:p w14:paraId="0A804A15" w14:textId="77777777" w:rsidR="00A77B3E" w:rsidRPr="00A24FC8" w:rsidRDefault="00A32083" w:rsidP="00A24FC8">
      <w:pPr>
        <w:adjustRightInd w:val="0"/>
        <w:snapToGrid w:val="0"/>
        <w:spacing w:line="360" w:lineRule="auto"/>
        <w:jc w:val="both"/>
        <w:rPr>
          <w:rFonts w:ascii="Book Antiqua" w:hAnsi="Book Antiqua"/>
        </w:rPr>
      </w:pPr>
      <w:bookmarkStart w:id="54" w:name="OLE_LINK5"/>
      <w:bookmarkStart w:id="55" w:name="OLE_LINK6"/>
      <w:bookmarkStart w:id="56" w:name="OLE_LINK2615"/>
      <w:r w:rsidRPr="00A24FC8">
        <w:rPr>
          <w:rFonts w:ascii="Book Antiqua" w:eastAsia="Book Antiqua" w:hAnsi="Book Antiqua" w:cs="Book Antiqua"/>
          <w:color w:val="000000"/>
        </w:rPr>
        <w:t xml:space="preserve">1 </w:t>
      </w:r>
      <w:r w:rsidRPr="00A24FC8">
        <w:rPr>
          <w:rFonts w:ascii="Book Antiqua" w:eastAsia="Book Antiqua" w:hAnsi="Book Antiqua" w:cs="Book Antiqua"/>
          <w:b/>
          <w:bCs/>
          <w:color w:val="000000"/>
        </w:rPr>
        <w:t>Matteoni CA</w:t>
      </w:r>
      <w:r w:rsidRPr="00A24FC8">
        <w:rPr>
          <w:rFonts w:ascii="Book Antiqua" w:eastAsia="Book Antiqua" w:hAnsi="Book Antiqua" w:cs="Book Antiqua"/>
          <w:color w:val="000000"/>
        </w:rPr>
        <w:t xml:space="preserve">, Younossi ZM, Gramlich T, Boparai N, Liu YC, McCullough AJ. Nonalcoholic fatty liver disease: a spectrum of clinical and pathological severity. </w:t>
      </w:r>
      <w:r w:rsidRPr="00A24FC8">
        <w:rPr>
          <w:rFonts w:ascii="Book Antiqua" w:eastAsia="Book Antiqua" w:hAnsi="Book Antiqua" w:cs="Book Antiqua"/>
          <w:i/>
          <w:iCs/>
          <w:color w:val="000000"/>
        </w:rPr>
        <w:t>Gastroenterology</w:t>
      </w:r>
      <w:r w:rsidRPr="00A24FC8">
        <w:rPr>
          <w:rFonts w:ascii="Book Antiqua" w:eastAsia="Book Antiqua" w:hAnsi="Book Antiqua" w:cs="Book Antiqua"/>
          <w:color w:val="000000"/>
        </w:rPr>
        <w:t xml:space="preserve"> 1999; </w:t>
      </w:r>
      <w:r w:rsidRPr="00A24FC8">
        <w:rPr>
          <w:rFonts w:ascii="Book Antiqua" w:eastAsia="Book Antiqua" w:hAnsi="Book Antiqua" w:cs="Book Antiqua"/>
          <w:b/>
          <w:bCs/>
          <w:color w:val="000000"/>
        </w:rPr>
        <w:t>116</w:t>
      </w:r>
      <w:r w:rsidRPr="00A24FC8">
        <w:rPr>
          <w:rFonts w:ascii="Book Antiqua" w:eastAsia="Book Antiqua" w:hAnsi="Book Antiqua" w:cs="Book Antiqua"/>
          <w:color w:val="000000"/>
        </w:rPr>
        <w:t>: 1413-1419 [PMID: 10348825 DOI: 10.1016/s0016-5085(99)70506-8]</w:t>
      </w:r>
    </w:p>
    <w:p w14:paraId="76A6B75B"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 </w:t>
      </w:r>
      <w:r w:rsidRPr="00A24FC8">
        <w:rPr>
          <w:rFonts w:ascii="Book Antiqua" w:eastAsia="Book Antiqua" w:hAnsi="Book Antiqua" w:cs="Book Antiqua"/>
          <w:b/>
          <w:bCs/>
          <w:color w:val="000000"/>
        </w:rPr>
        <w:t>Vernon G</w:t>
      </w:r>
      <w:r w:rsidRPr="00A24FC8">
        <w:rPr>
          <w:rFonts w:ascii="Book Antiqua" w:eastAsia="Book Antiqua" w:hAnsi="Book Antiqua" w:cs="Book Antiqua"/>
          <w:color w:val="000000"/>
        </w:rPr>
        <w:t xml:space="preserve">, Baranova A, Younossi ZM. Systematic review: the epidemiology and natural history of non-alcoholic fatty liver disease and non-alcoholic steatohepatitis in adults. </w:t>
      </w:r>
      <w:r w:rsidRPr="00A24FC8">
        <w:rPr>
          <w:rFonts w:ascii="Book Antiqua" w:eastAsia="Book Antiqua" w:hAnsi="Book Antiqua" w:cs="Book Antiqua"/>
          <w:i/>
          <w:iCs/>
          <w:color w:val="000000"/>
        </w:rPr>
        <w:t>Aliment Pharmacol Ther</w:t>
      </w:r>
      <w:r w:rsidRPr="00A24FC8">
        <w:rPr>
          <w:rFonts w:ascii="Book Antiqua" w:eastAsia="Book Antiqua" w:hAnsi="Book Antiqua" w:cs="Book Antiqua"/>
          <w:color w:val="000000"/>
        </w:rPr>
        <w:t xml:space="preserve"> 2011; </w:t>
      </w:r>
      <w:r w:rsidRPr="00A24FC8">
        <w:rPr>
          <w:rFonts w:ascii="Book Antiqua" w:eastAsia="Book Antiqua" w:hAnsi="Book Antiqua" w:cs="Book Antiqua"/>
          <w:b/>
          <w:bCs/>
          <w:color w:val="000000"/>
        </w:rPr>
        <w:t>34</w:t>
      </w:r>
      <w:r w:rsidRPr="00A24FC8">
        <w:rPr>
          <w:rFonts w:ascii="Book Antiqua" w:eastAsia="Book Antiqua" w:hAnsi="Book Antiqua" w:cs="Book Antiqua"/>
          <w:color w:val="000000"/>
        </w:rPr>
        <w:t>: 274-285 [PMID: 21623852 DOI: 10.1111/j.1365-2036.2011.04724.x]</w:t>
      </w:r>
    </w:p>
    <w:p w14:paraId="74D512F2"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3 </w:t>
      </w:r>
      <w:r w:rsidRPr="00A24FC8">
        <w:rPr>
          <w:rFonts w:ascii="Book Antiqua" w:eastAsia="Book Antiqua" w:hAnsi="Book Antiqua" w:cs="Book Antiqua"/>
          <w:b/>
          <w:bCs/>
          <w:color w:val="000000"/>
        </w:rPr>
        <w:t>Younossi ZM</w:t>
      </w:r>
      <w:r w:rsidRPr="00A24FC8">
        <w:rPr>
          <w:rFonts w:ascii="Book Antiqua" w:eastAsia="Book Antiqua" w:hAnsi="Book Antiqua" w:cs="Book Antiqua"/>
          <w:color w:val="000000"/>
        </w:rPr>
        <w:t xml:space="preserve">, Koenig AB, Abdelatif D, Fazel Y, Henry L, Wymer M. Global epidemiology of nonalcoholic fatty liver disease-Meta-analytic assessment of prevalence, incidence, and outcomes. </w:t>
      </w:r>
      <w:r w:rsidRPr="00A24FC8">
        <w:rPr>
          <w:rFonts w:ascii="Book Antiqua" w:eastAsia="Book Antiqua" w:hAnsi="Book Antiqua" w:cs="Book Antiqua"/>
          <w:i/>
          <w:iCs/>
          <w:color w:val="000000"/>
        </w:rPr>
        <w:t>Hepatology</w:t>
      </w:r>
      <w:r w:rsidRPr="00A24FC8">
        <w:rPr>
          <w:rFonts w:ascii="Book Antiqua" w:eastAsia="Book Antiqua" w:hAnsi="Book Antiqua" w:cs="Book Antiqua"/>
          <w:color w:val="000000"/>
        </w:rPr>
        <w:t xml:space="preserve"> 2016; </w:t>
      </w:r>
      <w:r w:rsidRPr="00A24FC8">
        <w:rPr>
          <w:rFonts w:ascii="Book Antiqua" w:eastAsia="Book Antiqua" w:hAnsi="Book Antiqua" w:cs="Book Antiqua"/>
          <w:b/>
          <w:bCs/>
          <w:color w:val="000000"/>
        </w:rPr>
        <w:t>64</w:t>
      </w:r>
      <w:r w:rsidRPr="00A24FC8">
        <w:rPr>
          <w:rFonts w:ascii="Book Antiqua" w:eastAsia="Book Antiqua" w:hAnsi="Book Antiqua" w:cs="Book Antiqua"/>
          <w:color w:val="000000"/>
        </w:rPr>
        <w:t>: 73-84 [PMID: 26707365 DOI: 10.1002/hep.28431]</w:t>
      </w:r>
    </w:p>
    <w:p w14:paraId="2D44B58B"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4 </w:t>
      </w:r>
      <w:r w:rsidRPr="00A24FC8">
        <w:rPr>
          <w:rFonts w:ascii="Book Antiqua" w:eastAsia="Book Antiqua" w:hAnsi="Book Antiqua" w:cs="Book Antiqua"/>
          <w:b/>
          <w:bCs/>
          <w:color w:val="000000"/>
        </w:rPr>
        <w:t>Williamson RM</w:t>
      </w:r>
      <w:r w:rsidRPr="00A24FC8">
        <w:rPr>
          <w:rFonts w:ascii="Book Antiqua" w:eastAsia="Book Antiqua" w:hAnsi="Book Antiqua" w:cs="Book Antiqua"/>
          <w:color w:val="000000"/>
        </w:rPr>
        <w:t xml:space="preserve">, Price JF, Glancy S, Perry E, Nee LD, Hayes PC, Frier BM, Van Look LA, Johnston GI, Reynolds RM, Strachan MW; Edinburgh Type 2 Diabetes Study Investigators. Prevalence of and risk factors for hepatic steatosis and nonalcoholic Fatty liver disease in people with type 2 diabetes: the Edinburgh Type 2 Diabetes Study. </w:t>
      </w:r>
      <w:r w:rsidRPr="00A24FC8">
        <w:rPr>
          <w:rFonts w:ascii="Book Antiqua" w:eastAsia="Book Antiqua" w:hAnsi="Book Antiqua" w:cs="Book Antiqua"/>
          <w:i/>
          <w:iCs/>
          <w:color w:val="000000"/>
        </w:rPr>
        <w:t>Diabetes Care</w:t>
      </w:r>
      <w:r w:rsidRPr="00A24FC8">
        <w:rPr>
          <w:rFonts w:ascii="Book Antiqua" w:eastAsia="Book Antiqua" w:hAnsi="Book Antiqua" w:cs="Book Antiqua"/>
          <w:color w:val="000000"/>
        </w:rPr>
        <w:t xml:space="preserve"> 2011; </w:t>
      </w:r>
      <w:r w:rsidRPr="00A24FC8">
        <w:rPr>
          <w:rFonts w:ascii="Book Antiqua" w:eastAsia="Book Antiqua" w:hAnsi="Book Antiqua" w:cs="Book Antiqua"/>
          <w:b/>
          <w:bCs/>
          <w:color w:val="000000"/>
        </w:rPr>
        <w:t>34</w:t>
      </w:r>
      <w:r w:rsidRPr="00A24FC8">
        <w:rPr>
          <w:rFonts w:ascii="Book Antiqua" w:eastAsia="Book Antiqua" w:hAnsi="Book Antiqua" w:cs="Book Antiqua"/>
          <w:color w:val="000000"/>
        </w:rPr>
        <w:t>: 1139-1144 [PMID: 21478462 DOI: 10.2337/dc10-2229]</w:t>
      </w:r>
    </w:p>
    <w:p w14:paraId="3FF55110" w14:textId="294734E1"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5 </w:t>
      </w:r>
      <w:r w:rsidRPr="00A24FC8">
        <w:rPr>
          <w:rFonts w:ascii="Book Antiqua" w:eastAsia="Book Antiqua" w:hAnsi="Book Antiqua" w:cs="Book Antiqua"/>
          <w:b/>
          <w:bCs/>
          <w:color w:val="000000"/>
        </w:rPr>
        <w:t>Bian H</w:t>
      </w:r>
      <w:r w:rsidRPr="00A24FC8">
        <w:rPr>
          <w:rFonts w:ascii="Book Antiqua" w:eastAsia="Book Antiqua" w:hAnsi="Book Antiqua" w:cs="Book Antiqua"/>
          <w:color w:val="000000"/>
        </w:rPr>
        <w:t xml:space="preserve">, Zhu X, Xia M, Yan H, Chang X, Hu X, Pan B, Guo W, Li X, Gao X. </w:t>
      </w:r>
      <w:r w:rsidR="004974FC" w:rsidRPr="00A24FC8">
        <w:rPr>
          <w:rFonts w:ascii="Book Antiqua" w:eastAsia="Book Antiqua" w:hAnsi="Book Antiqua" w:cs="Book Antiqua"/>
          <w:color w:val="000000"/>
        </w:rPr>
        <w:t>Impact of Type 2 Diabetes on Nonalcoholic Steatohepatitis and Advanced Fibrosis in Patients with Nonalcoholic Fatty Liver Disease</w:t>
      </w:r>
      <w:r w:rsidRPr="00A24FC8">
        <w:rPr>
          <w:rFonts w:ascii="Book Antiqua" w:eastAsia="Book Antiqua" w:hAnsi="Book Antiqua" w:cs="Book Antiqua"/>
          <w:color w:val="000000"/>
        </w:rPr>
        <w:t xml:space="preserve">. </w:t>
      </w:r>
      <w:r w:rsidRPr="00A24FC8">
        <w:rPr>
          <w:rFonts w:ascii="Book Antiqua" w:eastAsia="Book Antiqua" w:hAnsi="Book Antiqua" w:cs="Book Antiqua"/>
          <w:i/>
          <w:iCs/>
          <w:color w:val="000000"/>
        </w:rPr>
        <w:t>Endocr Pract</w:t>
      </w:r>
      <w:r w:rsidRPr="00A24FC8">
        <w:rPr>
          <w:rFonts w:ascii="Book Antiqua" w:eastAsia="Book Antiqua" w:hAnsi="Book Antiqua" w:cs="Book Antiqua"/>
          <w:color w:val="000000"/>
        </w:rPr>
        <w:t xml:space="preserve"> 2020; </w:t>
      </w:r>
      <w:r w:rsidRPr="00A24FC8">
        <w:rPr>
          <w:rFonts w:ascii="Book Antiqua" w:eastAsia="Book Antiqua" w:hAnsi="Book Antiqua" w:cs="Book Antiqua"/>
          <w:b/>
          <w:bCs/>
          <w:color w:val="000000"/>
        </w:rPr>
        <w:t>26</w:t>
      </w:r>
      <w:r w:rsidRPr="00A24FC8">
        <w:rPr>
          <w:rFonts w:ascii="Book Antiqua" w:eastAsia="Book Antiqua" w:hAnsi="Book Antiqua" w:cs="Book Antiqua"/>
          <w:color w:val="000000"/>
        </w:rPr>
        <w:t>: 444-453 [PMID: 31968197 DOI: 10.4158/EP-2019-0342]</w:t>
      </w:r>
    </w:p>
    <w:p w14:paraId="4133BC2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6 </w:t>
      </w:r>
      <w:r w:rsidRPr="00A24FC8">
        <w:rPr>
          <w:rFonts w:ascii="Book Antiqua" w:eastAsia="Book Antiqua" w:hAnsi="Book Antiqua" w:cs="Book Antiqua"/>
          <w:b/>
          <w:bCs/>
          <w:color w:val="000000"/>
        </w:rPr>
        <w:t>Bazick J</w:t>
      </w:r>
      <w:r w:rsidRPr="00A24FC8">
        <w:rPr>
          <w:rFonts w:ascii="Book Antiqua" w:eastAsia="Book Antiqua" w:hAnsi="Book Antiqua" w:cs="Book Antiqua"/>
          <w:color w:val="000000"/>
        </w:rPr>
        <w:t xml:space="preserve">, Donithan M, Neuschwander-Tetri BA, Kleiner D, Brunt EM, Wilson L, Doo E, Lavine J, Tonascia J, Loomba R. Clinical Model for NASH and Advanced Fibrosis in Adult Patients With Diabetes and NAFLD: Guidelines for Referral in NAFLD. </w:t>
      </w:r>
      <w:r w:rsidRPr="00A24FC8">
        <w:rPr>
          <w:rFonts w:ascii="Book Antiqua" w:eastAsia="Book Antiqua" w:hAnsi="Book Antiqua" w:cs="Book Antiqua"/>
          <w:i/>
          <w:iCs/>
          <w:color w:val="000000"/>
        </w:rPr>
        <w:t>Diabetes Care</w:t>
      </w:r>
      <w:r w:rsidRPr="00A24FC8">
        <w:rPr>
          <w:rFonts w:ascii="Book Antiqua" w:eastAsia="Book Antiqua" w:hAnsi="Book Antiqua" w:cs="Book Antiqua"/>
          <w:color w:val="000000"/>
        </w:rPr>
        <w:t xml:space="preserve"> 2015; </w:t>
      </w:r>
      <w:r w:rsidRPr="00A24FC8">
        <w:rPr>
          <w:rFonts w:ascii="Book Antiqua" w:eastAsia="Book Antiqua" w:hAnsi="Book Antiqua" w:cs="Book Antiqua"/>
          <w:b/>
          <w:bCs/>
          <w:color w:val="000000"/>
        </w:rPr>
        <w:t>38</w:t>
      </w:r>
      <w:r w:rsidRPr="00A24FC8">
        <w:rPr>
          <w:rFonts w:ascii="Book Antiqua" w:eastAsia="Book Antiqua" w:hAnsi="Book Antiqua" w:cs="Book Antiqua"/>
          <w:color w:val="000000"/>
        </w:rPr>
        <w:t>: 1347-1355 [PMID: 25887357 DOI: 10.2337/dc14-1239]</w:t>
      </w:r>
    </w:p>
    <w:p w14:paraId="78C65991"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7 </w:t>
      </w:r>
      <w:r w:rsidRPr="00A24FC8">
        <w:rPr>
          <w:rFonts w:ascii="Book Antiqua" w:eastAsia="Book Antiqua" w:hAnsi="Book Antiqua" w:cs="Book Antiqua"/>
          <w:b/>
          <w:bCs/>
          <w:color w:val="000000"/>
        </w:rPr>
        <w:t>Porepa L</w:t>
      </w:r>
      <w:r w:rsidRPr="00A24FC8">
        <w:rPr>
          <w:rFonts w:ascii="Book Antiqua" w:eastAsia="Book Antiqua" w:hAnsi="Book Antiqua" w:cs="Book Antiqua"/>
          <w:color w:val="000000"/>
        </w:rPr>
        <w:t xml:space="preserve">, Ray JG, Sanchez-Romeu P, Booth GL. Newly diagnosed diabetes mellitus as a risk factor for serious liver disease. </w:t>
      </w:r>
      <w:r w:rsidRPr="00A24FC8">
        <w:rPr>
          <w:rFonts w:ascii="Book Antiqua" w:eastAsia="Book Antiqua" w:hAnsi="Book Antiqua" w:cs="Book Antiqua"/>
          <w:i/>
          <w:iCs/>
          <w:color w:val="000000"/>
        </w:rPr>
        <w:t>CMAJ</w:t>
      </w:r>
      <w:r w:rsidRPr="00A24FC8">
        <w:rPr>
          <w:rFonts w:ascii="Book Antiqua" w:eastAsia="Book Antiqua" w:hAnsi="Book Antiqua" w:cs="Book Antiqua"/>
          <w:color w:val="000000"/>
        </w:rPr>
        <w:t xml:space="preserve"> 2010; </w:t>
      </w:r>
      <w:r w:rsidRPr="00A24FC8">
        <w:rPr>
          <w:rFonts w:ascii="Book Antiqua" w:eastAsia="Book Antiqua" w:hAnsi="Book Antiqua" w:cs="Book Antiqua"/>
          <w:b/>
          <w:bCs/>
          <w:color w:val="000000"/>
        </w:rPr>
        <w:t>182</w:t>
      </w:r>
      <w:r w:rsidRPr="00A24FC8">
        <w:rPr>
          <w:rFonts w:ascii="Book Antiqua" w:eastAsia="Book Antiqua" w:hAnsi="Book Antiqua" w:cs="Book Antiqua"/>
          <w:color w:val="000000"/>
        </w:rPr>
        <w:t>: E526-E531 [PMID: 20566726 DOI: 10.1503/cmaj.092144]</w:t>
      </w:r>
    </w:p>
    <w:p w14:paraId="6C67065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8 </w:t>
      </w:r>
      <w:r w:rsidRPr="00A24FC8">
        <w:rPr>
          <w:rFonts w:ascii="Book Antiqua" w:eastAsia="Book Antiqua" w:hAnsi="Book Antiqua" w:cs="Book Antiqua"/>
          <w:b/>
          <w:bCs/>
          <w:color w:val="000000"/>
        </w:rPr>
        <w:t>Chalasani N</w:t>
      </w:r>
      <w:r w:rsidRPr="00A24FC8">
        <w:rPr>
          <w:rFonts w:ascii="Book Antiqua" w:eastAsia="Book Antiqua" w:hAnsi="Book Antiqua" w:cs="Book Antiqua"/>
          <w:color w:val="000000"/>
        </w:rPr>
        <w:t xml:space="preserve">, Younossi Z, Lavine JE, Charlton M, Cusi K, Rinella M, Harrison SA, Brunt EM, Sanyal AJ. The diagnosis and management of nonalcoholic fatty liver disease: Practice guidance from the American Association for the Study of Liver Diseases. </w:t>
      </w:r>
      <w:r w:rsidRPr="00A24FC8">
        <w:rPr>
          <w:rFonts w:ascii="Book Antiqua" w:eastAsia="Book Antiqua" w:hAnsi="Book Antiqua" w:cs="Book Antiqua"/>
          <w:i/>
          <w:iCs/>
          <w:color w:val="000000"/>
        </w:rPr>
        <w:t>Hepatology</w:t>
      </w:r>
      <w:r w:rsidRPr="00A24FC8">
        <w:rPr>
          <w:rFonts w:ascii="Book Antiqua" w:eastAsia="Book Antiqua" w:hAnsi="Book Antiqua" w:cs="Book Antiqua"/>
          <w:color w:val="000000"/>
        </w:rPr>
        <w:t xml:space="preserve"> 2018; </w:t>
      </w:r>
      <w:r w:rsidRPr="00A24FC8">
        <w:rPr>
          <w:rFonts w:ascii="Book Antiqua" w:eastAsia="Book Antiqua" w:hAnsi="Book Antiqua" w:cs="Book Antiqua"/>
          <w:b/>
          <w:bCs/>
          <w:color w:val="000000"/>
        </w:rPr>
        <w:t>67</w:t>
      </w:r>
      <w:r w:rsidRPr="00A24FC8">
        <w:rPr>
          <w:rFonts w:ascii="Book Antiqua" w:eastAsia="Book Antiqua" w:hAnsi="Book Antiqua" w:cs="Book Antiqua"/>
          <w:color w:val="000000"/>
        </w:rPr>
        <w:t>: 328-357 [PMID: 28714183 DOI: 10.1002/hep.29367]</w:t>
      </w:r>
    </w:p>
    <w:p w14:paraId="476BECD6" w14:textId="52D95253"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9 </w:t>
      </w:r>
      <w:r w:rsidRPr="00A24FC8">
        <w:rPr>
          <w:rFonts w:ascii="Book Antiqua" w:eastAsia="Book Antiqua" w:hAnsi="Book Antiqua" w:cs="Book Antiqua"/>
          <w:b/>
          <w:bCs/>
          <w:color w:val="000000"/>
        </w:rPr>
        <w:t>American Diabetes Association.</w:t>
      </w:r>
      <w:r w:rsidRPr="00A24FC8">
        <w:rPr>
          <w:rFonts w:ascii="Book Antiqua" w:eastAsia="Book Antiqua" w:hAnsi="Book Antiqua" w:cs="Book Antiqua"/>
          <w:color w:val="000000"/>
        </w:rPr>
        <w:t xml:space="preserve"> 4. Comprehensive Medical Evaluation and Assessment of Comorbidities: </w:t>
      </w:r>
      <w:r w:rsidRPr="00A24FC8">
        <w:rPr>
          <w:rFonts w:ascii="Book Antiqua" w:eastAsia="Book Antiqua" w:hAnsi="Book Antiqua" w:cs="Book Antiqua"/>
          <w:i/>
          <w:iCs/>
          <w:color w:val="000000"/>
        </w:rPr>
        <w:t>Standards of Medical Care in Diabetes-2020</w:t>
      </w:r>
      <w:r w:rsidRPr="00A24FC8">
        <w:rPr>
          <w:rFonts w:ascii="Book Antiqua" w:eastAsia="Book Antiqua" w:hAnsi="Book Antiqua" w:cs="Book Antiqua"/>
          <w:color w:val="000000"/>
        </w:rPr>
        <w:t xml:space="preserve">. </w:t>
      </w:r>
      <w:r w:rsidRPr="00A24FC8">
        <w:rPr>
          <w:rFonts w:ascii="Book Antiqua" w:eastAsia="Book Antiqua" w:hAnsi="Book Antiqua" w:cs="Book Antiqua"/>
          <w:i/>
          <w:iCs/>
          <w:color w:val="000000"/>
        </w:rPr>
        <w:t>Diabetes Care</w:t>
      </w:r>
      <w:r w:rsidRPr="00A24FC8">
        <w:rPr>
          <w:rFonts w:ascii="Book Antiqua" w:eastAsia="Book Antiqua" w:hAnsi="Book Antiqua" w:cs="Book Antiqua"/>
          <w:color w:val="000000"/>
        </w:rPr>
        <w:t xml:space="preserve"> 2020; </w:t>
      </w:r>
      <w:r w:rsidRPr="00A24FC8">
        <w:rPr>
          <w:rFonts w:ascii="Book Antiqua" w:eastAsia="Book Antiqua" w:hAnsi="Book Antiqua" w:cs="Book Antiqua"/>
          <w:b/>
          <w:bCs/>
          <w:color w:val="000000"/>
        </w:rPr>
        <w:t>43</w:t>
      </w:r>
      <w:r w:rsidRPr="00A24FC8">
        <w:rPr>
          <w:rFonts w:ascii="Book Antiqua" w:eastAsia="Book Antiqua" w:hAnsi="Book Antiqua" w:cs="Book Antiqua"/>
          <w:color w:val="000000"/>
        </w:rPr>
        <w:t>: S37-S47 [PMID: 31862747 DOI: 10.2337/dc20-S004]</w:t>
      </w:r>
    </w:p>
    <w:p w14:paraId="1269997F"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10 </w:t>
      </w:r>
      <w:r w:rsidRPr="00A24FC8">
        <w:rPr>
          <w:rFonts w:ascii="Book Antiqua" w:eastAsia="Book Antiqua" w:hAnsi="Book Antiqua" w:cs="Book Antiqua"/>
          <w:b/>
          <w:bCs/>
          <w:color w:val="000000"/>
        </w:rPr>
        <w:t>Bonder A</w:t>
      </w:r>
      <w:r w:rsidRPr="00A24FC8">
        <w:rPr>
          <w:rFonts w:ascii="Book Antiqua" w:eastAsia="Book Antiqua" w:hAnsi="Book Antiqua" w:cs="Book Antiqua"/>
          <w:color w:val="000000"/>
        </w:rPr>
        <w:t xml:space="preserve">, Afdhal N. Utilization of FibroScan in clinical practice. </w:t>
      </w:r>
      <w:r w:rsidRPr="00A24FC8">
        <w:rPr>
          <w:rFonts w:ascii="Book Antiqua" w:eastAsia="Book Antiqua" w:hAnsi="Book Antiqua" w:cs="Book Antiqua"/>
          <w:i/>
          <w:iCs/>
          <w:color w:val="000000"/>
        </w:rPr>
        <w:t>Curr Gastroenterol Rep</w:t>
      </w:r>
      <w:r w:rsidRPr="00A24FC8">
        <w:rPr>
          <w:rFonts w:ascii="Book Antiqua" w:eastAsia="Book Antiqua" w:hAnsi="Book Antiqua" w:cs="Book Antiqua"/>
          <w:color w:val="000000"/>
        </w:rPr>
        <w:t xml:space="preserve"> 2014; </w:t>
      </w:r>
      <w:r w:rsidRPr="00A24FC8">
        <w:rPr>
          <w:rFonts w:ascii="Book Antiqua" w:eastAsia="Book Antiqua" w:hAnsi="Book Antiqua" w:cs="Book Antiqua"/>
          <w:b/>
          <w:bCs/>
          <w:color w:val="000000"/>
        </w:rPr>
        <w:t>16</w:t>
      </w:r>
      <w:r w:rsidRPr="00A24FC8">
        <w:rPr>
          <w:rFonts w:ascii="Book Antiqua" w:eastAsia="Book Antiqua" w:hAnsi="Book Antiqua" w:cs="Book Antiqua"/>
          <w:color w:val="000000"/>
        </w:rPr>
        <w:t>: 372 [PMID: 24452634 DOI: 10.1007/s11894-014-0372-6]</w:t>
      </w:r>
    </w:p>
    <w:p w14:paraId="7832691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11 </w:t>
      </w:r>
      <w:r w:rsidRPr="00A24FC8">
        <w:rPr>
          <w:rFonts w:ascii="Book Antiqua" w:eastAsia="Book Antiqua" w:hAnsi="Book Antiqua" w:cs="Book Antiqua"/>
          <w:b/>
          <w:bCs/>
          <w:color w:val="000000"/>
        </w:rPr>
        <w:t>Wang Y</w:t>
      </w:r>
      <w:r w:rsidRPr="00A24FC8">
        <w:rPr>
          <w:rFonts w:ascii="Book Antiqua" w:eastAsia="Book Antiqua" w:hAnsi="Book Antiqua" w:cs="Book Antiqua"/>
          <w:color w:val="000000"/>
        </w:rPr>
        <w:t xml:space="preserve">, Fan Q, Wang T, Wen J, Wang H, Zhang T. Controlled attenuation parameter for assessment of hepatic steatosis grades: a diagnostic meta-analysis. </w:t>
      </w:r>
      <w:r w:rsidRPr="00A24FC8">
        <w:rPr>
          <w:rFonts w:ascii="Book Antiqua" w:eastAsia="Book Antiqua" w:hAnsi="Book Antiqua" w:cs="Book Antiqua"/>
          <w:i/>
          <w:iCs/>
          <w:color w:val="000000"/>
        </w:rPr>
        <w:t>Int J Clin Exp Med</w:t>
      </w:r>
      <w:r w:rsidRPr="00A24FC8">
        <w:rPr>
          <w:rFonts w:ascii="Book Antiqua" w:eastAsia="Book Antiqua" w:hAnsi="Book Antiqua" w:cs="Book Antiqua"/>
          <w:color w:val="000000"/>
        </w:rPr>
        <w:t xml:space="preserve"> 2015; </w:t>
      </w:r>
      <w:r w:rsidRPr="00A24FC8">
        <w:rPr>
          <w:rFonts w:ascii="Book Antiqua" w:eastAsia="Book Antiqua" w:hAnsi="Book Antiqua" w:cs="Book Antiqua"/>
          <w:b/>
          <w:bCs/>
          <w:color w:val="000000"/>
        </w:rPr>
        <w:t>8</w:t>
      </w:r>
      <w:r w:rsidRPr="00A24FC8">
        <w:rPr>
          <w:rFonts w:ascii="Book Antiqua" w:eastAsia="Book Antiqua" w:hAnsi="Book Antiqua" w:cs="Book Antiqua"/>
          <w:color w:val="000000"/>
        </w:rPr>
        <w:t>: 17654-17663 [PMID: 26770355]</w:t>
      </w:r>
    </w:p>
    <w:p w14:paraId="40F75E6B" w14:textId="1CE7691B"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12 </w:t>
      </w:r>
      <w:r w:rsidRPr="00A24FC8">
        <w:rPr>
          <w:rFonts w:ascii="Book Antiqua" w:eastAsia="Book Antiqua" w:hAnsi="Book Antiqua" w:cs="Book Antiqua"/>
          <w:b/>
          <w:bCs/>
          <w:color w:val="000000"/>
        </w:rPr>
        <w:t>Expert Panel on Detection, Evaluation, and Treatment of High Blood Cholesterol in Adults.</w:t>
      </w:r>
      <w:r w:rsidRPr="00A24FC8">
        <w:rPr>
          <w:rFonts w:ascii="Book Antiqua" w:eastAsia="Book Antiqua" w:hAnsi="Book Antiqua" w:cs="Book Antiqua"/>
          <w:color w:val="000000"/>
        </w:rPr>
        <w:t xml:space="preserve"> Executive Summary of</w:t>
      </w:r>
      <w:r w:rsidR="00DD7089" w:rsidRPr="00A24FC8">
        <w:rPr>
          <w:rFonts w:ascii="Book Antiqua" w:eastAsia="Book Antiqua" w:hAnsi="Book Antiqua" w:cs="Book Antiqua"/>
          <w:color w:val="000000"/>
        </w:rPr>
        <w:t xml:space="preserve"> The</w:t>
      </w:r>
      <w:r w:rsidR="004974F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 xml:space="preserve">Third Report of </w:t>
      </w:r>
      <w:r w:rsidR="00DD7089" w:rsidRPr="00A24FC8">
        <w:rPr>
          <w:rFonts w:ascii="Book Antiqua" w:eastAsia="Book Antiqua" w:hAnsi="Book Antiqua" w:cs="Book Antiqua"/>
          <w:color w:val="000000"/>
        </w:rPr>
        <w:t>The</w:t>
      </w:r>
      <w:r w:rsidR="004974F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 xml:space="preserve">National Cholesterol Education Program (NCEP) Expert Panel on Detection, Evaluation, And Treatment of High Blood Cholesterol In Adults (Adult Treatment Panel III). </w:t>
      </w:r>
      <w:r w:rsidRPr="00A24FC8">
        <w:rPr>
          <w:rFonts w:ascii="Book Antiqua" w:eastAsia="Book Antiqua" w:hAnsi="Book Antiqua" w:cs="Book Antiqua"/>
          <w:i/>
          <w:iCs/>
          <w:color w:val="000000"/>
        </w:rPr>
        <w:t>JAMA</w:t>
      </w:r>
      <w:r w:rsidRPr="00A24FC8">
        <w:rPr>
          <w:rFonts w:ascii="Book Antiqua" w:eastAsia="Book Antiqua" w:hAnsi="Book Antiqua" w:cs="Book Antiqua"/>
          <w:color w:val="000000"/>
        </w:rPr>
        <w:t xml:space="preserve"> 2001; </w:t>
      </w:r>
      <w:r w:rsidRPr="00A24FC8">
        <w:rPr>
          <w:rFonts w:ascii="Book Antiqua" w:eastAsia="Book Antiqua" w:hAnsi="Book Antiqua" w:cs="Book Antiqua"/>
          <w:b/>
          <w:bCs/>
          <w:color w:val="000000"/>
        </w:rPr>
        <w:t>285</w:t>
      </w:r>
      <w:r w:rsidRPr="00A24FC8">
        <w:rPr>
          <w:rFonts w:ascii="Book Antiqua" w:eastAsia="Book Antiqua" w:hAnsi="Book Antiqua" w:cs="Book Antiqua"/>
          <w:color w:val="000000"/>
        </w:rPr>
        <w:t>: 2486-2497 [PMID: 11368702 DOI: 10.1001/jama.285.19.2486]</w:t>
      </w:r>
    </w:p>
    <w:p w14:paraId="6CEE0376"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13 </w:t>
      </w:r>
      <w:r w:rsidRPr="00A24FC8">
        <w:rPr>
          <w:rFonts w:ascii="Book Antiqua" w:eastAsia="Book Antiqua" w:hAnsi="Book Antiqua" w:cs="Book Antiqua"/>
          <w:b/>
          <w:bCs/>
          <w:color w:val="000000"/>
        </w:rPr>
        <w:t>Williams CD</w:t>
      </w:r>
      <w:r w:rsidRPr="00A24FC8">
        <w:rPr>
          <w:rFonts w:ascii="Book Antiqua" w:eastAsia="Book Antiqua" w:hAnsi="Book Antiqua" w:cs="Book Antiqua"/>
          <w:color w:val="000000"/>
        </w:rPr>
        <w:t xml:space="preserve">, Stengel J, Asike MI, Torres DM, Shaw J, Contreras M, Landt CL, Harrison SA. Prevalence of nonalcoholic fatty liver disease and nonalcoholic steatohepatitis among a largely middle-aged population utilizing ultrasound and liver biopsy: a prospective study. </w:t>
      </w:r>
      <w:r w:rsidRPr="00A24FC8">
        <w:rPr>
          <w:rFonts w:ascii="Book Antiqua" w:eastAsia="Book Antiqua" w:hAnsi="Book Antiqua" w:cs="Book Antiqua"/>
          <w:i/>
          <w:iCs/>
          <w:color w:val="000000"/>
        </w:rPr>
        <w:t>Gastroenterology</w:t>
      </w:r>
      <w:r w:rsidRPr="00A24FC8">
        <w:rPr>
          <w:rFonts w:ascii="Book Antiqua" w:eastAsia="Book Antiqua" w:hAnsi="Book Antiqua" w:cs="Book Antiqua"/>
          <w:color w:val="000000"/>
        </w:rPr>
        <w:t xml:space="preserve"> 2011; </w:t>
      </w:r>
      <w:r w:rsidRPr="00A24FC8">
        <w:rPr>
          <w:rFonts w:ascii="Book Antiqua" w:eastAsia="Book Antiqua" w:hAnsi="Book Antiqua" w:cs="Book Antiqua"/>
          <w:b/>
          <w:bCs/>
          <w:color w:val="000000"/>
        </w:rPr>
        <w:t>140</w:t>
      </w:r>
      <w:r w:rsidRPr="00A24FC8">
        <w:rPr>
          <w:rFonts w:ascii="Book Antiqua" w:eastAsia="Book Antiqua" w:hAnsi="Book Antiqua" w:cs="Book Antiqua"/>
          <w:color w:val="000000"/>
        </w:rPr>
        <w:t>: 124-131 [PMID: 20858492 DOI: 10.1053/j.gastro.2010.09.038]</w:t>
      </w:r>
    </w:p>
    <w:p w14:paraId="0207C8D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14 </w:t>
      </w:r>
      <w:r w:rsidRPr="00A24FC8">
        <w:rPr>
          <w:rFonts w:ascii="Book Antiqua" w:eastAsia="Book Antiqua" w:hAnsi="Book Antiqua" w:cs="Book Antiqua"/>
          <w:b/>
          <w:bCs/>
          <w:color w:val="000000"/>
        </w:rPr>
        <w:t>McPherson S</w:t>
      </w:r>
      <w:r w:rsidRPr="00A24FC8">
        <w:rPr>
          <w:rFonts w:ascii="Book Antiqua" w:eastAsia="Book Antiqua" w:hAnsi="Book Antiqua" w:cs="Book Antiqua"/>
          <w:color w:val="000000"/>
        </w:rPr>
        <w:t xml:space="preserve">, Hardy T, Henderson E, Burt AD, Day CP, Anstee QM. Evidence of NAFLD progression from steatosis to fibrosing-steatohepatitis using paired biopsies: implications for prognosis and clinical management. </w:t>
      </w:r>
      <w:r w:rsidRPr="00A24FC8">
        <w:rPr>
          <w:rFonts w:ascii="Book Antiqua" w:eastAsia="Book Antiqua" w:hAnsi="Book Antiqua" w:cs="Book Antiqua"/>
          <w:i/>
          <w:iCs/>
          <w:color w:val="000000"/>
        </w:rPr>
        <w:t>J Hepatol</w:t>
      </w:r>
      <w:r w:rsidRPr="00A24FC8">
        <w:rPr>
          <w:rFonts w:ascii="Book Antiqua" w:eastAsia="Book Antiqua" w:hAnsi="Book Antiqua" w:cs="Book Antiqua"/>
          <w:color w:val="000000"/>
        </w:rPr>
        <w:t xml:space="preserve"> 2015; </w:t>
      </w:r>
      <w:r w:rsidRPr="00A24FC8">
        <w:rPr>
          <w:rFonts w:ascii="Book Antiqua" w:eastAsia="Book Antiqua" w:hAnsi="Book Antiqua" w:cs="Book Antiqua"/>
          <w:b/>
          <w:bCs/>
          <w:color w:val="000000"/>
        </w:rPr>
        <w:t>62</w:t>
      </w:r>
      <w:r w:rsidRPr="00A24FC8">
        <w:rPr>
          <w:rFonts w:ascii="Book Antiqua" w:eastAsia="Book Antiqua" w:hAnsi="Book Antiqua" w:cs="Book Antiqua"/>
          <w:color w:val="000000"/>
        </w:rPr>
        <w:t>: 1148-1155 [PMID: 25477264 DOI: 10.1016/j.jhep.2014.11.034]</w:t>
      </w:r>
    </w:p>
    <w:p w14:paraId="7FB0CD6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15 </w:t>
      </w:r>
      <w:r w:rsidRPr="00A24FC8">
        <w:rPr>
          <w:rFonts w:ascii="Book Antiqua" w:eastAsia="Book Antiqua" w:hAnsi="Book Antiqua" w:cs="Book Antiqua"/>
          <w:b/>
          <w:bCs/>
          <w:color w:val="000000"/>
        </w:rPr>
        <w:t>Byrne CD</w:t>
      </w:r>
      <w:r w:rsidRPr="00A24FC8">
        <w:rPr>
          <w:rFonts w:ascii="Book Antiqua" w:eastAsia="Book Antiqua" w:hAnsi="Book Antiqua" w:cs="Book Antiqua"/>
          <w:color w:val="000000"/>
        </w:rPr>
        <w:t xml:space="preserve">, Targher G. NAFLD: a multisystem disease. </w:t>
      </w:r>
      <w:r w:rsidRPr="00A24FC8">
        <w:rPr>
          <w:rFonts w:ascii="Book Antiqua" w:eastAsia="Book Antiqua" w:hAnsi="Book Antiqua" w:cs="Book Antiqua"/>
          <w:i/>
          <w:iCs/>
          <w:color w:val="000000"/>
        </w:rPr>
        <w:t>J Hepatol</w:t>
      </w:r>
      <w:r w:rsidRPr="00A24FC8">
        <w:rPr>
          <w:rFonts w:ascii="Book Antiqua" w:eastAsia="Book Antiqua" w:hAnsi="Book Antiqua" w:cs="Book Antiqua"/>
          <w:color w:val="000000"/>
        </w:rPr>
        <w:t xml:space="preserve"> 2015; </w:t>
      </w:r>
      <w:r w:rsidRPr="00A24FC8">
        <w:rPr>
          <w:rFonts w:ascii="Book Antiqua" w:eastAsia="Book Antiqua" w:hAnsi="Book Antiqua" w:cs="Book Antiqua"/>
          <w:b/>
          <w:bCs/>
          <w:color w:val="000000"/>
        </w:rPr>
        <w:t>62</w:t>
      </w:r>
      <w:r w:rsidRPr="00A24FC8">
        <w:rPr>
          <w:rFonts w:ascii="Book Antiqua" w:eastAsia="Book Antiqua" w:hAnsi="Book Antiqua" w:cs="Book Antiqua"/>
          <w:color w:val="000000"/>
        </w:rPr>
        <w:t>: S47-S64 [PMID: 25920090 DOI: 10.1016/j.jhep.2014.12.012]</w:t>
      </w:r>
    </w:p>
    <w:p w14:paraId="3CC5A8F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16 </w:t>
      </w:r>
      <w:r w:rsidRPr="00A24FC8">
        <w:rPr>
          <w:rFonts w:ascii="Book Antiqua" w:eastAsia="Book Antiqua" w:hAnsi="Book Antiqua" w:cs="Book Antiqua"/>
          <w:b/>
          <w:bCs/>
          <w:color w:val="000000"/>
        </w:rPr>
        <w:t>Lazo M</w:t>
      </w:r>
      <w:r w:rsidRPr="00A24FC8">
        <w:rPr>
          <w:rFonts w:ascii="Book Antiqua" w:eastAsia="Book Antiqua" w:hAnsi="Book Antiqua" w:cs="Book Antiqua"/>
          <w:color w:val="000000"/>
        </w:rPr>
        <w:t xml:space="preserve">, Clark JM. The epidemiology of nonalcoholic fatty liver disease: a global perspective. </w:t>
      </w:r>
      <w:r w:rsidRPr="00A24FC8">
        <w:rPr>
          <w:rFonts w:ascii="Book Antiqua" w:eastAsia="Book Antiqua" w:hAnsi="Book Antiqua" w:cs="Book Antiqua"/>
          <w:i/>
          <w:iCs/>
          <w:color w:val="000000"/>
        </w:rPr>
        <w:t>Semin Liver Dis</w:t>
      </w:r>
      <w:r w:rsidRPr="00A24FC8">
        <w:rPr>
          <w:rFonts w:ascii="Book Antiqua" w:eastAsia="Book Antiqua" w:hAnsi="Book Antiqua" w:cs="Book Antiqua"/>
          <w:color w:val="000000"/>
        </w:rPr>
        <w:t xml:space="preserve"> 2008; </w:t>
      </w:r>
      <w:r w:rsidRPr="00A24FC8">
        <w:rPr>
          <w:rFonts w:ascii="Book Antiqua" w:eastAsia="Book Antiqua" w:hAnsi="Book Antiqua" w:cs="Book Antiqua"/>
          <w:b/>
          <w:bCs/>
          <w:color w:val="000000"/>
        </w:rPr>
        <w:t>28</w:t>
      </w:r>
      <w:r w:rsidRPr="00A24FC8">
        <w:rPr>
          <w:rFonts w:ascii="Book Antiqua" w:eastAsia="Book Antiqua" w:hAnsi="Book Antiqua" w:cs="Book Antiqua"/>
          <w:color w:val="000000"/>
        </w:rPr>
        <w:t>: 339-350 [PMID: 18956290 DOI: 10.1055/s-0028-1091978]</w:t>
      </w:r>
    </w:p>
    <w:p w14:paraId="05EFD88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17 </w:t>
      </w:r>
      <w:r w:rsidRPr="00A24FC8">
        <w:rPr>
          <w:rFonts w:ascii="Book Antiqua" w:eastAsia="Book Antiqua" w:hAnsi="Book Antiqua" w:cs="Book Antiqua"/>
          <w:b/>
          <w:bCs/>
          <w:color w:val="000000"/>
        </w:rPr>
        <w:t>Tuong TTK</w:t>
      </w:r>
      <w:r w:rsidRPr="00A24FC8">
        <w:rPr>
          <w:rFonts w:ascii="Book Antiqua" w:eastAsia="Book Antiqua" w:hAnsi="Book Antiqua" w:cs="Book Antiqua"/>
          <w:color w:val="000000"/>
        </w:rPr>
        <w:t xml:space="preserve">, Tran DK, Phu PQT, Hong TND, Dinh TC, Chu DT. Non-Alcoholic Fatty Liver Disease in Patients with Type 2 Diabetes: Evaluation of Hepatic Fibrosis and Steatosis Using Fibroscan. </w:t>
      </w:r>
      <w:r w:rsidRPr="00A24FC8">
        <w:rPr>
          <w:rFonts w:ascii="Book Antiqua" w:eastAsia="Book Antiqua" w:hAnsi="Book Antiqua" w:cs="Book Antiqua"/>
          <w:i/>
          <w:iCs/>
          <w:color w:val="000000"/>
        </w:rPr>
        <w:t>Diagnostics (Basel)</w:t>
      </w:r>
      <w:r w:rsidRPr="00A24FC8">
        <w:rPr>
          <w:rFonts w:ascii="Book Antiqua" w:eastAsia="Book Antiqua" w:hAnsi="Book Antiqua" w:cs="Book Antiqua"/>
          <w:color w:val="000000"/>
        </w:rPr>
        <w:t xml:space="preserve"> 2020; </w:t>
      </w:r>
      <w:r w:rsidRPr="00A24FC8">
        <w:rPr>
          <w:rFonts w:ascii="Book Antiqua" w:eastAsia="Book Antiqua" w:hAnsi="Book Antiqua" w:cs="Book Antiqua"/>
          <w:b/>
          <w:bCs/>
          <w:color w:val="000000"/>
        </w:rPr>
        <w:t>10</w:t>
      </w:r>
      <w:r w:rsidRPr="00A24FC8">
        <w:rPr>
          <w:rFonts w:ascii="Book Antiqua" w:eastAsia="Book Antiqua" w:hAnsi="Book Antiqua" w:cs="Book Antiqua"/>
          <w:color w:val="000000"/>
        </w:rPr>
        <w:t>: [PMID: 32183383 DOI: 10.3390/diagnostics10030159]</w:t>
      </w:r>
    </w:p>
    <w:p w14:paraId="5D52BA36"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18 </w:t>
      </w:r>
      <w:r w:rsidRPr="00A24FC8">
        <w:rPr>
          <w:rFonts w:ascii="Book Antiqua" w:eastAsia="Book Antiqua" w:hAnsi="Book Antiqua" w:cs="Book Antiqua"/>
          <w:b/>
          <w:bCs/>
          <w:color w:val="000000"/>
        </w:rPr>
        <w:t>Lai LL</w:t>
      </w:r>
      <w:r w:rsidRPr="00A24FC8">
        <w:rPr>
          <w:rFonts w:ascii="Book Antiqua" w:eastAsia="Book Antiqua" w:hAnsi="Book Antiqua" w:cs="Book Antiqua"/>
          <w:color w:val="000000"/>
        </w:rPr>
        <w:t xml:space="preserve">, Wan Yusoff WNI, Vethakkan SR, Nik Mustapha NR, Mahadeva S, Chan WK. Screening for non-alcoholic fatty liver disease in patients with type 2 diabetes mellitus using transient elastography. </w:t>
      </w:r>
      <w:r w:rsidRPr="00A24FC8">
        <w:rPr>
          <w:rFonts w:ascii="Book Antiqua" w:eastAsia="Book Antiqua" w:hAnsi="Book Antiqua" w:cs="Book Antiqua"/>
          <w:i/>
          <w:iCs/>
          <w:color w:val="000000"/>
        </w:rPr>
        <w:t>J Gastroenterol Hepatol</w:t>
      </w:r>
      <w:r w:rsidRPr="00A24FC8">
        <w:rPr>
          <w:rFonts w:ascii="Book Antiqua" w:eastAsia="Book Antiqua" w:hAnsi="Book Antiqua" w:cs="Book Antiqua"/>
          <w:color w:val="000000"/>
        </w:rPr>
        <w:t xml:space="preserve"> 2019; </w:t>
      </w:r>
      <w:r w:rsidRPr="00A24FC8">
        <w:rPr>
          <w:rFonts w:ascii="Book Antiqua" w:eastAsia="Book Antiqua" w:hAnsi="Book Antiqua" w:cs="Book Antiqua"/>
          <w:b/>
          <w:bCs/>
          <w:color w:val="000000"/>
        </w:rPr>
        <w:t>34</w:t>
      </w:r>
      <w:r w:rsidRPr="00A24FC8">
        <w:rPr>
          <w:rFonts w:ascii="Book Antiqua" w:eastAsia="Book Antiqua" w:hAnsi="Book Antiqua" w:cs="Book Antiqua"/>
          <w:color w:val="000000"/>
        </w:rPr>
        <w:t>: 1396-1403 [PMID: 30551263 DOI: 10.1111/jgh.14577]</w:t>
      </w:r>
    </w:p>
    <w:p w14:paraId="49BE9D88"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19 </w:t>
      </w:r>
      <w:r w:rsidRPr="00A24FC8">
        <w:rPr>
          <w:rFonts w:ascii="Book Antiqua" w:eastAsia="Book Antiqua" w:hAnsi="Book Antiqua" w:cs="Book Antiqua"/>
          <w:b/>
          <w:bCs/>
          <w:color w:val="000000"/>
        </w:rPr>
        <w:t>Demir M</w:t>
      </w:r>
      <w:r w:rsidRPr="00A24FC8">
        <w:rPr>
          <w:rFonts w:ascii="Book Antiqua" w:eastAsia="Book Antiqua" w:hAnsi="Book Antiqua" w:cs="Book Antiqua"/>
          <w:color w:val="000000"/>
        </w:rPr>
        <w:t xml:space="preserve">, Deyneli O, Yılmaz Y. Screening for hepatic fibrosis and steatosis in Turkish patients with type 2 diabetes mellitus: A transient elastography study. </w:t>
      </w:r>
      <w:r w:rsidRPr="00A24FC8">
        <w:rPr>
          <w:rFonts w:ascii="Book Antiqua" w:eastAsia="Book Antiqua" w:hAnsi="Book Antiqua" w:cs="Book Antiqua"/>
          <w:i/>
          <w:iCs/>
          <w:color w:val="000000"/>
        </w:rPr>
        <w:t>Turk J Gastroenterol</w:t>
      </w:r>
      <w:r w:rsidRPr="00A24FC8">
        <w:rPr>
          <w:rFonts w:ascii="Book Antiqua" w:eastAsia="Book Antiqua" w:hAnsi="Book Antiqua" w:cs="Book Antiqua"/>
          <w:color w:val="000000"/>
        </w:rPr>
        <w:t xml:space="preserve"> 2019; </w:t>
      </w:r>
      <w:r w:rsidRPr="00A24FC8">
        <w:rPr>
          <w:rFonts w:ascii="Book Antiqua" w:eastAsia="Book Antiqua" w:hAnsi="Book Antiqua" w:cs="Book Antiqua"/>
          <w:b/>
          <w:bCs/>
          <w:color w:val="000000"/>
        </w:rPr>
        <w:t>30</w:t>
      </w:r>
      <w:r w:rsidRPr="00A24FC8">
        <w:rPr>
          <w:rFonts w:ascii="Book Antiqua" w:eastAsia="Book Antiqua" w:hAnsi="Book Antiqua" w:cs="Book Antiqua"/>
          <w:color w:val="000000"/>
        </w:rPr>
        <w:t>: 266-270 [PMID: 30411703 DOI: 10.5152/tjg.2018.18559]</w:t>
      </w:r>
    </w:p>
    <w:p w14:paraId="30AE442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20 </w:t>
      </w:r>
      <w:r w:rsidRPr="00A24FC8">
        <w:rPr>
          <w:rFonts w:ascii="Book Antiqua" w:eastAsia="Book Antiqua" w:hAnsi="Book Antiqua" w:cs="Book Antiqua"/>
          <w:b/>
          <w:bCs/>
          <w:color w:val="000000"/>
        </w:rPr>
        <w:t>Kwok R</w:t>
      </w:r>
      <w:r w:rsidRPr="00A24FC8">
        <w:rPr>
          <w:rFonts w:ascii="Book Antiqua" w:eastAsia="Book Antiqua" w:hAnsi="Book Antiqua" w:cs="Book Antiqua"/>
          <w:color w:val="000000"/>
        </w:rPr>
        <w:t xml:space="preserve">, Choi KC, Wong GL, Zhang Y, Chan HL, Luk AO, Shu SS, Chan AW, Yeung MW, Chan JC, Kong AP, Wong VW. Screening diabetic patients for non-alcoholic fatty liver disease with controlled attenuation parameter and liver stiffness measurements: a prospective cohort study. </w:t>
      </w:r>
      <w:r w:rsidRPr="00A24FC8">
        <w:rPr>
          <w:rFonts w:ascii="Book Antiqua" w:eastAsia="Book Antiqua" w:hAnsi="Book Antiqua" w:cs="Book Antiqua"/>
          <w:i/>
          <w:iCs/>
          <w:color w:val="000000"/>
        </w:rPr>
        <w:t>Gut</w:t>
      </w:r>
      <w:r w:rsidRPr="00A24FC8">
        <w:rPr>
          <w:rFonts w:ascii="Book Antiqua" w:eastAsia="Book Antiqua" w:hAnsi="Book Antiqua" w:cs="Book Antiqua"/>
          <w:color w:val="000000"/>
        </w:rPr>
        <w:t xml:space="preserve"> 2016; </w:t>
      </w:r>
      <w:r w:rsidRPr="00A24FC8">
        <w:rPr>
          <w:rFonts w:ascii="Book Antiqua" w:eastAsia="Book Antiqua" w:hAnsi="Book Antiqua" w:cs="Book Antiqua"/>
          <w:b/>
          <w:bCs/>
          <w:color w:val="000000"/>
        </w:rPr>
        <w:t>65</w:t>
      </w:r>
      <w:r w:rsidRPr="00A24FC8">
        <w:rPr>
          <w:rFonts w:ascii="Book Antiqua" w:eastAsia="Book Antiqua" w:hAnsi="Book Antiqua" w:cs="Book Antiqua"/>
          <w:color w:val="000000"/>
        </w:rPr>
        <w:t>: 1359-1368 [PMID: 25873639 DOI: 10.1136/gutjnl-2015-309265]</w:t>
      </w:r>
    </w:p>
    <w:p w14:paraId="287A16B1"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21 </w:t>
      </w:r>
      <w:r w:rsidRPr="00A24FC8">
        <w:rPr>
          <w:rFonts w:ascii="Book Antiqua" w:eastAsia="Book Antiqua" w:hAnsi="Book Antiqua" w:cs="Book Antiqua"/>
          <w:b/>
          <w:bCs/>
          <w:color w:val="000000"/>
        </w:rPr>
        <w:t>Casey SP</w:t>
      </w:r>
      <w:r w:rsidRPr="00A24FC8">
        <w:rPr>
          <w:rFonts w:ascii="Book Antiqua" w:eastAsia="Book Antiqua" w:hAnsi="Book Antiqua" w:cs="Book Antiqua"/>
          <w:color w:val="000000"/>
        </w:rPr>
        <w:t xml:space="preserve">, Kemp WW, McLean CA, Topliss DJ, Adams LA, Roberts SK. A prospective evaluation of the role of transient elastography for the detection of hepatic fibrosis in type 2 diabetes without overt liver disease. </w:t>
      </w:r>
      <w:r w:rsidRPr="00A24FC8">
        <w:rPr>
          <w:rFonts w:ascii="Book Antiqua" w:eastAsia="Book Antiqua" w:hAnsi="Book Antiqua" w:cs="Book Antiqua"/>
          <w:i/>
          <w:iCs/>
          <w:color w:val="000000"/>
        </w:rPr>
        <w:t>Scand J Gastroenterol</w:t>
      </w:r>
      <w:r w:rsidRPr="00A24FC8">
        <w:rPr>
          <w:rFonts w:ascii="Book Antiqua" w:eastAsia="Book Antiqua" w:hAnsi="Book Antiqua" w:cs="Book Antiqua"/>
          <w:color w:val="000000"/>
        </w:rPr>
        <w:t xml:space="preserve"> 2012; </w:t>
      </w:r>
      <w:r w:rsidRPr="00A24FC8">
        <w:rPr>
          <w:rFonts w:ascii="Book Antiqua" w:eastAsia="Book Antiqua" w:hAnsi="Book Antiqua" w:cs="Book Antiqua"/>
          <w:b/>
          <w:bCs/>
          <w:color w:val="000000"/>
        </w:rPr>
        <w:t>47</w:t>
      </w:r>
      <w:r w:rsidRPr="00A24FC8">
        <w:rPr>
          <w:rFonts w:ascii="Book Antiqua" w:eastAsia="Book Antiqua" w:hAnsi="Book Antiqua" w:cs="Book Antiqua"/>
          <w:color w:val="000000"/>
        </w:rPr>
        <w:t>: 836-841 [PMID: 22519948 DOI: 10.3109/00365521.2012.677955]</w:t>
      </w:r>
    </w:p>
    <w:p w14:paraId="6EC53B72"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22 </w:t>
      </w:r>
      <w:r w:rsidRPr="00A24FC8">
        <w:rPr>
          <w:rFonts w:ascii="Book Antiqua" w:eastAsia="Book Antiqua" w:hAnsi="Book Antiqua" w:cs="Book Antiqua"/>
          <w:b/>
          <w:bCs/>
          <w:color w:val="000000"/>
        </w:rPr>
        <w:t>de Lédinghen V</w:t>
      </w:r>
      <w:r w:rsidRPr="00A24FC8">
        <w:rPr>
          <w:rFonts w:ascii="Book Antiqua" w:eastAsia="Book Antiqua" w:hAnsi="Book Antiqua" w:cs="Book Antiqua"/>
          <w:color w:val="000000"/>
        </w:rPr>
        <w:t xml:space="preserve">, Vergniol J, Gonzalez C, Foucher J, Maury E, Chemineau L, Villars S, Gin H, Rigalleau V. Screening for liver fibrosis by using FibroScan(®) and FibroTest in patients with diabetes. </w:t>
      </w:r>
      <w:r w:rsidRPr="00A24FC8">
        <w:rPr>
          <w:rFonts w:ascii="Book Antiqua" w:eastAsia="Book Antiqua" w:hAnsi="Book Antiqua" w:cs="Book Antiqua"/>
          <w:i/>
          <w:iCs/>
          <w:color w:val="000000"/>
        </w:rPr>
        <w:t>Dig Liver Dis</w:t>
      </w:r>
      <w:r w:rsidRPr="00A24FC8">
        <w:rPr>
          <w:rFonts w:ascii="Book Antiqua" w:eastAsia="Book Antiqua" w:hAnsi="Book Antiqua" w:cs="Book Antiqua"/>
          <w:color w:val="000000"/>
        </w:rPr>
        <w:t xml:space="preserve"> 2012; </w:t>
      </w:r>
      <w:r w:rsidRPr="00A24FC8">
        <w:rPr>
          <w:rFonts w:ascii="Book Antiqua" w:eastAsia="Book Antiqua" w:hAnsi="Book Antiqua" w:cs="Book Antiqua"/>
          <w:b/>
          <w:bCs/>
          <w:color w:val="000000"/>
        </w:rPr>
        <w:t>44</w:t>
      </w:r>
      <w:r w:rsidRPr="00A24FC8">
        <w:rPr>
          <w:rFonts w:ascii="Book Antiqua" w:eastAsia="Book Antiqua" w:hAnsi="Book Antiqua" w:cs="Book Antiqua"/>
          <w:color w:val="000000"/>
        </w:rPr>
        <w:t>: 413-418 [PMID: 22285146 DOI: 10.1016/j.dld.2011.12.005]</w:t>
      </w:r>
    </w:p>
    <w:p w14:paraId="1F8678A1" w14:textId="60BDEE21"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23 </w:t>
      </w:r>
      <w:r w:rsidRPr="00A24FC8">
        <w:rPr>
          <w:rFonts w:ascii="Book Antiqua" w:eastAsia="Book Antiqua" w:hAnsi="Book Antiqua" w:cs="Book Antiqua"/>
          <w:b/>
          <w:bCs/>
          <w:color w:val="000000"/>
        </w:rPr>
        <w:t>Sima A</w:t>
      </w:r>
      <w:r w:rsidRPr="00A24FC8">
        <w:rPr>
          <w:rFonts w:ascii="Book Antiqua" w:eastAsia="Book Antiqua" w:hAnsi="Book Antiqua" w:cs="Book Antiqua"/>
          <w:color w:val="000000"/>
        </w:rPr>
        <w:t xml:space="preserve">, Sporea I, Timar R, Vlad M, Braha A, Popescu A, Nistorescu S, Mare R, Sirli R, Albai A, Albai O, Diaconu L, Sorescu T, Popescu S, Sima L. </w:t>
      </w:r>
      <w:r w:rsidR="004974FC" w:rsidRPr="00A24FC8">
        <w:rPr>
          <w:rFonts w:ascii="Book Antiqua" w:eastAsia="Book Antiqua" w:hAnsi="Book Antiqua" w:cs="Book Antiqua"/>
          <w:color w:val="000000"/>
        </w:rPr>
        <w:t>Non-Invasive Assessment of Liver Steatosis and Fibrosis using Transient Elastography and Controlled Attenuation Parameter in Type 2 Diabetes Patients</w:t>
      </w:r>
      <w:r w:rsidRPr="00A24FC8">
        <w:rPr>
          <w:rFonts w:ascii="Book Antiqua" w:eastAsia="Book Antiqua" w:hAnsi="Book Antiqua" w:cs="Book Antiqua"/>
          <w:color w:val="000000"/>
        </w:rPr>
        <w:t xml:space="preserve">. </w:t>
      </w:r>
      <w:r w:rsidRPr="00A24FC8">
        <w:rPr>
          <w:rFonts w:ascii="Book Antiqua" w:eastAsia="Book Antiqua" w:hAnsi="Book Antiqua" w:cs="Book Antiqua"/>
          <w:i/>
          <w:iCs/>
          <w:color w:val="000000"/>
        </w:rPr>
        <w:t>Acta Endocrinol (Buchar)</w:t>
      </w:r>
      <w:r w:rsidRPr="00A24FC8">
        <w:rPr>
          <w:rFonts w:ascii="Book Antiqua" w:eastAsia="Book Antiqua" w:hAnsi="Book Antiqua" w:cs="Book Antiqua"/>
          <w:color w:val="000000"/>
        </w:rPr>
        <w:t xml:space="preserve"> 2018; </w:t>
      </w:r>
      <w:r w:rsidRPr="00A24FC8">
        <w:rPr>
          <w:rFonts w:ascii="Book Antiqua" w:eastAsia="Book Antiqua" w:hAnsi="Book Antiqua" w:cs="Book Antiqua"/>
          <w:b/>
          <w:bCs/>
          <w:color w:val="000000"/>
        </w:rPr>
        <w:t>14</w:t>
      </w:r>
      <w:r w:rsidRPr="00A24FC8">
        <w:rPr>
          <w:rFonts w:ascii="Book Antiqua" w:eastAsia="Book Antiqua" w:hAnsi="Book Antiqua" w:cs="Book Antiqua"/>
          <w:color w:val="000000"/>
        </w:rPr>
        <w:t>: 394-400 [PMID: 31149289 DOI: 10.4183/aeb.2018.394]</w:t>
      </w:r>
    </w:p>
    <w:p w14:paraId="04CE87D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24 </w:t>
      </w:r>
      <w:r w:rsidRPr="00A24FC8">
        <w:rPr>
          <w:rFonts w:ascii="Book Antiqua" w:eastAsia="Book Antiqua" w:hAnsi="Book Antiqua" w:cs="Book Antiqua"/>
          <w:b/>
          <w:bCs/>
          <w:color w:val="000000"/>
        </w:rPr>
        <w:t>Fracanzani AL</w:t>
      </w:r>
      <w:r w:rsidRPr="00A24FC8">
        <w:rPr>
          <w:rFonts w:ascii="Book Antiqua" w:eastAsia="Book Antiqua" w:hAnsi="Book Antiqua" w:cs="Book Antiqua"/>
          <w:color w:val="000000"/>
        </w:rPr>
        <w:t xml:space="preserve">, Valenti L, Bugianesi E, Andreoletti M, Colli A, Vanni E, Bertelli C, Fatta E, Bignamini D, Marchesini G, Fargion S. Risk of severe liver disease in nonalcoholic fatty liver disease with normal aminotransferase levels: a role for insulin resistance and diabetes. </w:t>
      </w:r>
      <w:r w:rsidRPr="00A24FC8">
        <w:rPr>
          <w:rFonts w:ascii="Book Antiqua" w:eastAsia="Book Antiqua" w:hAnsi="Book Antiqua" w:cs="Book Antiqua"/>
          <w:i/>
          <w:iCs/>
          <w:color w:val="000000"/>
        </w:rPr>
        <w:t>Hepatology</w:t>
      </w:r>
      <w:r w:rsidRPr="00A24FC8">
        <w:rPr>
          <w:rFonts w:ascii="Book Antiqua" w:eastAsia="Book Antiqua" w:hAnsi="Book Antiqua" w:cs="Book Antiqua"/>
          <w:color w:val="000000"/>
        </w:rPr>
        <w:t xml:space="preserve"> 2008; </w:t>
      </w:r>
      <w:r w:rsidRPr="00A24FC8">
        <w:rPr>
          <w:rFonts w:ascii="Book Antiqua" w:eastAsia="Book Antiqua" w:hAnsi="Book Antiqua" w:cs="Book Antiqua"/>
          <w:b/>
          <w:bCs/>
          <w:color w:val="000000"/>
        </w:rPr>
        <w:t>48</w:t>
      </w:r>
      <w:r w:rsidRPr="00A24FC8">
        <w:rPr>
          <w:rFonts w:ascii="Book Antiqua" w:eastAsia="Book Antiqua" w:hAnsi="Book Antiqua" w:cs="Book Antiqua"/>
          <w:color w:val="000000"/>
        </w:rPr>
        <w:t>: 792-798 [PMID: 18752331 DOI: 10.1002/hep.22429]</w:t>
      </w:r>
    </w:p>
    <w:p w14:paraId="023E044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25 </w:t>
      </w:r>
      <w:r w:rsidRPr="00A24FC8">
        <w:rPr>
          <w:rFonts w:ascii="Book Antiqua" w:eastAsia="Book Antiqua" w:hAnsi="Book Antiqua" w:cs="Book Antiqua"/>
          <w:b/>
          <w:bCs/>
          <w:color w:val="000000"/>
        </w:rPr>
        <w:t>Tapper EB</w:t>
      </w:r>
      <w:r w:rsidRPr="00A24FC8">
        <w:rPr>
          <w:rFonts w:ascii="Book Antiqua" w:eastAsia="Book Antiqua" w:hAnsi="Book Antiqua" w:cs="Book Antiqua"/>
          <w:color w:val="000000"/>
        </w:rPr>
        <w:t xml:space="preserve">, Lok AS. Use of Liver Imaging and Biopsy in Clinical Practice. </w:t>
      </w:r>
      <w:r w:rsidRPr="00A24FC8">
        <w:rPr>
          <w:rFonts w:ascii="Book Antiqua" w:eastAsia="Book Antiqua" w:hAnsi="Book Antiqua" w:cs="Book Antiqua"/>
          <w:i/>
          <w:iCs/>
          <w:color w:val="000000"/>
        </w:rPr>
        <w:t>N Engl J Med</w:t>
      </w:r>
      <w:r w:rsidRPr="00A24FC8">
        <w:rPr>
          <w:rFonts w:ascii="Book Antiqua" w:eastAsia="Book Antiqua" w:hAnsi="Book Antiqua" w:cs="Book Antiqua"/>
          <w:color w:val="000000"/>
        </w:rPr>
        <w:t xml:space="preserve"> 2017; </w:t>
      </w:r>
      <w:r w:rsidRPr="00A24FC8">
        <w:rPr>
          <w:rFonts w:ascii="Book Antiqua" w:eastAsia="Book Antiqua" w:hAnsi="Book Antiqua" w:cs="Book Antiqua"/>
          <w:b/>
          <w:bCs/>
          <w:color w:val="000000"/>
        </w:rPr>
        <w:t>377</w:t>
      </w:r>
      <w:r w:rsidRPr="00A24FC8">
        <w:rPr>
          <w:rFonts w:ascii="Book Antiqua" w:eastAsia="Book Antiqua" w:hAnsi="Book Antiqua" w:cs="Book Antiqua"/>
          <w:color w:val="000000"/>
        </w:rPr>
        <w:t>: 756-768 [PMID: 28834467 DOI: 10.1056/NEJMra1610570]</w:t>
      </w:r>
    </w:p>
    <w:p w14:paraId="20378C23"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26 </w:t>
      </w:r>
      <w:r w:rsidRPr="00A24FC8">
        <w:rPr>
          <w:rFonts w:ascii="Book Antiqua" w:eastAsia="Book Antiqua" w:hAnsi="Book Antiqua" w:cs="Book Antiqua"/>
          <w:b/>
          <w:bCs/>
          <w:color w:val="000000"/>
        </w:rPr>
        <w:t>Fraquelli M</w:t>
      </w:r>
      <w:r w:rsidRPr="00A24FC8">
        <w:rPr>
          <w:rFonts w:ascii="Book Antiqua" w:eastAsia="Book Antiqua" w:hAnsi="Book Antiqua" w:cs="Book Antiqua"/>
          <w:color w:val="000000"/>
        </w:rPr>
        <w:t xml:space="preserve">, Rigamonti C, Casazza G, Conte D, Donato MF, Ronchi G, Colombo M. Reproducibility of transient elastography in the evaluation of liver fibrosis in patients with chronic liver disease. </w:t>
      </w:r>
      <w:r w:rsidRPr="00A24FC8">
        <w:rPr>
          <w:rFonts w:ascii="Book Antiqua" w:eastAsia="Book Antiqua" w:hAnsi="Book Antiqua" w:cs="Book Antiqua"/>
          <w:i/>
          <w:iCs/>
          <w:color w:val="000000"/>
        </w:rPr>
        <w:t>Gut</w:t>
      </w:r>
      <w:r w:rsidRPr="00A24FC8">
        <w:rPr>
          <w:rFonts w:ascii="Book Antiqua" w:eastAsia="Book Antiqua" w:hAnsi="Book Antiqua" w:cs="Book Antiqua"/>
          <w:color w:val="000000"/>
        </w:rPr>
        <w:t xml:space="preserve"> 2007; </w:t>
      </w:r>
      <w:r w:rsidRPr="00A24FC8">
        <w:rPr>
          <w:rFonts w:ascii="Book Antiqua" w:eastAsia="Book Antiqua" w:hAnsi="Book Antiqua" w:cs="Book Antiqua"/>
          <w:b/>
          <w:bCs/>
          <w:color w:val="000000"/>
        </w:rPr>
        <w:t>56</w:t>
      </w:r>
      <w:r w:rsidRPr="00A24FC8">
        <w:rPr>
          <w:rFonts w:ascii="Book Antiqua" w:eastAsia="Book Antiqua" w:hAnsi="Book Antiqua" w:cs="Book Antiqua"/>
          <w:color w:val="000000"/>
        </w:rPr>
        <w:t>: 968-973 [PMID: 17255218 DOI: 10.1136/gut.2006.111302]</w:t>
      </w:r>
    </w:p>
    <w:p w14:paraId="0E07DAD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27 </w:t>
      </w:r>
      <w:r w:rsidRPr="00A24FC8">
        <w:rPr>
          <w:rFonts w:ascii="Book Antiqua" w:eastAsia="Book Antiqua" w:hAnsi="Book Antiqua" w:cs="Book Antiqua"/>
          <w:b/>
          <w:bCs/>
          <w:color w:val="000000"/>
        </w:rPr>
        <w:t>Lonardo A</w:t>
      </w:r>
      <w:r w:rsidRPr="00A24FC8">
        <w:rPr>
          <w:rFonts w:ascii="Book Antiqua" w:eastAsia="Book Antiqua" w:hAnsi="Book Antiqua" w:cs="Book Antiqua"/>
          <w:color w:val="000000"/>
        </w:rPr>
        <w:t xml:space="preserve">, Nascimbeni F, Ballestri S, Fairweather D, Win S, Than TA, Abdelmalek MF, Suzuki A. Sex Differences in Nonalcoholic Fatty Liver Disease: State of the Art and Identification of Research Gaps. </w:t>
      </w:r>
      <w:r w:rsidRPr="00A24FC8">
        <w:rPr>
          <w:rFonts w:ascii="Book Antiqua" w:eastAsia="Book Antiqua" w:hAnsi="Book Antiqua" w:cs="Book Antiqua"/>
          <w:i/>
          <w:iCs/>
          <w:color w:val="000000"/>
        </w:rPr>
        <w:t>Hepatology</w:t>
      </w:r>
      <w:r w:rsidRPr="00A24FC8">
        <w:rPr>
          <w:rFonts w:ascii="Book Antiqua" w:eastAsia="Book Antiqua" w:hAnsi="Book Antiqua" w:cs="Book Antiqua"/>
          <w:color w:val="000000"/>
        </w:rPr>
        <w:t xml:space="preserve"> 2019; </w:t>
      </w:r>
      <w:r w:rsidRPr="00A24FC8">
        <w:rPr>
          <w:rFonts w:ascii="Book Antiqua" w:eastAsia="Book Antiqua" w:hAnsi="Book Antiqua" w:cs="Book Antiqua"/>
          <w:b/>
          <w:bCs/>
          <w:color w:val="000000"/>
        </w:rPr>
        <w:t>70</w:t>
      </w:r>
      <w:r w:rsidRPr="00A24FC8">
        <w:rPr>
          <w:rFonts w:ascii="Book Antiqua" w:eastAsia="Book Antiqua" w:hAnsi="Book Antiqua" w:cs="Book Antiqua"/>
          <w:color w:val="000000"/>
        </w:rPr>
        <w:t>: 1457-1469 [PMID: 30924946 DOI: 10.1002/hep.30626]</w:t>
      </w:r>
    </w:p>
    <w:p w14:paraId="5E63E09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28 </w:t>
      </w:r>
      <w:r w:rsidRPr="00A24FC8">
        <w:rPr>
          <w:rFonts w:ascii="Book Antiqua" w:eastAsia="Book Antiqua" w:hAnsi="Book Antiqua" w:cs="Book Antiqua"/>
          <w:b/>
          <w:bCs/>
          <w:color w:val="000000"/>
        </w:rPr>
        <w:t>Ling W</w:t>
      </w:r>
      <w:r w:rsidRPr="00A24FC8">
        <w:rPr>
          <w:rFonts w:ascii="Book Antiqua" w:eastAsia="Book Antiqua" w:hAnsi="Book Antiqua" w:cs="Book Antiqua"/>
          <w:color w:val="000000"/>
        </w:rPr>
        <w:t xml:space="preserve">, Lu Q, Quan J, Ma L, Luo Y. Assessment of impact factors on shear wave based liver stiffness measurement. </w:t>
      </w:r>
      <w:r w:rsidRPr="00A24FC8">
        <w:rPr>
          <w:rFonts w:ascii="Book Antiqua" w:eastAsia="Book Antiqua" w:hAnsi="Book Antiqua" w:cs="Book Antiqua"/>
          <w:i/>
          <w:iCs/>
          <w:color w:val="000000"/>
        </w:rPr>
        <w:t>Eur J Radiol</w:t>
      </w:r>
      <w:r w:rsidRPr="00A24FC8">
        <w:rPr>
          <w:rFonts w:ascii="Book Antiqua" w:eastAsia="Book Antiqua" w:hAnsi="Book Antiqua" w:cs="Book Antiqua"/>
          <w:color w:val="000000"/>
        </w:rPr>
        <w:t xml:space="preserve"> 2013; </w:t>
      </w:r>
      <w:r w:rsidRPr="00A24FC8">
        <w:rPr>
          <w:rFonts w:ascii="Book Antiqua" w:eastAsia="Book Antiqua" w:hAnsi="Book Antiqua" w:cs="Book Antiqua"/>
          <w:b/>
          <w:bCs/>
          <w:color w:val="000000"/>
        </w:rPr>
        <w:t>82</w:t>
      </w:r>
      <w:r w:rsidRPr="00A24FC8">
        <w:rPr>
          <w:rFonts w:ascii="Book Antiqua" w:eastAsia="Book Antiqua" w:hAnsi="Book Antiqua" w:cs="Book Antiqua"/>
          <w:color w:val="000000"/>
        </w:rPr>
        <w:t>: 335-341 [PMID: 23116805 DOI: 10.1016/j.ejrad.2012.10.004]</w:t>
      </w:r>
    </w:p>
    <w:p w14:paraId="38ACFE2B"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29 </w:t>
      </w:r>
      <w:r w:rsidRPr="00A24FC8">
        <w:rPr>
          <w:rFonts w:ascii="Book Antiqua" w:eastAsia="Book Antiqua" w:hAnsi="Book Antiqua" w:cs="Book Antiqua"/>
          <w:b/>
          <w:bCs/>
          <w:color w:val="000000"/>
        </w:rPr>
        <w:t>Mulabecirovic A</w:t>
      </w:r>
      <w:r w:rsidRPr="00A24FC8">
        <w:rPr>
          <w:rFonts w:ascii="Book Antiqua" w:eastAsia="Book Antiqua" w:hAnsi="Book Antiqua" w:cs="Book Antiqua"/>
          <w:color w:val="000000"/>
        </w:rPr>
        <w:t xml:space="preserve">, Mjelle AB, Gilja OH, Vesterhus M, Havre RF. Liver elasticity in healthy individuals by two novel shear-wave elastography systems-Comparison by age, gender, BMI and number of measurements. </w:t>
      </w:r>
      <w:r w:rsidRPr="00A24FC8">
        <w:rPr>
          <w:rFonts w:ascii="Book Antiqua" w:eastAsia="Book Antiqua" w:hAnsi="Book Antiqua" w:cs="Book Antiqua"/>
          <w:i/>
          <w:iCs/>
          <w:color w:val="000000"/>
        </w:rPr>
        <w:t>PLoS One</w:t>
      </w:r>
      <w:r w:rsidRPr="00A24FC8">
        <w:rPr>
          <w:rFonts w:ascii="Book Antiqua" w:eastAsia="Book Antiqua" w:hAnsi="Book Antiqua" w:cs="Book Antiqua"/>
          <w:color w:val="000000"/>
        </w:rPr>
        <w:t xml:space="preserve"> 2018; </w:t>
      </w:r>
      <w:r w:rsidRPr="00A24FC8">
        <w:rPr>
          <w:rFonts w:ascii="Book Antiqua" w:eastAsia="Book Antiqua" w:hAnsi="Book Antiqua" w:cs="Book Antiqua"/>
          <w:b/>
          <w:bCs/>
          <w:color w:val="000000"/>
        </w:rPr>
        <w:t>13</w:t>
      </w:r>
      <w:r w:rsidRPr="00A24FC8">
        <w:rPr>
          <w:rFonts w:ascii="Book Antiqua" w:eastAsia="Book Antiqua" w:hAnsi="Book Antiqua" w:cs="Book Antiqua"/>
          <w:color w:val="000000"/>
        </w:rPr>
        <w:t>: e0203486 [PMID: 30216377 DOI: 10.1371/journal.pone.0203486]</w:t>
      </w:r>
    </w:p>
    <w:p w14:paraId="5F9F7942"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30 </w:t>
      </w:r>
      <w:r w:rsidRPr="00A24FC8">
        <w:rPr>
          <w:rFonts w:ascii="Book Antiqua" w:eastAsia="Book Antiqua" w:hAnsi="Book Antiqua" w:cs="Book Antiqua"/>
          <w:b/>
          <w:bCs/>
          <w:color w:val="000000"/>
        </w:rPr>
        <w:t>Colombo S</w:t>
      </w:r>
      <w:r w:rsidRPr="00A24FC8">
        <w:rPr>
          <w:rFonts w:ascii="Book Antiqua" w:eastAsia="Book Antiqua" w:hAnsi="Book Antiqua" w:cs="Book Antiqua"/>
          <w:color w:val="000000"/>
        </w:rPr>
        <w:t xml:space="preserve">, Belloli L, Zaccanelli M, Badia E, Jamoletti C, Buonocore M, Del Poggio P. Normal liver stiffness and its determinants in healthy blood donors. </w:t>
      </w:r>
      <w:r w:rsidRPr="00A24FC8">
        <w:rPr>
          <w:rFonts w:ascii="Book Antiqua" w:eastAsia="Book Antiqua" w:hAnsi="Book Antiqua" w:cs="Book Antiqua"/>
          <w:i/>
          <w:iCs/>
          <w:color w:val="000000"/>
        </w:rPr>
        <w:t>Dig Liver Dis</w:t>
      </w:r>
      <w:r w:rsidRPr="00A24FC8">
        <w:rPr>
          <w:rFonts w:ascii="Book Antiqua" w:eastAsia="Book Antiqua" w:hAnsi="Book Antiqua" w:cs="Book Antiqua"/>
          <w:color w:val="000000"/>
        </w:rPr>
        <w:t xml:space="preserve"> 2011; </w:t>
      </w:r>
      <w:r w:rsidRPr="00A24FC8">
        <w:rPr>
          <w:rFonts w:ascii="Book Antiqua" w:eastAsia="Book Antiqua" w:hAnsi="Book Antiqua" w:cs="Book Antiqua"/>
          <w:b/>
          <w:bCs/>
          <w:color w:val="000000"/>
        </w:rPr>
        <w:t>43</w:t>
      </w:r>
      <w:r w:rsidRPr="00A24FC8">
        <w:rPr>
          <w:rFonts w:ascii="Book Antiqua" w:eastAsia="Book Antiqua" w:hAnsi="Book Antiqua" w:cs="Book Antiqua"/>
          <w:color w:val="000000"/>
        </w:rPr>
        <w:t>: 231-236 [PMID: 20817625 DOI: 10.1016/j.dld.2010.07.008]</w:t>
      </w:r>
    </w:p>
    <w:p w14:paraId="03FBB751"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31 </w:t>
      </w:r>
      <w:r w:rsidRPr="00A24FC8">
        <w:rPr>
          <w:rFonts w:ascii="Book Antiqua" w:eastAsia="Book Antiqua" w:hAnsi="Book Antiqua" w:cs="Book Antiqua"/>
          <w:b/>
          <w:bCs/>
          <w:color w:val="000000"/>
        </w:rPr>
        <w:t>Roulot D</w:t>
      </w:r>
      <w:r w:rsidRPr="00A24FC8">
        <w:rPr>
          <w:rFonts w:ascii="Book Antiqua" w:eastAsia="Book Antiqua" w:hAnsi="Book Antiqua" w:cs="Book Antiqua"/>
          <w:color w:val="000000"/>
        </w:rPr>
        <w:t xml:space="preserve">, Costes JL, Buyck JF, Warzocha U, Gambier N, Czernichow S, Le Clesiau H, Beaugrand M. Transient elastography as a screening tool for liver fibrosis and cirrhosis in a community-based population aged over 45 years. </w:t>
      </w:r>
      <w:r w:rsidRPr="00A24FC8">
        <w:rPr>
          <w:rFonts w:ascii="Book Antiqua" w:eastAsia="Book Antiqua" w:hAnsi="Book Antiqua" w:cs="Book Antiqua"/>
          <w:i/>
          <w:iCs/>
          <w:color w:val="000000"/>
        </w:rPr>
        <w:t>Gut</w:t>
      </w:r>
      <w:r w:rsidRPr="00A24FC8">
        <w:rPr>
          <w:rFonts w:ascii="Book Antiqua" w:eastAsia="Book Antiqua" w:hAnsi="Book Antiqua" w:cs="Book Antiqua"/>
          <w:color w:val="000000"/>
        </w:rPr>
        <w:t xml:space="preserve"> 2011; </w:t>
      </w:r>
      <w:r w:rsidRPr="00A24FC8">
        <w:rPr>
          <w:rFonts w:ascii="Book Antiqua" w:eastAsia="Book Antiqua" w:hAnsi="Book Antiqua" w:cs="Book Antiqua"/>
          <w:b/>
          <w:bCs/>
          <w:color w:val="000000"/>
        </w:rPr>
        <w:t>60</w:t>
      </w:r>
      <w:r w:rsidRPr="00A24FC8">
        <w:rPr>
          <w:rFonts w:ascii="Book Antiqua" w:eastAsia="Book Antiqua" w:hAnsi="Book Antiqua" w:cs="Book Antiqua"/>
          <w:color w:val="000000"/>
        </w:rPr>
        <w:t>: 977-984 [PMID: 21068129 DOI: 10.1136/gut.2010.221382]</w:t>
      </w:r>
    </w:p>
    <w:bookmarkEnd w:id="54"/>
    <w:bookmarkEnd w:id="55"/>
    <w:bookmarkEnd w:id="56"/>
    <w:p w14:paraId="6AB445D6" w14:textId="77777777" w:rsidR="00A77B3E" w:rsidRPr="00A24FC8" w:rsidRDefault="00A77B3E" w:rsidP="00A24FC8">
      <w:pPr>
        <w:adjustRightInd w:val="0"/>
        <w:snapToGrid w:val="0"/>
        <w:spacing w:line="360" w:lineRule="auto"/>
        <w:jc w:val="both"/>
        <w:rPr>
          <w:rFonts w:ascii="Book Antiqua" w:hAnsi="Book Antiqua"/>
        </w:rPr>
        <w:sectPr w:rsidR="00A77B3E" w:rsidRPr="00A24FC8" w:rsidSect="00FA353C">
          <w:type w:val="continuous"/>
          <w:pgSz w:w="12240" w:h="15840"/>
          <w:pgMar w:top="1440" w:right="1800" w:bottom="1440" w:left="1800" w:header="720" w:footer="720" w:gutter="0"/>
          <w:cols w:space="720"/>
          <w:docGrid w:linePitch="360"/>
        </w:sectPr>
      </w:pPr>
    </w:p>
    <w:p w14:paraId="20E8116A" w14:textId="14D6D840" w:rsidR="00A77B3E" w:rsidRPr="00A24FC8" w:rsidRDefault="006B72B7"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br w:type="page"/>
      </w:r>
      <w:r w:rsidR="00A32083" w:rsidRPr="00A24FC8">
        <w:rPr>
          <w:rFonts w:ascii="Book Antiqua" w:eastAsia="Book Antiqua" w:hAnsi="Book Antiqua" w:cs="Book Antiqua"/>
          <w:b/>
          <w:color w:val="000000"/>
        </w:rPr>
        <w:t>Footnotes</w:t>
      </w:r>
    </w:p>
    <w:p w14:paraId="01F0CDDA"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Institutional review board statement: </w:t>
      </w:r>
      <w:bookmarkStart w:id="57" w:name="OLE_LINK54"/>
      <w:bookmarkStart w:id="58" w:name="OLE_LINK55"/>
      <w:r w:rsidRPr="00A24FC8">
        <w:rPr>
          <w:rFonts w:ascii="Book Antiqua" w:eastAsia="Book Antiqua" w:hAnsi="Book Antiqua" w:cs="Book Antiqua"/>
          <w:color w:val="000000"/>
        </w:rPr>
        <w:t>The study protocol conformed to the ethical guidelines of the 1975 Declaration of Helsinki, as reflected in the Bronx Care Health System Institutional Review Board’s approval (IRB #05 10 18 04).</w:t>
      </w:r>
      <w:bookmarkEnd w:id="57"/>
      <w:bookmarkEnd w:id="58"/>
    </w:p>
    <w:p w14:paraId="0E15DC78" w14:textId="77777777" w:rsidR="00A77B3E" w:rsidRPr="00A24FC8" w:rsidRDefault="00A77B3E" w:rsidP="00A24FC8">
      <w:pPr>
        <w:adjustRightInd w:val="0"/>
        <w:snapToGrid w:val="0"/>
        <w:spacing w:line="360" w:lineRule="auto"/>
        <w:jc w:val="both"/>
        <w:rPr>
          <w:rFonts w:ascii="Book Antiqua" w:hAnsi="Book Antiqua"/>
        </w:rPr>
      </w:pPr>
    </w:p>
    <w:p w14:paraId="77B7AAE1"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Informed consent statement: </w:t>
      </w:r>
      <w:bookmarkStart w:id="59" w:name="OLE_LINK56"/>
      <w:bookmarkStart w:id="60" w:name="OLE_LINK57"/>
      <w:r w:rsidRPr="00A24FC8">
        <w:rPr>
          <w:rFonts w:ascii="Book Antiqua" w:eastAsia="Book Antiqua" w:hAnsi="Book Antiqua" w:cs="Book Antiqua"/>
          <w:color w:val="000000"/>
        </w:rPr>
        <w:t xml:space="preserve">All study participants provided written informed consent prior to study enrollment. </w:t>
      </w:r>
    </w:p>
    <w:bookmarkEnd w:id="59"/>
    <w:bookmarkEnd w:id="60"/>
    <w:p w14:paraId="5C236EED" w14:textId="77777777" w:rsidR="00A77B3E" w:rsidRPr="00A24FC8" w:rsidRDefault="00A77B3E" w:rsidP="00A24FC8">
      <w:pPr>
        <w:adjustRightInd w:val="0"/>
        <w:snapToGrid w:val="0"/>
        <w:spacing w:line="360" w:lineRule="auto"/>
        <w:jc w:val="both"/>
        <w:rPr>
          <w:rFonts w:ascii="Book Antiqua" w:hAnsi="Book Antiqua"/>
        </w:rPr>
      </w:pPr>
    </w:p>
    <w:p w14:paraId="5663573C" w14:textId="1132CAAC"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Conflict-of-interest statement: </w:t>
      </w:r>
      <w:bookmarkStart w:id="61" w:name="OLE_LINK58"/>
      <w:bookmarkStart w:id="62" w:name="OLE_LINK59"/>
      <w:r w:rsidRPr="00A24FC8">
        <w:rPr>
          <w:rFonts w:ascii="Book Antiqua" w:eastAsia="Book Antiqua" w:hAnsi="Book Antiqua" w:cs="Book Antiqua"/>
          <w:color w:val="000000"/>
        </w:rPr>
        <w:t>All authors report no conflicts of interest</w:t>
      </w:r>
      <w:r w:rsidR="006B72B7" w:rsidRPr="00A24FC8">
        <w:rPr>
          <w:rFonts w:ascii="Book Antiqua" w:eastAsia="Book Antiqua" w:hAnsi="Book Antiqua" w:cs="Book Antiqua"/>
          <w:color w:val="000000"/>
        </w:rPr>
        <w:t>.</w:t>
      </w:r>
      <w:bookmarkEnd w:id="61"/>
      <w:bookmarkEnd w:id="62"/>
    </w:p>
    <w:p w14:paraId="3C166A2B" w14:textId="77777777" w:rsidR="00A77B3E" w:rsidRPr="00A24FC8" w:rsidRDefault="00A77B3E" w:rsidP="00A24FC8">
      <w:pPr>
        <w:adjustRightInd w:val="0"/>
        <w:snapToGrid w:val="0"/>
        <w:spacing w:line="360" w:lineRule="auto"/>
        <w:jc w:val="both"/>
        <w:rPr>
          <w:rFonts w:ascii="Book Antiqua" w:hAnsi="Book Antiqua"/>
        </w:rPr>
      </w:pPr>
    </w:p>
    <w:p w14:paraId="42F3D780"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Data sharing statement: </w:t>
      </w:r>
      <w:bookmarkStart w:id="63" w:name="OLE_LINK60"/>
      <w:bookmarkStart w:id="64" w:name="OLE_LINK61"/>
      <w:r w:rsidRPr="00A24FC8">
        <w:rPr>
          <w:rFonts w:ascii="Book Antiqua" w:eastAsia="Book Antiqua" w:hAnsi="Book Antiqua" w:cs="Book Antiqua"/>
          <w:color w:val="000000"/>
        </w:rPr>
        <w:t>No additional data are available.</w:t>
      </w:r>
    </w:p>
    <w:bookmarkEnd w:id="63"/>
    <w:bookmarkEnd w:id="64"/>
    <w:p w14:paraId="1F9F2836" w14:textId="77777777" w:rsidR="00A77B3E" w:rsidRPr="00A24FC8" w:rsidRDefault="00A77B3E" w:rsidP="00A24FC8">
      <w:pPr>
        <w:adjustRightInd w:val="0"/>
        <w:snapToGrid w:val="0"/>
        <w:spacing w:line="360" w:lineRule="auto"/>
        <w:jc w:val="both"/>
        <w:rPr>
          <w:rFonts w:ascii="Book Antiqua" w:hAnsi="Book Antiqua"/>
        </w:rPr>
      </w:pPr>
    </w:p>
    <w:p w14:paraId="37D669DF"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Open-Access: </w:t>
      </w:r>
      <w:r w:rsidRPr="00A24FC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A86A14" w14:textId="77777777" w:rsidR="00A77B3E" w:rsidRPr="00A24FC8" w:rsidRDefault="00A77B3E" w:rsidP="00A24FC8">
      <w:pPr>
        <w:adjustRightInd w:val="0"/>
        <w:snapToGrid w:val="0"/>
        <w:spacing w:line="360" w:lineRule="auto"/>
        <w:jc w:val="both"/>
        <w:rPr>
          <w:rFonts w:ascii="Book Antiqua" w:hAnsi="Book Antiqua"/>
        </w:rPr>
      </w:pPr>
    </w:p>
    <w:p w14:paraId="52FA417A" w14:textId="1F1E8749" w:rsidR="00A77B3E" w:rsidRPr="00A24FC8" w:rsidRDefault="00A32083" w:rsidP="00A24FC8">
      <w:pPr>
        <w:adjustRightInd w:val="0"/>
        <w:snapToGrid w:val="0"/>
        <w:spacing w:line="360" w:lineRule="auto"/>
        <w:jc w:val="both"/>
        <w:rPr>
          <w:rFonts w:ascii="Book Antiqua" w:eastAsia="Book Antiqua" w:hAnsi="Book Antiqua" w:cs="Book Antiqua"/>
          <w:color w:val="000000"/>
        </w:rPr>
      </w:pPr>
      <w:r w:rsidRPr="00A24FC8">
        <w:rPr>
          <w:rFonts w:ascii="Book Antiqua" w:eastAsia="Book Antiqua" w:hAnsi="Book Antiqua" w:cs="Book Antiqua"/>
          <w:b/>
          <w:color w:val="000000"/>
        </w:rPr>
        <w:t xml:space="preserve">Manuscript source: </w:t>
      </w:r>
      <w:r w:rsidRPr="00A24FC8">
        <w:rPr>
          <w:rFonts w:ascii="Book Antiqua" w:eastAsia="Book Antiqua" w:hAnsi="Book Antiqua" w:cs="Book Antiqua"/>
          <w:color w:val="000000"/>
        </w:rPr>
        <w:t xml:space="preserve">Unsolicited </w:t>
      </w:r>
      <w:r w:rsidR="006B72B7" w:rsidRPr="00A24FC8">
        <w:rPr>
          <w:rFonts w:ascii="Book Antiqua" w:eastAsia="Book Antiqua" w:hAnsi="Book Antiqua" w:cs="Book Antiqua"/>
          <w:color w:val="000000"/>
        </w:rPr>
        <w:t>manuscript</w:t>
      </w:r>
    </w:p>
    <w:p w14:paraId="6495DD88" w14:textId="77777777" w:rsidR="006B72B7" w:rsidRPr="00A24FC8" w:rsidRDefault="006B72B7" w:rsidP="00A24FC8">
      <w:pPr>
        <w:adjustRightInd w:val="0"/>
        <w:snapToGrid w:val="0"/>
        <w:spacing w:line="360" w:lineRule="auto"/>
        <w:jc w:val="both"/>
        <w:rPr>
          <w:rFonts w:ascii="Book Antiqua" w:hAnsi="Book Antiqua"/>
        </w:rPr>
      </w:pPr>
    </w:p>
    <w:p w14:paraId="65AED8B5" w14:textId="49DE30D5"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Corresponding Author's Membership in Professional Societies: </w:t>
      </w:r>
      <w:r w:rsidRPr="00A24FC8">
        <w:rPr>
          <w:rFonts w:ascii="Book Antiqua" w:eastAsia="Book Antiqua" w:hAnsi="Book Antiqua" w:cs="Book Antiqua"/>
          <w:color w:val="000000"/>
        </w:rPr>
        <w:t>Americ</w:t>
      </w:r>
      <w:r w:rsidR="006B72B7" w:rsidRPr="00A24FC8">
        <w:rPr>
          <w:rFonts w:ascii="Book Antiqua" w:eastAsia="Book Antiqua" w:hAnsi="Book Antiqua" w:cs="Book Antiqua"/>
          <w:color w:val="000000"/>
        </w:rPr>
        <w:t>an College of Gastroenterology</w:t>
      </w:r>
      <w:r w:rsidRPr="00A24FC8">
        <w:rPr>
          <w:rFonts w:ascii="Book Antiqua" w:eastAsia="Book Antiqua" w:hAnsi="Book Antiqua" w:cs="Book Antiqua"/>
          <w:color w:val="000000"/>
        </w:rPr>
        <w:t xml:space="preserve">; American Society </w:t>
      </w:r>
      <w:r w:rsidR="006B72B7" w:rsidRPr="00A24FC8">
        <w:rPr>
          <w:rFonts w:ascii="Book Antiqua" w:eastAsia="Book Antiqua" w:hAnsi="Book Antiqua" w:cs="Book Antiqua"/>
          <w:color w:val="000000"/>
        </w:rPr>
        <w:t>for Gastrointestinal Endoscopy</w:t>
      </w:r>
      <w:r w:rsidRPr="00A24FC8">
        <w:rPr>
          <w:rFonts w:ascii="Book Antiqua" w:eastAsia="Book Antiqua" w:hAnsi="Book Antiqua" w:cs="Book Antiqua"/>
          <w:color w:val="000000"/>
        </w:rPr>
        <w:t>; American G</w:t>
      </w:r>
      <w:r w:rsidR="006B72B7" w:rsidRPr="00A24FC8">
        <w:rPr>
          <w:rFonts w:ascii="Book Antiqua" w:eastAsia="Book Antiqua" w:hAnsi="Book Antiqua" w:cs="Book Antiqua"/>
          <w:color w:val="000000"/>
        </w:rPr>
        <w:t>astroenterological Association</w:t>
      </w:r>
      <w:r w:rsidRPr="00A24FC8">
        <w:rPr>
          <w:rFonts w:ascii="Book Antiqua" w:eastAsia="Book Antiqua" w:hAnsi="Book Antiqua" w:cs="Book Antiqua"/>
          <w:color w:val="000000"/>
        </w:rPr>
        <w:t>.</w:t>
      </w:r>
    </w:p>
    <w:p w14:paraId="7FBC8D76" w14:textId="77777777" w:rsidR="00A77B3E" w:rsidRPr="00A24FC8" w:rsidRDefault="00A77B3E" w:rsidP="00A24FC8">
      <w:pPr>
        <w:adjustRightInd w:val="0"/>
        <w:snapToGrid w:val="0"/>
        <w:spacing w:line="360" w:lineRule="auto"/>
        <w:jc w:val="both"/>
        <w:rPr>
          <w:rFonts w:ascii="Book Antiqua" w:hAnsi="Book Antiqua"/>
        </w:rPr>
      </w:pPr>
    </w:p>
    <w:p w14:paraId="7F8BF5C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Peer-review started: </w:t>
      </w:r>
      <w:r w:rsidRPr="00A24FC8">
        <w:rPr>
          <w:rFonts w:ascii="Book Antiqua" w:eastAsia="Book Antiqua" w:hAnsi="Book Antiqua" w:cs="Book Antiqua"/>
          <w:color w:val="000000"/>
        </w:rPr>
        <w:t>November 7, 2020</w:t>
      </w:r>
    </w:p>
    <w:p w14:paraId="3760D4B2"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First decision: </w:t>
      </w:r>
      <w:r w:rsidRPr="00A24FC8">
        <w:rPr>
          <w:rFonts w:ascii="Book Antiqua" w:eastAsia="Book Antiqua" w:hAnsi="Book Antiqua" w:cs="Book Antiqua"/>
          <w:color w:val="000000"/>
        </w:rPr>
        <w:t>December 3, 2020</w:t>
      </w:r>
    </w:p>
    <w:p w14:paraId="18CC7ED1" w14:textId="4F12508B"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Article in press: </w:t>
      </w:r>
      <w:r w:rsidR="009B5665" w:rsidRPr="00BC5872">
        <w:rPr>
          <w:rFonts w:ascii="Book Antiqua" w:eastAsia="Book Antiqua" w:hAnsi="Book Antiqua" w:cs="Book Antiqua"/>
          <w:color w:val="000000"/>
        </w:rPr>
        <w:t>December 27, 2020</w:t>
      </w:r>
    </w:p>
    <w:p w14:paraId="7829DCB5" w14:textId="77777777" w:rsidR="00A77B3E" w:rsidRPr="00A24FC8" w:rsidRDefault="00A77B3E" w:rsidP="00A24FC8">
      <w:pPr>
        <w:adjustRightInd w:val="0"/>
        <w:snapToGrid w:val="0"/>
        <w:spacing w:line="360" w:lineRule="auto"/>
        <w:jc w:val="both"/>
        <w:rPr>
          <w:rFonts w:ascii="Book Antiqua" w:hAnsi="Book Antiqua"/>
        </w:rPr>
      </w:pPr>
    </w:p>
    <w:p w14:paraId="79050236" w14:textId="35DFCE1A"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Specialty type: </w:t>
      </w:r>
      <w:r w:rsidRPr="00A24FC8">
        <w:rPr>
          <w:rFonts w:ascii="Book Antiqua" w:eastAsia="Book Antiqua" w:hAnsi="Book Antiqua" w:cs="Book Antiqua"/>
          <w:color w:val="000000"/>
        </w:rPr>
        <w:t xml:space="preserve">Gastroenterology and </w:t>
      </w:r>
      <w:r w:rsidR="006B72B7" w:rsidRPr="00A24FC8">
        <w:rPr>
          <w:rFonts w:ascii="Book Antiqua" w:eastAsia="Book Antiqua" w:hAnsi="Book Antiqua" w:cs="Book Antiqua"/>
          <w:color w:val="000000"/>
        </w:rPr>
        <w:t>hepatology</w:t>
      </w:r>
    </w:p>
    <w:p w14:paraId="5032D890"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Country/Territory of origin: </w:t>
      </w:r>
      <w:r w:rsidRPr="00A24FC8">
        <w:rPr>
          <w:rFonts w:ascii="Book Antiqua" w:eastAsia="Book Antiqua" w:hAnsi="Book Antiqua" w:cs="Book Antiqua"/>
          <w:color w:val="000000"/>
        </w:rPr>
        <w:t>United States</w:t>
      </w:r>
    </w:p>
    <w:p w14:paraId="49AAEB65"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Peer-review report’s scientific quality classification</w:t>
      </w:r>
    </w:p>
    <w:p w14:paraId="3D156ECA"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Grade A (Excellent): 0</w:t>
      </w:r>
    </w:p>
    <w:p w14:paraId="7A4800D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Grade B (Very good): 0</w:t>
      </w:r>
    </w:p>
    <w:p w14:paraId="3755208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Grade C (Good): C, C</w:t>
      </w:r>
    </w:p>
    <w:p w14:paraId="57CEC984"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Grade D (Fair): 0</w:t>
      </w:r>
    </w:p>
    <w:p w14:paraId="3315B64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Grade E (Poor): 0</w:t>
      </w:r>
    </w:p>
    <w:p w14:paraId="62FF90A5" w14:textId="77777777" w:rsidR="00A77B3E" w:rsidRPr="00A24FC8" w:rsidRDefault="00A77B3E" w:rsidP="00A24FC8">
      <w:pPr>
        <w:adjustRightInd w:val="0"/>
        <w:snapToGrid w:val="0"/>
        <w:spacing w:line="360" w:lineRule="auto"/>
        <w:jc w:val="both"/>
        <w:rPr>
          <w:rFonts w:ascii="Book Antiqua" w:hAnsi="Book Antiqua"/>
        </w:rPr>
      </w:pPr>
    </w:p>
    <w:p w14:paraId="2250A198" w14:textId="0E14CB2B" w:rsidR="009B5665" w:rsidRPr="009B5665" w:rsidRDefault="00A32083" w:rsidP="00A24FC8">
      <w:pPr>
        <w:adjustRightInd w:val="0"/>
        <w:snapToGrid w:val="0"/>
        <w:spacing w:line="360" w:lineRule="auto"/>
        <w:jc w:val="both"/>
        <w:rPr>
          <w:rFonts w:ascii="Book Antiqua" w:hAnsi="Book Antiqua" w:cs="Book Antiqua"/>
          <w:b/>
          <w:color w:val="000000"/>
          <w:lang w:eastAsia="zh-CN"/>
        </w:rPr>
      </w:pPr>
      <w:r w:rsidRPr="00A24FC8">
        <w:rPr>
          <w:rFonts w:ascii="Book Antiqua" w:eastAsia="Book Antiqua" w:hAnsi="Book Antiqua" w:cs="Book Antiqua"/>
          <w:b/>
          <w:color w:val="000000"/>
        </w:rPr>
        <w:t xml:space="preserve">P-Reviewer: </w:t>
      </w:r>
      <w:r w:rsidRPr="00A24FC8">
        <w:rPr>
          <w:rFonts w:ascii="Book Antiqua" w:eastAsia="Book Antiqua" w:hAnsi="Book Antiqua" w:cs="Book Antiqua"/>
          <w:color w:val="000000"/>
        </w:rPr>
        <w:t>Malnick SD, Zhang LL</w:t>
      </w:r>
      <w:r w:rsidRPr="00A24FC8">
        <w:rPr>
          <w:rFonts w:ascii="Book Antiqua" w:eastAsia="Book Antiqua" w:hAnsi="Book Antiqua" w:cs="Book Antiqua"/>
          <w:b/>
          <w:color w:val="000000"/>
        </w:rPr>
        <w:t xml:space="preserve"> S-Editor: </w:t>
      </w:r>
      <w:r w:rsidR="006B72B7" w:rsidRPr="00A24FC8">
        <w:rPr>
          <w:rFonts w:ascii="Book Antiqua" w:eastAsia="Book Antiqua" w:hAnsi="Book Antiqua" w:cs="Book Antiqua"/>
          <w:color w:val="000000"/>
        </w:rPr>
        <w:t>Zhang L</w:t>
      </w:r>
      <w:r w:rsidRPr="00A24FC8">
        <w:rPr>
          <w:rFonts w:ascii="Book Antiqua" w:eastAsia="Book Antiqua" w:hAnsi="Book Antiqua" w:cs="Book Antiqua"/>
          <w:b/>
          <w:color w:val="000000"/>
        </w:rPr>
        <w:t xml:space="preserve"> L-Editor: </w:t>
      </w:r>
      <w:r w:rsidR="009B5665" w:rsidRPr="009B5665">
        <w:rPr>
          <w:rFonts w:ascii="Book Antiqua" w:hAnsi="Book Antiqua" w:cs="Book Antiqua" w:hint="eastAsia"/>
          <w:color w:val="000000"/>
          <w:lang w:eastAsia="zh-CN"/>
        </w:rPr>
        <w:t xml:space="preserve">A </w:t>
      </w:r>
      <w:r w:rsidRPr="00A24FC8">
        <w:rPr>
          <w:rFonts w:ascii="Book Antiqua" w:eastAsia="Book Antiqua" w:hAnsi="Book Antiqua" w:cs="Book Antiqua"/>
          <w:b/>
          <w:color w:val="000000"/>
        </w:rPr>
        <w:t>P-Editor:</w:t>
      </w:r>
      <w:r w:rsidR="009B5665">
        <w:rPr>
          <w:rFonts w:ascii="Book Antiqua" w:hAnsi="Book Antiqua" w:cs="Book Antiqua" w:hint="eastAsia"/>
          <w:b/>
          <w:color w:val="000000"/>
          <w:lang w:eastAsia="zh-CN"/>
        </w:rPr>
        <w:t xml:space="preserve"> </w:t>
      </w:r>
      <w:r w:rsidR="009B5665" w:rsidRPr="009B5665">
        <w:rPr>
          <w:rFonts w:ascii="Book Antiqua" w:hAnsi="Book Antiqua" w:cs="Book Antiqua" w:hint="eastAsia"/>
          <w:color w:val="000000"/>
          <w:lang w:eastAsia="zh-CN"/>
        </w:rPr>
        <w:t>Liu JH</w:t>
      </w:r>
    </w:p>
    <w:p w14:paraId="015D00A2" w14:textId="0A540629" w:rsidR="00A77B3E" w:rsidRPr="00A24FC8" w:rsidRDefault="00A32083" w:rsidP="00A24FC8">
      <w:pPr>
        <w:adjustRightInd w:val="0"/>
        <w:snapToGrid w:val="0"/>
        <w:spacing w:line="360" w:lineRule="auto"/>
        <w:jc w:val="both"/>
        <w:rPr>
          <w:rFonts w:ascii="Book Antiqua" w:hAnsi="Book Antiqua"/>
        </w:rPr>
        <w:sectPr w:rsidR="00A77B3E" w:rsidRPr="00A24FC8" w:rsidSect="00FA353C">
          <w:type w:val="continuous"/>
          <w:pgSz w:w="12240" w:h="15840"/>
          <w:pgMar w:top="1440" w:right="1800" w:bottom="1440" w:left="1800" w:header="720" w:footer="720" w:gutter="0"/>
          <w:cols w:space="720"/>
          <w:docGrid w:linePitch="360"/>
        </w:sectPr>
      </w:pPr>
      <w:r w:rsidRPr="00A24FC8">
        <w:rPr>
          <w:rFonts w:ascii="Book Antiqua" w:eastAsia="Book Antiqua" w:hAnsi="Book Antiqua" w:cs="Book Antiqua"/>
          <w:b/>
          <w:color w:val="000000"/>
        </w:rPr>
        <w:t xml:space="preserve"> </w:t>
      </w:r>
    </w:p>
    <w:p w14:paraId="67EDEF89" w14:textId="5600D1F8" w:rsidR="00A77B3E" w:rsidRPr="00A24FC8" w:rsidRDefault="006B72B7" w:rsidP="00A24FC8">
      <w:pPr>
        <w:adjustRightInd w:val="0"/>
        <w:snapToGrid w:val="0"/>
        <w:spacing w:line="360" w:lineRule="auto"/>
        <w:jc w:val="both"/>
        <w:rPr>
          <w:rFonts w:ascii="Book Antiqua" w:eastAsia="Book Antiqua" w:hAnsi="Book Antiqua" w:cs="Book Antiqua"/>
          <w:b/>
          <w:color w:val="000000"/>
        </w:rPr>
      </w:pPr>
      <w:r w:rsidRPr="00A24FC8">
        <w:rPr>
          <w:rFonts w:ascii="Book Antiqua" w:eastAsia="Book Antiqua" w:hAnsi="Book Antiqua" w:cs="Book Antiqua"/>
          <w:b/>
          <w:color w:val="000000"/>
        </w:rPr>
        <w:br w:type="page"/>
      </w:r>
      <w:r w:rsidR="00A32083" w:rsidRPr="00A24FC8">
        <w:rPr>
          <w:rFonts w:ascii="Book Antiqua" w:eastAsia="Book Antiqua" w:hAnsi="Book Antiqua" w:cs="Book Antiqua"/>
          <w:b/>
          <w:color w:val="000000"/>
        </w:rPr>
        <w:t>Figure Legends</w:t>
      </w:r>
    </w:p>
    <w:p w14:paraId="1532450D" w14:textId="77777777" w:rsidR="00F54CDF" w:rsidRDefault="00F54CDF" w:rsidP="00A24FC8">
      <w:pPr>
        <w:adjustRightInd w:val="0"/>
        <w:snapToGrid w:val="0"/>
        <w:spacing w:line="360" w:lineRule="auto"/>
        <w:jc w:val="both"/>
        <w:rPr>
          <w:rFonts w:ascii="Book Antiqua" w:eastAsia="Book Antiqua" w:hAnsi="Book Antiqua" w:cs="Book Antiqua"/>
          <w:b/>
          <w:bCs/>
          <w:color w:val="000000"/>
        </w:rPr>
      </w:pPr>
    </w:p>
    <w:p w14:paraId="585CF23C" w14:textId="1569F76F" w:rsidR="00F54CDF" w:rsidRDefault="00F54CDF" w:rsidP="00A24FC8">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1D462748" wp14:editId="7810B46E">
            <wp:extent cx="5486400" cy="3152140"/>
            <wp:effectExtent l="0" t="0" r="0" b="0"/>
            <wp:docPr id="5" name="图片 5"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瀑布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152140"/>
                    </a:xfrm>
                    <a:prstGeom prst="rect">
                      <a:avLst/>
                    </a:prstGeom>
                  </pic:spPr>
                </pic:pic>
              </a:graphicData>
            </a:graphic>
          </wp:inline>
        </w:drawing>
      </w:r>
    </w:p>
    <w:p w14:paraId="028E980A" w14:textId="448FB699" w:rsidR="00A77B3E" w:rsidRPr="00A24FC8" w:rsidRDefault="00A32083" w:rsidP="00A24FC8">
      <w:pPr>
        <w:adjustRightInd w:val="0"/>
        <w:snapToGrid w:val="0"/>
        <w:spacing w:line="360" w:lineRule="auto"/>
        <w:jc w:val="both"/>
        <w:rPr>
          <w:rFonts w:ascii="Book Antiqua" w:hAnsi="Book Antiqua"/>
          <w:b/>
          <w:bCs/>
          <w:lang w:eastAsia="zh-CN"/>
        </w:rPr>
      </w:pPr>
      <w:r w:rsidRPr="00A24FC8">
        <w:rPr>
          <w:rFonts w:ascii="Book Antiqua" w:eastAsia="Book Antiqua" w:hAnsi="Book Antiqua" w:cs="Book Antiqua"/>
          <w:b/>
          <w:bCs/>
          <w:color w:val="000000"/>
        </w:rPr>
        <w:t>Figure 1 Comparison of S3 steatosis, F3/4 fibrosis and metabolic syndrome among control (non-diabetic) and study (diabetic) group</w:t>
      </w:r>
      <w:r w:rsidR="00635A2C" w:rsidRPr="00A24FC8">
        <w:rPr>
          <w:rFonts w:ascii="Book Antiqua" w:eastAsia="Book Antiqua" w:hAnsi="Book Antiqua" w:cs="Book Antiqua"/>
          <w:b/>
          <w:bCs/>
          <w:color w:val="000000"/>
        </w:rPr>
        <w:t>.</w:t>
      </w:r>
      <w:r w:rsidRPr="00A24FC8">
        <w:rPr>
          <w:rFonts w:ascii="Book Antiqua" w:eastAsia="Book Antiqua" w:hAnsi="Book Antiqua" w:cs="Book Antiqua"/>
          <w:b/>
          <w:bCs/>
          <w:color w:val="000000"/>
        </w:rPr>
        <w:t xml:space="preserve"> </w:t>
      </w:r>
    </w:p>
    <w:p w14:paraId="02E5DFA2" w14:textId="1711B6C5" w:rsidR="00635A2C" w:rsidRDefault="00635A2C" w:rsidP="00A24FC8">
      <w:pPr>
        <w:adjustRightInd w:val="0"/>
        <w:snapToGrid w:val="0"/>
        <w:spacing w:line="360" w:lineRule="auto"/>
        <w:jc w:val="both"/>
        <w:rPr>
          <w:rFonts w:ascii="Book Antiqua" w:eastAsia="Book Antiqua" w:hAnsi="Book Antiqua" w:cs="Book Antiqua"/>
          <w:b/>
          <w:bCs/>
          <w:color w:val="000000"/>
        </w:rPr>
      </w:pPr>
      <w:r w:rsidRPr="00A24FC8">
        <w:rPr>
          <w:rFonts w:ascii="Book Antiqua" w:eastAsia="Book Antiqua" w:hAnsi="Book Antiqua" w:cs="Book Antiqua"/>
          <w:b/>
          <w:bCs/>
          <w:color w:val="000000"/>
        </w:rPr>
        <w:br w:type="page"/>
      </w:r>
    </w:p>
    <w:p w14:paraId="1D9D647F" w14:textId="72535C25" w:rsidR="00F54CDF" w:rsidRPr="00A24FC8" w:rsidRDefault="00F54CDF" w:rsidP="00A24FC8">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drawing>
          <wp:inline distT="0" distB="0" distL="0" distR="0" wp14:anchorId="0302E1B2" wp14:editId="25E91933">
            <wp:extent cx="5486400" cy="3435985"/>
            <wp:effectExtent l="0" t="0" r="0" b="0"/>
            <wp:docPr id="6" name="图片 6"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条形图&#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486400" cy="3435985"/>
                    </a:xfrm>
                    <a:prstGeom prst="rect">
                      <a:avLst/>
                    </a:prstGeom>
                  </pic:spPr>
                </pic:pic>
              </a:graphicData>
            </a:graphic>
          </wp:inline>
        </w:drawing>
      </w:r>
    </w:p>
    <w:p w14:paraId="336B6E42" w14:textId="14185B22"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color w:val="000000"/>
        </w:rPr>
        <w:t xml:space="preserve">Figure 2 </w:t>
      </w:r>
      <w:r w:rsidRPr="00EF012A">
        <w:rPr>
          <w:rFonts w:ascii="Book Antiqua" w:eastAsia="Book Antiqua" w:hAnsi="Book Antiqua" w:cs="Book Antiqua"/>
          <w:b/>
          <w:bCs/>
          <w:color w:val="000000"/>
        </w:rPr>
        <w:t>Co</w:t>
      </w:r>
      <w:r w:rsidRPr="00A24FC8">
        <w:rPr>
          <w:rFonts w:ascii="Book Antiqua" w:eastAsia="Book Antiqua" w:hAnsi="Book Antiqua" w:cs="Book Antiqua"/>
          <w:b/>
          <w:bCs/>
          <w:color w:val="000000"/>
        </w:rPr>
        <w:t>ntrol and study group patients stratified according to fibrosis stage</w:t>
      </w:r>
      <w:r w:rsidR="00635A2C" w:rsidRPr="00A24FC8">
        <w:rPr>
          <w:rFonts w:ascii="Book Antiqua" w:eastAsia="Book Antiqua" w:hAnsi="Book Antiqua" w:cs="Book Antiqua"/>
          <w:b/>
          <w:bCs/>
          <w:color w:val="000000"/>
        </w:rPr>
        <w:t>.</w:t>
      </w:r>
    </w:p>
    <w:p w14:paraId="1DD6C2F6" w14:textId="3B5C7642" w:rsidR="00635A2C" w:rsidRDefault="00635A2C" w:rsidP="00A24FC8">
      <w:pPr>
        <w:adjustRightInd w:val="0"/>
        <w:snapToGrid w:val="0"/>
        <w:spacing w:line="360" w:lineRule="auto"/>
        <w:jc w:val="both"/>
        <w:rPr>
          <w:rFonts w:ascii="Book Antiqua" w:eastAsia="Book Antiqua" w:hAnsi="Book Antiqua" w:cs="Book Antiqua"/>
          <w:b/>
          <w:bCs/>
          <w:color w:val="000000"/>
        </w:rPr>
      </w:pPr>
      <w:r w:rsidRPr="00A24FC8">
        <w:rPr>
          <w:rFonts w:ascii="Book Antiqua" w:eastAsia="Book Antiqua" w:hAnsi="Book Antiqua" w:cs="Book Antiqua"/>
          <w:b/>
          <w:bCs/>
          <w:color w:val="000000"/>
        </w:rPr>
        <w:br w:type="page"/>
      </w:r>
    </w:p>
    <w:p w14:paraId="653194FF" w14:textId="1B79C19A" w:rsidR="00F54CDF" w:rsidRPr="00A24FC8" w:rsidRDefault="00F54CDF" w:rsidP="00A24FC8">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drawing>
          <wp:inline distT="0" distB="0" distL="0" distR="0" wp14:anchorId="2904FC8D" wp14:editId="2CAAE4F0">
            <wp:extent cx="5486400" cy="2775585"/>
            <wp:effectExtent l="0" t="0" r="0" b="0"/>
            <wp:docPr id="7" name="图片 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条形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775585"/>
                    </a:xfrm>
                    <a:prstGeom prst="rect">
                      <a:avLst/>
                    </a:prstGeom>
                  </pic:spPr>
                </pic:pic>
              </a:graphicData>
            </a:graphic>
          </wp:inline>
        </w:drawing>
      </w:r>
    </w:p>
    <w:p w14:paraId="3B719D6A" w14:textId="6F203FB9"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color w:val="000000"/>
        </w:rPr>
        <w:t>Figure 3 Control and study group patients stratified according to steatosis stage</w:t>
      </w:r>
      <w:r w:rsidR="00635A2C" w:rsidRPr="00A24FC8">
        <w:rPr>
          <w:rFonts w:ascii="Book Antiqua" w:eastAsia="Book Antiqua" w:hAnsi="Book Antiqua" w:cs="Book Antiqua"/>
          <w:b/>
          <w:bCs/>
          <w:color w:val="000000"/>
        </w:rPr>
        <w:t>.</w:t>
      </w:r>
    </w:p>
    <w:p w14:paraId="65878102" w14:textId="20BAAED1" w:rsidR="00635A2C" w:rsidRDefault="00635A2C" w:rsidP="00A24FC8">
      <w:pPr>
        <w:adjustRightInd w:val="0"/>
        <w:snapToGrid w:val="0"/>
        <w:spacing w:line="360" w:lineRule="auto"/>
        <w:jc w:val="both"/>
        <w:rPr>
          <w:rFonts w:ascii="Book Antiqua" w:eastAsia="Book Antiqua" w:hAnsi="Book Antiqua" w:cs="Book Antiqua"/>
          <w:color w:val="000000"/>
        </w:rPr>
      </w:pPr>
      <w:r w:rsidRPr="00A24FC8">
        <w:rPr>
          <w:rFonts w:ascii="Book Antiqua" w:eastAsia="Book Antiqua" w:hAnsi="Book Antiqua" w:cs="Book Antiqua"/>
          <w:color w:val="000000"/>
        </w:rPr>
        <w:br w:type="page"/>
      </w:r>
    </w:p>
    <w:p w14:paraId="34D148F7" w14:textId="4AB46143" w:rsidR="00F54CDF" w:rsidRPr="00A24FC8" w:rsidRDefault="00F54CDF" w:rsidP="00A24FC8">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drawing>
          <wp:inline distT="0" distB="0" distL="0" distR="0" wp14:anchorId="050418F1" wp14:editId="3F4D5B32">
            <wp:extent cx="5486400" cy="2821305"/>
            <wp:effectExtent l="0" t="0" r="0" b="0"/>
            <wp:docPr id="8" name="图片 8"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条形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821305"/>
                    </a:xfrm>
                    <a:prstGeom prst="rect">
                      <a:avLst/>
                    </a:prstGeom>
                  </pic:spPr>
                </pic:pic>
              </a:graphicData>
            </a:graphic>
          </wp:inline>
        </w:drawing>
      </w:r>
    </w:p>
    <w:p w14:paraId="721385FF" w14:textId="46932E78" w:rsidR="00635A2C" w:rsidRPr="00A24FC8" w:rsidRDefault="00A32083" w:rsidP="00A24FC8">
      <w:pPr>
        <w:adjustRightInd w:val="0"/>
        <w:snapToGrid w:val="0"/>
        <w:spacing w:line="360" w:lineRule="auto"/>
        <w:jc w:val="both"/>
        <w:rPr>
          <w:rFonts w:ascii="Book Antiqua" w:eastAsia="Book Antiqua" w:hAnsi="Book Antiqua" w:cs="Book Antiqua"/>
          <w:b/>
          <w:bCs/>
          <w:color w:val="000000"/>
        </w:rPr>
      </w:pPr>
      <w:r w:rsidRPr="00A24FC8">
        <w:rPr>
          <w:rFonts w:ascii="Book Antiqua" w:eastAsia="Book Antiqua" w:hAnsi="Book Antiqua" w:cs="Book Antiqua"/>
          <w:b/>
          <w:bCs/>
          <w:color w:val="000000"/>
        </w:rPr>
        <w:t xml:space="preserve">Figure 4 Control and study group patients stratified according to number of criteria met for metabolic </w:t>
      </w:r>
      <w:r w:rsidR="00635A2C" w:rsidRPr="00A24FC8">
        <w:rPr>
          <w:rFonts w:ascii="Book Antiqua" w:eastAsia="Book Antiqua" w:hAnsi="Book Antiqua" w:cs="Book Antiqua"/>
          <w:b/>
          <w:bCs/>
          <w:color w:val="000000"/>
        </w:rPr>
        <w:t>syndrome.</w:t>
      </w:r>
    </w:p>
    <w:p w14:paraId="788405E9" w14:textId="77777777" w:rsidR="006B72B7" w:rsidRPr="00A24FC8" w:rsidRDefault="006B72B7" w:rsidP="00A24FC8">
      <w:pPr>
        <w:adjustRightInd w:val="0"/>
        <w:snapToGrid w:val="0"/>
        <w:spacing w:line="360" w:lineRule="auto"/>
        <w:jc w:val="both"/>
        <w:rPr>
          <w:rFonts w:ascii="Book Antiqua" w:eastAsia="Book Antiqua" w:hAnsi="Book Antiqua" w:cs="Book Antiqua"/>
          <w:b/>
          <w:bCs/>
          <w:color w:val="000000"/>
        </w:rPr>
        <w:sectPr w:rsidR="006B72B7" w:rsidRPr="00A24FC8" w:rsidSect="00FA353C">
          <w:type w:val="continuous"/>
          <w:pgSz w:w="12240" w:h="15840"/>
          <w:pgMar w:top="1440" w:right="1800" w:bottom="1440" w:left="1800" w:header="720" w:footer="720" w:gutter="0"/>
          <w:cols w:space="720"/>
          <w:docGrid w:linePitch="360"/>
        </w:sectPr>
      </w:pPr>
    </w:p>
    <w:p w14:paraId="06B5E12C" w14:textId="58180763" w:rsidR="00635A2C" w:rsidRPr="00A24FC8" w:rsidRDefault="00635A2C" w:rsidP="00A24FC8">
      <w:pPr>
        <w:adjustRightInd w:val="0"/>
        <w:snapToGrid w:val="0"/>
        <w:spacing w:line="360" w:lineRule="auto"/>
        <w:jc w:val="both"/>
        <w:rPr>
          <w:rFonts w:ascii="Book Antiqua" w:hAnsi="Book Antiqua"/>
          <w:b/>
          <w:bCs/>
        </w:rPr>
      </w:pPr>
      <w:r w:rsidRPr="00A24FC8">
        <w:rPr>
          <w:rFonts w:ascii="Book Antiqua" w:hAnsi="Book Antiqua"/>
          <w:b/>
          <w:bCs/>
        </w:rPr>
        <w:t>Table 1 Comparison of characteristics between control and study group</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691"/>
        <w:gridCol w:w="2763"/>
        <w:gridCol w:w="2216"/>
      </w:tblGrid>
      <w:tr w:rsidR="00635A2C" w:rsidRPr="00A24FC8" w14:paraId="1D76EE06" w14:textId="77777777" w:rsidTr="00A24FC8">
        <w:tc>
          <w:tcPr>
            <w:tcW w:w="4786" w:type="dxa"/>
            <w:tcBorders>
              <w:top w:val="single" w:sz="4" w:space="0" w:color="auto"/>
              <w:bottom w:val="single" w:sz="4" w:space="0" w:color="auto"/>
            </w:tcBorders>
          </w:tcPr>
          <w:p w14:paraId="0A8C01CC" w14:textId="77777777" w:rsidR="00635A2C" w:rsidRPr="00A24FC8" w:rsidRDefault="00635A2C" w:rsidP="00A24FC8">
            <w:pPr>
              <w:adjustRightInd w:val="0"/>
              <w:snapToGrid w:val="0"/>
              <w:spacing w:line="360" w:lineRule="auto"/>
              <w:jc w:val="both"/>
              <w:rPr>
                <w:rFonts w:ascii="Book Antiqua" w:hAnsi="Book Antiqua" w:cs="Times New Roman"/>
                <w:b/>
                <w:bCs/>
              </w:rPr>
            </w:pPr>
            <w:r w:rsidRPr="00A24FC8">
              <w:rPr>
                <w:rFonts w:ascii="Book Antiqua" w:hAnsi="Book Antiqua" w:cs="Times New Roman"/>
                <w:b/>
                <w:bCs/>
              </w:rPr>
              <w:t>Variate</w:t>
            </w:r>
          </w:p>
        </w:tc>
        <w:tc>
          <w:tcPr>
            <w:tcW w:w="2691" w:type="dxa"/>
            <w:tcBorders>
              <w:top w:val="single" w:sz="4" w:space="0" w:color="auto"/>
              <w:bottom w:val="single" w:sz="4" w:space="0" w:color="auto"/>
            </w:tcBorders>
          </w:tcPr>
          <w:p w14:paraId="47957F41" w14:textId="54A9007D" w:rsidR="00635A2C" w:rsidRPr="00A24FC8" w:rsidRDefault="00635A2C" w:rsidP="00A24FC8">
            <w:pPr>
              <w:adjustRightInd w:val="0"/>
              <w:snapToGrid w:val="0"/>
              <w:spacing w:line="360" w:lineRule="auto"/>
              <w:jc w:val="both"/>
              <w:rPr>
                <w:rFonts w:ascii="Book Antiqua" w:hAnsi="Book Antiqua" w:cs="Times New Roman"/>
                <w:b/>
                <w:bCs/>
              </w:rPr>
            </w:pPr>
            <w:r w:rsidRPr="00A24FC8">
              <w:rPr>
                <w:rFonts w:ascii="Book Antiqua" w:hAnsi="Book Antiqua" w:cs="Times New Roman"/>
                <w:b/>
                <w:bCs/>
              </w:rPr>
              <w:t>Control group</w:t>
            </w:r>
            <w:r w:rsidR="006B72B7" w:rsidRPr="00A24FC8">
              <w:rPr>
                <w:rFonts w:ascii="Book Antiqua" w:hAnsi="Book Antiqua" w:cs="Times New Roman"/>
                <w:b/>
                <w:bCs/>
              </w:rPr>
              <w:t>,</w:t>
            </w:r>
            <w:r w:rsidR="006B72B7" w:rsidRPr="00A24FC8">
              <w:rPr>
                <w:rFonts w:ascii="Book Antiqua" w:hAnsi="Book Antiqua" w:cs="Times New Roman"/>
                <w:b/>
                <w:bCs/>
                <w:lang w:eastAsia="zh-CN"/>
              </w:rPr>
              <w:t xml:space="preserve"> </w:t>
            </w:r>
            <w:r w:rsidR="006B72B7" w:rsidRPr="00A24FC8">
              <w:rPr>
                <w:rFonts w:ascii="Book Antiqua" w:hAnsi="Book Antiqua" w:cs="Times New Roman"/>
                <w:b/>
                <w:bCs/>
                <w:i/>
                <w:iCs/>
              </w:rPr>
              <w:t>n</w:t>
            </w:r>
            <w:r w:rsidRPr="00A24FC8">
              <w:rPr>
                <w:rFonts w:ascii="Book Antiqua" w:hAnsi="Book Antiqua" w:cs="Times New Roman"/>
                <w:b/>
                <w:bCs/>
              </w:rPr>
              <w:t xml:space="preserve"> = 26</w:t>
            </w:r>
          </w:p>
        </w:tc>
        <w:tc>
          <w:tcPr>
            <w:tcW w:w="2763" w:type="dxa"/>
            <w:tcBorders>
              <w:top w:val="single" w:sz="4" w:space="0" w:color="auto"/>
              <w:bottom w:val="single" w:sz="4" w:space="0" w:color="auto"/>
            </w:tcBorders>
          </w:tcPr>
          <w:p w14:paraId="1FE3D132" w14:textId="52D73B17" w:rsidR="00635A2C" w:rsidRPr="00A24FC8" w:rsidRDefault="00635A2C" w:rsidP="00A24FC8">
            <w:pPr>
              <w:adjustRightInd w:val="0"/>
              <w:snapToGrid w:val="0"/>
              <w:spacing w:line="360" w:lineRule="auto"/>
              <w:jc w:val="both"/>
              <w:rPr>
                <w:rFonts w:ascii="Book Antiqua" w:hAnsi="Book Antiqua" w:cs="Times New Roman"/>
                <w:b/>
                <w:bCs/>
              </w:rPr>
            </w:pPr>
            <w:r w:rsidRPr="00A24FC8">
              <w:rPr>
                <w:rFonts w:ascii="Book Antiqua" w:hAnsi="Book Antiqua" w:cs="Times New Roman"/>
                <w:b/>
                <w:bCs/>
              </w:rPr>
              <w:t>Study group</w:t>
            </w:r>
            <w:r w:rsidR="006B72B7" w:rsidRPr="00A24FC8">
              <w:rPr>
                <w:rFonts w:ascii="Book Antiqua" w:hAnsi="Book Antiqua" w:cs="Times New Roman"/>
                <w:b/>
                <w:bCs/>
              </w:rPr>
              <w:t>,</w:t>
            </w:r>
            <w:r w:rsidR="006B72B7" w:rsidRPr="00A24FC8">
              <w:rPr>
                <w:rFonts w:ascii="Book Antiqua" w:hAnsi="Book Antiqua" w:cs="Times New Roman"/>
                <w:b/>
                <w:bCs/>
                <w:lang w:eastAsia="zh-CN"/>
              </w:rPr>
              <w:t xml:space="preserve"> </w:t>
            </w:r>
            <w:r w:rsidR="006B72B7" w:rsidRPr="00A24FC8">
              <w:rPr>
                <w:rFonts w:ascii="Book Antiqua" w:hAnsi="Book Antiqua" w:cs="Times New Roman"/>
                <w:b/>
                <w:bCs/>
                <w:i/>
                <w:iCs/>
              </w:rPr>
              <w:t>n</w:t>
            </w:r>
            <w:r w:rsidRPr="00A24FC8">
              <w:rPr>
                <w:rFonts w:ascii="Book Antiqua" w:hAnsi="Book Antiqua" w:cs="Times New Roman"/>
                <w:b/>
                <w:bCs/>
                <w:i/>
                <w:iCs/>
              </w:rPr>
              <w:t xml:space="preserve"> </w:t>
            </w:r>
            <w:r w:rsidRPr="00A24FC8">
              <w:rPr>
                <w:rFonts w:ascii="Book Antiqua" w:hAnsi="Book Antiqua" w:cs="Times New Roman"/>
                <w:b/>
                <w:bCs/>
              </w:rPr>
              <w:t>= 59</w:t>
            </w:r>
          </w:p>
        </w:tc>
        <w:tc>
          <w:tcPr>
            <w:tcW w:w="2216" w:type="dxa"/>
            <w:tcBorders>
              <w:top w:val="single" w:sz="4" w:space="0" w:color="auto"/>
              <w:bottom w:val="single" w:sz="4" w:space="0" w:color="auto"/>
            </w:tcBorders>
          </w:tcPr>
          <w:p w14:paraId="01DD2F94" w14:textId="77777777" w:rsidR="00635A2C" w:rsidRPr="00A24FC8" w:rsidRDefault="00635A2C" w:rsidP="00A24FC8">
            <w:pPr>
              <w:adjustRightInd w:val="0"/>
              <w:snapToGrid w:val="0"/>
              <w:spacing w:line="360" w:lineRule="auto"/>
              <w:jc w:val="both"/>
              <w:rPr>
                <w:rFonts w:ascii="Book Antiqua" w:hAnsi="Book Antiqua" w:cs="Times New Roman"/>
                <w:b/>
                <w:bCs/>
              </w:rPr>
            </w:pPr>
            <w:r w:rsidRPr="00A24FC8">
              <w:rPr>
                <w:rFonts w:ascii="Book Antiqua" w:hAnsi="Book Antiqua" w:cs="Times New Roman"/>
                <w:b/>
                <w:bCs/>
                <w:i/>
                <w:iCs/>
              </w:rPr>
              <w:t>P</w:t>
            </w:r>
            <w:r w:rsidRPr="00A24FC8">
              <w:rPr>
                <w:rFonts w:ascii="Book Antiqua" w:hAnsi="Book Antiqua" w:cs="Times New Roman"/>
                <w:b/>
                <w:bCs/>
              </w:rPr>
              <w:t xml:space="preserve"> value</w:t>
            </w:r>
          </w:p>
        </w:tc>
      </w:tr>
      <w:tr w:rsidR="00635A2C" w:rsidRPr="00A24FC8" w14:paraId="7BD4015B" w14:textId="77777777" w:rsidTr="00A24FC8">
        <w:tc>
          <w:tcPr>
            <w:tcW w:w="4786" w:type="dxa"/>
            <w:tcBorders>
              <w:top w:val="single" w:sz="4" w:space="0" w:color="auto"/>
            </w:tcBorders>
          </w:tcPr>
          <w:p w14:paraId="76962AE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Age (yr)</w:t>
            </w:r>
          </w:p>
        </w:tc>
        <w:tc>
          <w:tcPr>
            <w:tcW w:w="2691" w:type="dxa"/>
            <w:tcBorders>
              <w:top w:val="single" w:sz="4" w:space="0" w:color="auto"/>
            </w:tcBorders>
          </w:tcPr>
          <w:p w14:paraId="79F9D9A1"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53 ± 12.3</w:t>
            </w:r>
          </w:p>
        </w:tc>
        <w:tc>
          <w:tcPr>
            <w:tcW w:w="2763" w:type="dxa"/>
            <w:tcBorders>
              <w:top w:val="single" w:sz="4" w:space="0" w:color="auto"/>
            </w:tcBorders>
          </w:tcPr>
          <w:p w14:paraId="011EE85C"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62 ± 11.7</w:t>
            </w:r>
          </w:p>
        </w:tc>
        <w:tc>
          <w:tcPr>
            <w:tcW w:w="2216" w:type="dxa"/>
            <w:tcBorders>
              <w:top w:val="single" w:sz="4" w:space="0" w:color="auto"/>
            </w:tcBorders>
          </w:tcPr>
          <w:p w14:paraId="29A3612F" w14:textId="2602CC5B"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0.0014</w:t>
            </w:r>
          </w:p>
        </w:tc>
      </w:tr>
      <w:tr w:rsidR="00635A2C" w:rsidRPr="00A24FC8" w14:paraId="261C3A0F" w14:textId="77777777" w:rsidTr="00A24FC8">
        <w:trPr>
          <w:trHeight w:val="360"/>
        </w:trPr>
        <w:tc>
          <w:tcPr>
            <w:tcW w:w="4786" w:type="dxa"/>
          </w:tcPr>
          <w:p w14:paraId="0EAA0502" w14:textId="09ACA778"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Gender</w:t>
            </w:r>
            <w:r w:rsidR="00A24FC8" w:rsidRPr="00A24FC8">
              <w:rPr>
                <w:rFonts w:ascii="Book Antiqua" w:hAnsi="Book Antiqua" w:cs="Times New Roman"/>
              </w:rPr>
              <w:t>,</w:t>
            </w:r>
            <w:r w:rsidRPr="00A24FC8">
              <w:rPr>
                <w:rFonts w:ascii="Book Antiqua" w:hAnsi="Book Antiqua" w:cs="Times New Roman"/>
              </w:rPr>
              <w:t xml:space="preserve"> </w:t>
            </w:r>
            <w:r w:rsidR="006B72B7" w:rsidRPr="00A24FC8">
              <w:rPr>
                <w:rFonts w:ascii="Book Antiqua" w:hAnsi="Book Antiqua" w:cs="Times New Roman"/>
                <w:i/>
                <w:iCs/>
              </w:rPr>
              <w:t>n</w:t>
            </w:r>
            <w:r w:rsidRPr="00A24FC8">
              <w:rPr>
                <w:rFonts w:ascii="Book Antiqua" w:hAnsi="Book Antiqua" w:cs="Times New Roman"/>
                <w:i/>
                <w:iCs/>
              </w:rPr>
              <w:t xml:space="preserve"> </w:t>
            </w:r>
            <w:r w:rsidRPr="00A24FC8">
              <w:rPr>
                <w:rFonts w:ascii="Book Antiqua" w:hAnsi="Book Antiqua" w:cs="Times New Roman"/>
              </w:rPr>
              <w:t>(%)</w:t>
            </w:r>
          </w:p>
        </w:tc>
        <w:tc>
          <w:tcPr>
            <w:tcW w:w="2691" w:type="dxa"/>
          </w:tcPr>
          <w:p w14:paraId="5242C0AB" w14:textId="3625901E" w:rsidR="00635A2C" w:rsidRPr="00A24FC8" w:rsidRDefault="00635A2C" w:rsidP="00A24FC8">
            <w:pPr>
              <w:adjustRightInd w:val="0"/>
              <w:snapToGrid w:val="0"/>
              <w:spacing w:line="360" w:lineRule="auto"/>
              <w:jc w:val="both"/>
              <w:rPr>
                <w:rFonts w:ascii="Book Antiqua" w:hAnsi="Book Antiqua" w:cs="Times New Roman"/>
              </w:rPr>
            </w:pPr>
          </w:p>
        </w:tc>
        <w:tc>
          <w:tcPr>
            <w:tcW w:w="2763" w:type="dxa"/>
          </w:tcPr>
          <w:p w14:paraId="605D1DD4" w14:textId="22F33BA6" w:rsidR="00635A2C" w:rsidRPr="00A24FC8" w:rsidRDefault="00635A2C" w:rsidP="00A24FC8">
            <w:pPr>
              <w:adjustRightInd w:val="0"/>
              <w:snapToGrid w:val="0"/>
              <w:spacing w:line="360" w:lineRule="auto"/>
              <w:jc w:val="both"/>
              <w:rPr>
                <w:rFonts w:ascii="Book Antiqua" w:hAnsi="Book Antiqua" w:cs="Times New Roman"/>
              </w:rPr>
            </w:pPr>
          </w:p>
        </w:tc>
        <w:tc>
          <w:tcPr>
            <w:tcW w:w="2216" w:type="dxa"/>
          </w:tcPr>
          <w:p w14:paraId="6F4E338A"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0.8099</w:t>
            </w:r>
          </w:p>
        </w:tc>
      </w:tr>
      <w:tr w:rsidR="00A24FC8" w:rsidRPr="00A24FC8" w14:paraId="2029E373" w14:textId="77777777" w:rsidTr="00A24FC8">
        <w:trPr>
          <w:trHeight w:val="372"/>
        </w:trPr>
        <w:tc>
          <w:tcPr>
            <w:tcW w:w="4786" w:type="dxa"/>
          </w:tcPr>
          <w:p w14:paraId="4C77FA03" w14:textId="3EA05F44"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Male</w:t>
            </w:r>
          </w:p>
        </w:tc>
        <w:tc>
          <w:tcPr>
            <w:tcW w:w="2691" w:type="dxa"/>
          </w:tcPr>
          <w:p w14:paraId="31BF29B8" w14:textId="37B3564C"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9 (35)</w:t>
            </w:r>
          </w:p>
        </w:tc>
        <w:tc>
          <w:tcPr>
            <w:tcW w:w="2763" w:type="dxa"/>
          </w:tcPr>
          <w:p w14:paraId="0DB04F83" w14:textId="40290634"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23 (39)</w:t>
            </w:r>
          </w:p>
        </w:tc>
        <w:tc>
          <w:tcPr>
            <w:tcW w:w="2216" w:type="dxa"/>
          </w:tcPr>
          <w:p w14:paraId="3FE71BFF" w14:textId="77777777" w:rsidR="00A24FC8" w:rsidRPr="00A24FC8" w:rsidRDefault="00A24FC8" w:rsidP="00A24FC8">
            <w:pPr>
              <w:adjustRightInd w:val="0"/>
              <w:snapToGrid w:val="0"/>
              <w:spacing w:line="360" w:lineRule="auto"/>
              <w:jc w:val="both"/>
              <w:rPr>
                <w:rFonts w:ascii="Book Antiqua" w:hAnsi="Book Antiqua"/>
              </w:rPr>
            </w:pPr>
          </w:p>
        </w:tc>
      </w:tr>
      <w:tr w:rsidR="00A24FC8" w:rsidRPr="00A24FC8" w14:paraId="6F0D597A" w14:textId="77777777" w:rsidTr="00A24FC8">
        <w:trPr>
          <w:trHeight w:val="433"/>
        </w:trPr>
        <w:tc>
          <w:tcPr>
            <w:tcW w:w="4786" w:type="dxa"/>
          </w:tcPr>
          <w:p w14:paraId="0E75471E" w14:textId="5AEFDA8E"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Female</w:t>
            </w:r>
          </w:p>
        </w:tc>
        <w:tc>
          <w:tcPr>
            <w:tcW w:w="2691" w:type="dxa"/>
          </w:tcPr>
          <w:p w14:paraId="4436132E" w14:textId="25408822"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17 (65)</w:t>
            </w:r>
          </w:p>
        </w:tc>
        <w:tc>
          <w:tcPr>
            <w:tcW w:w="2763" w:type="dxa"/>
          </w:tcPr>
          <w:p w14:paraId="698A97E9" w14:textId="1C714321"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36 (61)</w:t>
            </w:r>
          </w:p>
        </w:tc>
        <w:tc>
          <w:tcPr>
            <w:tcW w:w="2216" w:type="dxa"/>
          </w:tcPr>
          <w:p w14:paraId="04F2BB70" w14:textId="77777777" w:rsidR="00A24FC8" w:rsidRPr="00A24FC8" w:rsidRDefault="00A24FC8" w:rsidP="00A24FC8">
            <w:pPr>
              <w:adjustRightInd w:val="0"/>
              <w:snapToGrid w:val="0"/>
              <w:spacing w:line="360" w:lineRule="auto"/>
              <w:jc w:val="both"/>
              <w:rPr>
                <w:rFonts w:ascii="Book Antiqua" w:hAnsi="Book Antiqua"/>
              </w:rPr>
            </w:pPr>
          </w:p>
        </w:tc>
      </w:tr>
      <w:tr w:rsidR="00635A2C" w:rsidRPr="00A24FC8" w14:paraId="4BED8CF2" w14:textId="77777777" w:rsidTr="00A24FC8">
        <w:trPr>
          <w:trHeight w:val="348"/>
        </w:trPr>
        <w:tc>
          <w:tcPr>
            <w:tcW w:w="4786" w:type="dxa"/>
          </w:tcPr>
          <w:p w14:paraId="24BF1490" w14:textId="01F40691"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Ethnicity</w:t>
            </w:r>
            <w:r w:rsidR="00A24FC8" w:rsidRPr="00A24FC8">
              <w:rPr>
                <w:rFonts w:ascii="Book Antiqua" w:hAnsi="Book Antiqua" w:cs="Times New Roman"/>
              </w:rPr>
              <w:t>,</w:t>
            </w:r>
            <w:r w:rsidRPr="00A24FC8">
              <w:rPr>
                <w:rFonts w:ascii="Book Antiqua" w:hAnsi="Book Antiqua" w:cs="Times New Roman"/>
              </w:rPr>
              <w:t xml:space="preserve"> </w:t>
            </w:r>
            <w:r w:rsidR="00A24FC8" w:rsidRPr="00A24FC8">
              <w:rPr>
                <w:rFonts w:ascii="Book Antiqua" w:hAnsi="Book Antiqua" w:cs="Times New Roman"/>
                <w:i/>
                <w:iCs/>
              </w:rPr>
              <w:t>n</w:t>
            </w:r>
            <w:r w:rsidRPr="00A24FC8">
              <w:rPr>
                <w:rFonts w:ascii="Book Antiqua" w:hAnsi="Book Antiqua" w:cs="Times New Roman"/>
                <w:i/>
                <w:iCs/>
              </w:rPr>
              <w:t xml:space="preserve"> </w:t>
            </w:r>
            <w:r w:rsidRPr="00A24FC8">
              <w:rPr>
                <w:rFonts w:ascii="Book Antiqua" w:hAnsi="Book Antiqua" w:cs="Times New Roman"/>
              </w:rPr>
              <w:t>(%)</w:t>
            </w:r>
          </w:p>
        </w:tc>
        <w:tc>
          <w:tcPr>
            <w:tcW w:w="2691" w:type="dxa"/>
          </w:tcPr>
          <w:p w14:paraId="3CAAC69F" w14:textId="5694BF92" w:rsidR="00635A2C" w:rsidRPr="00A24FC8" w:rsidRDefault="00635A2C" w:rsidP="00A24FC8">
            <w:pPr>
              <w:adjustRightInd w:val="0"/>
              <w:snapToGrid w:val="0"/>
              <w:spacing w:line="360" w:lineRule="auto"/>
              <w:jc w:val="both"/>
              <w:rPr>
                <w:rFonts w:ascii="Book Antiqua" w:hAnsi="Book Antiqua" w:cs="Times New Roman"/>
              </w:rPr>
            </w:pPr>
          </w:p>
        </w:tc>
        <w:tc>
          <w:tcPr>
            <w:tcW w:w="2763" w:type="dxa"/>
          </w:tcPr>
          <w:p w14:paraId="57522E6B" w14:textId="00CDCDCA" w:rsidR="00635A2C" w:rsidRPr="00A24FC8" w:rsidRDefault="00635A2C" w:rsidP="00A24FC8">
            <w:pPr>
              <w:adjustRightInd w:val="0"/>
              <w:snapToGrid w:val="0"/>
              <w:spacing w:line="360" w:lineRule="auto"/>
              <w:jc w:val="both"/>
              <w:rPr>
                <w:rFonts w:ascii="Book Antiqua" w:hAnsi="Book Antiqua" w:cs="Times New Roman"/>
              </w:rPr>
            </w:pPr>
          </w:p>
        </w:tc>
        <w:tc>
          <w:tcPr>
            <w:tcW w:w="2216" w:type="dxa"/>
          </w:tcPr>
          <w:p w14:paraId="06CB9A5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0.5005</w:t>
            </w:r>
          </w:p>
        </w:tc>
      </w:tr>
      <w:tr w:rsidR="00A24FC8" w:rsidRPr="00A24FC8" w14:paraId="2E5D9B84" w14:textId="77777777" w:rsidTr="00A24FC8">
        <w:trPr>
          <w:trHeight w:val="336"/>
        </w:trPr>
        <w:tc>
          <w:tcPr>
            <w:tcW w:w="4786" w:type="dxa"/>
          </w:tcPr>
          <w:p w14:paraId="5A8DC1F8" w14:textId="3EC49385"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Hispanic</w:t>
            </w:r>
          </w:p>
        </w:tc>
        <w:tc>
          <w:tcPr>
            <w:tcW w:w="2691" w:type="dxa"/>
          </w:tcPr>
          <w:p w14:paraId="0B572223" w14:textId="2A028311"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21 (81)</w:t>
            </w:r>
          </w:p>
        </w:tc>
        <w:tc>
          <w:tcPr>
            <w:tcW w:w="2763" w:type="dxa"/>
          </w:tcPr>
          <w:p w14:paraId="28C5406E" w14:textId="1A7AC1A1"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41 (69.5)</w:t>
            </w:r>
          </w:p>
        </w:tc>
        <w:tc>
          <w:tcPr>
            <w:tcW w:w="2216" w:type="dxa"/>
          </w:tcPr>
          <w:p w14:paraId="324579C7" w14:textId="77777777" w:rsidR="00A24FC8" w:rsidRPr="00A24FC8" w:rsidRDefault="00A24FC8" w:rsidP="00A24FC8">
            <w:pPr>
              <w:adjustRightInd w:val="0"/>
              <w:snapToGrid w:val="0"/>
              <w:spacing w:line="360" w:lineRule="auto"/>
              <w:jc w:val="both"/>
              <w:rPr>
                <w:rFonts w:ascii="Book Antiqua" w:hAnsi="Book Antiqua"/>
              </w:rPr>
            </w:pPr>
          </w:p>
        </w:tc>
      </w:tr>
      <w:tr w:rsidR="00A24FC8" w:rsidRPr="00A24FC8" w14:paraId="10EDD623" w14:textId="77777777" w:rsidTr="00A24FC8">
        <w:trPr>
          <w:trHeight w:val="372"/>
        </w:trPr>
        <w:tc>
          <w:tcPr>
            <w:tcW w:w="4786" w:type="dxa"/>
          </w:tcPr>
          <w:p w14:paraId="2BB5E8D2" w14:textId="0125F50C"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African American</w:t>
            </w:r>
          </w:p>
        </w:tc>
        <w:tc>
          <w:tcPr>
            <w:tcW w:w="2691" w:type="dxa"/>
          </w:tcPr>
          <w:p w14:paraId="7CB18871" w14:textId="449F2B34"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3 (12)</w:t>
            </w:r>
          </w:p>
        </w:tc>
        <w:tc>
          <w:tcPr>
            <w:tcW w:w="2763" w:type="dxa"/>
          </w:tcPr>
          <w:p w14:paraId="41CC542E" w14:textId="2F386D6A"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13 (22)</w:t>
            </w:r>
          </w:p>
        </w:tc>
        <w:tc>
          <w:tcPr>
            <w:tcW w:w="2216" w:type="dxa"/>
          </w:tcPr>
          <w:p w14:paraId="56C64FBC" w14:textId="77777777" w:rsidR="00A24FC8" w:rsidRPr="00A24FC8" w:rsidRDefault="00A24FC8" w:rsidP="00A24FC8">
            <w:pPr>
              <w:adjustRightInd w:val="0"/>
              <w:snapToGrid w:val="0"/>
              <w:spacing w:line="360" w:lineRule="auto"/>
              <w:jc w:val="both"/>
              <w:rPr>
                <w:rFonts w:ascii="Book Antiqua" w:hAnsi="Book Antiqua"/>
              </w:rPr>
            </w:pPr>
          </w:p>
        </w:tc>
      </w:tr>
      <w:tr w:rsidR="00A24FC8" w:rsidRPr="00A24FC8" w14:paraId="538D483A" w14:textId="77777777" w:rsidTr="00A24FC8">
        <w:trPr>
          <w:trHeight w:val="303"/>
        </w:trPr>
        <w:tc>
          <w:tcPr>
            <w:tcW w:w="4786" w:type="dxa"/>
          </w:tcPr>
          <w:p w14:paraId="51CB3862" w14:textId="28F2F93A"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Others</w:t>
            </w:r>
          </w:p>
        </w:tc>
        <w:tc>
          <w:tcPr>
            <w:tcW w:w="2691" w:type="dxa"/>
          </w:tcPr>
          <w:p w14:paraId="7C3EDA9E" w14:textId="4A269140"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2 (7)</w:t>
            </w:r>
          </w:p>
        </w:tc>
        <w:tc>
          <w:tcPr>
            <w:tcW w:w="2763" w:type="dxa"/>
          </w:tcPr>
          <w:p w14:paraId="1255E97F" w14:textId="075050CD"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5 (8.5)</w:t>
            </w:r>
          </w:p>
        </w:tc>
        <w:tc>
          <w:tcPr>
            <w:tcW w:w="2216" w:type="dxa"/>
          </w:tcPr>
          <w:p w14:paraId="04EB57A0" w14:textId="77777777" w:rsidR="00A24FC8" w:rsidRPr="00A24FC8" w:rsidRDefault="00A24FC8" w:rsidP="00A24FC8">
            <w:pPr>
              <w:adjustRightInd w:val="0"/>
              <w:snapToGrid w:val="0"/>
              <w:spacing w:line="360" w:lineRule="auto"/>
              <w:jc w:val="both"/>
              <w:rPr>
                <w:rFonts w:ascii="Book Antiqua" w:hAnsi="Book Antiqua"/>
              </w:rPr>
            </w:pPr>
          </w:p>
        </w:tc>
      </w:tr>
      <w:tr w:rsidR="00635A2C" w:rsidRPr="00A24FC8" w14:paraId="10AC2934" w14:textId="77777777" w:rsidTr="00A24FC8">
        <w:tc>
          <w:tcPr>
            <w:tcW w:w="4786" w:type="dxa"/>
          </w:tcPr>
          <w:p w14:paraId="7344EB5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Waist circumference (cm)</w:t>
            </w:r>
          </w:p>
        </w:tc>
        <w:tc>
          <w:tcPr>
            <w:tcW w:w="2691" w:type="dxa"/>
          </w:tcPr>
          <w:p w14:paraId="36064B9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97.5 ± 8.4</w:t>
            </w:r>
          </w:p>
        </w:tc>
        <w:tc>
          <w:tcPr>
            <w:tcW w:w="2763" w:type="dxa"/>
          </w:tcPr>
          <w:p w14:paraId="2A8FB78E" w14:textId="0DDC9DEC" w:rsidR="00635A2C" w:rsidRPr="00A24FC8" w:rsidRDefault="00A24FC8"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 xml:space="preserve">98. 6 </w:t>
            </w:r>
            <w:r w:rsidR="00635A2C" w:rsidRPr="00A24FC8">
              <w:rPr>
                <w:rFonts w:ascii="Book Antiqua" w:hAnsi="Book Antiqua" w:cs="Times New Roman"/>
              </w:rPr>
              <w:t>± 18.5</w:t>
            </w:r>
          </w:p>
        </w:tc>
        <w:tc>
          <w:tcPr>
            <w:tcW w:w="2216" w:type="dxa"/>
          </w:tcPr>
          <w:p w14:paraId="66817D2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0.7595</w:t>
            </w:r>
          </w:p>
        </w:tc>
      </w:tr>
      <w:tr w:rsidR="00635A2C" w:rsidRPr="00A24FC8" w14:paraId="28CEF86B" w14:textId="77777777" w:rsidTr="00A24FC8">
        <w:tc>
          <w:tcPr>
            <w:tcW w:w="4786" w:type="dxa"/>
          </w:tcPr>
          <w:p w14:paraId="37B55B0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BMI (kg/m</w:t>
            </w:r>
            <w:r w:rsidRPr="00A24FC8">
              <w:rPr>
                <w:rFonts w:ascii="Book Antiqua" w:hAnsi="Book Antiqua" w:cs="Times New Roman"/>
                <w:vertAlign w:val="superscript"/>
              </w:rPr>
              <w:t>2</w:t>
            </w:r>
            <w:r w:rsidRPr="00A24FC8">
              <w:rPr>
                <w:rFonts w:ascii="Book Antiqua" w:hAnsi="Book Antiqua" w:cs="Times New Roman"/>
              </w:rPr>
              <w:t>)</w:t>
            </w:r>
          </w:p>
        </w:tc>
        <w:tc>
          <w:tcPr>
            <w:tcW w:w="2691" w:type="dxa"/>
          </w:tcPr>
          <w:p w14:paraId="4372CD2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27.6 ± 4.7</w:t>
            </w:r>
          </w:p>
        </w:tc>
        <w:tc>
          <w:tcPr>
            <w:tcW w:w="2763" w:type="dxa"/>
          </w:tcPr>
          <w:p w14:paraId="26360DD1"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33.1 ± 8.4</w:t>
            </w:r>
          </w:p>
        </w:tc>
        <w:tc>
          <w:tcPr>
            <w:tcW w:w="2216" w:type="dxa"/>
          </w:tcPr>
          <w:p w14:paraId="2167DE7C" w14:textId="0C4FF220"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0.0002</w:t>
            </w:r>
          </w:p>
        </w:tc>
      </w:tr>
      <w:tr w:rsidR="00635A2C" w:rsidRPr="00A24FC8" w14:paraId="08C9F4FF" w14:textId="77777777" w:rsidTr="00A24FC8">
        <w:tc>
          <w:tcPr>
            <w:tcW w:w="4786" w:type="dxa"/>
          </w:tcPr>
          <w:p w14:paraId="271CE249" w14:textId="119EB765"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Hypertension</w:t>
            </w:r>
            <w:r w:rsidR="00A24FC8" w:rsidRPr="00A24FC8">
              <w:rPr>
                <w:rFonts w:ascii="Book Antiqua" w:hAnsi="Book Antiqua" w:cs="Times New Roman"/>
              </w:rPr>
              <w:t>,</w:t>
            </w:r>
            <w:r w:rsidRPr="00A24FC8">
              <w:rPr>
                <w:rFonts w:ascii="Book Antiqua" w:hAnsi="Book Antiqua" w:cs="Times New Roman"/>
              </w:rPr>
              <w:t xml:space="preserve"> </w:t>
            </w:r>
            <w:r w:rsidR="00A24FC8" w:rsidRPr="00A24FC8">
              <w:rPr>
                <w:rFonts w:ascii="Book Antiqua" w:hAnsi="Book Antiqua" w:cs="Times New Roman"/>
                <w:i/>
                <w:iCs/>
              </w:rPr>
              <w:t>n</w:t>
            </w:r>
            <w:r w:rsidRPr="00A24FC8">
              <w:rPr>
                <w:rFonts w:ascii="Book Antiqua" w:hAnsi="Book Antiqua" w:cs="Times New Roman"/>
              </w:rPr>
              <w:t xml:space="preserve"> (%)</w:t>
            </w:r>
          </w:p>
        </w:tc>
        <w:tc>
          <w:tcPr>
            <w:tcW w:w="2691" w:type="dxa"/>
          </w:tcPr>
          <w:p w14:paraId="1A21D3F4"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15 (58)</w:t>
            </w:r>
          </w:p>
        </w:tc>
        <w:tc>
          <w:tcPr>
            <w:tcW w:w="2763" w:type="dxa"/>
          </w:tcPr>
          <w:p w14:paraId="1ECCEB6B"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43 (73)</w:t>
            </w:r>
          </w:p>
        </w:tc>
        <w:tc>
          <w:tcPr>
            <w:tcW w:w="2216" w:type="dxa"/>
          </w:tcPr>
          <w:p w14:paraId="36702F0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0.2083</w:t>
            </w:r>
          </w:p>
        </w:tc>
      </w:tr>
      <w:tr w:rsidR="00635A2C" w:rsidRPr="00A24FC8" w14:paraId="268C6CA3" w14:textId="77777777" w:rsidTr="00A24FC8">
        <w:tc>
          <w:tcPr>
            <w:tcW w:w="4786" w:type="dxa"/>
          </w:tcPr>
          <w:p w14:paraId="46C883FF" w14:textId="10DEBD5E"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Hyperlipidemia</w:t>
            </w:r>
            <w:r w:rsidR="00A24FC8" w:rsidRPr="00A24FC8">
              <w:rPr>
                <w:rFonts w:ascii="Book Antiqua" w:hAnsi="Book Antiqua" w:cs="Times New Roman"/>
              </w:rPr>
              <w:t>,</w:t>
            </w:r>
            <w:r w:rsidRPr="00A24FC8">
              <w:rPr>
                <w:rFonts w:ascii="Book Antiqua" w:hAnsi="Book Antiqua" w:cs="Times New Roman"/>
              </w:rPr>
              <w:t xml:space="preserve"> </w:t>
            </w:r>
            <w:r w:rsidR="00A24FC8" w:rsidRPr="00A24FC8">
              <w:rPr>
                <w:rFonts w:ascii="Book Antiqua" w:hAnsi="Book Antiqua" w:cs="Times New Roman"/>
                <w:i/>
                <w:iCs/>
              </w:rPr>
              <w:t>n</w:t>
            </w:r>
            <w:r w:rsidRPr="00A24FC8">
              <w:rPr>
                <w:rFonts w:ascii="Book Antiqua" w:hAnsi="Book Antiqua" w:cs="Times New Roman"/>
              </w:rPr>
              <w:t xml:space="preserve"> (%)</w:t>
            </w:r>
          </w:p>
        </w:tc>
        <w:tc>
          <w:tcPr>
            <w:tcW w:w="2691" w:type="dxa"/>
          </w:tcPr>
          <w:p w14:paraId="157CB1AB"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10 (38)</w:t>
            </w:r>
          </w:p>
        </w:tc>
        <w:tc>
          <w:tcPr>
            <w:tcW w:w="2763" w:type="dxa"/>
          </w:tcPr>
          <w:p w14:paraId="6BB8B367"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35 (59)</w:t>
            </w:r>
          </w:p>
        </w:tc>
        <w:tc>
          <w:tcPr>
            <w:tcW w:w="2216" w:type="dxa"/>
          </w:tcPr>
          <w:p w14:paraId="27C75ECB"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0.0999</w:t>
            </w:r>
          </w:p>
        </w:tc>
      </w:tr>
      <w:tr w:rsidR="00635A2C" w:rsidRPr="00A24FC8" w14:paraId="3478236E" w14:textId="77777777" w:rsidTr="00A24FC8">
        <w:trPr>
          <w:trHeight w:val="421"/>
        </w:trPr>
        <w:tc>
          <w:tcPr>
            <w:tcW w:w="4786" w:type="dxa"/>
          </w:tcPr>
          <w:p w14:paraId="7430695A"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ALT (U/L)</w:t>
            </w:r>
          </w:p>
        </w:tc>
        <w:tc>
          <w:tcPr>
            <w:tcW w:w="2691" w:type="dxa"/>
          </w:tcPr>
          <w:p w14:paraId="00468E1F"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17 ± 7</w:t>
            </w:r>
          </w:p>
        </w:tc>
        <w:tc>
          <w:tcPr>
            <w:tcW w:w="2763" w:type="dxa"/>
          </w:tcPr>
          <w:p w14:paraId="2DC6E872"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17.8 ± 7</w:t>
            </w:r>
          </w:p>
        </w:tc>
        <w:tc>
          <w:tcPr>
            <w:tcW w:w="2216" w:type="dxa"/>
          </w:tcPr>
          <w:p w14:paraId="462FD7D7" w14:textId="4C137A6B"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0.7189</w:t>
            </w:r>
          </w:p>
        </w:tc>
      </w:tr>
      <w:tr w:rsidR="00635A2C" w:rsidRPr="00A24FC8" w14:paraId="191B670F" w14:textId="77777777" w:rsidTr="00A24FC8">
        <w:tc>
          <w:tcPr>
            <w:tcW w:w="4786" w:type="dxa"/>
          </w:tcPr>
          <w:p w14:paraId="7FF40202"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Platelet count (10</w:t>
            </w:r>
            <w:r w:rsidRPr="00A24FC8">
              <w:rPr>
                <w:rFonts w:ascii="Book Antiqua" w:hAnsi="Book Antiqua" w:cs="Times New Roman"/>
                <w:vertAlign w:val="superscript"/>
              </w:rPr>
              <w:t>9</w:t>
            </w:r>
            <w:r w:rsidRPr="00A24FC8">
              <w:rPr>
                <w:rFonts w:ascii="Book Antiqua" w:hAnsi="Book Antiqua" w:cs="Times New Roman"/>
              </w:rPr>
              <w:t>/L)</w:t>
            </w:r>
          </w:p>
        </w:tc>
        <w:tc>
          <w:tcPr>
            <w:tcW w:w="2691" w:type="dxa"/>
          </w:tcPr>
          <w:p w14:paraId="4EFDF8C4"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258 ± 81</w:t>
            </w:r>
          </w:p>
        </w:tc>
        <w:tc>
          <w:tcPr>
            <w:tcW w:w="2763" w:type="dxa"/>
          </w:tcPr>
          <w:p w14:paraId="003D62BB"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237 ± 61</w:t>
            </w:r>
          </w:p>
        </w:tc>
        <w:tc>
          <w:tcPr>
            <w:tcW w:w="2216" w:type="dxa"/>
          </w:tcPr>
          <w:p w14:paraId="21ECEBB6" w14:textId="0646348A"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0.2007</w:t>
            </w:r>
          </w:p>
        </w:tc>
      </w:tr>
      <w:tr w:rsidR="00635A2C" w:rsidRPr="00A24FC8" w14:paraId="1527EA8A" w14:textId="77777777" w:rsidTr="00A24FC8">
        <w:tc>
          <w:tcPr>
            <w:tcW w:w="4786" w:type="dxa"/>
          </w:tcPr>
          <w:p w14:paraId="4B4D57E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Albumin (g/L)</w:t>
            </w:r>
          </w:p>
        </w:tc>
        <w:tc>
          <w:tcPr>
            <w:tcW w:w="2691" w:type="dxa"/>
          </w:tcPr>
          <w:p w14:paraId="7133291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4.4 ± 0.3</w:t>
            </w:r>
          </w:p>
        </w:tc>
        <w:tc>
          <w:tcPr>
            <w:tcW w:w="2763" w:type="dxa"/>
          </w:tcPr>
          <w:p w14:paraId="52BD2DB4"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4.3 ± 0.3</w:t>
            </w:r>
          </w:p>
        </w:tc>
        <w:tc>
          <w:tcPr>
            <w:tcW w:w="2216" w:type="dxa"/>
          </w:tcPr>
          <w:p w14:paraId="3E8F2915"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0.0687</w:t>
            </w:r>
          </w:p>
        </w:tc>
      </w:tr>
      <w:tr w:rsidR="00635A2C" w:rsidRPr="00A24FC8" w14:paraId="68FDC385" w14:textId="77777777" w:rsidTr="00A24FC8">
        <w:tc>
          <w:tcPr>
            <w:tcW w:w="4786" w:type="dxa"/>
          </w:tcPr>
          <w:p w14:paraId="375D76CB"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HDL (mg/dL)</w:t>
            </w:r>
          </w:p>
        </w:tc>
        <w:tc>
          <w:tcPr>
            <w:tcW w:w="2691" w:type="dxa"/>
          </w:tcPr>
          <w:p w14:paraId="17A3083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57.7 ± 18.2</w:t>
            </w:r>
          </w:p>
        </w:tc>
        <w:tc>
          <w:tcPr>
            <w:tcW w:w="2763" w:type="dxa"/>
          </w:tcPr>
          <w:p w14:paraId="647FD25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49.7 ± 15.5</w:t>
            </w:r>
          </w:p>
        </w:tc>
        <w:tc>
          <w:tcPr>
            <w:tcW w:w="2216" w:type="dxa"/>
          </w:tcPr>
          <w:p w14:paraId="16B6418F"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0.0588</w:t>
            </w:r>
          </w:p>
        </w:tc>
      </w:tr>
      <w:tr w:rsidR="00635A2C" w:rsidRPr="00A24FC8" w14:paraId="3E5D118E" w14:textId="77777777" w:rsidTr="00A24FC8">
        <w:tc>
          <w:tcPr>
            <w:tcW w:w="4786" w:type="dxa"/>
          </w:tcPr>
          <w:p w14:paraId="6A42A479"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LDL (mg/dL)</w:t>
            </w:r>
          </w:p>
        </w:tc>
        <w:tc>
          <w:tcPr>
            <w:tcW w:w="2691" w:type="dxa"/>
          </w:tcPr>
          <w:p w14:paraId="19ACAA06"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106.3 ± 33.6</w:t>
            </w:r>
          </w:p>
        </w:tc>
        <w:tc>
          <w:tcPr>
            <w:tcW w:w="2763" w:type="dxa"/>
          </w:tcPr>
          <w:p w14:paraId="10036985"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87.4 ± 35.5</w:t>
            </w:r>
          </w:p>
        </w:tc>
        <w:tc>
          <w:tcPr>
            <w:tcW w:w="2216" w:type="dxa"/>
          </w:tcPr>
          <w:p w14:paraId="6DF3D5C6"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0.0231</w:t>
            </w:r>
          </w:p>
        </w:tc>
      </w:tr>
      <w:tr w:rsidR="00635A2C" w:rsidRPr="00A24FC8" w14:paraId="3B152FB3" w14:textId="77777777" w:rsidTr="00A24FC8">
        <w:trPr>
          <w:trHeight w:val="440"/>
        </w:trPr>
        <w:tc>
          <w:tcPr>
            <w:tcW w:w="4786" w:type="dxa"/>
          </w:tcPr>
          <w:p w14:paraId="13773B8C"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TG (mg/dL)</w:t>
            </w:r>
          </w:p>
        </w:tc>
        <w:tc>
          <w:tcPr>
            <w:tcW w:w="2691" w:type="dxa"/>
          </w:tcPr>
          <w:p w14:paraId="60341DDC"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122.5 ± 79.3</w:t>
            </w:r>
          </w:p>
        </w:tc>
        <w:tc>
          <w:tcPr>
            <w:tcW w:w="2763" w:type="dxa"/>
          </w:tcPr>
          <w:p w14:paraId="4A6A5D02"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154.7 ± 77.9</w:t>
            </w:r>
          </w:p>
        </w:tc>
        <w:tc>
          <w:tcPr>
            <w:tcW w:w="2216" w:type="dxa"/>
          </w:tcPr>
          <w:p w14:paraId="6D7EF8A1"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0.0883</w:t>
            </w:r>
          </w:p>
        </w:tc>
      </w:tr>
      <w:tr w:rsidR="00635A2C" w:rsidRPr="00A24FC8" w14:paraId="35A5C769" w14:textId="77777777" w:rsidTr="00A24FC8">
        <w:tc>
          <w:tcPr>
            <w:tcW w:w="4786" w:type="dxa"/>
          </w:tcPr>
          <w:p w14:paraId="36D3BF91" w14:textId="4E5A3606"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HbA1c</w:t>
            </w:r>
          </w:p>
        </w:tc>
        <w:tc>
          <w:tcPr>
            <w:tcW w:w="2691" w:type="dxa"/>
          </w:tcPr>
          <w:p w14:paraId="7468F9D6"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5.4 ± 0.3</w:t>
            </w:r>
          </w:p>
        </w:tc>
        <w:tc>
          <w:tcPr>
            <w:tcW w:w="2763" w:type="dxa"/>
          </w:tcPr>
          <w:p w14:paraId="7A45709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7.9 ± 1.8</w:t>
            </w:r>
          </w:p>
        </w:tc>
        <w:tc>
          <w:tcPr>
            <w:tcW w:w="2216" w:type="dxa"/>
          </w:tcPr>
          <w:p w14:paraId="54FE2A33"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&lt; 0.0001</w:t>
            </w:r>
          </w:p>
        </w:tc>
      </w:tr>
      <w:tr w:rsidR="00635A2C" w:rsidRPr="00A24FC8" w14:paraId="1FC3BFF2" w14:textId="77777777" w:rsidTr="00A24FC8">
        <w:tc>
          <w:tcPr>
            <w:tcW w:w="4786" w:type="dxa"/>
          </w:tcPr>
          <w:p w14:paraId="33DFDBAA"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Liver stiffness using elastography (kPa)</w:t>
            </w:r>
          </w:p>
        </w:tc>
        <w:tc>
          <w:tcPr>
            <w:tcW w:w="2691" w:type="dxa"/>
          </w:tcPr>
          <w:p w14:paraId="2DFADE67"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5.2 ± 1.6</w:t>
            </w:r>
          </w:p>
        </w:tc>
        <w:tc>
          <w:tcPr>
            <w:tcW w:w="2763" w:type="dxa"/>
          </w:tcPr>
          <w:p w14:paraId="0C32E080"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7.5 ± 9.6</w:t>
            </w:r>
          </w:p>
        </w:tc>
        <w:tc>
          <w:tcPr>
            <w:tcW w:w="2216" w:type="dxa"/>
          </w:tcPr>
          <w:p w14:paraId="7484A53B" w14:textId="75D75E3E"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0.2138</w:t>
            </w:r>
          </w:p>
        </w:tc>
      </w:tr>
      <w:tr w:rsidR="00635A2C" w:rsidRPr="00A24FC8" w14:paraId="0708EE22" w14:textId="77777777" w:rsidTr="00A24FC8">
        <w:tc>
          <w:tcPr>
            <w:tcW w:w="4786" w:type="dxa"/>
          </w:tcPr>
          <w:p w14:paraId="33A775F7"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CAP (dB/m)</w:t>
            </w:r>
          </w:p>
        </w:tc>
        <w:tc>
          <w:tcPr>
            <w:tcW w:w="2691" w:type="dxa"/>
          </w:tcPr>
          <w:p w14:paraId="3A655069"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230 ± 70</w:t>
            </w:r>
          </w:p>
        </w:tc>
        <w:tc>
          <w:tcPr>
            <w:tcW w:w="2763" w:type="dxa"/>
          </w:tcPr>
          <w:p w14:paraId="5BCA9127"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284 ± 64</w:t>
            </w:r>
          </w:p>
        </w:tc>
        <w:tc>
          <w:tcPr>
            <w:tcW w:w="2216" w:type="dxa"/>
          </w:tcPr>
          <w:p w14:paraId="052F6A2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0.0008</w:t>
            </w:r>
          </w:p>
        </w:tc>
      </w:tr>
    </w:tbl>
    <w:p w14:paraId="10B0C846" w14:textId="09794E86" w:rsidR="008C38B5" w:rsidRDefault="001D2654" w:rsidP="00A24FC8">
      <w:pPr>
        <w:adjustRightInd w:val="0"/>
        <w:snapToGrid w:val="0"/>
        <w:spacing w:line="360" w:lineRule="auto"/>
        <w:jc w:val="both"/>
        <w:rPr>
          <w:rFonts w:ascii="Book Antiqua" w:hAnsi="Book Antiqua"/>
          <w:lang w:eastAsia="zh-CN"/>
        </w:rPr>
      </w:pPr>
      <w:r w:rsidRPr="00A24FC8">
        <w:rPr>
          <w:rFonts w:ascii="Book Antiqua" w:hAnsi="Book Antiqua"/>
          <w:lang w:eastAsia="zh-CN"/>
        </w:rPr>
        <w:t>BMI:</w:t>
      </w:r>
      <w:r w:rsidRPr="00A24FC8">
        <w:rPr>
          <w:rFonts w:ascii="Book Antiqua" w:eastAsia="Book Antiqua" w:hAnsi="Book Antiqua" w:cs="Book Antiqua"/>
          <w:color w:val="000000"/>
        </w:rPr>
        <w:t xml:space="preserve"> Body mass index; </w:t>
      </w:r>
      <w:r w:rsidRPr="00A24FC8">
        <w:rPr>
          <w:rFonts w:ascii="Book Antiqua" w:hAnsi="Book Antiqua"/>
          <w:lang w:eastAsia="zh-CN"/>
        </w:rPr>
        <w:t>ALT:</w:t>
      </w:r>
      <w:r w:rsidRPr="00A24FC8">
        <w:rPr>
          <w:rFonts w:ascii="Book Antiqua" w:eastAsia="Book Antiqua" w:hAnsi="Book Antiqua" w:cs="Book Antiqua"/>
          <w:color w:val="000000"/>
        </w:rPr>
        <w:t xml:space="preserve"> Alanine transaminase;</w:t>
      </w:r>
      <w:r w:rsidRPr="00A24FC8">
        <w:rPr>
          <w:rFonts w:ascii="Book Antiqua" w:hAnsi="Book Antiqua"/>
        </w:rPr>
        <w:t xml:space="preserve"> HbA1c</w:t>
      </w:r>
      <w:r w:rsidRPr="00A24FC8">
        <w:rPr>
          <w:rFonts w:ascii="Book Antiqua" w:hAnsi="Book Antiqua"/>
          <w:lang w:eastAsia="zh-CN"/>
        </w:rPr>
        <w:t>:</w:t>
      </w:r>
      <w:r w:rsidRPr="00A24FC8">
        <w:rPr>
          <w:rFonts w:ascii="Book Antiqua" w:eastAsia="Book Antiqua" w:hAnsi="Book Antiqua" w:cs="Book Antiqua"/>
          <w:color w:val="000000"/>
        </w:rPr>
        <w:t xml:space="preserve"> Hemoglobin A1c;</w:t>
      </w:r>
      <w:r w:rsidRPr="00A24FC8">
        <w:rPr>
          <w:rFonts w:ascii="Book Antiqua" w:hAnsi="Book Antiqua"/>
          <w:lang w:eastAsia="zh-CN"/>
        </w:rPr>
        <w:t xml:space="preserve"> CAP:</w:t>
      </w:r>
      <w:r w:rsidRPr="00A24FC8">
        <w:rPr>
          <w:rFonts w:ascii="Book Antiqua" w:eastAsia="Book Antiqua" w:hAnsi="Book Antiqua" w:cs="Book Antiqua"/>
          <w:color w:val="000000"/>
        </w:rPr>
        <w:t xml:space="preserve"> Controlled attenuation parameter</w:t>
      </w:r>
      <w:r w:rsidR="006B72B7" w:rsidRPr="00A24FC8">
        <w:rPr>
          <w:rFonts w:ascii="Book Antiqua" w:hAnsi="Book Antiqua"/>
          <w:lang w:eastAsia="zh-CN"/>
        </w:rPr>
        <w:t>.</w:t>
      </w:r>
    </w:p>
    <w:p w14:paraId="0DC61DDC" w14:textId="77777777" w:rsidR="008C38B5" w:rsidRDefault="008C38B5">
      <w:pPr>
        <w:rPr>
          <w:rFonts w:ascii="Book Antiqua" w:hAnsi="Book Antiqua"/>
          <w:lang w:eastAsia="zh-CN"/>
        </w:rPr>
      </w:pPr>
      <w:r>
        <w:rPr>
          <w:rFonts w:ascii="Book Antiqua" w:hAnsi="Book Antiqua"/>
          <w:lang w:eastAsia="zh-CN"/>
        </w:rPr>
        <w:br w:type="page"/>
      </w:r>
    </w:p>
    <w:p w14:paraId="047436B9" w14:textId="77777777" w:rsidR="008C38B5" w:rsidRDefault="008C38B5" w:rsidP="008C38B5">
      <w:pPr>
        <w:jc w:val="center"/>
        <w:rPr>
          <w:rFonts w:ascii="Book Antiqua" w:hAnsi="Book Antiqua"/>
          <w:lang w:eastAsia="zh-CN"/>
        </w:rPr>
      </w:pPr>
    </w:p>
    <w:p w14:paraId="79641AB7" w14:textId="77777777" w:rsidR="008C38B5" w:rsidRDefault="008C38B5" w:rsidP="008C38B5">
      <w:pPr>
        <w:jc w:val="center"/>
        <w:rPr>
          <w:rFonts w:ascii="Book Antiqua" w:hAnsi="Book Antiqua"/>
          <w:lang w:eastAsia="zh-CN"/>
        </w:rPr>
      </w:pPr>
    </w:p>
    <w:p w14:paraId="1061D193" w14:textId="77777777" w:rsidR="008C38B5" w:rsidRDefault="008C38B5" w:rsidP="008C38B5">
      <w:pPr>
        <w:jc w:val="center"/>
        <w:rPr>
          <w:rFonts w:ascii="Book Antiqua" w:hAnsi="Book Antiqua"/>
          <w:lang w:eastAsia="zh-CN"/>
        </w:rPr>
      </w:pPr>
    </w:p>
    <w:p w14:paraId="13B1A7E2" w14:textId="77777777" w:rsidR="008C38B5" w:rsidRDefault="008C38B5" w:rsidP="008C38B5">
      <w:pPr>
        <w:jc w:val="center"/>
        <w:rPr>
          <w:rFonts w:ascii="Book Antiqua" w:hAnsi="Book Antiqua"/>
          <w:lang w:eastAsia="zh-CN"/>
        </w:rPr>
      </w:pPr>
    </w:p>
    <w:p w14:paraId="2182346A" w14:textId="77777777" w:rsidR="008C38B5" w:rsidRDefault="008C38B5" w:rsidP="008C38B5">
      <w:pPr>
        <w:jc w:val="center"/>
        <w:rPr>
          <w:rFonts w:ascii="Book Antiqua" w:hAnsi="Book Antiqua"/>
          <w:lang w:eastAsia="zh-CN"/>
        </w:rPr>
      </w:pPr>
    </w:p>
    <w:p w14:paraId="1B217989" w14:textId="77777777" w:rsidR="008C38B5" w:rsidRDefault="008C38B5" w:rsidP="008C38B5">
      <w:pPr>
        <w:jc w:val="center"/>
        <w:rPr>
          <w:rFonts w:ascii="Book Antiqua" w:hAnsi="Book Antiqua"/>
          <w:lang w:eastAsia="zh-CN"/>
        </w:rPr>
      </w:pPr>
      <w:r>
        <w:rPr>
          <w:rFonts w:ascii="Book Antiqua" w:hAnsi="Book Antiqua"/>
          <w:noProof/>
          <w:lang w:eastAsia="zh-CN"/>
        </w:rPr>
        <w:drawing>
          <wp:inline distT="0" distB="0" distL="0" distR="0" wp14:anchorId="39834682" wp14:editId="7C34BC3E">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404AFE" w14:textId="77777777" w:rsidR="008C38B5" w:rsidRDefault="008C38B5" w:rsidP="008C38B5">
      <w:pPr>
        <w:jc w:val="center"/>
        <w:rPr>
          <w:rFonts w:ascii="Book Antiqua" w:hAnsi="Book Antiqua"/>
          <w:lang w:eastAsia="zh-CN"/>
        </w:rPr>
      </w:pPr>
    </w:p>
    <w:p w14:paraId="3389E464" w14:textId="77777777" w:rsidR="008C38B5" w:rsidRPr="00763D22" w:rsidRDefault="008C38B5" w:rsidP="008C38B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C0B9C61" w14:textId="77777777" w:rsidR="008C38B5" w:rsidRPr="00763D22" w:rsidRDefault="008C38B5" w:rsidP="008C38B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47B1D16" w14:textId="77777777" w:rsidR="008C38B5" w:rsidRPr="00763D22" w:rsidRDefault="008C38B5" w:rsidP="008C38B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217CBC1" w14:textId="77777777" w:rsidR="008C38B5" w:rsidRPr="00763D22" w:rsidRDefault="008C38B5" w:rsidP="008C38B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5F08134" w14:textId="77777777" w:rsidR="008C38B5" w:rsidRPr="00763D22" w:rsidRDefault="008C38B5" w:rsidP="008C38B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6999CC8" w14:textId="77777777" w:rsidR="008C38B5" w:rsidRPr="00763D22" w:rsidRDefault="008C38B5" w:rsidP="008C38B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E2065EB" w14:textId="77777777" w:rsidR="008C38B5" w:rsidRDefault="008C38B5" w:rsidP="008C38B5">
      <w:pPr>
        <w:jc w:val="center"/>
        <w:rPr>
          <w:rFonts w:ascii="Book Antiqua" w:hAnsi="Book Antiqua"/>
          <w:lang w:eastAsia="zh-CN"/>
        </w:rPr>
      </w:pPr>
    </w:p>
    <w:p w14:paraId="4BF2CA3A" w14:textId="77777777" w:rsidR="008C38B5" w:rsidRDefault="008C38B5" w:rsidP="008C38B5">
      <w:pPr>
        <w:jc w:val="center"/>
        <w:rPr>
          <w:rFonts w:ascii="Book Antiqua" w:hAnsi="Book Antiqua"/>
          <w:lang w:eastAsia="zh-CN"/>
        </w:rPr>
      </w:pPr>
    </w:p>
    <w:p w14:paraId="3C44F574" w14:textId="77777777" w:rsidR="008C38B5" w:rsidRDefault="008C38B5" w:rsidP="008C38B5">
      <w:pPr>
        <w:jc w:val="center"/>
        <w:rPr>
          <w:rFonts w:ascii="Book Antiqua" w:hAnsi="Book Antiqua"/>
          <w:lang w:eastAsia="zh-CN"/>
        </w:rPr>
      </w:pPr>
    </w:p>
    <w:p w14:paraId="3C892993" w14:textId="77777777" w:rsidR="008C38B5" w:rsidRDefault="008C38B5" w:rsidP="008C38B5">
      <w:pPr>
        <w:jc w:val="center"/>
        <w:rPr>
          <w:rFonts w:ascii="Book Antiqua" w:hAnsi="Book Antiqua"/>
          <w:lang w:eastAsia="zh-CN"/>
        </w:rPr>
      </w:pPr>
      <w:r>
        <w:rPr>
          <w:rFonts w:ascii="Book Antiqua" w:hAnsi="Book Antiqua"/>
          <w:noProof/>
          <w:lang w:eastAsia="zh-CN"/>
        </w:rPr>
        <w:drawing>
          <wp:inline distT="0" distB="0" distL="0" distR="0" wp14:anchorId="0E26A09F" wp14:editId="7AEC9E3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0CBC59" w14:textId="77777777" w:rsidR="008C38B5" w:rsidRDefault="008C38B5" w:rsidP="008C38B5">
      <w:pPr>
        <w:jc w:val="center"/>
        <w:rPr>
          <w:rFonts w:ascii="Book Antiqua" w:hAnsi="Book Antiqua"/>
          <w:lang w:eastAsia="zh-CN"/>
        </w:rPr>
      </w:pPr>
    </w:p>
    <w:p w14:paraId="04A29B45" w14:textId="77777777" w:rsidR="008C38B5" w:rsidRDefault="008C38B5" w:rsidP="008C38B5">
      <w:pPr>
        <w:jc w:val="center"/>
        <w:rPr>
          <w:rFonts w:ascii="Book Antiqua" w:hAnsi="Book Antiqua"/>
          <w:lang w:eastAsia="zh-CN"/>
        </w:rPr>
      </w:pPr>
    </w:p>
    <w:p w14:paraId="6D2B5FFC" w14:textId="77777777" w:rsidR="008C38B5" w:rsidRDefault="008C38B5" w:rsidP="008C38B5">
      <w:pPr>
        <w:jc w:val="center"/>
        <w:rPr>
          <w:rFonts w:ascii="Book Antiqua" w:hAnsi="Book Antiqua"/>
          <w:lang w:eastAsia="zh-CN"/>
        </w:rPr>
      </w:pPr>
    </w:p>
    <w:p w14:paraId="340E300C" w14:textId="77777777" w:rsidR="008C38B5" w:rsidRDefault="008C38B5" w:rsidP="008C38B5">
      <w:pPr>
        <w:jc w:val="center"/>
        <w:rPr>
          <w:rFonts w:ascii="Book Antiqua" w:hAnsi="Book Antiqua"/>
          <w:lang w:eastAsia="zh-CN"/>
        </w:rPr>
      </w:pPr>
    </w:p>
    <w:p w14:paraId="1F560C9C" w14:textId="77777777" w:rsidR="008C38B5" w:rsidRDefault="008C38B5" w:rsidP="008C38B5">
      <w:pPr>
        <w:jc w:val="center"/>
        <w:rPr>
          <w:rFonts w:ascii="Book Antiqua" w:hAnsi="Book Antiqua"/>
          <w:lang w:eastAsia="zh-CN"/>
        </w:rPr>
      </w:pPr>
    </w:p>
    <w:p w14:paraId="432E84C1" w14:textId="77777777" w:rsidR="008C38B5" w:rsidRDefault="008C38B5" w:rsidP="008C38B5">
      <w:pPr>
        <w:jc w:val="center"/>
        <w:rPr>
          <w:rFonts w:ascii="Book Antiqua" w:hAnsi="Book Antiqua"/>
          <w:lang w:eastAsia="zh-CN"/>
        </w:rPr>
      </w:pPr>
    </w:p>
    <w:p w14:paraId="6AA7AFE9" w14:textId="77777777" w:rsidR="008C38B5" w:rsidRDefault="008C38B5" w:rsidP="008C38B5">
      <w:pPr>
        <w:jc w:val="center"/>
        <w:rPr>
          <w:rFonts w:ascii="Book Antiqua" w:hAnsi="Book Antiqua"/>
          <w:lang w:eastAsia="zh-CN"/>
        </w:rPr>
      </w:pPr>
    </w:p>
    <w:p w14:paraId="3E1468A4" w14:textId="77777777" w:rsidR="008C38B5" w:rsidRDefault="008C38B5" w:rsidP="008C38B5">
      <w:pPr>
        <w:jc w:val="center"/>
        <w:rPr>
          <w:rFonts w:ascii="Book Antiqua" w:hAnsi="Book Antiqua"/>
          <w:lang w:eastAsia="zh-CN"/>
        </w:rPr>
      </w:pPr>
    </w:p>
    <w:p w14:paraId="2FFF441B" w14:textId="77777777" w:rsidR="008C38B5" w:rsidRDefault="008C38B5" w:rsidP="008C38B5">
      <w:pPr>
        <w:jc w:val="center"/>
        <w:rPr>
          <w:rFonts w:ascii="Book Antiqua" w:hAnsi="Book Antiqua"/>
          <w:lang w:eastAsia="zh-CN"/>
        </w:rPr>
      </w:pPr>
    </w:p>
    <w:p w14:paraId="6EE48231" w14:textId="77777777" w:rsidR="008C38B5" w:rsidRPr="00763D22" w:rsidRDefault="008C38B5" w:rsidP="008C38B5">
      <w:pPr>
        <w:jc w:val="right"/>
        <w:rPr>
          <w:rFonts w:ascii="Book Antiqua" w:hAnsi="Book Antiqua"/>
          <w:color w:val="000000" w:themeColor="text1"/>
          <w:lang w:eastAsia="zh-CN"/>
        </w:rPr>
      </w:pPr>
    </w:p>
    <w:p w14:paraId="4F638F74" w14:textId="77777777" w:rsidR="008C38B5" w:rsidRPr="00763D22" w:rsidRDefault="008C38B5" w:rsidP="008C38B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1A7B28B" w14:textId="77777777" w:rsidR="00A77B3E" w:rsidRPr="008C38B5" w:rsidRDefault="00A77B3E" w:rsidP="00A24FC8">
      <w:pPr>
        <w:adjustRightInd w:val="0"/>
        <w:snapToGrid w:val="0"/>
        <w:spacing w:line="360" w:lineRule="auto"/>
        <w:jc w:val="both"/>
        <w:rPr>
          <w:rFonts w:ascii="Book Antiqua" w:hAnsi="Book Antiqua"/>
          <w:lang w:eastAsia="zh-CN"/>
        </w:rPr>
      </w:pPr>
    </w:p>
    <w:sectPr w:rsidR="00A77B3E" w:rsidRPr="008C38B5" w:rsidSect="00FA353C">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5A5EC" w14:textId="77777777" w:rsidR="00B0429E" w:rsidRDefault="00B0429E" w:rsidP="00635A2C">
      <w:r>
        <w:separator/>
      </w:r>
    </w:p>
  </w:endnote>
  <w:endnote w:type="continuationSeparator" w:id="0">
    <w:p w14:paraId="619C1051" w14:textId="77777777" w:rsidR="00B0429E" w:rsidRDefault="00B0429E" w:rsidP="00635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979254"/>
      <w:docPartObj>
        <w:docPartGallery w:val="Page Numbers (Bottom of Page)"/>
        <w:docPartUnique/>
      </w:docPartObj>
    </w:sdtPr>
    <w:sdtEndPr/>
    <w:sdtContent>
      <w:sdt>
        <w:sdtPr>
          <w:id w:val="-1769616900"/>
          <w:docPartObj>
            <w:docPartGallery w:val="Page Numbers (Top of Page)"/>
            <w:docPartUnique/>
          </w:docPartObj>
        </w:sdtPr>
        <w:sdtEndPr/>
        <w:sdtContent>
          <w:p w14:paraId="7F7D76D1" w14:textId="4F53B20D" w:rsidR="00635A2C" w:rsidRDefault="00635A2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0429E">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0429E">
              <w:rPr>
                <w:b/>
                <w:bCs/>
                <w:noProof/>
              </w:rPr>
              <w:t>1</w:t>
            </w:r>
            <w:r>
              <w:rPr>
                <w:b/>
                <w:bCs/>
                <w:sz w:val="24"/>
                <w:szCs w:val="24"/>
              </w:rPr>
              <w:fldChar w:fldCharType="end"/>
            </w:r>
          </w:p>
        </w:sdtContent>
      </w:sdt>
    </w:sdtContent>
  </w:sdt>
  <w:p w14:paraId="6B1E4702" w14:textId="77777777" w:rsidR="00635A2C" w:rsidRDefault="00635A2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25F07" w14:textId="77777777" w:rsidR="00B0429E" w:rsidRDefault="00B0429E" w:rsidP="00635A2C">
      <w:r>
        <w:separator/>
      </w:r>
    </w:p>
  </w:footnote>
  <w:footnote w:type="continuationSeparator" w:id="0">
    <w:p w14:paraId="60B5E061" w14:textId="77777777" w:rsidR="00B0429E" w:rsidRDefault="00B0429E" w:rsidP="00635A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E39"/>
    <w:rsid w:val="00036F26"/>
    <w:rsid w:val="00041206"/>
    <w:rsid w:val="000C2339"/>
    <w:rsid w:val="001C377B"/>
    <w:rsid w:val="001D2654"/>
    <w:rsid w:val="001E729D"/>
    <w:rsid w:val="00207F9E"/>
    <w:rsid w:val="004974FC"/>
    <w:rsid w:val="004B7180"/>
    <w:rsid w:val="00635A2C"/>
    <w:rsid w:val="0064002D"/>
    <w:rsid w:val="006B72B7"/>
    <w:rsid w:val="007B7841"/>
    <w:rsid w:val="007E5902"/>
    <w:rsid w:val="00817A45"/>
    <w:rsid w:val="00893C13"/>
    <w:rsid w:val="008C38B5"/>
    <w:rsid w:val="009700FB"/>
    <w:rsid w:val="009B5665"/>
    <w:rsid w:val="009D75E1"/>
    <w:rsid w:val="00A24FC8"/>
    <w:rsid w:val="00A32083"/>
    <w:rsid w:val="00A77B3E"/>
    <w:rsid w:val="00AA0BD3"/>
    <w:rsid w:val="00AC7777"/>
    <w:rsid w:val="00B0429E"/>
    <w:rsid w:val="00B539DD"/>
    <w:rsid w:val="00BC5872"/>
    <w:rsid w:val="00BE60DE"/>
    <w:rsid w:val="00C16A11"/>
    <w:rsid w:val="00C44C7A"/>
    <w:rsid w:val="00CA06B6"/>
    <w:rsid w:val="00CA2A55"/>
    <w:rsid w:val="00CC630B"/>
    <w:rsid w:val="00D62ED7"/>
    <w:rsid w:val="00D76FA1"/>
    <w:rsid w:val="00DD1567"/>
    <w:rsid w:val="00DD7089"/>
    <w:rsid w:val="00E03861"/>
    <w:rsid w:val="00E24350"/>
    <w:rsid w:val="00E54A0C"/>
    <w:rsid w:val="00E67249"/>
    <w:rsid w:val="00E67B8C"/>
    <w:rsid w:val="00EB7442"/>
    <w:rsid w:val="00EF012A"/>
    <w:rsid w:val="00F41911"/>
    <w:rsid w:val="00F54CDF"/>
    <w:rsid w:val="00F65BD1"/>
    <w:rsid w:val="00FA3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73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BE60DE"/>
  </w:style>
  <w:style w:type="table" w:styleId="a3">
    <w:name w:val="Table Grid"/>
    <w:basedOn w:val="a1"/>
    <w:uiPriority w:val="39"/>
    <w:rsid w:val="00635A2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635A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35A2C"/>
    <w:rPr>
      <w:sz w:val="18"/>
      <w:szCs w:val="18"/>
    </w:rPr>
  </w:style>
  <w:style w:type="paragraph" w:styleId="a5">
    <w:name w:val="footer"/>
    <w:basedOn w:val="a"/>
    <w:link w:val="Char0"/>
    <w:uiPriority w:val="99"/>
    <w:unhideWhenUsed/>
    <w:rsid w:val="00635A2C"/>
    <w:pPr>
      <w:tabs>
        <w:tab w:val="center" w:pos="4153"/>
        <w:tab w:val="right" w:pos="8306"/>
      </w:tabs>
      <w:snapToGrid w:val="0"/>
    </w:pPr>
    <w:rPr>
      <w:sz w:val="18"/>
      <w:szCs w:val="18"/>
    </w:rPr>
  </w:style>
  <w:style w:type="character" w:customStyle="1" w:styleId="Char0">
    <w:name w:val="页脚 Char"/>
    <w:basedOn w:val="a0"/>
    <w:link w:val="a5"/>
    <w:uiPriority w:val="99"/>
    <w:rsid w:val="00635A2C"/>
    <w:rPr>
      <w:sz w:val="18"/>
      <w:szCs w:val="18"/>
    </w:rPr>
  </w:style>
  <w:style w:type="paragraph" w:styleId="a6">
    <w:name w:val="Balloon Text"/>
    <w:basedOn w:val="a"/>
    <w:link w:val="Char1"/>
    <w:semiHidden/>
    <w:unhideWhenUsed/>
    <w:rsid w:val="009B5665"/>
    <w:rPr>
      <w:sz w:val="18"/>
      <w:szCs w:val="18"/>
    </w:rPr>
  </w:style>
  <w:style w:type="character" w:customStyle="1" w:styleId="Char1">
    <w:name w:val="批注框文本 Char"/>
    <w:basedOn w:val="a0"/>
    <w:link w:val="a6"/>
    <w:semiHidden/>
    <w:rsid w:val="009B566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BE60DE"/>
  </w:style>
  <w:style w:type="table" w:styleId="a3">
    <w:name w:val="Table Grid"/>
    <w:basedOn w:val="a1"/>
    <w:uiPriority w:val="39"/>
    <w:rsid w:val="00635A2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635A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35A2C"/>
    <w:rPr>
      <w:sz w:val="18"/>
      <w:szCs w:val="18"/>
    </w:rPr>
  </w:style>
  <w:style w:type="paragraph" w:styleId="a5">
    <w:name w:val="footer"/>
    <w:basedOn w:val="a"/>
    <w:link w:val="Char0"/>
    <w:uiPriority w:val="99"/>
    <w:unhideWhenUsed/>
    <w:rsid w:val="00635A2C"/>
    <w:pPr>
      <w:tabs>
        <w:tab w:val="center" w:pos="4153"/>
        <w:tab w:val="right" w:pos="8306"/>
      </w:tabs>
      <w:snapToGrid w:val="0"/>
    </w:pPr>
    <w:rPr>
      <w:sz w:val="18"/>
      <w:szCs w:val="18"/>
    </w:rPr>
  </w:style>
  <w:style w:type="character" w:customStyle="1" w:styleId="Char0">
    <w:name w:val="页脚 Char"/>
    <w:basedOn w:val="a0"/>
    <w:link w:val="a5"/>
    <w:uiPriority w:val="99"/>
    <w:rsid w:val="00635A2C"/>
    <w:rPr>
      <w:sz w:val="18"/>
      <w:szCs w:val="18"/>
    </w:rPr>
  </w:style>
  <w:style w:type="paragraph" w:styleId="a6">
    <w:name w:val="Balloon Text"/>
    <w:basedOn w:val="a"/>
    <w:link w:val="Char1"/>
    <w:semiHidden/>
    <w:unhideWhenUsed/>
    <w:rsid w:val="009B5665"/>
    <w:rPr>
      <w:sz w:val="18"/>
      <w:szCs w:val="18"/>
    </w:rPr>
  </w:style>
  <w:style w:type="character" w:customStyle="1" w:styleId="Char1">
    <w:name w:val="批注框文本 Char"/>
    <w:basedOn w:val="a0"/>
    <w:link w:val="a6"/>
    <w:semiHidden/>
    <w:rsid w:val="009B566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30</Pages>
  <Words>5629</Words>
  <Characters>32087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17</cp:revision>
  <dcterms:created xsi:type="dcterms:W3CDTF">2020-12-27T23:21:00Z</dcterms:created>
  <dcterms:modified xsi:type="dcterms:W3CDTF">2021-02-03T11:48:00Z</dcterms:modified>
</cp:coreProperties>
</file>