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094CF" w14:textId="77777777" w:rsidR="00A77B3E" w:rsidRPr="00601347" w:rsidRDefault="00E91ADF" w:rsidP="00601347">
      <w:pPr>
        <w:adjustRightInd w:val="0"/>
        <w:snapToGrid w:val="0"/>
        <w:spacing w:line="360" w:lineRule="auto"/>
        <w:jc w:val="both"/>
        <w:rPr>
          <w:rFonts w:ascii="Book Antiqua" w:hAnsi="Book Antiqua"/>
        </w:rPr>
      </w:pPr>
      <w:bookmarkStart w:id="0" w:name="_GoBack"/>
      <w:bookmarkEnd w:id="0"/>
      <w:r w:rsidRPr="00601347">
        <w:rPr>
          <w:rFonts w:ascii="Book Antiqua" w:eastAsia="Book Antiqua" w:hAnsi="Book Antiqua" w:cs="Book Antiqua"/>
          <w:b/>
          <w:color w:val="000000"/>
        </w:rPr>
        <w:t xml:space="preserve">Name of Journal: </w:t>
      </w:r>
      <w:r w:rsidRPr="00601347">
        <w:rPr>
          <w:rFonts w:ascii="Book Antiqua" w:eastAsia="Book Antiqua" w:hAnsi="Book Antiqua" w:cs="Book Antiqua"/>
          <w:i/>
          <w:color w:val="000000"/>
        </w:rPr>
        <w:t>World Journal of Clinical Cases</w:t>
      </w:r>
    </w:p>
    <w:p w14:paraId="2AF96EB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Manuscript NO: </w:t>
      </w:r>
      <w:r w:rsidRPr="00601347">
        <w:rPr>
          <w:rFonts w:ascii="Book Antiqua" w:eastAsia="Book Antiqua" w:hAnsi="Book Antiqua" w:cs="Book Antiqua"/>
          <w:color w:val="000000"/>
        </w:rPr>
        <w:t>60298</w:t>
      </w:r>
    </w:p>
    <w:p w14:paraId="3E1A2293"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Manuscript Type: </w:t>
      </w:r>
      <w:r w:rsidRPr="00601347">
        <w:rPr>
          <w:rFonts w:ascii="Book Antiqua" w:eastAsia="Book Antiqua" w:hAnsi="Book Antiqua" w:cs="Book Antiqua"/>
          <w:color w:val="000000"/>
        </w:rPr>
        <w:t>ORIGINAL ARTICLE</w:t>
      </w:r>
    </w:p>
    <w:p w14:paraId="0BAD3A0C" w14:textId="77777777" w:rsidR="00A77B3E" w:rsidRPr="00601347" w:rsidRDefault="00A77B3E" w:rsidP="00601347">
      <w:pPr>
        <w:adjustRightInd w:val="0"/>
        <w:snapToGrid w:val="0"/>
        <w:spacing w:line="360" w:lineRule="auto"/>
        <w:jc w:val="both"/>
        <w:rPr>
          <w:rFonts w:ascii="Book Antiqua" w:hAnsi="Book Antiqua"/>
        </w:rPr>
      </w:pPr>
    </w:p>
    <w:p w14:paraId="0F988D45"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Retrospective Study</w:t>
      </w:r>
    </w:p>
    <w:p w14:paraId="6A70384D" w14:textId="77777777" w:rsidR="00A77B3E" w:rsidRPr="00601347" w:rsidRDefault="00E91ADF" w:rsidP="00601347">
      <w:pPr>
        <w:adjustRightInd w:val="0"/>
        <w:snapToGrid w:val="0"/>
        <w:spacing w:line="360" w:lineRule="auto"/>
        <w:jc w:val="both"/>
        <w:rPr>
          <w:rFonts w:ascii="Book Antiqua" w:hAnsi="Book Antiqua"/>
        </w:rPr>
      </w:pPr>
      <w:bookmarkStart w:id="1" w:name="OLE_LINK3"/>
      <w:bookmarkStart w:id="2" w:name="OLE_LINK4"/>
      <w:bookmarkStart w:id="3" w:name="OLE_LINK15"/>
      <w:r w:rsidRPr="00601347">
        <w:rPr>
          <w:rFonts w:ascii="Book Antiqua" w:eastAsia="Book Antiqua" w:hAnsi="Book Antiqua" w:cs="Book Antiqua"/>
          <w:b/>
          <w:color w:val="000000"/>
        </w:rPr>
        <w:t>Intra-arterial thrombolysis for early hepatic artery thrombosis after liver transplantation</w:t>
      </w:r>
    </w:p>
    <w:bookmarkEnd w:id="1"/>
    <w:bookmarkEnd w:id="2"/>
    <w:bookmarkEnd w:id="3"/>
    <w:p w14:paraId="6E2CD090" w14:textId="77777777" w:rsidR="00A77B3E" w:rsidRPr="00601347" w:rsidRDefault="00A77B3E" w:rsidP="00601347">
      <w:pPr>
        <w:adjustRightInd w:val="0"/>
        <w:snapToGrid w:val="0"/>
        <w:spacing w:line="360" w:lineRule="auto"/>
        <w:jc w:val="both"/>
        <w:rPr>
          <w:rFonts w:ascii="Book Antiqua" w:hAnsi="Book Antiqua"/>
        </w:rPr>
      </w:pPr>
    </w:p>
    <w:p w14:paraId="484A2869" w14:textId="4FB9A3A5" w:rsidR="00A77B3E" w:rsidRPr="00601347" w:rsidRDefault="004166D6"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Li T</w:t>
      </w:r>
      <w:r w:rsidRPr="00601347">
        <w:rPr>
          <w:rFonts w:ascii="Book Antiqua" w:eastAsia="Book Antiqua" w:hAnsi="Book Antiqua" w:cs="Book Antiqua"/>
          <w:i/>
          <w:iCs/>
          <w:color w:val="000000"/>
        </w:rPr>
        <w:t xml:space="preserve"> et al.</w:t>
      </w:r>
      <w:bookmarkStart w:id="4" w:name="OLE_LINK5"/>
      <w:bookmarkStart w:id="5" w:name="OLE_LINK6"/>
      <w:r w:rsidRPr="00601347">
        <w:rPr>
          <w:rFonts w:ascii="Book Antiqua" w:eastAsia="Book Antiqua" w:hAnsi="Book Antiqua" w:cs="Book Antiqua"/>
          <w:color w:val="000000"/>
        </w:rPr>
        <w:t xml:space="preserve"> </w:t>
      </w:r>
      <w:bookmarkStart w:id="6" w:name="OLE_LINK20"/>
      <w:bookmarkStart w:id="7" w:name="OLE_LINK21"/>
      <w:r w:rsidR="00E91ADF" w:rsidRPr="00601347">
        <w:rPr>
          <w:rFonts w:ascii="Book Antiqua" w:eastAsia="Book Antiqua" w:hAnsi="Book Antiqua" w:cs="Book Antiqua"/>
          <w:color w:val="000000"/>
        </w:rPr>
        <w:t>Intra-arterial thrombolysis for E-HAT</w:t>
      </w:r>
      <w:bookmarkEnd w:id="4"/>
      <w:bookmarkEnd w:id="5"/>
      <w:bookmarkEnd w:id="6"/>
      <w:bookmarkEnd w:id="7"/>
    </w:p>
    <w:p w14:paraId="5FFD26F9" w14:textId="77777777" w:rsidR="00A77B3E" w:rsidRPr="00601347" w:rsidRDefault="00A77B3E" w:rsidP="00601347">
      <w:pPr>
        <w:adjustRightInd w:val="0"/>
        <w:snapToGrid w:val="0"/>
        <w:spacing w:line="360" w:lineRule="auto"/>
        <w:jc w:val="both"/>
        <w:rPr>
          <w:rFonts w:ascii="Book Antiqua" w:hAnsi="Book Antiqua"/>
        </w:rPr>
      </w:pPr>
    </w:p>
    <w:p w14:paraId="0DCD0EB4"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Ting Li, Xiao-Dong Sun, Ying Yu, </w:t>
      </w:r>
      <w:proofErr w:type="spellStart"/>
      <w:r w:rsidRPr="00601347">
        <w:rPr>
          <w:rFonts w:ascii="Book Antiqua" w:eastAsia="Book Antiqua" w:hAnsi="Book Antiqua" w:cs="Book Antiqua"/>
          <w:color w:val="000000"/>
        </w:rPr>
        <w:t>Guo</w:t>
      </w:r>
      <w:proofErr w:type="spellEnd"/>
      <w:r w:rsidRPr="00601347">
        <w:rPr>
          <w:rFonts w:ascii="Book Antiqua" w:eastAsia="Book Antiqua" w:hAnsi="Book Antiqua" w:cs="Book Antiqua"/>
          <w:color w:val="000000"/>
        </w:rPr>
        <w:t xml:space="preserve">-Yue </w:t>
      </w:r>
      <w:proofErr w:type="spellStart"/>
      <w:r w:rsidRPr="00601347">
        <w:rPr>
          <w:rFonts w:ascii="Book Antiqua" w:eastAsia="Book Antiqua" w:hAnsi="Book Antiqua" w:cs="Book Antiqua"/>
          <w:color w:val="000000"/>
        </w:rPr>
        <w:t>Lv</w:t>
      </w:r>
      <w:proofErr w:type="spellEnd"/>
    </w:p>
    <w:p w14:paraId="0EB9C69E" w14:textId="77777777" w:rsidR="00A77B3E" w:rsidRPr="00601347" w:rsidRDefault="00A77B3E" w:rsidP="00601347">
      <w:pPr>
        <w:adjustRightInd w:val="0"/>
        <w:snapToGrid w:val="0"/>
        <w:spacing w:line="360" w:lineRule="auto"/>
        <w:jc w:val="both"/>
        <w:rPr>
          <w:rFonts w:ascii="Book Antiqua" w:hAnsi="Book Antiqua"/>
        </w:rPr>
      </w:pPr>
    </w:p>
    <w:p w14:paraId="080549DC" w14:textId="69E6B204"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Ting Li, Xiao-Dong Sun, Ying Yu, </w:t>
      </w:r>
      <w:proofErr w:type="spellStart"/>
      <w:r w:rsidR="00176D7E" w:rsidRPr="00601347">
        <w:rPr>
          <w:rFonts w:ascii="Book Antiqua" w:eastAsia="Book Antiqua" w:hAnsi="Book Antiqua" w:cs="Book Antiqua"/>
          <w:b/>
          <w:bCs/>
          <w:color w:val="000000"/>
        </w:rPr>
        <w:t>Guo</w:t>
      </w:r>
      <w:proofErr w:type="spellEnd"/>
      <w:r w:rsidR="00176D7E" w:rsidRPr="00601347">
        <w:rPr>
          <w:rFonts w:ascii="Book Antiqua" w:eastAsia="Book Antiqua" w:hAnsi="Book Antiqua" w:cs="Book Antiqua"/>
          <w:b/>
          <w:bCs/>
          <w:color w:val="000000"/>
        </w:rPr>
        <w:t xml:space="preserve">-Yue </w:t>
      </w:r>
      <w:proofErr w:type="spellStart"/>
      <w:r w:rsidR="00176D7E" w:rsidRPr="00601347">
        <w:rPr>
          <w:rFonts w:ascii="Book Antiqua" w:eastAsia="Book Antiqua" w:hAnsi="Book Antiqua" w:cs="Book Antiqua"/>
          <w:b/>
          <w:bCs/>
          <w:color w:val="000000"/>
        </w:rPr>
        <w:t>Lv</w:t>
      </w:r>
      <w:proofErr w:type="spellEnd"/>
      <w:r w:rsidR="00176D7E" w:rsidRPr="00601347">
        <w:rPr>
          <w:rFonts w:ascii="Book Antiqua" w:eastAsia="Book Antiqua" w:hAnsi="Book Antiqua" w:cs="Book Antiqua"/>
          <w:b/>
          <w:bCs/>
          <w:color w:val="000000"/>
        </w:rPr>
        <w:t xml:space="preserve">, </w:t>
      </w:r>
      <w:r w:rsidRPr="00601347">
        <w:rPr>
          <w:rFonts w:ascii="Book Antiqua" w:eastAsia="Book Antiqua" w:hAnsi="Book Antiqua" w:cs="Book Antiqua"/>
          <w:color w:val="000000"/>
        </w:rPr>
        <w:t>Department of Hepatobiliary and Pancreatic Surgery, The First Hospital of Jilin University, Changchun 130021, Jilin Province, China</w:t>
      </w:r>
    </w:p>
    <w:p w14:paraId="498DC864" w14:textId="77777777" w:rsidR="00A77B3E" w:rsidRPr="00601347" w:rsidRDefault="00A77B3E" w:rsidP="00601347">
      <w:pPr>
        <w:adjustRightInd w:val="0"/>
        <w:snapToGrid w:val="0"/>
        <w:spacing w:line="360" w:lineRule="auto"/>
        <w:jc w:val="both"/>
        <w:rPr>
          <w:rFonts w:ascii="Book Antiqua" w:hAnsi="Book Antiqua"/>
        </w:rPr>
      </w:pPr>
    </w:p>
    <w:p w14:paraId="5F4D75D9" w14:textId="57AACA16"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Author contributions: </w:t>
      </w:r>
      <w:bookmarkStart w:id="8" w:name="OLE_LINK22"/>
      <w:bookmarkStart w:id="9" w:name="OLE_LINK23"/>
      <w:r w:rsidRPr="00601347">
        <w:rPr>
          <w:rFonts w:ascii="Book Antiqua" w:eastAsia="Book Antiqua" w:hAnsi="Book Antiqua" w:cs="Book Antiqua"/>
          <w:color w:val="000000"/>
          <w:shd w:val="clear" w:color="auto" w:fill="FFFFFF"/>
        </w:rPr>
        <w:t xml:space="preserve">Li T collected, analyzed data and wrote the paper; Sun XD performed the study; Yu Y collected the data; </w:t>
      </w:r>
      <w:proofErr w:type="spellStart"/>
      <w:r w:rsidRPr="00601347">
        <w:rPr>
          <w:rFonts w:ascii="Book Antiqua" w:eastAsia="Book Antiqua" w:hAnsi="Book Antiqua" w:cs="Book Antiqua"/>
          <w:color w:val="000000"/>
          <w:shd w:val="clear" w:color="auto" w:fill="FFFFFF"/>
        </w:rPr>
        <w:t>Lv</w:t>
      </w:r>
      <w:proofErr w:type="spellEnd"/>
      <w:r w:rsidRPr="00601347">
        <w:rPr>
          <w:rFonts w:ascii="Book Antiqua" w:eastAsia="Book Antiqua" w:hAnsi="Book Antiqua" w:cs="Book Antiqua"/>
          <w:color w:val="000000"/>
          <w:shd w:val="clear" w:color="auto" w:fill="FFFFFF"/>
        </w:rPr>
        <w:t xml:space="preserve"> GY designed and supervised the study</w:t>
      </w:r>
      <w:r w:rsidR="004166D6" w:rsidRPr="00601347">
        <w:rPr>
          <w:rFonts w:ascii="Book Antiqua" w:eastAsia="Book Antiqua" w:hAnsi="Book Antiqua" w:cs="Book Antiqua"/>
          <w:color w:val="000000"/>
          <w:shd w:val="clear" w:color="auto" w:fill="FFFFFF"/>
        </w:rPr>
        <w:t>.</w:t>
      </w:r>
    </w:p>
    <w:bookmarkEnd w:id="8"/>
    <w:bookmarkEnd w:id="9"/>
    <w:p w14:paraId="39AEF7A6" w14:textId="77777777" w:rsidR="00A77B3E" w:rsidRPr="00601347" w:rsidRDefault="00A77B3E" w:rsidP="00601347">
      <w:pPr>
        <w:adjustRightInd w:val="0"/>
        <w:snapToGrid w:val="0"/>
        <w:spacing w:line="360" w:lineRule="auto"/>
        <w:jc w:val="both"/>
        <w:rPr>
          <w:rFonts w:ascii="Book Antiqua" w:hAnsi="Book Antiqua"/>
        </w:rPr>
      </w:pPr>
    </w:p>
    <w:p w14:paraId="085F71C7" w14:textId="73937595"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Supported by</w:t>
      </w:r>
      <w:bookmarkStart w:id="10" w:name="OLE_LINK24"/>
      <w:bookmarkStart w:id="11" w:name="OLE_LINK25"/>
      <w:r w:rsidRPr="00601347">
        <w:rPr>
          <w:rFonts w:ascii="Book Antiqua" w:eastAsia="Book Antiqua" w:hAnsi="Book Antiqua" w:cs="Book Antiqua"/>
          <w:b/>
          <w:bCs/>
          <w:color w:val="000000"/>
        </w:rPr>
        <w:t xml:space="preserve"> </w:t>
      </w:r>
      <w:r w:rsidRPr="00601347">
        <w:rPr>
          <w:rFonts w:ascii="Book Antiqua" w:eastAsia="Book Antiqua" w:hAnsi="Book Antiqua" w:cs="Book Antiqua"/>
          <w:color w:val="000000"/>
        </w:rPr>
        <w:t xml:space="preserve">the Science and </w:t>
      </w:r>
      <w:r w:rsidR="007A5793" w:rsidRPr="00601347">
        <w:rPr>
          <w:rFonts w:ascii="Book Antiqua" w:eastAsia="Book Antiqua" w:hAnsi="Book Antiqua" w:cs="Book Antiqua"/>
          <w:color w:val="000000"/>
        </w:rPr>
        <w:t xml:space="preserve">Technology Department </w:t>
      </w:r>
      <w:r w:rsidRPr="00601347">
        <w:rPr>
          <w:rFonts w:ascii="Book Antiqua" w:eastAsia="Book Antiqua" w:hAnsi="Book Antiqua" w:cs="Book Antiqua"/>
          <w:color w:val="000000"/>
        </w:rPr>
        <w:t>of Jilin Province</w:t>
      </w:r>
      <w:r w:rsidR="004166D6" w:rsidRPr="00601347">
        <w:rPr>
          <w:rFonts w:ascii="Book Antiqua" w:eastAsia="Book Antiqua" w:hAnsi="Book Antiqua" w:cs="Book Antiqua"/>
          <w:color w:val="000000"/>
        </w:rPr>
        <w:t>,</w:t>
      </w:r>
      <w:r w:rsidRPr="00601347">
        <w:rPr>
          <w:rFonts w:ascii="Book Antiqua" w:eastAsia="Book Antiqua" w:hAnsi="Book Antiqua" w:cs="Book Antiqua"/>
          <w:color w:val="000000"/>
        </w:rPr>
        <w:t xml:space="preserve"> </w:t>
      </w:r>
      <w:r w:rsidR="004166D6" w:rsidRPr="00601347">
        <w:rPr>
          <w:rFonts w:ascii="Book Antiqua" w:eastAsia="Book Antiqua" w:hAnsi="Book Antiqua" w:cs="Book Antiqua"/>
          <w:color w:val="000000"/>
        </w:rPr>
        <w:t xml:space="preserve">No. </w:t>
      </w:r>
      <w:r w:rsidRPr="00601347">
        <w:rPr>
          <w:rFonts w:ascii="Book Antiqua" w:eastAsia="Book Antiqua" w:hAnsi="Book Antiqua" w:cs="Book Antiqua"/>
          <w:color w:val="000000"/>
        </w:rPr>
        <w:t>20180622004JC</w:t>
      </w:r>
      <w:r w:rsidR="004166D6" w:rsidRPr="00601347">
        <w:rPr>
          <w:rFonts w:ascii="Book Antiqua" w:eastAsia="Book Antiqua" w:hAnsi="Book Antiqua" w:cs="Book Antiqua"/>
          <w:color w:val="000000"/>
        </w:rPr>
        <w:t xml:space="preserve"> and No. </w:t>
      </w:r>
      <w:r w:rsidRPr="00601347">
        <w:rPr>
          <w:rFonts w:ascii="Book Antiqua" w:eastAsia="Book Antiqua" w:hAnsi="Book Antiqua" w:cs="Book Antiqua"/>
          <w:color w:val="000000"/>
        </w:rPr>
        <w:t>20190101002JH</w:t>
      </w:r>
      <w:r w:rsidR="004166D6" w:rsidRPr="00601347">
        <w:rPr>
          <w:rFonts w:ascii="Book Antiqua" w:eastAsia="Book Antiqua" w:hAnsi="Book Antiqua" w:cs="Book Antiqua"/>
          <w:color w:val="000000"/>
        </w:rPr>
        <w:t>;</w:t>
      </w:r>
      <w:r w:rsidRPr="00601347">
        <w:rPr>
          <w:rFonts w:ascii="Book Antiqua" w:eastAsia="Book Antiqua" w:hAnsi="Book Antiqua" w:cs="Book Antiqua"/>
          <w:color w:val="000000"/>
        </w:rPr>
        <w:t xml:space="preserve"> and the Finance </w:t>
      </w:r>
      <w:r w:rsidR="007A5793" w:rsidRPr="00601347">
        <w:rPr>
          <w:rFonts w:ascii="Book Antiqua" w:eastAsia="Book Antiqua" w:hAnsi="Book Antiqua" w:cs="Book Antiqua"/>
          <w:color w:val="000000"/>
        </w:rPr>
        <w:t xml:space="preserve">Department </w:t>
      </w:r>
      <w:r w:rsidRPr="00601347">
        <w:rPr>
          <w:rFonts w:ascii="Book Antiqua" w:eastAsia="Book Antiqua" w:hAnsi="Book Antiqua" w:cs="Book Antiqua"/>
          <w:color w:val="000000"/>
        </w:rPr>
        <w:t>of Jilin Province</w:t>
      </w:r>
      <w:r w:rsidR="004166D6" w:rsidRPr="00601347">
        <w:rPr>
          <w:rFonts w:ascii="Book Antiqua" w:eastAsia="Book Antiqua" w:hAnsi="Book Antiqua" w:cs="Book Antiqua"/>
          <w:color w:val="000000"/>
        </w:rPr>
        <w:t>,</w:t>
      </w:r>
      <w:r w:rsidRPr="00601347">
        <w:rPr>
          <w:rFonts w:ascii="Book Antiqua" w:eastAsia="Book Antiqua" w:hAnsi="Book Antiqua" w:cs="Book Antiqua"/>
          <w:color w:val="000000"/>
        </w:rPr>
        <w:t xml:space="preserve"> </w:t>
      </w:r>
      <w:r w:rsidR="004166D6" w:rsidRPr="00601347">
        <w:rPr>
          <w:rFonts w:ascii="Book Antiqua" w:eastAsia="Book Antiqua" w:hAnsi="Book Antiqua" w:cs="Book Antiqua"/>
          <w:color w:val="000000"/>
        </w:rPr>
        <w:t>No.</w:t>
      </w:r>
      <w:r w:rsidR="009E2260">
        <w:rPr>
          <w:rFonts w:ascii="Book Antiqua" w:eastAsia="Book Antiqua" w:hAnsi="Book Antiqua" w:cs="Book Antiqua"/>
          <w:color w:val="000000"/>
        </w:rPr>
        <w:t xml:space="preserve"> </w:t>
      </w:r>
      <w:r w:rsidRPr="00601347">
        <w:rPr>
          <w:rFonts w:ascii="Book Antiqua" w:eastAsia="Book Antiqua" w:hAnsi="Book Antiqua" w:cs="Book Antiqua"/>
          <w:color w:val="000000"/>
        </w:rPr>
        <w:t>2017F004</w:t>
      </w:r>
      <w:r w:rsidR="004166D6" w:rsidRPr="00601347">
        <w:rPr>
          <w:rFonts w:ascii="Book Antiqua" w:eastAsia="Book Antiqua" w:hAnsi="Book Antiqua" w:cs="Book Antiqua"/>
          <w:color w:val="000000"/>
        </w:rPr>
        <w:t xml:space="preserve"> and No. </w:t>
      </w:r>
      <w:r w:rsidRPr="00601347">
        <w:rPr>
          <w:rFonts w:ascii="Book Antiqua" w:eastAsia="Book Antiqua" w:hAnsi="Book Antiqua" w:cs="Book Antiqua"/>
          <w:color w:val="000000"/>
          <w:shd w:val="clear" w:color="auto" w:fill="FFFFFF"/>
        </w:rPr>
        <w:t>2018SCZWSZX-044</w:t>
      </w:r>
      <w:r w:rsidR="004166D6" w:rsidRPr="00601347">
        <w:rPr>
          <w:rFonts w:ascii="Book Antiqua" w:eastAsia="Book Antiqua" w:hAnsi="Book Antiqua" w:cs="Book Antiqua"/>
          <w:color w:val="000000"/>
          <w:shd w:val="clear" w:color="auto" w:fill="FFFFFF"/>
        </w:rPr>
        <w:t>.</w:t>
      </w:r>
    </w:p>
    <w:bookmarkEnd w:id="10"/>
    <w:bookmarkEnd w:id="11"/>
    <w:p w14:paraId="509C83EF" w14:textId="77777777" w:rsidR="00A77B3E" w:rsidRPr="00601347" w:rsidRDefault="00A77B3E" w:rsidP="00601347">
      <w:pPr>
        <w:adjustRightInd w:val="0"/>
        <w:snapToGrid w:val="0"/>
        <w:spacing w:line="360" w:lineRule="auto"/>
        <w:jc w:val="both"/>
        <w:rPr>
          <w:rFonts w:ascii="Book Antiqua" w:hAnsi="Book Antiqua"/>
        </w:rPr>
      </w:pPr>
    </w:p>
    <w:p w14:paraId="1F7E3AD9" w14:textId="70F2F4BC" w:rsidR="00A77B3E" w:rsidRPr="00601347" w:rsidRDefault="00E91ADF" w:rsidP="00601347">
      <w:pPr>
        <w:adjustRightInd w:val="0"/>
        <w:snapToGrid w:val="0"/>
        <w:spacing w:line="360" w:lineRule="auto"/>
        <w:jc w:val="both"/>
        <w:rPr>
          <w:rFonts w:ascii="Book Antiqua" w:hAnsi="Book Antiqua"/>
          <w:u w:val="single"/>
        </w:rPr>
      </w:pPr>
      <w:r w:rsidRPr="00601347">
        <w:rPr>
          <w:rFonts w:ascii="Book Antiqua" w:eastAsia="Book Antiqua" w:hAnsi="Book Antiqua" w:cs="Book Antiqua"/>
          <w:b/>
          <w:bCs/>
          <w:color w:val="000000"/>
        </w:rPr>
        <w:t xml:space="preserve">Corresponding author: </w:t>
      </w:r>
      <w:proofErr w:type="spellStart"/>
      <w:r w:rsidRPr="00601347">
        <w:rPr>
          <w:rFonts w:ascii="Book Antiqua" w:eastAsia="Book Antiqua" w:hAnsi="Book Antiqua" w:cs="Book Antiqua"/>
          <w:b/>
          <w:bCs/>
          <w:color w:val="000000"/>
        </w:rPr>
        <w:t>Guo</w:t>
      </w:r>
      <w:proofErr w:type="spellEnd"/>
      <w:r w:rsidRPr="00601347">
        <w:rPr>
          <w:rFonts w:ascii="Book Antiqua" w:eastAsia="Book Antiqua" w:hAnsi="Book Antiqua" w:cs="Book Antiqua"/>
          <w:b/>
          <w:bCs/>
          <w:color w:val="000000"/>
        </w:rPr>
        <w:t xml:space="preserve">-Yue </w:t>
      </w:r>
      <w:proofErr w:type="spellStart"/>
      <w:r w:rsidRPr="00601347">
        <w:rPr>
          <w:rFonts w:ascii="Book Antiqua" w:eastAsia="Book Antiqua" w:hAnsi="Book Antiqua" w:cs="Book Antiqua"/>
          <w:b/>
          <w:bCs/>
          <w:color w:val="000000"/>
        </w:rPr>
        <w:t>Lv</w:t>
      </w:r>
      <w:proofErr w:type="spellEnd"/>
      <w:r w:rsidRPr="00601347">
        <w:rPr>
          <w:rFonts w:ascii="Book Antiqua" w:eastAsia="Book Antiqua" w:hAnsi="Book Antiqua" w:cs="Book Antiqua"/>
          <w:b/>
          <w:bCs/>
          <w:color w:val="000000"/>
        </w:rPr>
        <w:t xml:space="preserve">, PhD, Professor, </w:t>
      </w:r>
      <w:r w:rsidR="00176D7E" w:rsidRPr="00601347">
        <w:rPr>
          <w:rFonts w:ascii="Book Antiqua" w:eastAsia="Book Antiqua" w:hAnsi="Book Antiqua" w:cs="Book Antiqua"/>
          <w:color w:val="000000"/>
        </w:rPr>
        <w:t>Department of Hepatobiliary and Pancreatic Surgery, The First Hospital of Jilin University,</w:t>
      </w:r>
      <w:r w:rsidRPr="00601347">
        <w:rPr>
          <w:rFonts w:ascii="Book Antiqua" w:eastAsia="Book Antiqua" w:hAnsi="Book Antiqua" w:cs="Book Antiqua"/>
          <w:color w:val="000000"/>
        </w:rPr>
        <w:t xml:space="preserve"> No. 71 Xinmin Street, Changchun 130021, Jilin Province, China. lgy08@sina.com</w:t>
      </w:r>
    </w:p>
    <w:p w14:paraId="48A45433" w14:textId="77777777" w:rsidR="00A77B3E" w:rsidRPr="00601347" w:rsidRDefault="00A77B3E" w:rsidP="00601347">
      <w:pPr>
        <w:adjustRightInd w:val="0"/>
        <w:snapToGrid w:val="0"/>
        <w:spacing w:line="360" w:lineRule="auto"/>
        <w:jc w:val="both"/>
        <w:rPr>
          <w:rFonts w:ascii="Book Antiqua" w:hAnsi="Book Antiqua"/>
        </w:rPr>
      </w:pPr>
    </w:p>
    <w:p w14:paraId="633EF94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Received: </w:t>
      </w:r>
      <w:r w:rsidRPr="00601347">
        <w:rPr>
          <w:rFonts w:ascii="Book Antiqua" w:eastAsia="Book Antiqua" w:hAnsi="Book Antiqua" w:cs="Book Antiqua"/>
          <w:color w:val="000000"/>
        </w:rPr>
        <w:t>October 26, 2020</w:t>
      </w:r>
    </w:p>
    <w:p w14:paraId="01EED17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lastRenderedPageBreak/>
        <w:t xml:space="preserve">Revised: </w:t>
      </w:r>
      <w:r w:rsidRPr="00601347">
        <w:rPr>
          <w:rFonts w:ascii="Book Antiqua" w:eastAsia="Book Antiqua" w:hAnsi="Book Antiqua" w:cs="Book Antiqua"/>
          <w:color w:val="000000"/>
        </w:rPr>
        <w:t>December 22, 2020</w:t>
      </w:r>
    </w:p>
    <w:p w14:paraId="41E6C1E9" w14:textId="334090F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Accepted: </w:t>
      </w:r>
      <w:r w:rsidR="00681D16" w:rsidRPr="00681D16">
        <w:rPr>
          <w:rFonts w:ascii="Book Antiqua" w:eastAsia="Book Antiqua" w:hAnsi="Book Antiqua" w:cs="Book Antiqua"/>
          <w:color w:val="000000"/>
        </w:rPr>
        <w:t>December 28, 2020</w:t>
      </w:r>
    </w:p>
    <w:p w14:paraId="4CA9CEE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Published online: </w:t>
      </w:r>
    </w:p>
    <w:p w14:paraId="29735ACC" w14:textId="77777777" w:rsidR="00A77B3E" w:rsidRPr="00601347" w:rsidRDefault="00A77B3E" w:rsidP="00601347">
      <w:pPr>
        <w:adjustRightInd w:val="0"/>
        <w:snapToGrid w:val="0"/>
        <w:spacing w:line="360" w:lineRule="auto"/>
        <w:jc w:val="both"/>
        <w:rPr>
          <w:rFonts w:ascii="Book Antiqua" w:hAnsi="Book Antiqua"/>
        </w:rPr>
        <w:sectPr w:rsidR="00A77B3E" w:rsidRPr="00601347" w:rsidSect="00B7655E">
          <w:footerReference w:type="default" r:id="rId8"/>
          <w:type w:val="continuous"/>
          <w:pgSz w:w="12240" w:h="15840"/>
          <w:pgMar w:top="1440" w:right="1800" w:bottom="1440" w:left="1800" w:header="720" w:footer="720" w:gutter="0"/>
          <w:cols w:space="720"/>
          <w:docGrid w:linePitch="360"/>
        </w:sectPr>
      </w:pPr>
    </w:p>
    <w:p w14:paraId="474F6E3B" w14:textId="77777777" w:rsidR="007A5793" w:rsidRPr="00601347" w:rsidRDefault="007A5793" w:rsidP="00601347">
      <w:pPr>
        <w:snapToGrid w:val="0"/>
        <w:spacing w:line="360" w:lineRule="auto"/>
        <w:jc w:val="both"/>
        <w:rPr>
          <w:rFonts w:ascii="Book Antiqua" w:eastAsia="Book Antiqua" w:hAnsi="Book Antiqua" w:cs="Book Antiqua"/>
          <w:b/>
          <w:color w:val="000000"/>
        </w:rPr>
      </w:pPr>
      <w:r w:rsidRPr="00601347">
        <w:rPr>
          <w:rFonts w:ascii="Book Antiqua" w:eastAsia="Book Antiqua" w:hAnsi="Book Antiqua" w:cs="Book Antiqua"/>
          <w:b/>
          <w:color w:val="000000"/>
        </w:rPr>
        <w:lastRenderedPageBreak/>
        <w:br w:type="page"/>
      </w:r>
    </w:p>
    <w:p w14:paraId="496F06A5" w14:textId="65F01B2D"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lastRenderedPageBreak/>
        <w:t>Abstract</w:t>
      </w:r>
    </w:p>
    <w:p w14:paraId="435ECD2B"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BACKGROUND</w:t>
      </w:r>
    </w:p>
    <w:p w14:paraId="26F1D3AC" w14:textId="5631650F" w:rsidR="00A77B3E" w:rsidRPr="00601347" w:rsidRDefault="00E91ADF" w:rsidP="00601347">
      <w:pPr>
        <w:adjustRightInd w:val="0"/>
        <w:snapToGrid w:val="0"/>
        <w:spacing w:line="360" w:lineRule="auto"/>
        <w:jc w:val="both"/>
        <w:rPr>
          <w:rFonts w:ascii="Book Antiqua" w:hAnsi="Book Antiqua"/>
        </w:rPr>
      </w:pPr>
      <w:bookmarkStart w:id="12" w:name="OLE_LINK29"/>
      <w:bookmarkStart w:id="13" w:name="OLE_LINK30"/>
      <w:r w:rsidRPr="00601347">
        <w:rPr>
          <w:rFonts w:ascii="Book Antiqua" w:eastAsia="Book Antiqua" w:hAnsi="Book Antiqua" w:cs="Book Antiqua"/>
          <w:color w:val="000000"/>
        </w:rPr>
        <w:t>Early hepatic artery thrombosis (E-HAT) is a serious complication after liver transplantation (LT), which often results in graft failure and can lead to patient deaths.</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Treatments such as re-transplantation and re-anastomosis are conventional therapeutic methods which are restricted by the shortage of donors and the patient’s postoperative intolerance to re-laparotomy. Due to the advances in interventional techniques and thrombolytics, endovascular treatments are increasingly being selected by more and more centers. This study reviews and reports our single-center experience with intra-arterial thrombolysis as the first choice therapy for E-HAT after deceased donor LT.</w:t>
      </w:r>
    </w:p>
    <w:bookmarkEnd w:id="12"/>
    <w:bookmarkEnd w:id="13"/>
    <w:p w14:paraId="26523A4A" w14:textId="77777777" w:rsidR="00A77B3E" w:rsidRPr="00601347" w:rsidRDefault="00A77B3E" w:rsidP="00601347">
      <w:pPr>
        <w:adjustRightInd w:val="0"/>
        <w:snapToGrid w:val="0"/>
        <w:spacing w:line="360" w:lineRule="auto"/>
        <w:jc w:val="both"/>
        <w:rPr>
          <w:rFonts w:ascii="Book Antiqua" w:hAnsi="Book Antiqua"/>
        </w:rPr>
      </w:pPr>
    </w:p>
    <w:p w14:paraId="3B92E354"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AIM</w:t>
      </w:r>
    </w:p>
    <w:p w14:paraId="0D27DB12"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To evaluate the feasibility and reasonability of intra-arterial thrombolysis for E-HAT after deceased donor LT.</w:t>
      </w:r>
    </w:p>
    <w:p w14:paraId="4D0BF4F0" w14:textId="77777777" w:rsidR="00A77B3E" w:rsidRPr="00601347" w:rsidRDefault="00A77B3E" w:rsidP="00601347">
      <w:pPr>
        <w:adjustRightInd w:val="0"/>
        <w:snapToGrid w:val="0"/>
        <w:spacing w:line="360" w:lineRule="auto"/>
        <w:jc w:val="both"/>
        <w:rPr>
          <w:rFonts w:ascii="Book Antiqua" w:hAnsi="Book Antiqua"/>
        </w:rPr>
      </w:pPr>
    </w:p>
    <w:p w14:paraId="5EC08C41"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METHODS</w:t>
      </w:r>
    </w:p>
    <w:p w14:paraId="1BD17720" w14:textId="7A34B220" w:rsidR="00A77B3E" w:rsidRPr="00601347" w:rsidRDefault="00E91ADF" w:rsidP="00601347">
      <w:pPr>
        <w:adjustRightInd w:val="0"/>
        <w:snapToGrid w:val="0"/>
        <w:spacing w:line="360" w:lineRule="auto"/>
        <w:jc w:val="both"/>
        <w:rPr>
          <w:rFonts w:ascii="Book Antiqua" w:hAnsi="Book Antiqua"/>
        </w:rPr>
      </w:pPr>
      <w:bookmarkStart w:id="14" w:name="OLE_LINK31"/>
      <w:bookmarkStart w:id="15" w:name="OLE_LINK32"/>
      <w:r w:rsidRPr="00601347">
        <w:rPr>
          <w:rFonts w:ascii="Book Antiqua" w:eastAsia="Book Antiqua" w:hAnsi="Book Antiqua" w:cs="Book Antiqua"/>
          <w:color w:val="000000"/>
        </w:rPr>
        <w:t>A total of 147 patients who underwent deceased donor LT were</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retrospectively reviewed in our hospital between September 2011 and December 2016. Four patients were diagnosed with E-HAT.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All of these patients underwent intra-arterial thrombolysis with alteplase as the first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choice therapy after LT.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The method of arterial anastomosis and details of the diagnosis and treatment of E-HAT were collated. The long-term prognosis of E-HAT patients was also recorded. The median follow-up </w:t>
      </w:r>
      <w:r w:rsidR="00524AAD">
        <w:rPr>
          <w:rFonts w:ascii="Book Antiqua" w:eastAsia="Book Antiqua" w:hAnsi="Book Antiqua" w:cs="Book Antiqua"/>
          <w:color w:val="000000"/>
        </w:rPr>
        <w:t xml:space="preserve">period </w:t>
      </w:r>
      <w:r w:rsidRPr="00601347">
        <w:rPr>
          <w:rFonts w:ascii="Book Antiqua" w:eastAsia="Book Antiqua" w:hAnsi="Book Antiqua" w:cs="Book Antiqua"/>
          <w:color w:val="000000"/>
        </w:rPr>
        <w:t xml:space="preserve">was 26 </w:t>
      </w:r>
      <w:proofErr w:type="spellStart"/>
      <w:proofErr w:type="gramStart"/>
      <w:r w:rsidRPr="00601347">
        <w:rPr>
          <w:rFonts w:ascii="Book Antiqua" w:eastAsia="Book Antiqua" w:hAnsi="Book Antiqua" w:cs="Book Antiqua"/>
          <w:color w:val="000000"/>
        </w:rPr>
        <w:t>mo</w:t>
      </w:r>
      <w:proofErr w:type="spellEnd"/>
      <w:proofErr w:type="gramEnd"/>
      <w:r w:rsidRPr="00601347">
        <w:rPr>
          <w:rFonts w:ascii="Book Antiqua" w:eastAsia="Book Antiqua" w:hAnsi="Book Antiqua" w:cs="Book Antiqua"/>
          <w:color w:val="000000"/>
        </w:rPr>
        <w:t xml:space="preserve"> (range: 23 to 30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w:t>
      </w:r>
    </w:p>
    <w:p w14:paraId="4DD3D47A" w14:textId="77777777" w:rsidR="00A77B3E" w:rsidRPr="00601347" w:rsidRDefault="00A77B3E" w:rsidP="00601347">
      <w:pPr>
        <w:adjustRightInd w:val="0"/>
        <w:snapToGrid w:val="0"/>
        <w:spacing w:line="360" w:lineRule="auto"/>
        <w:jc w:val="both"/>
        <w:rPr>
          <w:rFonts w:ascii="Book Antiqua" w:hAnsi="Book Antiqua"/>
        </w:rPr>
      </w:pPr>
    </w:p>
    <w:bookmarkEnd w:id="14"/>
    <w:bookmarkEnd w:id="15"/>
    <w:p w14:paraId="528B1B9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RESULTS</w:t>
      </w:r>
    </w:p>
    <w:p w14:paraId="3DAE76CD" w14:textId="6CE75407" w:rsidR="00A77B3E" w:rsidRPr="00601347" w:rsidRDefault="00E91ADF" w:rsidP="00601347">
      <w:pPr>
        <w:adjustRightInd w:val="0"/>
        <w:snapToGrid w:val="0"/>
        <w:spacing w:line="360" w:lineRule="auto"/>
        <w:jc w:val="both"/>
        <w:rPr>
          <w:rFonts w:ascii="Book Antiqua" w:hAnsi="Book Antiqua"/>
        </w:rPr>
      </w:pPr>
      <w:bookmarkStart w:id="16" w:name="OLE_LINK33"/>
      <w:bookmarkStart w:id="17" w:name="OLE_LINK34"/>
      <w:r w:rsidRPr="00601347">
        <w:rPr>
          <w:rFonts w:ascii="Book Antiqua" w:eastAsia="Book Antiqua" w:hAnsi="Book Antiqua" w:cs="Book Antiqua"/>
          <w:color w:val="000000"/>
        </w:rPr>
        <w:t xml:space="preserve">The incidence of E-HAT was 2.7% (4/147). E-HAT was considered when Doppler ultrasonography </w:t>
      </w:r>
      <w:r w:rsidR="00524AAD">
        <w:rPr>
          <w:rFonts w:ascii="Book Antiqua" w:eastAsia="Book Antiqua" w:hAnsi="Book Antiqua" w:cs="Book Antiqua"/>
          <w:color w:val="000000"/>
        </w:rPr>
        <w:t>showed</w:t>
      </w:r>
      <w:r w:rsidRPr="00601347">
        <w:rPr>
          <w:rFonts w:ascii="Book Antiqua" w:eastAsia="Book Antiqua" w:hAnsi="Book Antiqua" w:cs="Book Antiqua"/>
          <w:color w:val="000000"/>
        </w:rPr>
        <w:t xml:space="preserve"> no blood flow signals and a definite diagnosis was confirmed by immediate hepatic arterial angiography when complete occlusion </w:t>
      </w:r>
      <w:r w:rsidRPr="00601347">
        <w:rPr>
          <w:rFonts w:ascii="Book Antiqua" w:eastAsia="Book Antiqua" w:hAnsi="Book Antiqua" w:cs="Book Antiqua"/>
          <w:color w:val="000000"/>
        </w:rPr>
        <w:lastRenderedPageBreak/>
        <w:t>of the hepatic artery was observed. The patients were given temporary thrombolytics (mainly alteplase) </w:t>
      </w:r>
      <w:r w:rsidRPr="00601347">
        <w:rPr>
          <w:rFonts w:ascii="Book Antiqua" w:eastAsia="Book Antiqua" w:hAnsi="Book Antiqua" w:cs="Book Antiqua"/>
          <w:i/>
          <w:iCs/>
          <w:color w:val="000000"/>
        </w:rPr>
        <w:t>via</w:t>
      </w:r>
      <w:r w:rsidR="004166D6" w:rsidRPr="00601347">
        <w:rPr>
          <w:rFonts w:ascii="Book Antiqua" w:eastAsia="Book Antiqua" w:hAnsi="Book Antiqua" w:cs="Book Antiqua"/>
          <w:i/>
          <w:iCs/>
          <w:color w:val="000000"/>
        </w:rPr>
        <w:t xml:space="preserve"> </w:t>
      </w:r>
      <w:r w:rsidRPr="00601347">
        <w:rPr>
          <w:rFonts w:ascii="Book Antiqua" w:eastAsia="Book Antiqua" w:hAnsi="Book Antiqua" w:cs="Book Antiqua"/>
          <w:color w:val="000000"/>
        </w:rPr>
        <w:t>a 5-Fr catheter which was placed in the proximal part of the thrombosed hepatic artery followed by continuous alteplase using an infusion pump. Alteplase dose was adjusted according to activated clotting time. The recanalization rate of intra-arterial thrombolysis in our study was 100%</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(4/4) and no thrombolysis-related mortality was observed. During the follow-up period,</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patient survival rate was 75% (3/4), and biliary complications were present in 50% of patients (2/4).</w:t>
      </w:r>
    </w:p>
    <w:bookmarkEnd w:id="16"/>
    <w:bookmarkEnd w:id="17"/>
    <w:p w14:paraId="6910757B" w14:textId="77777777" w:rsidR="00A77B3E" w:rsidRPr="00601347" w:rsidRDefault="00A77B3E" w:rsidP="00601347">
      <w:pPr>
        <w:adjustRightInd w:val="0"/>
        <w:snapToGrid w:val="0"/>
        <w:spacing w:line="360" w:lineRule="auto"/>
        <w:jc w:val="both"/>
        <w:rPr>
          <w:rFonts w:ascii="Book Antiqua" w:hAnsi="Book Antiqua"/>
        </w:rPr>
      </w:pPr>
    </w:p>
    <w:p w14:paraId="3777D5D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CONCLUSION</w:t>
      </w:r>
    </w:p>
    <w:p w14:paraId="0B525625" w14:textId="018F7CF8" w:rsidR="00A77B3E" w:rsidRPr="00601347" w:rsidRDefault="00E91ADF" w:rsidP="00601347">
      <w:pPr>
        <w:adjustRightInd w:val="0"/>
        <w:snapToGrid w:val="0"/>
        <w:spacing w:line="360" w:lineRule="auto"/>
        <w:jc w:val="both"/>
        <w:rPr>
          <w:rFonts w:ascii="Book Antiqua" w:hAnsi="Book Antiqua"/>
        </w:rPr>
      </w:pPr>
      <w:bookmarkStart w:id="18" w:name="OLE_LINK9"/>
      <w:bookmarkStart w:id="19" w:name="OLE_LINK10"/>
      <w:r w:rsidRPr="00601347">
        <w:rPr>
          <w:rFonts w:ascii="Book Antiqua" w:eastAsia="Book Antiqua" w:hAnsi="Book Antiqua" w:cs="Book Antiqua"/>
          <w:color w:val="000000"/>
        </w:rPr>
        <w:t>Intra-arterial thrombolysis can be considered first-line treatment for E-HAT after deceased donor LT. Early diagnosis of E-HAT is important and follow-up is necessary even</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if recanalization is successful.</w:t>
      </w:r>
    </w:p>
    <w:bookmarkEnd w:id="18"/>
    <w:bookmarkEnd w:id="19"/>
    <w:p w14:paraId="70BF8B27" w14:textId="77777777" w:rsidR="00A77B3E" w:rsidRPr="00601347" w:rsidRDefault="00A77B3E" w:rsidP="00601347">
      <w:pPr>
        <w:adjustRightInd w:val="0"/>
        <w:snapToGrid w:val="0"/>
        <w:spacing w:line="360" w:lineRule="auto"/>
        <w:jc w:val="both"/>
        <w:rPr>
          <w:rFonts w:ascii="Book Antiqua" w:hAnsi="Book Antiqua"/>
        </w:rPr>
      </w:pPr>
    </w:p>
    <w:p w14:paraId="7F4A3C7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Key Words: </w:t>
      </w:r>
      <w:bookmarkStart w:id="20" w:name="OLE_LINK26"/>
      <w:bookmarkStart w:id="21" w:name="OLE_LINK27"/>
      <w:r w:rsidRPr="00601347">
        <w:rPr>
          <w:rFonts w:ascii="Book Antiqua" w:eastAsia="Book Antiqua" w:hAnsi="Book Antiqua" w:cs="Book Antiqua"/>
          <w:color w:val="000000"/>
        </w:rPr>
        <w:t>Early hepatic artery thrombosis; Liver transplantation; Intra-arterial thrombolysis; Thrombolytics; Hepatic arterial angiography; Prognosis</w:t>
      </w:r>
    </w:p>
    <w:bookmarkEnd w:id="20"/>
    <w:bookmarkEnd w:id="21"/>
    <w:p w14:paraId="5DFEB79C" w14:textId="77777777" w:rsidR="00A77B3E" w:rsidRPr="00601347" w:rsidRDefault="00A77B3E" w:rsidP="00601347">
      <w:pPr>
        <w:adjustRightInd w:val="0"/>
        <w:snapToGrid w:val="0"/>
        <w:spacing w:line="360" w:lineRule="auto"/>
        <w:jc w:val="both"/>
        <w:rPr>
          <w:rFonts w:ascii="Book Antiqua" w:hAnsi="Book Antiqua"/>
        </w:rPr>
      </w:pPr>
    </w:p>
    <w:p w14:paraId="0FD6CACB" w14:textId="77777777" w:rsidR="00A77B3E" w:rsidRPr="00601347" w:rsidRDefault="00E91ADF" w:rsidP="00601347">
      <w:pPr>
        <w:adjustRightInd w:val="0"/>
        <w:snapToGrid w:val="0"/>
        <w:spacing w:line="360" w:lineRule="auto"/>
        <w:jc w:val="both"/>
        <w:rPr>
          <w:rFonts w:ascii="Book Antiqua" w:hAnsi="Book Antiqua"/>
        </w:rPr>
      </w:pPr>
      <w:bookmarkStart w:id="22" w:name="OLE_LINK16"/>
      <w:bookmarkStart w:id="23" w:name="OLE_LINK17"/>
      <w:r w:rsidRPr="00601347">
        <w:rPr>
          <w:rFonts w:ascii="Book Antiqua" w:eastAsia="Book Antiqua" w:hAnsi="Book Antiqua" w:cs="Book Antiqua"/>
          <w:color w:val="000000"/>
        </w:rPr>
        <w:t xml:space="preserve">Li T, Sun XD, Yu Y, </w:t>
      </w:r>
      <w:proofErr w:type="spellStart"/>
      <w:r w:rsidRPr="00601347">
        <w:rPr>
          <w:rFonts w:ascii="Book Antiqua" w:eastAsia="Book Antiqua" w:hAnsi="Book Antiqua" w:cs="Book Antiqua"/>
          <w:color w:val="000000"/>
        </w:rPr>
        <w:t>Lv</w:t>
      </w:r>
      <w:proofErr w:type="spellEnd"/>
      <w:r w:rsidRPr="00601347">
        <w:rPr>
          <w:rFonts w:ascii="Book Antiqua" w:eastAsia="Book Antiqua" w:hAnsi="Book Antiqua" w:cs="Book Antiqua"/>
          <w:color w:val="000000"/>
        </w:rPr>
        <w:t xml:space="preserve"> GY. Intra-arterial thrombolysis for early hepatic artery thrombosis after liver transplantation. </w:t>
      </w:r>
      <w:r w:rsidRPr="00601347">
        <w:rPr>
          <w:rFonts w:ascii="Book Antiqua" w:eastAsia="Book Antiqua" w:hAnsi="Book Antiqua" w:cs="Book Antiqua"/>
          <w:i/>
          <w:iCs/>
          <w:color w:val="000000"/>
        </w:rPr>
        <w:t>World J Clin Cases</w:t>
      </w:r>
      <w:r w:rsidRPr="00601347">
        <w:rPr>
          <w:rFonts w:ascii="Book Antiqua" w:eastAsia="Book Antiqua" w:hAnsi="Book Antiqua" w:cs="Book Antiqua"/>
          <w:color w:val="000000"/>
        </w:rPr>
        <w:t xml:space="preserve"> 2020; In press</w:t>
      </w:r>
    </w:p>
    <w:bookmarkEnd w:id="22"/>
    <w:bookmarkEnd w:id="23"/>
    <w:p w14:paraId="3E2E8F89" w14:textId="77777777" w:rsidR="00A77B3E" w:rsidRPr="00601347" w:rsidRDefault="00A77B3E" w:rsidP="00601347">
      <w:pPr>
        <w:adjustRightInd w:val="0"/>
        <w:snapToGrid w:val="0"/>
        <w:spacing w:line="360" w:lineRule="auto"/>
        <w:jc w:val="both"/>
        <w:rPr>
          <w:rFonts w:ascii="Book Antiqua" w:hAnsi="Book Antiqua"/>
        </w:rPr>
      </w:pPr>
    </w:p>
    <w:p w14:paraId="1B4540AE" w14:textId="78B9E346"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Core Tip: </w:t>
      </w:r>
      <w:bookmarkStart w:id="24" w:name="OLE_LINK18"/>
      <w:bookmarkStart w:id="25" w:name="OLE_LINK19"/>
      <w:bookmarkStart w:id="26" w:name="OLE_LINK28"/>
      <w:r w:rsidRPr="00601347">
        <w:rPr>
          <w:rFonts w:ascii="Book Antiqua" w:eastAsia="Book Antiqua" w:hAnsi="Book Antiqua" w:cs="Book Antiqua"/>
          <w:color w:val="000000"/>
        </w:rPr>
        <w:t>This retrospective study evaluated the feasibility and reasonability of intra-arterial thrombolysis for early hepatic artery thrombosis (E-HAT) after deceased donor liver transplantation. The incidence of E-HAT was 2.7%</w:t>
      </w:r>
      <w:r w:rsidR="008C63BE" w:rsidRPr="00601347">
        <w:rPr>
          <w:rFonts w:ascii="Book Antiqua" w:eastAsia="Book Antiqua" w:hAnsi="Book Antiqua" w:cs="Book Antiqua"/>
          <w:color w:val="000000"/>
        </w:rPr>
        <w:t xml:space="preserve"> (4</w:t>
      </w:r>
      <w:r w:rsidRPr="00601347">
        <w:rPr>
          <w:rFonts w:ascii="Book Antiqua" w:eastAsia="Book Antiqua" w:hAnsi="Book Antiqua" w:cs="Book Antiqua"/>
          <w:color w:val="000000"/>
        </w:rPr>
        <w:t xml:space="preserve">/147). The patients were given temporary thrombolytics followed by continuous alteplase using an infusion pump. Alteplase dose was adjusted according to activated clotting time. The recanalization rate of intra-arterial thrombolysis in our study was 100% and no thrombolysis-related mortality was observed. Intra-arterial thrombolysis can be considered first-line treatment for E-HAT after </w:t>
      </w:r>
      <w:r w:rsidRPr="00601347">
        <w:rPr>
          <w:rFonts w:ascii="Book Antiqua" w:eastAsia="Book Antiqua" w:hAnsi="Book Antiqua" w:cs="Book Antiqua"/>
          <w:color w:val="000000"/>
        </w:rPr>
        <w:lastRenderedPageBreak/>
        <w:t>deceased donor</w:t>
      </w:r>
      <w:r w:rsidR="004166D6" w:rsidRPr="00601347">
        <w:rPr>
          <w:rFonts w:ascii="Book Antiqua" w:eastAsia="Book Antiqua" w:hAnsi="Book Antiqua" w:cs="Book Antiqua"/>
          <w:color w:val="000000"/>
        </w:rPr>
        <w:t xml:space="preserve"> liver transplantation</w:t>
      </w:r>
      <w:r w:rsidRPr="00601347">
        <w:rPr>
          <w:rFonts w:ascii="Book Antiqua" w:eastAsia="Book Antiqua" w:hAnsi="Book Antiqua" w:cs="Book Antiqua"/>
          <w:color w:val="000000"/>
        </w:rPr>
        <w:t>. Early diagnosis of E-HAT is important and follow-up is necessary even if recanalization is successful.</w:t>
      </w:r>
    </w:p>
    <w:bookmarkEnd w:id="24"/>
    <w:bookmarkEnd w:id="25"/>
    <w:bookmarkEnd w:id="26"/>
    <w:p w14:paraId="4ACF18BE" w14:textId="77777777" w:rsidR="00A77B3E" w:rsidRPr="00601347" w:rsidRDefault="00A77B3E" w:rsidP="00601347">
      <w:pPr>
        <w:adjustRightInd w:val="0"/>
        <w:snapToGrid w:val="0"/>
        <w:spacing w:line="360" w:lineRule="auto"/>
        <w:jc w:val="both"/>
        <w:rPr>
          <w:rFonts w:ascii="Book Antiqua" w:hAnsi="Book Antiqua"/>
        </w:rPr>
      </w:pPr>
    </w:p>
    <w:p w14:paraId="3A48125A" w14:textId="77777777" w:rsidR="00176D7E" w:rsidRPr="00601347" w:rsidRDefault="00176D7E" w:rsidP="00601347">
      <w:pPr>
        <w:adjustRightInd w:val="0"/>
        <w:snapToGrid w:val="0"/>
        <w:spacing w:line="360" w:lineRule="auto"/>
        <w:jc w:val="both"/>
        <w:rPr>
          <w:rFonts w:ascii="Book Antiqua" w:eastAsia="Book Antiqua" w:hAnsi="Book Antiqua" w:cs="Book Antiqua"/>
          <w:b/>
          <w:caps/>
          <w:color w:val="000000"/>
          <w:u w:val="single"/>
        </w:rPr>
      </w:pPr>
      <w:r w:rsidRPr="00601347">
        <w:rPr>
          <w:rFonts w:ascii="Book Antiqua" w:eastAsia="Book Antiqua" w:hAnsi="Book Antiqua" w:cs="Book Antiqua"/>
          <w:b/>
          <w:caps/>
          <w:color w:val="000000"/>
          <w:u w:val="single"/>
        </w:rPr>
        <w:br w:type="page"/>
      </w:r>
    </w:p>
    <w:p w14:paraId="05F52072" w14:textId="356D399D"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lastRenderedPageBreak/>
        <w:t>INTRODUCTION</w:t>
      </w:r>
    </w:p>
    <w:p w14:paraId="27EA6CB7" w14:textId="1D31E9DD" w:rsidR="00A77B3E" w:rsidRPr="00601347" w:rsidRDefault="00E91ADF" w:rsidP="00601347">
      <w:pPr>
        <w:adjustRightInd w:val="0"/>
        <w:snapToGrid w:val="0"/>
        <w:spacing w:line="360" w:lineRule="auto"/>
        <w:jc w:val="both"/>
        <w:rPr>
          <w:rFonts w:ascii="Book Antiqua" w:hAnsi="Book Antiqua"/>
        </w:rPr>
      </w:pPr>
      <w:bookmarkStart w:id="27" w:name="OLE_LINK35"/>
      <w:bookmarkStart w:id="28" w:name="OLE_LINK36"/>
      <w:r w:rsidRPr="00601347">
        <w:rPr>
          <w:rFonts w:ascii="Book Antiqua" w:eastAsia="Book Antiqua" w:hAnsi="Book Antiqua" w:cs="Book Antiqua"/>
          <w:color w:val="000000"/>
        </w:rPr>
        <w:t>Hepatic artery thrombosis (HAT) is a devastating complication after liver transplantation (LT) with an overall incidence varying from 2% to 9</w:t>
      </w:r>
      <w:proofErr w:type="gramStart"/>
      <w:r w:rsidRPr="00601347">
        <w:rPr>
          <w:rFonts w:ascii="Book Antiqua" w:eastAsia="Book Antiqua" w:hAnsi="Book Antiqua" w:cs="Book Antiqua"/>
          <w:color w:val="000000"/>
        </w:rPr>
        <w: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1,2]</w:t>
      </w:r>
      <w:r w:rsidRPr="00601347">
        <w:rPr>
          <w:rFonts w:ascii="Book Antiqua" w:eastAsia="Book Antiqua" w:hAnsi="Book Antiqua" w:cs="Book Antiqua"/>
          <w:color w:val="000000"/>
        </w:rPr>
        <w:t>. Early hepatic artery thrombosis (E-HAT) is di</w:t>
      </w:r>
      <w:r w:rsidR="003D19CD" w:rsidRPr="00601347">
        <w:rPr>
          <w:rFonts w:ascii="Book Antiqua" w:eastAsia="Book Antiqua" w:hAnsi="Book Antiqua" w:cs="Book Antiqua"/>
          <w:color w:val="000000"/>
        </w:rPr>
        <w:t>agnosed within the first 21 d</w:t>
      </w:r>
      <w:r w:rsidRPr="00601347">
        <w:rPr>
          <w:rFonts w:ascii="Book Antiqua" w:eastAsia="Book Antiqua" w:hAnsi="Book Antiqua" w:cs="Book Antiqua"/>
          <w:color w:val="000000"/>
        </w:rPr>
        <w:t xml:space="preserve"> after </w:t>
      </w:r>
      <w:proofErr w:type="gramStart"/>
      <w:r w:rsidRPr="00601347">
        <w:rPr>
          <w:rFonts w:ascii="Book Antiqua" w:eastAsia="Book Antiqua" w:hAnsi="Book Antiqua" w:cs="Book Antiqua"/>
          <w:color w:val="000000"/>
        </w:rPr>
        <w:t>transplantation</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3]</w:t>
      </w:r>
      <w:r w:rsidRPr="00601347">
        <w:rPr>
          <w:rFonts w:ascii="Book Antiqua" w:eastAsia="Book Antiqua" w:hAnsi="Book Antiqua" w:cs="Book Antiqua"/>
          <w:color w:val="000000"/>
        </w:rPr>
        <w:t>.</w:t>
      </w:r>
      <w:r w:rsidR="003D19C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Without effective revascularization, E-HAT usually</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results in graft failure and can lead to patient deaths. Although, re-transplantation is still the gold standard treatment for HAT, most E-HAT cases are managed with re-transplantation (74%), whereas early revascularization is carried out in only 13% with a 75% success </w:t>
      </w:r>
      <w:proofErr w:type="gramStart"/>
      <w:r w:rsidRPr="00601347">
        <w:rPr>
          <w:rFonts w:ascii="Book Antiqua" w:eastAsia="Book Antiqua" w:hAnsi="Book Antiqua" w:cs="Book Antiqua"/>
          <w:color w:val="000000"/>
        </w:rPr>
        <w:t>rate</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4]</w:t>
      </w:r>
      <w:r w:rsidRPr="00601347">
        <w:rPr>
          <w:rFonts w:ascii="Book Antiqua" w:eastAsia="Book Antiqua" w:hAnsi="Book Antiqua" w:cs="Book Antiqua"/>
          <w:color w:val="000000"/>
        </w:rPr>
        <w:t>. Furthermore, re-transplantation in all cases is restricted by the shortage of donors and the patient’s postoperative condition as some patients are unable to tolerate re-laparotomy. In such cases, other treatment options such as surgical revascularization, percutaneous thrombolysis, percutaneous angioplasty, and a conservative approach are then considered. However, none of these treatments have been shown to be superior.</w:t>
      </w:r>
    </w:p>
    <w:p w14:paraId="67595DE7" w14:textId="316622C7"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Although many patients have been reported to have undergone successful endovascular treatment for HA </w:t>
      </w:r>
      <w:proofErr w:type="gramStart"/>
      <w:r w:rsidRPr="00601347">
        <w:rPr>
          <w:rFonts w:ascii="Book Antiqua" w:eastAsia="Book Antiqua" w:hAnsi="Book Antiqua" w:cs="Book Antiqua"/>
          <w:color w:val="000000"/>
        </w:rPr>
        <w:t>complications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5</w:t>
      </w:r>
      <w:r w:rsidR="004166D6"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vertAlign w:val="superscript"/>
        </w:rPr>
        <w:t>7]</w:t>
      </w:r>
      <w:r w:rsidRPr="00601347">
        <w:rPr>
          <w:rFonts w:ascii="Book Antiqua" w:eastAsia="Book Antiqua" w:hAnsi="Book Antiqua" w:cs="Book Antiqua"/>
          <w:color w:val="000000"/>
        </w:rPr>
        <w:t>, less invasive therapeutic options have been chosen by many centers for E-HAT, especially in the first few days after LT. However, the efficacy of intra-arterial thrombolysis has not yet been demonstrated.</w:t>
      </w:r>
    </w:p>
    <w:p w14:paraId="6A745450" w14:textId="50FF463F"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In the present study, we retrospectively reviewed E-HAT patients in our hospital who underwent intra-arterial thrombolysis</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 alteplase as the first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choice therapy after LT. The aim of this study was to evaluate the feasibility and reasonability of intra-arterial thrombolysis for E-HAT after deceased donor LT.</w:t>
      </w:r>
    </w:p>
    <w:bookmarkEnd w:id="27"/>
    <w:bookmarkEnd w:id="28"/>
    <w:p w14:paraId="0BD36266" w14:textId="77777777" w:rsidR="00A77B3E" w:rsidRPr="00601347" w:rsidRDefault="00A77B3E" w:rsidP="00601347">
      <w:pPr>
        <w:adjustRightInd w:val="0"/>
        <w:snapToGrid w:val="0"/>
        <w:spacing w:line="360" w:lineRule="auto"/>
        <w:jc w:val="both"/>
        <w:rPr>
          <w:rFonts w:ascii="Book Antiqua" w:hAnsi="Book Antiqua"/>
        </w:rPr>
      </w:pPr>
    </w:p>
    <w:p w14:paraId="477294A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MATERIALS AND METHODS</w:t>
      </w:r>
    </w:p>
    <w:p w14:paraId="11BDD450" w14:textId="77777777" w:rsidR="00A77B3E" w:rsidRPr="00601347" w:rsidRDefault="00E91ADF" w:rsidP="00601347">
      <w:pPr>
        <w:adjustRightInd w:val="0"/>
        <w:snapToGrid w:val="0"/>
        <w:spacing w:line="360" w:lineRule="auto"/>
        <w:jc w:val="both"/>
        <w:rPr>
          <w:rFonts w:ascii="Book Antiqua" w:hAnsi="Book Antiqua"/>
        </w:rPr>
      </w:pPr>
      <w:bookmarkStart w:id="29" w:name="OLE_LINK37"/>
      <w:bookmarkStart w:id="30" w:name="OLE_LINK38"/>
      <w:r w:rsidRPr="00601347">
        <w:rPr>
          <w:rFonts w:ascii="Book Antiqua" w:eastAsia="Book Antiqua" w:hAnsi="Book Antiqua" w:cs="Book Antiqua"/>
          <w:b/>
          <w:bCs/>
          <w:i/>
          <w:iCs/>
          <w:color w:val="000000"/>
        </w:rPr>
        <w:t>Patients</w:t>
      </w:r>
    </w:p>
    <w:p w14:paraId="3A86CE64" w14:textId="7A1D215B"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medical records of 147 adult patients who underwent deceased donor LT at The First Hospital of Jilin University from September 2011 to December 2016 were retrospectively reviewed. All patients received liver grafts from deceased </w:t>
      </w:r>
      <w:r w:rsidRPr="00601347">
        <w:rPr>
          <w:rFonts w:ascii="Book Antiqua" w:eastAsia="Book Antiqua" w:hAnsi="Book Antiqua" w:cs="Book Antiqua"/>
          <w:color w:val="000000"/>
        </w:rPr>
        <w:lastRenderedPageBreak/>
        <w:t>donors. The arterial anastomosis</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method and details of the diagnosis and treatment of HAT were collated. The long-term outcomes of these HAT patients were also recorded. The median follow-up </w:t>
      </w:r>
      <w:r w:rsidR="002837BA">
        <w:rPr>
          <w:rFonts w:ascii="Book Antiqua" w:eastAsia="Book Antiqua" w:hAnsi="Book Antiqua" w:cs="Book Antiqua"/>
          <w:color w:val="000000"/>
        </w:rPr>
        <w:t xml:space="preserve">period </w:t>
      </w:r>
      <w:r w:rsidRPr="00601347">
        <w:rPr>
          <w:rFonts w:ascii="Book Antiqua" w:eastAsia="Book Antiqua" w:hAnsi="Book Antiqua" w:cs="Book Antiqua"/>
          <w:color w:val="000000"/>
        </w:rPr>
        <w:t xml:space="preserve">was 26 </w:t>
      </w:r>
      <w:proofErr w:type="spellStart"/>
      <w:proofErr w:type="gramStart"/>
      <w:r w:rsidRPr="00601347">
        <w:rPr>
          <w:rFonts w:ascii="Book Antiqua" w:eastAsia="Book Antiqua" w:hAnsi="Book Antiqua" w:cs="Book Antiqua"/>
          <w:color w:val="000000"/>
        </w:rPr>
        <w:t>mo</w:t>
      </w:r>
      <w:proofErr w:type="spellEnd"/>
      <w:proofErr w:type="gramEnd"/>
      <w:r w:rsidRPr="00601347">
        <w:rPr>
          <w:rFonts w:ascii="Book Antiqua" w:eastAsia="Book Antiqua" w:hAnsi="Book Antiqua" w:cs="Book Antiqua"/>
          <w:color w:val="000000"/>
        </w:rPr>
        <w:t xml:space="preserve"> (range: 23 to 30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This study was approved by the Ethics Committee of the First Hospital of Jilin University.</w:t>
      </w:r>
    </w:p>
    <w:p w14:paraId="0B7D07A8" w14:textId="77777777" w:rsidR="004166D6" w:rsidRPr="00601347" w:rsidRDefault="004166D6" w:rsidP="00601347">
      <w:pPr>
        <w:adjustRightInd w:val="0"/>
        <w:snapToGrid w:val="0"/>
        <w:spacing w:line="360" w:lineRule="auto"/>
        <w:jc w:val="both"/>
        <w:rPr>
          <w:rFonts w:ascii="Book Antiqua" w:eastAsia="Book Antiqua" w:hAnsi="Book Antiqua" w:cs="Book Antiqua"/>
          <w:b/>
          <w:bCs/>
          <w:i/>
          <w:iCs/>
          <w:color w:val="000000"/>
        </w:rPr>
      </w:pPr>
    </w:p>
    <w:p w14:paraId="60A89730" w14:textId="1F93FDD1"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Surgical procedure</w:t>
      </w:r>
    </w:p>
    <w:p w14:paraId="3EBCE381" w14:textId="790F5C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method used for arterial anastomosis depended on the graft and recipient vascular anatomy. Anastomosis of the HA was microscopically performed with continuous 7-0 or 8-0 </w:t>
      </w:r>
      <w:proofErr w:type="spellStart"/>
      <w:r w:rsidR="00AB2F4D" w:rsidRPr="00601347">
        <w:rPr>
          <w:rFonts w:ascii="Book Antiqua" w:eastAsia="Book Antiqua" w:hAnsi="Book Antiqua" w:cs="Book Antiqua"/>
          <w:color w:val="000000"/>
        </w:rPr>
        <w:t>p</w:t>
      </w:r>
      <w:r w:rsidRPr="00601347">
        <w:rPr>
          <w:rFonts w:ascii="Book Antiqua" w:eastAsia="Book Antiqua" w:hAnsi="Book Antiqua" w:cs="Book Antiqua"/>
          <w:color w:val="000000"/>
        </w:rPr>
        <w:t>rolene</w:t>
      </w:r>
      <w:proofErr w:type="spellEnd"/>
      <w:r w:rsidRPr="00601347">
        <w:rPr>
          <w:rFonts w:ascii="Book Antiqua" w:eastAsia="Book Antiqua" w:hAnsi="Book Antiqua" w:cs="Book Antiqua"/>
          <w:color w:val="000000"/>
        </w:rPr>
        <w:t xml:space="preserve"> sutures at different sites between the graft and donor arterial systems. The principle of HA anastomosis was to identify the optimal artery to minimize the size mismatch. The length must be adequate to allow a tension-free anastomosis and at the same time to avoid kinks and rotations. The most common graft artery was the artery bifurcation of the common HA</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(CHA) and the splenic artery (SA), while the most common recipient artery was the artery bifurcation of the CHA and the gastroduodenal artery (GDA). Artery reconstructions were performed if any accessory HAs existed. Accessory HAs were anastomosed end-to-end to the donor SA or GDA branch.</w:t>
      </w:r>
    </w:p>
    <w:p w14:paraId="6F70A83F" w14:textId="0E50E294"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Routine surveillance of HA anastomoses with </w:t>
      </w:r>
      <w:r w:rsidR="00DD5346" w:rsidRPr="00601347">
        <w:rPr>
          <w:rFonts w:ascii="Book Antiqua" w:eastAsia="Book Antiqua" w:hAnsi="Book Antiqua" w:cs="Book Antiqua"/>
          <w:color w:val="000000"/>
        </w:rPr>
        <w:t>D</w:t>
      </w:r>
      <w:r w:rsidRPr="00601347">
        <w:rPr>
          <w:rFonts w:ascii="Book Antiqua" w:eastAsia="Book Antiqua" w:hAnsi="Book Antiqua" w:cs="Book Antiqua"/>
          <w:color w:val="000000"/>
        </w:rPr>
        <w:t xml:space="preserve">oppler ultrasonography was performed periodically after surgery: once per day for the first week, twice per week until discharge, and then once per week for three months. If sonography revealed abnormal findings, hepatic arterial angiography was immediately performed. HAT was defined as complete occlusion of the </w:t>
      </w:r>
      <w:r w:rsidR="002837BA">
        <w:rPr>
          <w:rFonts w:ascii="Book Antiqua" w:eastAsia="Book Antiqua" w:hAnsi="Book Antiqua" w:cs="Book Antiqua"/>
          <w:color w:val="000000"/>
        </w:rPr>
        <w:t>HA</w:t>
      </w:r>
      <w:r w:rsidRPr="00601347">
        <w:rPr>
          <w:rFonts w:ascii="Book Antiqua" w:eastAsia="Book Antiqua" w:hAnsi="Book Antiqua" w:cs="Book Antiqua"/>
          <w:color w:val="000000"/>
        </w:rPr>
        <w:t xml:space="preserve"> on hepatic arterial angiography.</w:t>
      </w:r>
    </w:p>
    <w:p w14:paraId="0F0F6EA1" w14:textId="77777777" w:rsidR="00AB2F4D" w:rsidRPr="00601347" w:rsidRDefault="00AB2F4D" w:rsidP="00601347">
      <w:pPr>
        <w:adjustRightInd w:val="0"/>
        <w:snapToGrid w:val="0"/>
        <w:spacing w:line="360" w:lineRule="auto"/>
        <w:jc w:val="both"/>
        <w:rPr>
          <w:rFonts w:ascii="Book Antiqua" w:eastAsia="Book Antiqua" w:hAnsi="Book Antiqua" w:cs="Book Antiqua"/>
          <w:b/>
          <w:bCs/>
          <w:i/>
          <w:iCs/>
          <w:color w:val="000000"/>
        </w:rPr>
      </w:pPr>
    </w:p>
    <w:p w14:paraId="4FF377AA" w14:textId="106508CE"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Thrombolysis</w:t>
      </w:r>
    </w:p>
    <w:p w14:paraId="4A429B7C" w14:textId="5E13C06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Intra-arterial thrombolysis was our first-choice therapy for E-HAT. Selective catheterization of the celiac trunk using the right femoral artery access was </w:t>
      </w:r>
      <w:r w:rsidRPr="00601347">
        <w:rPr>
          <w:rFonts w:ascii="Book Antiqua" w:eastAsia="Book Antiqua" w:hAnsi="Book Antiqua" w:cs="Book Antiqua"/>
          <w:color w:val="000000"/>
        </w:rPr>
        <w:lastRenderedPageBreak/>
        <w:t>performed. A 5-Fr catheter was placed over the proximal part of the thrombosed HA, and thrombolytics were injected temporarily or continuously. With the temporary injections of thrombolytics, partial recanalization was observed as partial resolution of the thrombus. In addition, delineation of the intrahepatic branches, localized post-stenotic dilatation and filling defects were observed. After continuous injection of alteplase, complete recanalization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of the HA was observed on hepatic arterial angiography, without obvious filling defects in the hepatic trunk and intrahepatic branches.</w:t>
      </w:r>
    </w:p>
    <w:p w14:paraId="7853BF02" w14:textId="5BAD02FF"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After intra-arterial thrombolysis, anticoagulant therapy with enoxaparin sodium at a dose of 4000 </w:t>
      </w:r>
      <w:proofErr w:type="spellStart"/>
      <w:r w:rsidRPr="00601347">
        <w:rPr>
          <w:rFonts w:ascii="Book Antiqua" w:eastAsia="Book Antiqua" w:hAnsi="Book Antiqua" w:cs="Book Antiqua"/>
          <w:color w:val="000000"/>
        </w:rPr>
        <w:t>Axa</w:t>
      </w:r>
      <w:proofErr w:type="spellEnd"/>
      <w:r w:rsidR="003D19C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IU, twice a day for approximately 5 to 7 d was administered, followed by aspirin at a dose of 100 mg/d</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or clopidogrel at a dose of 75 mg/d for at least six months.</w:t>
      </w:r>
    </w:p>
    <w:bookmarkEnd w:id="29"/>
    <w:bookmarkEnd w:id="30"/>
    <w:p w14:paraId="3FD39D32" w14:textId="77777777" w:rsidR="00A77B3E" w:rsidRPr="00601347" w:rsidRDefault="00A77B3E" w:rsidP="00601347">
      <w:pPr>
        <w:adjustRightInd w:val="0"/>
        <w:snapToGrid w:val="0"/>
        <w:spacing w:line="360" w:lineRule="auto"/>
        <w:ind w:firstLine="480"/>
        <w:jc w:val="both"/>
        <w:rPr>
          <w:rFonts w:ascii="Book Antiqua" w:hAnsi="Book Antiqua"/>
        </w:rPr>
      </w:pPr>
    </w:p>
    <w:p w14:paraId="34426F8A"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RESULTS</w:t>
      </w:r>
    </w:p>
    <w:p w14:paraId="73BDDBF1" w14:textId="73DAD529" w:rsidR="00A77B3E" w:rsidRPr="00601347" w:rsidRDefault="00E91ADF" w:rsidP="00601347">
      <w:pPr>
        <w:adjustRightInd w:val="0"/>
        <w:snapToGrid w:val="0"/>
        <w:spacing w:line="360" w:lineRule="auto"/>
        <w:jc w:val="both"/>
        <w:rPr>
          <w:rFonts w:ascii="Book Antiqua" w:hAnsi="Book Antiqua"/>
        </w:rPr>
      </w:pPr>
      <w:bookmarkStart w:id="31" w:name="OLE_LINK39"/>
      <w:bookmarkStart w:id="32" w:name="OLE_LINK40"/>
      <w:r w:rsidRPr="00601347">
        <w:rPr>
          <w:rFonts w:ascii="Book Antiqua" w:eastAsia="Book Antiqua" w:hAnsi="Book Antiqua" w:cs="Book Antiqua"/>
          <w:b/>
          <w:bCs/>
          <w:i/>
          <w:iCs/>
          <w:color w:val="000000"/>
        </w:rPr>
        <w:t>Patient and surgical characteristics</w:t>
      </w:r>
    </w:p>
    <w:p w14:paraId="55ABB272" w14:textId="75FB0821"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demographic data of the recipients and surgical details are shown in Table 1. The incidence of E-HAT was 2.7% (4 of 147). The median age of these patients was 50 years (range: 36 to 67 years). The patient population consisted of two men and two women. The underlying liver diseases in these patients were hepatocellular carcinoma in two cases, liver cirrhosis in one (unknown cause), and acute hepatic failure in one (unknown cause). One </w:t>
      </w:r>
      <w:r w:rsidR="00AB2F4D" w:rsidRPr="00601347">
        <w:rPr>
          <w:rFonts w:ascii="Book Antiqua" w:eastAsia="Book Antiqua" w:hAnsi="Book Antiqua" w:cs="Book Antiqua"/>
          <w:color w:val="000000"/>
        </w:rPr>
        <w:t>hepatocellular carcinoma</w:t>
      </w:r>
      <w:r w:rsidRPr="00601347">
        <w:rPr>
          <w:rFonts w:ascii="Book Antiqua" w:eastAsia="Book Antiqua" w:hAnsi="Book Antiqua" w:cs="Book Antiqua"/>
          <w:color w:val="000000"/>
        </w:rPr>
        <w:t xml:space="preserve"> case received</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trans-catheter arterial chemoembolization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seven months before transplantation. None of the patients had a history of epigastric surgery. All patients received liver grafts from deceased donors. One of the patients underwent ABO-incompatible transplantation due to acute hepatic failure (hepatic encephalopathy grade 4). Warm ischemia time ranged from 2 min 10 s to 4 min 10 s, while cold ischemia time ranged from 237 min to 441 min.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Artery bifurcation of the CHA and the SA to artery bifurcation of the CHA and the GDA was used for HA anastomosis in three patients, and the trunk of the CHA to the </w:t>
      </w:r>
      <w:r w:rsidRPr="00601347">
        <w:rPr>
          <w:rFonts w:ascii="Book Antiqua" w:eastAsia="Book Antiqua" w:hAnsi="Book Antiqua" w:cs="Book Antiqua"/>
          <w:color w:val="000000"/>
        </w:rPr>
        <w:lastRenderedPageBreak/>
        <w:t>trunk of the CHA in the remaining patient.</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No accessory </w:t>
      </w:r>
      <w:proofErr w:type="gramStart"/>
      <w:r w:rsidRPr="00601347">
        <w:rPr>
          <w:rFonts w:ascii="Book Antiqua" w:eastAsia="Book Antiqua" w:hAnsi="Book Antiqua" w:cs="Book Antiqua"/>
          <w:color w:val="000000"/>
        </w:rPr>
        <w:t>HAs</w:t>
      </w:r>
      <w:proofErr w:type="gramEnd"/>
      <w:r w:rsidRPr="00601347">
        <w:rPr>
          <w:rFonts w:ascii="Book Antiqua" w:eastAsia="Book Antiqua" w:hAnsi="Book Antiqua" w:cs="Book Antiqua"/>
          <w:color w:val="000000"/>
        </w:rPr>
        <w:t xml:space="preserve"> were observed. Continuous</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anastomosis was performed with 7-0 </w:t>
      </w:r>
      <w:proofErr w:type="spellStart"/>
      <w:r w:rsidR="00AB2F4D" w:rsidRPr="00601347">
        <w:rPr>
          <w:rFonts w:ascii="Book Antiqua" w:eastAsia="Book Antiqua" w:hAnsi="Book Antiqua" w:cs="Book Antiqua"/>
          <w:color w:val="000000"/>
        </w:rPr>
        <w:t>p</w:t>
      </w:r>
      <w:r w:rsidRPr="00601347">
        <w:rPr>
          <w:rFonts w:ascii="Book Antiqua" w:eastAsia="Book Antiqua" w:hAnsi="Book Antiqua" w:cs="Book Antiqua"/>
          <w:color w:val="000000"/>
        </w:rPr>
        <w:t>rolene</w:t>
      </w:r>
      <w:proofErr w:type="spellEnd"/>
      <w:r w:rsidRPr="00601347">
        <w:rPr>
          <w:rFonts w:ascii="Book Antiqua" w:eastAsia="Book Antiqua" w:hAnsi="Book Antiqua" w:cs="Book Antiqua"/>
          <w:color w:val="000000"/>
        </w:rPr>
        <w:t xml:space="preserve"> sutures in three patients and 8-0 </w:t>
      </w:r>
      <w:proofErr w:type="spellStart"/>
      <w:r w:rsidR="00AB2F4D" w:rsidRPr="00601347">
        <w:rPr>
          <w:rFonts w:ascii="Book Antiqua" w:eastAsia="Book Antiqua" w:hAnsi="Book Antiqua" w:cs="Book Antiqua"/>
          <w:color w:val="000000"/>
        </w:rPr>
        <w:t>p</w:t>
      </w:r>
      <w:r w:rsidRPr="00601347">
        <w:rPr>
          <w:rFonts w:ascii="Book Antiqua" w:eastAsia="Book Antiqua" w:hAnsi="Book Antiqua" w:cs="Book Antiqua"/>
          <w:color w:val="000000"/>
        </w:rPr>
        <w:t>rolene</w:t>
      </w:r>
      <w:proofErr w:type="spellEnd"/>
      <w:r w:rsidRPr="00601347">
        <w:rPr>
          <w:rFonts w:ascii="Book Antiqua" w:eastAsia="Book Antiqua" w:hAnsi="Book Antiqua" w:cs="Book Antiqua"/>
          <w:color w:val="000000"/>
        </w:rPr>
        <w:t xml:space="preserve"> sutures in one patient.</w:t>
      </w:r>
    </w:p>
    <w:p w14:paraId="30FD01E8" w14:textId="77777777" w:rsidR="00AB2F4D" w:rsidRPr="00601347" w:rsidRDefault="00AB2F4D" w:rsidP="00601347">
      <w:pPr>
        <w:adjustRightInd w:val="0"/>
        <w:snapToGrid w:val="0"/>
        <w:spacing w:line="360" w:lineRule="auto"/>
        <w:jc w:val="both"/>
        <w:rPr>
          <w:rFonts w:ascii="Book Antiqua" w:eastAsia="Book Antiqua" w:hAnsi="Book Antiqua" w:cs="Book Antiqua"/>
          <w:b/>
          <w:bCs/>
          <w:i/>
          <w:iCs/>
          <w:color w:val="000000"/>
        </w:rPr>
      </w:pPr>
    </w:p>
    <w:p w14:paraId="36E9B008" w14:textId="2D30867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Diagnosis and treatment of E-HAT</w:t>
      </w:r>
    </w:p>
    <w:p w14:paraId="3E12FCF8" w14:textId="1865A925"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Details of </w:t>
      </w:r>
      <w:r w:rsidR="00395361">
        <w:rPr>
          <w:rFonts w:ascii="Book Antiqua" w:eastAsia="Book Antiqua" w:hAnsi="Book Antiqua" w:cs="Book Antiqua"/>
          <w:color w:val="000000"/>
        </w:rPr>
        <w:t xml:space="preserve">the </w:t>
      </w:r>
      <w:r w:rsidRPr="00601347">
        <w:rPr>
          <w:rFonts w:ascii="Book Antiqua" w:eastAsia="Book Antiqua" w:hAnsi="Book Antiqua" w:cs="Book Antiqua"/>
          <w:color w:val="000000"/>
        </w:rPr>
        <w:t xml:space="preserve">patients’ diagnosis and treatment are summarized in Table 2. With </w:t>
      </w:r>
      <w:r w:rsidR="00395361">
        <w:rPr>
          <w:rFonts w:ascii="Book Antiqua" w:eastAsia="Book Antiqua" w:hAnsi="Book Antiqua" w:cs="Book Antiqua"/>
          <w:color w:val="000000"/>
        </w:rPr>
        <w:t xml:space="preserve">the </w:t>
      </w:r>
      <w:r w:rsidRPr="00601347">
        <w:rPr>
          <w:rFonts w:ascii="Book Antiqua" w:eastAsia="Book Antiqua" w:hAnsi="Book Antiqua" w:cs="Book Antiqua"/>
          <w:color w:val="000000"/>
        </w:rPr>
        <w:t>routine surveillance mentioned above, E-HAT was considered in four patients when Doppler ultrasonography showed no</w:t>
      </w:r>
      <w:r w:rsidR="003D19CD" w:rsidRPr="00601347">
        <w:rPr>
          <w:rFonts w:ascii="Book Antiqua" w:eastAsia="Book Antiqua" w:hAnsi="Book Antiqua" w:cs="Book Antiqua"/>
          <w:color w:val="000000"/>
        </w:rPr>
        <w:t xml:space="preserve"> blood flow signals 2 to 14 d</w:t>
      </w:r>
      <w:r w:rsidRPr="00601347">
        <w:rPr>
          <w:rFonts w:ascii="Book Antiqua" w:eastAsia="Book Antiqua" w:hAnsi="Book Antiqua" w:cs="Book Antiqua"/>
          <w:color w:val="000000"/>
        </w:rPr>
        <w:t xml:space="preserve"> after LT. A definite diagnosis was immediately confirmed by hepatic arterial angiography which showed complete occlusion of the HA (Figure 1A).</w:t>
      </w:r>
    </w:p>
    <w:p w14:paraId="797F9CAB" w14:textId="223E846E" w:rsidR="00A77B3E" w:rsidRPr="00601347" w:rsidRDefault="00E91ADF" w:rsidP="00601347">
      <w:pPr>
        <w:adjustRightInd w:val="0"/>
        <w:snapToGrid w:val="0"/>
        <w:spacing w:line="360" w:lineRule="auto"/>
        <w:ind w:firstLineChars="200" w:firstLine="480"/>
        <w:jc w:val="both"/>
        <w:rPr>
          <w:rFonts w:ascii="Book Antiqua" w:hAnsi="Book Antiqua"/>
        </w:rPr>
      </w:pPr>
      <w:r w:rsidRPr="00601347">
        <w:rPr>
          <w:rFonts w:ascii="Book Antiqua" w:eastAsia="Book Antiqua" w:hAnsi="Book Antiqua" w:cs="Book Antiqua"/>
          <w:color w:val="000000"/>
        </w:rPr>
        <w:t xml:space="preserve">All four patients with E-HAT were treated with intra-arterial thrombolysis. After selective catheterization, the patients were given temporary thrombolytics </w:t>
      </w:r>
      <w:r w:rsidR="005957E5" w:rsidRPr="00601347">
        <w:rPr>
          <w:rFonts w:ascii="Book Antiqua" w:eastAsia="Book Antiqua" w:hAnsi="Book Antiqua" w:cs="Book Antiqua"/>
          <w:color w:val="000000"/>
        </w:rPr>
        <w:t>[</w:t>
      </w:r>
      <w:r w:rsidRPr="00601347">
        <w:rPr>
          <w:rFonts w:ascii="Book Antiqua" w:eastAsia="Book Antiqua" w:hAnsi="Book Antiqua" w:cs="Book Antiqua"/>
          <w:color w:val="000000"/>
        </w:rPr>
        <w:t>one was treated with urokinase</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(120000</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IU)</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and fibrinogenase</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(10</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mg) yet arterial anastomotic leakage was observed, so</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the others received alteplase</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(12.5-50</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mg) instead</w:t>
      </w:r>
      <w:r w:rsidR="005957E5" w:rsidRPr="00601347">
        <w:rPr>
          <w:rFonts w:ascii="Book Antiqua" w:eastAsia="Book Antiqua" w:hAnsi="Book Antiqua" w:cs="Book Antiqua"/>
          <w:color w:val="000000"/>
        </w:rPr>
        <w:t>]</w:t>
      </w:r>
      <w:r w:rsidRPr="00601347">
        <w:rPr>
          <w:rFonts w:ascii="Book Antiqua" w:eastAsia="Book Antiqua" w:hAnsi="Book Antiqua" w:cs="Book Antiqua"/>
          <w:color w:val="000000"/>
        </w:rPr>
        <w:t> </w:t>
      </w:r>
      <w:r w:rsidRPr="00601347">
        <w:rPr>
          <w:rFonts w:ascii="Book Antiqua" w:eastAsia="Book Antiqua" w:hAnsi="Book Antiqua" w:cs="Book Antiqua"/>
          <w:i/>
          <w:iCs/>
          <w:color w:val="000000"/>
        </w:rPr>
        <w:t>via</w:t>
      </w:r>
      <w:r w:rsidR="00AB2F4D" w:rsidRPr="00601347">
        <w:rPr>
          <w:rFonts w:ascii="Book Antiqua" w:eastAsia="Book Antiqua" w:hAnsi="Book Antiqua" w:cs="Book Antiqua"/>
          <w:i/>
          <w:iCs/>
          <w:color w:val="000000"/>
        </w:rPr>
        <w:t xml:space="preserve"> </w:t>
      </w:r>
      <w:r w:rsidRPr="00601347">
        <w:rPr>
          <w:rFonts w:ascii="Book Antiqua" w:eastAsia="Book Antiqua" w:hAnsi="Book Antiqua" w:cs="Book Antiqua"/>
          <w:color w:val="000000"/>
        </w:rPr>
        <w:t>a 5-Fr catheter which was placed in the proximal part of the thrombosed HA and partial recanalization was observed (Figure 1B). All patients were given alteplase continuously using an infusion pump. Continuous alteplase was administered </w:t>
      </w:r>
      <w:r w:rsidRPr="00601347">
        <w:rPr>
          <w:rFonts w:ascii="Book Antiqua" w:eastAsia="Book Antiqua" w:hAnsi="Book Antiqua" w:cs="Book Antiqua"/>
          <w:i/>
          <w:iCs/>
          <w:color w:val="000000"/>
        </w:rPr>
        <w:t>via </w:t>
      </w:r>
      <w:r w:rsidRPr="00601347">
        <w:rPr>
          <w:rFonts w:ascii="Book Antiqua" w:eastAsia="Book Antiqua" w:hAnsi="Book Antiqua" w:cs="Book Antiqua"/>
          <w:color w:val="000000"/>
        </w:rPr>
        <w:t>a 5-Fr catheter in all patients except one who showed arterial anastomotic leakage during intraoperative thrombolysis (Figure 1C), and was given alteplase </w:t>
      </w:r>
      <w:r w:rsidRPr="00601347">
        <w:rPr>
          <w:rFonts w:ascii="Book Antiqua" w:eastAsia="Book Antiqua" w:hAnsi="Book Antiqua" w:cs="Book Antiqua"/>
          <w:i/>
          <w:iCs/>
          <w:color w:val="000000"/>
        </w:rPr>
        <w:t>via</w:t>
      </w:r>
      <w:r w:rsidR="00AB2F4D" w:rsidRPr="00601347">
        <w:rPr>
          <w:rFonts w:ascii="Book Antiqua" w:eastAsia="Book Antiqua" w:hAnsi="Book Antiqua" w:cs="Book Antiqua"/>
          <w:i/>
          <w:iCs/>
          <w:color w:val="000000"/>
        </w:rPr>
        <w:t xml:space="preserve"> </w:t>
      </w:r>
      <w:r w:rsidRPr="00601347">
        <w:rPr>
          <w:rFonts w:ascii="Book Antiqua" w:eastAsia="Book Antiqua" w:hAnsi="Book Antiqua" w:cs="Book Antiqua"/>
          <w:color w:val="000000"/>
        </w:rPr>
        <w:t>a peripheral vein.</w:t>
      </w:r>
    </w:p>
    <w:p w14:paraId="2FAA3F83" w14:textId="77777777"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Alteplase dose was adjusted according to activated clotting time (</w:t>
      </w:r>
      <w:bookmarkStart w:id="33" w:name="OLE_LINK1"/>
      <w:bookmarkStart w:id="34" w:name="OLE_LINK2"/>
      <w:r w:rsidRPr="00601347">
        <w:rPr>
          <w:rFonts w:ascii="Book Antiqua" w:eastAsia="Book Antiqua" w:hAnsi="Book Antiqua" w:cs="Book Antiqua"/>
          <w:color w:val="000000"/>
        </w:rPr>
        <w:t>ACT</w:t>
      </w:r>
      <w:bookmarkEnd w:id="33"/>
      <w:bookmarkEnd w:id="34"/>
      <w:r w:rsidRPr="00601347">
        <w:rPr>
          <w:rFonts w:ascii="Book Antiqua" w:eastAsia="Book Antiqua" w:hAnsi="Book Antiqua" w:cs="Book Antiqua"/>
          <w:color w:val="000000"/>
        </w:rPr>
        <w:t>), which was maintained between 140 and 180 s. Overall technical success due to endovascular treatment was achieved in 100% of patients. After 8.5-26 h continuous thrombolysis, hepatic arterial arteriography was performed again. Complete recanalization of the HA system was observed in all patients (Figure 1D).</w:t>
      </w:r>
    </w:p>
    <w:p w14:paraId="315353F1" w14:textId="5011073B"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Complications related to intra-arterial thrombolysis were observed in three patients (local puncture site hematoma in one and intraperitoneal hemorrhage in two). During conservative treatment, only one </w:t>
      </w:r>
      <w:r w:rsidR="00395361">
        <w:rPr>
          <w:rFonts w:ascii="Book Antiqua" w:eastAsia="Book Antiqua" w:hAnsi="Book Antiqua" w:cs="Book Antiqua"/>
          <w:color w:val="000000"/>
        </w:rPr>
        <w:t xml:space="preserve">patient with </w:t>
      </w:r>
      <w:r w:rsidRPr="00601347">
        <w:rPr>
          <w:rFonts w:ascii="Book Antiqua" w:eastAsia="Book Antiqua" w:hAnsi="Book Antiqua" w:cs="Book Antiqua"/>
          <w:color w:val="000000"/>
        </w:rPr>
        <w:t xml:space="preserve">intraperitoneal </w:t>
      </w:r>
      <w:r w:rsidRPr="00601347">
        <w:rPr>
          <w:rFonts w:ascii="Book Antiqua" w:eastAsia="Book Antiqua" w:hAnsi="Book Antiqua" w:cs="Book Antiqua"/>
          <w:color w:val="000000"/>
        </w:rPr>
        <w:lastRenderedPageBreak/>
        <w:t>hemorrhage required laparoscopic hemostasis. All four patients recovered and were discharged with normal liver function.</w:t>
      </w:r>
    </w:p>
    <w:p w14:paraId="7D8B02AB" w14:textId="77777777" w:rsidR="00AB2F4D" w:rsidRPr="00601347" w:rsidRDefault="00AB2F4D" w:rsidP="00601347">
      <w:pPr>
        <w:adjustRightInd w:val="0"/>
        <w:snapToGrid w:val="0"/>
        <w:spacing w:line="360" w:lineRule="auto"/>
        <w:jc w:val="both"/>
        <w:rPr>
          <w:rFonts w:ascii="Book Antiqua" w:eastAsia="Book Antiqua" w:hAnsi="Book Antiqua" w:cs="Book Antiqua"/>
          <w:b/>
          <w:bCs/>
          <w:i/>
          <w:iCs/>
          <w:color w:val="000000"/>
        </w:rPr>
      </w:pPr>
    </w:p>
    <w:p w14:paraId="64C805BD" w14:textId="65B22038"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Analysis of patient prognosis </w:t>
      </w:r>
    </w:p>
    <w:p w14:paraId="6890FE8C" w14:textId="3865FF4F"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The follow-up period ranged from</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23 to 30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 the exception of one patient who died of severe thrombocytopenia 5</w:t>
      </w:r>
      <w:r w:rsidR="003D19CD"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after ABO-incompatible LT. All other patients are still alive. Among the surviving patients, one is in a healthy condition without any complications, while the other two experienced delayed biliary complications. Biliary complications were found 4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and 20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after LT, which manifested as bile leakage and biliary stricture. These patients underwent external biliary drainage and endoscopic retrograde cholangiography, and stent implantation, respectively.</w:t>
      </w:r>
    </w:p>
    <w:bookmarkEnd w:id="31"/>
    <w:bookmarkEnd w:id="32"/>
    <w:p w14:paraId="1D82275D" w14:textId="77777777" w:rsidR="00A77B3E" w:rsidRPr="00601347" w:rsidRDefault="00A77B3E" w:rsidP="00601347">
      <w:pPr>
        <w:adjustRightInd w:val="0"/>
        <w:snapToGrid w:val="0"/>
        <w:spacing w:line="360" w:lineRule="auto"/>
        <w:jc w:val="both"/>
        <w:rPr>
          <w:rFonts w:ascii="Book Antiqua" w:hAnsi="Book Antiqua"/>
        </w:rPr>
      </w:pPr>
    </w:p>
    <w:p w14:paraId="252CE0D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DISCUSSION</w:t>
      </w:r>
    </w:p>
    <w:p w14:paraId="45BA91F0" w14:textId="140FCF98" w:rsidR="00A77B3E" w:rsidRPr="00601347" w:rsidRDefault="00E91ADF" w:rsidP="00601347">
      <w:pPr>
        <w:adjustRightInd w:val="0"/>
        <w:snapToGrid w:val="0"/>
        <w:spacing w:line="360" w:lineRule="auto"/>
        <w:jc w:val="both"/>
        <w:rPr>
          <w:rFonts w:ascii="Book Antiqua" w:hAnsi="Book Antiqua"/>
        </w:rPr>
      </w:pPr>
      <w:bookmarkStart w:id="35" w:name="OLE_LINK41"/>
      <w:bookmarkStart w:id="36" w:name="OLE_LINK42"/>
      <w:r w:rsidRPr="00601347">
        <w:rPr>
          <w:rFonts w:ascii="Book Antiqua" w:eastAsia="Book Antiqua" w:hAnsi="Book Antiqua" w:cs="Book Antiqua"/>
          <w:color w:val="000000"/>
        </w:rPr>
        <w:t>E-HAT is a serious complication after LT, which often results in patient death and is the second leading cause of early graft failure after primary non-</w:t>
      </w:r>
      <w:proofErr w:type="gramStart"/>
      <w:r w:rsidRPr="00601347">
        <w:rPr>
          <w:rFonts w:ascii="Book Antiqua" w:eastAsia="Book Antiqua" w:hAnsi="Book Antiqua" w:cs="Book Antiqua"/>
          <w:color w:val="000000"/>
        </w:rPr>
        <w:t>function</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8]</w:t>
      </w:r>
      <w:r w:rsidRPr="00601347">
        <w:rPr>
          <w:rFonts w:ascii="Book Antiqua" w:eastAsia="Book Antiqua" w:hAnsi="Book Antiqua" w:cs="Book Antiqua"/>
          <w:color w:val="000000"/>
        </w:rPr>
        <w:t xml:space="preserve">. Potential risk factors for E-HAT may be surgical or nonsurgical. Careful selection of paired arteries with microsurgical techniques should minimize the possibility of arterial complications. Artery bifurcation is usually used in our unit to expand the anastomotic opening to some extent. While, nonsurgical factors such as the patient’s blood coagulation state, lack of ABO compatibility, preoperative </w:t>
      </w:r>
      <w:r w:rsidR="00AB2F4D" w:rsidRPr="00601347">
        <w:rPr>
          <w:rFonts w:ascii="Book Antiqua" w:eastAsia="Book Antiqua" w:hAnsi="Book Antiqua" w:cs="Book Antiqua"/>
          <w:color w:val="000000"/>
        </w:rPr>
        <w:t>trans-catheter arterial chemoembolization</w:t>
      </w:r>
      <w:r w:rsidRPr="00601347">
        <w:rPr>
          <w:rFonts w:ascii="Book Antiqua" w:eastAsia="Book Antiqua" w:hAnsi="Book Antiqua" w:cs="Book Antiqua"/>
          <w:color w:val="000000"/>
        </w:rPr>
        <w:t>, and multiple anastomoses affect the occurrence of E-</w:t>
      </w:r>
      <w:proofErr w:type="gramStart"/>
      <w:r w:rsidRPr="00601347">
        <w:rPr>
          <w:rFonts w:ascii="Book Antiqua" w:eastAsia="Book Antiqua" w:hAnsi="Book Antiqua" w:cs="Book Antiqua"/>
          <w:color w:val="000000"/>
        </w:rPr>
        <w:t>HAT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3,9</w:t>
      </w:r>
      <w:r w:rsidR="005957E5"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vertAlign w:val="superscript"/>
        </w:rPr>
        <w:t>11]</w:t>
      </w:r>
      <w:r w:rsidRPr="00601347">
        <w:rPr>
          <w:rFonts w:ascii="Book Antiqua" w:eastAsia="Book Antiqua" w:hAnsi="Book Antiqua" w:cs="Book Antiqua"/>
          <w:color w:val="000000"/>
        </w:rPr>
        <w:t>. These patients are considered to be</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at high-risk, and more intensive monitoring and a reasonable anticoagulant scheme should be adopted after LT. To reduce the incidence of graft failure and life-threatening vascular occlusion events, some LT centers even use perioperative anticoagulation practices for</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pediatric </w:t>
      </w:r>
      <w:proofErr w:type="gramStart"/>
      <w:r w:rsidRPr="00601347">
        <w:rPr>
          <w:rFonts w:ascii="Book Antiqua" w:eastAsia="Book Antiqua" w:hAnsi="Book Antiqua" w:cs="Book Antiqua"/>
          <w:color w:val="000000"/>
        </w:rPr>
        <w:t>LT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12]</w:t>
      </w:r>
      <w:r w:rsidRPr="00601347">
        <w:rPr>
          <w:rFonts w:ascii="Book Antiqua" w:eastAsia="Book Antiqua" w:hAnsi="Book Antiqua" w:cs="Book Antiqua"/>
          <w:color w:val="000000"/>
        </w:rPr>
        <w:t>. Early diagnosis and treatment of E-HAT are most important for graft salvage and patient survival.</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In our unit, routine surveillance of HA anastomoses with Doppler </w:t>
      </w:r>
      <w:r w:rsidRPr="00601347">
        <w:rPr>
          <w:rFonts w:ascii="Book Antiqua" w:eastAsia="Book Antiqua" w:hAnsi="Book Antiqua" w:cs="Book Antiqua"/>
          <w:color w:val="000000"/>
        </w:rPr>
        <w:lastRenderedPageBreak/>
        <w:t>ultrasonography is undertaken periodically after surgery, which leads to early detection of E-HAT and creates the best opportunity for treatment.</w:t>
      </w:r>
    </w:p>
    <w:p w14:paraId="217D8B5E" w14:textId="384F3681" w:rsidR="00A77B3E" w:rsidRPr="00601347" w:rsidRDefault="00E91ADF" w:rsidP="00601347">
      <w:pPr>
        <w:adjustRightInd w:val="0"/>
        <w:snapToGrid w:val="0"/>
        <w:spacing w:line="360" w:lineRule="auto"/>
        <w:ind w:firstLineChars="200" w:firstLine="480"/>
        <w:jc w:val="both"/>
        <w:rPr>
          <w:rFonts w:ascii="Book Antiqua" w:hAnsi="Book Antiqua"/>
        </w:rPr>
      </w:pPr>
      <w:r w:rsidRPr="00601347">
        <w:rPr>
          <w:rFonts w:ascii="Book Antiqua" w:eastAsia="Book Antiqua" w:hAnsi="Book Antiqua" w:cs="Book Antiqua"/>
          <w:color w:val="000000"/>
        </w:rPr>
        <w:t>In the current study, the incidence of E-HAT after deceased donor LT was 2.7% (4 of 147), which was similar to the results in previous reports of 2% to 9</w:t>
      </w:r>
      <w:proofErr w:type="gramStart"/>
      <w:r w:rsidRPr="00601347">
        <w:rPr>
          <w:rFonts w:ascii="Book Antiqua" w:eastAsia="Book Antiqua" w:hAnsi="Book Antiqua" w:cs="Book Antiqua"/>
          <w:color w:val="000000"/>
        </w:rPr>
        <w: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1,2]</w:t>
      </w:r>
      <w:r w:rsidRPr="00601347">
        <w:rPr>
          <w:rFonts w:ascii="Book Antiqua" w:eastAsia="Book Antiqua" w:hAnsi="Book Antiqua" w:cs="Book Antiqua"/>
          <w:color w:val="000000"/>
        </w:rPr>
        <w:t>. E-HAT is diagnosed within the first 21 d after transplantation. In the current study, the median interval from deceased donor LT to the occurrence of E-HAT was 7 d (</w:t>
      </w:r>
      <w:r w:rsidR="00395361">
        <w:rPr>
          <w:rFonts w:ascii="Book Antiqua" w:eastAsia="Book Antiqua" w:hAnsi="Book Antiqua" w:cs="Book Antiqua"/>
          <w:color w:val="000000"/>
        </w:rPr>
        <w:t>r</w:t>
      </w:r>
      <w:r w:rsidR="003D19CD" w:rsidRPr="00601347">
        <w:rPr>
          <w:rFonts w:ascii="Book Antiqua" w:eastAsia="Book Antiqua" w:hAnsi="Book Antiqua" w:cs="Book Antiqua"/>
          <w:color w:val="000000"/>
        </w:rPr>
        <w:t>ange</w:t>
      </w:r>
      <w:r w:rsidRPr="00601347">
        <w:rPr>
          <w:rFonts w:ascii="Book Antiqua" w:eastAsia="Book Antiqua" w:hAnsi="Book Antiqua" w:cs="Book Antiqua"/>
          <w:color w:val="000000"/>
        </w:rPr>
        <w:t xml:space="preserve">: 2 to 14 d), and all cases were classified as E-HAT. Early HAT after liver transplantation has been associated with a high mortality rate of 34.3% in </w:t>
      </w:r>
      <w:proofErr w:type="gramStart"/>
      <w:r w:rsidRPr="00601347">
        <w:rPr>
          <w:rFonts w:ascii="Book Antiqua" w:eastAsia="Book Antiqua" w:hAnsi="Book Antiqua" w:cs="Book Antiqua"/>
          <w:color w:val="000000"/>
        </w:rPr>
        <w:t>adults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13]</w:t>
      </w:r>
      <w:r w:rsidRPr="00601347">
        <w:rPr>
          <w:rFonts w:ascii="Book Antiqua" w:eastAsia="Book Antiqua" w:hAnsi="Book Antiqua" w:cs="Book Antiqua"/>
          <w:color w:val="000000"/>
        </w:rPr>
        <w:t xml:space="preserve">. As the hepatic parenchyma and biliary duct rely on the plexus of blood vessels derived from only the anastomosed graft artery, E-HAT may cause fulminant hepatic necrosis and bile duct necrosis, and frequent uncontrollable sepsis in immunosuppressed recipients, leading to early graft </w:t>
      </w:r>
      <w:proofErr w:type="gramStart"/>
      <w:r w:rsidRPr="00601347">
        <w:rPr>
          <w:rFonts w:ascii="Book Antiqua" w:eastAsia="Book Antiqua" w:hAnsi="Book Antiqua" w:cs="Book Antiqua"/>
          <w:color w:val="000000"/>
        </w:rPr>
        <w:t>failure</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14]</w:t>
      </w:r>
      <w:r w:rsidRPr="00601347">
        <w:rPr>
          <w:rFonts w:ascii="Book Antiqua" w:eastAsia="Book Antiqua" w:hAnsi="Book Antiqua" w:cs="Book Antiqua"/>
          <w:color w:val="000000"/>
        </w:rPr>
        <w:t>.</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However, early detection and management of E-HAT are very important in preventing early graft failure.</w:t>
      </w:r>
    </w:p>
    <w:p w14:paraId="68584D31" w14:textId="68002E0C"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In general, there are three different treatment modalities for E-HAT:</w:t>
      </w:r>
      <w:r w:rsidR="005957E5" w:rsidRPr="00601347">
        <w:rPr>
          <w:rFonts w:ascii="Book Antiqua" w:eastAsia="Book Antiqua" w:hAnsi="Book Antiqua" w:cs="Book Antiqua"/>
          <w:color w:val="000000"/>
        </w:rPr>
        <w:t xml:space="preserve"> </w:t>
      </w:r>
      <w:r w:rsidR="003D19CD" w:rsidRPr="00601347">
        <w:rPr>
          <w:rFonts w:ascii="Book Antiqua" w:eastAsia="Book Antiqua" w:hAnsi="Book Antiqua" w:cs="Book Antiqua"/>
          <w:color w:val="000000"/>
        </w:rPr>
        <w:t>Re</w:t>
      </w:r>
      <w:r w:rsidRPr="00601347">
        <w:rPr>
          <w:rFonts w:ascii="Book Antiqua" w:eastAsia="Book Antiqua" w:hAnsi="Book Antiqua" w:cs="Book Antiqua"/>
          <w:color w:val="000000"/>
        </w:rPr>
        <w:t xml:space="preserve">-transplantation, surgical revascularization, and endovascular revascularization. Although re-transplantation is traditionally the gold standard, in areas with organ shortage such as Asia, timely re-transplantation may not be feasible. In a systematic review of E-HAT after LT, the success rate of a surgical revascularization attempt was 50.9% in adult recipients and re-transplantation was required in 32.3% of patients after an attempt at </w:t>
      </w:r>
      <w:proofErr w:type="gramStart"/>
      <w:r w:rsidRPr="00601347">
        <w:rPr>
          <w:rFonts w:ascii="Book Antiqua" w:eastAsia="Book Antiqua" w:hAnsi="Book Antiqua" w:cs="Book Antiqua"/>
          <w:color w:val="000000"/>
        </w:rPr>
        <w:t>revascularization</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13]</w:t>
      </w:r>
      <w:r w:rsidRPr="00601347">
        <w:rPr>
          <w:rFonts w:ascii="Book Antiqua" w:eastAsia="Book Antiqua" w:hAnsi="Book Antiqua" w:cs="Book Antiqua"/>
          <w:color w:val="000000"/>
        </w:rPr>
        <w:t>. Taking into account the advances in interventional techniques and thrombolytics, we utilized intra-arterial thrombolysis as our first choice therapy for E-HAT after deceased donor LT.</w:t>
      </w:r>
    </w:p>
    <w:p w14:paraId="1E964BE9" w14:textId="425A556A"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There is no consensus on the optimal thrombolytics as they have been successfully used in both temporary and continuous infusions for E-HAT. Some studies indicated the preferred use of urokinase, streptokinase and tissue plasminogen </w:t>
      </w:r>
      <w:proofErr w:type="gramStart"/>
      <w:r w:rsidRPr="00601347">
        <w:rPr>
          <w:rFonts w:ascii="Book Antiqua" w:eastAsia="Book Antiqua" w:hAnsi="Book Antiqua" w:cs="Book Antiqua"/>
          <w:color w:val="000000"/>
        </w:rPr>
        <w:t>activator</w:t>
      </w:r>
      <w:r w:rsidRPr="00601347">
        <w:rPr>
          <w:rFonts w:ascii="Book Antiqua" w:eastAsia="Book Antiqua" w:hAnsi="Book Antiqua" w:cs="Book Antiqua"/>
          <w:color w:val="000000"/>
          <w:vertAlign w:val="superscript"/>
        </w:rPr>
        <w:t>[</w:t>
      </w:r>
      <w:proofErr w:type="gramEnd"/>
      <w:r w:rsidR="00AB2F4D" w:rsidRPr="00601347">
        <w:rPr>
          <w:rFonts w:ascii="Book Antiqua" w:eastAsia="Book Antiqua" w:hAnsi="Book Antiqua" w:cs="Book Antiqua"/>
          <w:color w:val="000000"/>
          <w:vertAlign w:val="superscript"/>
        </w:rPr>
        <w:t>5</w:t>
      </w:r>
      <w:r w:rsidRPr="00601347">
        <w:rPr>
          <w:rFonts w:ascii="Book Antiqua" w:eastAsia="Book Antiqua" w:hAnsi="Book Antiqua" w:cs="Book Antiqua"/>
          <w:color w:val="000000"/>
          <w:vertAlign w:val="superscript"/>
        </w:rPr>
        <w:t>,1</w:t>
      </w:r>
      <w:r w:rsidR="00AB2F4D" w:rsidRPr="00601347">
        <w:rPr>
          <w:rFonts w:ascii="Book Antiqua" w:eastAsia="Book Antiqua" w:hAnsi="Book Antiqua" w:cs="Book Antiqua"/>
          <w:color w:val="000000"/>
          <w:vertAlign w:val="superscript"/>
        </w:rPr>
        <w:t>5</w:t>
      </w:r>
      <w:r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rPr>
        <w:t xml:space="preserve">. Alteplase is the only approved thrombolytic agent for acute ischemic </w:t>
      </w:r>
      <w:proofErr w:type="gramStart"/>
      <w:r w:rsidRPr="00601347">
        <w:rPr>
          <w:rFonts w:ascii="Book Antiqua" w:eastAsia="Book Antiqua" w:hAnsi="Book Antiqua" w:cs="Book Antiqua"/>
          <w:color w:val="000000"/>
        </w:rPr>
        <w:t>stroke</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w:t>
      </w:r>
      <w:r w:rsidR="00AB2F4D" w:rsidRPr="00601347">
        <w:rPr>
          <w:rFonts w:ascii="Book Antiqua" w:eastAsia="Book Antiqua" w:hAnsi="Book Antiqua" w:cs="Book Antiqua"/>
          <w:color w:val="000000"/>
          <w:vertAlign w:val="superscript"/>
        </w:rPr>
        <w:t>6</w:t>
      </w:r>
      <w:r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rPr>
        <w:t xml:space="preserve">. Our earliest use of alteplase was the result of an </w:t>
      </w:r>
      <w:r w:rsidRPr="00601347">
        <w:rPr>
          <w:rFonts w:ascii="Book Antiqua" w:eastAsia="Book Antiqua" w:hAnsi="Book Antiqua" w:cs="Book Antiqua"/>
          <w:color w:val="000000"/>
        </w:rPr>
        <w:lastRenderedPageBreak/>
        <w:t>unsatisfactory thrombolysis effect with urokinase and fibrinolysis, which achieved complete recanalization of the HA system after 14 h continuous infusion. Three further attempts also obtained great results.</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In this study, the E-HAT-associated mortality rate was 0%, suggesting that our treatment strategy using intra-arterial thrombolysis is an acceptable option for E-HAT after deceased donor LT.</w:t>
      </w:r>
    </w:p>
    <w:p w14:paraId="06EAEDD5" w14:textId="69F36C3B"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Hemorrhage is the most commonly reported complication of thrombolysis and is seen in approximately 20% of </w:t>
      </w:r>
      <w:proofErr w:type="gramStart"/>
      <w:r w:rsidRPr="00601347">
        <w:rPr>
          <w:rFonts w:ascii="Book Antiqua" w:eastAsia="Book Antiqua" w:hAnsi="Book Antiqua" w:cs="Book Antiqua"/>
          <w:color w:val="000000"/>
        </w:rPr>
        <w:t>patients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6]</w:t>
      </w:r>
      <w:r w:rsidRPr="00601347">
        <w:rPr>
          <w:rFonts w:ascii="Book Antiqua" w:eastAsia="Book Antiqua" w:hAnsi="Book Antiqua" w:cs="Book Antiqua"/>
          <w:color w:val="000000"/>
        </w:rPr>
        <w:t>. There is no standard monitoring method to assess the degree of thrombolysis. ACT was used in our unit which was controlled between 140 and 180 s, in an attempt to maintain the thrombolysis effect and reduce complications. However, one local puncture site hematoma and two intraperitoneal hemorrhages were observed, and we assume that ACT may be able to control a lower complication rate.</w:t>
      </w:r>
    </w:p>
    <w:p w14:paraId="7DB2C317" w14:textId="6ECCD027"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The HA is the only blood supply to the bile duct system. Decreased HA perfusion can lead to biliary complications such as necrosis, the formation of </w:t>
      </w:r>
      <w:proofErr w:type="spellStart"/>
      <w:r w:rsidRPr="00601347">
        <w:rPr>
          <w:rFonts w:ascii="Book Antiqua" w:eastAsia="Book Antiqua" w:hAnsi="Book Antiqua" w:cs="Book Antiqua"/>
          <w:color w:val="000000"/>
        </w:rPr>
        <w:t>bilomas</w:t>
      </w:r>
      <w:proofErr w:type="spellEnd"/>
      <w:r w:rsidRPr="00601347">
        <w:rPr>
          <w:rFonts w:ascii="Book Antiqua" w:eastAsia="Book Antiqua" w:hAnsi="Book Antiqua" w:cs="Book Antiqua"/>
          <w:color w:val="000000"/>
        </w:rPr>
        <w:t xml:space="preserve">, bile leaks, and the development of non-anastomotic </w:t>
      </w:r>
      <w:proofErr w:type="gramStart"/>
      <w:r w:rsidRPr="00601347">
        <w:rPr>
          <w:rFonts w:ascii="Book Antiqua" w:eastAsia="Book Antiqua" w:hAnsi="Book Antiqua" w:cs="Book Antiqua"/>
          <w:color w:val="000000"/>
        </w:rPr>
        <w:t>strictures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w:t>
      </w:r>
      <w:r w:rsidR="00AB2F4D" w:rsidRPr="00601347">
        <w:rPr>
          <w:rFonts w:ascii="Book Antiqua" w:eastAsia="Book Antiqua" w:hAnsi="Book Antiqua" w:cs="Book Antiqua"/>
          <w:color w:val="000000"/>
          <w:vertAlign w:val="superscript"/>
        </w:rPr>
        <w:t>7</w:t>
      </w:r>
      <w:r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rPr>
        <w:t xml:space="preserve">. For this reason, preparations for biliary complications should be carried out in patients with E-HAT, even if recanalization is successful. Two patients experienced delayed biliary complications 4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and 20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after LT</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in this study,</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which manifested as bile leakage and biliary stricture.</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 active treatment, the patients were in good condition at the last follow-up.</w:t>
      </w:r>
    </w:p>
    <w:bookmarkEnd w:id="35"/>
    <w:bookmarkEnd w:id="36"/>
    <w:p w14:paraId="4DF34AD5" w14:textId="77777777" w:rsidR="00A77B3E" w:rsidRPr="00601347" w:rsidRDefault="00A77B3E" w:rsidP="00601347">
      <w:pPr>
        <w:adjustRightInd w:val="0"/>
        <w:snapToGrid w:val="0"/>
        <w:spacing w:line="360" w:lineRule="auto"/>
        <w:jc w:val="both"/>
        <w:rPr>
          <w:rFonts w:ascii="Book Antiqua" w:hAnsi="Book Antiqua"/>
        </w:rPr>
      </w:pPr>
    </w:p>
    <w:p w14:paraId="098AA26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CONCLUSION</w:t>
      </w:r>
    </w:p>
    <w:p w14:paraId="2685E94B" w14:textId="37A3E66F"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E-HAT is a serious complication after LT, which often results in graft failure and can lead to patient deaths. An early diagnosis of E-HAT is important and follow-up is necessary after meticulous surgery. Doppler ultrasonography is the gold standard for screening protocols. We believe routine surveillance can screen out most cases of E-HAT very early after LT, allowing treatment to avoid graft loss. Unlike the kinks, pseudo-aneurysms or other arterial complications seen </w:t>
      </w:r>
      <w:r w:rsidRPr="00601347">
        <w:rPr>
          <w:rFonts w:ascii="Book Antiqua" w:eastAsia="Book Antiqua" w:hAnsi="Book Antiqua" w:cs="Book Antiqua"/>
          <w:color w:val="000000"/>
        </w:rPr>
        <w:lastRenderedPageBreak/>
        <w:t>following orthotopic LT, E-HAT involves thrombogenesis within hepatic arteries in the normal anatomical location.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Given the high recanalization rate of intra-arterial thrombolysis and no thrombolysis-related mortality in our study, intra-arterial thrombolysis could be considered a first-line treatment for E-HAT after deceased donor LT. Even when intra-arterial thrombolysis has failed, re-anastomosis and re-transplantation are still possible. Due to the high incidence of biliary complications after E-HAT, close follow-up and active treatment are necessary to avoid long-term graft loss. Further research is required to understand and reduce the incidence of E-HAT and subsequent biliary complications following the conservative management of these patients. However, i</w:t>
      </w:r>
      <w:r w:rsidRPr="00601347">
        <w:rPr>
          <w:rFonts w:ascii="Book Antiqua" w:eastAsia="Book Antiqua" w:hAnsi="Book Antiqua" w:cs="Book Antiqua"/>
          <w:color w:val="000000"/>
          <w:shd w:val="clear" w:color="auto" w:fill="FFFFFF"/>
        </w:rPr>
        <w:t xml:space="preserve">t should be noted that this study had some limitations due to </w:t>
      </w:r>
      <w:r w:rsidR="00711E9B">
        <w:rPr>
          <w:rFonts w:ascii="Book Antiqua" w:eastAsia="Book Antiqua" w:hAnsi="Book Antiqua" w:cs="Book Antiqua"/>
          <w:color w:val="000000"/>
          <w:shd w:val="clear" w:color="auto" w:fill="FFFFFF"/>
        </w:rPr>
        <w:t>the</w:t>
      </w:r>
      <w:r w:rsidRPr="00601347">
        <w:rPr>
          <w:rFonts w:ascii="Book Antiqua" w:eastAsia="Book Antiqua" w:hAnsi="Book Antiqua" w:cs="Book Antiqua"/>
          <w:color w:val="000000"/>
          <w:shd w:val="clear" w:color="auto" w:fill="FFFFFF"/>
        </w:rPr>
        <w:t xml:space="preserve"> small number of </w:t>
      </w:r>
      <w:r w:rsidR="00711E9B">
        <w:rPr>
          <w:rFonts w:ascii="Book Antiqua" w:eastAsia="Book Antiqua" w:hAnsi="Book Antiqua" w:cs="Book Antiqua"/>
          <w:color w:val="000000"/>
          <w:shd w:val="clear" w:color="auto" w:fill="FFFFFF"/>
        </w:rPr>
        <w:t>patients</w:t>
      </w:r>
      <w:r w:rsidRPr="00601347">
        <w:rPr>
          <w:rFonts w:ascii="Book Antiqua" w:eastAsia="Book Antiqua" w:hAnsi="Book Antiqua" w:cs="Book Antiqua"/>
          <w:color w:val="000000"/>
          <w:shd w:val="clear" w:color="auto" w:fill="FFFFFF"/>
        </w:rPr>
        <w:t>. Given the low incidence rate of E-HAT and its high mortality, in addition to the restricted donors for re-transplantation in Asian countries, we hope that our experience offers an alternative t</w:t>
      </w:r>
      <w:r w:rsidR="00711E9B">
        <w:rPr>
          <w:rFonts w:ascii="Book Antiqua" w:eastAsia="Book Antiqua" w:hAnsi="Book Antiqua" w:cs="Book Antiqua"/>
          <w:color w:val="000000"/>
          <w:shd w:val="clear" w:color="auto" w:fill="FFFFFF"/>
        </w:rPr>
        <w:t>reatment option</w:t>
      </w:r>
      <w:r w:rsidRPr="00601347">
        <w:rPr>
          <w:rFonts w:ascii="Book Antiqua" w:eastAsia="Book Antiqua" w:hAnsi="Book Antiqua" w:cs="Book Antiqua"/>
          <w:color w:val="000000"/>
          <w:shd w:val="clear" w:color="auto" w:fill="FFFFFF"/>
        </w:rPr>
        <w:t xml:space="preserve"> for E-HAT and leads to better prognosis for such patients.</w:t>
      </w:r>
    </w:p>
    <w:p w14:paraId="7A53B6D6" w14:textId="77777777" w:rsidR="00A77B3E" w:rsidRPr="00601347" w:rsidRDefault="00A77B3E" w:rsidP="00601347">
      <w:pPr>
        <w:adjustRightInd w:val="0"/>
        <w:snapToGrid w:val="0"/>
        <w:spacing w:line="360" w:lineRule="auto"/>
        <w:jc w:val="both"/>
        <w:rPr>
          <w:rFonts w:ascii="Book Antiqua" w:hAnsi="Book Antiqua"/>
        </w:rPr>
      </w:pPr>
    </w:p>
    <w:p w14:paraId="789A32B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ARTICLE HIGHLIGHTS</w:t>
      </w:r>
    </w:p>
    <w:p w14:paraId="4E9883C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background</w:t>
      </w:r>
    </w:p>
    <w:p w14:paraId="4C0529E9" w14:textId="3152B612"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Early hepatic artery thrombosis (E-HAT) is a serious complication after liver transplantation (LT), which often results in graft failure and can lead to patient deaths.</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Besides re-transplantation and re-anastomosis, endovascular treatments </w:t>
      </w:r>
      <w:r w:rsidR="00711E9B">
        <w:rPr>
          <w:rFonts w:ascii="Book Antiqua" w:eastAsia="Book Antiqua" w:hAnsi="Book Antiqua" w:cs="Book Antiqua"/>
          <w:color w:val="000000"/>
        </w:rPr>
        <w:t>have</w:t>
      </w:r>
      <w:r w:rsidRPr="00601347">
        <w:rPr>
          <w:rFonts w:ascii="Book Antiqua" w:eastAsia="Book Antiqua" w:hAnsi="Book Antiqua" w:cs="Book Antiqua"/>
          <w:color w:val="000000"/>
        </w:rPr>
        <w:t xml:space="preserve"> increasingly be</w:t>
      </w:r>
      <w:r w:rsidR="00711E9B">
        <w:rPr>
          <w:rFonts w:ascii="Book Antiqua" w:eastAsia="Book Antiqua" w:hAnsi="Book Antiqua" w:cs="Book Antiqua"/>
          <w:color w:val="000000"/>
        </w:rPr>
        <w:t>en</w:t>
      </w:r>
      <w:r w:rsidRPr="00601347">
        <w:rPr>
          <w:rFonts w:ascii="Book Antiqua" w:eastAsia="Book Antiqua" w:hAnsi="Book Antiqua" w:cs="Book Antiqua"/>
          <w:color w:val="000000"/>
        </w:rPr>
        <w:t xml:space="preserve"> selected in recent years, yet the efficacy of intra-arterial thrombolysis has not yet been demonstrated.</w:t>
      </w:r>
    </w:p>
    <w:p w14:paraId="7D25B2B2" w14:textId="77777777" w:rsidR="00A77B3E" w:rsidRPr="00601347" w:rsidRDefault="00A77B3E" w:rsidP="00601347">
      <w:pPr>
        <w:adjustRightInd w:val="0"/>
        <w:snapToGrid w:val="0"/>
        <w:spacing w:line="360" w:lineRule="auto"/>
        <w:jc w:val="both"/>
        <w:rPr>
          <w:rFonts w:ascii="Book Antiqua" w:hAnsi="Book Antiqua"/>
        </w:rPr>
      </w:pPr>
    </w:p>
    <w:p w14:paraId="2A455BD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motivation</w:t>
      </w:r>
    </w:p>
    <w:p w14:paraId="41E00BD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This study reviews and reports our single-center experience with intra-arterial thrombolysis as the first choice therapy for E-HAT after deceased donor LT.</w:t>
      </w:r>
    </w:p>
    <w:p w14:paraId="4B33D3D5" w14:textId="77777777" w:rsidR="00A77B3E" w:rsidRPr="00601347" w:rsidRDefault="00A77B3E" w:rsidP="00601347">
      <w:pPr>
        <w:adjustRightInd w:val="0"/>
        <w:snapToGrid w:val="0"/>
        <w:spacing w:line="360" w:lineRule="auto"/>
        <w:jc w:val="both"/>
        <w:rPr>
          <w:rFonts w:ascii="Book Antiqua" w:hAnsi="Book Antiqua"/>
        </w:rPr>
      </w:pPr>
    </w:p>
    <w:p w14:paraId="1E527536"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objectives</w:t>
      </w:r>
    </w:p>
    <w:p w14:paraId="5C67627F"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lastRenderedPageBreak/>
        <w:t>To evaluate the feasibility and reasonability of intra-arterial thrombolysis for E-HAT after LT.</w:t>
      </w:r>
    </w:p>
    <w:p w14:paraId="053A7FBA" w14:textId="77777777" w:rsidR="00A77B3E" w:rsidRPr="00601347" w:rsidRDefault="00A77B3E" w:rsidP="00601347">
      <w:pPr>
        <w:adjustRightInd w:val="0"/>
        <w:snapToGrid w:val="0"/>
        <w:spacing w:line="360" w:lineRule="auto"/>
        <w:jc w:val="both"/>
        <w:rPr>
          <w:rFonts w:ascii="Book Antiqua" w:hAnsi="Book Antiqua"/>
        </w:rPr>
      </w:pPr>
    </w:p>
    <w:p w14:paraId="3042B10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methods</w:t>
      </w:r>
    </w:p>
    <w:p w14:paraId="098E24B3" w14:textId="50FDD240"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A total of 147 patients who underwent LT were retrospectively reviewed. The patients who </w:t>
      </w:r>
      <w:r w:rsidR="00711E9B">
        <w:rPr>
          <w:rFonts w:ascii="Book Antiqua" w:eastAsia="Book Antiqua" w:hAnsi="Book Antiqua" w:cs="Book Antiqua"/>
          <w:color w:val="000000"/>
        </w:rPr>
        <w:t xml:space="preserve">were </w:t>
      </w:r>
      <w:r w:rsidRPr="00601347">
        <w:rPr>
          <w:rFonts w:ascii="Book Antiqua" w:eastAsia="Book Antiqua" w:hAnsi="Book Antiqua" w:cs="Book Antiqua"/>
          <w:color w:val="000000"/>
        </w:rPr>
        <w:t>diagnosed with E-HAT underwent intra-arterial thrombolysis with alteplase as the first choice therapy. The method of arterial anastomosis and details of the diagnosis and treatment of E-HAT were collated. The long-term prognosis of E-HAT patients was also recorded. </w:t>
      </w:r>
    </w:p>
    <w:p w14:paraId="2D22A19F" w14:textId="77777777" w:rsidR="00A77B3E" w:rsidRPr="00601347" w:rsidRDefault="00A77B3E" w:rsidP="00601347">
      <w:pPr>
        <w:adjustRightInd w:val="0"/>
        <w:snapToGrid w:val="0"/>
        <w:spacing w:line="360" w:lineRule="auto"/>
        <w:jc w:val="both"/>
        <w:rPr>
          <w:rFonts w:ascii="Book Antiqua" w:hAnsi="Book Antiqua"/>
        </w:rPr>
      </w:pPr>
    </w:p>
    <w:p w14:paraId="249F2C4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results</w:t>
      </w:r>
    </w:p>
    <w:p w14:paraId="097164C7" w14:textId="3477B013"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incidence of E-HAT was 2.7% (4/147). E-HAT was suspected </w:t>
      </w:r>
      <w:r w:rsidR="00711E9B">
        <w:rPr>
          <w:rFonts w:ascii="Book Antiqua" w:eastAsia="Book Antiqua" w:hAnsi="Book Antiqua" w:cs="Book Antiqua"/>
          <w:color w:val="000000"/>
        </w:rPr>
        <w:t>following</w:t>
      </w:r>
      <w:r w:rsidRPr="00601347">
        <w:rPr>
          <w:rFonts w:ascii="Book Antiqua" w:eastAsia="Book Antiqua" w:hAnsi="Book Antiqua" w:cs="Book Antiqua"/>
          <w:color w:val="000000"/>
        </w:rPr>
        <w:t xml:space="preserve"> Doppler ultrasonography and confirmed by hepatic arterial angiography. The patients were given temporary thrombolytics (mainly alteplase) followed by continuous alteplase using an infusion pump. Alteplase dose was adjusted according to activated clotting time. The recanalization rate of intra-arterial thrombolysis in our study was 100%</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(4/4) and no thrombolysis-related mortality was observed. During the follow-up period,</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patient survival rate was 75% (3/4), and biliary complications were present in 50% of patients (2/4).</w:t>
      </w:r>
    </w:p>
    <w:p w14:paraId="5E33CB62" w14:textId="77777777" w:rsidR="00A77B3E" w:rsidRPr="00601347" w:rsidRDefault="00A77B3E" w:rsidP="00601347">
      <w:pPr>
        <w:adjustRightInd w:val="0"/>
        <w:snapToGrid w:val="0"/>
        <w:spacing w:line="360" w:lineRule="auto"/>
        <w:jc w:val="both"/>
        <w:rPr>
          <w:rFonts w:ascii="Book Antiqua" w:hAnsi="Book Antiqua"/>
        </w:rPr>
      </w:pPr>
    </w:p>
    <w:p w14:paraId="040E4513"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conclusions</w:t>
      </w:r>
    </w:p>
    <w:p w14:paraId="327C8E8B" w14:textId="6EAAA60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Intra-arterial thrombolysis can be considered first-line treatment for E-HAT after deceased donor LT. Early diagnosis of E-HAT is important and follow-up is necessary even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if recanalization is successful.</w:t>
      </w:r>
    </w:p>
    <w:p w14:paraId="6F753D84" w14:textId="77777777" w:rsidR="00A77B3E" w:rsidRPr="00601347" w:rsidRDefault="00A77B3E" w:rsidP="00601347">
      <w:pPr>
        <w:adjustRightInd w:val="0"/>
        <w:snapToGrid w:val="0"/>
        <w:spacing w:line="360" w:lineRule="auto"/>
        <w:jc w:val="both"/>
        <w:rPr>
          <w:rFonts w:ascii="Book Antiqua" w:hAnsi="Book Antiqua"/>
        </w:rPr>
      </w:pPr>
    </w:p>
    <w:p w14:paraId="7FC5D4A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perspectives</w:t>
      </w:r>
    </w:p>
    <w:p w14:paraId="637D0E6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Further research is required to understand and reduce the incidence of E-HAT and subsequent biliary complications following the conservative management of these patients.</w:t>
      </w:r>
    </w:p>
    <w:p w14:paraId="4F9F1EC6" w14:textId="77777777" w:rsidR="00A77B3E" w:rsidRPr="00601347" w:rsidRDefault="00A77B3E" w:rsidP="00601347">
      <w:pPr>
        <w:adjustRightInd w:val="0"/>
        <w:snapToGrid w:val="0"/>
        <w:spacing w:line="360" w:lineRule="auto"/>
        <w:jc w:val="both"/>
        <w:rPr>
          <w:rFonts w:ascii="Book Antiqua" w:hAnsi="Book Antiqua"/>
        </w:rPr>
      </w:pPr>
    </w:p>
    <w:p w14:paraId="266C6E1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REFERENCES</w:t>
      </w:r>
    </w:p>
    <w:p w14:paraId="28C8523B" w14:textId="77777777" w:rsidR="00A77B3E" w:rsidRPr="00601347" w:rsidRDefault="00E91ADF" w:rsidP="00601347">
      <w:pPr>
        <w:adjustRightInd w:val="0"/>
        <w:snapToGrid w:val="0"/>
        <w:spacing w:line="360" w:lineRule="auto"/>
        <w:jc w:val="both"/>
        <w:rPr>
          <w:rFonts w:ascii="Book Antiqua" w:hAnsi="Book Antiqua"/>
        </w:rPr>
      </w:pPr>
      <w:bookmarkStart w:id="37" w:name="OLE_LINK11"/>
      <w:bookmarkStart w:id="38" w:name="OLE_LINK12"/>
      <w:bookmarkStart w:id="39" w:name="OLE_LINK13"/>
      <w:bookmarkStart w:id="40" w:name="OLE_LINK14"/>
      <w:r w:rsidRPr="00601347">
        <w:rPr>
          <w:rFonts w:ascii="Book Antiqua" w:eastAsia="Book Antiqua" w:hAnsi="Book Antiqua" w:cs="Book Antiqua"/>
          <w:color w:val="000000"/>
        </w:rPr>
        <w:t xml:space="preserve">1 </w:t>
      </w:r>
      <w:proofErr w:type="spellStart"/>
      <w:r w:rsidRPr="00601347">
        <w:rPr>
          <w:rFonts w:ascii="Book Antiqua" w:eastAsia="Book Antiqua" w:hAnsi="Book Antiqua" w:cs="Book Antiqua"/>
          <w:b/>
          <w:bCs/>
          <w:color w:val="000000"/>
        </w:rPr>
        <w:t>Proposito</w:t>
      </w:r>
      <w:proofErr w:type="spellEnd"/>
      <w:r w:rsidRPr="00601347">
        <w:rPr>
          <w:rFonts w:ascii="Book Antiqua" w:eastAsia="Book Antiqua" w:hAnsi="Book Antiqua" w:cs="Book Antiqua"/>
          <w:b/>
          <w:bCs/>
          <w:color w:val="000000"/>
        </w:rPr>
        <w:t xml:space="preserve"> D</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Loinaz</w:t>
      </w:r>
      <w:proofErr w:type="spellEnd"/>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Segurola</w:t>
      </w:r>
      <w:proofErr w:type="spellEnd"/>
      <w:r w:rsidRPr="00601347">
        <w:rPr>
          <w:rFonts w:ascii="Book Antiqua" w:eastAsia="Book Antiqua" w:hAnsi="Book Antiqua" w:cs="Book Antiqua"/>
          <w:color w:val="000000"/>
        </w:rPr>
        <w:t xml:space="preserve"> C, Garcia </w:t>
      </w:r>
      <w:proofErr w:type="spellStart"/>
      <w:r w:rsidRPr="00601347">
        <w:rPr>
          <w:rFonts w:ascii="Book Antiqua" w:eastAsia="Book Antiqua" w:hAnsi="Book Antiqua" w:cs="Book Antiqua"/>
          <w:color w:val="000000"/>
        </w:rPr>
        <w:t>Garcìa</w:t>
      </w:r>
      <w:proofErr w:type="spellEnd"/>
      <w:r w:rsidRPr="00601347">
        <w:rPr>
          <w:rFonts w:ascii="Book Antiqua" w:eastAsia="Book Antiqua" w:hAnsi="Book Antiqua" w:cs="Book Antiqua"/>
          <w:color w:val="000000"/>
        </w:rPr>
        <w:t xml:space="preserve"> I, </w:t>
      </w:r>
      <w:proofErr w:type="spellStart"/>
      <w:r w:rsidRPr="00601347">
        <w:rPr>
          <w:rFonts w:ascii="Book Antiqua" w:eastAsia="Book Antiqua" w:hAnsi="Book Antiqua" w:cs="Book Antiqua"/>
          <w:color w:val="000000"/>
        </w:rPr>
        <w:t>Jimènez</w:t>
      </w:r>
      <w:proofErr w:type="spellEnd"/>
      <w:r w:rsidRPr="00601347">
        <w:rPr>
          <w:rFonts w:ascii="Book Antiqua" w:eastAsia="Book Antiqua" w:hAnsi="Book Antiqua" w:cs="Book Antiqua"/>
          <w:color w:val="000000"/>
        </w:rPr>
        <w:t xml:space="preserve"> C, Gonzalez Pinto I, Gomez Sanz R, De La Cruz J, Moreno </w:t>
      </w:r>
      <w:proofErr w:type="spellStart"/>
      <w:r w:rsidRPr="00601347">
        <w:rPr>
          <w:rFonts w:ascii="Book Antiqua" w:eastAsia="Book Antiqua" w:hAnsi="Book Antiqua" w:cs="Book Antiqua"/>
          <w:color w:val="000000"/>
        </w:rPr>
        <w:t>Gonzàlez</w:t>
      </w:r>
      <w:proofErr w:type="spellEnd"/>
      <w:r w:rsidRPr="00601347">
        <w:rPr>
          <w:rFonts w:ascii="Book Antiqua" w:eastAsia="Book Antiqua" w:hAnsi="Book Antiqua" w:cs="Book Antiqua"/>
          <w:color w:val="000000"/>
        </w:rPr>
        <w:t xml:space="preserve"> E. [Assessment of risk factors in the incidence of hepatic artery thrombosis in a consecutive series of 687 Liver transplantations]. </w:t>
      </w:r>
      <w:r w:rsidRPr="00601347">
        <w:rPr>
          <w:rFonts w:ascii="Book Antiqua" w:eastAsia="Book Antiqua" w:hAnsi="Book Antiqua" w:cs="Book Antiqua"/>
          <w:i/>
          <w:iCs/>
          <w:color w:val="000000"/>
        </w:rPr>
        <w:t xml:space="preserve">Ann Ital </w:t>
      </w:r>
      <w:proofErr w:type="spellStart"/>
      <w:r w:rsidRPr="00601347">
        <w:rPr>
          <w:rFonts w:ascii="Book Antiqua" w:eastAsia="Book Antiqua" w:hAnsi="Book Antiqua" w:cs="Book Antiqua"/>
          <w:i/>
          <w:iCs/>
          <w:color w:val="000000"/>
        </w:rPr>
        <w:t>Chir</w:t>
      </w:r>
      <w:proofErr w:type="spellEnd"/>
      <w:r w:rsidRPr="00601347">
        <w:rPr>
          <w:rFonts w:ascii="Book Antiqua" w:eastAsia="Book Antiqua" w:hAnsi="Book Antiqua" w:cs="Book Antiqua"/>
          <w:color w:val="000000"/>
        </w:rPr>
        <w:t xml:space="preserve"> 2001; </w:t>
      </w:r>
      <w:r w:rsidRPr="00601347">
        <w:rPr>
          <w:rFonts w:ascii="Book Antiqua" w:eastAsia="Book Antiqua" w:hAnsi="Book Antiqua" w:cs="Book Antiqua"/>
          <w:b/>
          <w:bCs/>
          <w:color w:val="000000"/>
        </w:rPr>
        <w:t>72</w:t>
      </w:r>
      <w:r w:rsidRPr="00601347">
        <w:rPr>
          <w:rFonts w:ascii="Book Antiqua" w:eastAsia="Book Antiqua" w:hAnsi="Book Antiqua" w:cs="Book Antiqua"/>
          <w:color w:val="000000"/>
        </w:rPr>
        <w:t>: 187-205 [PMID: 11552475]</w:t>
      </w:r>
    </w:p>
    <w:p w14:paraId="28076E2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2 </w:t>
      </w:r>
      <w:proofErr w:type="spellStart"/>
      <w:r w:rsidRPr="00601347">
        <w:rPr>
          <w:rFonts w:ascii="Book Antiqua" w:eastAsia="Book Antiqua" w:hAnsi="Book Antiqua" w:cs="Book Antiqua"/>
          <w:b/>
          <w:bCs/>
          <w:color w:val="000000"/>
        </w:rPr>
        <w:t>Abou</w:t>
      </w:r>
      <w:proofErr w:type="spellEnd"/>
      <w:r w:rsidRPr="00601347">
        <w:rPr>
          <w:rFonts w:ascii="Book Antiqua" w:eastAsia="Book Antiqua" w:hAnsi="Book Antiqua" w:cs="Book Antiqua"/>
          <w:b/>
          <w:bCs/>
          <w:color w:val="000000"/>
        </w:rPr>
        <w:t xml:space="preserve"> Ella KA</w:t>
      </w:r>
      <w:r w:rsidRPr="00601347">
        <w:rPr>
          <w:rFonts w:ascii="Book Antiqua" w:eastAsia="Book Antiqua" w:hAnsi="Book Antiqua" w:cs="Book Antiqua"/>
          <w:color w:val="000000"/>
        </w:rPr>
        <w:t xml:space="preserve">, Al </w:t>
      </w:r>
      <w:proofErr w:type="spellStart"/>
      <w:r w:rsidRPr="00601347">
        <w:rPr>
          <w:rFonts w:ascii="Book Antiqua" w:eastAsia="Book Antiqua" w:hAnsi="Book Antiqua" w:cs="Book Antiqua"/>
          <w:color w:val="000000"/>
        </w:rPr>
        <w:t>Sebayel</w:t>
      </w:r>
      <w:proofErr w:type="spellEnd"/>
      <w:r w:rsidRPr="00601347">
        <w:rPr>
          <w:rFonts w:ascii="Book Antiqua" w:eastAsia="Book Antiqua" w:hAnsi="Book Antiqua" w:cs="Book Antiqua"/>
          <w:color w:val="000000"/>
        </w:rPr>
        <w:t xml:space="preserve"> MI, Ramirez CB, Rabea HM. Hepatic artery thrombosis after orthotopic liver transplantation. </w:t>
      </w:r>
      <w:r w:rsidRPr="00601347">
        <w:rPr>
          <w:rFonts w:ascii="Book Antiqua" w:eastAsia="Book Antiqua" w:hAnsi="Book Antiqua" w:cs="Book Antiqua"/>
          <w:i/>
          <w:iCs/>
          <w:color w:val="000000"/>
        </w:rPr>
        <w:t>Saudi Med J</w:t>
      </w:r>
      <w:r w:rsidRPr="00601347">
        <w:rPr>
          <w:rFonts w:ascii="Book Antiqua" w:eastAsia="Book Antiqua" w:hAnsi="Book Antiqua" w:cs="Book Antiqua"/>
          <w:color w:val="000000"/>
        </w:rPr>
        <w:t xml:space="preserve"> 2001; </w:t>
      </w:r>
      <w:r w:rsidRPr="00601347">
        <w:rPr>
          <w:rFonts w:ascii="Book Antiqua" w:eastAsia="Book Antiqua" w:hAnsi="Book Antiqua" w:cs="Book Antiqua"/>
          <w:b/>
          <w:bCs/>
          <w:color w:val="000000"/>
        </w:rPr>
        <w:t>22</w:t>
      </w:r>
      <w:r w:rsidRPr="00601347">
        <w:rPr>
          <w:rFonts w:ascii="Book Antiqua" w:eastAsia="Book Antiqua" w:hAnsi="Book Antiqua" w:cs="Book Antiqua"/>
          <w:color w:val="000000"/>
        </w:rPr>
        <w:t>: 211-214 [PMID: 11307104]</w:t>
      </w:r>
    </w:p>
    <w:p w14:paraId="4019F4BC" w14:textId="1D82074D"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3 </w:t>
      </w:r>
      <w:proofErr w:type="spellStart"/>
      <w:r w:rsidRPr="00601347">
        <w:rPr>
          <w:rFonts w:ascii="Book Antiqua" w:eastAsia="Book Antiqua" w:hAnsi="Book Antiqua" w:cs="Book Antiqua"/>
          <w:b/>
          <w:bCs/>
          <w:color w:val="000000"/>
        </w:rPr>
        <w:t>Mourad</w:t>
      </w:r>
      <w:proofErr w:type="spellEnd"/>
      <w:r w:rsidRPr="00601347">
        <w:rPr>
          <w:rFonts w:ascii="Book Antiqua" w:eastAsia="Book Antiqua" w:hAnsi="Book Antiqua" w:cs="Book Antiqua"/>
          <w:b/>
          <w:bCs/>
          <w:color w:val="000000"/>
        </w:rPr>
        <w:t xml:space="preserve"> MM</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Liossis</w:t>
      </w:r>
      <w:proofErr w:type="spellEnd"/>
      <w:r w:rsidRPr="00601347">
        <w:rPr>
          <w:rFonts w:ascii="Book Antiqua" w:eastAsia="Book Antiqua" w:hAnsi="Book Antiqua" w:cs="Book Antiqua"/>
          <w:color w:val="000000"/>
        </w:rPr>
        <w:t xml:space="preserve"> C, </w:t>
      </w:r>
      <w:proofErr w:type="spellStart"/>
      <w:r w:rsidRPr="00601347">
        <w:rPr>
          <w:rFonts w:ascii="Book Antiqua" w:eastAsia="Book Antiqua" w:hAnsi="Book Antiqua" w:cs="Book Antiqua"/>
          <w:color w:val="000000"/>
        </w:rPr>
        <w:t>Gunson</w:t>
      </w:r>
      <w:proofErr w:type="spellEnd"/>
      <w:r w:rsidRPr="00601347">
        <w:rPr>
          <w:rFonts w:ascii="Book Antiqua" w:eastAsia="Book Antiqua" w:hAnsi="Book Antiqua" w:cs="Book Antiqua"/>
          <w:color w:val="000000"/>
        </w:rPr>
        <w:t xml:space="preserve"> BK, </w:t>
      </w:r>
      <w:proofErr w:type="spellStart"/>
      <w:r w:rsidRPr="00601347">
        <w:rPr>
          <w:rFonts w:ascii="Book Antiqua" w:eastAsia="Book Antiqua" w:hAnsi="Book Antiqua" w:cs="Book Antiqua"/>
          <w:color w:val="000000"/>
        </w:rPr>
        <w:t>Mergental</w:t>
      </w:r>
      <w:proofErr w:type="spellEnd"/>
      <w:r w:rsidRPr="00601347">
        <w:rPr>
          <w:rFonts w:ascii="Book Antiqua" w:eastAsia="Book Antiqua" w:hAnsi="Book Antiqua" w:cs="Book Antiqua"/>
          <w:color w:val="000000"/>
        </w:rPr>
        <w:t xml:space="preserve"> H, Isaac J, </w:t>
      </w:r>
      <w:proofErr w:type="spellStart"/>
      <w:r w:rsidRPr="00601347">
        <w:rPr>
          <w:rFonts w:ascii="Book Antiqua" w:eastAsia="Book Antiqua" w:hAnsi="Book Antiqua" w:cs="Book Antiqua"/>
          <w:color w:val="000000"/>
        </w:rPr>
        <w:t>Muiesan</w:t>
      </w:r>
      <w:proofErr w:type="spellEnd"/>
      <w:r w:rsidRPr="00601347">
        <w:rPr>
          <w:rFonts w:ascii="Book Antiqua" w:eastAsia="Book Antiqua" w:hAnsi="Book Antiqua" w:cs="Book Antiqua"/>
          <w:color w:val="000000"/>
        </w:rPr>
        <w:t xml:space="preserve"> P, Mirza DF, </w:t>
      </w:r>
      <w:proofErr w:type="spellStart"/>
      <w:r w:rsidRPr="00601347">
        <w:rPr>
          <w:rFonts w:ascii="Book Antiqua" w:eastAsia="Book Antiqua" w:hAnsi="Book Antiqua" w:cs="Book Antiqua"/>
          <w:color w:val="000000"/>
        </w:rPr>
        <w:t>Perera</w:t>
      </w:r>
      <w:proofErr w:type="spellEnd"/>
      <w:r w:rsidRPr="00601347">
        <w:rPr>
          <w:rFonts w:ascii="Book Antiqua" w:eastAsia="Book Antiqua" w:hAnsi="Book Antiqua" w:cs="Book Antiqua"/>
          <w:color w:val="000000"/>
        </w:rPr>
        <w:t xml:space="preserve"> MT, Bramhall SR. Etiology and management of hepatic artery thrombosis after adult liver transplantation. </w:t>
      </w:r>
      <w:r w:rsidRPr="00601347">
        <w:rPr>
          <w:rFonts w:ascii="Book Antiqua" w:eastAsia="Book Antiqua" w:hAnsi="Book Antiqua" w:cs="Book Antiqua"/>
          <w:i/>
          <w:iCs/>
          <w:color w:val="000000"/>
        </w:rPr>
        <w:t xml:space="preserve">Liver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color w:val="000000"/>
        </w:rPr>
        <w:t xml:space="preserve"> 2014; </w:t>
      </w:r>
      <w:r w:rsidRPr="00601347">
        <w:rPr>
          <w:rFonts w:ascii="Book Antiqua" w:eastAsia="Book Antiqua" w:hAnsi="Book Antiqua" w:cs="Book Antiqua"/>
          <w:b/>
          <w:bCs/>
          <w:color w:val="000000"/>
        </w:rPr>
        <w:t>20</w:t>
      </w:r>
      <w:r w:rsidRPr="00601347">
        <w:rPr>
          <w:rFonts w:ascii="Book Antiqua" w:eastAsia="Book Antiqua" w:hAnsi="Book Antiqua" w:cs="Book Antiqua"/>
          <w:color w:val="000000"/>
        </w:rPr>
        <w:t>: 713-723 [PMID: 24652787 DOI: 10.1002/</w:t>
      </w:r>
      <w:r w:rsidR="00F6472C" w:rsidRPr="00601347">
        <w:rPr>
          <w:rFonts w:ascii="Book Antiqua" w:eastAsia="Book Antiqua" w:hAnsi="Book Antiqua" w:cs="Book Antiqua"/>
          <w:color w:val="000000"/>
        </w:rPr>
        <w:t>l</w:t>
      </w:r>
      <w:r w:rsidRPr="00601347">
        <w:rPr>
          <w:rFonts w:ascii="Book Antiqua" w:eastAsia="Book Antiqua" w:hAnsi="Book Antiqua" w:cs="Book Antiqua"/>
          <w:color w:val="000000"/>
        </w:rPr>
        <w:t>t.23874]</w:t>
      </w:r>
    </w:p>
    <w:p w14:paraId="3ECEA1F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4 </w:t>
      </w:r>
      <w:proofErr w:type="spellStart"/>
      <w:r w:rsidRPr="00601347">
        <w:rPr>
          <w:rFonts w:ascii="Book Antiqua" w:eastAsia="Book Antiqua" w:hAnsi="Book Antiqua" w:cs="Book Antiqua"/>
          <w:b/>
          <w:bCs/>
          <w:color w:val="000000"/>
        </w:rPr>
        <w:t>Stange</w:t>
      </w:r>
      <w:proofErr w:type="spellEnd"/>
      <w:r w:rsidRPr="00601347">
        <w:rPr>
          <w:rFonts w:ascii="Book Antiqua" w:eastAsia="Book Antiqua" w:hAnsi="Book Antiqua" w:cs="Book Antiqua"/>
          <w:b/>
          <w:bCs/>
          <w:color w:val="000000"/>
        </w:rPr>
        <w:t xml:space="preserve"> B</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Settmacher</w:t>
      </w:r>
      <w:proofErr w:type="spellEnd"/>
      <w:r w:rsidRPr="00601347">
        <w:rPr>
          <w:rFonts w:ascii="Book Antiqua" w:eastAsia="Book Antiqua" w:hAnsi="Book Antiqua" w:cs="Book Antiqua"/>
          <w:color w:val="000000"/>
        </w:rPr>
        <w:t xml:space="preserve"> U, </w:t>
      </w:r>
      <w:proofErr w:type="spellStart"/>
      <w:r w:rsidRPr="00601347">
        <w:rPr>
          <w:rFonts w:ascii="Book Antiqua" w:eastAsia="Book Antiqua" w:hAnsi="Book Antiqua" w:cs="Book Antiqua"/>
          <w:color w:val="000000"/>
        </w:rPr>
        <w:t>Glanemann</w:t>
      </w:r>
      <w:proofErr w:type="spellEnd"/>
      <w:r w:rsidRPr="00601347">
        <w:rPr>
          <w:rFonts w:ascii="Book Antiqua" w:eastAsia="Book Antiqua" w:hAnsi="Book Antiqua" w:cs="Book Antiqua"/>
          <w:color w:val="000000"/>
        </w:rPr>
        <w:t xml:space="preserve"> M, </w:t>
      </w:r>
      <w:proofErr w:type="spellStart"/>
      <w:r w:rsidRPr="00601347">
        <w:rPr>
          <w:rFonts w:ascii="Book Antiqua" w:eastAsia="Book Antiqua" w:hAnsi="Book Antiqua" w:cs="Book Antiqua"/>
          <w:color w:val="000000"/>
        </w:rPr>
        <w:t>Nüssler</w:t>
      </w:r>
      <w:proofErr w:type="spellEnd"/>
      <w:r w:rsidRPr="00601347">
        <w:rPr>
          <w:rFonts w:ascii="Book Antiqua" w:eastAsia="Book Antiqua" w:hAnsi="Book Antiqua" w:cs="Book Antiqua"/>
          <w:color w:val="000000"/>
        </w:rPr>
        <w:t xml:space="preserve"> NC, </w:t>
      </w:r>
      <w:proofErr w:type="spellStart"/>
      <w:r w:rsidRPr="00601347">
        <w:rPr>
          <w:rFonts w:ascii="Book Antiqua" w:eastAsia="Book Antiqua" w:hAnsi="Book Antiqua" w:cs="Book Antiqua"/>
          <w:color w:val="000000"/>
        </w:rPr>
        <w:t>Bechstein</w:t>
      </w:r>
      <w:proofErr w:type="spellEnd"/>
      <w:r w:rsidRPr="00601347">
        <w:rPr>
          <w:rFonts w:ascii="Book Antiqua" w:eastAsia="Book Antiqua" w:hAnsi="Book Antiqua" w:cs="Book Antiqua"/>
          <w:color w:val="000000"/>
        </w:rPr>
        <w:t xml:space="preserve"> WO, </w:t>
      </w:r>
      <w:proofErr w:type="spellStart"/>
      <w:r w:rsidRPr="00601347">
        <w:rPr>
          <w:rFonts w:ascii="Book Antiqua" w:eastAsia="Book Antiqua" w:hAnsi="Book Antiqua" w:cs="Book Antiqua"/>
          <w:color w:val="000000"/>
        </w:rPr>
        <w:t>Neuhaus</w:t>
      </w:r>
      <w:proofErr w:type="spellEnd"/>
      <w:r w:rsidRPr="00601347">
        <w:rPr>
          <w:rFonts w:ascii="Book Antiqua" w:eastAsia="Book Antiqua" w:hAnsi="Book Antiqua" w:cs="Book Antiqua"/>
          <w:color w:val="000000"/>
        </w:rPr>
        <w:t xml:space="preserve"> P. Hepatic artery thrombosis after orthotopic liver transplantation. </w:t>
      </w:r>
      <w:r w:rsidRPr="00601347">
        <w:rPr>
          <w:rFonts w:ascii="Book Antiqua" w:eastAsia="Book Antiqua" w:hAnsi="Book Antiqua" w:cs="Book Antiqua"/>
          <w:i/>
          <w:iCs/>
          <w:color w:val="000000"/>
        </w:rPr>
        <w:t>Transplant Proc</w:t>
      </w:r>
      <w:r w:rsidRPr="00601347">
        <w:rPr>
          <w:rFonts w:ascii="Book Antiqua" w:eastAsia="Book Antiqua" w:hAnsi="Book Antiqua" w:cs="Book Antiqua"/>
          <w:color w:val="000000"/>
        </w:rPr>
        <w:t xml:space="preserve"> 2001; </w:t>
      </w:r>
      <w:r w:rsidRPr="00601347">
        <w:rPr>
          <w:rFonts w:ascii="Book Antiqua" w:eastAsia="Book Antiqua" w:hAnsi="Book Antiqua" w:cs="Book Antiqua"/>
          <w:b/>
          <w:bCs/>
          <w:color w:val="000000"/>
        </w:rPr>
        <w:t>33</w:t>
      </w:r>
      <w:r w:rsidRPr="00601347">
        <w:rPr>
          <w:rFonts w:ascii="Book Antiqua" w:eastAsia="Book Antiqua" w:hAnsi="Book Antiqua" w:cs="Book Antiqua"/>
          <w:color w:val="000000"/>
        </w:rPr>
        <w:t>: 1408-1409 [PMID: 11267349 DOI: 10.1016/s0041-1345(00)02530-6]</w:t>
      </w:r>
    </w:p>
    <w:p w14:paraId="1828807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5 </w:t>
      </w:r>
      <w:proofErr w:type="spellStart"/>
      <w:r w:rsidRPr="00601347">
        <w:rPr>
          <w:rFonts w:ascii="Book Antiqua" w:eastAsia="Book Antiqua" w:hAnsi="Book Antiqua" w:cs="Book Antiqua"/>
          <w:b/>
          <w:bCs/>
          <w:color w:val="000000"/>
        </w:rPr>
        <w:t>Abdelaziz</w:t>
      </w:r>
      <w:proofErr w:type="spellEnd"/>
      <w:r w:rsidRPr="00601347">
        <w:rPr>
          <w:rFonts w:ascii="Book Antiqua" w:eastAsia="Book Antiqua" w:hAnsi="Book Antiqua" w:cs="Book Antiqua"/>
          <w:b/>
          <w:bCs/>
          <w:color w:val="000000"/>
        </w:rPr>
        <w:t xml:space="preserve"> O</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Hosny</w:t>
      </w:r>
      <w:proofErr w:type="spellEnd"/>
      <w:r w:rsidRPr="00601347">
        <w:rPr>
          <w:rFonts w:ascii="Book Antiqua" w:eastAsia="Book Antiqua" w:hAnsi="Book Antiqua" w:cs="Book Antiqua"/>
          <w:color w:val="000000"/>
        </w:rPr>
        <w:t xml:space="preserve"> K, Amin A, </w:t>
      </w:r>
      <w:proofErr w:type="spellStart"/>
      <w:r w:rsidRPr="00601347">
        <w:rPr>
          <w:rFonts w:ascii="Book Antiqua" w:eastAsia="Book Antiqua" w:hAnsi="Book Antiqua" w:cs="Book Antiqua"/>
          <w:color w:val="000000"/>
        </w:rPr>
        <w:t>Emadeldin</w:t>
      </w:r>
      <w:proofErr w:type="spellEnd"/>
      <w:r w:rsidRPr="00601347">
        <w:rPr>
          <w:rFonts w:ascii="Book Antiqua" w:eastAsia="Book Antiqua" w:hAnsi="Book Antiqua" w:cs="Book Antiqua"/>
          <w:color w:val="000000"/>
        </w:rPr>
        <w:t xml:space="preserve"> S, </w:t>
      </w:r>
      <w:proofErr w:type="spellStart"/>
      <w:r w:rsidRPr="00601347">
        <w:rPr>
          <w:rFonts w:ascii="Book Antiqua" w:eastAsia="Book Antiqua" w:hAnsi="Book Antiqua" w:cs="Book Antiqua"/>
          <w:color w:val="000000"/>
        </w:rPr>
        <w:t>Uemoto</w:t>
      </w:r>
      <w:proofErr w:type="spellEnd"/>
      <w:r w:rsidRPr="00601347">
        <w:rPr>
          <w:rFonts w:ascii="Book Antiqua" w:eastAsia="Book Antiqua" w:hAnsi="Book Antiqua" w:cs="Book Antiqua"/>
          <w:color w:val="000000"/>
        </w:rPr>
        <w:t xml:space="preserve"> S, Mostafa M. Endovascular management of early hepatic artery thrombosis after living donor liver transplantation.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2012; </w:t>
      </w:r>
      <w:r w:rsidRPr="00601347">
        <w:rPr>
          <w:rFonts w:ascii="Book Antiqua" w:eastAsia="Book Antiqua" w:hAnsi="Book Antiqua" w:cs="Book Antiqua"/>
          <w:b/>
          <w:bCs/>
          <w:color w:val="000000"/>
        </w:rPr>
        <w:t>25</w:t>
      </w:r>
      <w:r w:rsidRPr="00601347">
        <w:rPr>
          <w:rFonts w:ascii="Book Antiqua" w:eastAsia="Book Antiqua" w:hAnsi="Book Antiqua" w:cs="Book Antiqua"/>
          <w:color w:val="000000"/>
        </w:rPr>
        <w:t>: 847-856 [PMID: 22708507 DOI: 10.1111/j.1432-2277.2012.01509.x]</w:t>
      </w:r>
    </w:p>
    <w:p w14:paraId="64D5E345"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6 </w:t>
      </w:r>
      <w:proofErr w:type="spellStart"/>
      <w:r w:rsidRPr="00601347">
        <w:rPr>
          <w:rFonts w:ascii="Book Antiqua" w:eastAsia="Book Antiqua" w:hAnsi="Book Antiqua" w:cs="Book Antiqua"/>
          <w:b/>
          <w:bCs/>
          <w:color w:val="000000"/>
        </w:rPr>
        <w:t>Sommacale</w:t>
      </w:r>
      <w:proofErr w:type="spellEnd"/>
      <w:r w:rsidRPr="00601347">
        <w:rPr>
          <w:rFonts w:ascii="Book Antiqua" w:eastAsia="Book Antiqua" w:hAnsi="Book Antiqua" w:cs="Book Antiqua"/>
          <w:b/>
          <w:bCs/>
          <w:color w:val="000000"/>
        </w:rPr>
        <w:t xml:space="preserve"> D</w:t>
      </w:r>
      <w:r w:rsidRPr="00601347">
        <w:rPr>
          <w:rFonts w:ascii="Book Antiqua" w:eastAsia="Book Antiqua" w:hAnsi="Book Antiqua" w:cs="Book Antiqua"/>
          <w:color w:val="000000"/>
        </w:rPr>
        <w:t xml:space="preserve">, Aoyagi T, </w:t>
      </w:r>
      <w:proofErr w:type="spellStart"/>
      <w:r w:rsidRPr="00601347">
        <w:rPr>
          <w:rFonts w:ascii="Book Antiqua" w:eastAsia="Book Antiqua" w:hAnsi="Book Antiqua" w:cs="Book Antiqua"/>
          <w:color w:val="000000"/>
        </w:rPr>
        <w:t>Dondero</w:t>
      </w:r>
      <w:proofErr w:type="spellEnd"/>
      <w:r w:rsidRPr="00601347">
        <w:rPr>
          <w:rFonts w:ascii="Book Antiqua" w:eastAsia="Book Antiqua" w:hAnsi="Book Antiqua" w:cs="Book Antiqua"/>
          <w:color w:val="000000"/>
        </w:rPr>
        <w:t xml:space="preserve"> F, </w:t>
      </w:r>
      <w:proofErr w:type="spellStart"/>
      <w:r w:rsidRPr="00601347">
        <w:rPr>
          <w:rFonts w:ascii="Book Antiqua" w:eastAsia="Book Antiqua" w:hAnsi="Book Antiqua" w:cs="Book Antiqua"/>
          <w:color w:val="000000"/>
        </w:rPr>
        <w:t>Sibert</w:t>
      </w:r>
      <w:proofErr w:type="spellEnd"/>
      <w:r w:rsidRPr="00601347">
        <w:rPr>
          <w:rFonts w:ascii="Book Antiqua" w:eastAsia="Book Antiqua" w:hAnsi="Book Antiqua" w:cs="Book Antiqua"/>
          <w:color w:val="000000"/>
        </w:rPr>
        <w:t xml:space="preserve"> A, Bruno O, </w:t>
      </w:r>
      <w:proofErr w:type="spellStart"/>
      <w:r w:rsidRPr="00601347">
        <w:rPr>
          <w:rFonts w:ascii="Book Antiqua" w:eastAsia="Book Antiqua" w:hAnsi="Book Antiqua" w:cs="Book Antiqua"/>
          <w:color w:val="000000"/>
        </w:rPr>
        <w:t>Fteriche</w:t>
      </w:r>
      <w:proofErr w:type="spellEnd"/>
      <w:r w:rsidRPr="00601347">
        <w:rPr>
          <w:rFonts w:ascii="Book Antiqua" w:eastAsia="Book Antiqua" w:hAnsi="Book Antiqua" w:cs="Book Antiqua"/>
          <w:color w:val="000000"/>
        </w:rPr>
        <w:t xml:space="preserve"> S, </w:t>
      </w:r>
      <w:proofErr w:type="spellStart"/>
      <w:r w:rsidRPr="00601347">
        <w:rPr>
          <w:rFonts w:ascii="Book Antiqua" w:eastAsia="Book Antiqua" w:hAnsi="Book Antiqua" w:cs="Book Antiqua"/>
          <w:color w:val="000000"/>
        </w:rPr>
        <w:t>Francoz</w:t>
      </w:r>
      <w:proofErr w:type="spellEnd"/>
      <w:r w:rsidRPr="00601347">
        <w:rPr>
          <w:rFonts w:ascii="Book Antiqua" w:eastAsia="Book Antiqua" w:hAnsi="Book Antiqua" w:cs="Book Antiqua"/>
          <w:color w:val="000000"/>
        </w:rPr>
        <w:t xml:space="preserve"> C, Durand F, </w:t>
      </w:r>
      <w:proofErr w:type="spellStart"/>
      <w:r w:rsidRPr="00601347">
        <w:rPr>
          <w:rFonts w:ascii="Book Antiqua" w:eastAsia="Book Antiqua" w:hAnsi="Book Antiqua" w:cs="Book Antiqua"/>
          <w:color w:val="000000"/>
        </w:rPr>
        <w:t>Belghiti</w:t>
      </w:r>
      <w:proofErr w:type="spellEnd"/>
      <w:r w:rsidRPr="00601347">
        <w:rPr>
          <w:rFonts w:ascii="Book Antiqua" w:eastAsia="Book Antiqua" w:hAnsi="Book Antiqua" w:cs="Book Antiqua"/>
          <w:color w:val="000000"/>
        </w:rPr>
        <w:t xml:space="preserve"> J. Repeat endovascular treatment of recurring hepatic artery stenoses in orthotopic liver transplantation.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2013; </w:t>
      </w:r>
      <w:r w:rsidRPr="00601347">
        <w:rPr>
          <w:rFonts w:ascii="Book Antiqua" w:eastAsia="Book Antiqua" w:hAnsi="Book Antiqua" w:cs="Book Antiqua"/>
          <w:b/>
          <w:bCs/>
          <w:color w:val="000000"/>
        </w:rPr>
        <w:t>26</w:t>
      </w:r>
      <w:r w:rsidRPr="00601347">
        <w:rPr>
          <w:rFonts w:ascii="Book Antiqua" w:eastAsia="Book Antiqua" w:hAnsi="Book Antiqua" w:cs="Book Antiqua"/>
          <w:color w:val="000000"/>
        </w:rPr>
        <w:t>: 608-615 [PMID: 23551134 DOI: 10.1111/tri.12089]</w:t>
      </w:r>
    </w:p>
    <w:p w14:paraId="7C7CC02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7 </w:t>
      </w:r>
      <w:r w:rsidRPr="00601347">
        <w:rPr>
          <w:rFonts w:ascii="Book Antiqua" w:eastAsia="Book Antiqua" w:hAnsi="Book Antiqua" w:cs="Book Antiqua"/>
          <w:b/>
          <w:bCs/>
          <w:color w:val="000000"/>
        </w:rPr>
        <w:t>Singhal A</w:t>
      </w:r>
      <w:r w:rsidRPr="00601347">
        <w:rPr>
          <w:rFonts w:ascii="Book Antiqua" w:eastAsia="Book Antiqua" w:hAnsi="Book Antiqua" w:cs="Book Antiqua"/>
          <w:color w:val="000000"/>
        </w:rPr>
        <w:t xml:space="preserve">, Stokes K, Sebastian A, Wright HI, Kohli V. Endovascular treatment of hepatic artery thrombosis following liver transplantation.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2010; </w:t>
      </w:r>
      <w:r w:rsidRPr="00601347">
        <w:rPr>
          <w:rFonts w:ascii="Book Antiqua" w:eastAsia="Book Antiqua" w:hAnsi="Book Antiqua" w:cs="Book Antiqua"/>
          <w:b/>
          <w:bCs/>
          <w:color w:val="000000"/>
        </w:rPr>
        <w:t>23</w:t>
      </w:r>
      <w:r w:rsidRPr="00601347">
        <w:rPr>
          <w:rFonts w:ascii="Book Antiqua" w:eastAsia="Book Antiqua" w:hAnsi="Book Antiqua" w:cs="Book Antiqua"/>
          <w:color w:val="000000"/>
        </w:rPr>
        <w:t>: 245-256 [PMID: 20030796 DOI: 10.1111/j.1432-2277.2009.01037.x]</w:t>
      </w:r>
    </w:p>
    <w:p w14:paraId="58E5970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8 </w:t>
      </w:r>
      <w:r w:rsidRPr="00601347">
        <w:rPr>
          <w:rFonts w:ascii="Book Antiqua" w:eastAsia="Book Antiqua" w:hAnsi="Book Antiqua" w:cs="Book Antiqua"/>
          <w:b/>
          <w:bCs/>
          <w:color w:val="000000"/>
        </w:rPr>
        <w:t>Pareja E</w:t>
      </w:r>
      <w:r w:rsidRPr="00601347">
        <w:rPr>
          <w:rFonts w:ascii="Book Antiqua" w:eastAsia="Book Antiqua" w:hAnsi="Book Antiqua" w:cs="Book Antiqua"/>
          <w:color w:val="000000"/>
        </w:rPr>
        <w:t xml:space="preserve">, Cortes M, Navarro R, </w:t>
      </w:r>
      <w:proofErr w:type="spellStart"/>
      <w:r w:rsidRPr="00601347">
        <w:rPr>
          <w:rFonts w:ascii="Book Antiqua" w:eastAsia="Book Antiqua" w:hAnsi="Book Antiqua" w:cs="Book Antiqua"/>
          <w:color w:val="000000"/>
        </w:rPr>
        <w:t>Sanjuan</w:t>
      </w:r>
      <w:proofErr w:type="spellEnd"/>
      <w:r w:rsidRPr="00601347">
        <w:rPr>
          <w:rFonts w:ascii="Book Antiqua" w:eastAsia="Book Antiqua" w:hAnsi="Book Antiqua" w:cs="Book Antiqua"/>
          <w:color w:val="000000"/>
        </w:rPr>
        <w:t xml:space="preserve"> F, </w:t>
      </w:r>
      <w:proofErr w:type="spellStart"/>
      <w:r w:rsidRPr="00601347">
        <w:rPr>
          <w:rFonts w:ascii="Book Antiqua" w:eastAsia="Book Antiqua" w:hAnsi="Book Antiqua" w:cs="Book Antiqua"/>
          <w:color w:val="000000"/>
        </w:rPr>
        <w:t>López</w:t>
      </w:r>
      <w:proofErr w:type="spellEnd"/>
      <w:r w:rsidRPr="00601347">
        <w:rPr>
          <w:rFonts w:ascii="Book Antiqua" w:eastAsia="Book Antiqua" w:hAnsi="Book Antiqua" w:cs="Book Antiqua"/>
          <w:color w:val="000000"/>
        </w:rPr>
        <w:t xml:space="preserve"> R, Mir J. Vascular complications after orthotopic liver transplantation: hepatic artery thrombosis. </w:t>
      </w:r>
      <w:r w:rsidRPr="00601347">
        <w:rPr>
          <w:rFonts w:ascii="Book Antiqua" w:eastAsia="Book Antiqua" w:hAnsi="Book Antiqua" w:cs="Book Antiqua"/>
          <w:i/>
          <w:iCs/>
          <w:color w:val="000000"/>
        </w:rPr>
        <w:lastRenderedPageBreak/>
        <w:t>Transplant Proc</w:t>
      </w:r>
      <w:r w:rsidRPr="00601347">
        <w:rPr>
          <w:rFonts w:ascii="Book Antiqua" w:eastAsia="Book Antiqua" w:hAnsi="Book Antiqua" w:cs="Book Antiqua"/>
          <w:color w:val="000000"/>
        </w:rPr>
        <w:t xml:space="preserve"> 2010; </w:t>
      </w:r>
      <w:r w:rsidRPr="00601347">
        <w:rPr>
          <w:rFonts w:ascii="Book Antiqua" w:eastAsia="Book Antiqua" w:hAnsi="Book Antiqua" w:cs="Book Antiqua"/>
          <w:b/>
          <w:bCs/>
          <w:color w:val="000000"/>
        </w:rPr>
        <w:t>42</w:t>
      </w:r>
      <w:r w:rsidRPr="00601347">
        <w:rPr>
          <w:rFonts w:ascii="Book Antiqua" w:eastAsia="Book Antiqua" w:hAnsi="Book Antiqua" w:cs="Book Antiqua"/>
          <w:color w:val="000000"/>
        </w:rPr>
        <w:t>: 2970-2972 [PMID: 20970585 DOI: 10.1016/j.transproceed.2010.07.063]</w:t>
      </w:r>
    </w:p>
    <w:p w14:paraId="7AE0AEC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9 </w:t>
      </w:r>
      <w:proofErr w:type="spellStart"/>
      <w:r w:rsidRPr="00601347">
        <w:rPr>
          <w:rFonts w:ascii="Book Antiqua" w:eastAsia="Book Antiqua" w:hAnsi="Book Antiqua" w:cs="Book Antiqua"/>
          <w:b/>
          <w:bCs/>
          <w:color w:val="000000"/>
        </w:rPr>
        <w:t>Pomposelli</w:t>
      </w:r>
      <w:proofErr w:type="spellEnd"/>
      <w:r w:rsidRPr="00601347">
        <w:rPr>
          <w:rFonts w:ascii="Book Antiqua" w:eastAsia="Book Antiqua" w:hAnsi="Book Antiqua" w:cs="Book Antiqua"/>
          <w:b/>
          <w:bCs/>
          <w:color w:val="000000"/>
        </w:rPr>
        <w:t xml:space="preserve"> JJ</w:t>
      </w:r>
      <w:r w:rsidRPr="00601347">
        <w:rPr>
          <w:rFonts w:ascii="Book Antiqua" w:eastAsia="Book Antiqua" w:hAnsi="Book Antiqua" w:cs="Book Antiqua"/>
          <w:color w:val="000000"/>
        </w:rPr>
        <w:t xml:space="preserve">. Hepatic Artery Thrombosis After Liver Transplant: Not A Surgical Problem? </w:t>
      </w:r>
      <w:r w:rsidRPr="00601347">
        <w:rPr>
          <w:rFonts w:ascii="Book Antiqua" w:eastAsia="Book Antiqua" w:hAnsi="Book Antiqua" w:cs="Book Antiqua"/>
          <w:i/>
          <w:iCs/>
          <w:color w:val="000000"/>
        </w:rPr>
        <w:t>Transplantation</w:t>
      </w:r>
      <w:r w:rsidRPr="00601347">
        <w:rPr>
          <w:rFonts w:ascii="Book Antiqua" w:eastAsia="Book Antiqua" w:hAnsi="Book Antiqua" w:cs="Book Antiqua"/>
          <w:color w:val="000000"/>
        </w:rPr>
        <w:t xml:space="preserve"> 2016; </w:t>
      </w:r>
      <w:r w:rsidRPr="00601347">
        <w:rPr>
          <w:rFonts w:ascii="Book Antiqua" w:eastAsia="Book Antiqua" w:hAnsi="Book Antiqua" w:cs="Book Antiqua"/>
          <w:b/>
          <w:bCs/>
          <w:color w:val="000000"/>
        </w:rPr>
        <w:t>100</w:t>
      </w:r>
      <w:r w:rsidRPr="00601347">
        <w:rPr>
          <w:rFonts w:ascii="Book Antiqua" w:eastAsia="Book Antiqua" w:hAnsi="Book Antiqua" w:cs="Book Antiqua"/>
          <w:color w:val="000000"/>
        </w:rPr>
        <w:t>: 2251 [PMID: 27547869 DOI: 10.1097/TP.0000000000001451]</w:t>
      </w:r>
    </w:p>
    <w:p w14:paraId="189D0492"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10 </w:t>
      </w:r>
      <w:r w:rsidRPr="00601347">
        <w:rPr>
          <w:rFonts w:ascii="Book Antiqua" w:eastAsia="Book Antiqua" w:hAnsi="Book Antiqua" w:cs="Book Antiqua"/>
          <w:b/>
          <w:bCs/>
          <w:color w:val="000000"/>
        </w:rPr>
        <w:t>Yang Y</w:t>
      </w:r>
      <w:r w:rsidRPr="00601347">
        <w:rPr>
          <w:rFonts w:ascii="Book Antiqua" w:eastAsia="Book Antiqua" w:hAnsi="Book Antiqua" w:cs="Book Antiqua"/>
          <w:color w:val="000000"/>
        </w:rPr>
        <w:t xml:space="preserve">, Zhao JC, Yan LN, Ma YK, Huang B, Yuan D, Li B, Wen TF, Wang WT, Xu MQ, Yang JY. Risk factors associated with early and late HAT after adult liver transplantation. </w:t>
      </w:r>
      <w:r w:rsidRPr="00601347">
        <w:rPr>
          <w:rFonts w:ascii="Book Antiqua" w:eastAsia="Book Antiqua" w:hAnsi="Book Antiqua" w:cs="Book Antiqua"/>
          <w:i/>
          <w:iCs/>
          <w:color w:val="000000"/>
        </w:rPr>
        <w:t>World J Gastroenterol</w:t>
      </w:r>
      <w:r w:rsidRPr="00601347">
        <w:rPr>
          <w:rFonts w:ascii="Book Antiqua" w:eastAsia="Book Antiqua" w:hAnsi="Book Antiqua" w:cs="Book Antiqua"/>
          <w:color w:val="000000"/>
        </w:rPr>
        <w:t xml:space="preserve"> 2014; </w:t>
      </w:r>
      <w:r w:rsidRPr="00601347">
        <w:rPr>
          <w:rFonts w:ascii="Book Antiqua" w:eastAsia="Book Antiqua" w:hAnsi="Book Antiqua" w:cs="Book Antiqua"/>
          <w:b/>
          <w:bCs/>
          <w:color w:val="000000"/>
        </w:rPr>
        <w:t>20</w:t>
      </w:r>
      <w:r w:rsidRPr="00601347">
        <w:rPr>
          <w:rFonts w:ascii="Book Antiqua" w:eastAsia="Book Antiqua" w:hAnsi="Book Antiqua" w:cs="Book Antiqua"/>
          <w:color w:val="000000"/>
        </w:rPr>
        <w:t>: 10545-10552 [PMID: 25132774 DOI: 10.3748/wjg.v20.i30.10545]</w:t>
      </w:r>
    </w:p>
    <w:p w14:paraId="5AC5229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11 </w:t>
      </w:r>
      <w:proofErr w:type="spellStart"/>
      <w:r w:rsidRPr="00601347">
        <w:rPr>
          <w:rFonts w:ascii="Book Antiqua" w:eastAsia="Book Antiqua" w:hAnsi="Book Antiqua" w:cs="Book Antiqua"/>
          <w:b/>
          <w:bCs/>
          <w:color w:val="000000"/>
        </w:rPr>
        <w:t>Gilbo</w:t>
      </w:r>
      <w:proofErr w:type="spellEnd"/>
      <w:r w:rsidRPr="00601347">
        <w:rPr>
          <w:rFonts w:ascii="Book Antiqua" w:eastAsia="Book Antiqua" w:hAnsi="Book Antiqua" w:cs="Book Antiqua"/>
          <w:b/>
          <w:bCs/>
          <w:color w:val="000000"/>
        </w:rPr>
        <w:t xml:space="preserve"> N</w:t>
      </w:r>
      <w:r w:rsidRPr="00601347">
        <w:rPr>
          <w:rFonts w:ascii="Book Antiqua" w:eastAsia="Book Antiqua" w:hAnsi="Book Antiqua" w:cs="Book Antiqua"/>
          <w:color w:val="000000"/>
        </w:rPr>
        <w:t xml:space="preserve">, Van </w:t>
      </w:r>
      <w:proofErr w:type="spellStart"/>
      <w:r w:rsidRPr="00601347">
        <w:rPr>
          <w:rFonts w:ascii="Book Antiqua" w:eastAsia="Book Antiqua" w:hAnsi="Book Antiqua" w:cs="Book Antiqua"/>
          <w:color w:val="000000"/>
        </w:rPr>
        <w:t>Praet</w:t>
      </w:r>
      <w:proofErr w:type="spellEnd"/>
      <w:r w:rsidRPr="00601347">
        <w:rPr>
          <w:rFonts w:ascii="Book Antiqua" w:eastAsia="Book Antiqua" w:hAnsi="Book Antiqua" w:cs="Book Antiqua"/>
          <w:color w:val="000000"/>
        </w:rPr>
        <w:t xml:space="preserve"> L, </w:t>
      </w:r>
      <w:proofErr w:type="spellStart"/>
      <w:r w:rsidRPr="00601347">
        <w:rPr>
          <w:rFonts w:ascii="Book Antiqua" w:eastAsia="Book Antiqua" w:hAnsi="Book Antiqua" w:cs="Book Antiqua"/>
          <w:color w:val="000000"/>
        </w:rPr>
        <w:t>Jochmans</w:t>
      </w:r>
      <w:proofErr w:type="spellEnd"/>
      <w:r w:rsidRPr="00601347">
        <w:rPr>
          <w:rFonts w:ascii="Book Antiqua" w:eastAsia="Book Antiqua" w:hAnsi="Book Antiqua" w:cs="Book Antiqua"/>
          <w:color w:val="000000"/>
        </w:rPr>
        <w:t xml:space="preserve"> I, </w:t>
      </w:r>
      <w:proofErr w:type="spellStart"/>
      <w:r w:rsidRPr="00601347">
        <w:rPr>
          <w:rFonts w:ascii="Book Antiqua" w:eastAsia="Book Antiqua" w:hAnsi="Book Antiqua" w:cs="Book Antiqua"/>
          <w:color w:val="000000"/>
        </w:rPr>
        <w:t>Sainz-Barriga</w:t>
      </w:r>
      <w:proofErr w:type="spellEnd"/>
      <w:r w:rsidRPr="00601347">
        <w:rPr>
          <w:rFonts w:ascii="Book Antiqua" w:eastAsia="Book Antiqua" w:hAnsi="Book Antiqua" w:cs="Book Antiqua"/>
          <w:color w:val="000000"/>
        </w:rPr>
        <w:t xml:space="preserve"> M, </w:t>
      </w:r>
      <w:proofErr w:type="spellStart"/>
      <w:r w:rsidRPr="00601347">
        <w:rPr>
          <w:rFonts w:ascii="Book Antiqua" w:eastAsia="Book Antiqua" w:hAnsi="Book Antiqua" w:cs="Book Antiqua"/>
          <w:color w:val="000000"/>
        </w:rPr>
        <w:t>Verslype</w:t>
      </w:r>
      <w:proofErr w:type="spellEnd"/>
      <w:r w:rsidRPr="00601347">
        <w:rPr>
          <w:rFonts w:ascii="Book Antiqua" w:eastAsia="Book Antiqua" w:hAnsi="Book Antiqua" w:cs="Book Antiqua"/>
          <w:color w:val="000000"/>
        </w:rPr>
        <w:t xml:space="preserve"> C, </w:t>
      </w:r>
      <w:proofErr w:type="spellStart"/>
      <w:r w:rsidRPr="00601347">
        <w:rPr>
          <w:rFonts w:ascii="Book Antiqua" w:eastAsia="Book Antiqua" w:hAnsi="Book Antiqua" w:cs="Book Antiqua"/>
          <w:color w:val="000000"/>
        </w:rPr>
        <w:t>Maleux</w:t>
      </w:r>
      <w:proofErr w:type="spellEnd"/>
      <w:r w:rsidRPr="00601347">
        <w:rPr>
          <w:rFonts w:ascii="Book Antiqua" w:eastAsia="Book Antiqua" w:hAnsi="Book Antiqua" w:cs="Book Antiqua"/>
          <w:color w:val="000000"/>
        </w:rPr>
        <w:t xml:space="preserve"> G, </w:t>
      </w:r>
      <w:proofErr w:type="spellStart"/>
      <w:r w:rsidRPr="00601347">
        <w:rPr>
          <w:rFonts w:ascii="Book Antiqua" w:eastAsia="Book Antiqua" w:hAnsi="Book Antiqua" w:cs="Book Antiqua"/>
          <w:color w:val="000000"/>
        </w:rPr>
        <w:t>Laleman</w:t>
      </w:r>
      <w:proofErr w:type="spellEnd"/>
      <w:r w:rsidRPr="00601347">
        <w:rPr>
          <w:rFonts w:ascii="Book Antiqua" w:eastAsia="Book Antiqua" w:hAnsi="Book Antiqua" w:cs="Book Antiqua"/>
          <w:color w:val="000000"/>
        </w:rPr>
        <w:t xml:space="preserve"> W, van der Merwe S, </w:t>
      </w:r>
      <w:proofErr w:type="spellStart"/>
      <w:r w:rsidRPr="00601347">
        <w:rPr>
          <w:rFonts w:ascii="Book Antiqua" w:eastAsia="Book Antiqua" w:hAnsi="Book Antiqua" w:cs="Book Antiqua"/>
          <w:color w:val="000000"/>
        </w:rPr>
        <w:t>Cassiman</w:t>
      </w:r>
      <w:proofErr w:type="spellEnd"/>
      <w:r w:rsidRPr="00601347">
        <w:rPr>
          <w:rFonts w:ascii="Book Antiqua" w:eastAsia="Book Antiqua" w:hAnsi="Book Antiqua" w:cs="Book Antiqua"/>
          <w:color w:val="000000"/>
        </w:rPr>
        <w:t xml:space="preserve"> D, </w:t>
      </w:r>
      <w:proofErr w:type="spellStart"/>
      <w:r w:rsidRPr="00601347">
        <w:rPr>
          <w:rFonts w:ascii="Book Antiqua" w:eastAsia="Book Antiqua" w:hAnsi="Book Antiqua" w:cs="Book Antiqua"/>
          <w:color w:val="000000"/>
        </w:rPr>
        <w:t>Nevens</w:t>
      </w:r>
      <w:proofErr w:type="spellEnd"/>
      <w:r w:rsidRPr="00601347">
        <w:rPr>
          <w:rFonts w:ascii="Book Antiqua" w:eastAsia="Book Antiqua" w:hAnsi="Book Antiqua" w:cs="Book Antiqua"/>
          <w:color w:val="000000"/>
        </w:rPr>
        <w:t xml:space="preserve"> F, </w:t>
      </w:r>
      <w:proofErr w:type="spellStart"/>
      <w:r w:rsidRPr="00601347">
        <w:rPr>
          <w:rFonts w:ascii="Book Antiqua" w:eastAsia="Book Antiqua" w:hAnsi="Book Antiqua" w:cs="Book Antiqua"/>
          <w:color w:val="000000"/>
        </w:rPr>
        <w:t>Monbaliu</w:t>
      </w:r>
      <w:proofErr w:type="spellEnd"/>
      <w:r w:rsidRPr="00601347">
        <w:rPr>
          <w:rFonts w:ascii="Book Antiqua" w:eastAsia="Book Antiqua" w:hAnsi="Book Antiqua" w:cs="Book Antiqua"/>
          <w:color w:val="000000"/>
        </w:rPr>
        <w:t xml:space="preserve"> D, </w:t>
      </w:r>
      <w:proofErr w:type="spellStart"/>
      <w:r w:rsidRPr="00601347">
        <w:rPr>
          <w:rFonts w:ascii="Book Antiqua" w:eastAsia="Book Antiqua" w:hAnsi="Book Antiqua" w:cs="Book Antiqua"/>
          <w:color w:val="000000"/>
        </w:rPr>
        <w:t>Pirenne</w:t>
      </w:r>
      <w:proofErr w:type="spellEnd"/>
      <w:r w:rsidRPr="00601347">
        <w:rPr>
          <w:rFonts w:ascii="Book Antiqua" w:eastAsia="Book Antiqua" w:hAnsi="Book Antiqua" w:cs="Book Antiqua"/>
          <w:color w:val="000000"/>
        </w:rPr>
        <w:t xml:space="preserve"> J. Pre-operative trans-catheter arterial chemo-embolization increases hepatic artery thrombosis after liver transplantation - a retrospective study.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2018; </w:t>
      </w:r>
      <w:r w:rsidRPr="00601347">
        <w:rPr>
          <w:rFonts w:ascii="Book Antiqua" w:eastAsia="Book Antiqua" w:hAnsi="Book Antiqua" w:cs="Book Antiqua"/>
          <w:b/>
          <w:bCs/>
          <w:color w:val="000000"/>
        </w:rPr>
        <w:t>31</w:t>
      </w:r>
      <w:r w:rsidRPr="00601347">
        <w:rPr>
          <w:rFonts w:ascii="Book Antiqua" w:eastAsia="Book Antiqua" w:hAnsi="Book Antiqua" w:cs="Book Antiqua"/>
          <w:color w:val="000000"/>
        </w:rPr>
        <w:t>: 71-81 [PMID: 28869805 DOI: 10.1111/tri.13046]</w:t>
      </w:r>
    </w:p>
    <w:p w14:paraId="57CCD49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12 </w:t>
      </w:r>
      <w:proofErr w:type="spellStart"/>
      <w:r w:rsidRPr="00601347">
        <w:rPr>
          <w:rFonts w:ascii="Book Antiqua" w:eastAsia="Book Antiqua" w:hAnsi="Book Antiqua" w:cs="Book Antiqua"/>
          <w:b/>
          <w:bCs/>
          <w:color w:val="000000"/>
        </w:rPr>
        <w:t>Voulgarelis</w:t>
      </w:r>
      <w:proofErr w:type="spellEnd"/>
      <w:r w:rsidRPr="00601347">
        <w:rPr>
          <w:rFonts w:ascii="Book Antiqua" w:eastAsia="Book Antiqua" w:hAnsi="Book Antiqua" w:cs="Book Antiqua"/>
          <w:b/>
          <w:bCs/>
          <w:color w:val="000000"/>
        </w:rPr>
        <w:t xml:space="preserve"> S</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Vitola</w:t>
      </w:r>
      <w:proofErr w:type="spellEnd"/>
      <w:r w:rsidRPr="00601347">
        <w:rPr>
          <w:rFonts w:ascii="Book Antiqua" w:eastAsia="Book Antiqua" w:hAnsi="Book Antiqua" w:cs="Book Antiqua"/>
          <w:color w:val="000000"/>
        </w:rPr>
        <w:t xml:space="preserve"> B, </w:t>
      </w:r>
      <w:proofErr w:type="spellStart"/>
      <w:r w:rsidRPr="00601347">
        <w:rPr>
          <w:rFonts w:ascii="Book Antiqua" w:eastAsia="Book Antiqua" w:hAnsi="Book Antiqua" w:cs="Book Antiqua"/>
          <w:color w:val="000000"/>
        </w:rPr>
        <w:t>Lerret</w:t>
      </w:r>
      <w:proofErr w:type="spellEnd"/>
      <w:r w:rsidRPr="00601347">
        <w:rPr>
          <w:rFonts w:ascii="Book Antiqua" w:eastAsia="Book Antiqua" w:hAnsi="Book Antiqua" w:cs="Book Antiqua"/>
          <w:color w:val="000000"/>
        </w:rPr>
        <w:t xml:space="preserve"> SM, Hong JC, Scott JP. Perioperative anticoagulation practices for pediatric liver transplantation. </w:t>
      </w:r>
      <w:proofErr w:type="spellStart"/>
      <w:r w:rsidRPr="00601347">
        <w:rPr>
          <w:rFonts w:ascii="Book Antiqua" w:eastAsia="Book Antiqua" w:hAnsi="Book Antiqua" w:cs="Book Antiqua"/>
          <w:i/>
          <w:iCs/>
          <w:color w:val="000000"/>
        </w:rPr>
        <w:t>Pediatr</w:t>
      </w:r>
      <w:proofErr w:type="spellEnd"/>
      <w:r w:rsidRPr="00601347">
        <w:rPr>
          <w:rFonts w:ascii="Book Antiqua" w:eastAsia="Book Antiqua" w:hAnsi="Book Antiqua" w:cs="Book Antiqua"/>
          <w:i/>
          <w:iCs/>
          <w:color w:val="000000"/>
        </w:rPr>
        <w:t xml:space="preserve"> Transplant</w:t>
      </w:r>
      <w:r w:rsidRPr="00601347">
        <w:rPr>
          <w:rFonts w:ascii="Book Antiqua" w:eastAsia="Book Antiqua" w:hAnsi="Book Antiqua" w:cs="Book Antiqua"/>
          <w:color w:val="000000"/>
        </w:rPr>
        <w:t xml:space="preserve"> 2018; </w:t>
      </w:r>
      <w:r w:rsidRPr="00601347">
        <w:rPr>
          <w:rFonts w:ascii="Book Antiqua" w:eastAsia="Book Antiqua" w:hAnsi="Book Antiqua" w:cs="Book Antiqua"/>
          <w:b/>
          <w:bCs/>
          <w:color w:val="000000"/>
        </w:rPr>
        <w:t>22</w:t>
      </w:r>
      <w:r w:rsidRPr="00601347">
        <w:rPr>
          <w:rFonts w:ascii="Book Antiqua" w:eastAsia="Book Antiqua" w:hAnsi="Book Antiqua" w:cs="Book Antiqua"/>
          <w:color w:val="000000"/>
        </w:rPr>
        <w:t>: e13193 [PMID: 29663585 DOI: 10.1111/petr.13193]</w:t>
      </w:r>
    </w:p>
    <w:p w14:paraId="6805A27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13 </w:t>
      </w:r>
      <w:proofErr w:type="spellStart"/>
      <w:r w:rsidRPr="00601347">
        <w:rPr>
          <w:rFonts w:ascii="Book Antiqua" w:eastAsia="Book Antiqua" w:hAnsi="Book Antiqua" w:cs="Book Antiqua"/>
          <w:b/>
          <w:bCs/>
          <w:color w:val="000000"/>
        </w:rPr>
        <w:t>Bekker</w:t>
      </w:r>
      <w:proofErr w:type="spellEnd"/>
      <w:r w:rsidRPr="00601347">
        <w:rPr>
          <w:rFonts w:ascii="Book Antiqua" w:eastAsia="Book Antiqua" w:hAnsi="Book Antiqua" w:cs="Book Antiqua"/>
          <w:b/>
          <w:bCs/>
          <w:color w:val="000000"/>
        </w:rPr>
        <w:t xml:space="preserve"> J</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Ploem</w:t>
      </w:r>
      <w:proofErr w:type="spellEnd"/>
      <w:r w:rsidRPr="00601347">
        <w:rPr>
          <w:rFonts w:ascii="Book Antiqua" w:eastAsia="Book Antiqua" w:hAnsi="Book Antiqua" w:cs="Book Antiqua"/>
          <w:color w:val="000000"/>
        </w:rPr>
        <w:t xml:space="preserve"> S, de Jong KP. Early hepatic artery thrombosis after liver transplantation: a systematic review of the incidence, outcome and risk factors. </w:t>
      </w:r>
      <w:r w:rsidRPr="00601347">
        <w:rPr>
          <w:rFonts w:ascii="Book Antiqua" w:eastAsia="Book Antiqua" w:hAnsi="Book Antiqua" w:cs="Book Antiqua"/>
          <w:i/>
          <w:iCs/>
          <w:color w:val="000000"/>
        </w:rPr>
        <w:t>Am J Transplant</w:t>
      </w:r>
      <w:r w:rsidRPr="00601347">
        <w:rPr>
          <w:rFonts w:ascii="Book Antiqua" w:eastAsia="Book Antiqua" w:hAnsi="Book Antiqua" w:cs="Book Antiqua"/>
          <w:color w:val="000000"/>
        </w:rPr>
        <w:t xml:space="preserve"> 2009; </w:t>
      </w:r>
      <w:r w:rsidRPr="00601347">
        <w:rPr>
          <w:rFonts w:ascii="Book Antiqua" w:eastAsia="Book Antiqua" w:hAnsi="Book Antiqua" w:cs="Book Antiqua"/>
          <w:b/>
          <w:bCs/>
          <w:color w:val="000000"/>
        </w:rPr>
        <w:t>9</w:t>
      </w:r>
      <w:r w:rsidRPr="00601347">
        <w:rPr>
          <w:rFonts w:ascii="Book Antiqua" w:eastAsia="Book Antiqua" w:hAnsi="Book Antiqua" w:cs="Book Antiqua"/>
          <w:color w:val="000000"/>
        </w:rPr>
        <w:t>: 746-757 [PMID: 19298450 DOI: 10.1111/j.1600-6143.2008.02541.x]</w:t>
      </w:r>
    </w:p>
    <w:p w14:paraId="3B368CB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14 </w:t>
      </w:r>
      <w:proofErr w:type="spellStart"/>
      <w:r w:rsidRPr="00601347">
        <w:rPr>
          <w:rFonts w:ascii="Book Antiqua" w:eastAsia="Book Antiqua" w:hAnsi="Book Antiqua" w:cs="Book Antiqua"/>
          <w:b/>
          <w:bCs/>
          <w:color w:val="000000"/>
        </w:rPr>
        <w:t>Tzakis</w:t>
      </w:r>
      <w:proofErr w:type="spellEnd"/>
      <w:r w:rsidRPr="00601347">
        <w:rPr>
          <w:rFonts w:ascii="Book Antiqua" w:eastAsia="Book Antiqua" w:hAnsi="Book Antiqua" w:cs="Book Antiqua"/>
          <w:b/>
          <w:bCs/>
          <w:color w:val="000000"/>
        </w:rPr>
        <w:t xml:space="preserve"> AG</w:t>
      </w:r>
      <w:r w:rsidRPr="00601347">
        <w:rPr>
          <w:rFonts w:ascii="Book Antiqua" w:eastAsia="Book Antiqua" w:hAnsi="Book Antiqua" w:cs="Book Antiqua"/>
          <w:color w:val="000000"/>
        </w:rPr>
        <w:t xml:space="preserve">, Gordon RD, Shaw BW Jr, </w:t>
      </w:r>
      <w:proofErr w:type="spellStart"/>
      <w:r w:rsidRPr="00601347">
        <w:rPr>
          <w:rFonts w:ascii="Book Antiqua" w:eastAsia="Book Antiqua" w:hAnsi="Book Antiqua" w:cs="Book Antiqua"/>
          <w:color w:val="000000"/>
        </w:rPr>
        <w:t>Iwatsuki</w:t>
      </w:r>
      <w:proofErr w:type="spellEnd"/>
      <w:r w:rsidRPr="00601347">
        <w:rPr>
          <w:rFonts w:ascii="Book Antiqua" w:eastAsia="Book Antiqua" w:hAnsi="Book Antiqua" w:cs="Book Antiqua"/>
          <w:color w:val="000000"/>
        </w:rPr>
        <w:t xml:space="preserve"> S, </w:t>
      </w:r>
      <w:proofErr w:type="spellStart"/>
      <w:r w:rsidRPr="00601347">
        <w:rPr>
          <w:rFonts w:ascii="Book Antiqua" w:eastAsia="Book Antiqua" w:hAnsi="Book Antiqua" w:cs="Book Antiqua"/>
          <w:color w:val="000000"/>
        </w:rPr>
        <w:t>Starzl</w:t>
      </w:r>
      <w:proofErr w:type="spellEnd"/>
      <w:r w:rsidRPr="00601347">
        <w:rPr>
          <w:rFonts w:ascii="Book Antiqua" w:eastAsia="Book Antiqua" w:hAnsi="Book Antiqua" w:cs="Book Antiqua"/>
          <w:color w:val="000000"/>
        </w:rPr>
        <w:t xml:space="preserve"> TE. Clinical presentation of hepatic artery thrombosis after liver transplantation in the cyclosporine era. </w:t>
      </w:r>
      <w:r w:rsidRPr="00601347">
        <w:rPr>
          <w:rFonts w:ascii="Book Antiqua" w:eastAsia="Book Antiqua" w:hAnsi="Book Antiqua" w:cs="Book Antiqua"/>
          <w:i/>
          <w:iCs/>
          <w:color w:val="000000"/>
        </w:rPr>
        <w:t>Transplantation</w:t>
      </w:r>
      <w:r w:rsidRPr="00601347">
        <w:rPr>
          <w:rFonts w:ascii="Book Antiqua" w:eastAsia="Book Antiqua" w:hAnsi="Book Antiqua" w:cs="Book Antiqua"/>
          <w:color w:val="000000"/>
        </w:rPr>
        <w:t xml:space="preserve"> 1985; </w:t>
      </w:r>
      <w:r w:rsidRPr="00601347">
        <w:rPr>
          <w:rFonts w:ascii="Book Antiqua" w:eastAsia="Book Antiqua" w:hAnsi="Book Antiqua" w:cs="Book Antiqua"/>
          <w:b/>
          <w:bCs/>
          <w:color w:val="000000"/>
        </w:rPr>
        <w:t>40</w:t>
      </w:r>
      <w:r w:rsidRPr="00601347">
        <w:rPr>
          <w:rFonts w:ascii="Book Antiqua" w:eastAsia="Book Antiqua" w:hAnsi="Book Antiqua" w:cs="Book Antiqua"/>
          <w:color w:val="000000"/>
        </w:rPr>
        <w:t>: 667-671 [PMID: 3907040 DOI: 10.1097/00007890-198512000-00019]</w:t>
      </w:r>
    </w:p>
    <w:p w14:paraId="36C222E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15 </w:t>
      </w:r>
      <w:proofErr w:type="spellStart"/>
      <w:r w:rsidRPr="00601347">
        <w:rPr>
          <w:rFonts w:ascii="Book Antiqua" w:eastAsia="Book Antiqua" w:hAnsi="Book Antiqua" w:cs="Book Antiqua"/>
          <w:b/>
          <w:bCs/>
          <w:color w:val="000000"/>
        </w:rPr>
        <w:t>Kogut</w:t>
      </w:r>
      <w:proofErr w:type="spellEnd"/>
      <w:r w:rsidRPr="00601347">
        <w:rPr>
          <w:rFonts w:ascii="Book Antiqua" w:eastAsia="Book Antiqua" w:hAnsi="Book Antiqua" w:cs="Book Antiqua"/>
          <w:b/>
          <w:bCs/>
          <w:color w:val="000000"/>
        </w:rPr>
        <w:t xml:space="preserve"> MJ</w:t>
      </w:r>
      <w:r w:rsidRPr="00601347">
        <w:rPr>
          <w:rFonts w:ascii="Book Antiqua" w:eastAsia="Book Antiqua" w:hAnsi="Book Antiqua" w:cs="Book Antiqua"/>
          <w:color w:val="000000"/>
        </w:rPr>
        <w:t xml:space="preserve">, Shin DS, </w:t>
      </w:r>
      <w:proofErr w:type="spellStart"/>
      <w:r w:rsidRPr="00601347">
        <w:rPr>
          <w:rFonts w:ascii="Book Antiqua" w:eastAsia="Book Antiqua" w:hAnsi="Book Antiqua" w:cs="Book Antiqua"/>
          <w:color w:val="000000"/>
        </w:rPr>
        <w:t>Padia</w:t>
      </w:r>
      <w:proofErr w:type="spellEnd"/>
      <w:r w:rsidRPr="00601347">
        <w:rPr>
          <w:rFonts w:ascii="Book Antiqua" w:eastAsia="Book Antiqua" w:hAnsi="Book Antiqua" w:cs="Book Antiqua"/>
          <w:color w:val="000000"/>
        </w:rPr>
        <w:t xml:space="preserve"> SA, Johnson GE, </w:t>
      </w:r>
      <w:proofErr w:type="spellStart"/>
      <w:r w:rsidRPr="00601347">
        <w:rPr>
          <w:rFonts w:ascii="Book Antiqua" w:eastAsia="Book Antiqua" w:hAnsi="Book Antiqua" w:cs="Book Antiqua"/>
          <w:color w:val="000000"/>
        </w:rPr>
        <w:t>Hippe</w:t>
      </w:r>
      <w:proofErr w:type="spellEnd"/>
      <w:r w:rsidRPr="00601347">
        <w:rPr>
          <w:rFonts w:ascii="Book Antiqua" w:eastAsia="Book Antiqua" w:hAnsi="Book Antiqua" w:cs="Book Antiqua"/>
          <w:color w:val="000000"/>
        </w:rPr>
        <w:t xml:space="preserve"> DS, </w:t>
      </w:r>
      <w:proofErr w:type="spellStart"/>
      <w:r w:rsidRPr="00601347">
        <w:rPr>
          <w:rFonts w:ascii="Book Antiqua" w:eastAsia="Book Antiqua" w:hAnsi="Book Antiqua" w:cs="Book Antiqua"/>
          <w:color w:val="000000"/>
        </w:rPr>
        <w:t>Valji</w:t>
      </w:r>
      <w:proofErr w:type="spellEnd"/>
      <w:r w:rsidRPr="00601347">
        <w:rPr>
          <w:rFonts w:ascii="Book Antiqua" w:eastAsia="Book Antiqua" w:hAnsi="Book Antiqua" w:cs="Book Antiqua"/>
          <w:color w:val="000000"/>
        </w:rPr>
        <w:t xml:space="preserve"> K. Intra-Arterial Thrombolysis for Hepatic Artery Thrombosis following Liver Transplantation. </w:t>
      </w:r>
      <w:r w:rsidRPr="00601347">
        <w:rPr>
          <w:rFonts w:ascii="Book Antiqua" w:eastAsia="Book Antiqua" w:hAnsi="Book Antiqua" w:cs="Book Antiqua"/>
          <w:i/>
          <w:iCs/>
          <w:color w:val="000000"/>
        </w:rPr>
        <w:t xml:space="preserve">J </w:t>
      </w:r>
      <w:proofErr w:type="spellStart"/>
      <w:r w:rsidRPr="00601347">
        <w:rPr>
          <w:rFonts w:ascii="Book Antiqua" w:eastAsia="Book Antiqua" w:hAnsi="Book Antiqua" w:cs="Book Antiqua"/>
          <w:i/>
          <w:iCs/>
          <w:color w:val="000000"/>
        </w:rPr>
        <w:t>Vasc</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Interv</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Radiol</w:t>
      </w:r>
      <w:proofErr w:type="spellEnd"/>
      <w:r w:rsidRPr="00601347">
        <w:rPr>
          <w:rFonts w:ascii="Book Antiqua" w:eastAsia="Book Antiqua" w:hAnsi="Book Antiqua" w:cs="Book Antiqua"/>
          <w:color w:val="000000"/>
        </w:rPr>
        <w:t xml:space="preserve"> 2015; </w:t>
      </w:r>
      <w:r w:rsidRPr="00601347">
        <w:rPr>
          <w:rFonts w:ascii="Book Antiqua" w:eastAsia="Book Antiqua" w:hAnsi="Book Antiqua" w:cs="Book Antiqua"/>
          <w:b/>
          <w:bCs/>
          <w:color w:val="000000"/>
        </w:rPr>
        <w:t>26</w:t>
      </w:r>
      <w:r w:rsidRPr="00601347">
        <w:rPr>
          <w:rFonts w:ascii="Book Antiqua" w:eastAsia="Book Antiqua" w:hAnsi="Book Antiqua" w:cs="Book Antiqua"/>
          <w:color w:val="000000"/>
        </w:rPr>
        <w:t>: 1317-1322 [PMID: 26190188 DOI: 10.1016/j.jvir.2015.06.008]</w:t>
      </w:r>
    </w:p>
    <w:p w14:paraId="50C0BAA6"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lastRenderedPageBreak/>
        <w:t xml:space="preserve">16 </w:t>
      </w:r>
      <w:proofErr w:type="spellStart"/>
      <w:r w:rsidRPr="00601347">
        <w:rPr>
          <w:rFonts w:ascii="Book Antiqua" w:eastAsia="Book Antiqua" w:hAnsi="Book Antiqua" w:cs="Book Antiqua"/>
          <w:b/>
          <w:bCs/>
          <w:color w:val="000000"/>
        </w:rPr>
        <w:t>Logallo</w:t>
      </w:r>
      <w:proofErr w:type="spellEnd"/>
      <w:r w:rsidRPr="00601347">
        <w:rPr>
          <w:rFonts w:ascii="Book Antiqua" w:eastAsia="Book Antiqua" w:hAnsi="Book Antiqua" w:cs="Book Antiqua"/>
          <w:b/>
          <w:bCs/>
          <w:color w:val="000000"/>
        </w:rPr>
        <w:t xml:space="preserve"> N</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Kvistad</w:t>
      </w:r>
      <w:proofErr w:type="spellEnd"/>
      <w:r w:rsidRPr="00601347">
        <w:rPr>
          <w:rFonts w:ascii="Book Antiqua" w:eastAsia="Book Antiqua" w:hAnsi="Book Antiqua" w:cs="Book Antiqua"/>
          <w:color w:val="000000"/>
        </w:rPr>
        <w:t xml:space="preserve"> CE, </w:t>
      </w:r>
      <w:proofErr w:type="spellStart"/>
      <w:r w:rsidRPr="00601347">
        <w:rPr>
          <w:rFonts w:ascii="Book Antiqua" w:eastAsia="Book Antiqua" w:hAnsi="Book Antiqua" w:cs="Book Antiqua"/>
          <w:color w:val="000000"/>
        </w:rPr>
        <w:t>Nacu</w:t>
      </w:r>
      <w:proofErr w:type="spellEnd"/>
      <w:r w:rsidRPr="00601347">
        <w:rPr>
          <w:rFonts w:ascii="Book Antiqua" w:eastAsia="Book Antiqua" w:hAnsi="Book Antiqua" w:cs="Book Antiqua"/>
          <w:color w:val="000000"/>
        </w:rPr>
        <w:t xml:space="preserve"> A, </w:t>
      </w:r>
      <w:proofErr w:type="spellStart"/>
      <w:r w:rsidRPr="00601347">
        <w:rPr>
          <w:rFonts w:ascii="Book Antiqua" w:eastAsia="Book Antiqua" w:hAnsi="Book Antiqua" w:cs="Book Antiqua"/>
          <w:color w:val="000000"/>
        </w:rPr>
        <w:t>Naess</w:t>
      </w:r>
      <w:proofErr w:type="spellEnd"/>
      <w:r w:rsidRPr="00601347">
        <w:rPr>
          <w:rFonts w:ascii="Book Antiqua" w:eastAsia="Book Antiqua" w:hAnsi="Book Antiqua" w:cs="Book Antiqua"/>
          <w:color w:val="000000"/>
        </w:rPr>
        <w:t xml:space="preserve"> H, </w:t>
      </w:r>
      <w:proofErr w:type="spellStart"/>
      <w:r w:rsidRPr="00601347">
        <w:rPr>
          <w:rFonts w:ascii="Book Antiqua" w:eastAsia="Book Antiqua" w:hAnsi="Book Antiqua" w:cs="Book Antiqua"/>
          <w:color w:val="000000"/>
        </w:rPr>
        <w:t>Waje-Andreassen</w:t>
      </w:r>
      <w:proofErr w:type="spellEnd"/>
      <w:r w:rsidRPr="00601347">
        <w:rPr>
          <w:rFonts w:ascii="Book Antiqua" w:eastAsia="Book Antiqua" w:hAnsi="Book Antiqua" w:cs="Book Antiqua"/>
          <w:color w:val="000000"/>
        </w:rPr>
        <w:t xml:space="preserve"> U, </w:t>
      </w:r>
      <w:proofErr w:type="spellStart"/>
      <w:r w:rsidRPr="00601347">
        <w:rPr>
          <w:rFonts w:ascii="Book Antiqua" w:eastAsia="Book Antiqua" w:hAnsi="Book Antiqua" w:cs="Book Antiqua"/>
          <w:color w:val="000000"/>
        </w:rPr>
        <w:t>Asmuss</w:t>
      </w:r>
      <w:proofErr w:type="spellEnd"/>
      <w:r w:rsidRPr="00601347">
        <w:rPr>
          <w:rFonts w:ascii="Book Antiqua" w:eastAsia="Book Antiqua" w:hAnsi="Book Antiqua" w:cs="Book Antiqua"/>
          <w:color w:val="000000"/>
        </w:rPr>
        <w:t xml:space="preserve"> J, </w:t>
      </w:r>
      <w:proofErr w:type="spellStart"/>
      <w:r w:rsidRPr="00601347">
        <w:rPr>
          <w:rFonts w:ascii="Book Antiqua" w:eastAsia="Book Antiqua" w:hAnsi="Book Antiqua" w:cs="Book Antiqua"/>
          <w:color w:val="000000"/>
        </w:rPr>
        <w:t>Aamodt</w:t>
      </w:r>
      <w:proofErr w:type="spellEnd"/>
      <w:r w:rsidRPr="00601347">
        <w:rPr>
          <w:rFonts w:ascii="Book Antiqua" w:eastAsia="Book Antiqua" w:hAnsi="Book Antiqua" w:cs="Book Antiqua"/>
          <w:color w:val="000000"/>
        </w:rPr>
        <w:t xml:space="preserve"> AH, Lund C, </w:t>
      </w:r>
      <w:proofErr w:type="spellStart"/>
      <w:r w:rsidRPr="00601347">
        <w:rPr>
          <w:rFonts w:ascii="Book Antiqua" w:eastAsia="Book Antiqua" w:hAnsi="Book Antiqua" w:cs="Book Antiqua"/>
          <w:color w:val="000000"/>
        </w:rPr>
        <w:t>Kurz</w:t>
      </w:r>
      <w:proofErr w:type="spellEnd"/>
      <w:r w:rsidRPr="00601347">
        <w:rPr>
          <w:rFonts w:ascii="Book Antiqua" w:eastAsia="Book Antiqua" w:hAnsi="Book Antiqua" w:cs="Book Antiqua"/>
          <w:color w:val="000000"/>
        </w:rPr>
        <w:t xml:space="preserve"> MW, </w:t>
      </w:r>
      <w:proofErr w:type="spellStart"/>
      <w:r w:rsidRPr="00601347">
        <w:rPr>
          <w:rFonts w:ascii="Book Antiqua" w:eastAsia="Book Antiqua" w:hAnsi="Book Antiqua" w:cs="Book Antiqua"/>
          <w:color w:val="000000"/>
        </w:rPr>
        <w:t>Rønning</w:t>
      </w:r>
      <w:proofErr w:type="spellEnd"/>
      <w:r w:rsidRPr="00601347">
        <w:rPr>
          <w:rFonts w:ascii="Book Antiqua" w:eastAsia="Book Antiqua" w:hAnsi="Book Antiqua" w:cs="Book Antiqua"/>
          <w:color w:val="000000"/>
        </w:rPr>
        <w:t xml:space="preserve"> OM, Salvesen R, </w:t>
      </w:r>
      <w:proofErr w:type="spellStart"/>
      <w:r w:rsidRPr="00601347">
        <w:rPr>
          <w:rFonts w:ascii="Book Antiqua" w:eastAsia="Book Antiqua" w:hAnsi="Book Antiqua" w:cs="Book Antiqua"/>
          <w:color w:val="000000"/>
        </w:rPr>
        <w:t>Idicula</w:t>
      </w:r>
      <w:proofErr w:type="spellEnd"/>
      <w:r w:rsidRPr="00601347">
        <w:rPr>
          <w:rFonts w:ascii="Book Antiqua" w:eastAsia="Book Antiqua" w:hAnsi="Book Antiqua" w:cs="Book Antiqua"/>
          <w:color w:val="000000"/>
        </w:rPr>
        <w:t xml:space="preserve"> TT, </w:t>
      </w:r>
      <w:proofErr w:type="spellStart"/>
      <w:r w:rsidRPr="00601347">
        <w:rPr>
          <w:rFonts w:ascii="Book Antiqua" w:eastAsia="Book Antiqua" w:hAnsi="Book Antiqua" w:cs="Book Antiqua"/>
          <w:color w:val="000000"/>
        </w:rPr>
        <w:t>Thomassen</w:t>
      </w:r>
      <w:proofErr w:type="spellEnd"/>
      <w:r w:rsidRPr="00601347">
        <w:rPr>
          <w:rFonts w:ascii="Book Antiqua" w:eastAsia="Book Antiqua" w:hAnsi="Book Antiqua" w:cs="Book Antiqua"/>
          <w:color w:val="000000"/>
        </w:rPr>
        <w:t xml:space="preserve"> L. The Norwegian </w:t>
      </w:r>
      <w:proofErr w:type="spellStart"/>
      <w:r w:rsidRPr="00601347">
        <w:rPr>
          <w:rFonts w:ascii="Book Antiqua" w:eastAsia="Book Antiqua" w:hAnsi="Book Antiqua" w:cs="Book Antiqua"/>
          <w:color w:val="000000"/>
        </w:rPr>
        <w:t>tenecteplase</w:t>
      </w:r>
      <w:proofErr w:type="spellEnd"/>
      <w:r w:rsidRPr="00601347">
        <w:rPr>
          <w:rFonts w:ascii="Book Antiqua" w:eastAsia="Book Antiqua" w:hAnsi="Book Antiqua" w:cs="Book Antiqua"/>
          <w:color w:val="000000"/>
        </w:rPr>
        <w:t xml:space="preserve"> stroke trial (NOR-TEST): </w:t>
      </w:r>
      <w:proofErr w:type="spellStart"/>
      <w:r w:rsidRPr="00601347">
        <w:rPr>
          <w:rFonts w:ascii="Book Antiqua" w:eastAsia="Book Antiqua" w:hAnsi="Book Antiqua" w:cs="Book Antiqua"/>
          <w:color w:val="000000"/>
        </w:rPr>
        <w:t>randomised</w:t>
      </w:r>
      <w:proofErr w:type="spellEnd"/>
      <w:r w:rsidRPr="00601347">
        <w:rPr>
          <w:rFonts w:ascii="Book Antiqua" w:eastAsia="Book Antiqua" w:hAnsi="Book Antiqua" w:cs="Book Antiqua"/>
          <w:color w:val="000000"/>
        </w:rPr>
        <w:t xml:space="preserve"> controlled trial of </w:t>
      </w:r>
      <w:proofErr w:type="spellStart"/>
      <w:r w:rsidRPr="00601347">
        <w:rPr>
          <w:rFonts w:ascii="Book Antiqua" w:eastAsia="Book Antiqua" w:hAnsi="Book Antiqua" w:cs="Book Antiqua"/>
          <w:color w:val="000000"/>
        </w:rPr>
        <w:t>tenecteplase</w:t>
      </w:r>
      <w:proofErr w:type="spellEnd"/>
      <w:r w:rsidRPr="00601347">
        <w:rPr>
          <w:rFonts w:ascii="Book Antiqua" w:eastAsia="Book Antiqua" w:hAnsi="Book Antiqua" w:cs="Book Antiqua"/>
          <w:color w:val="000000"/>
        </w:rPr>
        <w:t xml:space="preserve"> vs. </w:t>
      </w:r>
      <w:proofErr w:type="spellStart"/>
      <w:r w:rsidRPr="00601347">
        <w:rPr>
          <w:rFonts w:ascii="Book Antiqua" w:eastAsia="Book Antiqua" w:hAnsi="Book Antiqua" w:cs="Book Antiqua"/>
          <w:color w:val="000000"/>
        </w:rPr>
        <w:t>alteplase</w:t>
      </w:r>
      <w:proofErr w:type="spellEnd"/>
      <w:r w:rsidRPr="00601347">
        <w:rPr>
          <w:rFonts w:ascii="Book Antiqua" w:eastAsia="Book Antiqua" w:hAnsi="Book Antiqua" w:cs="Book Antiqua"/>
          <w:color w:val="000000"/>
        </w:rPr>
        <w:t xml:space="preserve"> in acute </w:t>
      </w:r>
      <w:proofErr w:type="spellStart"/>
      <w:r w:rsidRPr="00601347">
        <w:rPr>
          <w:rFonts w:ascii="Book Antiqua" w:eastAsia="Book Antiqua" w:hAnsi="Book Antiqua" w:cs="Book Antiqua"/>
          <w:color w:val="000000"/>
        </w:rPr>
        <w:t>ischaemic</w:t>
      </w:r>
      <w:proofErr w:type="spellEnd"/>
      <w:r w:rsidRPr="00601347">
        <w:rPr>
          <w:rFonts w:ascii="Book Antiqua" w:eastAsia="Book Antiqua" w:hAnsi="Book Antiqua" w:cs="Book Antiqua"/>
          <w:color w:val="000000"/>
        </w:rPr>
        <w:t xml:space="preserve"> stroke. </w:t>
      </w:r>
      <w:r w:rsidRPr="00601347">
        <w:rPr>
          <w:rFonts w:ascii="Book Antiqua" w:eastAsia="Book Antiqua" w:hAnsi="Book Antiqua" w:cs="Book Antiqua"/>
          <w:i/>
          <w:iCs/>
          <w:color w:val="000000"/>
        </w:rPr>
        <w:t>BMC Neurol</w:t>
      </w:r>
      <w:r w:rsidRPr="00601347">
        <w:rPr>
          <w:rFonts w:ascii="Book Antiqua" w:eastAsia="Book Antiqua" w:hAnsi="Book Antiqua" w:cs="Book Antiqua"/>
          <w:color w:val="000000"/>
        </w:rPr>
        <w:t xml:space="preserve"> 2014; </w:t>
      </w:r>
      <w:r w:rsidRPr="00601347">
        <w:rPr>
          <w:rFonts w:ascii="Book Antiqua" w:eastAsia="Book Antiqua" w:hAnsi="Book Antiqua" w:cs="Book Antiqua"/>
          <w:b/>
          <w:bCs/>
          <w:color w:val="000000"/>
        </w:rPr>
        <w:t>14</w:t>
      </w:r>
      <w:r w:rsidRPr="00601347">
        <w:rPr>
          <w:rFonts w:ascii="Book Antiqua" w:eastAsia="Book Antiqua" w:hAnsi="Book Antiqua" w:cs="Book Antiqua"/>
          <w:color w:val="000000"/>
        </w:rPr>
        <w:t>: 106 [PMID: 24886064 DOI: 10.1186/1471-2377-14-106]</w:t>
      </w:r>
    </w:p>
    <w:p w14:paraId="0CC552E4"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17 </w:t>
      </w:r>
      <w:proofErr w:type="spellStart"/>
      <w:r w:rsidRPr="00601347">
        <w:rPr>
          <w:rFonts w:ascii="Book Antiqua" w:eastAsia="Book Antiqua" w:hAnsi="Book Antiqua" w:cs="Book Antiqua"/>
          <w:b/>
          <w:bCs/>
          <w:color w:val="000000"/>
        </w:rPr>
        <w:t>Frongillo</w:t>
      </w:r>
      <w:proofErr w:type="spellEnd"/>
      <w:r w:rsidRPr="00601347">
        <w:rPr>
          <w:rFonts w:ascii="Book Antiqua" w:eastAsia="Book Antiqua" w:hAnsi="Book Antiqua" w:cs="Book Antiqua"/>
          <w:b/>
          <w:bCs/>
          <w:color w:val="000000"/>
        </w:rPr>
        <w:t xml:space="preserve"> F</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Grossi</w:t>
      </w:r>
      <w:proofErr w:type="spellEnd"/>
      <w:r w:rsidRPr="00601347">
        <w:rPr>
          <w:rFonts w:ascii="Book Antiqua" w:eastAsia="Book Antiqua" w:hAnsi="Book Antiqua" w:cs="Book Antiqua"/>
          <w:color w:val="000000"/>
        </w:rPr>
        <w:t xml:space="preserve"> U, </w:t>
      </w:r>
      <w:proofErr w:type="spellStart"/>
      <w:r w:rsidRPr="00601347">
        <w:rPr>
          <w:rFonts w:ascii="Book Antiqua" w:eastAsia="Book Antiqua" w:hAnsi="Book Antiqua" w:cs="Book Antiqua"/>
          <w:color w:val="000000"/>
        </w:rPr>
        <w:t>Avolio</w:t>
      </w:r>
      <w:proofErr w:type="spellEnd"/>
      <w:r w:rsidRPr="00601347">
        <w:rPr>
          <w:rFonts w:ascii="Book Antiqua" w:eastAsia="Book Antiqua" w:hAnsi="Book Antiqua" w:cs="Book Antiqua"/>
          <w:color w:val="000000"/>
        </w:rPr>
        <w:t xml:space="preserve"> AW, </w:t>
      </w:r>
      <w:proofErr w:type="spellStart"/>
      <w:r w:rsidRPr="00601347">
        <w:rPr>
          <w:rFonts w:ascii="Book Antiqua" w:eastAsia="Book Antiqua" w:hAnsi="Book Antiqua" w:cs="Book Antiqua"/>
          <w:color w:val="000000"/>
        </w:rPr>
        <w:t>Sganga</w:t>
      </w:r>
      <w:proofErr w:type="spellEnd"/>
      <w:r w:rsidRPr="00601347">
        <w:rPr>
          <w:rFonts w:ascii="Book Antiqua" w:eastAsia="Book Antiqua" w:hAnsi="Book Antiqua" w:cs="Book Antiqua"/>
          <w:color w:val="000000"/>
        </w:rPr>
        <w:t xml:space="preserve"> G, </w:t>
      </w:r>
      <w:proofErr w:type="spellStart"/>
      <w:r w:rsidRPr="00601347">
        <w:rPr>
          <w:rFonts w:ascii="Book Antiqua" w:eastAsia="Book Antiqua" w:hAnsi="Book Antiqua" w:cs="Book Antiqua"/>
          <w:color w:val="000000"/>
        </w:rPr>
        <w:t>Nure</w:t>
      </w:r>
      <w:proofErr w:type="spellEnd"/>
      <w:r w:rsidRPr="00601347">
        <w:rPr>
          <w:rFonts w:ascii="Book Antiqua" w:eastAsia="Book Antiqua" w:hAnsi="Book Antiqua" w:cs="Book Antiqua"/>
          <w:color w:val="000000"/>
        </w:rPr>
        <w:t xml:space="preserve"> E, Pepe G, Bianco G, </w:t>
      </w:r>
      <w:proofErr w:type="spellStart"/>
      <w:r w:rsidRPr="00601347">
        <w:rPr>
          <w:rFonts w:ascii="Book Antiqua" w:eastAsia="Book Antiqua" w:hAnsi="Book Antiqua" w:cs="Book Antiqua"/>
          <w:color w:val="000000"/>
        </w:rPr>
        <w:t>Lirosi</w:t>
      </w:r>
      <w:proofErr w:type="spellEnd"/>
      <w:r w:rsidRPr="00601347">
        <w:rPr>
          <w:rFonts w:ascii="Book Antiqua" w:eastAsia="Book Antiqua" w:hAnsi="Book Antiqua" w:cs="Book Antiqua"/>
          <w:color w:val="000000"/>
        </w:rPr>
        <w:t xml:space="preserve"> MC, Agnes S. Factors predicting ischemic-type biliary lesions (ITBLs) after liver transplantation. </w:t>
      </w:r>
      <w:r w:rsidRPr="00601347">
        <w:rPr>
          <w:rFonts w:ascii="Book Antiqua" w:eastAsia="Book Antiqua" w:hAnsi="Book Antiqua" w:cs="Book Antiqua"/>
          <w:i/>
          <w:iCs/>
          <w:color w:val="000000"/>
        </w:rPr>
        <w:t>Transplant Proc</w:t>
      </w:r>
      <w:r w:rsidRPr="00601347">
        <w:rPr>
          <w:rFonts w:ascii="Book Antiqua" w:eastAsia="Book Antiqua" w:hAnsi="Book Antiqua" w:cs="Book Antiqua"/>
          <w:color w:val="000000"/>
        </w:rPr>
        <w:t xml:space="preserve"> 2012; </w:t>
      </w:r>
      <w:r w:rsidRPr="00601347">
        <w:rPr>
          <w:rFonts w:ascii="Book Antiqua" w:eastAsia="Book Antiqua" w:hAnsi="Book Antiqua" w:cs="Book Antiqua"/>
          <w:b/>
          <w:bCs/>
          <w:color w:val="000000"/>
        </w:rPr>
        <w:t>44</w:t>
      </w:r>
      <w:r w:rsidRPr="00601347">
        <w:rPr>
          <w:rFonts w:ascii="Book Antiqua" w:eastAsia="Book Antiqua" w:hAnsi="Book Antiqua" w:cs="Book Antiqua"/>
          <w:color w:val="000000"/>
        </w:rPr>
        <w:t>: 2002-2004 [PMID: 22974892 DOI: 10.1016/j.transproceed.2012.06.008]</w:t>
      </w:r>
    </w:p>
    <w:bookmarkEnd w:id="37"/>
    <w:bookmarkEnd w:id="38"/>
    <w:p w14:paraId="0909AD7A" w14:textId="77777777" w:rsidR="00A77B3E" w:rsidRPr="00601347" w:rsidRDefault="00A77B3E" w:rsidP="00601347">
      <w:pPr>
        <w:adjustRightInd w:val="0"/>
        <w:snapToGrid w:val="0"/>
        <w:spacing w:line="360" w:lineRule="auto"/>
        <w:jc w:val="both"/>
        <w:rPr>
          <w:rFonts w:ascii="Book Antiqua" w:hAnsi="Book Antiqua"/>
        </w:rPr>
        <w:sectPr w:rsidR="00A77B3E" w:rsidRPr="00601347" w:rsidSect="00B7655E">
          <w:type w:val="continuous"/>
          <w:pgSz w:w="12240" w:h="15840"/>
          <w:pgMar w:top="1440" w:right="1800" w:bottom="1440" w:left="1800" w:header="720" w:footer="720" w:gutter="0"/>
          <w:cols w:space="720"/>
          <w:docGrid w:linePitch="360"/>
        </w:sectPr>
      </w:pPr>
    </w:p>
    <w:bookmarkEnd w:id="39"/>
    <w:bookmarkEnd w:id="40"/>
    <w:p w14:paraId="70779105" w14:textId="77777777" w:rsidR="00272359" w:rsidRPr="00601347" w:rsidRDefault="00272359" w:rsidP="00601347">
      <w:pPr>
        <w:snapToGrid w:val="0"/>
        <w:spacing w:line="360" w:lineRule="auto"/>
        <w:jc w:val="both"/>
        <w:rPr>
          <w:rFonts w:ascii="Book Antiqua" w:eastAsia="Book Antiqua" w:hAnsi="Book Antiqua" w:cs="Book Antiqua"/>
          <w:b/>
          <w:color w:val="000000"/>
        </w:rPr>
      </w:pPr>
      <w:r w:rsidRPr="00601347">
        <w:rPr>
          <w:rFonts w:ascii="Book Antiqua" w:eastAsia="Book Antiqua" w:hAnsi="Book Antiqua" w:cs="Book Antiqua"/>
          <w:b/>
          <w:color w:val="000000"/>
        </w:rPr>
        <w:lastRenderedPageBreak/>
        <w:br w:type="page"/>
      </w:r>
    </w:p>
    <w:p w14:paraId="5350E115" w14:textId="2C0900FC"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lastRenderedPageBreak/>
        <w:t>Footnotes</w:t>
      </w:r>
    </w:p>
    <w:p w14:paraId="60D7D292" w14:textId="0BEF47F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Institutional review board statement: </w:t>
      </w:r>
      <w:r w:rsidRPr="00601347">
        <w:rPr>
          <w:rFonts w:ascii="Book Antiqua" w:eastAsia="Book Antiqua" w:hAnsi="Book Antiqua" w:cs="Book Antiqua"/>
          <w:color w:val="000000"/>
          <w:shd w:val="clear" w:color="auto" w:fill="FFFFFF"/>
        </w:rPr>
        <w:t>This research was approved by the </w:t>
      </w:r>
      <w:r w:rsidRPr="00601347">
        <w:rPr>
          <w:rFonts w:ascii="Book Antiqua" w:eastAsia="Book Antiqua" w:hAnsi="Book Antiqua" w:cs="Book Antiqua"/>
          <w:color w:val="000000"/>
        </w:rPr>
        <w:t>Ethical Committee of First Hospital of Jilin University</w:t>
      </w:r>
      <w:r w:rsidRPr="00601347">
        <w:rPr>
          <w:rFonts w:ascii="Book Antiqua" w:eastAsia="Book Antiqua" w:hAnsi="Book Antiqua" w:cs="Book Antiqua"/>
          <w:color w:val="000000"/>
          <w:shd w:val="clear" w:color="auto" w:fill="FFFFFF"/>
        </w:rPr>
        <w:t>.</w:t>
      </w:r>
    </w:p>
    <w:p w14:paraId="52B6131D" w14:textId="77777777" w:rsidR="00A77B3E" w:rsidRPr="00601347" w:rsidRDefault="00A77B3E" w:rsidP="00601347">
      <w:pPr>
        <w:adjustRightInd w:val="0"/>
        <w:snapToGrid w:val="0"/>
        <w:spacing w:line="360" w:lineRule="auto"/>
        <w:jc w:val="both"/>
        <w:rPr>
          <w:rFonts w:ascii="Book Antiqua" w:hAnsi="Book Antiqua"/>
        </w:rPr>
      </w:pPr>
    </w:p>
    <w:p w14:paraId="2E0824D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Conflict-of-interest statement: </w:t>
      </w:r>
      <w:r w:rsidRPr="00601347">
        <w:rPr>
          <w:rFonts w:ascii="Book Antiqua" w:eastAsia="Book Antiqua" w:hAnsi="Book Antiqua" w:cs="Book Antiqua"/>
          <w:color w:val="000000"/>
          <w:shd w:val="clear" w:color="auto" w:fill="FFFFFF"/>
        </w:rPr>
        <w:t>The authors have no conflict of interest to disclose.</w:t>
      </w:r>
    </w:p>
    <w:p w14:paraId="097A15C3" w14:textId="77777777" w:rsidR="00A77B3E" w:rsidRPr="00601347" w:rsidRDefault="00A77B3E" w:rsidP="00601347">
      <w:pPr>
        <w:adjustRightInd w:val="0"/>
        <w:snapToGrid w:val="0"/>
        <w:spacing w:line="360" w:lineRule="auto"/>
        <w:jc w:val="both"/>
        <w:rPr>
          <w:rFonts w:ascii="Book Antiqua" w:hAnsi="Book Antiqua"/>
        </w:rPr>
      </w:pPr>
    </w:p>
    <w:p w14:paraId="2BA1A286"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Data sharing statement: </w:t>
      </w:r>
      <w:bookmarkStart w:id="41" w:name="OLE_LINK43"/>
      <w:bookmarkStart w:id="42" w:name="OLE_LINK44"/>
      <w:r w:rsidRPr="00601347">
        <w:rPr>
          <w:rFonts w:ascii="Book Antiqua" w:eastAsia="Book Antiqua" w:hAnsi="Book Antiqua" w:cs="Book Antiqua"/>
          <w:color w:val="000000"/>
          <w:shd w:val="clear" w:color="auto" w:fill="FFFFFF"/>
        </w:rPr>
        <w:t>Original data are available from the corresponding author at lgy08@sina.com.</w:t>
      </w:r>
    </w:p>
    <w:bookmarkEnd w:id="41"/>
    <w:bookmarkEnd w:id="42"/>
    <w:p w14:paraId="72E4A97F" w14:textId="77777777" w:rsidR="00A77B3E" w:rsidRPr="00601347" w:rsidRDefault="00A77B3E" w:rsidP="00601347">
      <w:pPr>
        <w:adjustRightInd w:val="0"/>
        <w:snapToGrid w:val="0"/>
        <w:spacing w:line="360" w:lineRule="auto"/>
        <w:jc w:val="both"/>
        <w:rPr>
          <w:rFonts w:ascii="Book Antiqua" w:hAnsi="Book Antiqua"/>
        </w:rPr>
      </w:pPr>
    </w:p>
    <w:p w14:paraId="49475D8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Open-Access: </w:t>
      </w:r>
      <w:bookmarkStart w:id="43" w:name="OLE_LINK7"/>
      <w:bookmarkStart w:id="44" w:name="OLE_LINK8"/>
      <w:r w:rsidRPr="0060134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1347">
        <w:rPr>
          <w:rFonts w:ascii="Book Antiqua" w:eastAsia="Book Antiqua" w:hAnsi="Book Antiqua" w:cs="Book Antiqua"/>
          <w:color w:val="000000"/>
        </w:rPr>
        <w:t>NonCommercial</w:t>
      </w:r>
      <w:proofErr w:type="spellEnd"/>
      <w:r w:rsidRPr="0060134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3"/>
    <w:bookmarkEnd w:id="44"/>
    <w:p w14:paraId="51DBEF90" w14:textId="77777777" w:rsidR="00A77B3E" w:rsidRPr="00601347" w:rsidRDefault="00A77B3E" w:rsidP="00601347">
      <w:pPr>
        <w:adjustRightInd w:val="0"/>
        <w:snapToGrid w:val="0"/>
        <w:spacing w:line="360" w:lineRule="auto"/>
        <w:jc w:val="both"/>
        <w:rPr>
          <w:rFonts w:ascii="Book Antiqua" w:hAnsi="Book Antiqua"/>
        </w:rPr>
      </w:pPr>
    </w:p>
    <w:p w14:paraId="7D825A40" w14:textId="60CA3B8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Manuscript source: </w:t>
      </w:r>
      <w:r w:rsidRPr="00601347">
        <w:rPr>
          <w:rFonts w:ascii="Book Antiqua" w:eastAsia="Book Antiqua" w:hAnsi="Book Antiqua" w:cs="Book Antiqua"/>
          <w:color w:val="000000"/>
        </w:rPr>
        <w:t xml:space="preserve">Unsolicited </w:t>
      </w:r>
      <w:r w:rsidR="00272359" w:rsidRPr="00601347">
        <w:rPr>
          <w:rFonts w:ascii="Book Antiqua" w:eastAsia="Book Antiqua" w:hAnsi="Book Antiqua" w:cs="Book Antiqua"/>
          <w:color w:val="000000"/>
        </w:rPr>
        <w:t>manuscript</w:t>
      </w:r>
    </w:p>
    <w:p w14:paraId="0CCD3B85" w14:textId="77777777" w:rsidR="00A77B3E" w:rsidRPr="00601347" w:rsidRDefault="00A77B3E" w:rsidP="00601347">
      <w:pPr>
        <w:adjustRightInd w:val="0"/>
        <w:snapToGrid w:val="0"/>
        <w:spacing w:line="360" w:lineRule="auto"/>
        <w:jc w:val="both"/>
        <w:rPr>
          <w:rFonts w:ascii="Book Antiqua" w:hAnsi="Book Antiqua"/>
        </w:rPr>
      </w:pPr>
    </w:p>
    <w:p w14:paraId="387110F1"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Peer-review started: </w:t>
      </w:r>
      <w:r w:rsidRPr="00601347">
        <w:rPr>
          <w:rFonts w:ascii="Book Antiqua" w:eastAsia="Book Antiqua" w:hAnsi="Book Antiqua" w:cs="Book Antiqua"/>
          <w:color w:val="000000"/>
        </w:rPr>
        <w:t>October 26, 2020</w:t>
      </w:r>
    </w:p>
    <w:p w14:paraId="64A3CD2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First decision: </w:t>
      </w:r>
      <w:r w:rsidRPr="00601347">
        <w:rPr>
          <w:rFonts w:ascii="Book Antiqua" w:eastAsia="Book Antiqua" w:hAnsi="Book Antiqua" w:cs="Book Antiqua"/>
          <w:color w:val="000000"/>
        </w:rPr>
        <w:t>December 8, 2020</w:t>
      </w:r>
    </w:p>
    <w:p w14:paraId="7B026F0A"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Article in press: </w:t>
      </w:r>
    </w:p>
    <w:p w14:paraId="276AC7F9" w14:textId="77777777" w:rsidR="00A77B3E" w:rsidRPr="00601347" w:rsidRDefault="00A77B3E" w:rsidP="00601347">
      <w:pPr>
        <w:adjustRightInd w:val="0"/>
        <w:snapToGrid w:val="0"/>
        <w:spacing w:line="360" w:lineRule="auto"/>
        <w:jc w:val="both"/>
        <w:rPr>
          <w:rFonts w:ascii="Book Antiqua" w:hAnsi="Book Antiqua"/>
        </w:rPr>
      </w:pPr>
    </w:p>
    <w:p w14:paraId="46866051" w14:textId="41446C1C"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Specialty type: </w:t>
      </w:r>
      <w:r w:rsidR="00272359" w:rsidRPr="00601347">
        <w:rPr>
          <w:rFonts w:ascii="Book Antiqua" w:eastAsia="Book Antiqua" w:hAnsi="Book Antiqua" w:cs="Book Antiqua"/>
          <w:color w:val="000000"/>
        </w:rPr>
        <w:t>Medicine, research and experimental</w:t>
      </w:r>
    </w:p>
    <w:p w14:paraId="2C29DA7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Country/Territory of origin: </w:t>
      </w:r>
      <w:r w:rsidRPr="00601347">
        <w:rPr>
          <w:rFonts w:ascii="Book Antiqua" w:eastAsia="Book Antiqua" w:hAnsi="Book Antiqua" w:cs="Book Antiqua"/>
          <w:color w:val="000000"/>
        </w:rPr>
        <w:t>China</w:t>
      </w:r>
    </w:p>
    <w:p w14:paraId="5CAFF02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Peer-review report’s scientific quality classification</w:t>
      </w:r>
    </w:p>
    <w:p w14:paraId="649D2D4F"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A (Excellent): 0</w:t>
      </w:r>
    </w:p>
    <w:p w14:paraId="7CE0166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B (Very good): B</w:t>
      </w:r>
    </w:p>
    <w:p w14:paraId="3BC92E9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lastRenderedPageBreak/>
        <w:t>Grade C (Good): 0</w:t>
      </w:r>
    </w:p>
    <w:p w14:paraId="300C1192"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D (Fair): D</w:t>
      </w:r>
    </w:p>
    <w:p w14:paraId="5A0ADDE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E (Poor): 0</w:t>
      </w:r>
    </w:p>
    <w:p w14:paraId="6DF0259C" w14:textId="77777777" w:rsidR="00A77B3E" w:rsidRPr="00601347" w:rsidRDefault="00A77B3E" w:rsidP="00601347">
      <w:pPr>
        <w:adjustRightInd w:val="0"/>
        <w:snapToGrid w:val="0"/>
        <w:spacing w:line="360" w:lineRule="auto"/>
        <w:jc w:val="both"/>
        <w:rPr>
          <w:rFonts w:ascii="Book Antiqua" w:hAnsi="Book Antiqua"/>
        </w:rPr>
      </w:pPr>
    </w:p>
    <w:p w14:paraId="30DFB614" w14:textId="68BF3305" w:rsidR="00A77B3E" w:rsidRPr="00601347" w:rsidRDefault="00E91ADF" w:rsidP="00601347">
      <w:pPr>
        <w:adjustRightInd w:val="0"/>
        <w:snapToGrid w:val="0"/>
        <w:spacing w:line="360" w:lineRule="auto"/>
        <w:jc w:val="both"/>
        <w:rPr>
          <w:rFonts w:ascii="Book Antiqua" w:hAnsi="Book Antiqua"/>
        </w:rPr>
        <w:sectPr w:rsidR="00A77B3E" w:rsidRPr="00601347" w:rsidSect="00B7655E">
          <w:type w:val="continuous"/>
          <w:pgSz w:w="12240" w:h="15840"/>
          <w:pgMar w:top="1440" w:right="1800" w:bottom="1440" w:left="1800" w:header="720" w:footer="720" w:gutter="0"/>
          <w:cols w:space="720"/>
          <w:docGrid w:linePitch="360"/>
        </w:sectPr>
      </w:pPr>
      <w:r w:rsidRPr="00601347">
        <w:rPr>
          <w:rFonts w:ascii="Book Antiqua" w:eastAsia="Book Antiqua" w:hAnsi="Book Antiqua" w:cs="Book Antiqua"/>
          <w:b/>
          <w:color w:val="000000"/>
        </w:rPr>
        <w:t xml:space="preserve">P-Reviewer: </w:t>
      </w:r>
      <w:r w:rsidRPr="00601347">
        <w:rPr>
          <w:rFonts w:ascii="Book Antiqua" w:eastAsia="Book Antiqua" w:hAnsi="Book Antiqua" w:cs="Book Antiqua"/>
          <w:color w:val="000000"/>
        </w:rPr>
        <w:t xml:space="preserve">Moretti R, </w:t>
      </w:r>
      <w:proofErr w:type="spellStart"/>
      <w:r w:rsidRPr="00601347">
        <w:rPr>
          <w:rFonts w:ascii="Book Antiqua" w:eastAsia="Book Antiqua" w:hAnsi="Book Antiqua" w:cs="Book Antiqua"/>
          <w:color w:val="000000"/>
        </w:rPr>
        <w:t>Raissi</w:t>
      </w:r>
      <w:proofErr w:type="spellEnd"/>
      <w:r w:rsidRPr="00601347">
        <w:rPr>
          <w:rFonts w:ascii="Book Antiqua" w:eastAsia="Book Antiqua" w:hAnsi="Book Antiqua" w:cs="Book Antiqua"/>
          <w:color w:val="000000"/>
        </w:rPr>
        <w:t xml:space="preserve"> D</w:t>
      </w:r>
      <w:r w:rsidRPr="00601347">
        <w:rPr>
          <w:rFonts w:ascii="Book Antiqua" w:eastAsia="Book Antiqua" w:hAnsi="Book Antiqua" w:cs="Book Antiqua"/>
          <w:b/>
          <w:color w:val="000000"/>
        </w:rPr>
        <w:t xml:space="preserve"> S-Editor: </w:t>
      </w:r>
      <w:r w:rsidRPr="00601347">
        <w:rPr>
          <w:rFonts w:ascii="Book Antiqua" w:eastAsia="Book Antiqua" w:hAnsi="Book Antiqua" w:cs="Book Antiqua"/>
          <w:color w:val="000000"/>
        </w:rPr>
        <w:t>Zhang L</w:t>
      </w:r>
      <w:r w:rsidRPr="00601347">
        <w:rPr>
          <w:rFonts w:ascii="Book Antiqua" w:eastAsia="Book Antiqua" w:hAnsi="Book Antiqua" w:cs="Book Antiqua"/>
          <w:b/>
          <w:color w:val="000000"/>
        </w:rPr>
        <w:t xml:space="preserve"> L-Editor: </w:t>
      </w:r>
      <w:r w:rsidR="005D7C5A">
        <w:rPr>
          <w:rFonts w:ascii="Book Antiqua" w:eastAsia="Book Antiqua" w:hAnsi="Book Antiqua" w:cs="Book Antiqua"/>
          <w:color w:val="000000"/>
        </w:rPr>
        <w:t xml:space="preserve">Webster JR </w:t>
      </w:r>
      <w:r w:rsidRPr="00601347">
        <w:rPr>
          <w:rFonts w:ascii="Book Antiqua" w:eastAsia="Book Antiqua" w:hAnsi="Book Antiqua" w:cs="Book Antiqua"/>
          <w:b/>
          <w:color w:val="000000"/>
        </w:rPr>
        <w:t xml:space="preserve">P-Editor: </w:t>
      </w:r>
    </w:p>
    <w:p w14:paraId="3211D4CC" w14:textId="77777777" w:rsidR="00272359" w:rsidRPr="00601347" w:rsidRDefault="00272359" w:rsidP="00601347">
      <w:pPr>
        <w:snapToGrid w:val="0"/>
        <w:spacing w:line="360" w:lineRule="auto"/>
        <w:jc w:val="both"/>
        <w:rPr>
          <w:rFonts w:ascii="Book Antiqua" w:eastAsia="Book Antiqua" w:hAnsi="Book Antiqua" w:cs="Book Antiqua"/>
          <w:b/>
          <w:color w:val="000000"/>
        </w:rPr>
      </w:pPr>
      <w:r w:rsidRPr="00601347">
        <w:rPr>
          <w:rFonts w:ascii="Book Antiqua" w:eastAsia="Book Antiqua" w:hAnsi="Book Antiqua" w:cs="Book Antiqua"/>
          <w:b/>
          <w:color w:val="000000"/>
        </w:rPr>
        <w:lastRenderedPageBreak/>
        <w:br w:type="page"/>
      </w:r>
    </w:p>
    <w:p w14:paraId="1158E008" w14:textId="495A8E4C"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lastRenderedPageBreak/>
        <w:t>Figure Legends</w:t>
      </w:r>
    </w:p>
    <w:p w14:paraId="33C3D4E7" w14:textId="756CB1E8" w:rsidR="00A3620A" w:rsidRPr="00601347" w:rsidRDefault="008146CE" w:rsidP="00601347">
      <w:pPr>
        <w:adjustRightInd w:val="0"/>
        <w:snapToGrid w:val="0"/>
        <w:spacing w:line="360" w:lineRule="auto"/>
        <w:jc w:val="both"/>
        <w:rPr>
          <w:rFonts w:ascii="Book Antiqua" w:eastAsia="Book Antiqua" w:hAnsi="Book Antiqua" w:cs="Book Antiqua"/>
          <w:color w:val="000000"/>
        </w:rPr>
      </w:pPr>
      <w:r w:rsidRPr="00601347">
        <w:rPr>
          <w:rFonts w:ascii="Book Antiqua" w:eastAsia="Book Antiqua" w:hAnsi="Book Antiqua" w:cs="Book Antiqua"/>
          <w:noProof/>
          <w:color w:val="000000"/>
          <w:lang w:val="en-GB" w:eastAsia="zh-CN"/>
        </w:rPr>
        <w:drawing>
          <wp:inline distT="0" distB="0" distL="0" distR="0" wp14:anchorId="65F1FC94" wp14:editId="5430028E">
            <wp:extent cx="4541520" cy="4583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4544550" cy="4586103"/>
                    </a:xfrm>
                    <a:prstGeom prst="rect">
                      <a:avLst/>
                    </a:prstGeom>
                  </pic:spPr>
                </pic:pic>
              </a:graphicData>
            </a:graphic>
          </wp:inline>
        </w:drawing>
      </w:r>
    </w:p>
    <w:p w14:paraId="5F09E6F3" w14:textId="4B82A20D" w:rsidR="00A3620A" w:rsidRPr="00601347" w:rsidRDefault="00E91ADF" w:rsidP="00601347">
      <w:pPr>
        <w:adjustRightInd w:val="0"/>
        <w:snapToGrid w:val="0"/>
        <w:spacing w:line="360" w:lineRule="auto"/>
        <w:jc w:val="both"/>
        <w:rPr>
          <w:rFonts w:ascii="Book Antiqua" w:hAnsi="Book Antiqua"/>
          <w:lang w:eastAsia="zh-CN"/>
        </w:rPr>
        <w:sectPr w:rsidR="00A3620A" w:rsidRPr="00601347" w:rsidSect="00B7655E">
          <w:type w:val="continuous"/>
          <w:pgSz w:w="12240" w:h="15840"/>
          <w:pgMar w:top="1440" w:right="1800" w:bottom="1440" w:left="1800" w:header="720" w:footer="720" w:gutter="0"/>
          <w:cols w:space="720"/>
          <w:docGrid w:linePitch="360"/>
        </w:sectPr>
      </w:pPr>
      <w:bookmarkStart w:id="45" w:name="OLE_LINK45"/>
      <w:bookmarkStart w:id="46" w:name="OLE_LINK46"/>
      <w:r w:rsidRPr="00601347">
        <w:rPr>
          <w:rFonts w:ascii="Book Antiqua" w:eastAsia="Book Antiqua" w:hAnsi="Book Antiqua" w:cs="Book Antiqua"/>
          <w:b/>
          <w:bCs/>
          <w:color w:val="000000"/>
        </w:rPr>
        <w:t>Figure 1</w:t>
      </w:r>
      <w:r w:rsidR="00AB2F4D" w:rsidRPr="00601347">
        <w:rPr>
          <w:rFonts w:ascii="Book Antiqua" w:hAnsi="Book Antiqua"/>
          <w:lang w:eastAsia="zh-CN"/>
        </w:rPr>
        <w:t xml:space="preserve"> </w:t>
      </w:r>
      <w:r w:rsidR="008146CE" w:rsidRPr="00601347">
        <w:rPr>
          <w:rFonts w:ascii="Book Antiqua" w:eastAsia="Book Antiqua" w:hAnsi="Book Antiqua" w:cs="Book Antiqua"/>
          <w:b/>
          <w:color w:val="000000"/>
        </w:rPr>
        <w:t>Hepatic arterial angiography.</w:t>
      </w:r>
      <w:r w:rsidR="008146CE" w:rsidRPr="00601347">
        <w:rPr>
          <w:rFonts w:ascii="Book Antiqua" w:hAnsi="Book Antiqua"/>
          <w:lang w:eastAsia="zh-CN"/>
        </w:rPr>
        <w:t xml:space="preserve"> </w:t>
      </w:r>
      <w:r w:rsidR="00AB2F4D" w:rsidRPr="00601347">
        <w:rPr>
          <w:rFonts w:ascii="Book Antiqua" w:eastAsia="Book Antiqua" w:hAnsi="Book Antiqua" w:cs="Book Antiqua"/>
          <w:color w:val="000000"/>
        </w:rPr>
        <w:t>A:</w:t>
      </w:r>
      <w:r w:rsidRPr="00601347">
        <w:rPr>
          <w:rFonts w:ascii="Book Antiqua" w:eastAsia="Book Antiqua" w:hAnsi="Book Antiqua" w:cs="Book Antiqua"/>
          <w:color w:val="000000"/>
        </w:rPr>
        <w:t xml:space="preserve"> Definite diagnosis of </w:t>
      </w:r>
      <w:r w:rsidR="00A3620A" w:rsidRPr="00601347">
        <w:rPr>
          <w:rFonts w:ascii="Book Antiqua" w:eastAsia="Book Antiqua" w:hAnsi="Book Antiqua" w:cs="Book Antiqua"/>
          <w:color w:val="000000"/>
        </w:rPr>
        <w:t>early hepatic artery thrombosis</w:t>
      </w:r>
      <w:r w:rsidRPr="00601347">
        <w:rPr>
          <w:rFonts w:ascii="Book Antiqua" w:eastAsia="Book Antiqua" w:hAnsi="Book Antiqua" w:cs="Book Antiqua"/>
          <w:color w:val="000000"/>
        </w:rPr>
        <w:t>: hepatic arterial angiography showed complete occlusion of the hepatic artery</w:t>
      </w:r>
      <w:r w:rsidR="00AB2F4D" w:rsidRPr="00601347">
        <w:rPr>
          <w:rFonts w:ascii="Book Antiqua" w:eastAsia="Book Antiqua" w:hAnsi="Book Antiqua" w:cs="Book Antiqua"/>
          <w:color w:val="000000"/>
        </w:rPr>
        <w:t>;</w:t>
      </w:r>
      <w:r w:rsidR="00AB2F4D" w:rsidRPr="00601347">
        <w:rPr>
          <w:rFonts w:ascii="Book Antiqua" w:hAnsi="Book Antiqua"/>
          <w:lang w:eastAsia="zh-CN"/>
        </w:rPr>
        <w:t xml:space="preserve"> </w:t>
      </w:r>
      <w:r w:rsidR="00AB2F4D" w:rsidRPr="00601347">
        <w:rPr>
          <w:rFonts w:ascii="Book Antiqua" w:eastAsia="Book Antiqua" w:hAnsi="Book Antiqua" w:cs="Book Antiqua"/>
          <w:color w:val="000000"/>
        </w:rPr>
        <w:t>B:</w:t>
      </w:r>
      <w:r w:rsidRPr="00601347">
        <w:rPr>
          <w:rFonts w:ascii="Book Antiqua" w:eastAsia="Book Antiqua" w:hAnsi="Book Antiqua" w:cs="Book Antiqua"/>
          <w:color w:val="000000"/>
        </w:rPr>
        <w:t xml:space="preserve"> Partial recanalization of </w:t>
      </w:r>
      <w:r w:rsidR="005D7C5A">
        <w:rPr>
          <w:rFonts w:ascii="Book Antiqua" w:eastAsia="Book Antiqua" w:hAnsi="Book Antiqua" w:cs="Book Antiqua"/>
          <w:color w:val="000000"/>
        </w:rPr>
        <w:t xml:space="preserve">the </w:t>
      </w:r>
      <w:r w:rsidR="00A3620A" w:rsidRPr="00601347">
        <w:rPr>
          <w:rFonts w:ascii="Book Antiqua" w:eastAsia="Book Antiqua" w:hAnsi="Book Antiqua" w:cs="Book Antiqua"/>
          <w:color w:val="000000"/>
        </w:rPr>
        <w:t>hepatic artery</w:t>
      </w:r>
      <w:r w:rsidRPr="00601347">
        <w:rPr>
          <w:rFonts w:ascii="Book Antiqua" w:eastAsia="Book Antiqua" w:hAnsi="Book Antiqua" w:cs="Book Antiqua"/>
          <w:color w:val="000000"/>
        </w:rPr>
        <w:t xml:space="preserve"> after temporary injection of </w:t>
      </w:r>
      <w:proofErr w:type="spellStart"/>
      <w:r w:rsidRPr="00601347">
        <w:rPr>
          <w:rFonts w:ascii="Book Antiqua" w:eastAsia="Book Antiqua" w:hAnsi="Book Antiqua" w:cs="Book Antiqua"/>
          <w:color w:val="000000"/>
        </w:rPr>
        <w:t>thrombolytics</w:t>
      </w:r>
      <w:proofErr w:type="spellEnd"/>
      <w:r w:rsidRPr="00601347">
        <w:rPr>
          <w:rFonts w:ascii="Book Antiqua" w:eastAsia="Book Antiqua" w:hAnsi="Book Antiqua" w:cs="Book Antiqua"/>
          <w:color w:val="000000"/>
        </w:rPr>
        <w:t>: partial resolution of the thrombus with delineation of the intrahepatic branches, localized post-stenotic dilatation and filling defects</w:t>
      </w:r>
      <w:r w:rsidR="00AB2F4D" w:rsidRPr="00601347">
        <w:rPr>
          <w:rFonts w:ascii="Book Antiqua" w:eastAsia="Book Antiqua" w:hAnsi="Book Antiqua" w:cs="Book Antiqua"/>
          <w:color w:val="000000"/>
        </w:rPr>
        <w:t>;</w:t>
      </w:r>
      <w:r w:rsidR="00AB2F4D" w:rsidRPr="00601347">
        <w:rPr>
          <w:rFonts w:ascii="Book Antiqua" w:hAnsi="Book Antiqua"/>
          <w:lang w:eastAsia="zh-CN"/>
        </w:rPr>
        <w:t xml:space="preserve"> </w:t>
      </w:r>
      <w:r w:rsidR="00AB2F4D" w:rsidRPr="00601347">
        <w:rPr>
          <w:rFonts w:ascii="Book Antiqua" w:eastAsia="Book Antiqua" w:hAnsi="Book Antiqua" w:cs="Book Antiqua"/>
          <w:color w:val="000000"/>
        </w:rPr>
        <w:t>C:</w:t>
      </w:r>
      <w:r w:rsidRPr="00601347">
        <w:rPr>
          <w:rFonts w:ascii="Book Antiqua" w:eastAsia="Book Antiqua" w:hAnsi="Book Antiqua" w:cs="Book Antiqua"/>
          <w:color w:val="000000"/>
        </w:rPr>
        <w:t xml:space="preserve"> Arterial anastomotic leakage </w:t>
      </w:r>
      <w:r w:rsidR="005D7C5A">
        <w:rPr>
          <w:rFonts w:ascii="Book Antiqua" w:eastAsia="Book Antiqua" w:hAnsi="Book Antiqua" w:cs="Book Antiqua"/>
          <w:color w:val="000000"/>
        </w:rPr>
        <w:t xml:space="preserve">was found </w:t>
      </w:r>
      <w:r w:rsidRPr="00601347">
        <w:rPr>
          <w:rFonts w:ascii="Book Antiqua" w:eastAsia="Book Antiqua" w:hAnsi="Book Antiqua" w:cs="Book Antiqua"/>
          <w:color w:val="000000"/>
        </w:rPr>
        <w:t>in one of the patients during intraoperative thrombolysis</w:t>
      </w:r>
      <w:r w:rsidR="008146CE" w:rsidRPr="00601347">
        <w:rPr>
          <w:rFonts w:ascii="Book Antiqua" w:eastAsia="Book Antiqua" w:hAnsi="Book Antiqua" w:cs="Book Antiqua"/>
          <w:color w:val="000000"/>
        </w:rPr>
        <w:t>; and</w:t>
      </w:r>
      <w:r w:rsidR="008146CE" w:rsidRPr="00601347">
        <w:rPr>
          <w:rFonts w:ascii="Book Antiqua" w:hAnsi="Book Antiqua"/>
          <w:lang w:eastAsia="zh-CN"/>
        </w:rPr>
        <w:t xml:space="preserve"> </w:t>
      </w:r>
      <w:r w:rsidR="00AB2F4D" w:rsidRPr="00601347">
        <w:rPr>
          <w:rFonts w:ascii="Book Antiqua" w:eastAsia="Book Antiqua" w:hAnsi="Book Antiqua" w:cs="Book Antiqua"/>
          <w:color w:val="000000"/>
        </w:rPr>
        <w:t xml:space="preserve">D: </w:t>
      </w:r>
      <w:r w:rsidRPr="00601347">
        <w:rPr>
          <w:rFonts w:ascii="Book Antiqua" w:eastAsia="Book Antiqua" w:hAnsi="Book Antiqua" w:cs="Book Antiqua"/>
          <w:color w:val="000000"/>
        </w:rPr>
        <w:t xml:space="preserve">Complete recanalization of </w:t>
      </w:r>
      <w:r w:rsidR="005D7C5A">
        <w:rPr>
          <w:rFonts w:ascii="Book Antiqua" w:eastAsia="Book Antiqua" w:hAnsi="Book Antiqua" w:cs="Book Antiqua"/>
          <w:color w:val="000000"/>
        </w:rPr>
        <w:t xml:space="preserve">the </w:t>
      </w:r>
      <w:r w:rsidR="00A3620A" w:rsidRPr="00601347">
        <w:rPr>
          <w:rFonts w:ascii="Book Antiqua" w:eastAsia="Book Antiqua" w:hAnsi="Book Antiqua" w:cs="Book Antiqua"/>
          <w:color w:val="000000"/>
        </w:rPr>
        <w:t>hepatic artery</w:t>
      </w:r>
      <w:r w:rsidRPr="00601347">
        <w:rPr>
          <w:rFonts w:ascii="Book Antiqua" w:eastAsia="Book Antiqua" w:hAnsi="Book Antiqua" w:cs="Book Antiqua"/>
          <w:color w:val="000000"/>
        </w:rPr>
        <w:t xml:space="preserve"> after continuous injection of alteplase: No obvious filling defects in the hepatic trunk and intrahepatic branches w</w:t>
      </w:r>
      <w:r w:rsidR="005D7C5A">
        <w:rPr>
          <w:rFonts w:ascii="Book Antiqua" w:eastAsia="Book Antiqua" w:hAnsi="Book Antiqua" w:cs="Book Antiqua"/>
          <w:color w:val="000000"/>
        </w:rPr>
        <w:t>ere</w:t>
      </w:r>
      <w:r w:rsidRPr="00601347">
        <w:rPr>
          <w:rFonts w:ascii="Book Antiqua" w:eastAsia="Book Antiqua" w:hAnsi="Book Antiqua" w:cs="Book Antiqua"/>
          <w:color w:val="000000"/>
        </w:rPr>
        <w:t xml:space="preserve"> observed.</w:t>
      </w:r>
    </w:p>
    <w:bookmarkEnd w:id="45"/>
    <w:bookmarkEnd w:id="46"/>
    <w:p w14:paraId="3062DEFD" w14:textId="6D8FA6C9" w:rsidR="00A3620A" w:rsidRPr="00601347" w:rsidRDefault="00A3620A" w:rsidP="00601347">
      <w:pPr>
        <w:autoSpaceDE w:val="0"/>
        <w:autoSpaceDN w:val="0"/>
        <w:adjustRightInd w:val="0"/>
        <w:snapToGrid w:val="0"/>
        <w:spacing w:line="360" w:lineRule="auto"/>
        <w:jc w:val="both"/>
        <w:rPr>
          <w:rFonts w:ascii="Book Antiqua" w:hAnsi="Book Antiqua" w:cs="Times"/>
          <w:b/>
          <w:bCs/>
        </w:rPr>
      </w:pPr>
      <w:r w:rsidRPr="00601347">
        <w:rPr>
          <w:rFonts w:ascii="Book Antiqua" w:hAnsi="Book Antiqua" w:cs="Times"/>
          <w:b/>
          <w:bCs/>
        </w:rPr>
        <w:lastRenderedPageBreak/>
        <w:t>Table</w:t>
      </w:r>
      <w:r w:rsidR="005D7C5A">
        <w:rPr>
          <w:rFonts w:ascii="Book Antiqua" w:hAnsi="Book Antiqua" w:cs="Times"/>
          <w:b/>
          <w:bCs/>
        </w:rPr>
        <w:t xml:space="preserve"> </w:t>
      </w:r>
      <w:r w:rsidRPr="00601347">
        <w:rPr>
          <w:rFonts w:ascii="Book Antiqua" w:hAnsi="Book Antiqua" w:cs="Times"/>
          <w:b/>
          <w:bCs/>
        </w:rPr>
        <w:t xml:space="preserve">1 Demographic data </w:t>
      </w:r>
      <w:r w:rsidR="005D7C5A">
        <w:rPr>
          <w:rFonts w:ascii="Book Antiqua" w:hAnsi="Book Antiqua" w:cs="Times"/>
          <w:b/>
          <w:bCs/>
        </w:rPr>
        <w:t>of</w:t>
      </w:r>
      <w:r w:rsidRPr="00601347">
        <w:rPr>
          <w:rFonts w:ascii="Book Antiqua" w:hAnsi="Book Antiqua" w:cs="Times"/>
          <w:b/>
          <w:bCs/>
        </w:rPr>
        <w:t xml:space="preserve"> the recipients and details of operation</w:t>
      </w:r>
    </w:p>
    <w:tbl>
      <w:tblPr>
        <w:tblW w:w="13467" w:type="dxa"/>
        <w:tblInd w:w="108" w:type="dxa"/>
        <w:tblBorders>
          <w:top w:val="single" w:sz="4" w:space="0" w:color="auto"/>
          <w:bottom w:val="single" w:sz="4" w:space="0" w:color="auto"/>
        </w:tblBorders>
        <w:tblLayout w:type="fixed"/>
        <w:tblLook w:val="04A0" w:firstRow="1" w:lastRow="0" w:firstColumn="1" w:lastColumn="0" w:noHBand="0" w:noVBand="1"/>
      </w:tblPr>
      <w:tblGrid>
        <w:gridCol w:w="3856"/>
        <w:gridCol w:w="9611"/>
      </w:tblGrid>
      <w:tr w:rsidR="007733FF" w:rsidRPr="00601347" w14:paraId="52A0D0F3" w14:textId="77777777" w:rsidTr="00601347">
        <w:trPr>
          <w:trHeight w:val="494"/>
        </w:trPr>
        <w:tc>
          <w:tcPr>
            <w:tcW w:w="13467" w:type="dxa"/>
            <w:gridSpan w:val="2"/>
            <w:tcBorders>
              <w:top w:val="single" w:sz="4" w:space="0" w:color="auto"/>
              <w:bottom w:val="single" w:sz="4" w:space="0" w:color="auto"/>
            </w:tcBorders>
          </w:tcPr>
          <w:p w14:paraId="0CEBF19D" w14:textId="3BC3B55A" w:rsidR="007733FF" w:rsidRPr="00601347" w:rsidRDefault="00601347" w:rsidP="00601347">
            <w:pPr>
              <w:autoSpaceDE w:val="0"/>
              <w:autoSpaceDN w:val="0"/>
              <w:adjustRightInd w:val="0"/>
              <w:snapToGrid w:val="0"/>
              <w:spacing w:line="360" w:lineRule="auto"/>
              <w:jc w:val="both"/>
              <w:rPr>
                <w:rFonts w:ascii="Book Antiqua" w:hAnsi="Book Antiqua"/>
                <w:b/>
              </w:rPr>
            </w:pPr>
            <w:r w:rsidRPr="00601347">
              <w:rPr>
                <w:rFonts w:ascii="Book Antiqua" w:hAnsi="Book Antiqua" w:cs="Times"/>
                <w:b/>
                <w:bCs/>
              </w:rPr>
              <w:t>Recipients and details of operation</w:t>
            </w:r>
          </w:p>
        </w:tc>
      </w:tr>
      <w:tr w:rsidR="00A3620A" w:rsidRPr="00601347" w14:paraId="3ED00EDD" w14:textId="77777777" w:rsidTr="00601347">
        <w:trPr>
          <w:trHeight w:val="494"/>
        </w:trPr>
        <w:tc>
          <w:tcPr>
            <w:tcW w:w="3856" w:type="dxa"/>
            <w:tcBorders>
              <w:top w:val="single" w:sz="4" w:space="0" w:color="auto"/>
            </w:tcBorders>
            <w:hideMark/>
          </w:tcPr>
          <w:p w14:paraId="5C1157C4"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Period</w:t>
            </w:r>
          </w:p>
        </w:tc>
        <w:tc>
          <w:tcPr>
            <w:tcW w:w="9611" w:type="dxa"/>
            <w:tcBorders>
              <w:top w:val="single" w:sz="4" w:space="0" w:color="auto"/>
            </w:tcBorders>
            <w:vAlign w:val="center"/>
            <w:hideMark/>
          </w:tcPr>
          <w:p w14:paraId="2060DB76" w14:textId="0D8FAECE"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September,</w:t>
            </w:r>
            <w:r w:rsidR="003A4DE9" w:rsidRPr="00601347">
              <w:rPr>
                <w:rFonts w:ascii="Book Antiqua" w:hAnsi="Book Antiqua"/>
              </w:rPr>
              <w:t xml:space="preserve"> </w:t>
            </w:r>
            <w:r w:rsidRPr="00601347">
              <w:rPr>
                <w:rFonts w:ascii="Book Antiqua" w:hAnsi="Book Antiqua"/>
              </w:rPr>
              <w:t>2011-December,</w:t>
            </w:r>
            <w:r w:rsidR="003A4DE9" w:rsidRPr="00601347">
              <w:rPr>
                <w:rFonts w:ascii="Book Antiqua" w:hAnsi="Book Antiqua"/>
              </w:rPr>
              <w:t xml:space="preserve"> </w:t>
            </w:r>
            <w:r w:rsidRPr="00601347">
              <w:rPr>
                <w:rFonts w:ascii="Book Antiqua" w:hAnsi="Book Antiqua"/>
              </w:rPr>
              <w:t>2016</w:t>
            </w:r>
          </w:p>
        </w:tc>
      </w:tr>
      <w:tr w:rsidR="00A3620A" w:rsidRPr="00601347" w14:paraId="23C52236" w14:textId="77777777" w:rsidTr="00601347">
        <w:trPr>
          <w:trHeight w:val="558"/>
        </w:trPr>
        <w:tc>
          <w:tcPr>
            <w:tcW w:w="3856" w:type="dxa"/>
            <w:hideMark/>
          </w:tcPr>
          <w:p w14:paraId="4ED71BB0"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Number of cases</w:t>
            </w:r>
          </w:p>
        </w:tc>
        <w:tc>
          <w:tcPr>
            <w:tcW w:w="9611" w:type="dxa"/>
            <w:vAlign w:val="center"/>
            <w:hideMark/>
          </w:tcPr>
          <w:p w14:paraId="2D4DFBE4" w14:textId="77777777"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2.7% (4 of 147 cases)</w:t>
            </w:r>
          </w:p>
        </w:tc>
      </w:tr>
      <w:tr w:rsidR="00A3620A" w:rsidRPr="00601347" w14:paraId="32E0D6B2" w14:textId="77777777" w:rsidTr="00660062">
        <w:trPr>
          <w:trHeight w:val="70"/>
        </w:trPr>
        <w:tc>
          <w:tcPr>
            <w:tcW w:w="3856" w:type="dxa"/>
            <w:hideMark/>
          </w:tcPr>
          <w:p w14:paraId="5CBE36ED"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Gender</w:t>
            </w:r>
          </w:p>
        </w:tc>
        <w:tc>
          <w:tcPr>
            <w:tcW w:w="9611" w:type="dxa"/>
            <w:vAlign w:val="center"/>
            <w:hideMark/>
          </w:tcPr>
          <w:p w14:paraId="084DFC9D" w14:textId="261A0FBB" w:rsidR="00A3620A" w:rsidRPr="00601347" w:rsidRDefault="008146CE"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Male: 2;</w:t>
            </w:r>
            <w:r w:rsidR="00A3620A" w:rsidRPr="00601347">
              <w:rPr>
                <w:rFonts w:ascii="Book Antiqua" w:hAnsi="Book Antiqua"/>
              </w:rPr>
              <w:t xml:space="preserve"> </w:t>
            </w:r>
            <w:r w:rsidRPr="00601347">
              <w:rPr>
                <w:rFonts w:ascii="Book Antiqua" w:hAnsi="Book Antiqua"/>
              </w:rPr>
              <w:t>Female</w:t>
            </w:r>
            <w:r w:rsidR="00A3620A" w:rsidRPr="00601347">
              <w:rPr>
                <w:rFonts w:ascii="Book Antiqua" w:hAnsi="Book Antiqua"/>
              </w:rPr>
              <w:t>: 2</w:t>
            </w:r>
          </w:p>
        </w:tc>
      </w:tr>
      <w:tr w:rsidR="00A3620A" w:rsidRPr="00601347" w14:paraId="7A042007" w14:textId="77777777" w:rsidTr="00601347">
        <w:trPr>
          <w:trHeight w:val="649"/>
        </w:trPr>
        <w:tc>
          <w:tcPr>
            <w:tcW w:w="3856" w:type="dxa"/>
            <w:hideMark/>
          </w:tcPr>
          <w:p w14:paraId="76994553" w14:textId="21D868C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Age (</w:t>
            </w:r>
            <w:proofErr w:type="spellStart"/>
            <w:r w:rsidRPr="00601347">
              <w:rPr>
                <w:rFonts w:ascii="Book Antiqua" w:hAnsi="Book Antiqua" w:cs="Times"/>
                <w:bCs/>
              </w:rPr>
              <w:t>y</w:t>
            </w:r>
            <w:r w:rsidR="003A4DE9" w:rsidRPr="00601347">
              <w:rPr>
                <w:rFonts w:ascii="Book Antiqua" w:hAnsi="Book Antiqua" w:cs="Times"/>
                <w:bCs/>
              </w:rPr>
              <w:t>r</w:t>
            </w:r>
            <w:proofErr w:type="spellEnd"/>
            <w:r w:rsidRPr="00601347">
              <w:rPr>
                <w:rFonts w:ascii="Book Antiqua" w:hAnsi="Book Antiqua" w:cs="Times"/>
                <w:bCs/>
              </w:rPr>
              <w:t>)</w:t>
            </w:r>
          </w:p>
        </w:tc>
        <w:tc>
          <w:tcPr>
            <w:tcW w:w="9611" w:type="dxa"/>
            <w:vAlign w:val="center"/>
            <w:hideMark/>
          </w:tcPr>
          <w:p w14:paraId="7105791C" w14:textId="77777777"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50 (36-67)</w:t>
            </w:r>
          </w:p>
        </w:tc>
      </w:tr>
      <w:tr w:rsidR="00A3620A" w:rsidRPr="00601347" w14:paraId="1637965E" w14:textId="77777777" w:rsidTr="00601347">
        <w:trPr>
          <w:trHeight w:val="545"/>
        </w:trPr>
        <w:tc>
          <w:tcPr>
            <w:tcW w:w="3856" w:type="dxa"/>
            <w:hideMark/>
          </w:tcPr>
          <w:p w14:paraId="0B4DAC4D"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History of TACE</w:t>
            </w:r>
          </w:p>
        </w:tc>
        <w:tc>
          <w:tcPr>
            <w:tcW w:w="9611" w:type="dxa"/>
            <w:vAlign w:val="center"/>
            <w:hideMark/>
          </w:tcPr>
          <w:p w14:paraId="3DD7ADE9" w14:textId="77777777"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1 case</w:t>
            </w:r>
          </w:p>
        </w:tc>
      </w:tr>
      <w:tr w:rsidR="00A3620A" w:rsidRPr="00601347" w14:paraId="1C2E6BE9" w14:textId="77777777" w:rsidTr="00601347">
        <w:trPr>
          <w:trHeight w:val="584"/>
        </w:trPr>
        <w:tc>
          <w:tcPr>
            <w:tcW w:w="3856" w:type="dxa"/>
            <w:hideMark/>
          </w:tcPr>
          <w:p w14:paraId="6D905C01"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History of epigastric operation</w:t>
            </w:r>
          </w:p>
        </w:tc>
        <w:tc>
          <w:tcPr>
            <w:tcW w:w="9611" w:type="dxa"/>
            <w:vAlign w:val="center"/>
            <w:hideMark/>
          </w:tcPr>
          <w:p w14:paraId="5626739F" w14:textId="19C207F5" w:rsidR="00A3620A" w:rsidRPr="00601347" w:rsidRDefault="007733FF"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None</w:t>
            </w:r>
          </w:p>
        </w:tc>
      </w:tr>
      <w:tr w:rsidR="00A3620A" w:rsidRPr="00601347" w14:paraId="1E54AE6F" w14:textId="77777777" w:rsidTr="00601347">
        <w:trPr>
          <w:trHeight w:val="600"/>
        </w:trPr>
        <w:tc>
          <w:tcPr>
            <w:tcW w:w="3856" w:type="dxa"/>
            <w:hideMark/>
          </w:tcPr>
          <w:p w14:paraId="3BEE989F"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Original disease</w:t>
            </w:r>
          </w:p>
        </w:tc>
        <w:tc>
          <w:tcPr>
            <w:tcW w:w="9611" w:type="dxa"/>
            <w:hideMark/>
          </w:tcPr>
          <w:p w14:paraId="2289DF9F" w14:textId="1CDB83B4"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HCC:</w:t>
            </w:r>
            <w:r w:rsidR="003A4DE9" w:rsidRPr="00601347">
              <w:rPr>
                <w:rFonts w:ascii="Book Antiqua" w:hAnsi="Book Antiqua"/>
              </w:rPr>
              <w:t xml:space="preserve"> </w:t>
            </w:r>
            <w:r w:rsidR="007733FF" w:rsidRPr="00601347">
              <w:rPr>
                <w:rFonts w:ascii="Book Antiqua" w:hAnsi="Book Antiqua"/>
              </w:rPr>
              <w:t>2;</w:t>
            </w:r>
            <w:r w:rsidR="007733FF" w:rsidRPr="00601347">
              <w:rPr>
                <w:rFonts w:ascii="Book Antiqua" w:hAnsi="Book Antiqua"/>
                <w:lang w:eastAsia="zh-CN"/>
              </w:rPr>
              <w:t xml:space="preserve"> </w:t>
            </w:r>
            <w:r w:rsidR="007733FF" w:rsidRPr="00601347">
              <w:rPr>
                <w:rFonts w:ascii="Book Antiqua" w:hAnsi="Book Antiqua"/>
              </w:rPr>
              <w:t xml:space="preserve">Liver </w:t>
            </w:r>
            <w:r w:rsidRPr="00601347">
              <w:rPr>
                <w:rFonts w:ascii="Book Antiqua" w:hAnsi="Book Antiqua"/>
              </w:rPr>
              <w:t>cirrhosis (unknown cause):</w:t>
            </w:r>
            <w:r w:rsidR="003A4DE9" w:rsidRPr="00601347">
              <w:rPr>
                <w:rFonts w:ascii="Book Antiqua" w:hAnsi="Book Antiqua"/>
              </w:rPr>
              <w:t xml:space="preserve"> </w:t>
            </w:r>
            <w:r w:rsidR="007733FF" w:rsidRPr="00601347">
              <w:rPr>
                <w:rFonts w:ascii="Book Antiqua" w:hAnsi="Book Antiqua"/>
              </w:rPr>
              <w:t>1;</w:t>
            </w:r>
            <w:r w:rsidR="007733FF" w:rsidRPr="00601347">
              <w:rPr>
                <w:rFonts w:ascii="Book Antiqua" w:hAnsi="Book Antiqua"/>
                <w:lang w:eastAsia="zh-CN"/>
              </w:rPr>
              <w:t xml:space="preserve"> </w:t>
            </w:r>
            <w:r w:rsidR="007733FF" w:rsidRPr="00601347">
              <w:rPr>
                <w:rFonts w:ascii="Book Antiqua" w:hAnsi="Book Antiqua"/>
              </w:rPr>
              <w:t xml:space="preserve">Acute </w:t>
            </w:r>
            <w:r w:rsidRPr="00601347">
              <w:rPr>
                <w:rFonts w:ascii="Book Antiqua" w:hAnsi="Book Antiqua"/>
              </w:rPr>
              <w:t>hepatic failure (unknown cause):</w:t>
            </w:r>
            <w:r w:rsidR="003A4DE9" w:rsidRPr="00601347">
              <w:rPr>
                <w:rFonts w:ascii="Book Antiqua" w:hAnsi="Book Antiqua"/>
              </w:rPr>
              <w:t xml:space="preserve"> </w:t>
            </w:r>
            <w:r w:rsidRPr="00601347">
              <w:rPr>
                <w:rFonts w:ascii="Book Antiqua" w:hAnsi="Book Antiqua"/>
              </w:rPr>
              <w:t>1</w:t>
            </w:r>
          </w:p>
        </w:tc>
      </w:tr>
      <w:tr w:rsidR="00A3620A" w:rsidRPr="00601347" w14:paraId="3D86E529" w14:textId="77777777" w:rsidTr="00601347">
        <w:trPr>
          <w:trHeight w:val="658"/>
        </w:trPr>
        <w:tc>
          <w:tcPr>
            <w:tcW w:w="3856" w:type="dxa"/>
            <w:hideMark/>
          </w:tcPr>
          <w:p w14:paraId="31B4905F"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ABO-compatibility</w:t>
            </w:r>
          </w:p>
        </w:tc>
        <w:tc>
          <w:tcPr>
            <w:tcW w:w="9611" w:type="dxa"/>
            <w:vAlign w:val="center"/>
            <w:hideMark/>
          </w:tcPr>
          <w:p w14:paraId="77136141" w14:textId="4FBA5D8E" w:rsidR="00A3620A" w:rsidRPr="00601347" w:rsidRDefault="008146CE" w:rsidP="00601347">
            <w:pPr>
              <w:autoSpaceDE w:val="0"/>
              <w:autoSpaceDN w:val="0"/>
              <w:adjustRightInd w:val="0"/>
              <w:snapToGrid w:val="0"/>
              <w:spacing w:line="360" w:lineRule="auto"/>
              <w:jc w:val="both"/>
              <w:rPr>
                <w:rFonts w:ascii="Book Antiqua" w:hAnsi="Book Antiqua"/>
                <w:color w:val="000000"/>
              </w:rPr>
            </w:pPr>
            <w:r w:rsidRPr="00601347">
              <w:rPr>
                <w:rFonts w:ascii="Book Antiqua" w:hAnsi="Book Antiqua"/>
                <w:color w:val="000000"/>
              </w:rPr>
              <w:t>Identical</w:t>
            </w:r>
            <w:r w:rsidR="00A3620A" w:rsidRPr="00601347">
              <w:rPr>
                <w:rFonts w:ascii="Book Antiqua" w:hAnsi="Book Antiqua"/>
                <w:color w:val="000000"/>
              </w:rPr>
              <w:t>:</w:t>
            </w:r>
            <w:r w:rsidR="003A4DE9" w:rsidRPr="00601347">
              <w:rPr>
                <w:rFonts w:ascii="Book Antiqua" w:hAnsi="Book Antiqua"/>
                <w:color w:val="000000"/>
              </w:rPr>
              <w:t xml:space="preserve"> </w:t>
            </w:r>
            <w:r w:rsidR="007733FF" w:rsidRPr="00601347">
              <w:rPr>
                <w:rFonts w:ascii="Book Antiqua" w:hAnsi="Book Antiqua"/>
                <w:color w:val="000000"/>
              </w:rPr>
              <w:t>2;</w:t>
            </w:r>
            <w:r w:rsidR="00A3620A" w:rsidRPr="00601347">
              <w:rPr>
                <w:rFonts w:ascii="Book Antiqua" w:hAnsi="Book Antiqua"/>
                <w:color w:val="000000"/>
              </w:rPr>
              <w:t xml:space="preserve"> </w:t>
            </w:r>
            <w:r w:rsidR="007733FF" w:rsidRPr="00601347">
              <w:rPr>
                <w:rFonts w:ascii="Book Antiqua" w:hAnsi="Book Antiqua"/>
                <w:color w:val="000000"/>
              </w:rPr>
              <w:t>Compatible: 1;</w:t>
            </w:r>
            <w:r w:rsidR="00A3620A" w:rsidRPr="00601347">
              <w:rPr>
                <w:rFonts w:ascii="Book Antiqua" w:hAnsi="Book Antiqua"/>
                <w:color w:val="000000"/>
              </w:rPr>
              <w:t xml:space="preserve"> </w:t>
            </w:r>
            <w:r w:rsidR="007733FF" w:rsidRPr="00601347">
              <w:rPr>
                <w:rFonts w:ascii="Book Antiqua" w:hAnsi="Book Antiqua"/>
                <w:color w:val="000000"/>
              </w:rPr>
              <w:t>Incompatible</w:t>
            </w:r>
            <w:r w:rsidR="00A3620A" w:rsidRPr="00601347">
              <w:rPr>
                <w:rFonts w:ascii="Book Antiqua" w:hAnsi="Book Antiqua"/>
                <w:color w:val="000000"/>
              </w:rPr>
              <w:t>: 1</w:t>
            </w:r>
          </w:p>
        </w:tc>
      </w:tr>
      <w:tr w:rsidR="00A3620A" w:rsidRPr="00601347" w14:paraId="2B444DF4" w14:textId="77777777" w:rsidTr="00601347">
        <w:trPr>
          <w:trHeight w:val="416"/>
        </w:trPr>
        <w:tc>
          <w:tcPr>
            <w:tcW w:w="3856" w:type="dxa"/>
            <w:hideMark/>
          </w:tcPr>
          <w:p w14:paraId="7B123B1F"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Anastomotic site</w:t>
            </w:r>
          </w:p>
        </w:tc>
        <w:tc>
          <w:tcPr>
            <w:tcW w:w="9611" w:type="dxa"/>
            <w:hideMark/>
          </w:tcPr>
          <w:p w14:paraId="35A237D2" w14:textId="49A59536" w:rsidR="00A3620A" w:rsidRPr="00601347" w:rsidRDefault="00A3620A" w:rsidP="00601347">
            <w:pPr>
              <w:autoSpaceDE w:val="0"/>
              <w:autoSpaceDN w:val="0"/>
              <w:adjustRightInd w:val="0"/>
              <w:snapToGrid w:val="0"/>
              <w:spacing w:line="360" w:lineRule="auto"/>
              <w:jc w:val="both"/>
              <w:rPr>
                <w:rFonts w:ascii="Book Antiqua" w:hAnsi="Book Antiqua"/>
                <w:color w:val="000000"/>
                <w:lang w:eastAsia="zh-CN"/>
              </w:rPr>
            </w:pPr>
            <w:r w:rsidRPr="00601347">
              <w:rPr>
                <w:rFonts w:ascii="Book Antiqua" w:hAnsi="Book Antiqua"/>
                <w:color w:val="000000"/>
              </w:rPr>
              <w:t>Donor:</w:t>
            </w:r>
            <w:r w:rsidR="00176D7E" w:rsidRPr="00601347">
              <w:rPr>
                <w:rFonts w:ascii="Book Antiqua" w:hAnsi="Book Antiqua"/>
                <w:color w:val="000000"/>
                <w:lang w:eastAsia="zh-CN"/>
              </w:rPr>
              <w:t xml:space="preserve"> </w:t>
            </w:r>
            <w:r w:rsidRPr="00601347">
              <w:rPr>
                <w:rFonts w:ascii="Book Antiqua" w:hAnsi="Book Antiqua"/>
                <w:color w:val="000000"/>
              </w:rPr>
              <w:t>Artery bifur</w:t>
            </w:r>
            <w:r w:rsidR="007733FF" w:rsidRPr="00601347">
              <w:rPr>
                <w:rFonts w:ascii="Book Antiqua" w:hAnsi="Book Antiqua"/>
                <w:color w:val="000000"/>
              </w:rPr>
              <w:t>cation of the CHA and the SA: 3;</w:t>
            </w:r>
            <w:r w:rsidR="007733FF" w:rsidRPr="00601347">
              <w:rPr>
                <w:rFonts w:ascii="Book Antiqua" w:hAnsi="Book Antiqua"/>
                <w:color w:val="000000"/>
                <w:lang w:eastAsia="zh-CN"/>
              </w:rPr>
              <w:t xml:space="preserve"> </w:t>
            </w:r>
            <w:r w:rsidR="007733FF" w:rsidRPr="00601347">
              <w:rPr>
                <w:rFonts w:ascii="Book Antiqua" w:hAnsi="Book Antiqua"/>
                <w:color w:val="000000"/>
              </w:rPr>
              <w:t xml:space="preserve">The </w:t>
            </w:r>
            <w:r w:rsidRPr="00601347">
              <w:rPr>
                <w:rFonts w:ascii="Book Antiqua" w:hAnsi="Book Antiqua"/>
                <w:color w:val="000000"/>
              </w:rPr>
              <w:t>trunk of CHA:1</w:t>
            </w:r>
            <w:r w:rsidR="007733FF" w:rsidRPr="00601347">
              <w:rPr>
                <w:rFonts w:ascii="Book Antiqua" w:hAnsi="Book Antiqua"/>
                <w:color w:val="000000"/>
              </w:rPr>
              <w:t>;</w:t>
            </w:r>
            <w:r w:rsidR="007733FF" w:rsidRPr="00601347">
              <w:rPr>
                <w:rFonts w:ascii="Book Antiqua" w:hAnsi="Book Antiqua"/>
                <w:color w:val="000000"/>
                <w:lang w:eastAsia="zh-CN"/>
              </w:rPr>
              <w:t xml:space="preserve"> </w:t>
            </w:r>
            <w:r w:rsidRPr="00601347">
              <w:rPr>
                <w:rFonts w:ascii="Book Antiqua" w:hAnsi="Book Antiqua"/>
                <w:color w:val="000000"/>
              </w:rPr>
              <w:t>Recipient:</w:t>
            </w:r>
            <w:r w:rsidR="007733FF" w:rsidRPr="00601347">
              <w:rPr>
                <w:rFonts w:ascii="Book Antiqua" w:hAnsi="Book Antiqua"/>
                <w:color w:val="000000"/>
                <w:lang w:eastAsia="zh-CN"/>
              </w:rPr>
              <w:t xml:space="preserve"> </w:t>
            </w:r>
            <w:r w:rsidRPr="00601347">
              <w:rPr>
                <w:rFonts w:ascii="Book Antiqua" w:hAnsi="Book Antiqua"/>
                <w:color w:val="000000"/>
              </w:rPr>
              <w:t>artery bifurcation of the CHA and the GDA:</w:t>
            </w:r>
            <w:r w:rsidR="003A4DE9" w:rsidRPr="00601347">
              <w:rPr>
                <w:rFonts w:ascii="Book Antiqua" w:hAnsi="Book Antiqua"/>
                <w:color w:val="000000"/>
              </w:rPr>
              <w:t xml:space="preserve"> </w:t>
            </w:r>
            <w:r w:rsidR="007733FF" w:rsidRPr="00601347">
              <w:rPr>
                <w:rFonts w:ascii="Book Antiqua" w:hAnsi="Book Antiqua"/>
                <w:color w:val="000000"/>
              </w:rPr>
              <w:t>3;</w:t>
            </w:r>
            <w:r w:rsidR="007733FF" w:rsidRPr="00601347">
              <w:rPr>
                <w:rFonts w:ascii="Book Antiqua" w:hAnsi="Book Antiqua"/>
                <w:color w:val="000000"/>
                <w:lang w:eastAsia="zh-CN"/>
              </w:rPr>
              <w:t xml:space="preserve"> </w:t>
            </w:r>
            <w:r w:rsidR="007733FF" w:rsidRPr="00601347">
              <w:rPr>
                <w:rFonts w:ascii="Book Antiqua" w:hAnsi="Book Antiqua"/>
                <w:color w:val="000000"/>
              </w:rPr>
              <w:t xml:space="preserve">The </w:t>
            </w:r>
            <w:r w:rsidRPr="00601347">
              <w:rPr>
                <w:rFonts w:ascii="Book Antiqua" w:hAnsi="Book Antiqua"/>
                <w:color w:val="000000"/>
              </w:rPr>
              <w:t>trunk of CHA:</w:t>
            </w:r>
            <w:r w:rsidR="003A4DE9" w:rsidRPr="00601347">
              <w:rPr>
                <w:rFonts w:ascii="Book Antiqua" w:hAnsi="Book Antiqua"/>
                <w:color w:val="000000"/>
              </w:rPr>
              <w:t xml:space="preserve"> </w:t>
            </w:r>
            <w:r w:rsidRPr="00601347">
              <w:rPr>
                <w:rFonts w:ascii="Book Antiqua" w:hAnsi="Book Antiqua"/>
                <w:color w:val="000000"/>
              </w:rPr>
              <w:t>1</w:t>
            </w:r>
          </w:p>
        </w:tc>
      </w:tr>
      <w:tr w:rsidR="00A3620A" w:rsidRPr="00601347" w14:paraId="4D3EF77A" w14:textId="77777777" w:rsidTr="00601347">
        <w:trPr>
          <w:trHeight w:val="497"/>
        </w:trPr>
        <w:tc>
          <w:tcPr>
            <w:tcW w:w="3856" w:type="dxa"/>
            <w:hideMark/>
          </w:tcPr>
          <w:p w14:paraId="766F5B3C"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Operative suture</w:t>
            </w:r>
          </w:p>
        </w:tc>
        <w:tc>
          <w:tcPr>
            <w:tcW w:w="9611" w:type="dxa"/>
            <w:vAlign w:val="center"/>
            <w:hideMark/>
          </w:tcPr>
          <w:p w14:paraId="290C0595" w14:textId="4CD8C947" w:rsidR="00A3620A" w:rsidRPr="00601347" w:rsidRDefault="00A3620A" w:rsidP="00601347">
            <w:pPr>
              <w:autoSpaceDE w:val="0"/>
              <w:autoSpaceDN w:val="0"/>
              <w:adjustRightInd w:val="0"/>
              <w:snapToGrid w:val="0"/>
              <w:spacing w:line="360" w:lineRule="auto"/>
              <w:jc w:val="both"/>
              <w:rPr>
                <w:rFonts w:ascii="Book Antiqua" w:hAnsi="Book Antiqua" w:cs="Times"/>
              </w:rPr>
            </w:pPr>
            <w:r w:rsidRPr="00601347">
              <w:rPr>
                <w:rFonts w:ascii="Book Antiqua" w:hAnsi="Book Antiqua" w:cs="Times"/>
              </w:rPr>
              <w:t xml:space="preserve">7-0 </w:t>
            </w:r>
            <w:proofErr w:type="spellStart"/>
            <w:r w:rsidRPr="00601347">
              <w:rPr>
                <w:rFonts w:ascii="Book Antiqua" w:hAnsi="Book Antiqua" w:cs="Times"/>
              </w:rPr>
              <w:t>prolene</w:t>
            </w:r>
            <w:proofErr w:type="spellEnd"/>
            <w:r w:rsidRPr="00601347">
              <w:rPr>
                <w:rFonts w:ascii="Book Antiqua" w:hAnsi="Book Antiqua" w:cs="Times"/>
              </w:rPr>
              <w:t>:</w:t>
            </w:r>
            <w:r w:rsidR="003A4DE9" w:rsidRPr="00601347">
              <w:rPr>
                <w:rFonts w:ascii="Book Antiqua" w:hAnsi="Book Antiqua" w:cs="Times"/>
              </w:rPr>
              <w:t xml:space="preserve"> </w:t>
            </w:r>
            <w:r w:rsidRPr="00601347">
              <w:rPr>
                <w:rFonts w:ascii="Book Antiqua" w:hAnsi="Book Antiqua" w:cs="Times"/>
              </w:rPr>
              <w:t>3</w:t>
            </w:r>
            <w:r w:rsidR="007733FF" w:rsidRPr="00601347">
              <w:rPr>
                <w:rFonts w:ascii="Book Antiqua" w:hAnsi="Book Antiqua" w:cs="Times"/>
                <w:lang w:eastAsia="zh-CN"/>
              </w:rPr>
              <w:t>;</w:t>
            </w:r>
            <w:r w:rsidR="003A4DE9" w:rsidRPr="00601347">
              <w:rPr>
                <w:rFonts w:ascii="Book Antiqua" w:hAnsi="Book Antiqua" w:cs="Times"/>
                <w:lang w:eastAsia="zh-CN"/>
              </w:rPr>
              <w:t xml:space="preserve"> </w:t>
            </w:r>
            <w:r w:rsidRPr="00601347">
              <w:rPr>
                <w:rFonts w:ascii="Book Antiqua" w:hAnsi="Book Antiqua" w:cs="Times"/>
              </w:rPr>
              <w:t xml:space="preserve">8-0 </w:t>
            </w:r>
            <w:proofErr w:type="spellStart"/>
            <w:r w:rsidRPr="00601347">
              <w:rPr>
                <w:rFonts w:ascii="Book Antiqua" w:hAnsi="Book Antiqua" w:cs="Times"/>
              </w:rPr>
              <w:t>prolene</w:t>
            </w:r>
            <w:proofErr w:type="spellEnd"/>
            <w:r w:rsidR="003A4DE9" w:rsidRPr="00601347">
              <w:rPr>
                <w:rFonts w:ascii="Book Antiqua" w:hAnsi="Book Antiqua" w:cs="Times"/>
              </w:rPr>
              <w:t xml:space="preserve">: </w:t>
            </w:r>
            <w:r w:rsidRPr="00601347">
              <w:rPr>
                <w:rFonts w:ascii="Book Antiqua" w:hAnsi="Book Antiqua" w:cs="Times"/>
              </w:rPr>
              <w:t>1</w:t>
            </w:r>
          </w:p>
        </w:tc>
      </w:tr>
      <w:tr w:rsidR="00A3620A" w:rsidRPr="00601347" w14:paraId="0C32A22C" w14:textId="77777777" w:rsidTr="00601347">
        <w:trPr>
          <w:trHeight w:val="510"/>
        </w:trPr>
        <w:tc>
          <w:tcPr>
            <w:tcW w:w="3856" w:type="dxa"/>
            <w:hideMark/>
          </w:tcPr>
          <w:p w14:paraId="03A8CEB4"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Multiple anastomoses</w:t>
            </w:r>
          </w:p>
        </w:tc>
        <w:tc>
          <w:tcPr>
            <w:tcW w:w="9611" w:type="dxa"/>
            <w:hideMark/>
          </w:tcPr>
          <w:p w14:paraId="7E0E7886" w14:textId="6D82700C" w:rsidR="00A3620A" w:rsidRPr="00601347" w:rsidRDefault="008146CE" w:rsidP="00601347">
            <w:pPr>
              <w:autoSpaceDE w:val="0"/>
              <w:autoSpaceDN w:val="0"/>
              <w:adjustRightInd w:val="0"/>
              <w:snapToGrid w:val="0"/>
              <w:spacing w:line="360" w:lineRule="auto"/>
              <w:jc w:val="both"/>
              <w:rPr>
                <w:rFonts w:ascii="Book Antiqua" w:hAnsi="Book Antiqua" w:cs="Times"/>
              </w:rPr>
            </w:pPr>
            <w:r w:rsidRPr="00601347">
              <w:rPr>
                <w:rFonts w:ascii="Book Antiqua" w:hAnsi="Book Antiqua" w:cs="Times"/>
              </w:rPr>
              <w:t>None</w:t>
            </w:r>
          </w:p>
        </w:tc>
      </w:tr>
    </w:tbl>
    <w:p w14:paraId="0D841E45" w14:textId="140408B3"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TACE</w:t>
      </w:r>
      <w:r w:rsidR="003A4DE9" w:rsidRPr="00601347">
        <w:rPr>
          <w:rFonts w:ascii="Book Antiqua" w:hAnsi="Book Antiqua"/>
        </w:rPr>
        <w:t>:</w:t>
      </w:r>
      <w:r w:rsidRPr="00601347">
        <w:rPr>
          <w:rFonts w:ascii="Book Antiqua" w:hAnsi="Book Antiqua" w:cs="Times"/>
          <w:color w:val="000000"/>
        </w:rPr>
        <w:t xml:space="preserve"> </w:t>
      </w:r>
      <w:r w:rsidR="003A4DE9" w:rsidRPr="00601347">
        <w:rPr>
          <w:rFonts w:ascii="Book Antiqua" w:hAnsi="Book Antiqua" w:cs="Times"/>
          <w:color w:val="000000"/>
        </w:rPr>
        <w:t>T</w:t>
      </w:r>
      <w:r w:rsidRPr="00601347">
        <w:rPr>
          <w:rFonts w:ascii="Book Antiqua" w:hAnsi="Book Antiqua" w:cs="Times"/>
          <w:color w:val="000000"/>
        </w:rPr>
        <w:t>rans-catheter arterial chemoembolization</w:t>
      </w:r>
      <w:r w:rsidRPr="00601347">
        <w:rPr>
          <w:rFonts w:ascii="Book Antiqua" w:hAnsi="Book Antiqua"/>
        </w:rPr>
        <w:t>; HCC</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H</w:t>
      </w:r>
      <w:r w:rsidRPr="00601347">
        <w:rPr>
          <w:rFonts w:ascii="Book Antiqua" w:hAnsi="Book Antiqua" w:cs="Times"/>
        </w:rPr>
        <w:t>epatocellular carcinoma</w:t>
      </w:r>
      <w:r w:rsidRPr="00601347">
        <w:rPr>
          <w:rFonts w:ascii="Book Antiqua" w:hAnsi="Book Antiqua"/>
        </w:rPr>
        <w:t>; CHA</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C</w:t>
      </w:r>
      <w:r w:rsidRPr="00601347">
        <w:rPr>
          <w:rFonts w:ascii="Book Antiqua" w:hAnsi="Book Antiqua" w:cs="Times"/>
        </w:rPr>
        <w:t>ommon hepatic artery</w:t>
      </w:r>
      <w:r w:rsidRPr="00601347">
        <w:rPr>
          <w:rFonts w:ascii="Book Antiqua" w:hAnsi="Book Antiqua"/>
        </w:rPr>
        <w:t>; SA</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S</w:t>
      </w:r>
      <w:r w:rsidRPr="00601347">
        <w:rPr>
          <w:rFonts w:ascii="Book Antiqua" w:hAnsi="Book Antiqua" w:cs="Times"/>
        </w:rPr>
        <w:t>plenic artery</w:t>
      </w:r>
      <w:r w:rsidRPr="00601347">
        <w:rPr>
          <w:rFonts w:ascii="Book Antiqua" w:hAnsi="Book Antiqua"/>
        </w:rPr>
        <w:t>; GDA</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G</w:t>
      </w:r>
      <w:r w:rsidRPr="00601347">
        <w:rPr>
          <w:rFonts w:ascii="Book Antiqua" w:hAnsi="Book Antiqua" w:cs="Times"/>
        </w:rPr>
        <w:t>astroduodenal artery</w:t>
      </w:r>
      <w:r w:rsidR="007733FF" w:rsidRPr="00601347">
        <w:rPr>
          <w:rFonts w:ascii="Book Antiqua" w:hAnsi="Book Antiqua" w:cs="Times"/>
        </w:rPr>
        <w:t>.</w:t>
      </w:r>
    </w:p>
    <w:p w14:paraId="2089FDF5" w14:textId="77777777" w:rsidR="00A3620A" w:rsidRPr="00601347" w:rsidRDefault="00A3620A" w:rsidP="00601347">
      <w:pPr>
        <w:adjustRightInd w:val="0"/>
        <w:snapToGrid w:val="0"/>
        <w:spacing w:line="360" w:lineRule="auto"/>
        <w:jc w:val="both"/>
        <w:rPr>
          <w:rFonts w:ascii="Book Antiqua" w:hAnsi="Book Antiqua" w:cs="Times"/>
        </w:rPr>
        <w:sectPr w:rsidR="00A3620A" w:rsidRPr="00601347" w:rsidSect="00B7655E">
          <w:type w:val="continuous"/>
          <w:pgSz w:w="16838" w:h="11906" w:orient="landscape"/>
          <w:pgMar w:top="1440" w:right="1800" w:bottom="1440" w:left="1800" w:header="720" w:footer="720" w:gutter="0"/>
          <w:cols w:space="720"/>
          <w:docGrid w:type="lines" w:linePitch="326"/>
        </w:sectPr>
      </w:pPr>
    </w:p>
    <w:p w14:paraId="107A1244" w14:textId="77777777" w:rsidR="008146CE" w:rsidRPr="00601347" w:rsidRDefault="008146CE" w:rsidP="00601347">
      <w:pPr>
        <w:snapToGrid w:val="0"/>
        <w:spacing w:line="360" w:lineRule="auto"/>
        <w:jc w:val="both"/>
        <w:rPr>
          <w:rFonts w:ascii="Book Antiqua" w:hAnsi="Book Antiqua" w:cs="Times"/>
          <w:b/>
          <w:bCs/>
        </w:rPr>
      </w:pPr>
      <w:r w:rsidRPr="00601347">
        <w:rPr>
          <w:rFonts w:ascii="Book Antiqua" w:hAnsi="Book Antiqua" w:cs="Times"/>
          <w:b/>
          <w:bCs/>
        </w:rPr>
        <w:lastRenderedPageBreak/>
        <w:br w:type="page"/>
      </w:r>
    </w:p>
    <w:p w14:paraId="68E05F04" w14:textId="7A2249E7" w:rsidR="00A3620A" w:rsidRPr="00601347" w:rsidRDefault="00A3620A" w:rsidP="00601347">
      <w:pPr>
        <w:adjustRightInd w:val="0"/>
        <w:snapToGrid w:val="0"/>
        <w:spacing w:line="360" w:lineRule="auto"/>
        <w:jc w:val="both"/>
        <w:rPr>
          <w:rFonts w:ascii="Book Antiqua" w:hAnsi="Book Antiqua" w:cs="Times"/>
          <w:b/>
          <w:bCs/>
        </w:rPr>
      </w:pPr>
      <w:r w:rsidRPr="00601347">
        <w:rPr>
          <w:rFonts w:ascii="Book Antiqua" w:hAnsi="Book Antiqua" w:cs="Times"/>
          <w:b/>
          <w:bCs/>
        </w:rPr>
        <w:lastRenderedPageBreak/>
        <w:t>Table</w:t>
      </w:r>
      <w:r w:rsidR="008146CE" w:rsidRPr="00601347">
        <w:rPr>
          <w:rFonts w:ascii="Book Antiqua" w:hAnsi="Book Antiqua" w:cs="Times"/>
          <w:b/>
          <w:bCs/>
        </w:rPr>
        <w:t xml:space="preserve"> </w:t>
      </w:r>
      <w:r w:rsidRPr="00601347">
        <w:rPr>
          <w:rFonts w:ascii="Book Antiqua" w:hAnsi="Book Antiqua" w:cs="Times"/>
          <w:b/>
          <w:bCs/>
        </w:rPr>
        <w:t xml:space="preserve">2 Details of patients’ diagnosis and treatment for </w:t>
      </w:r>
      <w:r w:rsidRPr="00601347">
        <w:rPr>
          <w:rFonts w:ascii="Book Antiqua" w:eastAsia="Book Antiqua" w:hAnsi="Book Antiqua" w:cs="Book Antiqua"/>
          <w:b/>
          <w:bCs/>
          <w:color w:val="000000"/>
        </w:rPr>
        <w:t>early hepatic artery thrombosis</w:t>
      </w:r>
    </w:p>
    <w:tbl>
      <w:tblPr>
        <w:tblW w:w="14034" w:type="dxa"/>
        <w:tblInd w:w="-431" w:type="dxa"/>
        <w:tblBorders>
          <w:top w:val="single" w:sz="4" w:space="0" w:color="auto"/>
          <w:bottom w:val="single" w:sz="4" w:space="0" w:color="auto"/>
        </w:tblBorders>
        <w:tblLayout w:type="fixed"/>
        <w:tblLook w:val="04A0" w:firstRow="1" w:lastRow="0" w:firstColumn="1" w:lastColumn="0" w:noHBand="0" w:noVBand="1"/>
      </w:tblPr>
      <w:tblGrid>
        <w:gridCol w:w="1844"/>
        <w:gridCol w:w="1559"/>
        <w:gridCol w:w="1418"/>
        <w:gridCol w:w="2268"/>
        <w:gridCol w:w="2693"/>
        <w:gridCol w:w="2381"/>
        <w:gridCol w:w="1871"/>
      </w:tblGrid>
      <w:tr w:rsidR="003A4DE9" w:rsidRPr="00601347" w14:paraId="5962B37A" w14:textId="77777777" w:rsidTr="00601347">
        <w:trPr>
          <w:trHeight w:val="427"/>
        </w:trPr>
        <w:tc>
          <w:tcPr>
            <w:tcW w:w="4821" w:type="dxa"/>
            <w:gridSpan w:val="3"/>
            <w:tcBorders>
              <w:top w:val="single" w:sz="4" w:space="0" w:color="auto"/>
              <w:bottom w:val="single" w:sz="4" w:space="0" w:color="auto"/>
            </w:tcBorders>
            <w:vAlign w:val="center"/>
          </w:tcPr>
          <w:p w14:paraId="02AA1371" w14:textId="77777777" w:rsidR="00A3620A" w:rsidRPr="00601347" w:rsidRDefault="00A3620A" w:rsidP="00601347">
            <w:pPr>
              <w:adjustRightInd w:val="0"/>
              <w:snapToGrid w:val="0"/>
              <w:spacing w:line="360" w:lineRule="auto"/>
              <w:ind w:firstLineChars="200" w:firstLine="480"/>
              <w:jc w:val="both"/>
              <w:rPr>
                <w:rFonts w:ascii="Book Antiqua" w:hAnsi="Book Antiqua"/>
              </w:rPr>
            </w:pPr>
          </w:p>
        </w:tc>
        <w:tc>
          <w:tcPr>
            <w:tcW w:w="2268" w:type="dxa"/>
            <w:tcBorders>
              <w:top w:val="single" w:sz="4" w:space="0" w:color="auto"/>
              <w:bottom w:val="single" w:sz="4" w:space="0" w:color="auto"/>
            </w:tcBorders>
            <w:vAlign w:val="center"/>
            <w:hideMark/>
          </w:tcPr>
          <w:p w14:paraId="51B89A9C" w14:textId="6C9E1D01"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1</w:t>
            </w:r>
          </w:p>
        </w:tc>
        <w:tc>
          <w:tcPr>
            <w:tcW w:w="2693" w:type="dxa"/>
            <w:tcBorders>
              <w:top w:val="single" w:sz="4" w:space="0" w:color="auto"/>
              <w:bottom w:val="single" w:sz="4" w:space="0" w:color="auto"/>
            </w:tcBorders>
            <w:vAlign w:val="center"/>
            <w:hideMark/>
          </w:tcPr>
          <w:p w14:paraId="3210343B" w14:textId="08CBB2F1"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2</w:t>
            </w:r>
          </w:p>
        </w:tc>
        <w:tc>
          <w:tcPr>
            <w:tcW w:w="2381" w:type="dxa"/>
            <w:tcBorders>
              <w:top w:val="single" w:sz="4" w:space="0" w:color="auto"/>
              <w:bottom w:val="single" w:sz="4" w:space="0" w:color="auto"/>
            </w:tcBorders>
            <w:vAlign w:val="center"/>
            <w:hideMark/>
          </w:tcPr>
          <w:p w14:paraId="32B098F2" w14:textId="099C7988"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3</w:t>
            </w:r>
          </w:p>
        </w:tc>
        <w:tc>
          <w:tcPr>
            <w:tcW w:w="1871" w:type="dxa"/>
            <w:tcBorders>
              <w:top w:val="single" w:sz="4" w:space="0" w:color="auto"/>
              <w:bottom w:val="single" w:sz="4" w:space="0" w:color="auto"/>
            </w:tcBorders>
            <w:vAlign w:val="center"/>
            <w:hideMark/>
          </w:tcPr>
          <w:p w14:paraId="3BE849C4" w14:textId="52EF0FCD"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4</w:t>
            </w:r>
          </w:p>
        </w:tc>
      </w:tr>
      <w:tr w:rsidR="003A4DE9" w:rsidRPr="00601347" w14:paraId="5629B19D" w14:textId="77777777" w:rsidTr="00601347">
        <w:tc>
          <w:tcPr>
            <w:tcW w:w="4821" w:type="dxa"/>
            <w:gridSpan w:val="3"/>
            <w:tcBorders>
              <w:top w:val="single" w:sz="4" w:space="0" w:color="auto"/>
            </w:tcBorders>
            <w:vAlign w:val="center"/>
            <w:hideMark/>
          </w:tcPr>
          <w:p w14:paraId="3A8C2FE7" w14:textId="2F74FC5B"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olor w:val="2E2E2E"/>
              </w:rPr>
              <w:t>Diagnostic time (POD)</w:t>
            </w:r>
          </w:p>
        </w:tc>
        <w:tc>
          <w:tcPr>
            <w:tcW w:w="2268" w:type="dxa"/>
            <w:tcBorders>
              <w:top w:val="single" w:sz="4" w:space="0" w:color="auto"/>
            </w:tcBorders>
            <w:vAlign w:val="center"/>
            <w:hideMark/>
          </w:tcPr>
          <w:p w14:paraId="2F168FE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8</w:t>
            </w:r>
          </w:p>
        </w:tc>
        <w:tc>
          <w:tcPr>
            <w:tcW w:w="2693" w:type="dxa"/>
            <w:tcBorders>
              <w:top w:val="single" w:sz="4" w:space="0" w:color="auto"/>
            </w:tcBorders>
            <w:vAlign w:val="center"/>
            <w:hideMark/>
          </w:tcPr>
          <w:p w14:paraId="0F9C5D3A"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w:t>
            </w:r>
          </w:p>
        </w:tc>
        <w:tc>
          <w:tcPr>
            <w:tcW w:w="2381" w:type="dxa"/>
            <w:tcBorders>
              <w:top w:val="single" w:sz="4" w:space="0" w:color="auto"/>
            </w:tcBorders>
            <w:vAlign w:val="center"/>
            <w:hideMark/>
          </w:tcPr>
          <w:p w14:paraId="7CB143A6"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2</w:t>
            </w:r>
          </w:p>
        </w:tc>
        <w:tc>
          <w:tcPr>
            <w:tcW w:w="1871" w:type="dxa"/>
            <w:tcBorders>
              <w:top w:val="single" w:sz="4" w:space="0" w:color="auto"/>
            </w:tcBorders>
            <w:vAlign w:val="center"/>
            <w:hideMark/>
          </w:tcPr>
          <w:p w14:paraId="377D1F62"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3</w:t>
            </w:r>
          </w:p>
        </w:tc>
      </w:tr>
      <w:tr w:rsidR="003A4DE9" w:rsidRPr="00601347" w14:paraId="2B08FF35" w14:textId="77777777" w:rsidTr="00601347">
        <w:trPr>
          <w:cantSplit/>
          <w:trHeight w:val="605"/>
        </w:trPr>
        <w:tc>
          <w:tcPr>
            <w:tcW w:w="1844" w:type="dxa"/>
            <w:vMerge w:val="restart"/>
            <w:vAlign w:val="center"/>
            <w:hideMark/>
          </w:tcPr>
          <w:p w14:paraId="188FCB06"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eastAsia="华文黑体" w:hAnsi="Book Antiqua"/>
                <w:color w:val="252525"/>
              </w:rPr>
              <w:t>Diagnostic method</w:t>
            </w:r>
          </w:p>
        </w:tc>
        <w:tc>
          <w:tcPr>
            <w:tcW w:w="2977" w:type="dxa"/>
            <w:gridSpan w:val="2"/>
            <w:vAlign w:val="center"/>
            <w:hideMark/>
          </w:tcPr>
          <w:p w14:paraId="5F6C69BD"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olor w:val="2E2E2E"/>
              </w:rPr>
              <w:t>Suspected</w:t>
            </w:r>
          </w:p>
        </w:tc>
        <w:tc>
          <w:tcPr>
            <w:tcW w:w="2268" w:type="dxa"/>
            <w:vAlign w:val="center"/>
            <w:hideMark/>
          </w:tcPr>
          <w:p w14:paraId="5D215937"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c>
          <w:tcPr>
            <w:tcW w:w="2693" w:type="dxa"/>
            <w:vAlign w:val="center"/>
            <w:hideMark/>
          </w:tcPr>
          <w:p w14:paraId="63687FD9"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c>
          <w:tcPr>
            <w:tcW w:w="2381" w:type="dxa"/>
            <w:vAlign w:val="center"/>
            <w:hideMark/>
          </w:tcPr>
          <w:p w14:paraId="3AFDA51D"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c>
          <w:tcPr>
            <w:tcW w:w="1871" w:type="dxa"/>
            <w:vAlign w:val="center"/>
            <w:hideMark/>
          </w:tcPr>
          <w:p w14:paraId="2FB417FD"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r>
      <w:tr w:rsidR="003A4DE9" w:rsidRPr="00601347" w14:paraId="61659287" w14:textId="77777777" w:rsidTr="00601347">
        <w:trPr>
          <w:cantSplit/>
          <w:trHeight w:val="343"/>
        </w:trPr>
        <w:tc>
          <w:tcPr>
            <w:tcW w:w="1844" w:type="dxa"/>
            <w:vMerge/>
            <w:vAlign w:val="center"/>
            <w:hideMark/>
          </w:tcPr>
          <w:p w14:paraId="133353DF" w14:textId="77777777" w:rsidR="00A3620A" w:rsidRPr="00601347" w:rsidRDefault="00A3620A" w:rsidP="00601347">
            <w:pPr>
              <w:adjustRightInd w:val="0"/>
              <w:snapToGrid w:val="0"/>
              <w:spacing w:line="360" w:lineRule="auto"/>
              <w:jc w:val="both"/>
              <w:rPr>
                <w:rFonts w:ascii="Book Antiqua" w:eastAsia="SimSun" w:hAnsi="Book Antiqua"/>
              </w:rPr>
            </w:pPr>
          </w:p>
        </w:tc>
        <w:tc>
          <w:tcPr>
            <w:tcW w:w="2977" w:type="dxa"/>
            <w:gridSpan w:val="2"/>
            <w:vAlign w:val="center"/>
            <w:hideMark/>
          </w:tcPr>
          <w:p w14:paraId="33254DA8" w14:textId="77777777" w:rsidR="00A3620A" w:rsidRPr="00601347" w:rsidRDefault="00A3620A" w:rsidP="00601347">
            <w:pPr>
              <w:adjustRightInd w:val="0"/>
              <w:snapToGrid w:val="0"/>
              <w:spacing w:line="360" w:lineRule="auto"/>
              <w:jc w:val="both"/>
              <w:rPr>
                <w:rFonts w:ascii="Book Antiqua" w:eastAsia="华文黑体" w:hAnsi="Book Antiqua"/>
                <w:color w:val="252525"/>
              </w:rPr>
            </w:pPr>
            <w:r w:rsidRPr="00601347">
              <w:rPr>
                <w:rFonts w:ascii="Book Antiqua" w:hAnsi="Book Antiqua"/>
                <w:color w:val="2E2E2E"/>
              </w:rPr>
              <w:t>Confirmed</w:t>
            </w:r>
          </w:p>
        </w:tc>
        <w:tc>
          <w:tcPr>
            <w:tcW w:w="2268" w:type="dxa"/>
            <w:vAlign w:val="center"/>
            <w:hideMark/>
          </w:tcPr>
          <w:p w14:paraId="3920EFFC" w14:textId="4305E1D2" w:rsidR="00A3620A" w:rsidRPr="00601347" w:rsidRDefault="00601347" w:rsidP="00601347">
            <w:pPr>
              <w:adjustRightInd w:val="0"/>
              <w:snapToGrid w:val="0"/>
              <w:spacing w:line="360" w:lineRule="auto"/>
              <w:jc w:val="both"/>
              <w:rPr>
                <w:rFonts w:ascii="Book Antiqua" w:eastAsia="SimSun" w:hAnsi="Book Antiqua"/>
              </w:rPr>
            </w:pPr>
            <w:r w:rsidRPr="00601347">
              <w:rPr>
                <w:rFonts w:ascii="Book Antiqua" w:hAnsi="Book Antiqua" w:cs="Times"/>
              </w:rPr>
              <w:t xml:space="preserve">Hepatic </w:t>
            </w:r>
            <w:r w:rsidR="00A3620A" w:rsidRPr="00601347">
              <w:rPr>
                <w:rFonts w:ascii="Book Antiqua" w:hAnsi="Book Antiqua" w:cs="Times"/>
              </w:rPr>
              <w:t>arterial angiography</w:t>
            </w:r>
          </w:p>
        </w:tc>
        <w:tc>
          <w:tcPr>
            <w:tcW w:w="2693" w:type="dxa"/>
            <w:vAlign w:val="center"/>
            <w:hideMark/>
          </w:tcPr>
          <w:p w14:paraId="3FA37B1A" w14:textId="2D4FA609"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s="Times"/>
              </w:rPr>
              <w:t xml:space="preserve">Hepatic </w:t>
            </w:r>
            <w:r w:rsidR="00A3620A" w:rsidRPr="00601347">
              <w:rPr>
                <w:rFonts w:ascii="Book Antiqua" w:hAnsi="Book Antiqua" w:cs="Times"/>
              </w:rPr>
              <w:t>arterial angiography</w:t>
            </w:r>
          </w:p>
        </w:tc>
        <w:tc>
          <w:tcPr>
            <w:tcW w:w="2381" w:type="dxa"/>
            <w:vAlign w:val="center"/>
            <w:hideMark/>
          </w:tcPr>
          <w:p w14:paraId="7DB66524" w14:textId="6642BD71" w:rsidR="00A3620A" w:rsidRPr="00601347" w:rsidRDefault="00601347" w:rsidP="00601347">
            <w:pPr>
              <w:adjustRightInd w:val="0"/>
              <w:snapToGrid w:val="0"/>
              <w:spacing w:line="360" w:lineRule="auto"/>
              <w:jc w:val="both"/>
              <w:rPr>
                <w:rFonts w:ascii="Book Antiqua" w:hAnsi="Book Antiqua"/>
                <w:b/>
                <w:bCs/>
              </w:rPr>
            </w:pPr>
            <w:r w:rsidRPr="00601347">
              <w:rPr>
                <w:rFonts w:ascii="Book Antiqua" w:hAnsi="Book Antiqua" w:cs="Times"/>
              </w:rPr>
              <w:t xml:space="preserve">Hepatic </w:t>
            </w:r>
            <w:r w:rsidR="00A3620A" w:rsidRPr="00601347">
              <w:rPr>
                <w:rFonts w:ascii="Book Antiqua" w:hAnsi="Book Antiqua" w:cs="Times"/>
              </w:rPr>
              <w:t>arterial angiography</w:t>
            </w:r>
          </w:p>
        </w:tc>
        <w:tc>
          <w:tcPr>
            <w:tcW w:w="1871" w:type="dxa"/>
            <w:vAlign w:val="center"/>
            <w:hideMark/>
          </w:tcPr>
          <w:p w14:paraId="595307F8" w14:textId="73DC66C8"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s="Times"/>
              </w:rPr>
              <w:t xml:space="preserve">Hepatic </w:t>
            </w:r>
            <w:r w:rsidR="00A3620A" w:rsidRPr="00601347">
              <w:rPr>
                <w:rFonts w:ascii="Book Antiqua" w:hAnsi="Book Antiqua" w:cs="Times"/>
              </w:rPr>
              <w:t>arterial angiography</w:t>
            </w:r>
          </w:p>
        </w:tc>
      </w:tr>
      <w:tr w:rsidR="003A4DE9" w:rsidRPr="00601347" w14:paraId="6F923AF5" w14:textId="77777777" w:rsidTr="00601347">
        <w:trPr>
          <w:cantSplit/>
          <w:trHeight w:val="261"/>
        </w:trPr>
        <w:tc>
          <w:tcPr>
            <w:tcW w:w="1844" w:type="dxa"/>
            <w:vMerge w:val="restart"/>
            <w:vAlign w:val="center"/>
            <w:hideMark/>
          </w:tcPr>
          <w:p w14:paraId="10B3324B"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eastAsia="华文黑体" w:hAnsi="Book Antiqua"/>
                <w:color w:val="252525"/>
              </w:rPr>
              <w:t>Thrombolytic drugs</w:t>
            </w:r>
          </w:p>
        </w:tc>
        <w:tc>
          <w:tcPr>
            <w:tcW w:w="1559" w:type="dxa"/>
            <w:vMerge w:val="restart"/>
            <w:vAlign w:val="center"/>
            <w:hideMark/>
          </w:tcPr>
          <w:p w14:paraId="459D1447" w14:textId="2539BF7A" w:rsidR="00A3620A" w:rsidRPr="00601347" w:rsidRDefault="00601347" w:rsidP="00094487">
            <w:pPr>
              <w:adjustRightInd w:val="0"/>
              <w:snapToGrid w:val="0"/>
              <w:spacing w:line="360" w:lineRule="auto"/>
              <w:jc w:val="both"/>
              <w:rPr>
                <w:rFonts w:ascii="Book Antiqua" w:hAnsi="Book Antiqua"/>
              </w:rPr>
            </w:pPr>
            <w:r w:rsidRPr="00601347">
              <w:rPr>
                <w:rFonts w:ascii="Book Antiqua" w:hAnsi="Book Antiqua"/>
              </w:rPr>
              <w:t>Temporarily</w:t>
            </w:r>
          </w:p>
        </w:tc>
        <w:tc>
          <w:tcPr>
            <w:tcW w:w="1418" w:type="dxa"/>
            <w:vAlign w:val="center"/>
            <w:hideMark/>
          </w:tcPr>
          <w:p w14:paraId="361FC800" w14:textId="260D169C"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rPr>
              <w:t>Drugs</w:t>
            </w:r>
          </w:p>
        </w:tc>
        <w:tc>
          <w:tcPr>
            <w:tcW w:w="2268" w:type="dxa"/>
            <w:vAlign w:val="center"/>
            <w:hideMark/>
          </w:tcPr>
          <w:p w14:paraId="7C488A87"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Urokinase and Fibrinogenase</w:t>
            </w:r>
          </w:p>
        </w:tc>
        <w:tc>
          <w:tcPr>
            <w:tcW w:w="2693" w:type="dxa"/>
            <w:vAlign w:val="center"/>
            <w:hideMark/>
          </w:tcPr>
          <w:p w14:paraId="05F757C8"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2381" w:type="dxa"/>
            <w:vAlign w:val="center"/>
            <w:hideMark/>
          </w:tcPr>
          <w:p w14:paraId="7CEF3525"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1871" w:type="dxa"/>
            <w:vAlign w:val="center"/>
            <w:hideMark/>
          </w:tcPr>
          <w:p w14:paraId="7FD6D40F"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r>
      <w:tr w:rsidR="003A4DE9" w:rsidRPr="00601347" w14:paraId="7C3784FA" w14:textId="77777777" w:rsidTr="00601347">
        <w:trPr>
          <w:cantSplit/>
          <w:trHeight w:val="260"/>
        </w:trPr>
        <w:tc>
          <w:tcPr>
            <w:tcW w:w="1844" w:type="dxa"/>
            <w:vMerge/>
            <w:vAlign w:val="center"/>
            <w:hideMark/>
          </w:tcPr>
          <w:p w14:paraId="57ECBE6A" w14:textId="77777777" w:rsidR="00A3620A" w:rsidRPr="00601347" w:rsidRDefault="00A3620A" w:rsidP="00601347">
            <w:pPr>
              <w:adjustRightInd w:val="0"/>
              <w:snapToGrid w:val="0"/>
              <w:spacing w:line="360" w:lineRule="auto"/>
              <w:jc w:val="both"/>
              <w:rPr>
                <w:rFonts w:ascii="Book Antiqua" w:eastAsia="SimSun" w:hAnsi="Book Antiqua"/>
              </w:rPr>
            </w:pPr>
          </w:p>
        </w:tc>
        <w:tc>
          <w:tcPr>
            <w:tcW w:w="1559" w:type="dxa"/>
            <w:vMerge/>
            <w:vAlign w:val="center"/>
            <w:hideMark/>
          </w:tcPr>
          <w:p w14:paraId="3051DAA0" w14:textId="77777777" w:rsidR="00A3620A" w:rsidRPr="00601347" w:rsidRDefault="00A3620A" w:rsidP="00601347">
            <w:pPr>
              <w:adjustRightInd w:val="0"/>
              <w:snapToGrid w:val="0"/>
              <w:spacing w:line="360" w:lineRule="auto"/>
              <w:jc w:val="both"/>
              <w:rPr>
                <w:rFonts w:ascii="Book Antiqua" w:eastAsia="SimSun" w:hAnsi="Book Antiqua"/>
              </w:rPr>
            </w:pPr>
          </w:p>
        </w:tc>
        <w:tc>
          <w:tcPr>
            <w:tcW w:w="1418" w:type="dxa"/>
            <w:vAlign w:val="center"/>
            <w:hideMark/>
          </w:tcPr>
          <w:p w14:paraId="4F3CF81A" w14:textId="48D788E1"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olor w:val="2E2E2E"/>
              </w:rPr>
              <w:t>Approach</w:t>
            </w:r>
          </w:p>
        </w:tc>
        <w:tc>
          <w:tcPr>
            <w:tcW w:w="2268" w:type="dxa"/>
            <w:vAlign w:val="center"/>
            <w:hideMark/>
          </w:tcPr>
          <w:p w14:paraId="7106DE53" w14:textId="3AA76E31"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2693" w:type="dxa"/>
            <w:vAlign w:val="center"/>
            <w:hideMark/>
          </w:tcPr>
          <w:p w14:paraId="2F8C1109" w14:textId="6D48977E"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2381" w:type="dxa"/>
            <w:vAlign w:val="center"/>
            <w:hideMark/>
          </w:tcPr>
          <w:p w14:paraId="2B765BEA" w14:textId="78D96846"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1871" w:type="dxa"/>
            <w:vAlign w:val="center"/>
            <w:hideMark/>
          </w:tcPr>
          <w:p w14:paraId="76B0EB15" w14:textId="63591D78"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r>
      <w:tr w:rsidR="003A4DE9" w:rsidRPr="00601347" w14:paraId="23FB5955" w14:textId="77777777" w:rsidTr="00601347">
        <w:trPr>
          <w:cantSplit/>
          <w:trHeight w:val="172"/>
        </w:trPr>
        <w:tc>
          <w:tcPr>
            <w:tcW w:w="1844" w:type="dxa"/>
            <w:vMerge/>
            <w:vAlign w:val="center"/>
            <w:hideMark/>
          </w:tcPr>
          <w:p w14:paraId="78F570DD" w14:textId="77777777" w:rsidR="00A3620A" w:rsidRPr="00601347" w:rsidRDefault="00A3620A" w:rsidP="00601347">
            <w:pPr>
              <w:adjustRightInd w:val="0"/>
              <w:snapToGrid w:val="0"/>
              <w:spacing w:line="360" w:lineRule="auto"/>
              <w:jc w:val="both"/>
              <w:rPr>
                <w:rFonts w:ascii="Book Antiqua" w:eastAsia="SimSun" w:hAnsi="Book Antiqua"/>
              </w:rPr>
            </w:pPr>
          </w:p>
        </w:tc>
        <w:tc>
          <w:tcPr>
            <w:tcW w:w="1559" w:type="dxa"/>
            <w:vMerge w:val="restart"/>
            <w:vAlign w:val="center"/>
            <w:hideMark/>
          </w:tcPr>
          <w:p w14:paraId="7AF7CCD6" w14:textId="7AD994BE"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rPr>
              <w:t>Continuously</w:t>
            </w:r>
          </w:p>
        </w:tc>
        <w:tc>
          <w:tcPr>
            <w:tcW w:w="1418" w:type="dxa"/>
            <w:vAlign w:val="center"/>
            <w:hideMark/>
          </w:tcPr>
          <w:p w14:paraId="0F7A2601" w14:textId="2AD6EFBA"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olor w:val="2E2E2E"/>
              </w:rPr>
              <w:t>Drugs</w:t>
            </w:r>
          </w:p>
        </w:tc>
        <w:tc>
          <w:tcPr>
            <w:tcW w:w="2268" w:type="dxa"/>
            <w:vAlign w:val="center"/>
            <w:hideMark/>
          </w:tcPr>
          <w:p w14:paraId="5C10BC5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2693" w:type="dxa"/>
            <w:vAlign w:val="center"/>
            <w:hideMark/>
          </w:tcPr>
          <w:p w14:paraId="09175158"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2381" w:type="dxa"/>
            <w:vAlign w:val="center"/>
            <w:hideMark/>
          </w:tcPr>
          <w:p w14:paraId="5E9865B9"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1871" w:type="dxa"/>
            <w:vAlign w:val="center"/>
            <w:hideMark/>
          </w:tcPr>
          <w:p w14:paraId="1783525C"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r>
      <w:tr w:rsidR="003A4DE9" w:rsidRPr="00601347" w14:paraId="4B26579D" w14:textId="77777777" w:rsidTr="00601347">
        <w:trPr>
          <w:cantSplit/>
          <w:trHeight w:val="171"/>
        </w:trPr>
        <w:tc>
          <w:tcPr>
            <w:tcW w:w="1844" w:type="dxa"/>
            <w:vMerge/>
            <w:vAlign w:val="center"/>
            <w:hideMark/>
          </w:tcPr>
          <w:p w14:paraId="7C9ED769" w14:textId="77777777" w:rsidR="00A3620A" w:rsidRPr="00601347" w:rsidRDefault="00A3620A" w:rsidP="00601347">
            <w:pPr>
              <w:adjustRightInd w:val="0"/>
              <w:snapToGrid w:val="0"/>
              <w:spacing w:line="360" w:lineRule="auto"/>
              <w:jc w:val="both"/>
              <w:rPr>
                <w:rFonts w:ascii="Book Antiqua" w:eastAsia="SimSun" w:hAnsi="Book Antiqua"/>
              </w:rPr>
            </w:pPr>
          </w:p>
        </w:tc>
        <w:tc>
          <w:tcPr>
            <w:tcW w:w="1559" w:type="dxa"/>
            <w:vMerge/>
            <w:vAlign w:val="center"/>
            <w:hideMark/>
          </w:tcPr>
          <w:p w14:paraId="74BAC68F" w14:textId="77777777" w:rsidR="00A3620A" w:rsidRPr="00601347" w:rsidRDefault="00A3620A" w:rsidP="00601347">
            <w:pPr>
              <w:adjustRightInd w:val="0"/>
              <w:snapToGrid w:val="0"/>
              <w:spacing w:line="360" w:lineRule="auto"/>
              <w:jc w:val="both"/>
              <w:rPr>
                <w:rFonts w:ascii="Book Antiqua" w:eastAsia="SimSun" w:hAnsi="Book Antiqua"/>
              </w:rPr>
            </w:pPr>
          </w:p>
        </w:tc>
        <w:tc>
          <w:tcPr>
            <w:tcW w:w="1418" w:type="dxa"/>
            <w:vAlign w:val="center"/>
            <w:hideMark/>
          </w:tcPr>
          <w:p w14:paraId="3C60600C" w14:textId="2495A0B6"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olor w:val="2E2E2E"/>
              </w:rPr>
              <w:t>Approach</w:t>
            </w:r>
          </w:p>
        </w:tc>
        <w:tc>
          <w:tcPr>
            <w:tcW w:w="2268" w:type="dxa"/>
            <w:vAlign w:val="center"/>
            <w:hideMark/>
          </w:tcPr>
          <w:p w14:paraId="58518F30" w14:textId="39A6A107"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Peripheral </w:t>
            </w:r>
            <w:r w:rsidR="00A3620A" w:rsidRPr="00601347">
              <w:rPr>
                <w:rFonts w:ascii="Book Antiqua" w:hAnsi="Book Antiqua" w:cs="Times"/>
              </w:rPr>
              <w:t>vein</w:t>
            </w:r>
          </w:p>
        </w:tc>
        <w:tc>
          <w:tcPr>
            <w:tcW w:w="2693" w:type="dxa"/>
            <w:vAlign w:val="center"/>
            <w:hideMark/>
          </w:tcPr>
          <w:p w14:paraId="4BEF14AE" w14:textId="1E1C57C5"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2381" w:type="dxa"/>
            <w:vAlign w:val="center"/>
            <w:hideMark/>
          </w:tcPr>
          <w:p w14:paraId="2DF934CC" w14:textId="662E8195"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1871" w:type="dxa"/>
            <w:vAlign w:val="center"/>
            <w:hideMark/>
          </w:tcPr>
          <w:p w14:paraId="4C6B4AEE" w14:textId="028F2DEB"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r>
      <w:tr w:rsidR="003A4DE9" w:rsidRPr="00601347" w14:paraId="612806CC" w14:textId="77777777" w:rsidTr="00601347">
        <w:tc>
          <w:tcPr>
            <w:tcW w:w="1844" w:type="dxa"/>
            <w:vAlign w:val="center"/>
            <w:hideMark/>
          </w:tcPr>
          <w:p w14:paraId="18FC02FF" w14:textId="03895D6A" w:rsidR="00A3620A" w:rsidRPr="00601347" w:rsidRDefault="00A3620A" w:rsidP="00601347">
            <w:pPr>
              <w:adjustRightInd w:val="0"/>
              <w:snapToGrid w:val="0"/>
              <w:spacing w:line="360" w:lineRule="auto"/>
              <w:jc w:val="both"/>
              <w:rPr>
                <w:rFonts w:ascii="Book Antiqua" w:hAnsi="Book Antiqua"/>
                <w:lang w:eastAsia="zh-CN"/>
              </w:rPr>
            </w:pPr>
            <w:r w:rsidRPr="00601347">
              <w:rPr>
                <w:rFonts w:ascii="Book Antiqua" w:hAnsi="Book Antiqua"/>
                <w:color w:val="2E2E2E"/>
              </w:rPr>
              <w:t xml:space="preserve">Thrombolysis time </w:t>
            </w:r>
            <w:r w:rsidRPr="00601347">
              <w:rPr>
                <w:rFonts w:ascii="Book Antiqua" w:hAnsi="Book Antiqua"/>
                <w:color w:val="2E2E2E"/>
                <w:lang w:eastAsia="zh-CN"/>
              </w:rPr>
              <w:t>(</w:t>
            </w:r>
            <w:r w:rsidRPr="00601347">
              <w:rPr>
                <w:rFonts w:ascii="Book Antiqua" w:hAnsi="Book Antiqua"/>
                <w:color w:val="2E2E2E"/>
              </w:rPr>
              <w:t>h</w:t>
            </w:r>
            <w:r w:rsidR="00601347" w:rsidRPr="00601347">
              <w:rPr>
                <w:rFonts w:ascii="Book Antiqua" w:hAnsi="Book Antiqua"/>
                <w:color w:val="2E2E2E"/>
                <w:lang w:eastAsia="zh-CN"/>
              </w:rPr>
              <w:t>)</w:t>
            </w:r>
          </w:p>
        </w:tc>
        <w:tc>
          <w:tcPr>
            <w:tcW w:w="2977" w:type="dxa"/>
            <w:gridSpan w:val="2"/>
            <w:vAlign w:val="center"/>
          </w:tcPr>
          <w:p w14:paraId="170BA5C4" w14:textId="77777777" w:rsidR="00A3620A" w:rsidRPr="00601347" w:rsidRDefault="00A3620A" w:rsidP="00601347">
            <w:pPr>
              <w:adjustRightInd w:val="0"/>
              <w:snapToGrid w:val="0"/>
              <w:spacing w:line="360" w:lineRule="auto"/>
              <w:jc w:val="both"/>
              <w:rPr>
                <w:rFonts w:ascii="Book Antiqua" w:hAnsi="Book Antiqua" w:cs="Times"/>
              </w:rPr>
            </w:pPr>
          </w:p>
        </w:tc>
        <w:tc>
          <w:tcPr>
            <w:tcW w:w="2268" w:type="dxa"/>
            <w:vAlign w:val="center"/>
            <w:hideMark/>
          </w:tcPr>
          <w:p w14:paraId="34E2FB5D"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w:t>
            </w:r>
          </w:p>
        </w:tc>
        <w:tc>
          <w:tcPr>
            <w:tcW w:w="2693" w:type="dxa"/>
            <w:vAlign w:val="center"/>
            <w:hideMark/>
          </w:tcPr>
          <w:p w14:paraId="02D1EA3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26</w:t>
            </w:r>
          </w:p>
        </w:tc>
        <w:tc>
          <w:tcPr>
            <w:tcW w:w="2381" w:type="dxa"/>
            <w:vAlign w:val="center"/>
            <w:hideMark/>
          </w:tcPr>
          <w:p w14:paraId="4A13FCA1"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8.5</w:t>
            </w:r>
          </w:p>
        </w:tc>
        <w:tc>
          <w:tcPr>
            <w:tcW w:w="1871" w:type="dxa"/>
            <w:vAlign w:val="center"/>
            <w:hideMark/>
          </w:tcPr>
          <w:p w14:paraId="7BCF777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15</w:t>
            </w:r>
          </w:p>
        </w:tc>
      </w:tr>
      <w:tr w:rsidR="003A4DE9" w:rsidRPr="00601347" w14:paraId="6B2362B3" w14:textId="77777777" w:rsidTr="00601347">
        <w:tc>
          <w:tcPr>
            <w:tcW w:w="1844" w:type="dxa"/>
            <w:vAlign w:val="center"/>
            <w:hideMark/>
          </w:tcPr>
          <w:p w14:paraId="57999AD9" w14:textId="37A67C9A" w:rsidR="00A3620A" w:rsidRPr="00601347" w:rsidRDefault="00A3620A" w:rsidP="00601347">
            <w:pPr>
              <w:adjustRightInd w:val="0"/>
              <w:snapToGrid w:val="0"/>
              <w:spacing w:line="360" w:lineRule="auto"/>
              <w:jc w:val="both"/>
              <w:rPr>
                <w:rFonts w:ascii="Book Antiqua" w:hAnsi="Book Antiqua"/>
                <w:lang w:eastAsia="zh-CN"/>
              </w:rPr>
            </w:pPr>
            <w:r w:rsidRPr="00601347">
              <w:rPr>
                <w:rFonts w:ascii="Book Antiqua" w:eastAsia="华文黑体" w:hAnsi="Book Antiqua"/>
                <w:color w:val="252525"/>
              </w:rPr>
              <w:t>Average ACT</w:t>
            </w:r>
            <w:r w:rsidR="00601347" w:rsidRPr="00601347">
              <w:rPr>
                <w:rFonts w:ascii="Book Antiqua" w:eastAsia="华文黑体" w:hAnsi="Book Antiqua"/>
                <w:color w:val="252525"/>
              </w:rPr>
              <w:t xml:space="preserve"> </w:t>
            </w:r>
            <w:r w:rsidR="00601347" w:rsidRPr="00601347">
              <w:rPr>
                <w:rFonts w:ascii="Book Antiqua" w:hAnsi="Book Antiqua"/>
                <w:color w:val="2E2E2E"/>
                <w:lang w:eastAsia="zh-CN"/>
              </w:rPr>
              <w:t>(s)</w:t>
            </w:r>
          </w:p>
        </w:tc>
        <w:tc>
          <w:tcPr>
            <w:tcW w:w="2977" w:type="dxa"/>
            <w:gridSpan w:val="2"/>
            <w:vAlign w:val="center"/>
          </w:tcPr>
          <w:p w14:paraId="3AD64F66" w14:textId="77777777" w:rsidR="00A3620A" w:rsidRPr="00601347" w:rsidRDefault="00A3620A" w:rsidP="00601347">
            <w:pPr>
              <w:adjustRightInd w:val="0"/>
              <w:snapToGrid w:val="0"/>
              <w:spacing w:line="360" w:lineRule="auto"/>
              <w:jc w:val="both"/>
              <w:rPr>
                <w:rFonts w:ascii="Book Antiqua" w:hAnsi="Book Antiqua" w:cs="Times"/>
              </w:rPr>
            </w:pPr>
          </w:p>
        </w:tc>
        <w:tc>
          <w:tcPr>
            <w:tcW w:w="2268" w:type="dxa"/>
            <w:vAlign w:val="center"/>
            <w:hideMark/>
          </w:tcPr>
          <w:p w14:paraId="4AB0CA5B"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177.8</w:t>
            </w:r>
          </w:p>
        </w:tc>
        <w:tc>
          <w:tcPr>
            <w:tcW w:w="2693" w:type="dxa"/>
            <w:vAlign w:val="center"/>
            <w:hideMark/>
          </w:tcPr>
          <w:p w14:paraId="7B4FD7C7"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144.6</w:t>
            </w:r>
          </w:p>
        </w:tc>
        <w:tc>
          <w:tcPr>
            <w:tcW w:w="2381" w:type="dxa"/>
            <w:vAlign w:val="center"/>
            <w:hideMark/>
          </w:tcPr>
          <w:p w14:paraId="4115DB83"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146.3</w:t>
            </w:r>
          </w:p>
        </w:tc>
        <w:tc>
          <w:tcPr>
            <w:tcW w:w="1871" w:type="dxa"/>
            <w:vAlign w:val="center"/>
            <w:hideMark/>
          </w:tcPr>
          <w:p w14:paraId="7E9311EB"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160.0</w:t>
            </w:r>
          </w:p>
        </w:tc>
      </w:tr>
      <w:tr w:rsidR="003A4DE9" w:rsidRPr="00601347" w14:paraId="4E68AA9A" w14:textId="77777777" w:rsidTr="00601347">
        <w:tc>
          <w:tcPr>
            <w:tcW w:w="1844" w:type="dxa"/>
            <w:vAlign w:val="center"/>
            <w:hideMark/>
          </w:tcPr>
          <w:p w14:paraId="478E5075" w14:textId="77777777" w:rsidR="00A3620A" w:rsidRPr="00601347" w:rsidRDefault="00A3620A" w:rsidP="00601347">
            <w:pPr>
              <w:adjustRightInd w:val="0"/>
              <w:snapToGrid w:val="0"/>
              <w:spacing w:line="360" w:lineRule="auto"/>
              <w:jc w:val="both"/>
              <w:rPr>
                <w:rFonts w:ascii="Book Antiqua" w:eastAsia="华文黑体" w:hAnsi="Book Antiqua"/>
                <w:color w:val="252525"/>
              </w:rPr>
            </w:pPr>
            <w:r w:rsidRPr="00601347">
              <w:rPr>
                <w:rFonts w:ascii="Book Antiqua" w:hAnsi="Book Antiqua"/>
              </w:rPr>
              <w:lastRenderedPageBreak/>
              <w:t>Complications related to intra-arterial thrombolysis</w:t>
            </w:r>
          </w:p>
        </w:tc>
        <w:tc>
          <w:tcPr>
            <w:tcW w:w="2977" w:type="dxa"/>
            <w:gridSpan w:val="2"/>
            <w:vAlign w:val="center"/>
          </w:tcPr>
          <w:p w14:paraId="39B173D8" w14:textId="77777777" w:rsidR="00A3620A" w:rsidRPr="00601347" w:rsidRDefault="00A3620A" w:rsidP="00601347">
            <w:pPr>
              <w:adjustRightInd w:val="0"/>
              <w:snapToGrid w:val="0"/>
              <w:spacing w:line="360" w:lineRule="auto"/>
              <w:jc w:val="both"/>
              <w:rPr>
                <w:rFonts w:ascii="Book Antiqua" w:eastAsia="SimSun" w:hAnsi="Book Antiqua" w:cs="Times"/>
              </w:rPr>
            </w:pPr>
          </w:p>
        </w:tc>
        <w:tc>
          <w:tcPr>
            <w:tcW w:w="2268" w:type="dxa"/>
            <w:vAlign w:val="center"/>
            <w:hideMark/>
          </w:tcPr>
          <w:p w14:paraId="67B5E90D"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Local bleeding puncture site hematoma</w:t>
            </w:r>
          </w:p>
        </w:tc>
        <w:tc>
          <w:tcPr>
            <w:tcW w:w="2693" w:type="dxa"/>
            <w:vAlign w:val="center"/>
            <w:hideMark/>
          </w:tcPr>
          <w:p w14:paraId="48BA91C8"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None</w:t>
            </w:r>
          </w:p>
        </w:tc>
        <w:tc>
          <w:tcPr>
            <w:tcW w:w="2381" w:type="dxa"/>
            <w:vAlign w:val="center"/>
            <w:hideMark/>
          </w:tcPr>
          <w:p w14:paraId="38777B60"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Intraperitoneal hemorrhage</w:t>
            </w:r>
          </w:p>
        </w:tc>
        <w:tc>
          <w:tcPr>
            <w:tcW w:w="1871" w:type="dxa"/>
            <w:vAlign w:val="center"/>
            <w:hideMark/>
          </w:tcPr>
          <w:p w14:paraId="5AC4E3EC"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Intraperitoneal hemorrhage</w:t>
            </w:r>
          </w:p>
        </w:tc>
      </w:tr>
    </w:tbl>
    <w:p w14:paraId="76820DD0" w14:textId="14FECB86" w:rsidR="00A77B3E"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POD: Postoperative day; ACT:</w:t>
      </w:r>
      <w:r w:rsidRPr="00601347">
        <w:rPr>
          <w:rFonts w:ascii="Book Antiqua" w:hAnsi="Book Antiqua" w:cs="Times"/>
        </w:rPr>
        <w:t xml:space="preserve"> Activated clotting time</w:t>
      </w:r>
      <w:r w:rsidR="00601347" w:rsidRPr="00601347">
        <w:rPr>
          <w:rFonts w:ascii="Book Antiqua" w:hAnsi="Book Antiqua" w:cs="Times"/>
        </w:rPr>
        <w:t>.</w:t>
      </w:r>
    </w:p>
    <w:sectPr w:rsidR="00A77B3E" w:rsidRPr="00601347" w:rsidSect="00B7655E">
      <w:type w:val="continuous"/>
      <w:pgSz w:w="16838" w:h="11906" w:orient="landscape"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6EDF5" w14:textId="77777777" w:rsidR="000956DD" w:rsidRDefault="000956DD" w:rsidP="005957E5">
      <w:r>
        <w:separator/>
      </w:r>
    </w:p>
  </w:endnote>
  <w:endnote w:type="continuationSeparator" w:id="0">
    <w:p w14:paraId="58CFCD2D" w14:textId="77777777" w:rsidR="000956DD" w:rsidRDefault="000956DD" w:rsidP="00595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华文黑体">
    <w:altName w:val="微软雅黑"/>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947040"/>
      <w:docPartObj>
        <w:docPartGallery w:val="Page Numbers (Bottom of Page)"/>
        <w:docPartUnique/>
      </w:docPartObj>
    </w:sdtPr>
    <w:sdtEndPr/>
    <w:sdtContent>
      <w:sdt>
        <w:sdtPr>
          <w:id w:val="-1769616900"/>
          <w:docPartObj>
            <w:docPartGallery w:val="Page Numbers (Top of Page)"/>
            <w:docPartUnique/>
          </w:docPartObj>
        </w:sdtPr>
        <w:sdtEndPr/>
        <w:sdtContent>
          <w:p w14:paraId="5DE108EB" w14:textId="6F5D7624" w:rsidR="005957E5" w:rsidRDefault="005957E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A73A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A73AB">
              <w:rPr>
                <w:b/>
                <w:bCs/>
                <w:noProof/>
              </w:rPr>
              <w:t>23</w:t>
            </w:r>
            <w:r>
              <w:rPr>
                <w:b/>
                <w:bCs/>
                <w:sz w:val="24"/>
                <w:szCs w:val="24"/>
              </w:rPr>
              <w:fldChar w:fldCharType="end"/>
            </w:r>
          </w:p>
        </w:sdtContent>
      </w:sdt>
    </w:sdtContent>
  </w:sdt>
  <w:p w14:paraId="596E670F" w14:textId="77777777" w:rsidR="005957E5" w:rsidRDefault="005957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490F8" w14:textId="77777777" w:rsidR="000956DD" w:rsidRDefault="000956DD" w:rsidP="005957E5">
      <w:r>
        <w:separator/>
      </w:r>
    </w:p>
  </w:footnote>
  <w:footnote w:type="continuationSeparator" w:id="0">
    <w:p w14:paraId="4141A53B" w14:textId="77777777" w:rsidR="000956DD" w:rsidRDefault="000956DD" w:rsidP="00595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4487"/>
    <w:rsid w:val="000956DD"/>
    <w:rsid w:val="00176D7E"/>
    <w:rsid w:val="002523EF"/>
    <w:rsid w:val="00272359"/>
    <w:rsid w:val="002837BA"/>
    <w:rsid w:val="002A73AB"/>
    <w:rsid w:val="00395361"/>
    <w:rsid w:val="003A4DE9"/>
    <w:rsid w:val="003B087D"/>
    <w:rsid w:val="003D19CD"/>
    <w:rsid w:val="004166D6"/>
    <w:rsid w:val="00431426"/>
    <w:rsid w:val="00524AAD"/>
    <w:rsid w:val="005957E5"/>
    <w:rsid w:val="005C35DD"/>
    <w:rsid w:val="005D7C5A"/>
    <w:rsid w:val="00601347"/>
    <w:rsid w:val="0063267D"/>
    <w:rsid w:val="00660062"/>
    <w:rsid w:val="00681D16"/>
    <w:rsid w:val="00711E9B"/>
    <w:rsid w:val="00732D12"/>
    <w:rsid w:val="00732FD6"/>
    <w:rsid w:val="007733FF"/>
    <w:rsid w:val="007A5793"/>
    <w:rsid w:val="008146CE"/>
    <w:rsid w:val="00816E36"/>
    <w:rsid w:val="008C63BE"/>
    <w:rsid w:val="0090479A"/>
    <w:rsid w:val="009E2260"/>
    <w:rsid w:val="00A11DB1"/>
    <w:rsid w:val="00A3620A"/>
    <w:rsid w:val="00A77B3E"/>
    <w:rsid w:val="00AB2F4D"/>
    <w:rsid w:val="00B009DD"/>
    <w:rsid w:val="00B61B17"/>
    <w:rsid w:val="00B7655E"/>
    <w:rsid w:val="00CA2A55"/>
    <w:rsid w:val="00D72B21"/>
    <w:rsid w:val="00DD5346"/>
    <w:rsid w:val="00E91ADF"/>
    <w:rsid w:val="00F6472C"/>
    <w:rsid w:val="00FF4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21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57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957E5"/>
    <w:rPr>
      <w:sz w:val="18"/>
      <w:szCs w:val="18"/>
    </w:rPr>
  </w:style>
  <w:style w:type="paragraph" w:styleId="Footer">
    <w:name w:val="footer"/>
    <w:basedOn w:val="Normal"/>
    <w:link w:val="FooterChar"/>
    <w:uiPriority w:val="99"/>
    <w:unhideWhenUsed/>
    <w:rsid w:val="005957E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957E5"/>
    <w:rPr>
      <w:sz w:val="18"/>
      <w:szCs w:val="18"/>
    </w:rPr>
  </w:style>
  <w:style w:type="paragraph" w:styleId="BalloonText">
    <w:name w:val="Balloon Text"/>
    <w:basedOn w:val="Normal"/>
    <w:link w:val="BalloonTextChar"/>
    <w:semiHidden/>
    <w:unhideWhenUsed/>
    <w:rsid w:val="00524AAD"/>
    <w:rPr>
      <w:rFonts w:ascii="Tahoma" w:hAnsi="Tahoma" w:cs="Tahoma"/>
      <w:sz w:val="16"/>
      <w:szCs w:val="16"/>
    </w:rPr>
  </w:style>
  <w:style w:type="character" w:customStyle="1" w:styleId="BalloonTextChar">
    <w:name w:val="Balloon Text Char"/>
    <w:basedOn w:val="DefaultParagraphFont"/>
    <w:link w:val="BalloonText"/>
    <w:semiHidden/>
    <w:rsid w:val="00524A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57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957E5"/>
    <w:rPr>
      <w:sz w:val="18"/>
      <w:szCs w:val="18"/>
    </w:rPr>
  </w:style>
  <w:style w:type="paragraph" w:styleId="Footer">
    <w:name w:val="footer"/>
    <w:basedOn w:val="Normal"/>
    <w:link w:val="FooterChar"/>
    <w:uiPriority w:val="99"/>
    <w:unhideWhenUsed/>
    <w:rsid w:val="005957E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957E5"/>
    <w:rPr>
      <w:sz w:val="18"/>
      <w:szCs w:val="18"/>
    </w:rPr>
  </w:style>
  <w:style w:type="paragraph" w:styleId="BalloonText">
    <w:name w:val="Balloon Text"/>
    <w:basedOn w:val="Normal"/>
    <w:link w:val="BalloonTextChar"/>
    <w:semiHidden/>
    <w:unhideWhenUsed/>
    <w:rsid w:val="00524AAD"/>
    <w:rPr>
      <w:rFonts w:ascii="Tahoma" w:hAnsi="Tahoma" w:cs="Tahoma"/>
      <w:sz w:val="16"/>
      <w:szCs w:val="16"/>
    </w:rPr>
  </w:style>
  <w:style w:type="character" w:customStyle="1" w:styleId="BalloonTextChar">
    <w:name w:val="Balloon Text Char"/>
    <w:basedOn w:val="DefaultParagraphFont"/>
    <w:link w:val="BalloonText"/>
    <w:semiHidden/>
    <w:rsid w:val="00524A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451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D7114-8BF7-48CF-9C8F-160D7570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4444</Words>
  <Characters>25334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jrw</cp:lastModifiedBy>
  <cp:revision>2</cp:revision>
  <dcterms:created xsi:type="dcterms:W3CDTF">2021-01-19T10:50:00Z</dcterms:created>
  <dcterms:modified xsi:type="dcterms:W3CDTF">2021-01-19T10:50:00Z</dcterms:modified>
</cp:coreProperties>
</file>