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769D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Name of Journal: </w:t>
      </w:r>
      <w:r>
        <w:rPr>
          <w:rFonts w:ascii="Book Antiqua" w:eastAsia="Book Antiqua" w:hAnsi="Book Antiqua" w:cs="Book Antiqua"/>
          <w:i/>
          <w:color w:val="000000"/>
          <w:lang w:val="en-GB"/>
        </w:rPr>
        <w:t>World Journal of Clinical Cases</w:t>
      </w:r>
    </w:p>
    <w:p w14:paraId="4E34A3F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NO: </w:t>
      </w:r>
      <w:r>
        <w:rPr>
          <w:rFonts w:ascii="Book Antiqua" w:eastAsia="Book Antiqua" w:hAnsi="Book Antiqua" w:cs="Book Antiqua"/>
          <w:color w:val="000000"/>
          <w:lang w:val="en-GB"/>
        </w:rPr>
        <w:t>60324</w:t>
      </w:r>
    </w:p>
    <w:p w14:paraId="5483176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Type: </w:t>
      </w:r>
      <w:r>
        <w:rPr>
          <w:rFonts w:ascii="Book Antiqua" w:eastAsia="Book Antiqua" w:hAnsi="Book Antiqua" w:cs="Book Antiqua"/>
          <w:color w:val="000000"/>
          <w:lang w:val="en-GB"/>
        </w:rPr>
        <w:t>CASE REPORT</w:t>
      </w:r>
    </w:p>
    <w:p w14:paraId="442631CC" w14:textId="77777777" w:rsidR="00EB3E58" w:rsidRDefault="00EB3E58">
      <w:pPr>
        <w:adjustRightInd w:val="0"/>
        <w:snapToGrid w:val="0"/>
        <w:spacing w:line="360" w:lineRule="auto"/>
        <w:jc w:val="both"/>
        <w:rPr>
          <w:rFonts w:ascii="Book Antiqua" w:hAnsi="Book Antiqua"/>
          <w:lang w:val="en-GB"/>
        </w:rPr>
      </w:pPr>
    </w:p>
    <w:p w14:paraId="0851355B" w14:textId="77777777" w:rsidR="00EB3E58" w:rsidRDefault="005946F0">
      <w:pPr>
        <w:adjustRightInd w:val="0"/>
        <w:snapToGrid w:val="0"/>
        <w:spacing w:line="360" w:lineRule="auto"/>
        <w:jc w:val="both"/>
        <w:rPr>
          <w:rFonts w:ascii="Book Antiqua" w:hAnsi="Book Antiqua"/>
          <w:lang w:val="en-GB"/>
        </w:rPr>
      </w:pPr>
      <w:bookmarkStart w:id="0" w:name="OLE_LINK7"/>
      <w:r>
        <w:rPr>
          <w:rFonts w:ascii="Book Antiqua" w:eastAsia="Book Antiqua" w:hAnsi="Book Antiqua" w:cs="Book Antiqua"/>
          <w:b/>
          <w:bCs/>
          <w:color w:val="000000"/>
          <w:lang w:val="en-GB"/>
        </w:rPr>
        <w:t>Brucellosis of unknown origin with haemophagocytic syndrome: A case report</w:t>
      </w:r>
    </w:p>
    <w:bookmarkEnd w:id="0"/>
    <w:p w14:paraId="2E789A29" w14:textId="77777777" w:rsidR="00EB3E58" w:rsidRDefault="00EB3E58">
      <w:pPr>
        <w:adjustRightInd w:val="0"/>
        <w:snapToGrid w:val="0"/>
        <w:spacing w:line="360" w:lineRule="auto"/>
        <w:jc w:val="both"/>
        <w:rPr>
          <w:rFonts w:ascii="Book Antiqua" w:hAnsi="Book Antiqua"/>
          <w:lang w:val="en-GB"/>
        </w:rPr>
      </w:pPr>
    </w:p>
    <w:p w14:paraId="63BECFEA" w14:textId="77777777" w:rsidR="00EB3E58" w:rsidRDefault="005946F0">
      <w:pPr>
        <w:adjustRightInd w:val="0"/>
        <w:snapToGrid w:val="0"/>
        <w:spacing w:line="360" w:lineRule="auto"/>
        <w:jc w:val="both"/>
        <w:rPr>
          <w:rFonts w:ascii="Book Antiqua" w:hAnsi="Book Antiqua"/>
          <w:lang w:val="en-GB"/>
        </w:rPr>
      </w:pPr>
      <w:bookmarkStart w:id="1" w:name="OLE_LINK1"/>
      <w:bookmarkStart w:id="2" w:name="OLE_LINK2"/>
      <w:r>
        <w:rPr>
          <w:rFonts w:ascii="Book Antiqua" w:eastAsia="Book Antiqua" w:hAnsi="Book Antiqua" w:cs="Book Antiqua"/>
          <w:color w:val="000000"/>
          <w:lang w:val="en-GB"/>
        </w:rPr>
        <w:t xml:space="preserve">Tian LH </w:t>
      </w:r>
      <w:r>
        <w:rPr>
          <w:rFonts w:ascii="Book Antiqua" w:eastAsia="Book Antiqua" w:hAnsi="Book Antiqua" w:cs="Book Antiqua"/>
          <w:i/>
          <w:iCs/>
          <w:color w:val="000000"/>
          <w:lang w:val="en-GB"/>
        </w:rPr>
        <w:t xml:space="preserve">et al. </w:t>
      </w:r>
      <w:bookmarkStart w:id="3" w:name="OLE_LINK4"/>
      <w:bookmarkStart w:id="4" w:name="OLE_LINK3"/>
      <w:bookmarkStart w:id="5" w:name="OLE_LINK9"/>
      <w:bookmarkStart w:id="6" w:name="OLE_LINK8"/>
      <w:r>
        <w:rPr>
          <w:rFonts w:ascii="Book Antiqua" w:eastAsia="Book Antiqua" w:hAnsi="Book Antiqua" w:cs="Book Antiqua"/>
          <w:color w:val="000000"/>
          <w:lang w:val="en-GB"/>
        </w:rPr>
        <w:t>Brucellosis with haemophagocytic lymphohistiocytosis</w:t>
      </w:r>
      <w:bookmarkEnd w:id="3"/>
      <w:bookmarkEnd w:id="4"/>
    </w:p>
    <w:bookmarkEnd w:id="1"/>
    <w:bookmarkEnd w:id="2"/>
    <w:bookmarkEnd w:id="5"/>
    <w:bookmarkEnd w:id="6"/>
    <w:p w14:paraId="2A3B269D" w14:textId="77777777" w:rsidR="00EB3E58" w:rsidRDefault="00EB3E58">
      <w:pPr>
        <w:adjustRightInd w:val="0"/>
        <w:snapToGrid w:val="0"/>
        <w:spacing w:line="360" w:lineRule="auto"/>
        <w:jc w:val="both"/>
        <w:rPr>
          <w:rFonts w:ascii="Book Antiqua" w:hAnsi="Book Antiqua"/>
          <w:lang w:val="en-GB"/>
        </w:rPr>
      </w:pPr>
    </w:p>
    <w:p w14:paraId="3A45306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Li-Hong Tian, Zhi-Gao Dong, Xu-Yan Chen, Lian-Jiang Huang, Ping-Ping Xiao</w:t>
      </w:r>
    </w:p>
    <w:p w14:paraId="0B5D9677" w14:textId="77777777" w:rsidR="00EB3E58" w:rsidRDefault="00EB3E58">
      <w:pPr>
        <w:adjustRightInd w:val="0"/>
        <w:snapToGrid w:val="0"/>
        <w:spacing w:line="360" w:lineRule="auto"/>
        <w:jc w:val="both"/>
        <w:rPr>
          <w:rFonts w:ascii="Book Antiqua" w:hAnsi="Book Antiqua"/>
          <w:lang w:val="en-GB"/>
        </w:rPr>
      </w:pPr>
    </w:p>
    <w:p w14:paraId="2062009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Li-Hong Tian, Zhi-Gao Dong, Xu-Yan Chen, Ping-Ping Xiao, </w:t>
      </w:r>
      <w:r>
        <w:rPr>
          <w:rFonts w:ascii="Book Antiqua" w:eastAsia="Book Antiqua" w:hAnsi="Book Antiqua" w:cs="Book Antiqua"/>
          <w:color w:val="000000"/>
          <w:lang w:val="en-GB"/>
        </w:rPr>
        <w:t>Department of Hematology and Rheumatology, The Second Affiliated Hospital of Xiamen Medical College, Xiamen 361021, Fujian Province, China</w:t>
      </w:r>
    </w:p>
    <w:p w14:paraId="6ABC6A07" w14:textId="77777777" w:rsidR="00EB3E58" w:rsidRDefault="00EB3E58">
      <w:pPr>
        <w:adjustRightInd w:val="0"/>
        <w:snapToGrid w:val="0"/>
        <w:spacing w:line="360" w:lineRule="auto"/>
        <w:jc w:val="both"/>
        <w:rPr>
          <w:rFonts w:ascii="Book Antiqua" w:hAnsi="Book Antiqua"/>
          <w:lang w:val="en-GB"/>
        </w:rPr>
      </w:pPr>
    </w:p>
    <w:p w14:paraId="593C86F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Lian-Jiang Huang, </w:t>
      </w:r>
      <w:r>
        <w:rPr>
          <w:rFonts w:ascii="Book Antiqua" w:eastAsia="Book Antiqua" w:hAnsi="Book Antiqua" w:cs="Book Antiqua"/>
          <w:color w:val="000000"/>
          <w:lang w:val="en-GB"/>
        </w:rPr>
        <w:t>Department of Laboratory, The Second Affiliated Hospital of Xiamen Medical College, Xiamen 361021, Fujian Province, China</w:t>
      </w:r>
    </w:p>
    <w:p w14:paraId="02121483" w14:textId="77777777" w:rsidR="00EB3E58" w:rsidRDefault="00EB3E58">
      <w:pPr>
        <w:adjustRightInd w:val="0"/>
        <w:snapToGrid w:val="0"/>
        <w:spacing w:line="360" w:lineRule="auto"/>
        <w:jc w:val="both"/>
        <w:rPr>
          <w:rFonts w:ascii="Book Antiqua" w:hAnsi="Book Antiqua"/>
          <w:lang w:val="en-GB"/>
        </w:rPr>
      </w:pPr>
    </w:p>
    <w:p w14:paraId="0AA99F3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Author contributions: </w:t>
      </w:r>
      <w:bookmarkStart w:id="7" w:name="OLE_LINK10"/>
      <w:r>
        <w:rPr>
          <w:rFonts w:ascii="Book Antiqua" w:eastAsia="Book Antiqua" w:hAnsi="Book Antiqua" w:cs="Book Antiqua"/>
          <w:color w:val="000000"/>
          <w:lang w:val="en-GB"/>
        </w:rPr>
        <w:t>Tian LH and Xiao PP contributed equally; Dong ZG and Chen XY managed the patient in the hospital; Tian LH collected the patient’s clinical data; Huang LJ collected the laboratory data; Xiao PP drafted and revised the manuscript; All authors approved the final manuscript.</w:t>
      </w:r>
    </w:p>
    <w:bookmarkEnd w:id="7"/>
    <w:p w14:paraId="284DA83F" w14:textId="77777777" w:rsidR="00EB3E58" w:rsidRDefault="00EB3E58">
      <w:pPr>
        <w:adjustRightInd w:val="0"/>
        <w:snapToGrid w:val="0"/>
        <w:spacing w:line="360" w:lineRule="auto"/>
        <w:jc w:val="both"/>
        <w:rPr>
          <w:rFonts w:ascii="Book Antiqua" w:hAnsi="Book Antiqua"/>
          <w:lang w:val="en-GB"/>
        </w:rPr>
      </w:pPr>
    </w:p>
    <w:p w14:paraId="463C4A4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Supported by </w:t>
      </w:r>
      <w:bookmarkStart w:id="8" w:name="OLE_LINK11"/>
      <w:bookmarkStart w:id="9" w:name="OLE_LINK12"/>
      <w:r>
        <w:rPr>
          <w:rFonts w:ascii="Book Antiqua" w:eastAsia="Book Antiqua" w:hAnsi="Book Antiqua" w:cs="Book Antiqua"/>
          <w:color w:val="000000"/>
          <w:lang w:val="en-GB"/>
        </w:rPr>
        <w:t>Xiamen Medical and Health Guidance Project, No. 3502Z20199137.</w:t>
      </w:r>
      <w:bookmarkEnd w:id="8"/>
      <w:bookmarkEnd w:id="9"/>
    </w:p>
    <w:p w14:paraId="11F94DE2" w14:textId="77777777" w:rsidR="00EB3E58" w:rsidRDefault="00EB3E58">
      <w:pPr>
        <w:adjustRightInd w:val="0"/>
        <w:snapToGrid w:val="0"/>
        <w:spacing w:line="360" w:lineRule="auto"/>
        <w:jc w:val="both"/>
        <w:rPr>
          <w:rFonts w:ascii="Book Antiqua" w:hAnsi="Book Antiqua"/>
          <w:lang w:val="en-GB"/>
        </w:rPr>
      </w:pPr>
    </w:p>
    <w:p w14:paraId="242DA3F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Corresponding author: Ping-Ping Xiao, MD, Associate Chief Physician, </w:t>
      </w:r>
      <w:r>
        <w:rPr>
          <w:rFonts w:ascii="Book Antiqua" w:eastAsia="Book Antiqua" w:hAnsi="Book Antiqua" w:cs="Book Antiqua"/>
          <w:color w:val="000000"/>
          <w:lang w:val="en-GB"/>
        </w:rPr>
        <w:t>Department of Hematology and Rheumatology, The Second Affiliated Hospital of Xiamen Medical College, No. 566 Shengguang Road, Jimei District, Xiamen 361021, Fujian Province, China. xiaopp0026@163.com</w:t>
      </w:r>
    </w:p>
    <w:p w14:paraId="05F8959A" w14:textId="77777777" w:rsidR="00EB3E58" w:rsidRDefault="00EB3E58">
      <w:pPr>
        <w:adjustRightInd w:val="0"/>
        <w:snapToGrid w:val="0"/>
        <w:spacing w:line="360" w:lineRule="auto"/>
        <w:jc w:val="both"/>
        <w:rPr>
          <w:rFonts w:ascii="Book Antiqua" w:eastAsia="Book Antiqua" w:hAnsi="Book Antiqua" w:cs="Book Antiqua"/>
          <w:b/>
          <w:bCs/>
          <w:color w:val="000000"/>
          <w:lang w:val="en-GB"/>
        </w:rPr>
      </w:pPr>
    </w:p>
    <w:p w14:paraId="2C8FD80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lastRenderedPageBreak/>
        <w:t xml:space="preserve">Received: </w:t>
      </w:r>
      <w:r>
        <w:rPr>
          <w:rFonts w:ascii="Book Antiqua" w:eastAsia="Book Antiqua" w:hAnsi="Book Antiqua" w:cs="Book Antiqua"/>
          <w:color w:val="000000"/>
          <w:lang w:val="en-GB"/>
        </w:rPr>
        <w:t>October 25, 2020</w:t>
      </w:r>
    </w:p>
    <w:p w14:paraId="255EC53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Revised: </w:t>
      </w:r>
      <w:r>
        <w:rPr>
          <w:rFonts w:ascii="Book Antiqua" w:eastAsia="Book Antiqua" w:hAnsi="Book Antiqua" w:cs="Book Antiqua"/>
          <w:color w:val="000000"/>
          <w:lang w:val="en-GB"/>
        </w:rPr>
        <w:t>January 27, 2021</w:t>
      </w:r>
    </w:p>
    <w:p w14:paraId="3FC12F9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Accepted: </w:t>
      </w:r>
      <w:r>
        <w:rPr>
          <w:rFonts w:ascii="Book Antiqua" w:eastAsia="Book Antiqua" w:hAnsi="Book Antiqua" w:cs="Book Antiqua"/>
          <w:color w:val="000000"/>
          <w:lang w:val="en-GB"/>
        </w:rPr>
        <w:t>March 15, 2021</w:t>
      </w:r>
    </w:p>
    <w:p w14:paraId="714C894D" w14:textId="630D70BA"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Published online: </w:t>
      </w:r>
      <w:r w:rsidR="00F97323" w:rsidRPr="004E15DC">
        <w:rPr>
          <w:rFonts w:ascii="Book Antiqua" w:eastAsia="Book Antiqua" w:hAnsi="Book Antiqua" w:cs="Book Antiqua"/>
          <w:bCs/>
          <w:color w:val="000000"/>
          <w:lang w:val="en-GB"/>
        </w:rPr>
        <w:t>May 26, 2021</w:t>
      </w:r>
    </w:p>
    <w:p w14:paraId="203C4510" w14:textId="77777777" w:rsidR="00EB3E58" w:rsidRDefault="00EB3E58">
      <w:pPr>
        <w:adjustRightInd w:val="0"/>
        <w:snapToGrid w:val="0"/>
        <w:spacing w:line="360" w:lineRule="auto"/>
        <w:jc w:val="both"/>
        <w:rPr>
          <w:rFonts w:ascii="Book Antiqua" w:hAnsi="Book Antiqua"/>
          <w:lang w:val="en-GB"/>
        </w:rPr>
        <w:sectPr w:rsidR="00EB3E58">
          <w:footerReference w:type="default" r:id="rId8"/>
          <w:pgSz w:w="12240" w:h="15840"/>
          <w:pgMar w:top="1440" w:right="1800" w:bottom="1440" w:left="1800" w:header="720" w:footer="720" w:gutter="0"/>
          <w:cols w:space="720"/>
          <w:docGrid w:linePitch="360"/>
        </w:sectPr>
      </w:pPr>
    </w:p>
    <w:p w14:paraId="433234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Abstract</w:t>
      </w:r>
    </w:p>
    <w:p w14:paraId="781418F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BACKGROUND</w:t>
      </w:r>
    </w:p>
    <w:p w14:paraId="360EA41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Brucellosis is a contagious bacterial disease caused by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 which is a leading zoonotic disease worldwide. Most patients with brucellosis have a clear infection source; however, our case had a rare presentation of secondary haemophagocytic lymphohistiocytosis without any epidemiological history.</w:t>
      </w:r>
    </w:p>
    <w:p w14:paraId="6ABA7AB2" w14:textId="77777777" w:rsidR="00EB3E58" w:rsidRDefault="00EB3E58">
      <w:pPr>
        <w:adjustRightInd w:val="0"/>
        <w:snapToGrid w:val="0"/>
        <w:spacing w:line="360" w:lineRule="auto"/>
        <w:jc w:val="both"/>
        <w:rPr>
          <w:rFonts w:ascii="Book Antiqua" w:hAnsi="Book Antiqua"/>
          <w:lang w:val="en-GB"/>
        </w:rPr>
      </w:pPr>
    </w:p>
    <w:p w14:paraId="0F01E52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CASE SUMMARY</w:t>
      </w:r>
    </w:p>
    <w:p w14:paraId="56C168A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A 50-year-old man was admitted to our hospital with a fever of unknown origin. After laboratory examinations, such as blood culture and bone marrow biopsy, the patient was diagnosed with brucellosis and secondary haemophagocytic lymphohistiocytosis. After antibiotic therapy, the patient was afebrile, and his haemogram recovered to normal, after which he was discharged.</w:t>
      </w:r>
    </w:p>
    <w:p w14:paraId="54D9AEAE" w14:textId="77777777" w:rsidR="00EB3E58" w:rsidRDefault="00EB3E58">
      <w:pPr>
        <w:adjustRightInd w:val="0"/>
        <w:snapToGrid w:val="0"/>
        <w:spacing w:line="360" w:lineRule="auto"/>
        <w:jc w:val="both"/>
        <w:rPr>
          <w:rFonts w:ascii="Book Antiqua" w:hAnsi="Book Antiqua"/>
          <w:lang w:val="en-GB"/>
        </w:rPr>
      </w:pPr>
    </w:p>
    <w:p w14:paraId="3E0F306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CONCLUSION</w:t>
      </w:r>
    </w:p>
    <w:p w14:paraId="67C0245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Brucellosis cannot be excluded in patients with clinically unexplained fever, even in those without epidemiologic history.</w:t>
      </w:r>
    </w:p>
    <w:p w14:paraId="51404B9E" w14:textId="77777777" w:rsidR="00EB3E58" w:rsidRDefault="00EB3E58">
      <w:pPr>
        <w:adjustRightInd w:val="0"/>
        <w:snapToGrid w:val="0"/>
        <w:spacing w:line="360" w:lineRule="auto"/>
        <w:jc w:val="both"/>
        <w:rPr>
          <w:rFonts w:ascii="Book Antiqua" w:hAnsi="Book Antiqua"/>
          <w:lang w:val="en-GB"/>
        </w:rPr>
      </w:pPr>
    </w:p>
    <w:p w14:paraId="2AA1D6F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Key Words: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Brucellosis; Haemophagocytic syndrome; Haemophagocytic lymphohistiocytosis; Fever; Case report</w:t>
      </w:r>
    </w:p>
    <w:p w14:paraId="6FF9C60B" w14:textId="77777777" w:rsidR="003A062C" w:rsidRDefault="003A062C" w:rsidP="003A062C">
      <w:pPr>
        <w:spacing w:line="360" w:lineRule="auto"/>
        <w:jc w:val="both"/>
        <w:rPr>
          <w:lang w:eastAsia="zh-CN"/>
        </w:rPr>
      </w:pPr>
    </w:p>
    <w:p w14:paraId="1DBFE6FF" w14:textId="5C2F8762" w:rsidR="00EB3E58" w:rsidRDefault="003A062C" w:rsidP="003A062C">
      <w:pPr>
        <w:adjustRightInd w:val="0"/>
        <w:snapToGrid w:val="0"/>
        <w:spacing w:line="360" w:lineRule="auto"/>
        <w:jc w:val="both"/>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Published by Baishideng Publishing Group Inc. All rights reserved.</w:t>
      </w:r>
    </w:p>
    <w:p w14:paraId="353BA998" w14:textId="77777777" w:rsidR="00E53609" w:rsidRPr="00E53609" w:rsidRDefault="00E53609" w:rsidP="003A062C">
      <w:pPr>
        <w:adjustRightInd w:val="0"/>
        <w:snapToGrid w:val="0"/>
        <w:spacing w:line="360" w:lineRule="auto"/>
        <w:jc w:val="both"/>
        <w:rPr>
          <w:rFonts w:ascii="Book Antiqua" w:hAnsi="Book Antiqua" w:hint="eastAsia"/>
          <w:lang w:val="en-GB" w:eastAsia="zh-CN"/>
        </w:rPr>
      </w:pPr>
    </w:p>
    <w:p w14:paraId="238825CA" w14:textId="141475D9" w:rsidR="004E15DC" w:rsidRDefault="003A062C" w:rsidP="004E15DC">
      <w:pPr>
        <w:spacing w:line="360" w:lineRule="auto"/>
        <w:jc w:val="both"/>
        <w:rPr>
          <w:rFonts w:ascii="Book Antiqua" w:hAnsi="Book Antiqua" w:cs="Book Antiqua"/>
          <w:color w:val="000000"/>
          <w:lang w:eastAsia="zh-CN"/>
        </w:rPr>
      </w:pPr>
      <w:r w:rsidRPr="003A062C">
        <w:rPr>
          <w:rFonts w:ascii="Book Antiqua" w:hAnsi="Book Antiqua" w:cs="Book Antiqua" w:hint="eastAsia"/>
          <w:b/>
          <w:color w:val="000000"/>
          <w:lang w:val="en-GB" w:eastAsia="zh-CN"/>
        </w:rPr>
        <w:t xml:space="preserve">Citation: </w:t>
      </w:r>
      <w:r w:rsidR="005946F0">
        <w:rPr>
          <w:rFonts w:ascii="Book Antiqua" w:eastAsia="Book Antiqua" w:hAnsi="Book Antiqua" w:cs="Book Antiqua"/>
          <w:color w:val="000000"/>
          <w:lang w:val="en-GB"/>
        </w:rPr>
        <w:t xml:space="preserve">Tian LH, Dong ZG, Chen XY, Huang LJ, Xiao PP. Brucellosis of unknown origin with haemophagocytic syndrome: A case report. </w:t>
      </w:r>
      <w:r w:rsidR="005946F0">
        <w:rPr>
          <w:rFonts w:ascii="Book Antiqua" w:eastAsia="Book Antiqua" w:hAnsi="Book Antiqua" w:cs="Book Antiqua"/>
          <w:i/>
          <w:iCs/>
          <w:color w:val="000000"/>
          <w:lang w:val="en-GB"/>
        </w:rPr>
        <w:t>World J Clin Cases</w:t>
      </w:r>
      <w:r w:rsidR="005946F0">
        <w:rPr>
          <w:rFonts w:ascii="Book Antiqua" w:eastAsia="Book Antiqua" w:hAnsi="Book Antiqua" w:cs="Book Antiqua"/>
          <w:color w:val="000000"/>
          <w:lang w:val="en-GB"/>
        </w:rPr>
        <w:t xml:space="preserve"> </w:t>
      </w:r>
      <w:bookmarkStart w:id="10" w:name="OLE_LINK138"/>
      <w:r w:rsidR="004E15DC" w:rsidRPr="00E03888">
        <w:rPr>
          <w:rFonts w:ascii="Book Antiqua" w:eastAsia="Book Antiqua" w:hAnsi="Book Antiqua" w:cs="Book Antiqua"/>
          <w:color w:val="000000"/>
        </w:rPr>
        <w:t>202</w:t>
      </w:r>
      <w:r w:rsidR="004E15DC">
        <w:rPr>
          <w:rFonts w:ascii="Book Antiqua" w:hAnsi="Book Antiqua" w:cs="Book Antiqua" w:hint="eastAsia"/>
          <w:color w:val="000000"/>
          <w:lang w:eastAsia="zh-CN"/>
        </w:rPr>
        <w:t>1</w:t>
      </w:r>
      <w:r w:rsidR="004E15DC" w:rsidRPr="00E03888">
        <w:rPr>
          <w:rFonts w:ascii="Book Antiqua" w:eastAsia="Book Antiqua" w:hAnsi="Book Antiqua" w:cs="Book Antiqua"/>
          <w:color w:val="000000"/>
        </w:rPr>
        <w:t xml:space="preserve">; </w:t>
      </w:r>
      <w:r w:rsidR="004E15DC" w:rsidRPr="00DD2DF8">
        <w:rPr>
          <w:rFonts w:ascii="Book Antiqua" w:eastAsia="Book Antiqua" w:hAnsi="Book Antiqua" w:cs="Book Antiqua"/>
          <w:color w:val="000000"/>
        </w:rPr>
        <w:t>9(</w:t>
      </w:r>
      <w:r w:rsidR="005D6F9E">
        <w:rPr>
          <w:rFonts w:ascii="Book Antiqua" w:hAnsi="Book Antiqua" w:cs="Book Antiqua" w:hint="eastAsia"/>
          <w:color w:val="000000"/>
          <w:lang w:eastAsia="zh-CN"/>
        </w:rPr>
        <w:t>15</w:t>
      </w:r>
      <w:r w:rsidR="004E15DC" w:rsidRPr="00DD2DF8">
        <w:rPr>
          <w:rFonts w:ascii="Book Antiqua" w:eastAsia="Book Antiqua" w:hAnsi="Book Antiqua" w:cs="Book Antiqua"/>
          <w:color w:val="000000"/>
        </w:rPr>
        <w:t xml:space="preserve">): </w:t>
      </w:r>
      <w:bookmarkEnd w:id="10"/>
      <w:r w:rsidR="00520FAA" w:rsidRPr="00520FAA">
        <w:rPr>
          <w:rFonts w:ascii="Book Antiqua" w:eastAsia="Book Antiqua" w:hAnsi="Book Antiqua" w:cs="Book Antiqua"/>
          <w:color w:val="000000"/>
        </w:rPr>
        <w:t>3649-3654</w:t>
      </w:r>
      <w:r w:rsidR="004E15DC" w:rsidRPr="00DD2DF8">
        <w:rPr>
          <w:rFonts w:ascii="Book Antiqua" w:eastAsia="Book Antiqua" w:hAnsi="Book Antiqua" w:cs="Book Antiqua"/>
          <w:color w:val="000000"/>
        </w:rPr>
        <w:t xml:space="preserve"> </w:t>
      </w:r>
    </w:p>
    <w:p w14:paraId="391E85E2" w14:textId="73DCB32F" w:rsidR="004E15DC" w:rsidRDefault="004E15DC" w:rsidP="004E15DC">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w:t>
      </w:r>
      <w:r w:rsidR="00520FAA">
        <w:rPr>
          <w:rFonts w:ascii="Book Antiqua" w:hAnsi="Book Antiqua" w:cs="Book Antiqua" w:hint="eastAsia"/>
          <w:color w:val="000000"/>
          <w:lang w:eastAsia="zh-CN"/>
        </w:rPr>
        <w:t>15</w:t>
      </w:r>
      <w:r w:rsidRPr="00DD2DF8">
        <w:rPr>
          <w:rFonts w:ascii="Book Antiqua" w:eastAsia="Book Antiqua" w:hAnsi="Book Antiqua" w:cs="Book Antiqua"/>
          <w:color w:val="000000"/>
        </w:rPr>
        <w:t>/</w:t>
      </w:r>
      <w:r w:rsidR="00520FAA" w:rsidRPr="00520FAA">
        <w:rPr>
          <w:rFonts w:ascii="Book Antiqua" w:eastAsia="Book Antiqua" w:hAnsi="Book Antiqua" w:cs="Book Antiqua"/>
          <w:color w:val="000000"/>
        </w:rPr>
        <w:t>3649</w:t>
      </w:r>
      <w:r w:rsidRPr="00DD2DF8">
        <w:rPr>
          <w:rFonts w:ascii="Book Antiqua" w:eastAsia="Book Antiqua" w:hAnsi="Book Antiqua" w:cs="Book Antiqua"/>
          <w:color w:val="000000"/>
        </w:rPr>
        <w:t xml:space="preserve">.htm </w:t>
      </w:r>
    </w:p>
    <w:p w14:paraId="660D7962" w14:textId="24049344" w:rsidR="00EB3E58" w:rsidRPr="005D6F9E" w:rsidRDefault="004E15DC" w:rsidP="005D6F9E">
      <w:pPr>
        <w:spacing w:line="360" w:lineRule="auto"/>
        <w:jc w:val="both"/>
        <w:rPr>
          <w:rFonts w:ascii="Book Antiqua" w:hAnsi="Book Antiqua" w:hint="eastAsia"/>
          <w:lang w:eastAsia="zh-CN"/>
        </w:rPr>
      </w:pPr>
      <w:r w:rsidRPr="0009439F">
        <w:rPr>
          <w:rFonts w:ascii="Book Antiqua" w:eastAsia="Book Antiqua" w:hAnsi="Book Antiqua" w:cs="Book Antiqua"/>
          <w:b/>
          <w:color w:val="000000"/>
        </w:rPr>
        <w:t xml:space="preserve">DOI: </w:t>
      </w:r>
      <w:bookmarkStart w:id="11" w:name="OLE_LINK139"/>
      <w:r w:rsidRPr="00DD2DF8">
        <w:rPr>
          <w:rFonts w:ascii="Book Antiqua" w:eastAsia="Book Antiqua" w:hAnsi="Book Antiqua" w:cs="Book Antiqua"/>
          <w:color w:val="000000"/>
        </w:rPr>
        <w:t>https://dx.doi.org/10.12998/wjcc.v9.i</w:t>
      </w:r>
      <w:r w:rsidR="00520FAA">
        <w:rPr>
          <w:rFonts w:ascii="Book Antiqua" w:hAnsi="Book Antiqua" w:cs="Book Antiqua" w:hint="eastAsia"/>
          <w:color w:val="000000"/>
          <w:lang w:eastAsia="zh-CN"/>
        </w:rPr>
        <w:t>15</w:t>
      </w:r>
      <w:r w:rsidRPr="00DD2DF8">
        <w:rPr>
          <w:rFonts w:ascii="Book Antiqua" w:eastAsia="Book Antiqua" w:hAnsi="Book Antiqua" w:cs="Book Antiqua"/>
          <w:color w:val="000000"/>
        </w:rPr>
        <w:t>.</w:t>
      </w:r>
      <w:bookmarkEnd w:id="11"/>
      <w:r w:rsidR="00520FAA" w:rsidRPr="00520FAA">
        <w:rPr>
          <w:rFonts w:ascii="Book Antiqua" w:eastAsia="Book Antiqua" w:hAnsi="Book Antiqua" w:cs="Book Antiqua"/>
          <w:color w:val="000000"/>
        </w:rPr>
        <w:t>3649</w:t>
      </w:r>
    </w:p>
    <w:p w14:paraId="2DF6A003" w14:textId="77777777" w:rsidR="00EB3E58" w:rsidRDefault="00EB3E58">
      <w:pPr>
        <w:adjustRightInd w:val="0"/>
        <w:snapToGrid w:val="0"/>
        <w:spacing w:line="360" w:lineRule="auto"/>
        <w:jc w:val="both"/>
        <w:rPr>
          <w:rFonts w:ascii="Book Antiqua" w:hAnsi="Book Antiqua"/>
          <w:lang w:val="en-GB"/>
        </w:rPr>
      </w:pPr>
    </w:p>
    <w:p w14:paraId="69654CC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Core Tip: </w:t>
      </w:r>
      <w:bookmarkStart w:id="12" w:name="OLE_LINK14"/>
      <w:bookmarkStart w:id="13" w:name="OLE_LINK13"/>
      <w:bookmarkStart w:id="14" w:name="OLE_LINK5"/>
      <w:bookmarkStart w:id="15" w:name="OLE_LINK6"/>
      <w:r>
        <w:rPr>
          <w:rFonts w:ascii="Book Antiqua" w:eastAsia="Book Antiqua" w:hAnsi="Book Antiqua" w:cs="Book Antiqua"/>
          <w:color w:val="000000"/>
          <w:lang w:val="en-GB"/>
        </w:rPr>
        <w:t xml:space="preserve">Most patients of </w:t>
      </w:r>
      <w:r>
        <w:rPr>
          <w:rFonts w:ascii="Book Antiqua" w:eastAsia="Book Antiqua" w:hAnsi="Book Antiqua" w:cs="Book Antiqua"/>
          <w:iCs/>
          <w:color w:val="000000"/>
          <w:lang w:val="en-GB"/>
        </w:rPr>
        <w:t>brucellosis</w:t>
      </w:r>
      <w:r>
        <w:rPr>
          <w:rFonts w:ascii="Book Antiqua" w:eastAsia="Book Antiqua" w:hAnsi="Book Antiqua" w:cs="Book Antiqua"/>
          <w:color w:val="000000"/>
          <w:lang w:val="en-GB"/>
        </w:rPr>
        <w:t xml:space="preserve"> present with a clear infection source. However, our patient showed a rare case presentation of haemophagocytic lymphohistiocytosis with no clear infection source and unremarkable medical history. Our findings suggest that brucellosis cannot be excluded in patients with clinically unexplained fever, even in those without epidemiologic history. To prevent timely exacerbation of the disease, before obtaining the aetiology test results, the administered antibiotics should cover rare pathogens,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w:t>
      </w:r>
    </w:p>
    <w:bookmarkEnd w:id="12"/>
    <w:bookmarkEnd w:id="13"/>
    <w:p w14:paraId="6E3F8F9C" w14:textId="77777777" w:rsidR="00EB3E58" w:rsidRDefault="00EB3E58">
      <w:pPr>
        <w:adjustRightInd w:val="0"/>
        <w:snapToGrid w:val="0"/>
        <w:spacing w:line="360" w:lineRule="auto"/>
        <w:jc w:val="both"/>
        <w:rPr>
          <w:rFonts w:ascii="Book Antiqua" w:hAnsi="Book Antiqua"/>
          <w:lang w:val="en-GB"/>
        </w:rPr>
      </w:pPr>
    </w:p>
    <w:bookmarkEnd w:id="14"/>
    <w:bookmarkEnd w:id="15"/>
    <w:p w14:paraId="177556A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br w:type="page"/>
        <w:t>INTRODUCTION</w:t>
      </w:r>
    </w:p>
    <w:p w14:paraId="0B89E544" w14:textId="77777777" w:rsidR="00EB3E58" w:rsidRDefault="005946F0">
      <w:pPr>
        <w:adjustRightInd w:val="0"/>
        <w:snapToGrid w:val="0"/>
        <w:spacing w:line="360" w:lineRule="auto"/>
        <w:jc w:val="both"/>
        <w:rPr>
          <w:rFonts w:ascii="Book Antiqua" w:hAnsi="Book Antiqua"/>
          <w:lang w:val="en-GB"/>
        </w:rPr>
      </w:pPr>
      <w:bookmarkStart w:id="16" w:name="OLE_LINK15"/>
      <w:bookmarkStart w:id="17" w:name="OLE_LINK16"/>
      <w:r>
        <w:rPr>
          <w:rFonts w:ascii="Book Antiqua" w:eastAsia="Book Antiqua" w:hAnsi="Book Antiqua" w:cs="Book Antiqua"/>
          <w:color w:val="000000"/>
          <w:lang w:val="en-GB"/>
        </w:rPr>
        <w:t xml:space="preserve">Brucellosis is a zoonotic infectious disease caused by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w:t>
      </w:r>
      <w:r>
        <w:rPr>
          <w:rFonts w:ascii="Book Antiqua" w:eastAsia="Book Antiqua" w:hAnsi="Book Antiqua" w:cs="Book Antiqua"/>
          <w:color w:val="000000"/>
          <w:vertAlign w:val="superscript"/>
          <w:lang w:val="en-GB"/>
        </w:rPr>
        <w:t>[1]</w:t>
      </w:r>
      <w:r>
        <w:rPr>
          <w:rFonts w:ascii="Book Antiqua" w:eastAsia="Book Antiqua" w:hAnsi="Book Antiqua" w:cs="Book Antiqua"/>
          <w:color w:val="000000"/>
          <w:lang w:val="en-GB"/>
        </w:rPr>
        <w:t>. Brucellosis has various clinical manifestations, the most common being fever, followed by weakness, hyperhidrosis, myalgias, and arthralgias</w:t>
      </w:r>
      <w:r>
        <w:rPr>
          <w:rFonts w:ascii="Book Antiqua" w:eastAsia="Book Antiqua" w:hAnsi="Book Antiqua" w:cs="Book Antiqua"/>
          <w:color w:val="000000"/>
          <w:vertAlign w:val="superscript"/>
          <w:lang w:val="en-GB"/>
        </w:rPr>
        <w:t>[2,3]</w:t>
      </w:r>
      <w:r>
        <w:rPr>
          <w:rFonts w:ascii="Book Antiqua" w:eastAsia="Book Antiqua" w:hAnsi="Book Antiqua" w:cs="Book Antiqua"/>
          <w:color w:val="000000"/>
          <w:lang w:val="en-GB"/>
        </w:rPr>
        <w:t>.</w:t>
      </w:r>
      <w:r>
        <w:rPr>
          <w:rFonts w:ascii="Book Antiqua" w:hAnsi="Book Antiqua"/>
          <w:lang w:val="en-GB" w:eastAsia="zh-CN"/>
        </w:rPr>
        <w:t xml:space="preserve"> </w:t>
      </w:r>
      <w:r>
        <w:rPr>
          <w:rFonts w:ascii="Book Antiqua" w:eastAsia="Book Antiqua" w:hAnsi="Book Antiqua" w:cs="Book Antiqua"/>
          <w:color w:val="000000"/>
          <w:lang w:val="en-GB"/>
        </w:rPr>
        <w:t>Most patients come into contact with infected animals or ingest infected meat or unpasteurised milk. However, unknown origin brucellosis is relatively rare. Here, we report a case of brucellosis with secondary haemophagocytic lymphohistiocytosis without epidemiologic history.</w:t>
      </w:r>
    </w:p>
    <w:bookmarkEnd w:id="16"/>
    <w:bookmarkEnd w:id="17"/>
    <w:p w14:paraId="442D15B4" w14:textId="77777777" w:rsidR="00EB3E58" w:rsidRDefault="00EB3E58">
      <w:pPr>
        <w:adjustRightInd w:val="0"/>
        <w:snapToGrid w:val="0"/>
        <w:spacing w:line="360" w:lineRule="auto"/>
        <w:jc w:val="both"/>
        <w:rPr>
          <w:rFonts w:ascii="Book Antiqua" w:hAnsi="Book Antiqua"/>
          <w:lang w:val="en-GB"/>
        </w:rPr>
      </w:pPr>
    </w:p>
    <w:p w14:paraId="10A676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CASE PRESENTATION</w:t>
      </w:r>
    </w:p>
    <w:p w14:paraId="5D1C093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Chief complaints</w:t>
      </w:r>
    </w:p>
    <w:p w14:paraId="179AC6E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A 50-year-old man was admitted to our hospital with a history of fever.</w:t>
      </w:r>
    </w:p>
    <w:p w14:paraId="27CDFED6" w14:textId="77777777" w:rsidR="00EB3E58" w:rsidRDefault="00EB3E58">
      <w:pPr>
        <w:adjustRightInd w:val="0"/>
        <w:snapToGrid w:val="0"/>
        <w:spacing w:line="360" w:lineRule="auto"/>
        <w:jc w:val="both"/>
        <w:rPr>
          <w:rFonts w:ascii="Book Antiqua" w:hAnsi="Book Antiqua"/>
          <w:lang w:val="en-GB"/>
        </w:rPr>
      </w:pPr>
    </w:p>
    <w:p w14:paraId="24B62CF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History of present illness</w:t>
      </w:r>
    </w:p>
    <w:p w14:paraId="7BE6BAD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patient’s symptoms were fever and weakness for 6 d and diarrhoea for half a day. His body temperature reached 39.2 °C; he had no cough or other symptoms.</w:t>
      </w:r>
    </w:p>
    <w:p w14:paraId="5D99D6A4" w14:textId="77777777" w:rsidR="00EB3E58" w:rsidRDefault="00EB3E58">
      <w:pPr>
        <w:adjustRightInd w:val="0"/>
        <w:snapToGrid w:val="0"/>
        <w:spacing w:line="360" w:lineRule="auto"/>
        <w:jc w:val="both"/>
        <w:rPr>
          <w:rFonts w:ascii="Book Antiqua" w:hAnsi="Book Antiqua"/>
          <w:lang w:val="en-GB"/>
        </w:rPr>
      </w:pPr>
    </w:p>
    <w:p w14:paraId="71CC2F03"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History of past illness</w:t>
      </w:r>
    </w:p>
    <w:p w14:paraId="4134735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 had no remarkable medical history.</w:t>
      </w:r>
    </w:p>
    <w:p w14:paraId="14397DCA" w14:textId="77777777" w:rsidR="00EB3E58" w:rsidRDefault="00EB3E58">
      <w:pPr>
        <w:adjustRightInd w:val="0"/>
        <w:snapToGrid w:val="0"/>
        <w:spacing w:line="360" w:lineRule="auto"/>
        <w:jc w:val="both"/>
        <w:rPr>
          <w:rFonts w:ascii="Book Antiqua" w:hAnsi="Book Antiqua"/>
          <w:lang w:val="en-GB"/>
        </w:rPr>
      </w:pPr>
    </w:p>
    <w:p w14:paraId="7C9B762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Personal and family history</w:t>
      </w:r>
    </w:p>
    <w:p w14:paraId="7311038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patient had unremarkable personal and family history.</w:t>
      </w:r>
    </w:p>
    <w:p w14:paraId="6EC1E70D" w14:textId="77777777" w:rsidR="00EB3E58" w:rsidRDefault="00EB3E58">
      <w:pPr>
        <w:adjustRightInd w:val="0"/>
        <w:snapToGrid w:val="0"/>
        <w:spacing w:line="360" w:lineRule="auto"/>
        <w:jc w:val="both"/>
        <w:rPr>
          <w:rFonts w:ascii="Book Antiqua" w:hAnsi="Book Antiqua"/>
          <w:lang w:val="en-GB"/>
        </w:rPr>
      </w:pPr>
    </w:p>
    <w:p w14:paraId="1FC9CBC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Physical examination</w:t>
      </w:r>
    </w:p>
    <w:p w14:paraId="1B9BFE25"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There were no remarkable findings on physical examination except the patient’s temperature was 39.5 °C.</w:t>
      </w:r>
    </w:p>
    <w:p w14:paraId="4A718B49" w14:textId="77777777" w:rsidR="00EB3E58" w:rsidRDefault="00EB3E58">
      <w:pPr>
        <w:adjustRightInd w:val="0"/>
        <w:snapToGrid w:val="0"/>
        <w:spacing w:line="360" w:lineRule="auto"/>
        <w:jc w:val="both"/>
        <w:rPr>
          <w:rFonts w:ascii="Book Antiqua" w:hAnsi="Book Antiqua"/>
          <w:lang w:val="en-GB"/>
        </w:rPr>
      </w:pPr>
    </w:p>
    <w:p w14:paraId="00F9520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Laboratory examinations</w:t>
      </w:r>
    </w:p>
    <w:p w14:paraId="77CD9117" w14:textId="77777777" w:rsidR="00EB3E58" w:rsidRDefault="005946F0">
      <w:pPr>
        <w:adjustRightInd w:val="0"/>
        <w:snapToGrid w:val="0"/>
        <w:spacing w:line="360" w:lineRule="auto"/>
        <w:jc w:val="both"/>
        <w:rPr>
          <w:rFonts w:ascii="Book Antiqua" w:hAnsi="Book Antiqua"/>
          <w:lang w:val="en-GB"/>
        </w:rPr>
      </w:pPr>
      <w:bookmarkStart w:id="18" w:name="OLE_LINK18"/>
      <w:bookmarkStart w:id="19" w:name="OLE_LINK17"/>
      <w:r>
        <w:rPr>
          <w:rFonts w:ascii="Book Antiqua" w:eastAsia="Book Antiqua" w:hAnsi="Book Antiqua" w:cs="Book Antiqua"/>
          <w:color w:val="000000"/>
          <w:lang w:val="en-GB"/>
        </w:rPr>
        <w:t>Laboratory analyses were conducted for blood, blood culture, biochemical tests, coagulation, and levels of serum C-reactive protein, serum procalcitonin, and ferritin. Laboratory data showed pancytopenia with a white blood cell count of 2.67 × 10</w:t>
      </w:r>
      <w:r>
        <w:rPr>
          <w:rFonts w:ascii="Book Antiqua" w:eastAsia="Book Antiqua" w:hAnsi="Book Antiqua" w:cs="Book Antiqua"/>
          <w:color w:val="000000"/>
          <w:vertAlign w:val="superscript"/>
          <w:lang w:val="en-GB"/>
        </w:rPr>
        <w:t xml:space="preserve">9 </w:t>
      </w:r>
      <w:r>
        <w:rPr>
          <w:rFonts w:ascii="Book Antiqua" w:eastAsia="Book Antiqua" w:hAnsi="Book Antiqua" w:cs="Book Antiqua"/>
          <w:color w:val="000000"/>
          <w:lang w:val="en-GB"/>
        </w:rPr>
        <w:t>cells/L, haemoglobin levels of 14.7 g/dL, and a platelet count of 83 × 10</w:t>
      </w:r>
      <w:r>
        <w:rPr>
          <w:rFonts w:ascii="Book Antiqua" w:eastAsia="Book Antiqua" w:hAnsi="Book Antiqua" w:cs="Book Antiqua"/>
          <w:color w:val="000000"/>
          <w:vertAlign w:val="superscript"/>
          <w:lang w:val="en-GB"/>
        </w:rPr>
        <w:t>9</w:t>
      </w:r>
      <w:r>
        <w:rPr>
          <w:rFonts w:ascii="Book Antiqua" w:eastAsia="Book Antiqua" w:hAnsi="Book Antiqua" w:cs="Book Antiqua"/>
          <w:color w:val="000000"/>
          <w:lang w:val="en-GB"/>
        </w:rPr>
        <w:t xml:space="preserve"> cells/L (Table 1). </w:t>
      </w:r>
      <w:r>
        <w:rPr>
          <w:rStyle w:val="MsoCommentReference0"/>
          <w:rFonts w:ascii="Book Antiqua" w:eastAsia="Book Antiqua" w:hAnsi="Book Antiqua" w:cs="Book Antiqua"/>
          <w:color w:val="000000"/>
          <w:lang w:val="en-GB"/>
        </w:rPr>
        <w:t xml:space="preserve">The blood culture on the sixth day of incubation grew </w:t>
      </w:r>
      <w:r>
        <w:rPr>
          <w:rStyle w:val="MsoCommentReference0"/>
          <w:rFonts w:ascii="Book Antiqua" w:eastAsia="Book Antiqua" w:hAnsi="Book Antiqua" w:cs="Book Antiqua"/>
          <w:i/>
          <w:iCs/>
          <w:color w:val="000000"/>
          <w:lang w:val="en-GB"/>
        </w:rPr>
        <w:t>Brucella melitensis</w:t>
      </w:r>
      <w:r>
        <w:rPr>
          <w:rStyle w:val="MsoCommentReference0"/>
          <w:rFonts w:ascii="Book Antiqua" w:eastAsia="Book Antiqua" w:hAnsi="Book Antiqua" w:cs="Book Antiqua"/>
          <w:color w:val="000000"/>
          <w:lang w:val="en-GB"/>
        </w:rPr>
        <w:t xml:space="preserve"> (</w:t>
      </w:r>
      <w:r>
        <w:rPr>
          <w:rFonts w:ascii="Book Antiqua" w:eastAsia="Book Antiqua" w:hAnsi="Book Antiqua" w:cs="Book Antiqua"/>
          <w:color w:val="000000"/>
          <w:lang w:val="en-GB"/>
        </w:rPr>
        <w:t>Figure 1). The level of soluble CD25 was 3256 U/mL, and abdominal ultrasonography revealed no splenomegaly or hepatomegaly. High resolution computed tomography of the chest showed no abnormalities.</w:t>
      </w:r>
    </w:p>
    <w:bookmarkEnd w:id="18"/>
    <w:bookmarkEnd w:id="19"/>
    <w:p w14:paraId="24440D6E" w14:textId="77777777" w:rsidR="00EB3E58" w:rsidRDefault="00EB3E58">
      <w:pPr>
        <w:adjustRightInd w:val="0"/>
        <w:snapToGrid w:val="0"/>
        <w:spacing w:line="360" w:lineRule="auto"/>
        <w:jc w:val="both"/>
        <w:rPr>
          <w:rFonts w:ascii="Book Antiqua" w:hAnsi="Book Antiqua"/>
          <w:lang w:val="en-GB"/>
        </w:rPr>
      </w:pPr>
    </w:p>
    <w:p w14:paraId="61C3ED8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i/>
          <w:color w:val="000000"/>
          <w:lang w:val="en-GB"/>
        </w:rPr>
        <w:t>Imaging examinations</w:t>
      </w:r>
    </w:p>
    <w:p w14:paraId="347C5991" w14:textId="77777777" w:rsidR="00EB3E58" w:rsidRDefault="005946F0">
      <w:pPr>
        <w:adjustRightInd w:val="0"/>
        <w:snapToGrid w:val="0"/>
        <w:spacing w:line="360" w:lineRule="auto"/>
        <w:jc w:val="both"/>
        <w:rPr>
          <w:rFonts w:ascii="Book Antiqua" w:hAnsi="Book Antiqua"/>
          <w:lang w:val="en-GB"/>
        </w:rPr>
      </w:pPr>
      <w:bookmarkStart w:id="20" w:name="OLE_LINK20"/>
      <w:bookmarkStart w:id="21" w:name="OLE_LINK19"/>
      <w:r>
        <w:rPr>
          <w:rFonts w:ascii="Book Antiqua" w:eastAsia="Book Antiqua" w:hAnsi="Book Antiqua" w:cs="Book Antiqua"/>
          <w:color w:val="000000"/>
          <w:lang w:val="en-GB"/>
        </w:rPr>
        <w:t xml:space="preserve">Bone marrow biopsy showed slight hypocellularity with an increase in macrophages exhibiting haemophagocytosis (Figure 2).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was detected by mass spectrometry (Figure 3).</w:t>
      </w:r>
    </w:p>
    <w:bookmarkEnd w:id="20"/>
    <w:bookmarkEnd w:id="21"/>
    <w:p w14:paraId="2184DD61" w14:textId="77777777" w:rsidR="00EB3E58" w:rsidRDefault="00EB3E58">
      <w:pPr>
        <w:adjustRightInd w:val="0"/>
        <w:snapToGrid w:val="0"/>
        <w:spacing w:line="360" w:lineRule="auto"/>
        <w:jc w:val="both"/>
        <w:rPr>
          <w:rFonts w:ascii="Book Antiqua" w:hAnsi="Book Antiqua"/>
          <w:lang w:val="en-GB"/>
        </w:rPr>
      </w:pPr>
    </w:p>
    <w:p w14:paraId="012D939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FINAL DIAGNOSIS</w:t>
      </w:r>
    </w:p>
    <w:p w14:paraId="4C83573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final diagnosis of the presented case was brucellosis with haemophagocytic lymphohistiocytosis.</w:t>
      </w:r>
    </w:p>
    <w:p w14:paraId="65B62A54" w14:textId="77777777" w:rsidR="00EB3E58" w:rsidRDefault="00EB3E58">
      <w:pPr>
        <w:adjustRightInd w:val="0"/>
        <w:snapToGrid w:val="0"/>
        <w:spacing w:line="360" w:lineRule="auto"/>
        <w:jc w:val="both"/>
        <w:rPr>
          <w:rFonts w:ascii="Book Antiqua" w:hAnsi="Book Antiqua"/>
          <w:lang w:val="en-GB"/>
        </w:rPr>
      </w:pPr>
    </w:p>
    <w:p w14:paraId="1882D12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TREATMENT</w:t>
      </w:r>
    </w:p>
    <w:p w14:paraId="6D9E8993" w14:textId="77777777" w:rsidR="00EB3E58" w:rsidRDefault="005946F0">
      <w:pPr>
        <w:adjustRightInd w:val="0"/>
        <w:snapToGrid w:val="0"/>
        <w:spacing w:line="360" w:lineRule="auto"/>
        <w:jc w:val="both"/>
        <w:rPr>
          <w:rFonts w:ascii="Book Antiqua" w:hAnsi="Book Antiqua"/>
          <w:lang w:val="en-GB"/>
        </w:rPr>
      </w:pPr>
      <w:bookmarkStart w:id="22" w:name="OLE_LINK21"/>
      <w:bookmarkStart w:id="23" w:name="OLE_LINK22"/>
      <w:r>
        <w:rPr>
          <w:rFonts w:ascii="Book Antiqua" w:eastAsia="Book Antiqua" w:hAnsi="Book Antiqua" w:cs="Book Antiqua"/>
          <w:color w:val="000000"/>
          <w:lang w:val="en-GB"/>
        </w:rPr>
        <w:t xml:space="preserve">Treatment for the infection and conventional supportive therapy were administered after admission. After oral doxycycline (100 mg/dose, twice a day) and intravenous cefoperazone/sulbactam (3000 mg/dose, twice a day) for 4 d, the fever disappeared, and the body temperature was normal (Figure 4). </w:t>
      </w:r>
    </w:p>
    <w:bookmarkEnd w:id="22"/>
    <w:bookmarkEnd w:id="23"/>
    <w:p w14:paraId="7610C662" w14:textId="77777777" w:rsidR="00EB3E58" w:rsidRDefault="00EB3E58">
      <w:pPr>
        <w:adjustRightInd w:val="0"/>
        <w:snapToGrid w:val="0"/>
        <w:spacing w:line="360" w:lineRule="auto"/>
        <w:jc w:val="both"/>
        <w:rPr>
          <w:rFonts w:ascii="Book Antiqua" w:hAnsi="Book Antiqua"/>
          <w:lang w:val="en-GB"/>
        </w:rPr>
      </w:pPr>
    </w:p>
    <w:p w14:paraId="7C9792B6"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OUTCOME AND FOLLOW-UP</w:t>
      </w:r>
    </w:p>
    <w:p w14:paraId="5DE44CB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The laboratory data of day 10 showed recovery. The patient was subsequently discharged from our hospital.</w:t>
      </w:r>
    </w:p>
    <w:p w14:paraId="1A6031BF" w14:textId="77777777" w:rsidR="00EB3E58" w:rsidRDefault="00EB3E58">
      <w:pPr>
        <w:adjustRightInd w:val="0"/>
        <w:snapToGrid w:val="0"/>
        <w:spacing w:line="360" w:lineRule="auto"/>
        <w:jc w:val="both"/>
        <w:rPr>
          <w:rFonts w:ascii="Book Antiqua" w:hAnsi="Book Antiqua"/>
          <w:lang w:val="en-GB"/>
        </w:rPr>
      </w:pPr>
    </w:p>
    <w:p w14:paraId="77612C5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DISCUSSION</w:t>
      </w:r>
    </w:p>
    <w:p w14:paraId="65F03D5C" w14:textId="77777777" w:rsidR="00EB3E58" w:rsidRDefault="005946F0">
      <w:pPr>
        <w:adjustRightInd w:val="0"/>
        <w:snapToGrid w:val="0"/>
        <w:spacing w:line="360" w:lineRule="auto"/>
        <w:jc w:val="both"/>
        <w:rPr>
          <w:rFonts w:ascii="Book Antiqua" w:hAnsi="Book Antiqua"/>
          <w:lang w:val="en-GB"/>
        </w:rPr>
      </w:pPr>
      <w:bookmarkStart w:id="24" w:name="OLE_LINK24"/>
      <w:bookmarkStart w:id="25" w:name="OLE_LINK23"/>
      <w:r>
        <w:rPr>
          <w:rFonts w:ascii="Book Antiqua" w:eastAsia="Book Antiqua" w:hAnsi="Book Antiqua" w:cs="Book Antiqua"/>
          <w:color w:val="000000"/>
          <w:lang w:val="en-GB"/>
        </w:rPr>
        <w:t xml:space="preserve">Brucellosis is a zoonotic disease caused by bacteria of the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w:t>
      </w:r>
      <w:r>
        <w:rPr>
          <w:rFonts w:ascii="Book Antiqua" w:eastAsia="Book Antiqua" w:hAnsi="Book Antiqua" w:cs="Book Antiqua"/>
          <w:color w:val="000000"/>
          <w:vertAlign w:val="superscript"/>
          <w:lang w:val="en-GB"/>
        </w:rPr>
        <w:t>[4,5]</w:t>
      </w:r>
      <w:r>
        <w:rPr>
          <w:rFonts w:ascii="Book Antiqua" w:eastAsia="Book Antiqua" w:hAnsi="Book Antiqua" w:cs="Book Antiqua"/>
          <w:color w:val="000000"/>
          <w:lang w:val="en-GB"/>
        </w:rPr>
        <w:t xml:space="preserve">. Diagnostic criteria include the epidemiologic history, clinical manifestations, and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detection</w:t>
      </w:r>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 xml:space="preserve">. In this case, we identified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by blood culture and mass spectrometry. This was a case of brucellosis with secondary haemophagocytic lymphohistiocytosis. After treatment with anti-</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drugs, the haemogram became normal.</w:t>
      </w:r>
    </w:p>
    <w:p w14:paraId="4C6ECE35" w14:textId="77777777" w:rsidR="00EB3E58" w:rsidRDefault="005946F0">
      <w:pPr>
        <w:adjustRightInd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Generally, brucellosis develops after exposure to infected animals or contaminated products such as milk</w:t>
      </w:r>
      <w:r>
        <w:rPr>
          <w:rFonts w:ascii="Book Antiqua" w:eastAsia="Book Antiqua" w:hAnsi="Book Antiqua" w:cs="Book Antiqua"/>
          <w:color w:val="000000"/>
          <w:vertAlign w:val="superscript"/>
          <w:lang w:val="en-GB"/>
        </w:rPr>
        <w:t>[7-9]</w:t>
      </w:r>
      <w:r>
        <w:rPr>
          <w:rFonts w:ascii="Book Antiqua" w:eastAsia="Book Antiqua" w:hAnsi="Book Antiqua" w:cs="Book Antiqua"/>
          <w:color w:val="000000"/>
          <w:lang w:val="en-GB"/>
        </w:rPr>
        <w:t>. It should be noted that this patient lacked any history of exposure to these predefined epidemiologic factors. Interestingly, more and more unexplained infected cases have occurred. Recently, two cases of infective endocarditis in injection drug users without zoonotic exposure have been reported</w:t>
      </w:r>
      <w:r>
        <w:rPr>
          <w:rFonts w:ascii="Book Antiqua" w:eastAsia="Book Antiqua" w:hAnsi="Book Antiqua" w:cs="Book Antiqua"/>
          <w:color w:val="000000"/>
          <w:vertAlign w:val="superscript"/>
          <w:lang w:val="en-GB"/>
        </w:rPr>
        <w:t>[10]</w:t>
      </w:r>
      <w:r>
        <w:rPr>
          <w:rFonts w:ascii="Book Antiqua" w:eastAsia="Book Antiqua" w:hAnsi="Book Antiqua" w:cs="Book Antiqua"/>
          <w:color w:val="000000"/>
          <w:lang w:val="en-GB"/>
        </w:rPr>
        <w:t xml:space="preserve">. Zange </w:t>
      </w:r>
      <w:r>
        <w:rPr>
          <w:rFonts w:ascii="Book Antiqua" w:eastAsia="Book Antiqua" w:hAnsi="Book Antiqua" w:cs="Book Antiqua"/>
          <w:i/>
          <w:iCs/>
          <w:color w:val="000000"/>
          <w:lang w:val="en-GB"/>
        </w:rPr>
        <w:t>et al</w:t>
      </w:r>
      <w:r>
        <w:rPr>
          <w:rFonts w:ascii="Book Antiqua" w:eastAsia="Book Antiqua" w:hAnsi="Book Antiqua" w:cs="Book Antiqua"/>
          <w:color w:val="000000"/>
          <w:vertAlign w:val="superscript"/>
          <w:lang w:val="en-GB"/>
        </w:rPr>
        <w:t xml:space="preserve">[11] </w:t>
      </w:r>
      <w:r>
        <w:rPr>
          <w:rFonts w:ascii="Book Antiqua" w:eastAsia="Book Antiqua" w:hAnsi="Book Antiqua" w:cs="Book Antiqua"/>
          <w:color w:val="000000"/>
          <w:lang w:val="en-GB"/>
        </w:rPr>
        <w:t xml:space="preserve">reported a patient with brucellosis who had no travel history, no exposure to unpasteurised dairy products, no animal contact, and no insect bites. The patient’s ingested meat samples also showed negative results in polymerase chain reaction testing and microbiological cultures for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species. Hence, from these reports, it is recommended to pay attention to unexplained infected individuals in whom an accurate diagnosis may have been missed. The patient in this present case denied any exposure to animals or contaminated products. Before the detection of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the absence of epidemiologic factors contributed to misdiagnosis, especially before the results of aetiological examination. Thus, in all unexplained, infectious febrile patients admitted to hospitals, it is necessary to use broad-spectrum antibiotics. Moreover, it is also warranted to consider rare pathogenic bacteria,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t>
      </w:r>
    </w:p>
    <w:p w14:paraId="51E9B4A6" w14:textId="77777777" w:rsidR="00EB3E58" w:rsidRDefault="005946F0">
      <w:pPr>
        <w:adjustRightInd w:val="0"/>
        <w:snapToGrid w:val="0"/>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Other concerns in this case report were the indicators of inflammation.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is a gram-negative bacterium, and the detection of C-reactive protein, procalcitonin, and ferritin contribute to the severity of the inflammation. However, we noticed that C-reactive protein and ferritin levels showed a typical rising at the time of onset, although procalcitonin levels were below normal during hospitalisation. Obviously, procalcitonin levels did not correlate with the severity of illness. Incidentally, changes in procalcitonin levels may not be reflective of the severity of brucellosis.</w:t>
      </w:r>
    </w:p>
    <w:bookmarkEnd w:id="24"/>
    <w:bookmarkEnd w:id="25"/>
    <w:p w14:paraId="0DC425A4" w14:textId="77777777" w:rsidR="00EB3E58" w:rsidRDefault="00EB3E58">
      <w:pPr>
        <w:adjustRightInd w:val="0"/>
        <w:snapToGrid w:val="0"/>
        <w:spacing w:line="360" w:lineRule="auto"/>
        <w:jc w:val="both"/>
        <w:rPr>
          <w:rFonts w:ascii="Book Antiqua" w:hAnsi="Book Antiqua"/>
          <w:lang w:val="en-GB"/>
        </w:rPr>
      </w:pPr>
    </w:p>
    <w:p w14:paraId="38E4B62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CONCLUSION</w:t>
      </w:r>
    </w:p>
    <w:p w14:paraId="392DE5F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Brucellosis cannot be excluded in patients with clinically unexplained fever, even in those without epidemiologic history. Before obtaining the aetiology test results, the administered antibiotics should cover rare pathogens, such as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which could prevent the timely exacerbation of the disease. </w:t>
      </w:r>
    </w:p>
    <w:p w14:paraId="30DD0E9A" w14:textId="77777777" w:rsidR="00EB3E58" w:rsidRDefault="00EB3E58">
      <w:pPr>
        <w:adjustRightInd w:val="0"/>
        <w:snapToGrid w:val="0"/>
        <w:spacing w:line="360" w:lineRule="auto"/>
        <w:jc w:val="both"/>
        <w:rPr>
          <w:rFonts w:ascii="Book Antiqua" w:hAnsi="Book Antiqua"/>
          <w:lang w:val="en-GB"/>
        </w:rPr>
      </w:pPr>
    </w:p>
    <w:p w14:paraId="2B85EEC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aps/>
          <w:color w:val="000000"/>
          <w:u w:val="single"/>
          <w:lang w:val="en-GB"/>
        </w:rPr>
        <w:t>ACKNOWLEDGEMENTS</w:t>
      </w:r>
    </w:p>
    <w:p w14:paraId="4C272BE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We thank our patient who agreed to the publication of this case report and provided information.</w:t>
      </w:r>
    </w:p>
    <w:p w14:paraId="15CC194F" w14:textId="77777777" w:rsidR="00EB3E58" w:rsidRDefault="00EB3E58">
      <w:pPr>
        <w:adjustRightInd w:val="0"/>
        <w:snapToGrid w:val="0"/>
        <w:spacing w:line="360" w:lineRule="auto"/>
        <w:jc w:val="both"/>
        <w:rPr>
          <w:rFonts w:ascii="Book Antiqua" w:hAnsi="Book Antiqua"/>
          <w:lang w:val="en-GB"/>
        </w:rPr>
      </w:pPr>
    </w:p>
    <w:p w14:paraId="51F39DC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REFERENCES</w:t>
      </w:r>
    </w:p>
    <w:p w14:paraId="09F7B57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 </w:t>
      </w:r>
      <w:r>
        <w:rPr>
          <w:rFonts w:ascii="Book Antiqua" w:eastAsia="Book Antiqua" w:hAnsi="Book Antiqua" w:cs="Book Antiqua"/>
          <w:b/>
          <w:bCs/>
          <w:color w:val="000000"/>
          <w:lang w:val="en-GB"/>
        </w:rPr>
        <w:t>Franco MP</w:t>
      </w:r>
      <w:r>
        <w:rPr>
          <w:rFonts w:ascii="Book Antiqua" w:eastAsia="Book Antiqua" w:hAnsi="Book Antiqua" w:cs="Book Antiqua"/>
          <w:color w:val="000000"/>
          <w:lang w:val="en-GB"/>
        </w:rPr>
        <w:t xml:space="preserve">, Mulder M, Gilman RH, Smits HL. Human brucellosis. </w:t>
      </w:r>
      <w:r>
        <w:rPr>
          <w:rFonts w:ascii="Book Antiqua" w:eastAsia="Book Antiqua" w:hAnsi="Book Antiqua" w:cs="Book Antiqua"/>
          <w:i/>
          <w:iCs/>
          <w:color w:val="000000"/>
          <w:lang w:val="en-GB"/>
        </w:rPr>
        <w:t>Lancet Infect Dis</w:t>
      </w:r>
      <w:r>
        <w:rPr>
          <w:rFonts w:ascii="Book Antiqua" w:eastAsia="Book Antiqua" w:hAnsi="Book Antiqua" w:cs="Book Antiqua"/>
          <w:color w:val="000000"/>
          <w:lang w:val="en-GB"/>
        </w:rPr>
        <w:t xml:space="preserve"> 2007;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775-786 [PMID: 18045560 DOI: 10.1016/S1473-3099(07)70286-4]</w:t>
      </w:r>
    </w:p>
    <w:p w14:paraId="7EF9E44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2 </w:t>
      </w:r>
      <w:r>
        <w:rPr>
          <w:rFonts w:ascii="Book Antiqua" w:eastAsia="Book Antiqua" w:hAnsi="Book Antiqua" w:cs="Book Antiqua"/>
          <w:b/>
          <w:bCs/>
          <w:color w:val="000000"/>
          <w:lang w:val="en-GB"/>
        </w:rPr>
        <w:t>de Figueiredo P</w:t>
      </w:r>
      <w:r>
        <w:rPr>
          <w:rFonts w:ascii="Book Antiqua" w:eastAsia="Book Antiqua" w:hAnsi="Book Antiqua" w:cs="Book Antiqua"/>
          <w:color w:val="000000"/>
          <w:lang w:val="en-GB"/>
        </w:rPr>
        <w:t xml:space="preserve">, Ficht TA, Rice-Ficht A, Rossetti CA, Adams LG. Pathogenesis and immunobiology of brucellosis: review of Brucella-host interactions. </w:t>
      </w:r>
      <w:r>
        <w:rPr>
          <w:rFonts w:ascii="Book Antiqua" w:eastAsia="Book Antiqua" w:hAnsi="Book Antiqua" w:cs="Book Antiqua"/>
          <w:i/>
          <w:iCs/>
          <w:color w:val="000000"/>
          <w:lang w:val="en-GB"/>
        </w:rPr>
        <w:t>Am J Pathol</w:t>
      </w:r>
      <w:r>
        <w:rPr>
          <w:rFonts w:ascii="Book Antiqua" w:eastAsia="Book Antiqua" w:hAnsi="Book Antiqua" w:cs="Book Antiqua"/>
          <w:color w:val="000000"/>
          <w:lang w:val="en-GB"/>
        </w:rPr>
        <w:t xml:space="preserve"> 2015; </w:t>
      </w:r>
      <w:r>
        <w:rPr>
          <w:rFonts w:ascii="Book Antiqua" w:eastAsia="Book Antiqua" w:hAnsi="Book Antiqua" w:cs="Book Antiqua"/>
          <w:b/>
          <w:bCs/>
          <w:color w:val="000000"/>
          <w:lang w:val="en-GB"/>
        </w:rPr>
        <w:t>185</w:t>
      </w:r>
      <w:r>
        <w:rPr>
          <w:rFonts w:ascii="Book Antiqua" w:eastAsia="Book Antiqua" w:hAnsi="Book Antiqua" w:cs="Book Antiqua"/>
          <w:color w:val="000000"/>
          <w:lang w:val="en-GB"/>
        </w:rPr>
        <w:t>: 1505-1517 [PMID: 25892682 DOI: 10.1016/j.ajpath.2015.03.003]</w:t>
      </w:r>
    </w:p>
    <w:p w14:paraId="53B78BA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3 </w:t>
      </w:r>
      <w:r>
        <w:rPr>
          <w:rFonts w:ascii="Book Antiqua" w:eastAsia="Book Antiqua" w:hAnsi="Book Antiqua" w:cs="Book Antiqua"/>
          <w:b/>
          <w:bCs/>
          <w:color w:val="000000"/>
          <w:lang w:val="en-GB"/>
        </w:rPr>
        <w:t>Dean AS</w:t>
      </w:r>
      <w:r>
        <w:rPr>
          <w:rFonts w:ascii="Book Antiqua" w:eastAsia="Book Antiqua" w:hAnsi="Book Antiqua" w:cs="Book Antiqua"/>
          <w:color w:val="000000"/>
          <w:lang w:val="en-GB"/>
        </w:rPr>
        <w:t xml:space="preserve">, Crump L, Greter H, Hattendorf J, Schelling E, Zinsstag J. Clinical manifestations of human brucellosis: a systematic review and meta-analysis. </w:t>
      </w:r>
      <w:r>
        <w:rPr>
          <w:rFonts w:ascii="Book Antiqua" w:eastAsia="Book Antiqua" w:hAnsi="Book Antiqua" w:cs="Book Antiqua"/>
          <w:i/>
          <w:iCs/>
          <w:color w:val="000000"/>
          <w:lang w:val="en-GB"/>
        </w:rPr>
        <w:t>PLoS Negl Trop Dis</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6</w:t>
      </w:r>
      <w:r>
        <w:rPr>
          <w:rFonts w:ascii="Book Antiqua" w:eastAsia="Book Antiqua" w:hAnsi="Book Antiqua" w:cs="Book Antiqua"/>
          <w:color w:val="000000"/>
          <w:lang w:val="en-GB"/>
        </w:rPr>
        <w:t>: e1929 [PMID: 23236528 DOI: 10.1371/journal.pntd.0001929]</w:t>
      </w:r>
    </w:p>
    <w:p w14:paraId="4374618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4 </w:t>
      </w:r>
      <w:r>
        <w:rPr>
          <w:rFonts w:ascii="Book Antiqua" w:eastAsia="Book Antiqua" w:hAnsi="Book Antiqua" w:cs="Book Antiqua"/>
          <w:b/>
          <w:bCs/>
          <w:color w:val="000000"/>
          <w:lang w:val="en-GB"/>
        </w:rPr>
        <w:t>Seleem MN</w:t>
      </w:r>
      <w:r>
        <w:rPr>
          <w:rFonts w:ascii="Book Antiqua" w:eastAsia="Book Antiqua" w:hAnsi="Book Antiqua" w:cs="Book Antiqua"/>
          <w:color w:val="000000"/>
          <w:lang w:val="en-GB"/>
        </w:rPr>
        <w:t xml:space="preserve">, Boyle SM, Sriranganathan N. Brucellosis: a re-emerging zoonosis. </w:t>
      </w:r>
      <w:r>
        <w:rPr>
          <w:rFonts w:ascii="Book Antiqua" w:eastAsia="Book Antiqua" w:hAnsi="Book Antiqua" w:cs="Book Antiqua"/>
          <w:i/>
          <w:iCs/>
          <w:color w:val="000000"/>
          <w:lang w:val="en-GB"/>
        </w:rPr>
        <w:t>Vet Microbiol</w:t>
      </w:r>
      <w:r>
        <w:rPr>
          <w:rFonts w:ascii="Book Antiqua" w:eastAsia="Book Antiqua" w:hAnsi="Book Antiqua" w:cs="Book Antiqua"/>
          <w:color w:val="000000"/>
          <w:lang w:val="en-GB"/>
        </w:rPr>
        <w:t xml:space="preserve"> 2010; </w:t>
      </w:r>
      <w:r>
        <w:rPr>
          <w:rFonts w:ascii="Book Antiqua" w:eastAsia="Book Antiqua" w:hAnsi="Book Antiqua" w:cs="Book Antiqua"/>
          <w:b/>
          <w:bCs/>
          <w:color w:val="000000"/>
          <w:lang w:val="en-GB"/>
        </w:rPr>
        <w:t>140</w:t>
      </w:r>
      <w:r>
        <w:rPr>
          <w:rFonts w:ascii="Book Antiqua" w:eastAsia="Book Antiqua" w:hAnsi="Book Antiqua" w:cs="Book Antiqua"/>
          <w:color w:val="000000"/>
          <w:lang w:val="en-GB"/>
        </w:rPr>
        <w:t>: 392-398 [PMID: 19604656 DOI: 10.1016/j.vetmic.2009.06.021]</w:t>
      </w:r>
    </w:p>
    <w:p w14:paraId="62CD465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5 </w:t>
      </w:r>
      <w:r>
        <w:rPr>
          <w:rFonts w:ascii="Book Antiqua" w:eastAsia="Book Antiqua" w:hAnsi="Book Antiqua" w:cs="Book Antiqua"/>
          <w:b/>
          <w:bCs/>
          <w:color w:val="000000"/>
          <w:lang w:val="en-GB"/>
        </w:rPr>
        <w:t>Deng Y</w:t>
      </w:r>
      <w:r>
        <w:rPr>
          <w:rFonts w:ascii="Book Antiqua" w:eastAsia="Book Antiqua" w:hAnsi="Book Antiqua" w:cs="Book Antiqua"/>
          <w:color w:val="000000"/>
          <w:lang w:val="en-GB"/>
        </w:rPr>
        <w:t xml:space="preserve">, Liu X, Duan K, Peng Q. Research Progress on Brucellosis. </w:t>
      </w:r>
      <w:r>
        <w:rPr>
          <w:rFonts w:ascii="Book Antiqua" w:eastAsia="Book Antiqua" w:hAnsi="Book Antiqua" w:cs="Book Antiqua"/>
          <w:i/>
          <w:iCs/>
          <w:color w:val="000000"/>
          <w:lang w:val="en-GB"/>
        </w:rPr>
        <w:t>Curr Med Chem</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26</w:t>
      </w:r>
      <w:r>
        <w:rPr>
          <w:rFonts w:ascii="Book Antiqua" w:eastAsia="Book Antiqua" w:hAnsi="Book Antiqua" w:cs="Book Antiqua"/>
          <w:color w:val="000000"/>
          <w:lang w:val="en-GB"/>
        </w:rPr>
        <w:t>: 5598-5608 [PMID: 29745323 DOI: 10.2174/0929867325666180510125009]</w:t>
      </w:r>
    </w:p>
    <w:p w14:paraId="780F4A9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6 </w:t>
      </w:r>
      <w:r>
        <w:rPr>
          <w:rFonts w:ascii="Book Antiqua" w:eastAsia="Book Antiqua" w:hAnsi="Book Antiqua" w:cs="Book Antiqua"/>
          <w:b/>
          <w:bCs/>
          <w:color w:val="000000"/>
          <w:lang w:val="en-GB"/>
        </w:rPr>
        <w:t>Ulu-Kilic A</w:t>
      </w:r>
      <w:r>
        <w:rPr>
          <w:rFonts w:ascii="Book Antiqua" w:eastAsia="Book Antiqua" w:hAnsi="Book Antiqua" w:cs="Book Antiqua"/>
          <w:color w:val="000000"/>
          <w:lang w:val="en-GB"/>
        </w:rPr>
        <w:t xml:space="preserve">, Metan G, Alp E. Clinical presentations and diagnosis of brucellosis. </w:t>
      </w:r>
      <w:r>
        <w:rPr>
          <w:rFonts w:ascii="Book Antiqua" w:eastAsia="Book Antiqua" w:hAnsi="Book Antiqua" w:cs="Book Antiqua"/>
          <w:i/>
          <w:iCs/>
          <w:color w:val="000000"/>
          <w:lang w:val="en-GB"/>
        </w:rPr>
        <w:t>Recent Pat Antiinfect Drug Discov</w:t>
      </w:r>
      <w:r>
        <w:rPr>
          <w:rFonts w:ascii="Book Antiqua" w:eastAsia="Book Antiqua" w:hAnsi="Book Antiqua" w:cs="Book Antiqua"/>
          <w:color w:val="000000"/>
          <w:lang w:val="en-GB"/>
        </w:rPr>
        <w:t xml:space="preserve"> 2013; </w:t>
      </w:r>
      <w:r>
        <w:rPr>
          <w:rFonts w:ascii="Book Antiqua" w:eastAsia="Book Antiqua" w:hAnsi="Book Antiqua" w:cs="Book Antiqua"/>
          <w:b/>
          <w:bCs/>
          <w:color w:val="000000"/>
          <w:lang w:val="en-GB"/>
        </w:rPr>
        <w:t>8</w:t>
      </w:r>
      <w:r>
        <w:rPr>
          <w:rFonts w:ascii="Book Antiqua" w:eastAsia="Book Antiqua" w:hAnsi="Book Antiqua" w:cs="Book Antiqua"/>
          <w:color w:val="000000"/>
          <w:lang w:val="en-GB"/>
        </w:rPr>
        <w:t>: 34-41 [PMID: 22873352 DOI: 10.2174/1574891X11308010007]</w:t>
      </w:r>
    </w:p>
    <w:p w14:paraId="7DAD99C2"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7 </w:t>
      </w:r>
      <w:r>
        <w:rPr>
          <w:rFonts w:ascii="Book Antiqua" w:eastAsia="Book Antiqua" w:hAnsi="Book Antiqua" w:cs="Book Antiqua"/>
          <w:b/>
          <w:bCs/>
          <w:color w:val="000000"/>
          <w:lang w:val="en-GB"/>
        </w:rPr>
        <w:t>Dhanashekar R</w:t>
      </w:r>
      <w:r>
        <w:rPr>
          <w:rFonts w:ascii="Book Antiqua" w:eastAsia="Book Antiqua" w:hAnsi="Book Antiqua" w:cs="Book Antiqua"/>
          <w:color w:val="000000"/>
          <w:lang w:val="en-GB"/>
        </w:rPr>
        <w:t xml:space="preserve">, Akkinepalli S, Nellutla A. Milk-borne infections. An analysis of their potential effect on the milk industry. </w:t>
      </w:r>
      <w:r>
        <w:rPr>
          <w:rFonts w:ascii="Book Antiqua" w:eastAsia="Book Antiqua" w:hAnsi="Book Antiqua" w:cs="Book Antiqua"/>
          <w:i/>
          <w:iCs/>
          <w:color w:val="000000"/>
          <w:lang w:val="en-GB"/>
        </w:rPr>
        <w:t>Germs</w:t>
      </w:r>
      <w:r>
        <w:rPr>
          <w:rFonts w:ascii="Book Antiqua" w:eastAsia="Book Antiqua" w:hAnsi="Book Antiqua" w:cs="Book Antiqua"/>
          <w:color w:val="000000"/>
          <w:lang w:val="en-GB"/>
        </w:rPr>
        <w:t xml:space="preserve"> 2012; </w:t>
      </w:r>
      <w:r>
        <w:rPr>
          <w:rFonts w:ascii="Book Antiqua" w:eastAsia="Book Antiqua" w:hAnsi="Book Antiqua" w:cs="Book Antiqua"/>
          <w:b/>
          <w:bCs/>
          <w:color w:val="000000"/>
          <w:lang w:val="en-GB"/>
        </w:rPr>
        <w:t>2</w:t>
      </w:r>
      <w:r>
        <w:rPr>
          <w:rFonts w:ascii="Book Antiqua" w:eastAsia="Book Antiqua" w:hAnsi="Book Antiqua" w:cs="Book Antiqua"/>
          <w:color w:val="000000"/>
          <w:lang w:val="en-GB"/>
        </w:rPr>
        <w:t>: 101-109 [PMID: 24432270 DOI: 10.11599/germs.2012.1020]</w:t>
      </w:r>
    </w:p>
    <w:p w14:paraId="07F0A11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8 </w:t>
      </w:r>
      <w:r>
        <w:rPr>
          <w:rFonts w:ascii="Book Antiqua" w:eastAsia="Book Antiqua" w:hAnsi="Book Antiqua" w:cs="Book Antiqua"/>
          <w:b/>
          <w:bCs/>
          <w:color w:val="000000"/>
          <w:lang w:val="en-GB"/>
        </w:rPr>
        <w:t>de Glanville WA</w:t>
      </w:r>
      <w:r>
        <w:rPr>
          <w:rFonts w:ascii="Book Antiqua" w:eastAsia="Book Antiqua" w:hAnsi="Book Antiqua" w:cs="Book Antiqua"/>
          <w:color w:val="000000"/>
          <w:lang w:val="en-GB"/>
        </w:rPr>
        <w:t xml:space="preserve">, Conde-Álvarez R, Moriyón I, Njeru J, Díaz R, Cook EAJ, Morin M, Bronsvoort BMC, Thomas LF, Kariuki S, Fèvre EM. Poor performance of the rapid test for human brucellosis in health facilities in Kenya. </w:t>
      </w:r>
      <w:r>
        <w:rPr>
          <w:rFonts w:ascii="Book Antiqua" w:eastAsia="Book Antiqua" w:hAnsi="Book Antiqua" w:cs="Book Antiqua"/>
          <w:i/>
          <w:iCs/>
          <w:color w:val="000000"/>
          <w:lang w:val="en-GB"/>
        </w:rPr>
        <w:t>PLoS Negl Trop Dis</w:t>
      </w:r>
      <w:r>
        <w:rPr>
          <w:rFonts w:ascii="Book Antiqua" w:eastAsia="Book Antiqua" w:hAnsi="Book Antiqua" w:cs="Book Antiqua"/>
          <w:color w:val="000000"/>
          <w:lang w:val="en-GB"/>
        </w:rPr>
        <w:t xml:space="preserve"> 2017; </w:t>
      </w:r>
      <w:r>
        <w:rPr>
          <w:rFonts w:ascii="Book Antiqua" w:eastAsia="Book Antiqua" w:hAnsi="Book Antiqua" w:cs="Book Antiqua"/>
          <w:b/>
          <w:bCs/>
          <w:color w:val="000000"/>
          <w:lang w:val="en-GB"/>
        </w:rPr>
        <w:t>11</w:t>
      </w:r>
      <w:r>
        <w:rPr>
          <w:rFonts w:ascii="Book Antiqua" w:eastAsia="Book Antiqua" w:hAnsi="Book Antiqua" w:cs="Book Antiqua"/>
          <w:color w:val="000000"/>
          <w:lang w:val="en-GB"/>
        </w:rPr>
        <w:t>: e0005508 [PMID: 28388625 DOI: 10.1371/journal.pntd.0005508]</w:t>
      </w:r>
    </w:p>
    <w:p w14:paraId="35609B5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9 </w:t>
      </w:r>
      <w:r>
        <w:rPr>
          <w:rFonts w:ascii="Book Antiqua" w:eastAsia="Book Antiqua" w:hAnsi="Book Antiqua" w:cs="Book Antiqua"/>
          <w:b/>
          <w:bCs/>
          <w:color w:val="000000"/>
          <w:lang w:val="en-GB"/>
        </w:rPr>
        <w:t>Dadar M</w:t>
      </w:r>
      <w:r>
        <w:rPr>
          <w:rFonts w:ascii="Book Antiqua" w:eastAsia="Book Antiqua" w:hAnsi="Book Antiqua" w:cs="Book Antiqua"/>
          <w:color w:val="000000"/>
          <w:lang w:val="en-GB"/>
        </w:rPr>
        <w:t xml:space="preserve">, Shahali Y, Whatmore AM. Human brucellosis caused by raw dairy products: A review on the occurrence, major risk factors and prevention. </w:t>
      </w:r>
      <w:r>
        <w:rPr>
          <w:rFonts w:ascii="Book Antiqua" w:eastAsia="Book Antiqua" w:hAnsi="Book Antiqua" w:cs="Book Antiqua"/>
          <w:i/>
          <w:iCs/>
          <w:color w:val="000000"/>
          <w:lang w:val="en-GB"/>
        </w:rPr>
        <w:t>Int J Food Microbiol</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292</w:t>
      </w:r>
      <w:r>
        <w:rPr>
          <w:rFonts w:ascii="Book Antiqua" w:eastAsia="Book Antiqua" w:hAnsi="Book Antiqua" w:cs="Book Antiqua"/>
          <w:color w:val="000000"/>
          <w:lang w:val="en-GB"/>
        </w:rPr>
        <w:t>: 39-47 [PMID: 30572264 DOI: 10.1016/j.ijfoodmicro.2018.12.009]</w:t>
      </w:r>
    </w:p>
    <w:p w14:paraId="563423FB"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10 </w:t>
      </w:r>
      <w:r>
        <w:rPr>
          <w:rFonts w:ascii="Book Antiqua" w:eastAsia="Book Antiqua" w:hAnsi="Book Antiqua" w:cs="Book Antiqua"/>
          <w:b/>
          <w:bCs/>
          <w:color w:val="000000"/>
          <w:lang w:val="en-GB"/>
        </w:rPr>
        <w:t>Cafardi JM</w:t>
      </w:r>
      <w:r>
        <w:rPr>
          <w:rFonts w:ascii="Book Antiqua" w:eastAsia="Book Antiqua" w:hAnsi="Book Antiqua" w:cs="Book Antiqua"/>
          <w:color w:val="000000"/>
          <w:lang w:val="en-GB"/>
        </w:rPr>
        <w:t xml:space="preserve">, Haas D, Lamarre T, Feinberg J. </w:t>
      </w:r>
      <w:r>
        <w:rPr>
          <w:rFonts w:ascii="Book Antiqua" w:eastAsia="Book Antiqua" w:hAnsi="Book Antiqua" w:cs="Book Antiqua"/>
          <w:i/>
          <w:iCs/>
          <w:color w:val="000000"/>
          <w:lang w:val="en-GB"/>
        </w:rPr>
        <w:t>Brucella</w:t>
      </w:r>
      <w:r>
        <w:rPr>
          <w:rFonts w:ascii="Book Antiqua" w:eastAsia="Book Antiqua" w:hAnsi="Book Antiqua" w:cs="Book Antiqua"/>
          <w:color w:val="000000"/>
          <w:lang w:val="en-GB"/>
        </w:rPr>
        <w:t xml:space="preserve"> Endocarditis in Persons Who Inject Drugs. </w:t>
      </w:r>
      <w:r>
        <w:rPr>
          <w:rFonts w:ascii="Book Antiqua" w:eastAsia="Book Antiqua" w:hAnsi="Book Antiqua" w:cs="Book Antiqua"/>
          <w:i/>
          <w:iCs/>
          <w:color w:val="000000"/>
          <w:lang w:val="en-GB"/>
        </w:rPr>
        <w:t>Open Forum Infect Dis</w:t>
      </w:r>
      <w:r>
        <w:rPr>
          <w:rFonts w:ascii="Book Antiqua" w:eastAsia="Book Antiqua" w:hAnsi="Book Antiqua" w:cs="Book Antiqua"/>
          <w:color w:val="000000"/>
          <w:lang w:val="en-GB"/>
        </w:rPr>
        <w:t xml:space="preserve"> 2020; </w:t>
      </w:r>
      <w:r>
        <w:rPr>
          <w:rFonts w:ascii="Book Antiqua" w:eastAsia="Book Antiqua" w:hAnsi="Book Antiqua" w:cs="Book Antiqua"/>
          <w:b/>
          <w:bCs/>
          <w:color w:val="000000"/>
          <w:lang w:val="en-GB"/>
        </w:rPr>
        <w:t>7</w:t>
      </w:r>
      <w:r>
        <w:rPr>
          <w:rFonts w:ascii="Book Antiqua" w:eastAsia="Book Antiqua" w:hAnsi="Book Antiqua" w:cs="Book Antiqua"/>
          <w:color w:val="000000"/>
          <w:lang w:val="en-GB"/>
        </w:rPr>
        <w:t>: ofaa063 [PMID: 32280723 DOI: 10.1093/ofid/ofaa063]</w:t>
      </w:r>
    </w:p>
    <w:p w14:paraId="29554A0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 xml:space="preserve">11 </w:t>
      </w:r>
      <w:r>
        <w:rPr>
          <w:rFonts w:ascii="Book Antiqua" w:eastAsia="Book Antiqua" w:hAnsi="Book Antiqua" w:cs="Book Antiqua"/>
          <w:b/>
          <w:bCs/>
          <w:color w:val="000000"/>
          <w:lang w:val="en-GB"/>
        </w:rPr>
        <w:t>Zange S</w:t>
      </w:r>
      <w:r>
        <w:rPr>
          <w:rFonts w:ascii="Book Antiqua" w:eastAsia="Book Antiqua" w:hAnsi="Book Antiqua" w:cs="Book Antiqua"/>
          <w:color w:val="000000"/>
          <w:lang w:val="en-GB"/>
        </w:rPr>
        <w:t xml:space="preserve">, Schneider K, Georgi E, Scholz HC, Antwerpen MH, Walter MC, Zoeller L, von Buttlar H, Borde JP. A headache with surprising outcome: first case of brucellosis caused by Brucella suis biovar 1 in Germany. </w:t>
      </w:r>
      <w:r>
        <w:rPr>
          <w:rFonts w:ascii="Book Antiqua" w:eastAsia="Book Antiqua" w:hAnsi="Book Antiqua" w:cs="Book Antiqua"/>
          <w:i/>
          <w:iCs/>
          <w:color w:val="000000"/>
          <w:lang w:val="en-GB"/>
        </w:rPr>
        <w:t>Infection</w:t>
      </w:r>
      <w:r>
        <w:rPr>
          <w:rFonts w:ascii="Book Antiqua" w:eastAsia="Book Antiqua" w:hAnsi="Book Antiqua" w:cs="Book Antiqua"/>
          <w:color w:val="000000"/>
          <w:lang w:val="en-GB"/>
        </w:rPr>
        <w:t xml:space="preserve"> 2019; </w:t>
      </w:r>
      <w:r>
        <w:rPr>
          <w:rFonts w:ascii="Book Antiqua" w:eastAsia="Book Antiqua" w:hAnsi="Book Antiqua" w:cs="Book Antiqua"/>
          <w:b/>
          <w:bCs/>
          <w:color w:val="000000"/>
          <w:lang w:val="en-GB"/>
        </w:rPr>
        <w:t>47</w:t>
      </w:r>
      <w:r>
        <w:rPr>
          <w:rFonts w:ascii="Book Antiqua" w:eastAsia="Book Antiqua" w:hAnsi="Book Antiqua" w:cs="Book Antiqua"/>
          <w:color w:val="000000"/>
          <w:lang w:val="en-GB"/>
        </w:rPr>
        <w:t>: 863-868 [PMID: 31073709 DOI: 10.1007/s15010-019-01312-7]</w:t>
      </w:r>
    </w:p>
    <w:p w14:paraId="48067D7C" w14:textId="77777777" w:rsidR="00EB3E58" w:rsidRDefault="00EB3E58">
      <w:pPr>
        <w:adjustRightInd w:val="0"/>
        <w:snapToGrid w:val="0"/>
        <w:spacing w:line="360" w:lineRule="auto"/>
        <w:jc w:val="both"/>
        <w:rPr>
          <w:rFonts w:ascii="Book Antiqua" w:hAnsi="Book Antiqua"/>
          <w:lang w:val="en-GB"/>
        </w:rPr>
        <w:sectPr w:rsidR="00EB3E58">
          <w:pgSz w:w="12240" w:h="15840"/>
          <w:pgMar w:top="1440" w:right="1800" w:bottom="1440" w:left="1800" w:header="720" w:footer="720" w:gutter="0"/>
          <w:cols w:space="720"/>
          <w:docGrid w:linePitch="360"/>
        </w:sectPr>
      </w:pPr>
    </w:p>
    <w:p w14:paraId="3C08D0B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Footnotes</w:t>
      </w:r>
    </w:p>
    <w:p w14:paraId="393AFD8D"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Informed consent statement: </w:t>
      </w:r>
      <w:r>
        <w:rPr>
          <w:rFonts w:ascii="Book Antiqua" w:eastAsia="Book Antiqua" w:hAnsi="Book Antiqua" w:cs="Book Antiqua"/>
          <w:color w:val="000000"/>
          <w:lang w:val="en-GB"/>
        </w:rPr>
        <w:t>Written informed consent was obtained from the patient for the inclusion of his clinical details for publication.</w:t>
      </w:r>
    </w:p>
    <w:p w14:paraId="271DEF9A" w14:textId="77777777" w:rsidR="00EB3E58" w:rsidRDefault="00EB3E58">
      <w:pPr>
        <w:adjustRightInd w:val="0"/>
        <w:snapToGrid w:val="0"/>
        <w:spacing w:line="360" w:lineRule="auto"/>
        <w:jc w:val="both"/>
        <w:rPr>
          <w:rFonts w:ascii="Book Antiqua" w:hAnsi="Book Antiqua"/>
          <w:lang w:val="en-GB"/>
        </w:rPr>
      </w:pPr>
    </w:p>
    <w:p w14:paraId="427DB791"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Conflict-of-interest statement: </w:t>
      </w:r>
      <w:r>
        <w:rPr>
          <w:rFonts w:ascii="Book Antiqua" w:eastAsia="Book Antiqua" w:hAnsi="Book Antiqua" w:cs="Book Antiqua"/>
          <w:color w:val="000000"/>
          <w:lang w:val="en-GB"/>
        </w:rPr>
        <w:t>The authors declare that they have no conflicts of interest.</w:t>
      </w:r>
    </w:p>
    <w:p w14:paraId="6BF82099" w14:textId="77777777" w:rsidR="00EB3E58" w:rsidRDefault="00EB3E58">
      <w:pPr>
        <w:adjustRightInd w:val="0"/>
        <w:snapToGrid w:val="0"/>
        <w:spacing w:line="360" w:lineRule="auto"/>
        <w:jc w:val="both"/>
        <w:rPr>
          <w:rFonts w:ascii="Book Antiqua" w:hAnsi="Book Antiqua"/>
          <w:lang w:val="en-GB"/>
        </w:rPr>
      </w:pPr>
    </w:p>
    <w:p w14:paraId="29076F2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CARE Checklist (2016) statement: </w:t>
      </w:r>
      <w:r>
        <w:rPr>
          <w:rFonts w:ascii="Book Antiqua" w:eastAsia="Book Antiqua" w:hAnsi="Book Antiqua" w:cs="Book Antiqua"/>
          <w:color w:val="000000"/>
          <w:lang w:val="en-GB"/>
        </w:rPr>
        <w:t>The authors have read the CARE Checklist (2016), and the manuscript was prepared and revised according to the CARE Checklist (2016).</w:t>
      </w:r>
    </w:p>
    <w:p w14:paraId="1D3F7EBD" w14:textId="77777777" w:rsidR="00EB3E58" w:rsidRDefault="00EB3E58">
      <w:pPr>
        <w:adjustRightInd w:val="0"/>
        <w:snapToGrid w:val="0"/>
        <w:spacing w:line="360" w:lineRule="auto"/>
        <w:jc w:val="both"/>
        <w:rPr>
          <w:rFonts w:ascii="Book Antiqua" w:hAnsi="Book Antiqua"/>
          <w:lang w:val="en-GB"/>
        </w:rPr>
      </w:pPr>
    </w:p>
    <w:p w14:paraId="27EDD72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 xml:space="preserve">Open-Access: </w:t>
      </w:r>
      <w:r>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63B960" w14:textId="77777777" w:rsidR="00EB3E58" w:rsidRDefault="00EB3E58">
      <w:pPr>
        <w:adjustRightInd w:val="0"/>
        <w:snapToGrid w:val="0"/>
        <w:spacing w:line="360" w:lineRule="auto"/>
        <w:jc w:val="both"/>
        <w:rPr>
          <w:rFonts w:ascii="Book Antiqua" w:hAnsi="Book Antiqua"/>
          <w:lang w:val="en-GB"/>
        </w:rPr>
      </w:pPr>
    </w:p>
    <w:p w14:paraId="0ECB794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Manuscript source: </w:t>
      </w:r>
      <w:r>
        <w:rPr>
          <w:rFonts w:ascii="Book Antiqua" w:eastAsia="Book Antiqua" w:hAnsi="Book Antiqua" w:cs="Book Antiqua"/>
          <w:color w:val="000000"/>
          <w:lang w:val="en-GB"/>
        </w:rPr>
        <w:t>Unsolicited manuscript</w:t>
      </w:r>
    </w:p>
    <w:p w14:paraId="2EF89E17" w14:textId="77777777" w:rsidR="00EB3E58" w:rsidRDefault="00EB3E58">
      <w:pPr>
        <w:adjustRightInd w:val="0"/>
        <w:snapToGrid w:val="0"/>
        <w:spacing w:line="360" w:lineRule="auto"/>
        <w:jc w:val="both"/>
        <w:rPr>
          <w:rFonts w:ascii="Book Antiqua" w:hAnsi="Book Antiqua"/>
          <w:lang w:val="en-GB"/>
        </w:rPr>
      </w:pPr>
    </w:p>
    <w:p w14:paraId="12D5B78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started: </w:t>
      </w:r>
      <w:r>
        <w:rPr>
          <w:rFonts w:ascii="Book Antiqua" w:eastAsia="Book Antiqua" w:hAnsi="Book Antiqua" w:cs="Book Antiqua"/>
          <w:color w:val="000000"/>
          <w:lang w:val="en-GB"/>
        </w:rPr>
        <w:t>October 25, 2020</w:t>
      </w:r>
    </w:p>
    <w:p w14:paraId="2BEE10A8"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First decision: </w:t>
      </w:r>
      <w:r>
        <w:rPr>
          <w:rFonts w:ascii="Book Antiqua" w:eastAsia="Book Antiqua" w:hAnsi="Book Antiqua" w:cs="Book Antiqua"/>
          <w:color w:val="000000"/>
          <w:lang w:val="en-GB"/>
        </w:rPr>
        <w:t>January 17, 2021</w:t>
      </w:r>
    </w:p>
    <w:p w14:paraId="6701BE5E"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Article in press: </w:t>
      </w:r>
    </w:p>
    <w:p w14:paraId="48F104F9" w14:textId="77777777" w:rsidR="00EB3E58" w:rsidRDefault="00EB3E58">
      <w:pPr>
        <w:adjustRightInd w:val="0"/>
        <w:snapToGrid w:val="0"/>
        <w:spacing w:line="360" w:lineRule="auto"/>
        <w:jc w:val="both"/>
        <w:rPr>
          <w:rFonts w:ascii="Book Antiqua" w:hAnsi="Book Antiqua"/>
          <w:lang w:val="en-GB"/>
        </w:rPr>
      </w:pPr>
    </w:p>
    <w:p w14:paraId="6158A2B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Specialty type: </w:t>
      </w:r>
      <w:r>
        <w:rPr>
          <w:rFonts w:ascii="Book Antiqua" w:eastAsia="Book Antiqua" w:hAnsi="Book Antiqua" w:cs="Book Antiqua"/>
          <w:color w:val="000000"/>
          <w:lang w:val="en-GB"/>
        </w:rPr>
        <w:t>Infectious diseases</w:t>
      </w:r>
    </w:p>
    <w:p w14:paraId="206733A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 xml:space="preserve">Country/Territory of origin: </w:t>
      </w:r>
      <w:r>
        <w:rPr>
          <w:rFonts w:ascii="Book Antiqua" w:eastAsia="Book Antiqua" w:hAnsi="Book Antiqua" w:cs="Book Antiqua"/>
          <w:color w:val="000000"/>
          <w:lang w:val="en-GB"/>
        </w:rPr>
        <w:t>China</w:t>
      </w:r>
    </w:p>
    <w:p w14:paraId="32355A1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color w:val="000000"/>
          <w:lang w:val="en-GB"/>
        </w:rPr>
        <w:t>Peer-review report’s scientific quality classification</w:t>
      </w:r>
    </w:p>
    <w:p w14:paraId="43CE2F0C"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A (Excellent): 0</w:t>
      </w:r>
    </w:p>
    <w:p w14:paraId="57EFC184"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B (Very good): 0</w:t>
      </w:r>
    </w:p>
    <w:p w14:paraId="23DFBCD9"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C (Good): C</w:t>
      </w:r>
    </w:p>
    <w:p w14:paraId="595C86C7"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D (Fair): 0</w:t>
      </w:r>
    </w:p>
    <w:p w14:paraId="4DAB781A"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t>Grade E (Poor): 0</w:t>
      </w:r>
    </w:p>
    <w:p w14:paraId="462B684B" w14:textId="77777777" w:rsidR="00EB3E58" w:rsidRDefault="00EB3E58">
      <w:pPr>
        <w:adjustRightInd w:val="0"/>
        <w:snapToGrid w:val="0"/>
        <w:spacing w:line="360" w:lineRule="auto"/>
        <w:jc w:val="both"/>
        <w:rPr>
          <w:rFonts w:ascii="Book Antiqua" w:hAnsi="Book Antiqua"/>
          <w:lang w:val="en-GB"/>
        </w:rPr>
      </w:pPr>
    </w:p>
    <w:p w14:paraId="0A4CDFD7" w14:textId="25C9305A" w:rsidR="00EB3E58" w:rsidRPr="00C53645" w:rsidRDefault="005946F0">
      <w:pPr>
        <w:adjustRightInd w:val="0"/>
        <w:snapToGrid w:val="0"/>
        <w:spacing w:line="360" w:lineRule="auto"/>
        <w:jc w:val="both"/>
        <w:rPr>
          <w:rFonts w:ascii="Book Antiqua" w:hAnsi="Book Antiqua" w:cs="Book Antiqua" w:hint="eastAsia"/>
          <w:b/>
          <w:color w:val="000000"/>
          <w:lang w:val="en-GB" w:eastAsia="zh-CN"/>
        </w:rPr>
      </w:pPr>
      <w:r>
        <w:rPr>
          <w:rFonts w:ascii="Book Antiqua" w:eastAsia="Book Antiqua" w:hAnsi="Book Antiqua" w:cs="Book Antiqua"/>
          <w:b/>
          <w:color w:val="000000"/>
          <w:lang w:val="en-GB"/>
        </w:rPr>
        <w:t xml:space="preserve">P-Reviewer: </w:t>
      </w:r>
      <w:r>
        <w:rPr>
          <w:rFonts w:ascii="Book Antiqua" w:eastAsia="Book Antiqua" w:hAnsi="Book Antiqua" w:cs="Book Antiqua"/>
          <w:color w:val="000000"/>
          <w:lang w:val="en-GB"/>
        </w:rPr>
        <w:t>Olt S</w:t>
      </w:r>
      <w:r>
        <w:rPr>
          <w:rFonts w:ascii="Book Antiqua" w:eastAsia="Book Antiqua" w:hAnsi="Book Antiqua" w:cs="Book Antiqua"/>
          <w:b/>
          <w:color w:val="000000"/>
          <w:lang w:val="en-GB"/>
        </w:rPr>
        <w:t xml:space="preserve"> S-Editor: </w:t>
      </w:r>
      <w:r>
        <w:rPr>
          <w:rFonts w:ascii="Book Antiqua" w:eastAsia="Book Antiqua" w:hAnsi="Book Antiqua" w:cs="Book Antiqua"/>
          <w:color w:val="000000"/>
          <w:lang w:val="en-GB"/>
        </w:rPr>
        <w:t>Zhang L</w:t>
      </w:r>
      <w:r>
        <w:rPr>
          <w:rFonts w:ascii="Book Antiqua" w:eastAsia="Book Antiqua" w:hAnsi="Book Antiqua" w:cs="Book Antiqua"/>
          <w:b/>
          <w:color w:val="000000"/>
          <w:lang w:val="en-GB"/>
        </w:rPr>
        <w:t xml:space="preserve"> L-Editor: </w:t>
      </w:r>
      <w:r>
        <w:rPr>
          <w:rFonts w:ascii="Book Antiqua" w:eastAsia="Book Antiqua" w:hAnsi="Book Antiqua" w:cs="Book Antiqua"/>
          <w:bCs/>
          <w:color w:val="000000"/>
          <w:lang w:val="en-GB"/>
        </w:rPr>
        <w:t>Filipodia</w:t>
      </w:r>
      <w:r>
        <w:rPr>
          <w:rFonts w:ascii="Book Antiqua" w:eastAsia="Book Antiqua" w:hAnsi="Book Antiqua" w:cs="Book Antiqua"/>
          <w:b/>
          <w:color w:val="000000"/>
          <w:lang w:val="en-GB"/>
        </w:rPr>
        <w:t xml:space="preserve"> P-Editor:</w:t>
      </w:r>
      <w:r w:rsidR="00C53645">
        <w:rPr>
          <w:rFonts w:ascii="Book Antiqua" w:hAnsi="Book Antiqua" w:cs="Book Antiqua" w:hint="eastAsia"/>
          <w:b/>
          <w:color w:val="000000"/>
          <w:lang w:val="en-GB" w:eastAsia="zh-CN"/>
        </w:rPr>
        <w:t xml:space="preserve"> </w:t>
      </w:r>
      <w:bookmarkStart w:id="26" w:name="_GoBack"/>
      <w:r w:rsidR="00C53645" w:rsidRPr="00A375D5">
        <w:rPr>
          <w:rFonts w:ascii="Book Antiqua" w:hAnsi="Book Antiqua" w:cs="Book Antiqua" w:hint="eastAsia"/>
          <w:color w:val="000000"/>
          <w:lang w:val="en-GB" w:eastAsia="zh-CN"/>
        </w:rPr>
        <w:t>Zhang YL</w:t>
      </w:r>
      <w:bookmarkEnd w:id="26"/>
    </w:p>
    <w:p w14:paraId="4233DF5F" w14:textId="77777777" w:rsidR="00EB3E58" w:rsidRDefault="005946F0">
      <w:pPr>
        <w:adjustRightInd w:val="0"/>
        <w:snapToGrid w:val="0"/>
        <w:spacing w:line="360" w:lineRule="auto"/>
        <w:jc w:val="both"/>
        <w:rPr>
          <w:rFonts w:ascii="Book Antiqua" w:hAnsi="Book Antiqua"/>
          <w:lang w:val="en-GB"/>
        </w:rPr>
        <w:sectPr w:rsidR="00EB3E58">
          <w:pgSz w:w="12240" w:h="15840"/>
          <w:pgMar w:top="1440" w:right="1800" w:bottom="1440" w:left="1800" w:header="720" w:footer="720" w:gutter="0"/>
          <w:cols w:space="720"/>
          <w:docGrid w:linePitch="360"/>
        </w:sectPr>
      </w:pPr>
      <w:r>
        <w:rPr>
          <w:rFonts w:ascii="Book Antiqua" w:eastAsia="Book Antiqua" w:hAnsi="Book Antiqua" w:cs="Book Antiqua"/>
          <w:b/>
          <w:color w:val="000000"/>
          <w:lang w:val="en-GB"/>
        </w:rPr>
        <w:t xml:space="preserve"> </w:t>
      </w:r>
    </w:p>
    <w:p w14:paraId="5B0D160D" w14:textId="77777777" w:rsidR="00EB3E58" w:rsidRDefault="005946F0">
      <w:pPr>
        <w:adjustRightInd w:val="0"/>
        <w:snapToGrid w:val="0"/>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Figure Legends</w:t>
      </w:r>
    </w:p>
    <w:p w14:paraId="2013E90F" w14:textId="77777777" w:rsidR="00EB3E58" w:rsidRDefault="005946F0">
      <w:pPr>
        <w:adjustRightInd w:val="0"/>
        <w:snapToGrid w:val="0"/>
        <w:spacing w:line="360" w:lineRule="auto"/>
        <w:jc w:val="both"/>
        <w:rPr>
          <w:rFonts w:ascii="Book Antiqua" w:hAnsi="Book Antiqua"/>
          <w:lang w:val="en-GB"/>
        </w:rPr>
      </w:pPr>
      <w:r>
        <w:rPr>
          <w:rFonts w:ascii="Book Antiqua" w:hAnsi="Book Antiqua"/>
          <w:noProof/>
          <w:lang w:eastAsia="zh-CN"/>
        </w:rPr>
        <w:drawing>
          <wp:inline distT="0" distB="0" distL="0" distR="0" wp14:anchorId="75F91754" wp14:editId="7000E1C1">
            <wp:extent cx="2133600" cy="2261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33600" cy="2261616"/>
                    </a:xfrm>
                    <a:prstGeom prst="rect">
                      <a:avLst/>
                    </a:prstGeom>
                  </pic:spPr>
                </pic:pic>
              </a:graphicData>
            </a:graphic>
          </wp:inline>
        </w:drawing>
      </w:r>
    </w:p>
    <w:p w14:paraId="36E0B359" w14:textId="77777777" w:rsidR="00EB3E58" w:rsidRDefault="005946F0">
      <w:pPr>
        <w:adjustRightInd w:val="0"/>
        <w:snapToGrid w:val="0"/>
        <w:spacing w:line="360" w:lineRule="auto"/>
        <w:jc w:val="both"/>
        <w:rPr>
          <w:rFonts w:ascii="Book Antiqua" w:eastAsia="Book Antiqua" w:hAnsi="Book Antiqua" w:cs="Book Antiqua"/>
          <w:color w:val="000000"/>
          <w:lang w:val="en-GB"/>
        </w:rPr>
      </w:pPr>
      <w:bookmarkStart w:id="27" w:name="OLE_LINK25"/>
      <w:bookmarkStart w:id="28" w:name="OLE_LINK26"/>
      <w:r>
        <w:rPr>
          <w:rFonts w:ascii="Book Antiqua" w:eastAsia="Book Antiqua" w:hAnsi="Book Antiqua" w:cs="Book Antiqua"/>
          <w:b/>
          <w:bCs/>
          <w:color w:val="000000"/>
          <w:lang w:val="en-GB"/>
        </w:rPr>
        <w:t xml:space="preserve">Figure 1 </w:t>
      </w:r>
      <w:r>
        <w:rPr>
          <w:rFonts w:ascii="Book Antiqua" w:eastAsia="Book Antiqua" w:hAnsi="Book Antiqua" w:cs="Book Antiqua"/>
          <w:b/>
          <w:bCs/>
          <w:i/>
          <w:iCs/>
          <w:color w:val="000000"/>
          <w:lang w:val="en-GB"/>
        </w:rPr>
        <w:t>Brucella</w:t>
      </w:r>
      <w:r>
        <w:rPr>
          <w:rFonts w:ascii="Book Antiqua" w:eastAsia="Book Antiqua" w:hAnsi="Book Antiqua" w:cs="Book Antiqua"/>
          <w:b/>
          <w:bCs/>
          <w:color w:val="000000"/>
          <w:lang w:val="en-GB"/>
        </w:rPr>
        <w:t xml:space="preserve"> in blood culture.</w:t>
      </w:r>
      <w:r>
        <w:rPr>
          <w:rFonts w:ascii="Book Antiqua" w:eastAsia="Book Antiqua" w:hAnsi="Book Antiqua" w:cs="Book Antiqua"/>
          <w:color w:val="000000"/>
          <w:lang w:val="en-GB"/>
        </w:rPr>
        <w:t xml:space="preserve"> Gram staining, 100 ×.</w:t>
      </w:r>
    </w:p>
    <w:bookmarkEnd w:id="27"/>
    <w:bookmarkEnd w:id="28"/>
    <w:p w14:paraId="654D416F"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br w:type="page"/>
      </w:r>
      <w:r>
        <w:rPr>
          <w:rFonts w:ascii="Book Antiqua" w:hAnsi="Book Antiqua"/>
          <w:noProof/>
          <w:lang w:eastAsia="zh-CN"/>
        </w:rPr>
        <w:drawing>
          <wp:inline distT="0" distB="0" distL="0" distR="0" wp14:anchorId="6CE1AD36" wp14:editId="28BED373">
            <wp:extent cx="5742305" cy="2383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42930" cy="2383743"/>
                    </a:xfrm>
                    <a:prstGeom prst="rect">
                      <a:avLst/>
                    </a:prstGeom>
                  </pic:spPr>
                </pic:pic>
              </a:graphicData>
            </a:graphic>
          </wp:inline>
        </w:drawing>
      </w:r>
    </w:p>
    <w:p w14:paraId="5FD432F0" w14:textId="77777777" w:rsidR="00EB3E58" w:rsidRDefault="005946F0">
      <w:pPr>
        <w:adjustRightInd w:val="0"/>
        <w:snapToGrid w:val="0"/>
        <w:spacing w:line="360" w:lineRule="auto"/>
        <w:jc w:val="both"/>
        <w:rPr>
          <w:rFonts w:ascii="Book Antiqua" w:eastAsia="Book Antiqua" w:hAnsi="Book Antiqua" w:cs="Book Antiqua"/>
          <w:color w:val="000000"/>
          <w:lang w:val="en-GB"/>
        </w:rPr>
      </w:pPr>
      <w:r>
        <w:rPr>
          <w:rFonts w:ascii="Book Antiqua" w:eastAsia="Book Antiqua" w:hAnsi="Book Antiqua" w:cs="Book Antiqua"/>
          <w:b/>
          <w:bCs/>
          <w:color w:val="000000"/>
          <w:lang w:val="en-GB"/>
        </w:rPr>
        <w:t>Figure 2 Haemophagocytosis in bone marrow aspiration and biopsy specimen, and histiocytes phagocytizing lymphocytes, platelets, and red cells.</w:t>
      </w:r>
      <w:r>
        <w:rPr>
          <w:rFonts w:ascii="Book Antiqua" w:eastAsia="Book Antiqua" w:hAnsi="Book Antiqua" w:cs="Book Antiqua"/>
          <w:color w:val="000000"/>
          <w:lang w:val="en-GB"/>
        </w:rPr>
        <w:t xml:space="preserve"> A and B: Wright staining, 1000 ×.</w:t>
      </w:r>
    </w:p>
    <w:p w14:paraId="6AB30570"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color w:val="000000"/>
          <w:lang w:val="en-GB"/>
        </w:rPr>
        <w:br w:type="page"/>
      </w:r>
      <w:r>
        <w:rPr>
          <w:rFonts w:ascii="Book Antiqua" w:hAnsi="Book Antiqua"/>
          <w:noProof/>
          <w:lang w:eastAsia="zh-CN"/>
        </w:rPr>
        <w:drawing>
          <wp:inline distT="0" distB="0" distL="0" distR="0" wp14:anchorId="3BC2ACBB" wp14:editId="3669667D">
            <wp:extent cx="5943600" cy="1988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1988185"/>
                    </a:xfrm>
                    <a:prstGeom prst="rect">
                      <a:avLst/>
                    </a:prstGeom>
                  </pic:spPr>
                </pic:pic>
              </a:graphicData>
            </a:graphic>
          </wp:inline>
        </w:drawing>
      </w:r>
    </w:p>
    <w:p w14:paraId="70E49B3C" w14:textId="77777777" w:rsidR="00EB3E58" w:rsidRDefault="005946F0">
      <w:pPr>
        <w:adjustRightInd w:val="0"/>
        <w:snapToGrid w:val="0"/>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Figure 3 Mass spectrometry results.</w:t>
      </w:r>
    </w:p>
    <w:p w14:paraId="0D244F2D" w14:textId="77777777" w:rsidR="00EB3E58" w:rsidRDefault="005946F0">
      <w:pPr>
        <w:adjustRightInd w:val="0"/>
        <w:snapToGrid w:val="0"/>
        <w:spacing w:line="360" w:lineRule="auto"/>
        <w:jc w:val="both"/>
        <w:rPr>
          <w:rFonts w:ascii="Book Antiqua" w:hAnsi="Book Antiqua"/>
          <w:lang w:val="en-GB"/>
        </w:rPr>
      </w:pPr>
      <w:r>
        <w:rPr>
          <w:rFonts w:ascii="Book Antiqua" w:eastAsia="Book Antiqua" w:hAnsi="Book Antiqua" w:cs="Book Antiqua"/>
          <w:b/>
          <w:bCs/>
          <w:color w:val="000000"/>
          <w:lang w:val="en-GB"/>
        </w:rPr>
        <w:br w:type="page"/>
      </w:r>
    </w:p>
    <w:p w14:paraId="44FE26EC" w14:textId="63A36419" w:rsidR="00EB3E58" w:rsidRDefault="00AB1717">
      <w:pPr>
        <w:adjustRightInd w:val="0"/>
        <w:snapToGrid w:val="0"/>
        <w:spacing w:line="360" w:lineRule="auto"/>
        <w:jc w:val="both"/>
      </w:pPr>
      <w:r w:rsidRPr="00AB1717">
        <w:rPr>
          <w:noProof/>
          <w:lang w:eastAsia="zh-CN"/>
        </w:rPr>
        <w:drawing>
          <wp:inline distT="0" distB="0" distL="0" distR="0" wp14:anchorId="0E43FB03" wp14:editId="4AD0E833">
            <wp:extent cx="5486400" cy="3315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315970"/>
                    </a:xfrm>
                    <a:prstGeom prst="rect">
                      <a:avLst/>
                    </a:prstGeom>
                  </pic:spPr>
                </pic:pic>
              </a:graphicData>
            </a:graphic>
          </wp:inline>
        </w:drawing>
      </w:r>
    </w:p>
    <w:p w14:paraId="652800B3" w14:textId="77777777" w:rsidR="00EB3E58" w:rsidRDefault="005946F0">
      <w:pPr>
        <w:adjustRightInd w:val="0"/>
        <w:snapToGrid w:val="0"/>
        <w:spacing w:line="360" w:lineRule="auto"/>
        <w:jc w:val="both"/>
        <w:rPr>
          <w:rFonts w:ascii="Book Antiqua" w:eastAsia="Book Antiqua" w:hAnsi="Book Antiqua" w:cs="Book Antiqua"/>
          <w:b/>
          <w:bCs/>
          <w:color w:val="000000"/>
          <w:lang w:val="en-GB"/>
        </w:rPr>
      </w:pPr>
      <w:r>
        <w:rPr>
          <w:rFonts w:ascii="Book Antiqua" w:eastAsia="Book Antiqua" w:hAnsi="Book Antiqua" w:cs="Book Antiqua"/>
          <w:b/>
          <w:bCs/>
          <w:color w:val="000000"/>
          <w:lang w:val="en-GB"/>
        </w:rPr>
        <w:t>Figure 4 Body temperature changes during treatment.</w:t>
      </w:r>
    </w:p>
    <w:p w14:paraId="4AAFD27B" w14:textId="77777777" w:rsidR="00EB3E58" w:rsidRDefault="005946F0">
      <w:pPr>
        <w:adjustRightInd w:val="0"/>
        <w:snapToGrid w:val="0"/>
        <w:spacing w:line="360" w:lineRule="auto"/>
        <w:jc w:val="both"/>
        <w:rPr>
          <w:rFonts w:ascii="Book Antiqua" w:hAnsi="Book Antiqua"/>
          <w:b/>
          <w:bCs/>
          <w:lang w:val="en-GB"/>
        </w:rPr>
      </w:pPr>
      <w:r>
        <w:rPr>
          <w:rFonts w:ascii="Book Antiqua" w:eastAsia="Book Antiqua" w:hAnsi="Book Antiqua" w:cs="Book Antiqua"/>
          <w:b/>
          <w:bCs/>
          <w:color w:val="000000"/>
          <w:lang w:val="en-GB"/>
        </w:rPr>
        <w:br w:type="page"/>
      </w:r>
      <w:r>
        <w:rPr>
          <w:rFonts w:ascii="Book Antiqua" w:hAnsi="Book Antiqua"/>
          <w:b/>
          <w:bCs/>
          <w:lang w:val="en-GB"/>
        </w:rPr>
        <w:t>Table 1 Laboratory results for a 50-year-old man with brucellosis and secondary haemophagocytic syndrome</w:t>
      </w:r>
    </w:p>
    <w:tbl>
      <w:tblPr>
        <w:tblW w:w="9498" w:type="dxa"/>
        <w:tblInd w:w="-176" w:type="dxa"/>
        <w:tblBorders>
          <w:top w:val="single" w:sz="4" w:space="0" w:color="auto"/>
          <w:bottom w:val="single" w:sz="4" w:space="0" w:color="auto"/>
        </w:tblBorders>
        <w:tblLook w:val="04A0" w:firstRow="1" w:lastRow="0" w:firstColumn="1" w:lastColumn="0" w:noHBand="0" w:noVBand="1"/>
      </w:tblPr>
      <w:tblGrid>
        <w:gridCol w:w="2796"/>
        <w:gridCol w:w="1171"/>
        <w:gridCol w:w="1003"/>
        <w:gridCol w:w="1170"/>
        <w:gridCol w:w="1171"/>
        <w:gridCol w:w="2187"/>
      </w:tblGrid>
      <w:tr w:rsidR="00EB3E58" w14:paraId="5E6EF503" w14:textId="77777777">
        <w:trPr>
          <w:trHeight w:val="395"/>
        </w:trPr>
        <w:tc>
          <w:tcPr>
            <w:tcW w:w="2796" w:type="dxa"/>
            <w:tcBorders>
              <w:top w:val="single" w:sz="4" w:space="0" w:color="auto"/>
              <w:bottom w:val="single" w:sz="4" w:space="0" w:color="auto"/>
            </w:tcBorders>
          </w:tcPr>
          <w:p w14:paraId="562A9166" w14:textId="77777777" w:rsidR="00EB3E58" w:rsidRDefault="005946F0">
            <w:pPr>
              <w:adjustRightInd w:val="0"/>
              <w:snapToGrid w:val="0"/>
              <w:spacing w:line="360" w:lineRule="auto"/>
              <w:jc w:val="both"/>
              <w:rPr>
                <w:rFonts w:ascii="Book Antiqua" w:hAnsi="Book Antiqua" w:cs="Book Antiqua"/>
                <w:b/>
                <w:lang w:val="en-GB"/>
              </w:rPr>
            </w:pPr>
            <w:r>
              <w:rPr>
                <w:rFonts w:ascii="Book Antiqua" w:hAnsi="Book Antiqua" w:cs="Book Antiqua"/>
                <w:b/>
                <w:lang w:val="en-GB"/>
              </w:rPr>
              <w:t>Test</w:t>
            </w:r>
          </w:p>
        </w:tc>
        <w:tc>
          <w:tcPr>
            <w:tcW w:w="1171" w:type="dxa"/>
            <w:tcBorders>
              <w:top w:val="single" w:sz="4" w:space="0" w:color="auto"/>
              <w:bottom w:val="single" w:sz="4" w:space="0" w:color="auto"/>
            </w:tcBorders>
          </w:tcPr>
          <w:p w14:paraId="3A18D24B"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1</w:t>
            </w:r>
          </w:p>
        </w:tc>
        <w:tc>
          <w:tcPr>
            <w:tcW w:w="1003" w:type="dxa"/>
            <w:tcBorders>
              <w:top w:val="single" w:sz="4" w:space="0" w:color="auto"/>
              <w:bottom w:val="single" w:sz="4" w:space="0" w:color="auto"/>
            </w:tcBorders>
          </w:tcPr>
          <w:p w14:paraId="654851B9"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4</w:t>
            </w:r>
          </w:p>
        </w:tc>
        <w:tc>
          <w:tcPr>
            <w:tcW w:w="1170" w:type="dxa"/>
            <w:tcBorders>
              <w:top w:val="single" w:sz="4" w:space="0" w:color="auto"/>
              <w:bottom w:val="single" w:sz="4" w:space="0" w:color="auto"/>
            </w:tcBorders>
          </w:tcPr>
          <w:p w14:paraId="2274152E"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7</w:t>
            </w:r>
          </w:p>
        </w:tc>
        <w:tc>
          <w:tcPr>
            <w:tcW w:w="1171" w:type="dxa"/>
            <w:tcBorders>
              <w:top w:val="single" w:sz="4" w:space="0" w:color="auto"/>
              <w:bottom w:val="single" w:sz="4" w:space="0" w:color="auto"/>
            </w:tcBorders>
          </w:tcPr>
          <w:p w14:paraId="5A5D398F"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b/>
                <w:lang w:val="en-GB"/>
              </w:rPr>
              <w:t>Day 10</w:t>
            </w:r>
          </w:p>
        </w:tc>
        <w:tc>
          <w:tcPr>
            <w:tcW w:w="2187" w:type="dxa"/>
            <w:tcBorders>
              <w:top w:val="single" w:sz="4" w:space="0" w:color="auto"/>
              <w:bottom w:val="single" w:sz="4" w:space="0" w:color="auto"/>
            </w:tcBorders>
          </w:tcPr>
          <w:p w14:paraId="45761776" w14:textId="77777777" w:rsidR="00EB3E58" w:rsidRDefault="005946F0">
            <w:pPr>
              <w:adjustRightInd w:val="0"/>
              <w:snapToGrid w:val="0"/>
              <w:spacing w:line="360" w:lineRule="auto"/>
              <w:jc w:val="both"/>
              <w:rPr>
                <w:rFonts w:ascii="Book Antiqua" w:hAnsi="Book Antiqua" w:cs="Book Antiqua"/>
                <w:b/>
                <w:lang w:val="en-GB"/>
              </w:rPr>
            </w:pPr>
            <w:r>
              <w:rPr>
                <w:rFonts w:ascii="Book Antiqua" w:hAnsi="Book Antiqua" w:cs="Book Antiqua"/>
                <w:b/>
                <w:lang w:val="en-GB"/>
              </w:rPr>
              <w:t>Reference</w:t>
            </w:r>
            <w:r>
              <w:rPr>
                <w:rFonts w:ascii="Book Antiqua" w:hAnsi="Book Antiqua" w:cs="Book Antiqua"/>
                <w:b/>
                <w:color w:val="231F20"/>
                <w:lang w:val="en-GB"/>
              </w:rPr>
              <w:t xml:space="preserve"> </w:t>
            </w:r>
            <w:r>
              <w:rPr>
                <w:rFonts w:ascii="Book Antiqua" w:hAnsi="Book Antiqua" w:cs="Book Antiqua"/>
                <w:b/>
                <w:lang w:val="en-GB"/>
              </w:rPr>
              <w:t>range</w:t>
            </w:r>
          </w:p>
        </w:tc>
      </w:tr>
      <w:tr w:rsidR="00EB3E58" w14:paraId="407F9346" w14:textId="77777777">
        <w:trPr>
          <w:trHeight w:val="185"/>
        </w:trPr>
        <w:tc>
          <w:tcPr>
            <w:tcW w:w="2796" w:type="dxa"/>
            <w:tcBorders>
              <w:top w:val="single" w:sz="4" w:space="0" w:color="auto"/>
            </w:tcBorders>
          </w:tcPr>
          <w:p w14:paraId="61BA6A8D" w14:textId="77777777" w:rsidR="00EB3E58" w:rsidRDefault="005946F0">
            <w:pPr>
              <w:widowControl w:val="0"/>
              <w:adjustRightInd w:val="0"/>
              <w:snapToGrid w:val="0"/>
              <w:spacing w:line="360" w:lineRule="auto"/>
              <w:jc w:val="both"/>
              <w:rPr>
                <w:rFonts w:ascii="Book Antiqua" w:hAnsi="Book Antiqua" w:cs="Book Antiqua"/>
                <w:lang w:val="en-GB"/>
              </w:rPr>
            </w:pPr>
            <w:r>
              <w:rPr>
                <w:rFonts w:ascii="Book Antiqua" w:hAnsi="Book Antiqua" w:cs="Book Antiqua"/>
                <w:lang w:val="en-GB"/>
              </w:rPr>
              <w:t>WBC, 10</w:t>
            </w:r>
            <w:r>
              <w:rPr>
                <w:rFonts w:ascii="Book Antiqua" w:hAnsi="Book Antiqua" w:cs="Book Antiqua"/>
                <w:vertAlign w:val="superscript"/>
                <w:lang w:val="en-GB"/>
              </w:rPr>
              <w:t>9</w:t>
            </w:r>
            <w:r>
              <w:rPr>
                <w:rFonts w:ascii="Book Antiqua" w:hAnsi="Book Antiqua" w:cs="Book Antiqua"/>
                <w:lang w:val="en-GB"/>
              </w:rPr>
              <w:t>/L</w:t>
            </w:r>
          </w:p>
        </w:tc>
        <w:tc>
          <w:tcPr>
            <w:tcW w:w="1171" w:type="dxa"/>
            <w:tcBorders>
              <w:top w:val="single" w:sz="4" w:space="0" w:color="auto"/>
            </w:tcBorders>
            <w:vAlign w:val="bottom"/>
          </w:tcPr>
          <w:p w14:paraId="479683BB"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2.67</w:t>
            </w:r>
          </w:p>
        </w:tc>
        <w:tc>
          <w:tcPr>
            <w:tcW w:w="1003" w:type="dxa"/>
            <w:tcBorders>
              <w:top w:val="single" w:sz="4" w:space="0" w:color="auto"/>
            </w:tcBorders>
            <w:vAlign w:val="bottom"/>
          </w:tcPr>
          <w:p w14:paraId="744874F9"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2.35</w:t>
            </w:r>
          </w:p>
        </w:tc>
        <w:tc>
          <w:tcPr>
            <w:tcW w:w="1170" w:type="dxa"/>
            <w:tcBorders>
              <w:top w:val="single" w:sz="4" w:space="0" w:color="auto"/>
            </w:tcBorders>
            <w:vAlign w:val="bottom"/>
          </w:tcPr>
          <w:p w14:paraId="1ABC5EB5" w14:textId="77777777" w:rsidR="00EB3E58" w:rsidRDefault="005946F0">
            <w:pPr>
              <w:widowControl w:val="0"/>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3.92</w:t>
            </w:r>
          </w:p>
        </w:tc>
        <w:tc>
          <w:tcPr>
            <w:tcW w:w="1171" w:type="dxa"/>
            <w:tcBorders>
              <w:top w:val="single" w:sz="4" w:space="0" w:color="auto"/>
            </w:tcBorders>
            <w:vAlign w:val="bottom"/>
          </w:tcPr>
          <w:p w14:paraId="478A0F1C" w14:textId="77777777" w:rsidR="00EB3E58" w:rsidRDefault="005946F0">
            <w:pPr>
              <w:widowControl w:val="0"/>
              <w:adjustRightInd w:val="0"/>
              <w:snapToGrid w:val="0"/>
              <w:spacing w:line="360" w:lineRule="auto"/>
              <w:ind w:firstLineChars="50" w:firstLine="120"/>
              <w:jc w:val="both"/>
              <w:rPr>
                <w:rFonts w:ascii="Book Antiqua" w:hAnsi="Book Antiqua" w:cs="Book Antiqua"/>
                <w:color w:val="000000"/>
                <w:lang w:val="en-GB"/>
              </w:rPr>
            </w:pPr>
            <w:r>
              <w:rPr>
                <w:rFonts w:ascii="Book Antiqua" w:hAnsi="Book Antiqua" w:cs="Book Antiqua"/>
                <w:color w:val="000000"/>
                <w:lang w:val="en-GB"/>
              </w:rPr>
              <w:t>3.98</w:t>
            </w:r>
          </w:p>
        </w:tc>
        <w:tc>
          <w:tcPr>
            <w:tcW w:w="2187" w:type="dxa"/>
            <w:tcBorders>
              <w:top w:val="single" w:sz="4" w:space="0" w:color="auto"/>
            </w:tcBorders>
            <w:vAlign w:val="bottom"/>
          </w:tcPr>
          <w:p w14:paraId="16727858" w14:textId="77777777" w:rsidR="00EB3E58" w:rsidRDefault="005946F0">
            <w:pPr>
              <w:widowControl w:val="0"/>
              <w:adjustRightInd w:val="0"/>
              <w:snapToGrid w:val="0"/>
              <w:spacing w:line="360" w:lineRule="auto"/>
              <w:jc w:val="both"/>
              <w:rPr>
                <w:rFonts w:ascii="Book Antiqua" w:eastAsia="宋体" w:hAnsi="Book Antiqua" w:cs="Book Antiqua"/>
                <w:color w:val="000000"/>
                <w:lang w:val="en-GB"/>
              </w:rPr>
            </w:pPr>
            <w:r>
              <w:rPr>
                <w:rFonts w:ascii="Book Antiqua" w:eastAsia="宋体" w:hAnsi="Book Antiqua" w:cs="Book Antiqua"/>
                <w:color w:val="000000"/>
                <w:lang w:val="en-GB"/>
              </w:rPr>
              <w:t>3.5–9.5</w:t>
            </w:r>
          </w:p>
        </w:tc>
      </w:tr>
      <w:tr w:rsidR="00EB3E58" w14:paraId="3A9720AD" w14:textId="77777777">
        <w:trPr>
          <w:trHeight w:val="318"/>
        </w:trPr>
        <w:tc>
          <w:tcPr>
            <w:tcW w:w="2796" w:type="dxa"/>
          </w:tcPr>
          <w:p w14:paraId="7941ACF5"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HGB, g/L</w:t>
            </w:r>
          </w:p>
        </w:tc>
        <w:tc>
          <w:tcPr>
            <w:tcW w:w="1171" w:type="dxa"/>
            <w:vAlign w:val="bottom"/>
          </w:tcPr>
          <w:p w14:paraId="67952C9C"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147</w:t>
            </w:r>
          </w:p>
        </w:tc>
        <w:tc>
          <w:tcPr>
            <w:tcW w:w="1003" w:type="dxa"/>
            <w:vAlign w:val="bottom"/>
          </w:tcPr>
          <w:p w14:paraId="60DD5561"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139</w:t>
            </w:r>
          </w:p>
        </w:tc>
        <w:tc>
          <w:tcPr>
            <w:tcW w:w="1170" w:type="dxa"/>
            <w:vAlign w:val="bottom"/>
          </w:tcPr>
          <w:p w14:paraId="26215BF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143</w:t>
            </w:r>
          </w:p>
        </w:tc>
        <w:tc>
          <w:tcPr>
            <w:tcW w:w="1171" w:type="dxa"/>
            <w:vAlign w:val="bottom"/>
          </w:tcPr>
          <w:p w14:paraId="68D27BA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145</w:t>
            </w:r>
          </w:p>
        </w:tc>
        <w:tc>
          <w:tcPr>
            <w:tcW w:w="2187" w:type="dxa"/>
            <w:vAlign w:val="bottom"/>
          </w:tcPr>
          <w:p w14:paraId="6DDFB7B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130–175</w:t>
            </w:r>
          </w:p>
        </w:tc>
      </w:tr>
      <w:tr w:rsidR="00EB3E58" w14:paraId="1FD7DC4E" w14:textId="77777777">
        <w:trPr>
          <w:trHeight w:val="318"/>
        </w:trPr>
        <w:tc>
          <w:tcPr>
            <w:tcW w:w="2796" w:type="dxa"/>
          </w:tcPr>
          <w:p w14:paraId="52CD4DC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PLT, 10</w:t>
            </w:r>
            <w:r>
              <w:rPr>
                <w:rFonts w:ascii="Book Antiqua" w:hAnsi="Book Antiqua" w:cs="Book Antiqua"/>
                <w:vertAlign w:val="superscript"/>
                <w:lang w:val="en-GB"/>
              </w:rPr>
              <w:t>9</w:t>
            </w:r>
            <w:r>
              <w:rPr>
                <w:rFonts w:ascii="Book Antiqua" w:hAnsi="Book Antiqua" w:cs="Book Antiqua"/>
                <w:lang w:val="en-GB"/>
              </w:rPr>
              <w:t>/L</w:t>
            </w:r>
          </w:p>
        </w:tc>
        <w:tc>
          <w:tcPr>
            <w:tcW w:w="1171" w:type="dxa"/>
            <w:vAlign w:val="bottom"/>
          </w:tcPr>
          <w:p w14:paraId="292EEA8C"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83</w:t>
            </w:r>
          </w:p>
        </w:tc>
        <w:tc>
          <w:tcPr>
            <w:tcW w:w="1003" w:type="dxa"/>
            <w:vAlign w:val="bottom"/>
          </w:tcPr>
          <w:p w14:paraId="07E8C95D"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57</w:t>
            </w:r>
          </w:p>
        </w:tc>
        <w:tc>
          <w:tcPr>
            <w:tcW w:w="1170" w:type="dxa"/>
            <w:vAlign w:val="bottom"/>
          </w:tcPr>
          <w:p w14:paraId="0881B9B9"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99</w:t>
            </w:r>
          </w:p>
        </w:tc>
        <w:tc>
          <w:tcPr>
            <w:tcW w:w="1171" w:type="dxa"/>
            <w:vAlign w:val="bottom"/>
          </w:tcPr>
          <w:p w14:paraId="73BEA5E0"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181</w:t>
            </w:r>
          </w:p>
        </w:tc>
        <w:tc>
          <w:tcPr>
            <w:tcW w:w="2187" w:type="dxa"/>
            <w:vAlign w:val="bottom"/>
          </w:tcPr>
          <w:p w14:paraId="73EE8100"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125–350</w:t>
            </w:r>
          </w:p>
        </w:tc>
      </w:tr>
      <w:tr w:rsidR="00EB3E58" w14:paraId="784103BF" w14:textId="77777777">
        <w:trPr>
          <w:trHeight w:val="318"/>
        </w:trPr>
        <w:tc>
          <w:tcPr>
            <w:tcW w:w="2796" w:type="dxa"/>
          </w:tcPr>
          <w:p w14:paraId="372B6731"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CRP, mg/L</w:t>
            </w:r>
          </w:p>
        </w:tc>
        <w:tc>
          <w:tcPr>
            <w:tcW w:w="1171" w:type="dxa"/>
            <w:vAlign w:val="bottom"/>
          </w:tcPr>
          <w:p w14:paraId="172287E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30.76</w:t>
            </w:r>
          </w:p>
        </w:tc>
        <w:tc>
          <w:tcPr>
            <w:tcW w:w="1003" w:type="dxa"/>
            <w:vAlign w:val="bottom"/>
          </w:tcPr>
          <w:p w14:paraId="22C3D51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18.25</w:t>
            </w:r>
          </w:p>
        </w:tc>
        <w:tc>
          <w:tcPr>
            <w:tcW w:w="1170" w:type="dxa"/>
          </w:tcPr>
          <w:p w14:paraId="4DD209ED"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4.87</w:t>
            </w:r>
          </w:p>
        </w:tc>
        <w:tc>
          <w:tcPr>
            <w:tcW w:w="1171" w:type="dxa"/>
          </w:tcPr>
          <w:p w14:paraId="0DD3A2A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0.79</w:t>
            </w:r>
          </w:p>
        </w:tc>
        <w:tc>
          <w:tcPr>
            <w:tcW w:w="2187" w:type="dxa"/>
            <w:vAlign w:val="bottom"/>
          </w:tcPr>
          <w:p w14:paraId="0B132361"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0–10</w:t>
            </w:r>
          </w:p>
        </w:tc>
      </w:tr>
      <w:tr w:rsidR="00EB3E58" w14:paraId="32B7E947" w14:textId="77777777">
        <w:trPr>
          <w:trHeight w:val="318"/>
        </w:trPr>
        <w:tc>
          <w:tcPr>
            <w:tcW w:w="2796" w:type="dxa"/>
          </w:tcPr>
          <w:p w14:paraId="7139A979"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PCT, ng/mL</w:t>
            </w:r>
          </w:p>
        </w:tc>
        <w:tc>
          <w:tcPr>
            <w:tcW w:w="1171" w:type="dxa"/>
            <w:vAlign w:val="bottom"/>
          </w:tcPr>
          <w:p w14:paraId="4C278729"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0.385</w:t>
            </w:r>
          </w:p>
        </w:tc>
        <w:tc>
          <w:tcPr>
            <w:tcW w:w="1003" w:type="dxa"/>
            <w:vAlign w:val="bottom"/>
          </w:tcPr>
          <w:p w14:paraId="237901A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w:t>
            </w:r>
          </w:p>
        </w:tc>
        <w:tc>
          <w:tcPr>
            <w:tcW w:w="1170" w:type="dxa"/>
          </w:tcPr>
          <w:p w14:paraId="7440D0E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w:t>
            </w:r>
          </w:p>
        </w:tc>
        <w:tc>
          <w:tcPr>
            <w:tcW w:w="1171" w:type="dxa"/>
          </w:tcPr>
          <w:p w14:paraId="759C514A" w14:textId="77777777" w:rsidR="00EB3E58" w:rsidRDefault="005946F0">
            <w:pPr>
              <w:adjustRightInd w:val="0"/>
              <w:snapToGrid w:val="0"/>
              <w:spacing w:line="360" w:lineRule="auto"/>
              <w:jc w:val="both"/>
              <w:rPr>
                <w:rFonts w:ascii="Book Antiqua" w:hAnsi="Book Antiqua" w:cs="Book Antiqua"/>
                <w:b/>
                <w:bCs/>
                <w:color w:val="000000"/>
                <w:lang w:val="en-GB"/>
              </w:rPr>
            </w:pPr>
            <w:r>
              <w:rPr>
                <w:rFonts w:ascii="Book Antiqua" w:hAnsi="Book Antiqua" w:cs="Book Antiqua"/>
                <w:color w:val="000000"/>
                <w:lang w:val="en-GB"/>
              </w:rPr>
              <w:t>-</w:t>
            </w:r>
          </w:p>
        </w:tc>
        <w:tc>
          <w:tcPr>
            <w:tcW w:w="2187" w:type="dxa"/>
            <w:vAlign w:val="bottom"/>
          </w:tcPr>
          <w:p w14:paraId="08E7767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3.5–9.5</w:t>
            </w:r>
          </w:p>
        </w:tc>
      </w:tr>
      <w:tr w:rsidR="00EB3E58" w14:paraId="5C081DDE" w14:textId="77777777">
        <w:trPr>
          <w:trHeight w:val="71"/>
        </w:trPr>
        <w:tc>
          <w:tcPr>
            <w:tcW w:w="2796" w:type="dxa"/>
          </w:tcPr>
          <w:p w14:paraId="547D17EB"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Ferritin, ng/mL</w:t>
            </w:r>
          </w:p>
        </w:tc>
        <w:tc>
          <w:tcPr>
            <w:tcW w:w="1171" w:type="dxa"/>
            <w:vAlign w:val="bottom"/>
          </w:tcPr>
          <w:p w14:paraId="5E0B650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825.7</w:t>
            </w:r>
          </w:p>
        </w:tc>
        <w:tc>
          <w:tcPr>
            <w:tcW w:w="1003" w:type="dxa"/>
            <w:vAlign w:val="bottom"/>
          </w:tcPr>
          <w:p w14:paraId="762F31B4" w14:textId="77777777" w:rsidR="00EB3E58" w:rsidRDefault="005946F0">
            <w:pPr>
              <w:adjustRightInd w:val="0"/>
              <w:snapToGrid w:val="0"/>
              <w:spacing w:line="360" w:lineRule="auto"/>
              <w:jc w:val="both"/>
              <w:rPr>
                <w:rFonts w:ascii="Book Antiqua" w:hAnsi="Book Antiqua" w:cs="Book Antiqua"/>
                <w:color w:val="000000"/>
                <w:lang w:val="en-GB"/>
              </w:rPr>
            </w:pPr>
            <w:r>
              <w:rPr>
                <w:rStyle w:val="Char1"/>
                <w:rFonts w:ascii="Book Antiqua" w:hAnsi="Book Antiqua" w:cs="Book Antiqua"/>
                <w:sz w:val="24"/>
                <w:szCs w:val="24"/>
                <w:lang w:val="en-GB"/>
              </w:rPr>
              <w:t>&gt; 1500</w:t>
            </w:r>
          </w:p>
        </w:tc>
        <w:tc>
          <w:tcPr>
            <w:tcW w:w="1170" w:type="dxa"/>
          </w:tcPr>
          <w:p w14:paraId="0B92ABC6"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1401.2</w:t>
            </w:r>
          </w:p>
        </w:tc>
        <w:tc>
          <w:tcPr>
            <w:tcW w:w="1171" w:type="dxa"/>
          </w:tcPr>
          <w:p w14:paraId="14D47544"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895</w:t>
            </w:r>
          </w:p>
        </w:tc>
        <w:tc>
          <w:tcPr>
            <w:tcW w:w="2187" w:type="dxa"/>
            <w:vAlign w:val="bottom"/>
          </w:tcPr>
          <w:p w14:paraId="35A37D3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23.9–336.2</w:t>
            </w:r>
          </w:p>
        </w:tc>
      </w:tr>
      <w:tr w:rsidR="00EB3E58" w14:paraId="52A65B75" w14:textId="77777777">
        <w:trPr>
          <w:trHeight w:val="318"/>
        </w:trPr>
        <w:tc>
          <w:tcPr>
            <w:tcW w:w="2796" w:type="dxa"/>
          </w:tcPr>
          <w:p w14:paraId="3E6EBAE5"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AST, U/L</w:t>
            </w:r>
          </w:p>
        </w:tc>
        <w:tc>
          <w:tcPr>
            <w:tcW w:w="1171" w:type="dxa"/>
            <w:vAlign w:val="bottom"/>
          </w:tcPr>
          <w:p w14:paraId="3904B696"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84.1</w:t>
            </w:r>
          </w:p>
        </w:tc>
        <w:tc>
          <w:tcPr>
            <w:tcW w:w="1003" w:type="dxa"/>
            <w:vAlign w:val="bottom"/>
          </w:tcPr>
          <w:p w14:paraId="04DD78B4"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98.1</w:t>
            </w:r>
          </w:p>
        </w:tc>
        <w:tc>
          <w:tcPr>
            <w:tcW w:w="1170" w:type="dxa"/>
          </w:tcPr>
          <w:p w14:paraId="3F6C4D8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98.3</w:t>
            </w:r>
          </w:p>
        </w:tc>
        <w:tc>
          <w:tcPr>
            <w:tcW w:w="1171" w:type="dxa"/>
          </w:tcPr>
          <w:p w14:paraId="38E83B52"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102.5</w:t>
            </w:r>
          </w:p>
        </w:tc>
        <w:tc>
          <w:tcPr>
            <w:tcW w:w="2187" w:type="dxa"/>
            <w:vAlign w:val="bottom"/>
          </w:tcPr>
          <w:p w14:paraId="4038807F"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15–40</w:t>
            </w:r>
          </w:p>
        </w:tc>
      </w:tr>
      <w:tr w:rsidR="00EB3E58" w14:paraId="7E817879" w14:textId="77777777">
        <w:trPr>
          <w:trHeight w:val="318"/>
        </w:trPr>
        <w:tc>
          <w:tcPr>
            <w:tcW w:w="2796" w:type="dxa"/>
          </w:tcPr>
          <w:p w14:paraId="530F70BE" w14:textId="77777777" w:rsidR="00EB3E58" w:rsidRDefault="005946F0">
            <w:pPr>
              <w:adjustRightInd w:val="0"/>
              <w:snapToGrid w:val="0"/>
              <w:spacing w:line="360" w:lineRule="auto"/>
              <w:jc w:val="both"/>
              <w:rPr>
                <w:rFonts w:ascii="Book Antiqua" w:hAnsi="Book Antiqua" w:cs="Book Antiqua"/>
                <w:b/>
                <w:bCs/>
                <w:lang w:val="en-GB"/>
              </w:rPr>
            </w:pPr>
            <w:r>
              <w:rPr>
                <w:rFonts w:ascii="Book Antiqua" w:hAnsi="Book Antiqua" w:cs="Book Antiqua"/>
                <w:lang w:val="en-GB"/>
              </w:rPr>
              <w:t>ALT, U/L</w:t>
            </w:r>
          </w:p>
        </w:tc>
        <w:tc>
          <w:tcPr>
            <w:tcW w:w="1171" w:type="dxa"/>
            <w:vAlign w:val="bottom"/>
          </w:tcPr>
          <w:p w14:paraId="12650FAE"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64.9</w:t>
            </w:r>
          </w:p>
        </w:tc>
        <w:tc>
          <w:tcPr>
            <w:tcW w:w="1003" w:type="dxa"/>
            <w:vAlign w:val="bottom"/>
          </w:tcPr>
          <w:p w14:paraId="4A1733D8"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70.9</w:t>
            </w:r>
          </w:p>
        </w:tc>
        <w:tc>
          <w:tcPr>
            <w:tcW w:w="1170" w:type="dxa"/>
          </w:tcPr>
          <w:p w14:paraId="772CB0B2"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75.5</w:t>
            </w:r>
          </w:p>
        </w:tc>
        <w:tc>
          <w:tcPr>
            <w:tcW w:w="1171" w:type="dxa"/>
          </w:tcPr>
          <w:p w14:paraId="08838498"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95.3</w:t>
            </w:r>
          </w:p>
        </w:tc>
        <w:tc>
          <w:tcPr>
            <w:tcW w:w="2187" w:type="dxa"/>
            <w:vAlign w:val="bottom"/>
          </w:tcPr>
          <w:p w14:paraId="38826C4C"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9–50</w:t>
            </w:r>
          </w:p>
        </w:tc>
      </w:tr>
      <w:tr w:rsidR="00EB3E58" w14:paraId="0A95182F" w14:textId="77777777">
        <w:trPr>
          <w:trHeight w:val="318"/>
        </w:trPr>
        <w:tc>
          <w:tcPr>
            <w:tcW w:w="2796" w:type="dxa"/>
          </w:tcPr>
          <w:p w14:paraId="47F7A421"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APTT, s</w:t>
            </w:r>
          </w:p>
        </w:tc>
        <w:tc>
          <w:tcPr>
            <w:tcW w:w="1171" w:type="dxa"/>
            <w:vAlign w:val="bottom"/>
          </w:tcPr>
          <w:p w14:paraId="02606EA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36.4</w:t>
            </w:r>
          </w:p>
        </w:tc>
        <w:tc>
          <w:tcPr>
            <w:tcW w:w="1003" w:type="dxa"/>
            <w:vAlign w:val="bottom"/>
          </w:tcPr>
          <w:p w14:paraId="4882401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42.1</w:t>
            </w:r>
          </w:p>
        </w:tc>
        <w:tc>
          <w:tcPr>
            <w:tcW w:w="1170" w:type="dxa"/>
          </w:tcPr>
          <w:p w14:paraId="47E134A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36.3</w:t>
            </w:r>
          </w:p>
        </w:tc>
        <w:tc>
          <w:tcPr>
            <w:tcW w:w="1171" w:type="dxa"/>
          </w:tcPr>
          <w:p w14:paraId="25AED9E5"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36.2</w:t>
            </w:r>
          </w:p>
        </w:tc>
        <w:tc>
          <w:tcPr>
            <w:tcW w:w="2187" w:type="dxa"/>
            <w:vAlign w:val="bottom"/>
          </w:tcPr>
          <w:p w14:paraId="3FE9E22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25.1–36.5</w:t>
            </w:r>
          </w:p>
        </w:tc>
      </w:tr>
      <w:tr w:rsidR="00EB3E58" w14:paraId="12396020" w14:textId="77777777">
        <w:trPr>
          <w:trHeight w:val="318"/>
        </w:trPr>
        <w:tc>
          <w:tcPr>
            <w:tcW w:w="2796" w:type="dxa"/>
          </w:tcPr>
          <w:p w14:paraId="14CD70C9"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PT, s</w:t>
            </w:r>
          </w:p>
        </w:tc>
        <w:tc>
          <w:tcPr>
            <w:tcW w:w="1171" w:type="dxa"/>
            <w:vAlign w:val="bottom"/>
          </w:tcPr>
          <w:p w14:paraId="286C7AD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11.3</w:t>
            </w:r>
          </w:p>
        </w:tc>
        <w:tc>
          <w:tcPr>
            <w:tcW w:w="1003" w:type="dxa"/>
            <w:vAlign w:val="bottom"/>
          </w:tcPr>
          <w:p w14:paraId="64B1E0F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1170" w:type="dxa"/>
          </w:tcPr>
          <w:p w14:paraId="171194B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1171" w:type="dxa"/>
          </w:tcPr>
          <w:p w14:paraId="18840B67"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11.8</w:t>
            </w:r>
          </w:p>
        </w:tc>
        <w:tc>
          <w:tcPr>
            <w:tcW w:w="2187" w:type="dxa"/>
            <w:vAlign w:val="bottom"/>
          </w:tcPr>
          <w:p w14:paraId="1CB621BF"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9.4–12.5</w:t>
            </w:r>
          </w:p>
        </w:tc>
      </w:tr>
      <w:tr w:rsidR="00EB3E58" w14:paraId="7C1281D8" w14:textId="77777777">
        <w:trPr>
          <w:trHeight w:val="315"/>
        </w:trPr>
        <w:tc>
          <w:tcPr>
            <w:tcW w:w="2796" w:type="dxa"/>
          </w:tcPr>
          <w:p w14:paraId="3E2966E5"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Fib, g/L</w:t>
            </w:r>
          </w:p>
        </w:tc>
        <w:tc>
          <w:tcPr>
            <w:tcW w:w="1171" w:type="dxa"/>
            <w:vAlign w:val="bottom"/>
          </w:tcPr>
          <w:p w14:paraId="555D2CA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3.17</w:t>
            </w:r>
          </w:p>
        </w:tc>
        <w:tc>
          <w:tcPr>
            <w:tcW w:w="1003" w:type="dxa"/>
            <w:vAlign w:val="bottom"/>
          </w:tcPr>
          <w:p w14:paraId="72876EEA"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2.69</w:t>
            </w:r>
          </w:p>
        </w:tc>
        <w:tc>
          <w:tcPr>
            <w:tcW w:w="1170" w:type="dxa"/>
          </w:tcPr>
          <w:p w14:paraId="50B6FC3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3.17</w:t>
            </w:r>
          </w:p>
        </w:tc>
        <w:tc>
          <w:tcPr>
            <w:tcW w:w="1171" w:type="dxa"/>
          </w:tcPr>
          <w:p w14:paraId="16F5E74E"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2.73</w:t>
            </w:r>
          </w:p>
        </w:tc>
        <w:tc>
          <w:tcPr>
            <w:tcW w:w="2187" w:type="dxa"/>
            <w:vAlign w:val="bottom"/>
          </w:tcPr>
          <w:p w14:paraId="72B74658"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2.0–4.8</w:t>
            </w:r>
          </w:p>
        </w:tc>
      </w:tr>
      <w:tr w:rsidR="00EB3E58" w14:paraId="5D3D4083" w14:textId="77777777">
        <w:trPr>
          <w:trHeight w:val="70"/>
        </w:trPr>
        <w:tc>
          <w:tcPr>
            <w:tcW w:w="2796" w:type="dxa"/>
          </w:tcPr>
          <w:p w14:paraId="6D0C409D" w14:textId="77777777" w:rsidR="00EB3E58" w:rsidRDefault="005946F0">
            <w:pPr>
              <w:adjustRightInd w:val="0"/>
              <w:snapToGrid w:val="0"/>
              <w:spacing w:line="360" w:lineRule="auto"/>
              <w:jc w:val="both"/>
              <w:rPr>
                <w:rFonts w:ascii="Book Antiqua" w:hAnsi="Book Antiqua" w:cs="Book Antiqua"/>
                <w:lang w:val="en-GB"/>
              </w:rPr>
            </w:pPr>
            <w:r>
              <w:rPr>
                <w:rFonts w:ascii="Book Antiqua" w:hAnsi="Book Antiqua" w:cs="Book Antiqua"/>
                <w:lang w:val="en-GB"/>
              </w:rPr>
              <w:t>FDP-D-dimer, ng/mL</w:t>
            </w:r>
          </w:p>
        </w:tc>
        <w:tc>
          <w:tcPr>
            <w:tcW w:w="1171" w:type="dxa"/>
            <w:vAlign w:val="bottom"/>
          </w:tcPr>
          <w:p w14:paraId="0A17BEB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1560</w:t>
            </w:r>
          </w:p>
        </w:tc>
        <w:tc>
          <w:tcPr>
            <w:tcW w:w="1003" w:type="dxa"/>
            <w:vAlign w:val="bottom"/>
          </w:tcPr>
          <w:p w14:paraId="4BFB8FA6"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4190</w:t>
            </w:r>
          </w:p>
        </w:tc>
        <w:tc>
          <w:tcPr>
            <w:tcW w:w="1170" w:type="dxa"/>
          </w:tcPr>
          <w:p w14:paraId="0CC2BD1B"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696</w:t>
            </w:r>
          </w:p>
        </w:tc>
        <w:tc>
          <w:tcPr>
            <w:tcW w:w="1171" w:type="dxa"/>
          </w:tcPr>
          <w:p w14:paraId="25DD7A92"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284</w:t>
            </w:r>
          </w:p>
        </w:tc>
        <w:tc>
          <w:tcPr>
            <w:tcW w:w="2187" w:type="dxa"/>
            <w:vAlign w:val="bottom"/>
          </w:tcPr>
          <w:p w14:paraId="3CB3EAA3" w14:textId="77777777" w:rsidR="00EB3E58" w:rsidRDefault="005946F0">
            <w:pPr>
              <w:adjustRightInd w:val="0"/>
              <w:snapToGrid w:val="0"/>
              <w:spacing w:line="360" w:lineRule="auto"/>
              <w:jc w:val="both"/>
              <w:rPr>
                <w:rFonts w:ascii="Book Antiqua" w:hAnsi="Book Antiqua" w:cs="Book Antiqua"/>
                <w:color w:val="000000"/>
                <w:lang w:val="en-GB"/>
              </w:rPr>
            </w:pPr>
            <w:r>
              <w:rPr>
                <w:rFonts w:ascii="Book Antiqua" w:hAnsi="Book Antiqua" w:cs="Book Antiqua"/>
                <w:color w:val="000000"/>
                <w:lang w:val="en-GB"/>
              </w:rPr>
              <w:t>0–222</w:t>
            </w:r>
          </w:p>
        </w:tc>
      </w:tr>
    </w:tbl>
    <w:p w14:paraId="11E0BE81" w14:textId="661F73B9" w:rsidR="00D962EE" w:rsidRDefault="005946F0">
      <w:pPr>
        <w:adjustRightInd w:val="0"/>
        <w:snapToGrid w:val="0"/>
        <w:spacing w:line="360" w:lineRule="auto"/>
        <w:jc w:val="both"/>
        <w:rPr>
          <w:rFonts w:ascii="Book Antiqua" w:eastAsia="微软雅黑" w:hAnsi="Book Antiqua" w:cs="Book Antiqua"/>
          <w:lang w:val="en-GB"/>
        </w:rPr>
      </w:pPr>
      <w:r>
        <w:rPr>
          <w:rFonts w:ascii="Book Antiqua" w:hAnsi="Book Antiqua" w:cs="Book Antiqua"/>
          <w:lang w:val="en-GB" w:eastAsia="zh-CN"/>
        </w:rPr>
        <w:t>ALT: A</w:t>
      </w:r>
      <w:r>
        <w:rPr>
          <w:rFonts w:ascii="Book Antiqua" w:eastAsia="微软雅黑" w:hAnsi="Book Antiqua" w:cs="Book Antiqua"/>
          <w:lang w:val="en-GB"/>
        </w:rPr>
        <w:t>lanine aminotransferase</w:t>
      </w:r>
      <w:r>
        <w:rPr>
          <w:rFonts w:ascii="Book Antiqua" w:hAnsi="Book Antiqua" w:cs="Book Antiqua"/>
          <w:lang w:val="en-GB" w:eastAsia="zh-CN"/>
        </w:rPr>
        <w:t>; APTT: A</w:t>
      </w:r>
      <w:r>
        <w:rPr>
          <w:rFonts w:ascii="Book Antiqua" w:eastAsia="微软雅黑" w:hAnsi="Book Antiqua" w:cs="Book Antiqua"/>
          <w:lang w:val="en-GB"/>
        </w:rPr>
        <w:t>ctivated partial thromboplastin time</w:t>
      </w:r>
      <w:r>
        <w:rPr>
          <w:rFonts w:ascii="Book Antiqua" w:hAnsi="Book Antiqua" w:cs="Book Antiqua"/>
          <w:lang w:val="en-GB" w:eastAsia="zh-CN"/>
        </w:rPr>
        <w:t>; AST: G</w:t>
      </w:r>
      <w:r>
        <w:rPr>
          <w:rFonts w:ascii="Book Antiqua" w:eastAsia="微软雅黑" w:hAnsi="Book Antiqua" w:cs="Book Antiqua"/>
          <w:lang w:val="en-GB"/>
        </w:rPr>
        <w:t>lutamic-pyruvic transaminase; C</w:t>
      </w:r>
      <w:r>
        <w:rPr>
          <w:rFonts w:ascii="Book Antiqua" w:hAnsi="Book Antiqua" w:cs="Book Antiqua"/>
          <w:lang w:val="en-GB" w:eastAsia="zh-CN"/>
        </w:rPr>
        <w:t xml:space="preserve">RP: </w:t>
      </w:r>
      <w:r>
        <w:rPr>
          <w:rFonts w:ascii="Book Antiqua" w:hAnsi="Book Antiqua" w:cs="Book Antiqua"/>
          <w:lang w:val="en-GB"/>
        </w:rPr>
        <w:t>C-reactive protein</w:t>
      </w:r>
      <w:r>
        <w:rPr>
          <w:rFonts w:ascii="Book Antiqua" w:hAnsi="Book Antiqua" w:cs="Book Antiqua"/>
          <w:lang w:val="en-GB" w:eastAsia="zh-CN"/>
        </w:rPr>
        <w:t xml:space="preserve">; FDP: Fibrinogen degradation products; HGB: </w:t>
      </w:r>
      <w:r>
        <w:rPr>
          <w:rFonts w:ascii="Book Antiqua" w:eastAsia="微软雅黑" w:hAnsi="Book Antiqua" w:cs="Book Antiqua"/>
          <w:lang w:val="en-GB"/>
        </w:rPr>
        <w:t xml:space="preserve">Haemoglobin; </w:t>
      </w:r>
      <w:r>
        <w:rPr>
          <w:rFonts w:ascii="Book Antiqua" w:hAnsi="Book Antiqua" w:cs="Book Antiqua"/>
          <w:lang w:val="en-GB" w:eastAsia="zh-CN"/>
        </w:rPr>
        <w:t>PCT: P</w:t>
      </w:r>
      <w:r>
        <w:rPr>
          <w:rFonts w:ascii="Book Antiqua" w:hAnsi="Book Antiqua" w:cs="Book Antiqua"/>
          <w:lang w:val="en-GB"/>
        </w:rPr>
        <w:t>rocalcitonin</w:t>
      </w:r>
      <w:r>
        <w:rPr>
          <w:rFonts w:ascii="Book Antiqua" w:hAnsi="Book Antiqua" w:cs="Book Antiqua"/>
          <w:lang w:val="en-GB" w:eastAsia="zh-CN"/>
        </w:rPr>
        <w:t>; PT: P</w:t>
      </w:r>
      <w:r>
        <w:rPr>
          <w:rFonts w:ascii="Book Antiqua" w:eastAsia="微软雅黑" w:hAnsi="Book Antiqua" w:cs="Book Antiqua"/>
          <w:lang w:val="en-GB"/>
        </w:rPr>
        <w:t>rothrombin time</w:t>
      </w:r>
      <w:r>
        <w:rPr>
          <w:rFonts w:ascii="Book Antiqua" w:hAnsi="Book Antiqua" w:cs="Book Antiqua"/>
          <w:lang w:val="en-GB" w:eastAsia="zh-CN"/>
        </w:rPr>
        <w:t xml:space="preserve">; WBC: </w:t>
      </w:r>
      <w:r>
        <w:rPr>
          <w:rFonts w:ascii="Book Antiqua" w:eastAsia="微软雅黑" w:hAnsi="Book Antiqua" w:cs="Book Antiqua"/>
          <w:lang w:val="en-GB"/>
        </w:rPr>
        <w:t>White blood cell.</w:t>
      </w:r>
    </w:p>
    <w:p w14:paraId="5FA75BEB" w14:textId="77777777" w:rsidR="00D962EE" w:rsidRDefault="00D962EE">
      <w:pPr>
        <w:rPr>
          <w:rFonts w:ascii="Book Antiqua" w:eastAsia="微软雅黑" w:hAnsi="Book Antiqua" w:cs="Book Antiqua"/>
          <w:lang w:val="en-GB"/>
        </w:rPr>
      </w:pPr>
      <w:r>
        <w:rPr>
          <w:rFonts w:ascii="Book Antiqua" w:eastAsia="微软雅黑" w:hAnsi="Book Antiqua" w:cs="Book Antiqua"/>
          <w:lang w:val="en-GB"/>
        </w:rPr>
        <w:br w:type="page"/>
      </w:r>
    </w:p>
    <w:p w14:paraId="72A382D2" w14:textId="77777777" w:rsidR="00D962EE" w:rsidRDefault="00D962EE" w:rsidP="00D962EE">
      <w:pPr>
        <w:jc w:val="center"/>
        <w:rPr>
          <w:rFonts w:ascii="Book Antiqua" w:hAnsi="Book Antiqua"/>
          <w:lang w:eastAsia="zh-CN"/>
        </w:rPr>
      </w:pPr>
    </w:p>
    <w:p w14:paraId="05DEAA54" w14:textId="77777777" w:rsidR="00D962EE" w:rsidRDefault="00D962EE" w:rsidP="00D962EE">
      <w:pPr>
        <w:jc w:val="center"/>
        <w:rPr>
          <w:rFonts w:ascii="Book Antiqua" w:hAnsi="Book Antiqua"/>
          <w:lang w:eastAsia="zh-CN"/>
        </w:rPr>
      </w:pPr>
    </w:p>
    <w:p w14:paraId="4A390B8B" w14:textId="77777777" w:rsidR="00D962EE" w:rsidRDefault="00D962EE" w:rsidP="00D962EE">
      <w:pPr>
        <w:jc w:val="center"/>
        <w:rPr>
          <w:rFonts w:ascii="Book Antiqua" w:hAnsi="Book Antiqua"/>
          <w:lang w:eastAsia="zh-CN"/>
        </w:rPr>
      </w:pPr>
    </w:p>
    <w:p w14:paraId="097CA1BA" w14:textId="77777777" w:rsidR="00D962EE" w:rsidRDefault="00D962EE" w:rsidP="00D962EE">
      <w:pPr>
        <w:jc w:val="center"/>
        <w:rPr>
          <w:rFonts w:ascii="Book Antiqua" w:hAnsi="Book Antiqua"/>
          <w:lang w:eastAsia="zh-CN"/>
        </w:rPr>
      </w:pPr>
    </w:p>
    <w:p w14:paraId="0D5501F7" w14:textId="77777777" w:rsidR="00D962EE" w:rsidRDefault="00D962EE" w:rsidP="00D962EE">
      <w:pPr>
        <w:jc w:val="center"/>
        <w:rPr>
          <w:rFonts w:ascii="Book Antiqua" w:hAnsi="Book Antiqua"/>
          <w:lang w:eastAsia="zh-CN"/>
        </w:rPr>
      </w:pPr>
    </w:p>
    <w:p w14:paraId="11390659" w14:textId="77777777" w:rsidR="00D962EE" w:rsidRDefault="00D962EE" w:rsidP="00D962EE">
      <w:pPr>
        <w:jc w:val="center"/>
        <w:rPr>
          <w:rFonts w:ascii="Book Antiqua" w:hAnsi="Book Antiqua"/>
          <w:lang w:eastAsia="zh-CN"/>
        </w:rPr>
      </w:pPr>
      <w:r>
        <w:rPr>
          <w:rFonts w:ascii="Book Antiqua" w:hAnsi="Book Antiqua"/>
          <w:noProof/>
          <w:lang w:eastAsia="zh-CN"/>
        </w:rPr>
        <w:drawing>
          <wp:inline distT="0" distB="0" distL="0" distR="0" wp14:anchorId="49FBC42E" wp14:editId="5AA200A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B53EDA" w14:textId="77777777" w:rsidR="00D962EE" w:rsidRDefault="00D962EE" w:rsidP="00D962EE">
      <w:pPr>
        <w:jc w:val="center"/>
        <w:rPr>
          <w:rFonts w:ascii="Book Antiqua" w:hAnsi="Book Antiqua"/>
          <w:lang w:eastAsia="zh-CN"/>
        </w:rPr>
      </w:pPr>
    </w:p>
    <w:p w14:paraId="6B3905B6" w14:textId="77777777" w:rsidR="00D962EE" w:rsidRPr="00763D22" w:rsidRDefault="00D962EE" w:rsidP="00D962E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59D1321" w14:textId="77777777" w:rsidR="00D962EE" w:rsidRPr="00763D22" w:rsidRDefault="00D962EE" w:rsidP="00D962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F37DC6" w14:textId="77777777" w:rsidR="00D962EE" w:rsidRPr="00763D22" w:rsidRDefault="00D962EE" w:rsidP="00D962E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92D1C41" w14:textId="77777777" w:rsidR="00D962EE" w:rsidRPr="00763D22" w:rsidRDefault="00D962EE" w:rsidP="00D962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2A19EBC" w14:textId="77777777" w:rsidR="00D962EE" w:rsidRPr="00763D22" w:rsidRDefault="00D962EE" w:rsidP="00D962E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D538A2F" w14:textId="77777777" w:rsidR="00D962EE" w:rsidRPr="00763D22" w:rsidRDefault="00D962EE" w:rsidP="00D962E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8E8F887" w14:textId="77777777" w:rsidR="00D962EE" w:rsidRDefault="00D962EE" w:rsidP="00D962EE">
      <w:pPr>
        <w:jc w:val="center"/>
        <w:rPr>
          <w:rFonts w:ascii="Book Antiqua" w:hAnsi="Book Antiqua"/>
          <w:lang w:eastAsia="zh-CN"/>
        </w:rPr>
      </w:pPr>
    </w:p>
    <w:p w14:paraId="2C932983" w14:textId="77777777" w:rsidR="00D962EE" w:rsidRDefault="00D962EE" w:rsidP="00D962EE">
      <w:pPr>
        <w:jc w:val="center"/>
        <w:rPr>
          <w:rFonts w:ascii="Book Antiqua" w:hAnsi="Book Antiqua"/>
          <w:lang w:eastAsia="zh-CN"/>
        </w:rPr>
      </w:pPr>
    </w:p>
    <w:p w14:paraId="24AC5198" w14:textId="77777777" w:rsidR="00D962EE" w:rsidRDefault="00D962EE" w:rsidP="00D962EE">
      <w:pPr>
        <w:jc w:val="center"/>
        <w:rPr>
          <w:rFonts w:ascii="Book Antiqua" w:hAnsi="Book Antiqua"/>
          <w:lang w:eastAsia="zh-CN"/>
        </w:rPr>
      </w:pPr>
    </w:p>
    <w:p w14:paraId="01C3073E" w14:textId="77777777" w:rsidR="00D962EE" w:rsidRDefault="00D962EE" w:rsidP="00D962EE">
      <w:pPr>
        <w:jc w:val="center"/>
        <w:rPr>
          <w:rFonts w:ascii="Book Antiqua" w:hAnsi="Book Antiqua"/>
          <w:lang w:eastAsia="zh-CN"/>
        </w:rPr>
      </w:pPr>
      <w:r>
        <w:rPr>
          <w:rFonts w:ascii="Book Antiqua" w:hAnsi="Book Antiqua"/>
          <w:noProof/>
          <w:lang w:eastAsia="zh-CN"/>
        </w:rPr>
        <w:drawing>
          <wp:inline distT="0" distB="0" distL="0" distR="0" wp14:anchorId="13FF4496" wp14:editId="42F6DA0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F992E4" w14:textId="77777777" w:rsidR="00D962EE" w:rsidRDefault="00D962EE" w:rsidP="00D962EE">
      <w:pPr>
        <w:jc w:val="center"/>
        <w:rPr>
          <w:rFonts w:ascii="Book Antiqua" w:hAnsi="Book Antiqua"/>
          <w:lang w:eastAsia="zh-CN"/>
        </w:rPr>
      </w:pPr>
    </w:p>
    <w:p w14:paraId="4E85059A" w14:textId="77777777" w:rsidR="00D962EE" w:rsidRDefault="00D962EE" w:rsidP="00D962EE">
      <w:pPr>
        <w:jc w:val="center"/>
        <w:rPr>
          <w:rFonts w:ascii="Book Antiqua" w:hAnsi="Book Antiqua"/>
          <w:lang w:eastAsia="zh-CN"/>
        </w:rPr>
      </w:pPr>
    </w:p>
    <w:p w14:paraId="6034CE71" w14:textId="77777777" w:rsidR="00D962EE" w:rsidRDefault="00D962EE" w:rsidP="00D962EE">
      <w:pPr>
        <w:jc w:val="center"/>
        <w:rPr>
          <w:rFonts w:ascii="Book Antiqua" w:hAnsi="Book Antiqua"/>
          <w:lang w:eastAsia="zh-CN"/>
        </w:rPr>
      </w:pPr>
    </w:p>
    <w:p w14:paraId="64E0BBA9" w14:textId="77777777" w:rsidR="00D962EE" w:rsidRDefault="00D962EE" w:rsidP="00D962EE">
      <w:pPr>
        <w:jc w:val="center"/>
        <w:rPr>
          <w:rFonts w:ascii="Book Antiqua" w:hAnsi="Book Antiqua"/>
          <w:lang w:eastAsia="zh-CN"/>
        </w:rPr>
      </w:pPr>
    </w:p>
    <w:p w14:paraId="1C8C30D7" w14:textId="77777777" w:rsidR="00D962EE" w:rsidRDefault="00D962EE" w:rsidP="00D962EE">
      <w:pPr>
        <w:jc w:val="center"/>
        <w:rPr>
          <w:rFonts w:ascii="Book Antiqua" w:hAnsi="Book Antiqua"/>
          <w:lang w:eastAsia="zh-CN"/>
        </w:rPr>
      </w:pPr>
    </w:p>
    <w:p w14:paraId="493A77E7" w14:textId="77777777" w:rsidR="00D962EE" w:rsidRDefault="00D962EE" w:rsidP="00D962EE">
      <w:pPr>
        <w:jc w:val="center"/>
        <w:rPr>
          <w:rFonts w:ascii="Book Antiqua" w:hAnsi="Book Antiqua"/>
          <w:lang w:eastAsia="zh-CN"/>
        </w:rPr>
      </w:pPr>
    </w:p>
    <w:p w14:paraId="6316C3EA" w14:textId="77777777" w:rsidR="00D962EE" w:rsidRDefault="00D962EE" w:rsidP="00D962EE">
      <w:pPr>
        <w:jc w:val="center"/>
        <w:rPr>
          <w:rFonts w:ascii="Book Antiqua" w:hAnsi="Book Antiqua"/>
          <w:lang w:eastAsia="zh-CN"/>
        </w:rPr>
      </w:pPr>
    </w:p>
    <w:p w14:paraId="7B66D088" w14:textId="77777777" w:rsidR="00D962EE" w:rsidRDefault="00D962EE" w:rsidP="00D962EE">
      <w:pPr>
        <w:jc w:val="center"/>
        <w:rPr>
          <w:rFonts w:ascii="Book Antiqua" w:hAnsi="Book Antiqua"/>
          <w:lang w:eastAsia="zh-CN"/>
        </w:rPr>
      </w:pPr>
    </w:p>
    <w:p w14:paraId="325ADA28" w14:textId="77777777" w:rsidR="00D962EE" w:rsidRDefault="00D962EE" w:rsidP="00D962EE">
      <w:pPr>
        <w:jc w:val="center"/>
        <w:rPr>
          <w:rFonts w:ascii="Book Antiqua" w:hAnsi="Book Antiqua"/>
          <w:lang w:eastAsia="zh-CN"/>
        </w:rPr>
      </w:pPr>
    </w:p>
    <w:p w14:paraId="627007D2" w14:textId="77777777" w:rsidR="00D962EE" w:rsidRPr="00763D22" w:rsidRDefault="00D962EE" w:rsidP="00D962EE">
      <w:pPr>
        <w:jc w:val="right"/>
        <w:rPr>
          <w:rFonts w:ascii="Book Antiqua" w:hAnsi="Book Antiqua"/>
          <w:color w:val="000000" w:themeColor="text1"/>
          <w:lang w:eastAsia="zh-CN"/>
        </w:rPr>
      </w:pPr>
    </w:p>
    <w:p w14:paraId="7EE8F494" w14:textId="77777777" w:rsidR="00D962EE" w:rsidRPr="00763D22" w:rsidRDefault="00D962EE" w:rsidP="00D962E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53B7C61" w14:textId="77777777" w:rsidR="00EB3E58" w:rsidRPr="00D962EE" w:rsidRDefault="00EB3E58">
      <w:pPr>
        <w:adjustRightInd w:val="0"/>
        <w:snapToGrid w:val="0"/>
        <w:spacing w:line="360" w:lineRule="auto"/>
        <w:jc w:val="both"/>
        <w:rPr>
          <w:rFonts w:ascii="Book Antiqua" w:eastAsia="微软雅黑" w:hAnsi="Book Antiqua" w:cs="Book Antiqua"/>
          <w:lang w:eastAsia="zh-CN"/>
        </w:rPr>
      </w:pPr>
    </w:p>
    <w:sectPr w:rsidR="00EB3E58" w:rsidRPr="00D962E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29A4F" w14:textId="77777777" w:rsidR="00CD615B" w:rsidRDefault="00CD615B">
      <w:r>
        <w:separator/>
      </w:r>
    </w:p>
  </w:endnote>
  <w:endnote w:type="continuationSeparator" w:id="0">
    <w:p w14:paraId="5DB32910" w14:textId="77777777" w:rsidR="00CD615B" w:rsidRDefault="00CD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01046694"/>
    </w:sdtPr>
    <w:sdtEndPr/>
    <w:sdtContent>
      <w:p w14:paraId="226215A6" w14:textId="77777777" w:rsidR="00EB3E58" w:rsidRDefault="005946F0">
        <w:pPr>
          <w:pStyle w:val="a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CD615B">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 xml:space="preserve"> / 16</w:t>
        </w:r>
      </w:p>
    </w:sdtContent>
  </w:sdt>
  <w:p w14:paraId="27E544BE" w14:textId="77777777" w:rsidR="00EB3E58" w:rsidRDefault="00EB3E5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EC3FC" w14:textId="77777777" w:rsidR="00CD615B" w:rsidRDefault="00CD615B">
      <w:r>
        <w:separator/>
      </w:r>
    </w:p>
  </w:footnote>
  <w:footnote w:type="continuationSeparator" w:id="0">
    <w:p w14:paraId="31E01F8E" w14:textId="77777777" w:rsidR="00CD615B" w:rsidRDefault="00CD61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1675"/>
    <w:rsid w:val="00125BB7"/>
    <w:rsid w:val="00187901"/>
    <w:rsid w:val="002D45B7"/>
    <w:rsid w:val="002F3FC0"/>
    <w:rsid w:val="00301C51"/>
    <w:rsid w:val="00305DFF"/>
    <w:rsid w:val="00326ACF"/>
    <w:rsid w:val="003A062C"/>
    <w:rsid w:val="003C2528"/>
    <w:rsid w:val="004607BA"/>
    <w:rsid w:val="004D2331"/>
    <w:rsid w:val="004E15DC"/>
    <w:rsid w:val="00504F4E"/>
    <w:rsid w:val="00520FAA"/>
    <w:rsid w:val="00525BBA"/>
    <w:rsid w:val="00542FD0"/>
    <w:rsid w:val="005946F0"/>
    <w:rsid w:val="005D40EA"/>
    <w:rsid w:val="005D6F9E"/>
    <w:rsid w:val="005F316A"/>
    <w:rsid w:val="0063298A"/>
    <w:rsid w:val="00640F6E"/>
    <w:rsid w:val="006E3D58"/>
    <w:rsid w:val="00751B9B"/>
    <w:rsid w:val="00772AEA"/>
    <w:rsid w:val="0079078E"/>
    <w:rsid w:val="0086343E"/>
    <w:rsid w:val="009554BA"/>
    <w:rsid w:val="00983E27"/>
    <w:rsid w:val="0099610D"/>
    <w:rsid w:val="00A06D3B"/>
    <w:rsid w:val="00A375D5"/>
    <w:rsid w:val="00A64510"/>
    <w:rsid w:val="00A77B3E"/>
    <w:rsid w:val="00AA76A1"/>
    <w:rsid w:val="00AB1717"/>
    <w:rsid w:val="00B05F1B"/>
    <w:rsid w:val="00B15364"/>
    <w:rsid w:val="00B239FA"/>
    <w:rsid w:val="00C13EA2"/>
    <w:rsid w:val="00C53645"/>
    <w:rsid w:val="00C6442A"/>
    <w:rsid w:val="00CA2A55"/>
    <w:rsid w:val="00CD615B"/>
    <w:rsid w:val="00D27426"/>
    <w:rsid w:val="00D93731"/>
    <w:rsid w:val="00D962EE"/>
    <w:rsid w:val="00DD6655"/>
    <w:rsid w:val="00E052D8"/>
    <w:rsid w:val="00E2268C"/>
    <w:rsid w:val="00E53609"/>
    <w:rsid w:val="00EB3E58"/>
    <w:rsid w:val="00F26CDE"/>
    <w:rsid w:val="00F547E4"/>
    <w:rsid w:val="00F63E59"/>
    <w:rsid w:val="00F97323"/>
    <w:rsid w:val="01EE5D9E"/>
    <w:rsid w:val="04E40704"/>
    <w:rsid w:val="082C62C2"/>
    <w:rsid w:val="0B7738E2"/>
    <w:rsid w:val="0F1E46EC"/>
    <w:rsid w:val="1051086C"/>
    <w:rsid w:val="12A87C29"/>
    <w:rsid w:val="14611F66"/>
    <w:rsid w:val="19A33639"/>
    <w:rsid w:val="1CE06E38"/>
    <w:rsid w:val="1F1C599B"/>
    <w:rsid w:val="1F9F4A28"/>
    <w:rsid w:val="21524877"/>
    <w:rsid w:val="21CF2FA0"/>
    <w:rsid w:val="225339C4"/>
    <w:rsid w:val="22AA7859"/>
    <w:rsid w:val="268D040F"/>
    <w:rsid w:val="27CC684D"/>
    <w:rsid w:val="2B347BEC"/>
    <w:rsid w:val="2D6B71AD"/>
    <w:rsid w:val="2DD67778"/>
    <w:rsid w:val="358A7B50"/>
    <w:rsid w:val="36326D7C"/>
    <w:rsid w:val="36C61223"/>
    <w:rsid w:val="38EC7FA9"/>
    <w:rsid w:val="3B45233B"/>
    <w:rsid w:val="3DAD7318"/>
    <w:rsid w:val="3E5E5339"/>
    <w:rsid w:val="40464E02"/>
    <w:rsid w:val="406B2352"/>
    <w:rsid w:val="42E94E3A"/>
    <w:rsid w:val="459174C6"/>
    <w:rsid w:val="466C2FA3"/>
    <w:rsid w:val="4D9A7DC2"/>
    <w:rsid w:val="5521448E"/>
    <w:rsid w:val="57B14EF9"/>
    <w:rsid w:val="583F226C"/>
    <w:rsid w:val="5B3479DE"/>
    <w:rsid w:val="5BA27ACF"/>
    <w:rsid w:val="5C0E151D"/>
    <w:rsid w:val="617E5401"/>
    <w:rsid w:val="62324A58"/>
    <w:rsid w:val="626B7574"/>
    <w:rsid w:val="646C527F"/>
    <w:rsid w:val="65CD1862"/>
    <w:rsid w:val="68A31D26"/>
    <w:rsid w:val="69E57DFF"/>
    <w:rsid w:val="6A053CEC"/>
    <w:rsid w:val="6EDB6D82"/>
    <w:rsid w:val="746C726C"/>
    <w:rsid w:val="74E21D49"/>
    <w:rsid w:val="762D0A51"/>
    <w:rsid w:val="764136B4"/>
    <w:rsid w:val="7719038B"/>
    <w:rsid w:val="77B23C1F"/>
    <w:rsid w:val="799150BB"/>
    <w:rsid w:val="7A271CE1"/>
    <w:rsid w:val="7E0744A2"/>
    <w:rsid w:val="7E4D2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84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iPriority="99"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adjustRightInd w:val="0"/>
      <w:snapToGrid w:val="0"/>
      <w:spacing w:after="200"/>
      <w:jc w:val="center"/>
    </w:pPr>
    <w:rPr>
      <w:rFonts w:asciiTheme="minorHAnsi" w:eastAsiaTheme="minorHAnsi" w:hAnsiTheme="minorHAnsi" w:cstheme="minorBidi"/>
      <w:sz w:val="18"/>
      <w:szCs w:val="18"/>
      <w:lang w:val="en-ZA"/>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16"/>
      <w:szCs w:val="16"/>
    </w:rPr>
  </w:style>
  <w:style w:type="character" w:customStyle="1" w:styleId="MsoCommentReference0">
    <w:name w:val="MsoCommentReference"/>
    <w:basedOn w:val="a0"/>
  </w:style>
  <w:style w:type="character" w:customStyle="1" w:styleId="Char1">
    <w:name w:val="页眉 Char"/>
    <w:basedOn w:val="a0"/>
    <w:link w:val="a5"/>
    <w:uiPriority w:val="99"/>
    <w:qFormat/>
    <w:rPr>
      <w:rFonts w:asciiTheme="minorHAnsi" w:eastAsiaTheme="minorHAnsi" w:hAnsiTheme="minorHAnsi" w:cstheme="minorBidi"/>
      <w:sz w:val="18"/>
      <w:szCs w:val="18"/>
      <w:lang w:val="en-ZA"/>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style>
  <w:style w:type="character" w:customStyle="1" w:styleId="Char2">
    <w:name w:val="批注主题 Char"/>
    <w:basedOn w:val="Char"/>
    <w:link w:val="a6"/>
    <w:semiHidden/>
    <w:qFormat/>
    <w:rPr>
      <w:b/>
      <w:bCs/>
    </w:rPr>
  </w:style>
  <w:style w:type="paragraph" w:styleId="a8">
    <w:name w:val="Balloon Text"/>
    <w:basedOn w:val="a"/>
    <w:link w:val="Char3"/>
    <w:semiHidden/>
    <w:unhideWhenUsed/>
    <w:rsid w:val="00F97323"/>
    <w:rPr>
      <w:sz w:val="18"/>
      <w:szCs w:val="18"/>
    </w:rPr>
  </w:style>
  <w:style w:type="character" w:customStyle="1" w:styleId="Char3">
    <w:name w:val="批注框文本 Char"/>
    <w:basedOn w:val="a0"/>
    <w:link w:val="a8"/>
    <w:semiHidden/>
    <w:rsid w:val="00F9732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iPriority="99"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adjustRightInd w:val="0"/>
      <w:snapToGrid w:val="0"/>
      <w:spacing w:after="200"/>
      <w:jc w:val="center"/>
    </w:pPr>
    <w:rPr>
      <w:rFonts w:asciiTheme="minorHAnsi" w:eastAsiaTheme="minorHAnsi" w:hAnsiTheme="minorHAnsi" w:cstheme="minorBidi"/>
      <w:sz w:val="18"/>
      <w:szCs w:val="18"/>
      <w:lang w:val="en-ZA"/>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16"/>
      <w:szCs w:val="16"/>
    </w:rPr>
  </w:style>
  <w:style w:type="character" w:customStyle="1" w:styleId="MsoCommentReference0">
    <w:name w:val="MsoCommentReference"/>
    <w:basedOn w:val="a0"/>
  </w:style>
  <w:style w:type="character" w:customStyle="1" w:styleId="Char1">
    <w:name w:val="页眉 Char"/>
    <w:basedOn w:val="a0"/>
    <w:link w:val="a5"/>
    <w:uiPriority w:val="99"/>
    <w:qFormat/>
    <w:rPr>
      <w:rFonts w:asciiTheme="minorHAnsi" w:eastAsiaTheme="minorHAnsi" w:hAnsiTheme="minorHAnsi" w:cstheme="minorBidi"/>
      <w:sz w:val="18"/>
      <w:szCs w:val="18"/>
      <w:lang w:val="en-ZA"/>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style>
  <w:style w:type="character" w:customStyle="1" w:styleId="Char2">
    <w:name w:val="批注主题 Char"/>
    <w:basedOn w:val="Char"/>
    <w:link w:val="a6"/>
    <w:semiHidden/>
    <w:qFormat/>
    <w:rPr>
      <w:b/>
      <w:bCs/>
    </w:rPr>
  </w:style>
  <w:style w:type="paragraph" w:styleId="a8">
    <w:name w:val="Balloon Text"/>
    <w:basedOn w:val="a"/>
    <w:link w:val="Char3"/>
    <w:semiHidden/>
    <w:unhideWhenUsed/>
    <w:rsid w:val="00F97323"/>
    <w:rPr>
      <w:sz w:val="18"/>
      <w:szCs w:val="18"/>
    </w:rPr>
  </w:style>
  <w:style w:type="character" w:customStyle="1" w:styleId="Char3">
    <w:name w:val="批注框文本 Char"/>
    <w:basedOn w:val="a0"/>
    <w:link w:val="a8"/>
    <w:semiHidden/>
    <w:rsid w:val="00F973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2071</Words>
  <Characters>11810</Characters>
  <Application>Microsoft Office Word</Application>
  <DocSecurity>0</DocSecurity>
  <Lines>98</Lines>
  <Paragraphs>27</Paragraphs>
  <ScaleCrop>false</ScaleCrop>
  <Company/>
  <LinksUpToDate>false</LinksUpToDate>
  <CharactersWithSpaces>13854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liujihong2008@qq.con</cp:lastModifiedBy>
  <cp:revision>15</cp:revision>
  <dcterms:created xsi:type="dcterms:W3CDTF">2021-03-17T23:03:00Z</dcterms:created>
  <dcterms:modified xsi:type="dcterms:W3CDTF">2021-05-07T07:05:00Z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