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C769DB"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 xml:space="preserve">Name of Journal: </w:t>
      </w:r>
      <w:r>
        <w:rPr>
          <w:rFonts w:ascii="Book Antiqua" w:eastAsia="Book Antiqua" w:hAnsi="Book Antiqua" w:cs="Book Antiqua"/>
          <w:i/>
          <w:color w:val="000000"/>
          <w:lang w:val="en-GB"/>
        </w:rPr>
        <w:t>World Journal of Clinical Cases</w:t>
      </w:r>
    </w:p>
    <w:p w14:paraId="4E34A3F7"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 xml:space="preserve">Manuscript NO: </w:t>
      </w:r>
      <w:r>
        <w:rPr>
          <w:rFonts w:ascii="Book Antiqua" w:eastAsia="Book Antiqua" w:hAnsi="Book Antiqua" w:cs="Book Antiqua"/>
          <w:color w:val="000000"/>
          <w:lang w:val="en-GB"/>
        </w:rPr>
        <w:t>60324</w:t>
      </w:r>
    </w:p>
    <w:p w14:paraId="5483176A"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 xml:space="preserve">Manuscript Type: </w:t>
      </w:r>
      <w:r>
        <w:rPr>
          <w:rFonts w:ascii="Book Antiqua" w:eastAsia="Book Antiqua" w:hAnsi="Book Antiqua" w:cs="Book Antiqua"/>
          <w:color w:val="000000"/>
          <w:lang w:val="en-GB"/>
        </w:rPr>
        <w:t>CASE REPORT</w:t>
      </w:r>
    </w:p>
    <w:p w14:paraId="442631CC" w14:textId="77777777" w:rsidR="00EB3E58" w:rsidRDefault="00EB3E58">
      <w:pPr>
        <w:adjustRightInd w:val="0"/>
        <w:snapToGrid w:val="0"/>
        <w:spacing w:line="360" w:lineRule="auto"/>
        <w:jc w:val="both"/>
        <w:rPr>
          <w:rFonts w:ascii="Book Antiqua" w:hAnsi="Book Antiqua"/>
          <w:lang w:val="en-GB"/>
        </w:rPr>
      </w:pPr>
    </w:p>
    <w:p w14:paraId="0851355B" w14:textId="77777777" w:rsidR="00EB3E58" w:rsidRDefault="005946F0">
      <w:pPr>
        <w:adjustRightInd w:val="0"/>
        <w:snapToGrid w:val="0"/>
        <w:spacing w:line="360" w:lineRule="auto"/>
        <w:jc w:val="both"/>
        <w:rPr>
          <w:rFonts w:ascii="Book Antiqua" w:hAnsi="Book Antiqua"/>
          <w:lang w:val="en-GB"/>
        </w:rPr>
      </w:pPr>
      <w:bookmarkStart w:id="0" w:name="OLE_LINK7"/>
      <w:r>
        <w:rPr>
          <w:rFonts w:ascii="Book Antiqua" w:eastAsia="Book Antiqua" w:hAnsi="Book Antiqua" w:cs="Book Antiqua"/>
          <w:b/>
          <w:bCs/>
          <w:color w:val="000000"/>
          <w:lang w:val="en-GB"/>
        </w:rPr>
        <w:t xml:space="preserve">Brucellosis of unknown origin with </w:t>
      </w:r>
      <w:proofErr w:type="spellStart"/>
      <w:r>
        <w:rPr>
          <w:rFonts w:ascii="Book Antiqua" w:eastAsia="Book Antiqua" w:hAnsi="Book Antiqua" w:cs="Book Antiqua"/>
          <w:b/>
          <w:bCs/>
          <w:color w:val="000000"/>
          <w:lang w:val="en-GB"/>
        </w:rPr>
        <w:t>haemophagocytic</w:t>
      </w:r>
      <w:proofErr w:type="spellEnd"/>
      <w:r>
        <w:rPr>
          <w:rFonts w:ascii="Book Antiqua" w:eastAsia="Book Antiqua" w:hAnsi="Book Antiqua" w:cs="Book Antiqua"/>
          <w:b/>
          <w:bCs/>
          <w:color w:val="000000"/>
          <w:lang w:val="en-GB"/>
        </w:rPr>
        <w:t xml:space="preserve"> syndrome: A case report</w:t>
      </w:r>
    </w:p>
    <w:bookmarkEnd w:id="0"/>
    <w:p w14:paraId="2E789A29" w14:textId="77777777" w:rsidR="00EB3E58" w:rsidRDefault="00EB3E58">
      <w:pPr>
        <w:adjustRightInd w:val="0"/>
        <w:snapToGrid w:val="0"/>
        <w:spacing w:line="360" w:lineRule="auto"/>
        <w:jc w:val="both"/>
        <w:rPr>
          <w:rFonts w:ascii="Book Antiqua" w:hAnsi="Book Antiqua"/>
          <w:lang w:val="en-GB"/>
        </w:rPr>
      </w:pPr>
    </w:p>
    <w:p w14:paraId="63BECFEA" w14:textId="77777777" w:rsidR="00EB3E58" w:rsidRDefault="005946F0">
      <w:pPr>
        <w:adjustRightInd w:val="0"/>
        <w:snapToGrid w:val="0"/>
        <w:spacing w:line="360" w:lineRule="auto"/>
        <w:jc w:val="both"/>
        <w:rPr>
          <w:rFonts w:ascii="Book Antiqua" w:hAnsi="Book Antiqua"/>
          <w:lang w:val="en-GB"/>
        </w:rPr>
      </w:pPr>
      <w:bookmarkStart w:id="1" w:name="OLE_LINK1"/>
      <w:bookmarkStart w:id="2" w:name="OLE_LINK2"/>
      <w:r>
        <w:rPr>
          <w:rFonts w:ascii="Book Antiqua" w:eastAsia="Book Antiqua" w:hAnsi="Book Antiqua" w:cs="Book Antiqua"/>
          <w:color w:val="000000"/>
          <w:lang w:val="en-GB"/>
        </w:rPr>
        <w:t xml:space="preserve">Tian LH </w:t>
      </w:r>
      <w:r>
        <w:rPr>
          <w:rFonts w:ascii="Book Antiqua" w:eastAsia="Book Antiqua" w:hAnsi="Book Antiqua" w:cs="Book Antiqua"/>
          <w:i/>
          <w:iCs/>
          <w:color w:val="000000"/>
          <w:lang w:val="en-GB"/>
        </w:rPr>
        <w:t xml:space="preserve">et al. </w:t>
      </w:r>
      <w:bookmarkStart w:id="3" w:name="OLE_LINK4"/>
      <w:bookmarkStart w:id="4" w:name="OLE_LINK3"/>
      <w:bookmarkStart w:id="5" w:name="OLE_LINK9"/>
      <w:bookmarkStart w:id="6" w:name="OLE_LINK8"/>
      <w:r>
        <w:rPr>
          <w:rFonts w:ascii="Book Antiqua" w:eastAsia="Book Antiqua" w:hAnsi="Book Antiqua" w:cs="Book Antiqua"/>
          <w:color w:val="000000"/>
          <w:lang w:val="en-GB"/>
        </w:rPr>
        <w:t xml:space="preserve">Brucellosis with </w:t>
      </w:r>
      <w:proofErr w:type="spellStart"/>
      <w:r>
        <w:rPr>
          <w:rFonts w:ascii="Book Antiqua" w:eastAsia="Book Antiqua" w:hAnsi="Book Antiqua" w:cs="Book Antiqua"/>
          <w:color w:val="000000"/>
          <w:lang w:val="en-GB"/>
        </w:rPr>
        <w:t>haemophagocytic</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lymphohistiocytosis</w:t>
      </w:r>
      <w:bookmarkEnd w:id="3"/>
      <w:bookmarkEnd w:id="4"/>
      <w:proofErr w:type="spellEnd"/>
    </w:p>
    <w:bookmarkEnd w:id="1"/>
    <w:bookmarkEnd w:id="2"/>
    <w:bookmarkEnd w:id="5"/>
    <w:bookmarkEnd w:id="6"/>
    <w:p w14:paraId="2A3B269D" w14:textId="77777777" w:rsidR="00EB3E58" w:rsidRDefault="00EB3E58">
      <w:pPr>
        <w:adjustRightInd w:val="0"/>
        <w:snapToGrid w:val="0"/>
        <w:spacing w:line="360" w:lineRule="auto"/>
        <w:jc w:val="both"/>
        <w:rPr>
          <w:rFonts w:ascii="Book Antiqua" w:hAnsi="Book Antiqua"/>
          <w:lang w:val="en-GB"/>
        </w:rPr>
      </w:pPr>
    </w:p>
    <w:p w14:paraId="3A453060"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Li-Hong Tian, </w:t>
      </w:r>
      <w:proofErr w:type="spellStart"/>
      <w:r>
        <w:rPr>
          <w:rFonts w:ascii="Book Antiqua" w:eastAsia="Book Antiqua" w:hAnsi="Book Antiqua" w:cs="Book Antiqua"/>
          <w:color w:val="000000"/>
          <w:lang w:val="en-GB"/>
        </w:rPr>
        <w:t>Zhi</w:t>
      </w:r>
      <w:proofErr w:type="spellEnd"/>
      <w:r>
        <w:rPr>
          <w:rFonts w:ascii="Book Antiqua" w:eastAsia="Book Antiqua" w:hAnsi="Book Antiqua" w:cs="Book Antiqua"/>
          <w:color w:val="000000"/>
          <w:lang w:val="en-GB"/>
        </w:rPr>
        <w:t>-Gao Dong, Xu-Yan Chen, Lian-Jiang Huang, Ping-Ping Xiao</w:t>
      </w:r>
    </w:p>
    <w:p w14:paraId="0B5D9677" w14:textId="77777777" w:rsidR="00EB3E58" w:rsidRDefault="00EB3E58">
      <w:pPr>
        <w:adjustRightInd w:val="0"/>
        <w:snapToGrid w:val="0"/>
        <w:spacing w:line="360" w:lineRule="auto"/>
        <w:jc w:val="both"/>
        <w:rPr>
          <w:rFonts w:ascii="Book Antiqua" w:hAnsi="Book Antiqua"/>
          <w:lang w:val="en-GB"/>
        </w:rPr>
      </w:pPr>
    </w:p>
    <w:p w14:paraId="20620090"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Li-Hong Tian, </w:t>
      </w:r>
      <w:proofErr w:type="spellStart"/>
      <w:r>
        <w:rPr>
          <w:rFonts w:ascii="Book Antiqua" w:eastAsia="Book Antiqua" w:hAnsi="Book Antiqua" w:cs="Book Antiqua"/>
          <w:b/>
          <w:bCs/>
          <w:color w:val="000000"/>
          <w:lang w:val="en-GB"/>
        </w:rPr>
        <w:t>Zhi</w:t>
      </w:r>
      <w:proofErr w:type="spellEnd"/>
      <w:r>
        <w:rPr>
          <w:rFonts w:ascii="Book Antiqua" w:eastAsia="Book Antiqua" w:hAnsi="Book Antiqua" w:cs="Book Antiqua"/>
          <w:b/>
          <w:bCs/>
          <w:color w:val="000000"/>
          <w:lang w:val="en-GB"/>
        </w:rPr>
        <w:t xml:space="preserve">-Gao Dong, Xu-Yan Chen, Ping-Ping Xiao, </w:t>
      </w:r>
      <w:r>
        <w:rPr>
          <w:rFonts w:ascii="Book Antiqua" w:eastAsia="Book Antiqua" w:hAnsi="Book Antiqua" w:cs="Book Antiqua"/>
          <w:color w:val="000000"/>
          <w:lang w:val="en-GB"/>
        </w:rPr>
        <w:t xml:space="preserve">Department of </w:t>
      </w:r>
      <w:proofErr w:type="spellStart"/>
      <w:r>
        <w:rPr>
          <w:rFonts w:ascii="Book Antiqua" w:eastAsia="Book Antiqua" w:hAnsi="Book Antiqua" w:cs="Book Antiqua"/>
          <w:color w:val="000000"/>
          <w:lang w:val="en-GB"/>
        </w:rPr>
        <w:t>Hematology</w:t>
      </w:r>
      <w:proofErr w:type="spellEnd"/>
      <w:r>
        <w:rPr>
          <w:rFonts w:ascii="Book Antiqua" w:eastAsia="Book Antiqua" w:hAnsi="Book Antiqua" w:cs="Book Antiqua"/>
          <w:color w:val="000000"/>
          <w:lang w:val="en-GB"/>
        </w:rPr>
        <w:t xml:space="preserve"> and Rheumatology, The Second Affiliated Hospital of Xiamen Medical College, Xi</w:t>
      </w:r>
      <w:r>
        <w:rPr>
          <w:rFonts w:ascii="Book Antiqua" w:eastAsia="Book Antiqua" w:hAnsi="Book Antiqua" w:cs="Book Antiqua"/>
          <w:color w:val="000000"/>
          <w:lang w:val="en-GB"/>
        </w:rPr>
        <w:t>amen 361021, Fujian Province, China</w:t>
      </w:r>
    </w:p>
    <w:p w14:paraId="6ABC6A07" w14:textId="77777777" w:rsidR="00EB3E58" w:rsidRDefault="00EB3E58">
      <w:pPr>
        <w:adjustRightInd w:val="0"/>
        <w:snapToGrid w:val="0"/>
        <w:spacing w:line="360" w:lineRule="auto"/>
        <w:jc w:val="both"/>
        <w:rPr>
          <w:rFonts w:ascii="Book Antiqua" w:hAnsi="Book Antiqua"/>
          <w:lang w:val="en-GB"/>
        </w:rPr>
      </w:pPr>
    </w:p>
    <w:p w14:paraId="593C86F4"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Lian-Jiang Huang, </w:t>
      </w:r>
      <w:r>
        <w:rPr>
          <w:rFonts w:ascii="Book Antiqua" w:eastAsia="Book Antiqua" w:hAnsi="Book Antiqua" w:cs="Book Antiqua"/>
          <w:color w:val="000000"/>
          <w:lang w:val="en-GB"/>
        </w:rPr>
        <w:t>Department of Laboratory, The Second Affiliated Hospital of Xiamen Medical College, Xiamen 361021, Fujian Province, China</w:t>
      </w:r>
    </w:p>
    <w:p w14:paraId="02121483" w14:textId="77777777" w:rsidR="00EB3E58" w:rsidRDefault="00EB3E58">
      <w:pPr>
        <w:adjustRightInd w:val="0"/>
        <w:snapToGrid w:val="0"/>
        <w:spacing w:line="360" w:lineRule="auto"/>
        <w:jc w:val="both"/>
        <w:rPr>
          <w:rFonts w:ascii="Book Antiqua" w:hAnsi="Book Antiqua"/>
          <w:lang w:val="en-GB"/>
        </w:rPr>
      </w:pPr>
    </w:p>
    <w:p w14:paraId="0AA99F37"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Author contributions: </w:t>
      </w:r>
      <w:bookmarkStart w:id="7" w:name="OLE_LINK10"/>
      <w:r>
        <w:rPr>
          <w:rFonts w:ascii="Book Antiqua" w:eastAsia="Book Antiqua" w:hAnsi="Book Antiqua" w:cs="Book Antiqua"/>
          <w:color w:val="000000"/>
          <w:lang w:val="en-GB"/>
        </w:rPr>
        <w:t>Tian LH and Xiao PP contributed equally; Dong ZG and Che</w:t>
      </w:r>
      <w:r>
        <w:rPr>
          <w:rFonts w:ascii="Book Antiqua" w:eastAsia="Book Antiqua" w:hAnsi="Book Antiqua" w:cs="Book Antiqua"/>
          <w:color w:val="000000"/>
          <w:lang w:val="en-GB"/>
        </w:rPr>
        <w:t>n XY managed the patient in the hospital; Tian LH collected the patient’s clinical data; Huang LJ collected the laboratory data; Xiao PP drafted and revised the manuscript; All authors approved the final manuscript.</w:t>
      </w:r>
    </w:p>
    <w:bookmarkEnd w:id="7"/>
    <w:p w14:paraId="284DA83F" w14:textId="77777777" w:rsidR="00EB3E58" w:rsidRDefault="00EB3E58">
      <w:pPr>
        <w:adjustRightInd w:val="0"/>
        <w:snapToGrid w:val="0"/>
        <w:spacing w:line="360" w:lineRule="auto"/>
        <w:jc w:val="both"/>
        <w:rPr>
          <w:rFonts w:ascii="Book Antiqua" w:hAnsi="Book Antiqua"/>
          <w:lang w:val="en-GB"/>
        </w:rPr>
      </w:pPr>
    </w:p>
    <w:p w14:paraId="463C4A40"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Supported by </w:t>
      </w:r>
      <w:bookmarkStart w:id="8" w:name="OLE_LINK11"/>
      <w:bookmarkStart w:id="9" w:name="OLE_LINK12"/>
      <w:r>
        <w:rPr>
          <w:rFonts w:ascii="Book Antiqua" w:eastAsia="Book Antiqua" w:hAnsi="Book Antiqua" w:cs="Book Antiqua"/>
          <w:color w:val="000000"/>
          <w:lang w:val="en-GB"/>
        </w:rPr>
        <w:t xml:space="preserve">Xiamen Medical and Health </w:t>
      </w:r>
      <w:r>
        <w:rPr>
          <w:rFonts w:ascii="Book Antiqua" w:eastAsia="Book Antiqua" w:hAnsi="Book Antiqua" w:cs="Book Antiqua"/>
          <w:color w:val="000000"/>
          <w:lang w:val="en-GB"/>
        </w:rPr>
        <w:t>Guidance Project, No. 3502Z20199137.</w:t>
      </w:r>
      <w:bookmarkEnd w:id="8"/>
      <w:bookmarkEnd w:id="9"/>
    </w:p>
    <w:p w14:paraId="11F94DE2" w14:textId="77777777" w:rsidR="00EB3E58" w:rsidRDefault="00EB3E58">
      <w:pPr>
        <w:adjustRightInd w:val="0"/>
        <w:snapToGrid w:val="0"/>
        <w:spacing w:line="360" w:lineRule="auto"/>
        <w:jc w:val="both"/>
        <w:rPr>
          <w:rFonts w:ascii="Book Antiqua" w:hAnsi="Book Antiqua"/>
          <w:lang w:val="en-GB"/>
        </w:rPr>
      </w:pPr>
    </w:p>
    <w:p w14:paraId="242DA3FB"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Corresponding author: Ping-Ping Xiao, MD, Associate Chief Physician, </w:t>
      </w:r>
      <w:r>
        <w:rPr>
          <w:rFonts w:ascii="Book Antiqua" w:eastAsia="Book Antiqua" w:hAnsi="Book Antiqua" w:cs="Book Antiqua"/>
          <w:color w:val="000000"/>
          <w:lang w:val="en-GB"/>
        </w:rPr>
        <w:t xml:space="preserve">Department of </w:t>
      </w:r>
      <w:proofErr w:type="spellStart"/>
      <w:r>
        <w:rPr>
          <w:rFonts w:ascii="Book Antiqua" w:eastAsia="Book Antiqua" w:hAnsi="Book Antiqua" w:cs="Book Antiqua"/>
          <w:color w:val="000000"/>
          <w:lang w:val="en-GB"/>
        </w:rPr>
        <w:t>Hematology</w:t>
      </w:r>
      <w:proofErr w:type="spellEnd"/>
      <w:r>
        <w:rPr>
          <w:rFonts w:ascii="Book Antiqua" w:eastAsia="Book Antiqua" w:hAnsi="Book Antiqua" w:cs="Book Antiqua"/>
          <w:color w:val="000000"/>
          <w:lang w:val="en-GB"/>
        </w:rPr>
        <w:t xml:space="preserve"> and Rheumatology, The Second Affiliated Hospital of Xiamen Medical College, No. 566 </w:t>
      </w:r>
      <w:proofErr w:type="spellStart"/>
      <w:r>
        <w:rPr>
          <w:rFonts w:ascii="Book Antiqua" w:eastAsia="Book Antiqua" w:hAnsi="Book Antiqua" w:cs="Book Antiqua"/>
          <w:color w:val="000000"/>
          <w:lang w:val="en-GB"/>
        </w:rPr>
        <w:t>Shengguang</w:t>
      </w:r>
      <w:proofErr w:type="spellEnd"/>
      <w:r>
        <w:rPr>
          <w:rFonts w:ascii="Book Antiqua" w:eastAsia="Book Antiqua" w:hAnsi="Book Antiqua" w:cs="Book Antiqua"/>
          <w:color w:val="000000"/>
          <w:lang w:val="en-GB"/>
        </w:rPr>
        <w:t xml:space="preserve"> Road, </w:t>
      </w:r>
      <w:proofErr w:type="spellStart"/>
      <w:r>
        <w:rPr>
          <w:rFonts w:ascii="Book Antiqua" w:eastAsia="Book Antiqua" w:hAnsi="Book Antiqua" w:cs="Book Antiqua"/>
          <w:color w:val="000000"/>
          <w:lang w:val="en-GB"/>
        </w:rPr>
        <w:t>Jimei</w:t>
      </w:r>
      <w:proofErr w:type="spellEnd"/>
      <w:r>
        <w:rPr>
          <w:rFonts w:ascii="Book Antiqua" w:eastAsia="Book Antiqua" w:hAnsi="Book Antiqua" w:cs="Book Antiqua"/>
          <w:color w:val="000000"/>
          <w:lang w:val="en-GB"/>
        </w:rPr>
        <w:t xml:space="preserve"> District, Xiamen </w:t>
      </w:r>
      <w:r>
        <w:rPr>
          <w:rFonts w:ascii="Book Antiqua" w:eastAsia="Book Antiqua" w:hAnsi="Book Antiqua" w:cs="Book Antiqua"/>
          <w:color w:val="000000"/>
          <w:lang w:val="en-GB"/>
        </w:rPr>
        <w:t>361021, Fujian Province, China. xiaopp0026@163.com</w:t>
      </w:r>
    </w:p>
    <w:p w14:paraId="05F8959A" w14:textId="77777777" w:rsidR="00EB3E58" w:rsidRDefault="00EB3E58">
      <w:pPr>
        <w:adjustRightInd w:val="0"/>
        <w:snapToGrid w:val="0"/>
        <w:spacing w:line="360" w:lineRule="auto"/>
        <w:jc w:val="both"/>
        <w:rPr>
          <w:rFonts w:ascii="Book Antiqua" w:eastAsia="Book Antiqua" w:hAnsi="Book Antiqua" w:cs="Book Antiqua"/>
          <w:b/>
          <w:bCs/>
          <w:color w:val="000000"/>
          <w:lang w:val="en-GB"/>
        </w:rPr>
      </w:pPr>
    </w:p>
    <w:p w14:paraId="2C8FD803"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Received: </w:t>
      </w:r>
      <w:r>
        <w:rPr>
          <w:rFonts w:ascii="Book Antiqua" w:eastAsia="Book Antiqua" w:hAnsi="Book Antiqua" w:cs="Book Antiqua"/>
          <w:color w:val="000000"/>
          <w:lang w:val="en-GB"/>
        </w:rPr>
        <w:t>October 25, 2020</w:t>
      </w:r>
    </w:p>
    <w:p w14:paraId="255EC53B"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lastRenderedPageBreak/>
        <w:t xml:space="preserve">Revised: </w:t>
      </w:r>
      <w:r>
        <w:rPr>
          <w:rFonts w:ascii="Book Antiqua" w:eastAsia="Book Antiqua" w:hAnsi="Book Antiqua" w:cs="Book Antiqua"/>
          <w:color w:val="000000"/>
          <w:lang w:val="en-GB"/>
        </w:rPr>
        <w:t>January 27, 2021</w:t>
      </w:r>
    </w:p>
    <w:p w14:paraId="3FC12F9E"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Accepted: </w:t>
      </w:r>
      <w:r>
        <w:rPr>
          <w:rFonts w:ascii="Book Antiqua" w:eastAsia="Book Antiqua" w:hAnsi="Book Antiqua" w:cs="Book Antiqua"/>
          <w:color w:val="000000"/>
          <w:lang w:val="en-GB"/>
        </w:rPr>
        <w:t>March 15, 2021</w:t>
      </w:r>
    </w:p>
    <w:p w14:paraId="714C894D"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Published online: </w:t>
      </w:r>
    </w:p>
    <w:p w14:paraId="203C4510" w14:textId="77777777" w:rsidR="00EB3E58" w:rsidRDefault="00EB3E58">
      <w:pPr>
        <w:adjustRightInd w:val="0"/>
        <w:snapToGrid w:val="0"/>
        <w:spacing w:line="360" w:lineRule="auto"/>
        <w:jc w:val="both"/>
        <w:rPr>
          <w:rFonts w:ascii="Book Antiqua" w:hAnsi="Book Antiqua"/>
          <w:lang w:val="en-GB"/>
        </w:rPr>
        <w:sectPr w:rsidR="00EB3E58">
          <w:footerReference w:type="default" r:id="rId7"/>
          <w:pgSz w:w="12240" w:h="15840"/>
          <w:pgMar w:top="1440" w:right="1800" w:bottom="1440" w:left="1800" w:header="720" w:footer="720" w:gutter="0"/>
          <w:cols w:space="720"/>
          <w:docGrid w:linePitch="360"/>
        </w:sectPr>
      </w:pPr>
    </w:p>
    <w:p w14:paraId="4332347B"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lastRenderedPageBreak/>
        <w:t>Abstract</w:t>
      </w:r>
    </w:p>
    <w:p w14:paraId="781418F7"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BACKGROUND</w:t>
      </w:r>
    </w:p>
    <w:p w14:paraId="360EA41B"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Brucellosis is a contagious bacterial disease caused by </w:t>
      </w:r>
      <w:r>
        <w:rPr>
          <w:rFonts w:ascii="Book Antiqua" w:eastAsia="Book Antiqua" w:hAnsi="Book Antiqua" w:cs="Book Antiqua"/>
          <w:i/>
          <w:iCs/>
          <w:color w:val="000000"/>
          <w:lang w:val="en-GB"/>
        </w:rPr>
        <w:t>Brucella</w:t>
      </w:r>
      <w:r>
        <w:rPr>
          <w:rFonts w:ascii="Book Antiqua" w:eastAsia="Book Antiqua" w:hAnsi="Book Antiqua" w:cs="Book Antiqua"/>
          <w:color w:val="000000"/>
          <w:lang w:val="en-GB"/>
        </w:rPr>
        <w:t xml:space="preserve"> species, which is a leading zoonotic disease worldwide. Most patients with brucellosis have a clear infection source; however, our case had a rare presentation of secondary </w:t>
      </w:r>
      <w:proofErr w:type="spellStart"/>
      <w:r>
        <w:rPr>
          <w:rFonts w:ascii="Book Antiqua" w:eastAsia="Book Antiqua" w:hAnsi="Book Antiqua" w:cs="Book Antiqua"/>
          <w:color w:val="000000"/>
          <w:lang w:val="en-GB"/>
        </w:rPr>
        <w:t>haemophagocytic</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ly</w:t>
      </w:r>
      <w:r>
        <w:rPr>
          <w:rFonts w:ascii="Book Antiqua" w:eastAsia="Book Antiqua" w:hAnsi="Book Antiqua" w:cs="Book Antiqua"/>
          <w:color w:val="000000"/>
          <w:lang w:val="en-GB"/>
        </w:rPr>
        <w:t>mphohistiocytosis</w:t>
      </w:r>
      <w:proofErr w:type="spellEnd"/>
      <w:r>
        <w:rPr>
          <w:rFonts w:ascii="Book Antiqua" w:eastAsia="Book Antiqua" w:hAnsi="Book Antiqua" w:cs="Book Antiqua"/>
          <w:color w:val="000000"/>
          <w:lang w:val="en-GB"/>
        </w:rPr>
        <w:t xml:space="preserve"> without any epidemiological history.</w:t>
      </w:r>
    </w:p>
    <w:p w14:paraId="6ABA7AB2" w14:textId="77777777" w:rsidR="00EB3E58" w:rsidRDefault="00EB3E58">
      <w:pPr>
        <w:adjustRightInd w:val="0"/>
        <w:snapToGrid w:val="0"/>
        <w:spacing w:line="360" w:lineRule="auto"/>
        <w:jc w:val="both"/>
        <w:rPr>
          <w:rFonts w:ascii="Book Antiqua" w:hAnsi="Book Antiqua"/>
          <w:lang w:val="en-GB"/>
        </w:rPr>
      </w:pPr>
    </w:p>
    <w:p w14:paraId="0F01E52B"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CASE SUMMARY</w:t>
      </w:r>
    </w:p>
    <w:p w14:paraId="56C168AE"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A 50-year-old man was admitted to our hospital with a fever of unknown origin. After laboratory examinations, such as blood culture and bone marrow biopsy, the patient was diagnosed with </w:t>
      </w:r>
      <w:r>
        <w:rPr>
          <w:rFonts w:ascii="Book Antiqua" w:eastAsia="Book Antiqua" w:hAnsi="Book Antiqua" w:cs="Book Antiqua"/>
          <w:color w:val="000000"/>
          <w:lang w:val="en-GB"/>
        </w:rPr>
        <w:t xml:space="preserve">brucellosis and secondary </w:t>
      </w:r>
      <w:proofErr w:type="spellStart"/>
      <w:r>
        <w:rPr>
          <w:rFonts w:ascii="Book Antiqua" w:eastAsia="Book Antiqua" w:hAnsi="Book Antiqua" w:cs="Book Antiqua"/>
          <w:color w:val="000000"/>
          <w:lang w:val="en-GB"/>
        </w:rPr>
        <w:t>haemophagocytic</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lymphohistiocytosis</w:t>
      </w:r>
      <w:proofErr w:type="spellEnd"/>
      <w:r>
        <w:rPr>
          <w:rFonts w:ascii="Book Antiqua" w:eastAsia="Book Antiqua" w:hAnsi="Book Antiqua" w:cs="Book Antiqua"/>
          <w:color w:val="000000"/>
          <w:lang w:val="en-GB"/>
        </w:rPr>
        <w:t xml:space="preserve">. After antibiotic therapy, the patient was afebrile, and his </w:t>
      </w:r>
      <w:proofErr w:type="spellStart"/>
      <w:r>
        <w:rPr>
          <w:rFonts w:ascii="Book Antiqua" w:eastAsia="Book Antiqua" w:hAnsi="Book Antiqua" w:cs="Book Antiqua"/>
          <w:color w:val="000000"/>
          <w:lang w:val="en-GB"/>
        </w:rPr>
        <w:t>haemogram</w:t>
      </w:r>
      <w:proofErr w:type="spellEnd"/>
      <w:r>
        <w:rPr>
          <w:rFonts w:ascii="Book Antiqua" w:eastAsia="Book Antiqua" w:hAnsi="Book Antiqua" w:cs="Book Antiqua"/>
          <w:color w:val="000000"/>
          <w:lang w:val="en-GB"/>
        </w:rPr>
        <w:t xml:space="preserve"> recovered to normal, after which he was discharged.</w:t>
      </w:r>
    </w:p>
    <w:p w14:paraId="54D9AEAE" w14:textId="77777777" w:rsidR="00EB3E58" w:rsidRDefault="00EB3E58">
      <w:pPr>
        <w:adjustRightInd w:val="0"/>
        <w:snapToGrid w:val="0"/>
        <w:spacing w:line="360" w:lineRule="auto"/>
        <w:jc w:val="both"/>
        <w:rPr>
          <w:rFonts w:ascii="Book Antiqua" w:hAnsi="Book Antiqua"/>
          <w:lang w:val="en-GB"/>
        </w:rPr>
      </w:pPr>
    </w:p>
    <w:p w14:paraId="3E0F3063"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CONCLUSION</w:t>
      </w:r>
    </w:p>
    <w:p w14:paraId="67C0245F"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Brucellosis cannot be excluded in patients with clinically </w:t>
      </w:r>
      <w:r>
        <w:rPr>
          <w:rFonts w:ascii="Book Antiqua" w:eastAsia="Book Antiqua" w:hAnsi="Book Antiqua" w:cs="Book Antiqua"/>
          <w:color w:val="000000"/>
          <w:lang w:val="en-GB"/>
        </w:rPr>
        <w:t>unexplained fever, even in those without epidemiologic history.</w:t>
      </w:r>
    </w:p>
    <w:p w14:paraId="51404B9E" w14:textId="77777777" w:rsidR="00EB3E58" w:rsidRDefault="00EB3E58">
      <w:pPr>
        <w:adjustRightInd w:val="0"/>
        <w:snapToGrid w:val="0"/>
        <w:spacing w:line="360" w:lineRule="auto"/>
        <w:jc w:val="both"/>
        <w:rPr>
          <w:rFonts w:ascii="Book Antiqua" w:hAnsi="Book Antiqua"/>
          <w:lang w:val="en-GB"/>
        </w:rPr>
      </w:pPr>
    </w:p>
    <w:p w14:paraId="2AA1D6F3"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Key Words: </w:t>
      </w:r>
      <w:r>
        <w:rPr>
          <w:rFonts w:ascii="Book Antiqua" w:eastAsia="Book Antiqua" w:hAnsi="Book Antiqua" w:cs="Book Antiqua"/>
          <w:i/>
          <w:iCs/>
          <w:color w:val="000000"/>
          <w:lang w:val="en-GB"/>
        </w:rPr>
        <w:t>Brucella</w:t>
      </w:r>
      <w:r>
        <w:rPr>
          <w:rFonts w:ascii="Book Antiqua" w:eastAsia="Book Antiqua" w:hAnsi="Book Antiqua" w:cs="Book Antiqua"/>
          <w:color w:val="000000"/>
          <w:lang w:val="en-GB"/>
        </w:rPr>
        <w:t xml:space="preserve">; Brucellosis; </w:t>
      </w:r>
      <w:proofErr w:type="spellStart"/>
      <w:r>
        <w:rPr>
          <w:rFonts w:ascii="Book Antiqua" w:eastAsia="Book Antiqua" w:hAnsi="Book Antiqua" w:cs="Book Antiqua"/>
          <w:color w:val="000000"/>
          <w:lang w:val="en-GB"/>
        </w:rPr>
        <w:t>Haemophagocytic</w:t>
      </w:r>
      <w:proofErr w:type="spellEnd"/>
      <w:r>
        <w:rPr>
          <w:rFonts w:ascii="Book Antiqua" w:eastAsia="Book Antiqua" w:hAnsi="Book Antiqua" w:cs="Book Antiqua"/>
          <w:color w:val="000000"/>
          <w:lang w:val="en-GB"/>
        </w:rPr>
        <w:t xml:space="preserve"> syndrome; </w:t>
      </w:r>
      <w:proofErr w:type="spellStart"/>
      <w:r>
        <w:rPr>
          <w:rFonts w:ascii="Book Antiqua" w:eastAsia="Book Antiqua" w:hAnsi="Book Antiqua" w:cs="Book Antiqua"/>
          <w:color w:val="000000"/>
          <w:lang w:val="en-GB"/>
        </w:rPr>
        <w:t>Haemophagocytic</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lymphohistiocytosis</w:t>
      </w:r>
      <w:proofErr w:type="spellEnd"/>
      <w:r>
        <w:rPr>
          <w:rFonts w:ascii="Book Antiqua" w:eastAsia="Book Antiqua" w:hAnsi="Book Antiqua" w:cs="Book Antiqua"/>
          <w:color w:val="000000"/>
          <w:lang w:val="en-GB"/>
        </w:rPr>
        <w:t>; Fever; Case report</w:t>
      </w:r>
    </w:p>
    <w:p w14:paraId="1DBFE6FF" w14:textId="77777777" w:rsidR="00EB3E58" w:rsidRDefault="00EB3E58">
      <w:pPr>
        <w:adjustRightInd w:val="0"/>
        <w:snapToGrid w:val="0"/>
        <w:spacing w:line="360" w:lineRule="auto"/>
        <w:jc w:val="both"/>
        <w:rPr>
          <w:rFonts w:ascii="Book Antiqua" w:hAnsi="Book Antiqua"/>
          <w:lang w:val="en-GB"/>
        </w:rPr>
      </w:pPr>
    </w:p>
    <w:p w14:paraId="660D7962"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Tian LH, Dong ZG, Chen XY, Huang LJ, Xiao PP. Brucellosis of unknown origi</w:t>
      </w:r>
      <w:r>
        <w:rPr>
          <w:rFonts w:ascii="Book Antiqua" w:eastAsia="Book Antiqua" w:hAnsi="Book Antiqua" w:cs="Book Antiqua"/>
          <w:color w:val="000000"/>
          <w:lang w:val="en-GB"/>
        </w:rPr>
        <w:t xml:space="preserve">n with </w:t>
      </w:r>
      <w:proofErr w:type="spellStart"/>
      <w:r>
        <w:rPr>
          <w:rFonts w:ascii="Book Antiqua" w:eastAsia="Book Antiqua" w:hAnsi="Book Antiqua" w:cs="Book Antiqua"/>
          <w:color w:val="000000"/>
          <w:lang w:val="en-GB"/>
        </w:rPr>
        <w:t>haemophagocytic</w:t>
      </w:r>
      <w:proofErr w:type="spellEnd"/>
      <w:r>
        <w:rPr>
          <w:rFonts w:ascii="Book Antiqua" w:eastAsia="Book Antiqua" w:hAnsi="Book Antiqua" w:cs="Book Antiqua"/>
          <w:color w:val="000000"/>
          <w:lang w:val="en-GB"/>
        </w:rPr>
        <w:t xml:space="preserve"> syndrome: A case report. </w:t>
      </w:r>
      <w:r>
        <w:rPr>
          <w:rFonts w:ascii="Book Antiqua" w:eastAsia="Book Antiqua" w:hAnsi="Book Antiqua" w:cs="Book Antiqua"/>
          <w:i/>
          <w:iCs/>
          <w:color w:val="000000"/>
          <w:lang w:val="en-GB"/>
        </w:rPr>
        <w:t>World J Clin Cases</w:t>
      </w:r>
      <w:r>
        <w:rPr>
          <w:rFonts w:ascii="Book Antiqua" w:eastAsia="Book Antiqua" w:hAnsi="Book Antiqua" w:cs="Book Antiqua"/>
          <w:color w:val="000000"/>
          <w:lang w:val="en-GB"/>
        </w:rPr>
        <w:t xml:space="preserve"> 2021; In press</w:t>
      </w:r>
    </w:p>
    <w:p w14:paraId="2DF6A003" w14:textId="77777777" w:rsidR="00EB3E58" w:rsidRDefault="00EB3E58">
      <w:pPr>
        <w:adjustRightInd w:val="0"/>
        <w:snapToGrid w:val="0"/>
        <w:spacing w:line="360" w:lineRule="auto"/>
        <w:jc w:val="both"/>
        <w:rPr>
          <w:rFonts w:ascii="Book Antiqua" w:hAnsi="Book Antiqua"/>
          <w:lang w:val="en-GB"/>
        </w:rPr>
      </w:pPr>
    </w:p>
    <w:p w14:paraId="69654CC8"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Core Tip: </w:t>
      </w:r>
      <w:bookmarkStart w:id="10" w:name="OLE_LINK14"/>
      <w:bookmarkStart w:id="11" w:name="OLE_LINK13"/>
      <w:bookmarkStart w:id="12" w:name="OLE_LINK5"/>
      <w:bookmarkStart w:id="13" w:name="OLE_LINK6"/>
      <w:r>
        <w:rPr>
          <w:rFonts w:ascii="Book Antiqua" w:eastAsia="Book Antiqua" w:hAnsi="Book Antiqua" w:cs="Book Antiqua"/>
          <w:color w:val="000000"/>
          <w:lang w:val="en-GB"/>
        </w:rPr>
        <w:t xml:space="preserve">Most patients of </w:t>
      </w:r>
      <w:r>
        <w:rPr>
          <w:rFonts w:ascii="Book Antiqua" w:eastAsia="Book Antiqua" w:hAnsi="Book Antiqua" w:cs="Book Antiqua"/>
          <w:iCs/>
          <w:color w:val="000000"/>
          <w:lang w:val="en-GB"/>
        </w:rPr>
        <w:t>brucellosis</w:t>
      </w:r>
      <w:r>
        <w:rPr>
          <w:rFonts w:ascii="Book Antiqua" w:eastAsia="Book Antiqua" w:hAnsi="Book Antiqua" w:cs="Book Antiqua"/>
          <w:color w:val="000000"/>
          <w:lang w:val="en-GB"/>
        </w:rPr>
        <w:t xml:space="preserve"> present with a clear infection source. However, our patient showed a rare case presentation of </w:t>
      </w:r>
      <w:proofErr w:type="spellStart"/>
      <w:r>
        <w:rPr>
          <w:rFonts w:ascii="Book Antiqua" w:eastAsia="Book Antiqua" w:hAnsi="Book Antiqua" w:cs="Book Antiqua"/>
          <w:color w:val="000000"/>
          <w:lang w:val="en-GB"/>
        </w:rPr>
        <w:t>haemophagocytic</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lymphohistiocytosis</w:t>
      </w:r>
      <w:proofErr w:type="spellEnd"/>
      <w:r>
        <w:rPr>
          <w:rFonts w:ascii="Book Antiqua" w:eastAsia="Book Antiqua" w:hAnsi="Book Antiqua" w:cs="Book Antiqua"/>
          <w:color w:val="000000"/>
          <w:lang w:val="en-GB"/>
        </w:rPr>
        <w:t xml:space="preserve"> wit</w:t>
      </w:r>
      <w:r>
        <w:rPr>
          <w:rFonts w:ascii="Book Antiqua" w:eastAsia="Book Antiqua" w:hAnsi="Book Antiqua" w:cs="Book Antiqua"/>
          <w:color w:val="000000"/>
          <w:lang w:val="en-GB"/>
        </w:rPr>
        <w:t xml:space="preserve">h no clear infection source and unremarkable medical history. Our findings suggest that brucellosis cannot be excluded in patients with clinically unexplained fever, even in those without epidemiologic history. To </w:t>
      </w:r>
      <w:r>
        <w:rPr>
          <w:rFonts w:ascii="Book Antiqua" w:eastAsia="Book Antiqua" w:hAnsi="Book Antiqua" w:cs="Book Antiqua"/>
          <w:color w:val="000000"/>
          <w:lang w:val="en-GB"/>
        </w:rPr>
        <w:lastRenderedPageBreak/>
        <w:t>prevent timely exacerbation of the disease</w:t>
      </w:r>
      <w:r>
        <w:rPr>
          <w:rFonts w:ascii="Book Antiqua" w:eastAsia="Book Antiqua" w:hAnsi="Book Antiqua" w:cs="Book Antiqua"/>
          <w:color w:val="000000"/>
          <w:lang w:val="en-GB"/>
        </w:rPr>
        <w:t xml:space="preserve">, before obtaining the aetiology test results, the administered antibiotics should cover rare pathogens, such as </w:t>
      </w:r>
      <w:r>
        <w:rPr>
          <w:rFonts w:ascii="Book Antiqua" w:eastAsia="Book Antiqua" w:hAnsi="Book Antiqua" w:cs="Book Antiqua"/>
          <w:i/>
          <w:iCs/>
          <w:color w:val="000000"/>
          <w:lang w:val="en-GB"/>
        </w:rPr>
        <w:t>Brucella</w:t>
      </w:r>
      <w:r>
        <w:rPr>
          <w:rFonts w:ascii="Book Antiqua" w:eastAsia="Book Antiqua" w:hAnsi="Book Antiqua" w:cs="Book Antiqua"/>
          <w:color w:val="000000"/>
          <w:lang w:val="en-GB"/>
        </w:rPr>
        <w:t>.</w:t>
      </w:r>
    </w:p>
    <w:bookmarkEnd w:id="10"/>
    <w:bookmarkEnd w:id="11"/>
    <w:p w14:paraId="6E3F8F9C" w14:textId="77777777" w:rsidR="00EB3E58" w:rsidRDefault="00EB3E58">
      <w:pPr>
        <w:adjustRightInd w:val="0"/>
        <w:snapToGrid w:val="0"/>
        <w:spacing w:line="360" w:lineRule="auto"/>
        <w:jc w:val="both"/>
        <w:rPr>
          <w:rFonts w:ascii="Book Antiqua" w:hAnsi="Book Antiqua"/>
          <w:lang w:val="en-GB"/>
        </w:rPr>
      </w:pPr>
    </w:p>
    <w:bookmarkEnd w:id="12"/>
    <w:bookmarkEnd w:id="13"/>
    <w:p w14:paraId="177556A6"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aps/>
          <w:color w:val="000000"/>
          <w:u w:val="single"/>
          <w:lang w:val="en-GB"/>
        </w:rPr>
        <w:br w:type="page"/>
      </w:r>
      <w:r>
        <w:rPr>
          <w:rFonts w:ascii="Book Antiqua" w:eastAsia="Book Antiqua" w:hAnsi="Book Antiqua" w:cs="Book Antiqua"/>
          <w:b/>
          <w:caps/>
          <w:color w:val="000000"/>
          <w:u w:val="single"/>
          <w:lang w:val="en-GB"/>
        </w:rPr>
        <w:lastRenderedPageBreak/>
        <w:t>INTRODUCTION</w:t>
      </w:r>
    </w:p>
    <w:p w14:paraId="0B89E544" w14:textId="77777777" w:rsidR="00EB3E58" w:rsidRDefault="005946F0">
      <w:pPr>
        <w:adjustRightInd w:val="0"/>
        <w:snapToGrid w:val="0"/>
        <w:spacing w:line="360" w:lineRule="auto"/>
        <w:jc w:val="both"/>
        <w:rPr>
          <w:rFonts w:ascii="Book Antiqua" w:hAnsi="Book Antiqua"/>
          <w:lang w:val="en-GB"/>
        </w:rPr>
      </w:pPr>
      <w:bookmarkStart w:id="14" w:name="OLE_LINK15"/>
      <w:bookmarkStart w:id="15" w:name="OLE_LINK16"/>
      <w:r>
        <w:rPr>
          <w:rFonts w:ascii="Book Antiqua" w:eastAsia="Book Antiqua" w:hAnsi="Book Antiqua" w:cs="Book Antiqua"/>
          <w:color w:val="000000"/>
          <w:lang w:val="en-GB"/>
        </w:rPr>
        <w:t xml:space="preserve">Brucellosis is a zoonotic infectious disease caused by </w:t>
      </w:r>
      <w:r>
        <w:rPr>
          <w:rFonts w:ascii="Book Antiqua" w:eastAsia="Book Antiqua" w:hAnsi="Book Antiqua" w:cs="Book Antiqua"/>
          <w:i/>
          <w:iCs/>
          <w:color w:val="000000"/>
          <w:lang w:val="en-GB"/>
        </w:rPr>
        <w:t>Brucella</w:t>
      </w:r>
      <w:r>
        <w:rPr>
          <w:rFonts w:ascii="Book Antiqua" w:eastAsia="Book Antiqua" w:hAnsi="Book Antiqua" w:cs="Book Antiqua"/>
          <w:color w:val="000000"/>
          <w:lang w:val="en-GB"/>
        </w:rPr>
        <w:t xml:space="preserve"> species</w:t>
      </w:r>
      <w:r>
        <w:rPr>
          <w:rFonts w:ascii="Book Antiqua" w:eastAsia="Book Antiqua" w:hAnsi="Book Antiqua" w:cs="Book Antiqua"/>
          <w:color w:val="000000"/>
          <w:vertAlign w:val="superscript"/>
          <w:lang w:val="en-GB"/>
        </w:rPr>
        <w:t>[1]</w:t>
      </w:r>
      <w:r>
        <w:rPr>
          <w:rFonts w:ascii="Book Antiqua" w:eastAsia="Book Antiqua" w:hAnsi="Book Antiqua" w:cs="Book Antiqua"/>
          <w:color w:val="000000"/>
          <w:lang w:val="en-GB"/>
        </w:rPr>
        <w:t xml:space="preserve">. Brucellosis has various clinical </w:t>
      </w:r>
      <w:r>
        <w:rPr>
          <w:rFonts w:ascii="Book Antiqua" w:eastAsia="Book Antiqua" w:hAnsi="Book Antiqua" w:cs="Book Antiqua"/>
          <w:color w:val="000000"/>
          <w:lang w:val="en-GB"/>
        </w:rPr>
        <w:t>manifestations, the most common being fever, followed by weakness, hyperhidrosis, myalgias, and arthralgias</w:t>
      </w:r>
      <w:r>
        <w:rPr>
          <w:rFonts w:ascii="Book Antiqua" w:eastAsia="Book Antiqua" w:hAnsi="Book Antiqua" w:cs="Book Antiqua"/>
          <w:color w:val="000000"/>
          <w:vertAlign w:val="superscript"/>
          <w:lang w:val="en-GB"/>
        </w:rPr>
        <w:t>[2,3]</w:t>
      </w:r>
      <w:r>
        <w:rPr>
          <w:rFonts w:ascii="Book Antiqua" w:eastAsia="Book Antiqua" w:hAnsi="Book Antiqua" w:cs="Book Antiqua"/>
          <w:color w:val="000000"/>
          <w:lang w:val="en-GB"/>
        </w:rPr>
        <w:t>.</w:t>
      </w:r>
      <w:r>
        <w:rPr>
          <w:rFonts w:ascii="Book Antiqua" w:hAnsi="Book Antiqua"/>
          <w:lang w:val="en-GB" w:eastAsia="zh-CN"/>
        </w:rPr>
        <w:t xml:space="preserve"> </w:t>
      </w:r>
      <w:r>
        <w:rPr>
          <w:rFonts w:ascii="Book Antiqua" w:eastAsia="Book Antiqua" w:hAnsi="Book Antiqua" w:cs="Book Antiqua"/>
          <w:color w:val="000000"/>
          <w:lang w:val="en-GB"/>
        </w:rPr>
        <w:t>Most patients come into contact with infected animals or ingest infected meat or unpasteurised milk. However, unknown origin brucellosis is re</w:t>
      </w:r>
      <w:r>
        <w:rPr>
          <w:rFonts w:ascii="Book Antiqua" w:eastAsia="Book Antiqua" w:hAnsi="Book Antiqua" w:cs="Book Antiqua"/>
          <w:color w:val="000000"/>
          <w:lang w:val="en-GB"/>
        </w:rPr>
        <w:t xml:space="preserve">latively rare. Here, we report a case of brucellosis with secondary </w:t>
      </w:r>
      <w:proofErr w:type="spellStart"/>
      <w:r>
        <w:rPr>
          <w:rFonts w:ascii="Book Antiqua" w:eastAsia="Book Antiqua" w:hAnsi="Book Antiqua" w:cs="Book Antiqua"/>
          <w:color w:val="000000"/>
          <w:lang w:val="en-GB"/>
        </w:rPr>
        <w:t>haemophagocytic</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lymphohistiocytosis</w:t>
      </w:r>
      <w:proofErr w:type="spellEnd"/>
      <w:r>
        <w:rPr>
          <w:rFonts w:ascii="Book Antiqua" w:eastAsia="Book Antiqua" w:hAnsi="Book Antiqua" w:cs="Book Antiqua"/>
          <w:color w:val="000000"/>
          <w:lang w:val="en-GB"/>
        </w:rPr>
        <w:t xml:space="preserve"> without epidemiologic history.</w:t>
      </w:r>
    </w:p>
    <w:bookmarkEnd w:id="14"/>
    <w:bookmarkEnd w:id="15"/>
    <w:p w14:paraId="442D15B4" w14:textId="77777777" w:rsidR="00EB3E58" w:rsidRDefault="00EB3E58">
      <w:pPr>
        <w:adjustRightInd w:val="0"/>
        <w:snapToGrid w:val="0"/>
        <w:spacing w:line="360" w:lineRule="auto"/>
        <w:jc w:val="both"/>
        <w:rPr>
          <w:rFonts w:ascii="Book Antiqua" w:hAnsi="Book Antiqua"/>
          <w:lang w:val="en-GB"/>
        </w:rPr>
      </w:pPr>
    </w:p>
    <w:p w14:paraId="10A6767B"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aps/>
          <w:color w:val="000000"/>
          <w:u w:val="single"/>
          <w:lang w:val="en-GB"/>
        </w:rPr>
        <w:t>CASE PRESENTATION</w:t>
      </w:r>
    </w:p>
    <w:p w14:paraId="5D1C0939"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i/>
          <w:color w:val="000000"/>
          <w:lang w:val="en-GB"/>
        </w:rPr>
        <w:t>Chief complaints</w:t>
      </w:r>
    </w:p>
    <w:p w14:paraId="179AC6EC"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A 50-year-old man was admitted to our hospital with a history of fever.</w:t>
      </w:r>
    </w:p>
    <w:p w14:paraId="27CDFED6" w14:textId="77777777" w:rsidR="00EB3E58" w:rsidRDefault="00EB3E58">
      <w:pPr>
        <w:adjustRightInd w:val="0"/>
        <w:snapToGrid w:val="0"/>
        <w:spacing w:line="360" w:lineRule="auto"/>
        <w:jc w:val="both"/>
        <w:rPr>
          <w:rFonts w:ascii="Book Antiqua" w:hAnsi="Book Antiqua"/>
          <w:lang w:val="en-GB"/>
        </w:rPr>
      </w:pPr>
    </w:p>
    <w:p w14:paraId="24B62CF0"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i/>
          <w:color w:val="000000"/>
          <w:lang w:val="en-GB"/>
        </w:rPr>
        <w:t>History of p</w:t>
      </w:r>
      <w:r>
        <w:rPr>
          <w:rFonts w:ascii="Book Antiqua" w:eastAsia="Book Antiqua" w:hAnsi="Book Antiqua" w:cs="Book Antiqua"/>
          <w:b/>
          <w:i/>
          <w:color w:val="000000"/>
          <w:lang w:val="en-GB"/>
        </w:rPr>
        <w:t>resent illness</w:t>
      </w:r>
    </w:p>
    <w:p w14:paraId="7BE6BAD1"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The patient’s symptoms were fever and weakness for 6 d and diarrhoea for half a day. His body temperature reached 39.2 °C; he had no cough or other symptoms.</w:t>
      </w:r>
    </w:p>
    <w:p w14:paraId="5D99D6A4" w14:textId="77777777" w:rsidR="00EB3E58" w:rsidRDefault="00EB3E58">
      <w:pPr>
        <w:adjustRightInd w:val="0"/>
        <w:snapToGrid w:val="0"/>
        <w:spacing w:line="360" w:lineRule="auto"/>
        <w:jc w:val="both"/>
        <w:rPr>
          <w:rFonts w:ascii="Book Antiqua" w:hAnsi="Book Antiqua"/>
          <w:lang w:val="en-GB"/>
        </w:rPr>
      </w:pPr>
    </w:p>
    <w:p w14:paraId="71CC2F03"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i/>
          <w:color w:val="000000"/>
          <w:lang w:val="en-GB"/>
        </w:rPr>
        <w:t>History of past illness</w:t>
      </w:r>
    </w:p>
    <w:p w14:paraId="41347356"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The patient had no remarkable medical history.</w:t>
      </w:r>
    </w:p>
    <w:p w14:paraId="14397DCA" w14:textId="77777777" w:rsidR="00EB3E58" w:rsidRDefault="00EB3E58">
      <w:pPr>
        <w:adjustRightInd w:val="0"/>
        <w:snapToGrid w:val="0"/>
        <w:spacing w:line="360" w:lineRule="auto"/>
        <w:jc w:val="both"/>
        <w:rPr>
          <w:rFonts w:ascii="Book Antiqua" w:hAnsi="Book Antiqua"/>
          <w:lang w:val="en-GB"/>
        </w:rPr>
      </w:pPr>
    </w:p>
    <w:p w14:paraId="7C9B7629"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i/>
          <w:color w:val="000000"/>
          <w:lang w:val="en-GB"/>
        </w:rPr>
        <w:t>Personal a</w:t>
      </w:r>
      <w:r>
        <w:rPr>
          <w:rFonts w:ascii="Book Antiqua" w:eastAsia="Book Antiqua" w:hAnsi="Book Antiqua" w:cs="Book Antiqua"/>
          <w:b/>
          <w:i/>
          <w:color w:val="000000"/>
          <w:lang w:val="en-GB"/>
        </w:rPr>
        <w:t>nd family history</w:t>
      </w:r>
    </w:p>
    <w:p w14:paraId="7311038B"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The patient had unremarkable personal and family history.</w:t>
      </w:r>
    </w:p>
    <w:p w14:paraId="6EC1E70D" w14:textId="77777777" w:rsidR="00EB3E58" w:rsidRDefault="00EB3E58">
      <w:pPr>
        <w:adjustRightInd w:val="0"/>
        <w:snapToGrid w:val="0"/>
        <w:spacing w:line="360" w:lineRule="auto"/>
        <w:jc w:val="both"/>
        <w:rPr>
          <w:rFonts w:ascii="Book Antiqua" w:hAnsi="Book Antiqua"/>
          <w:lang w:val="en-GB"/>
        </w:rPr>
      </w:pPr>
    </w:p>
    <w:p w14:paraId="1FC9CBCB"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i/>
          <w:color w:val="000000"/>
          <w:lang w:val="en-GB"/>
        </w:rPr>
        <w:t>Physical examination</w:t>
      </w:r>
    </w:p>
    <w:p w14:paraId="1B9BFE25"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There were no remarkable findings on physical examination except the patient’s temperature was 39.5 °C.</w:t>
      </w:r>
    </w:p>
    <w:p w14:paraId="4A718B49" w14:textId="77777777" w:rsidR="00EB3E58" w:rsidRDefault="00EB3E58">
      <w:pPr>
        <w:adjustRightInd w:val="0"/>
        <w:snapToGrid w:val="0"/>
        <w:spacing w:line="360" w:lineRule="auto"/>
        <w:jc w:val="both"/>
        <w:rPr>
          <w:rFonts w:ascii="Book Antiqua" w:hAnsi="Book Antiqua"/>
          <w:lang w:val="en-GB"/>
        </w:rPr>
      </w:pPr>
    </w:p>
    <w:p w14:paraId="00F9520E"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i/>
          <w:color w:val="000000"/>
          <w:lang w:val="en-GB"/>
        </w:rPr>
        <w:t>Laboratory examinations</w:t>
      </w:r>
    </w:p>
    <w:p w14:paraId="77CD9117" w14:textId="77777777" w:rsidR="00EB3E58" w:rsidRDefault="005946F0">
      <w:pPr>
        <w:adjustRightInd w:val="0"/>
        <w:snapToGrid w:val="0"/>
        <w:spacing w:line="360" w:lineRule="auto"/>
        <w:jc w:val="both"/>
        <w:rPr>
          <w:rFonts w:ascii="Book Antiqua" w:hAnsi="Book Antiqua"/>
          <w:lang w:val="en-GB"/>
        </w:rPr>
      </w:pPr>
      <w:bookmarkStart w:id="16" w:name="OLE_LINK18"/>
      <w:bookmarkStart w:id="17" w:name="OLE_LINK17"/>
      <w:r>
        <w:rPr>
          <w:rFonts w:ascii="Book Antiqua" w:eastAsia="Book Antiqua" w:hAnsi="Book Antiqua" w:cs="Book Antiqua"/>
          <w:color w:val="000000"/>
          <w:lang w:val="en-GB"/>
        </w:rPr>
        <w:t>Laboratory analyses were cond</w:t>
      </w:r>
      <w:r>
        <w:rPr>
          <w:rFonts w:ascii="Book Antiqua" w:eastAsia="Book Antiqua" w:hAnsi="Book Antiqua" w:cs="Book Antiqua"/>
          <w:color w:val="000000"/>
          <w:lang w:val="en-GB"/>
        </w:rPr>
        <w:t xml:space="preserve">ucted for blood, blood culture, biochemical tests, coagulation, and levels of serum C-reactive protein, serum procalcitonin, and </w:t>
      </w:r>
      <w:r>
        <w:rPr>
          <w:rFonts w:ascii="Book Antiqua" w:eastAsia="Book Antiqua" w:hAnsi="Book Antiqua" w:cs="Book Antiqua"/>
          <w:color w:val="000000"/>
          <w:lang w:val="en-GB"/>
        </w:rPr>
        <w:lastRenderedPageBreak/>
        <w:t>ferritin. Laboratory data showed pancytopenia with a white blood cell count of 2.67 × 10</w:t>
      </w:r>
      <w:r>
        <w:rPr>
          <w:rFonts w:ascii="Book Antiqua" w:eastAsia="Book Antiqua" w:hAnsi="Book Antiqua" w:cs="Book Antiqua"/>
          <w:color w:val="000000"/>
          <w:vertAlign w:val="superscript"/>
          <w:lang w:val="en-GB"/>
        </w:rPr>
        <w:t xml:space="preserve">9 </w:t>
      </w:r>
      <w:r>
        <w:rPr>
          <w:rFonts w:ascii="Book Antiqua" w:eastAsia="Book Antiqua" w:hAnsi="Book Antiqua" w:cs="Book Antiqua"/>
          <w:color w:val="000000"/>
          <w:lang w:val="en-GB"/>
        </w:rPr>
        <w:t>cells/L, haemoglobin levels of 14.7 g</w:t>
      </w:r>
      <w:r>
        <w:rPr>
          <w:rFonts w:ascii="Book Antiqua" w:eastAsia="Book Antiqua" w:hAnsi="Book Antiqua" w:cs="Book Antiqua"/>
          <w:color w:val="000000"/>
          <w:lang w:val="en-GB"/>
        </w:rPr>
        <w:t>/dL, and a platelet count of 83 × 10</w:t>
      </w:r>
      <w:r>
        <w:rPr>
          <w:rFonts w:ascii="Book Antiqua" w:eastAsia="Book Antiqua" w:hAnsi="Book Antiqua" w:cs="Book Antiqua"/>
          <w:color w:val="000000"/>
          <w:vertAlign w:val="superscript"/>
          <w:lang w:val="en-GB"/>
        </w:rPr>
        <w:t>9</w:t>
      </w:r>
      <w:r>
        <w:rPr>
          <w:rFonts w:ascii="Book Antiqua" w:eastAsia="Book Antiqua" w:hAnsi="Book Antiqua" w:cs="Book Antiqua"/>
          <w:color w:val="000000"/>
          <w:lang w:val="en-GB"/>
        </w:rPr>
        <w:t xml:space="preserve"> cells/L (Table 1). </w:t>
      </w:r>
      <w:r>
        <w:rPr>
          <w:rStyle w:val="MsoCommentReference0"/>
          <w:rFonts w:ascii="Book Antiqua" w:eastAsia="Book Antiqua" w:hAnsi="Book Antiqua" w:cs="Book Antiqua"/>
          <w:color w:val="000000"/>
          <w:lang w:val="en-GB"/>
        </w:rPr>
        <w:t xml:space="preserve">The blood culture on the sixth day of incubation grew </w:t>
      </w:r>
      <w:r>
        <w:rPr>
          <w:rStyle w:val="MsoCommentReference0"/>
          <w:rFonts w:ascii="Book Antiqua" w:eastAsia="Book Antiqua" w:hAnsi="Book Antiqua" w:cs="Book Antiqua"/>
          <w:i/>
          <w:iCs/>
          <w:color w:val="000000"/>
          <w:lang w:val="en-GB"/>
        </w:rPr>
        <w:t xml:space="preserve">Brucella </w:t>
      </w:r>
      <w:proofErr w:type="spellStart"/>
      <w:r>
        <w:rPr>
          <w:rStyle w:val="MsoCommentReference0"/>
          <w:rFonts w:ascii="Book Antiqua" w:eastAsia="Book Antiqua" w:hAnsi="Book Antiqua" w:cs="Book Antiqua"/>
          <w:i/>
          <w:iCs/>
          <w:color w:val="000000"/>
          <w:lang w:val="en-GB"/>
        </w:rPr>
        <w:t>melitensis</w:t>
      </w:r>
      <w:proofErr w:type="spellEnd"/>
      <w:r>
        <w:rPr>
          <w:rStyle w:val="MsoCommentReference0"/>
          <w:rFonts w:ascii="Book Antiqua" w:eastAsia="Book Antiqua" w:hAnsi="Book Antiqua" w:cs="Book Antiqua"/>
          <w:color w:val="000000"/>
          <w:lang w:val="en-GB"/>
        </w:rPr>
        <w:t xml:space="preserve"> (</w:t>
      </w:r>
      <w:r>
        <w:rPr>
          <w:rFonts w:ascii="Book Antiqua" w:eastAsia="Book Antiqua" w:hAnsi="Book Antiqua" w:cs="Book Antiqua"/>
          <w:color w:val="000000"/>
          <w:lang w:val="en-GB"/>
        </w:rPr>
        <w:t xml:space="preserve">Figure 1). The level of soluble CD25 was 3256 U/mL, and abdominal ultrasonography revealed no splenomegaly or </w:t>
      </w:r>
      <w:r>
        <w:rPr>
          <w:rFonts w:ascii="Book Antiqua" w:eastAsia="Book Antiqua" w:hAnsi="Book Antiqua" w:cs="Book Antiqua"/>
          <w:color w:val="000000"/>
          <w:lang w:val="en-GB"/>
        </w:rPr>
        <w:t>hepatomegaly. High resolution computed tomography of the chest showed no abnormalities.</w:t>
      </w:r>
    </w:p>
    <w:bookmarkEnd w:id="16"/>
    <w:bookmarkEnd w:id="17"/>
    <w:p w14:paraId="24440D6E" w14:textId="77777777" w:rsidR="00EB3E58" w:rsidRDefault="00EB3E58">
      <w:pPr>
        <w:adjustRightInd w:val="0"/>
        <w:snapToGrid w:val="0"/>
        <w:spacing w:line="360" w:lineRule="auto"/>
        <w:jc w:val="both"/>
        <w:rPr>
          <w:rFonts w:ascii="Book Antiqua" w:hAnsi="Book Antiqua"/>
          <w:lang w:val="en-GB"/>
        </w:rPr>
      </w:pPr>
    </w:p>
    <w:p w14:paraId="61C3ED88"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i/>
          <w:color w:val="000000"/>
          <w:lang w:val="en-GB"/>
        </w:rPr>
        <w:t>Imaging examinations</w:t>
      </w:r>
    </w:p>
    <w:p w14:paraId="347C5991" w14:textId="77777777" w:rsidR="00EB3E58" w:rsidRDefault="005946F0">
      <w:pPr>
        <w:adjustRightInd w:val="0"/>
        <w:snapToGrid w:val="0"/>
        <w:spacing w:line="360" w:lineRule="auto"/>
        <w:jc w:val="both"/>
        <w:rPr>
          <w:rFonts w:ascii="Book Antiqua" w:hAnsi="Book Antiqua"/>
          <w:lang w:val="en-GB"/>
        </w:rPr>
      </w:pPr>
      <w:bookmarkStart w:id="18" w:name="OLE_LINK20"/>
      <w:bookmarkStart w:id="19" w:name="OLE_LINK19"/>
      <w:r>
        <w:rPr>
          <w:rFonts w:ascii="Book Antiqua" w:eastAsia="Book Antiqua" w:hAnsi="Book Antiqua" w:cs="Book Antiqua"/>
          <w:color w:val="000000"/>
          <w:lang w:val="en-GB"/>
        </w:rPr>
        <w:t xml:space="preserve">Bone marrow biopsy showed slight hypocellularity with an increase in macrophages exhibiting </w:t>
      </w:r>
      <w:proofErr w:type="spellStart"/>
      <w:r>
        <w:rPr>
          <w:rFonts w:ascii="Book Antiqua" w:eastAsia="Book Antiqua" w:hAnsi="Book Antiqua" w:cs="Book Antiqua"/>
          <w:color w:val="000000"/>
          <w:lang w:val="en-GB"/>
        </w:rPr>
        <w:t>haemophagocytosis</w:t>
      </w:r>
      <w:proofErr w:type="spellEnd"/>
      <w:r>
        <w:rPr>
          <w:rFonts w:ascii="Book Antiqua" w:eastAsia="Book Antiqua" w:hAnsi="Book Antiqua" w:cs="Book Antiqua"/>
          <w:color w:val="000000"/>
          <w:lang w:val="en-GB"/>
        </w:rPr>
        <w:t xml:space="preserve"> (Figure 2). </w:t>
      </w:r>
      <w:r>
        <w:rPr>
          <w:rFonts w:ascii="Book Antiqua" w:eastAsia="Book Antiqua" w:hAnsi="Book Antiqua" w:cs="Book Antiqua"/>
          <w:i/>
          <w:iCs/>
          <w:color w:val="000000"/>
          <w:lang w:val="en-GB"/>
        </w:rPr>
        <w:t>Brucella</w:t>
      </w:r>
      <w:r>
        <w:rPr>
          <w:rFonts w:ascii="Book Antiqua" w:eastAsia="Book Antiqua" w:hAnsi="Book Antiqua" w:cs="Book Antiqua"/>
          <w:color w:val="000000"/>
          <w:lang w:val="en-GB"/>
        </w:rPr>
        <w:t xml:space="preserve"> was detected by</w:t>
      </w:r>
      <w:r>
        <w:rPr>
          <w:rFonts w:ascii="Book Antiqua" w:eastAsia="Book Antiqua" w:hAnsi="Book Antiqua" w:cs="Book Antiqua"/>
          <w:color w:val="000000"/>
          <w:lang w:val="en-GB"/>
        </w:rPr>
        <w:t xml:space="preserve"> mass spectrometry (Figure 3).</w:t>
      </w:r>
    </w:p>
    <w:bookmarkEnd w:id="18"/>
    <w:bookmarkEnd w:id="19"/>
    <w:p w14:paraId="2184DD61" w14:textId="77777777" w:rsidR="00EB3E58" w:rsidRDefault="00EB3E58">
      <w:pPr>
        <w:adjustRightInd w:val="0"/>
        <w:snapToGrid w:val="0"/>
        <w:spacing w:line="360" w:lineRule="auto"/>
        <w:jc w:val="both"/>
        <w:rPr>
          <w:rFonts w:ascii="Book Antiqua" w:hAnsi="Book Antiqua"/>
          <w:lang w:val="en-GB"/>
        </w:rPr>
      </w:pPr>
    </w:p>
    <w:p w14:paraId="012D9394"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aps/>
          <w:color w:val="000000"/>
          <w:u w:val="single"/>
          <w:lang w:val="en-GB"/>
        </w:rPr>
        <w:t>FINAL DIAGNOSIS</w:t>
      </w:r>
    </w:p>
    <w:p w14:paraId="4C83573A"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The final diagnosis of the presented case was brucellosis with </w:t>
      </w:r>
      <w:proofErr w:type="spellStart"/>
      <w:r>
        <w:rPr>
          <w:rFonts w:ascii="Book Antiqua" w:eastAsia="Book Antiqua" w:hAnsi="Book Antiqua" w:cs="Book Antiqua"/>
          <w:color w:val="000000"/>
          <w:lang w:val="en-GB"/>
        </w:rPr>
        <w:t>haemophagocytic</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lymphohistiocytosis</w:t>
      </w:r>
      <w:proofErr w:type="spellEnd"/>
      <w:r>
        <w:rPr>
          <w:rFonts w:ascii="Book Antiqua" w:eastAsia="Book Antiqua" w:hAnsi="Book Antiqua" w:cs="Book Antiqua"/>
          <w:color w:val="000000"/>
          <w:lang w:val="en-GB"/>
        </w:rPr>
        <w:t>.</w:t>
      </w:r>
    </w:p>
    <w:p w14:paraId="65B62A54" w14:textId="77777777" w:rsidR="00EB3E58" w:rsidRDefault="00EB3E58">
      <w:pPr>
        <w:adjustRightInd w:val="0"/>
        <w:snapToGrid w:val="0"/>
        <w:spacing w:line="360" w:lineRule="auto"/>
        <w:jc w:val="both"/>
        <w:rPr>
          <w:rFonts w:ascii="Book Antiqua" w:hAnsi="Book Antiqua"/>
          <w:lang w:val="en-GB"/>
        </w:rPr>
      </w:pPr>
    </w:p>
    <w:p w14:paraId="1882D127"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aps/>
          <w:color w:val="000000"/>
          <w:u w:val="single"/>
          <w:lang w:val="en-GB"/>
        </w:rPr>
        <w:t>TREATMENT</w:t>
      </w:r>
    </w:p>
    <w:p w14:paraId="6D9E8993" w14:textId="77777777" w:rsidR="00EB3E58" w:rsidRDefault="005946F0">
      <w:pPr>
        <w:adjustRightInd w:val="0"/>
        <w:snapToGrid w:val="0"/>
        <w:spacing w:line="360" w:lineRule="auto"/>
        <w:jc w:val="both"/>
        <w:rPr>
          <w:rFonts w:ascii="Book Antiqua" w:hAnsi="Book Antiqua"/>
          <w:lang w:val="en-GB"/>
        </w:rPr>
      </w:pPr>
      <w:bookmarkStart w:id="20" w:name="OLE_LINK21"/>
      <w:bookmarkStart w:id="21" w:name="OLE_LINK22"/>
      <w:r>
        <w:rPr>
          <w:rFonts w:ascii="Book Antiqua" w:eastAsia="Book Antiqua" w:hAnsi="Book Antiqua" w:cs="Book Antiqua"/>
          <w:color w:val="000000"/>
          <w:lang w:val="en-GB"/>
        </w:rPr>
        <w:t xml:space="preserve">Treatment for the infection and conventional supportive therapy were administered after admission. After oral doxycycline (100 mg/dose, twice a day) and intravenous </w:t>
      </w:r>
      <w:proofErr w:type="spellStart"/>
      <w:r>
        <w:rPr>
          <w:rFonts w:ascii="Book Antiqua" w:eastAsia="Book Antiqua" w:hAnsi="Book Antiqua" w:cs="Book Antiqua"/>
          <w:color w:val="000000"/>
          <w:lang w:val="en-GB"/>
        </w:rPr>
        <w:t>cefoperazone</w:t>
      </w:r>
      <w:proofErr w:type="spellEnd"/>
      <w:r>
        <w:rPr>
          <w:rFonts w:ascii="Book Antiqua" w:eastAsia="Book Antiqua" w:hAnsi="Book Antiqua" w:cs="Book Antiqua"/>
          <w:color w:val="000000"/>
          <w:lang w:val="en-GB"/>
        </w:rPr>
        <w:t xml:space="preserve">/sulbactam (3000 mg/dose, twice a day) for 4 d, the fever disappeared, and the </w:t>
      </w:r>
      <w:r>
        <w:rPr>
          <w:rFonts w:ascii="Book Antiqua" w:eastAsia="Book Antiqua" w:hAnsi="Book Antiqua" w:cs="Book Antiqua"/>
          <w:color w:val="000000"/>
          <w:lang w:val="en-GB"/>
        </w:rPr>
        <w:t xml:space="preserve">body temperature was normal (Figure 4). </w:t>
      </w:r>
    </w:p>
    <w:bookmarkEnd w:id="20"/>
    <w:bookmarkEnd w:id="21"/>
    <w:p w14:paraId="7610C662" w14:textId="77777777" w:rsidR="00EB3E58" w:rsidRDefault="00EB3E58">
      <w:pPr>
        <w:adjustRightInd w:val="0"/>
        <w:snapToGrid w:val="0"/>
        <w:spacing w:line="360" w:lineRule="auto"/>
        <w:jc w:val="both"/>
        <w:rPr>
          <w:rFonts w:ascii="Book Antiqua" w:hAnsi="Book Antiqua"/>
          <w:lang w:val="en-GB"/>
        </w:rPr>
      </w:pPr>
    </w:p>
    <w:p w14:paraId="7C9792B6"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aps/>
          <w:color w:val="000000"/>
          <w:u w:val="single"/>
          <w:lang w:val="en-GB"/>
        </w:rPr>
        <w:t>OUTCOME AND FOLLOW-UP</w:t>
      </w:r>
    </w:p>
    <w:p w14:paraId="5DE44CB9"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The laboratory data of day 10 showed recovery. The patient was subsequently discharged from our hospital.</w:t>
      </w:r>
    </w:p>
    <w:p w14:paraId="1A6031BF" w14:textId="77777777" w:rsidR="00EB3E58" w:rsidRDefault="00EB3E58">
      <w:pPr>
        <w:adjustRightInd w:val="0"/>
        <w:snapToGrid w:val="0"/>
        <w:spacing w:line="360" w:lineRule="auto"/>
        <w:jc w:val="both"/>
        <w:rPr>
          <w:rFonts w:ascii="Book Antiqua" w:hAnsi="Book Antiqua"/>
          <w:lang w:val="en-GB"/>
        </w:rPr>
      </w:pPr>
    </w:p>
    <w:p w14:paraId="77612C5F"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aps/>
          <w:color w:val="000000"/>
          <w:u w:val="single"/>
          <w:lang w:val="en-GB"/>
        </w:rPr>
        <w:t>DISCUSSION</w:t>
      </w:r>
    </w:p>
    <w:p w14:paraId="65F03D5C" w14:textId="77777777" w:rsidR="00EB3E58" w:rsidRDefault="005946F0">
      <w:pPr>
        <w:adjustRightInd w:val="0"/>
        <w:snapToGrid w:val="0"/>
        <w:spacing w:line="360" w:lineRule="auto"/>
        <w:jc w:val="both"/>
        <w:rPr>
          <w:rFonts w:ascii="Book Antiqua" w:hAnsi="Book Antiqua"/>
          <w:lang w:val="en-GB"/>
        </w:rPr>
      </w:pPr>
      <w:bookmarkStart w:id="22" w:name="OLE_LINK24"/>
      <w:bookmarkStart w:id="23" w:name="OLE_LINK23"/>
      <w:r>
        <w:rPr>
          <w:rFonts w:ascii="Book Antiqua" w:eastAsia="Book Antiqua" w:hAnsi="Book Antiqua" w:cs="Book Antiqua"/>
          <w:color w:val="000000"/>
          <w:lang w:val="en-GB"/>
        </w:rPr>
        <w:t xml:space="preserve">Brucellosis is a zoonotic disease caused by bacteria of the </w:t>
      </w:r>
      <w:r>
        <w:rPr>
          <w:rFonts w:ascii="Book Antiqua" w:eastAsia="Book Antiqua" w:hAnsi="Book Antiqua" w:cs="Book Antiqua"/>
          <w:i/>
          <w:iCs/>
          <w:color w:val="000000"/>
          <w:lang w:val="en-GB"/>
        </w:rPr>
        <w:t>Brucella</w:t>
      </w:r>
      <w:r>
        <w:rPr>
          <w:rFonts w:ascii="Book Antiqua" w:eastAsia="Book Antiqua" w:hAnsi="Book Antiqua" w:cs="Book Antiqua"/>
          <w:color w:val="000000"/>
          <w:lang w:val="en-GB"/>
        </w:rPr>
        <w:t xml:space="preserve"> speci</w:t>
      </w:r>
      <w:r>
        <w:rPr>
          <w:rFonts w:ascii="Book Antiqua" w:eastAsia="Book Antiqua" w:hAnsi="Book Antiqua" w:cs="Book Antiqua"/>
          <w:color w:val="000000"/>
          <w:lang w:val="en-GB"/>
        </w:rPr>
        <w:t>es</w:t>
      </w:r>
      <w:r>
        <w:rPr>
          <w:rFonts w:ascii="Book Antiqua" w:eastAsia="Book Antiqua" w:hAnsi="Book Antiqua" w:cs="Book Antiqua"/>
          <w:color w:val="000000"/>
          <w:vertAlign w:val="superscript"/>
          <w:lang w:val="en-GB"/>
        </w:rPr>
        <w:t>[4,5]</w:t>
      </w:r>
      <w:r>
        <w:rPr>
          <w:rFonts w:ascii="Book Antiqua" w:eastAsia="Book Antiqua" w:hAnsi="Book Antiqua" w:cs="Book Antiqua"/>
          <w:color w:val="000000"/>
          <w:lang w:val="en-GB"/>
        </w:rPr>
        <w:t xml:space="preserve">. Diagnostic criteria include the epidemiologic history, clinical manifestations, and </w:t>
      </w:r>
      <w:r>
        <w:rPr>
          <w:rFonts w:ascii="Book Antiqua" w:eastAsia="Book Antiqua" w:hAnsi="Book Antiqua" w:cs="Book Antiqua"/>
          <w:i/>
          <w:iCs/>
          <w:color w:val="000000"/>
          <w:lang w:val="en-GB"/>
        </w:rPr>
        <w:t>Brucella</w:t>
      </w:r>
      <w:r>
        <w:rPr>
          <w:rFonts w:ascii="Book Antiqua" w:eastAsia="Book Antiqua" w:hAnsi="Book Antiqua" w:cs="Book Antiqua"/>
          <w:color w:val="000000"/>
          <w:lang w:val="en-GB"/>
        </w:rPr>
        <w:t xml:space="preserve"> detection</w:t>
      </w:r>
      <w:r>
        <w:rPr>
          <w:rFonts w:ascii="Book Antiqua" w:eastAsia="Book Antiqua" w:hAnsi="Book Antiqua" w:cs="Book Antiqua"/>
          <w:color w:val="000000"/>
          <w:vertAlign w:val="superscript"/>
          <w:lang w:val="en-GB"/>
        </w:rPr>
        <w:t>[6]</w:t>
      </w:r>
      <w:r>
        <w:rPr>
          <w:rFonts w:ascii="Book Antiqua" w:eastAsia="Book Antiqua" w:hAnsi="Book Antiqua" w:cs="Book Antiqua"/>
          <w:color w:val="000000"/>
          <w:lang w:val="en-GB"/>
        </w:rPr>
        <w:t xml:space="preserve">. In this case, we identified </w:t>
      </w:r>
      <w:r>
        <w:rPr>
          <w:rFonts w:ascii="Book Antiqua" w:eastAsia="Book Antiqua" w:hAnsi="Book Antiqua" w:cs="Book Antiqua"/>
          <w:i/>
          <w:iCs/>
          <w:color w:val="000000"/>
          <w:lang w:val="en-GB"/>
        </w:rPr>
        <w:t>Brucella</w:t>
      </w:r>
      <w:r>
        <w:rPr>
          <w:rFonts w:ascii="Book Antiqua" w:eastAsia="Book Antiqua" w:hAnsi="Book Antiqua" w:cs="Book Antiqua"/>
          <w:color w:val="000000"/>
          <w:lang w:val="en-GB"/>
        </w:rPr>
        <w:t xml:space="preserve"> by blood culture and mass </w:t>
      </w:r>
      <w:r>
        <w:rPr>
          <w:rFonts w:ascii="Book Antiqua" w:eastAsia="Book Antiqua" w:hAnsi="Book Antiqua" w:cs="Book Antiqua"/>
          <w:color w:val="000000"/>
          <w:lang w:val="en-GB"/>
        </w:rPr>
        <w:lastRenderedPageBreak/>
        <w:t xml:space="preserve">spectrometry. This was a case of brucellosis with secondary </w:t>
      </w:r>
      <w:proofErr w:type="spellStart"/>
      <w:r>
        <w:rPr>
          <w:rFonts w:ascii="Book Antiqua" w:eastAsia="Book Antiqua" w:hAnsi="Book Antiqua" w:cs="Book Antiqua"/>
          <w:color w:val="000000"/>
          <w:lang w:val="en-GB"/>
        </w:rPr>
        <w:t>haemophagocytic</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l</w:t>
      </w:r>
      <w:r>
        <w:rPr>
          <w:rFonts w:ascii="Book Antiqua" w:eastAsia="Book Antiqua" w:hAnsi="Book Antiqua" w:cs="Book Antiqua"/>
          <w:color w:val="000000"/>
          <w:lang w:val="en-GB"/>
        </w:rPr>
        <w:t>ymphohistiocytosis</w:t>
      </w:r>
      <w:proofErr w:type="spellEnd"/>
      <w:r>
        <w:rPr>
          <w:rFonts w:ascii="Book Antiqua" w:eastAsia="Book Antiqua" w:hAnsi="Book Antiqua" w:cs="Book Antiqua"/>
          <w:color w:val="000000"/>
          <w:lang w:val="en-GB"/>
        </w:rPr>
        <w:t>. After treatment with anti-</w:t>
      </w:r>
      <w:r>
        <w:rPr>
          <w:rFonts w:ascii="Book Antiqua" w:eastAsia="Book Antiqua" w:hAnsi="Book Antiqua" w:cs="Book Antiqua"/>
          <w:i/>
          <w:iCs/>
          <w:color w:val="000000"/>
          <w:lang w:val="en-GB"/>
        </w:rPr>
        <w:t>brucella</w:t>
      </w:r>
      <w:r>
        <w:rPr>
          <w:rFonts w:ascii="Book Antiqua" w:eastAsia="Book Antiqua" w:hAnsi="Book Antiqua" w:cs="Book Antiqua"/>
          <w:color w:val="000000"/>
          <w:lang w:val="en-GB"/>
        </w:rPr>
        <w:t xml:space="preserve"> drugs, the </w:t>
      </w:r>
      <w:proofErr w:type="spellStart"/>
      <w:r>
        <w:rPr>
          <w:rFonts w:ascii="Book Antiqua" w:eastAsia="Book Antiqua" w:hAnsi="Book Antiqua" w:cs="Book Antiqua"/>
          <w:color w:val="000000"/>
          <w:lang w:val="en-GB"/>
        </w:rPr>
        <w:t>haemogram</w:t>
      </w:r>
      <w:proofErr w:type="spellEnd"/>
      <w:r>
        <w:rPr>
          <w:rFonts w:ascii="Book Antiqua" w:eastAsia="Book Antiqua" w:hAnsi="Book Antiqua" w:cs="Book Antiqua"/>
          <w:color w:val="000000"/>
          <w:lang w:val="en-GB"/>
        </w:rPr>
        <w:t xml:space="preserve"> became normal.</w:t>
      </w:r>
    </w:p>
    <w:p w14:paraId="4C6ECE35" w14:textId="77777777" w:rsidR="00EB3E58" w:rsidRDefault="005946F0">
      <w:pPr>
        <w:adjustRightInd w:val="0"/>
        <w:snapToGrid w:val="0"/>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t>Generally, brucellosis develops after exposure to infected animals or contaminated products such as milk</w:t>
      </w:r>
      <w:r>
        <w:rPr>
          <w:rFonts w:ascii="Book Antiqua" w:eastAsia="Book Antiqua" w:hAnsi="Book Antiqua" w:cs="Book Antiqua"/>
          <w:color w:val="000000"/>
          <w:vertAlign w:val="superscript"/>
          <w:lang w:val="en-GB"/>
        </w:rPr>
        <w:t>[7-9]</w:t>
      </w:r>
      <w:r>
        <w:rPr>
          <w:rFonts w:ascii="Book Antiqua" w:eastAsia="Book Antiqua" w:hAnsi="Book Antiqua" w:cs="Book Antiqua"/>
          <w:color w:val="000000"/>
          <w:lang w:val="en-GB"/>
        </w:rPr>
        <w:t>. It should be noted that this patient lacked any histor</w:t>
      </w:r>
      <w:r>
        <w:rPr>
          <w:rFonts w:ascii="Book Antiqua" w:eastAsia="Book Antiqua" w:hAnsi="Book Antiqua" w:cs="Book Antiqua"/>
          <w:color w:val="000000"/>
          <w:lang w:val="en-GB"/>
        </w:rPr>
        <w:t>y of exposure to these predefined epidemiologic factors. Interestingly, more and more unexplained infected cases have occurred. Recently, two cases of infective endocarditis in injection drug users without zoonotic exposure have been reported</w:t>
      </w:r>
      <w:r>
        <w:rPr>
          <w:rFonts w:ascii="Book Antiqua" w:eastAsia="Book Antiqua" w:hAnsi="Book Antiqua" w:cs="Book Antiqua"/>
          <w:color w:val="000000"/>
          <w:vertAlign w:val="superscript"/>
          <w:lang w:val="en-GB"/>
        </w:rPr>
        <w:t>[10]</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Zange</w:t>
      </w:r>
      <w:proofErr w:type="spellEnd"/>
      <w:r>
        <w:rPr>
          <w:rFonts w:ascii="Book Antiqua" w:eastAsia="Book Antiqua" w:hAnsi="Book Antiqua" w:cs="Book Antiqua"/>
          <w:color w:val="000000"/>
          <w:lang w:val="en-GB"/>
        </w:rPr>
        <w:t xml:space="preserve"> </w:t>
      </w:r>
      <w:r>
        <w:rPr>
          <w:rFonts w:ascii="Book Antiqua" w:eastAsia="Book Antiqua" w:hAnsi="Book Antiqua" w:cs="Book Antiqua"/>
          <w:i/>
          <w:iCs/>
          <w:color w:val="000000"/>
          <w:lang w:val="en-GB"/>
        </w:rPr>
        <w:t>et</w:t>
      </w:r>
      <w:r>
        <w:rPr>
          <w:rFonts w:ascii="Book Antiqua" w:eastAsia="Book Antiqua" w:hAnsi="Book Antiqua" w:cs="Book Antiqua"/>
          <w:i/>
          <w:iCs/>
          <w:color w:val="000000"/>
          <w:lang w:val="en-GB"/>
        </w:rPr>
        <w:t xml:space="preserve"> al</w:t>
      </w:r>
      <w:r>
        <w:rPr>
          <w:rFonts w:ascii="Book Antiqua" w:eastAsia="Book Antiqua" w:hAnsi="Book Antiqua" w:cs="Book Antiqua"/>
          <w:color w:val="000000"/>
          <w:vertAlign w:val="superscript"/>
          <w:lang w:val="en-GB"/>
        </w:rPr>
        <w:t xml:space="preserve">[11] </w:t>
      </w:r>
      <w:r>
        <w:rPr>
          <w:rFonts w:ascii="Book Antiqua" w:eastAsia="Book Antiqua" w:hAnsi="Book Antiqua" w:cs="Book Antiqua"/>
          <w:color w:val="000000"/>
          <w:lang w:val="en-GB"/>
        </w:rPr>
        <w:t>reported a patient with brucellosis who had no travel history, no exposure to unpasteurised dairy products, no animal contact, and no insect bites. The patient’s ingested meat samples also showed negative results in polymerase chain reaction testin</w:t>
      </w:r>
      <w:r>
        <w:rPr>
          <w:rFonts w:ascii="Book Antiqua" w:eastAsia="Book Antiqua" w:hAnsi="Book Antiqua" w:cs="Book Antiqua"/>
          <w:color w:val="000000"/>
          <w:lang w:val="en-GB"/>
        </w:rPr>
        <w:t xml:space="preserve">g and microbiological cultures for </w:t>
      </w:r>
      <w:r>
        <w:rPr>
          <w:rFonts w:ascii="Book Antiqua" w:eastAsia="Book Antiqua" w:hAnsi="Book Antiqua" w:cs="Book Antiqua"/>
          <w:i/>
          <w:iCs/>
          <w:color w:val="000000"/>
          <w:lang w:val="en-GB"/>
        </w:rPr>
        <w:t>Brucella</w:t>
      </w:r>
      <w:r>
        <w:rPr>
          <w:rFonts w:ascii="Book Antiqua" w:eastAsia="Book Antiqua" w:hAnsi="Book Antiqua" w:cs="Book Antiqua"/>
          <w:color w:val="000000"/>
          <w:lang w:val="en-GB"/>
        </w:rPr>
        <w:t xml:space="preserve"> species. Hence, from these reports, it is recommended to pay attention to unexplained infected individuals in whom an accurate diagnosis may have been missed. The patient in this present case denied any exposure to animals or contaminated products. Before</w:t>
      </w:r>
      <w:r>
        <w:rPr>
          <w:rFonts w:ascii="Book Antiqua" w:eastAsia="Book Antiqua" w:hAnsi="Book Antiqua" w:cs="Book Antiqua"/>
          <w:color w:val="000000"/>
          <w:lang w:val="en-GB"/>
        </w:rPr>
        <w:t xml:space="preserve"> the detection of </w:t>
      </w:r>
      <w:r>
        <w:rPr>
          <w:rFonts w:ascii="Book Antiqua" w:eastAsia="Book Antiqua" w:hAnsi="Book Antiqua" w:cs="Book Antiqua"/>
          <w:i/>
          <w:iCs/>
          <w:color w:val="000000"/>
          <w:lang w:val="en-GB"/>
        </w:rPr>
        <w:t>Brucella</w:t>
      </w:r>
      <w:r>
        <w:rPr>
          <w:rFonts w:ascii="Book Antiqua" w:eastAsia="Book Antiqua" w:hAnsi="Book Antiqua" w:cs="Book Antiqua"/>
          <w:color w:val="000000"/>
          <w:lang w:val="en-GB"/>
        </w:rPr>
        <w:t>, the absence of epidemiologic factors contributed to misdiagnosis, especially before the results of aetiological examination. Thus, in all unexplained, infectious febrile patients admitted to hospitals, it is necessary to use bro</w:t>
      </w:r>
      <w:r>
        <w:rPr>
          <w:rFonts w:ascii="Book Antiqua" w:eastAsia="Book Antiqua" w:hAnsi="Book Antiqua" w:cs="Book Antiqua"/>
          <w:color w:val="000000"/>
          <w:lang w:val="en-GB"/>
        </w:rPr>
        <w:t xml:space="preserve">ad-spectrum antibiotics. Moreover, it is also warranted to consider rare pathogenic bacteria, such as </w:t>
      </w:r>
      <w:r>
        <w:rPr>
          <w:rFonts w:ascii="Book Antiqua" w:eastAsia="Book Antiqua" w:hAnsi="Book Antiqua" w:cs="Book Antiqua"/>
          <w:i/>
          <w:iCs/>
          <w:color w:val="000000"/>
          <w:lang w:val="en-GB"/>
        </w:rPr>
        <w:t>Brucella</w:t>
      </w:r>
      <w:r>
        <w:rPr>
          <w:rFonts w:ascii="Book Antiqua" w:eastAsia="Book Antiqua" w:hAnsi="Book Antiqua" w:cs="Book Antiqua"/>
          <w:color w:val="000000"/>
          <w:lang w:val="en-GB"/>
        </w:rPr>
        <w:t xml:space="preserve">. </w:t>
      </w:r>
    </w:p>
    <w:p w14:paraId="51E9B4A6" w14:textId="77777777" w:rsidR="00EB3E58" w:rsidRDefault="005946F0">
      <w:pPr>
        <w:adjustRightInd w:val="0"/>
        <w:snapToGrid w:val="0"/>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t xml:space="preserve">Other concerns in this case report were the indicators of inflammation. </w:t>
      </w:r>
      <w:r>
        <w:rPr>
          <w:rFonts w:ascii="Book Antiqua" w:eastAsia="Book Antiqua" w:hAnsi="Book Antiqua" w:cs="Book Antiqua"/>
          <w:i/>
          <w:iCs/>
          <w:color w:val="000000"/>
          <w:lang w:val="en-GB"/>
        </w:rPr>
        <w:t>Brucella</w:t>
      </w:r>
      <w:r>
        <w:rPr>
          <w:rFonts w:ascii="Book Antiqua" w:eastAsia="Book Antiqua" w:hAnsi="Book Antiqua" w:cs="Book Antiqua"/>
          <w:color w:val="000000"/>
          <w:lang w:val="en-GB"/>
        </w:rPr>
        <w:t xml:space="preserve"> is a gram-negative bacterium, and the detection of C-reactive </w:t>
      </w:r>
      <w:r>
        <w:rPr>
          <w:rFonts w:ascii="Book Antiqua" w:eastAsia="Book Antiqua" w:hAnsi="Book Antiqua" w:cs="Book Antiqua"/>
          <w:color w:val="000000"/>
          <w:lang w:val="en-GB"/>
        </w:rPr>
        <w:t>protein, procalcitonin, and ferritin contribute to the severity of the inflammation. However, we noticed that C-reactive protein and ferritin levels showed a typical rising at the time of onset, although procalcitonin levels were below normal during hospit</w:t>
      </w:r>
      <w:r>
        <w:rPr>
          <w:rFonts w:ascii="Book Antiqua" w:eastAsia="Book Antiqua" w:hAnsi="Book Antiqua" w:cs="Book Antiqua"/>
          <w:color w:val="000000"/>
          <w:lang w:val="en-GB"/>
        </w:rPr>
        <w:t>alisation. Obviously, procalcitonin levels did not correlate with the severity of illness. Incidentally, changes in procalcitonin levels may not be reflective of the severity of brucellosis.</w:t>
      </w:r>
    </w:p>
    <w:bookmarkEnd w:id="22"/>
    <w:bookmarkEnd w:id="23"/>
    <w:p w14:paraId="0DC425A4" w14:textId="77777777" w:rsidR="00EB3E58" w:rsidRDefault="00EB3E58">
      <w:pPr>
        <w:adjustRightInd w:val="0"/>
        <w:snapToGrid w:val="0"/>
        <w:spacing w:line="360" w:lineRule="auto"/>
        <w:jc w:val="both"/>
        <w:rPr>
          <w:rFonts w:ascii="Book Antiqua" w:hAnsi="Book Antiqua"/>
          <w:lang w:val="en-GB"/>
        </w:rPr>
      </w:pPr>
    </w:p>
    <w:p w14:paraId="38E4B62E"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aps/>
          <w:color w:val="000000"/>
          <w:u w:val="single"/>
          <w:lang w:val="en-GB"/>
        </w:rPr>
        <w:t>CONCLUSION</w:t>
      </w:r>
    </w:p>
    <w:p w14:paraId="392DE5FE"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lastRenderedPageBreak/>
        <w:t>Brucellosis cannot be excluded in patients with clini</w:t>
      </w:r>
      <w:r>
        <w:rPr>
          <w:rFonts w:ascii="Book Antiqua" w:eastAsia="Book Antiqua" w:hAnsi="Book Antiqua" w:cs="Book Antiqua"/>
          <w:color w:val="000000"/>
          <w:lang w:val="en-GB"/>
        </w:rPr>
        <w:t xml:space="preserve">cally unexplained fever, even in those without epidemiologic history. Before obtaining the aetiology test results, the administered antibiotics should cover rare pathogens, such as </w:t>
      </w:r>
      <w:r>
        <w:rPr>
          <w:rFonts w:ascii="Book Antiqua" w:eastAsia="Book Antiqua" w:hAnsi="Book Antiqua" w:cs="Book Antiqua"/>
          <w:i/>
          <w:iCs/>
          <w:color w:val="000000"/>
          <w:lang w:val="en-GB"/>
        </w:rPr>
        <w:t>Brucella</w:t>
      </w:r>
      <w:r>
        <w:rPr>
          <w:rFonts w:ascii="Book Antiqua" w:eastAsia="Book Antiqua" w:hAnsi="Book Antiqua" w:cs="Book Antiqua"/>
          <w:color w:val="000000"/>
          <w:lang w:val="en-GB"/>
        </w:rPr>
        <w:t xml:space="preserve">, which could prevent the timely exacerbation of the disease. </w:t>
      </w:r>
    </w:p>
    <w:p w14:paraId="30DD0E9A" w14:textId="77777777" w:rsidR="00EB3E58" w:rsidRDefault="00EB3E58">
      <w:pPr>
        <w:adjustRightInd w:val="0"/>
        <w:snapToGrid w:val="0"/>
        <w:spacing w:line="360" w:lineRule="auto"/>
        <w:jc w:val="both"/>
        <w:rPr>
          <w:rFonts w:ascii="Book Antiqua" w:hAnsi="Book Antiqua"/>
          <w:lang w:val="en-GB"/>
        </w:rPr>
      </w:pPr>
    </w:p>
    <w:p w14:paraId="2B85EECE"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aps/>
          <w:color w:val="000000"/>
          <w:u w:val="single"/>
          <w:lang w:val="en-GB"/>
        </w:rPr>
        <w:t>ACK</w:t>
      </w:r>
      <w:r>
        <w:rPr>
          <w:rFonts w:ascii="Book Antiqua" w:eastAsia="Book Antiqua" w:hAnsi="Book Antiqua" w:cs="Book Antiqua"/>
          <w:b/>
          <w:caps/>
          <w:color w:val="000000"/>
          <w:u w:val="single"/>
          <w:lang w:val="en-GB"/>
        </w:rPr>
        <w:t>NOWLEDGEMENTS</w:t>
      </w:r>
    </w:p>
    <w:p w14:paraId="4C272BE7"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We thank our patient who agreed to the publication of this case report and provided information.</w:t>
      </w:r>
    </w:p>
    <w:p w14:paraId="15CC194F" w14:textId="77777777" w:rsidR="00EB3E58" w:rsidRDefault="00EB3E58">
      <w:pPr>
        <w:adjustRightInd w:val="0"/>
        <w:snapToGrid w:val="0"/>
        <w:spacing w:line="360" w:lineRule="auto"/>
        <w:jc w:val="both"/>
        <w:rPr>
          <w:rFonts w:ascii="Book Antiqua" w:hAnsi="Book Antiqua"/>
          <w:lang w:val="en-GB"/>
        </w:rPr>
      </w:pPr>
    </w:p>
    <w:p w14:paraId="51F39DC0"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REFERENCES</w:t>
      </w:r>
    </w:p>
    <w:p w14:paraId="09F7B57B"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1 </w:t>
      </w:r>
      <w:r>
        <w:rPr>
          <w:rFonts w:ascii="Book Antiqua" w:eastAsia="Book Antiqua" w:hAnsi="Book Antiqua" w:cs="Book Antiqua"/>
          <w:b/>
          <w:bCs/>
          <w:color w:val="000000"/>
          <w:lang w:val="en-GB"/>
        </w:rPr>
        <w:t>Franco MP</w:t>
      </w:r>
      <w:r>
        <w:rPr>
          <w:rFonts w:ascii="Book Antiqua" w:eastAsia="Book Antiqua" w:hAnsi="Book Antiqua" w:cs="Book Antiqua"/>
          <w:color w:val="000000"/>
          <w:lang w:val="en-GB"/>
        </w:rPr>
        <w:t xml:space="preserve">, Mulder M, Gilman RH, Smits HL. Human brucellosis. </w:t>
      </w:r>
      <w:r>
        <w:rPr>
          <w:rFonts w:ascii="Book Antiqua" w:eastAsia="Book Antiqua" w:hAnsi="Book Antiqua" w:cs="Book Antiqua"/>
          <w:i/>
          <w:iCs/>
          <w:color w:val="000000"/>
          <w:lang w:val="en-GB"/>
        </w:rPr>
        <w:t>Lancet Infect Dis</w:t>
      </w:r>
      <w:r>
        <w:rPr>
          <w:rFonts w:ascii="Book Antiqua" w:eastAsia="Book Antiqua" w:hAnsi="Book Antiqua" w:cs="Book Antiqua"/>
          <w:color w:val="000000"/>
          <w:lang w:val="en-GB"/>
        </w:rPr>
        <w:t xml:space="preserve"> 2007; </w:t>
      </w:r>
      <w:r>
        <w:rPr>
          <w:rFonts w:ascii="Book Antiqua" w:eastAsia="Book Antiqua" w:hAnsi="Book Antiqua" w:cs="Book Antiqua"/>
          <w:b/>
          <w:bCs/>
          <w:color w:val="000000"/>
          <w:lang w:val="en-GB"/>
        </w:rPr>
        <w:t>7</w:t>
      </w:r>
      <w:r>
        <w:rPr>
          <w:rFonts w:ascii="Book Antiqua" w:eastAsia="Book Antiqua" w:hAnsi="Book Antiqua" w:cs="Book Antiqua"/>
          <w:color w:val="000000"/>
          <w:lang w:val="en-GB"/>
        </w:rPr>
        <w:t>: 775-786 [PMID: 18045560 DOI: 10.1016/S1473-</w:t>
      </w:r>
      <w:r>
        <w:rPr>
          <w:rFonts w:ascii="Book Antiqua" w:eastAsia="Book Antiqua" w:hAnsi="Book Antiqua" w:cs="Book Antiqua"/>
          <w:color w:val="000000"/>
          <w:lang w:val="en-GB"/>
        </w:rPr>
        <w:t>3099(07)70286-4]</w:t>
      </w:r>
    </w:p>
    <w:p w14:paraId="7EF9E448"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2 </w:t>
      </w:r>
      <w:r>
        <w:rPr>
          <w:rFonts w:ascii="Book Antiqua" w:eastAsia="Book Antiqua" w:hAnsi="Book Antiqua" w:cs="Book Antiqua"/>
          <w:b/>
          <w:bCs/>
          <w:color w:val="000000"/>
          <w:lang w:val="en-GB"/>
        </w:rPr>
        <w:t xml:space="preserve">de </w:t>
      </w:r>
      <w:proofErr w:type="spellStart"/>
      <w:r>
        <w:rPr>
          <w:rFonts w:ascii="Book Antiqua" w:eastAsia="Book Antiqua" w:hAnsi="Book Antiqua" w:cs="Book Antiqua"/>
          <w:b/>
          <w:bCs/>
          <w:color w:val="000000"/>
          <w:lang w:val="en-GB"/>
        </w:rPr>
        <w:t>Figueiredo</w:t>
      </w:r>
      <w:proofErr w:type="spellEnd"/>
      <w:r>
        <w:rPr>
          <w:rFonts w:ascii="Book Antiqua" w:eastAsia="Book Antiqua" w:hAnsi="Book Antiqua" w:cs="Book Antiqua"/>
          <w:b/>
          <w:bCs/>
          <w:color w:val="000000"/>
          <w:lang w:val="en-GB"/>
        </w:rPr>
        <w:t xml:space="preserve"> P</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Ficht</w:t>
      </w:r>
      <w:proofErr w:type="spellEnd"/>
      <w:r>
        <w:rPr>
          <w:rFonts w:ascii="Book Antiqua" w:eastAsia="Book Antiqua" w:hAnsi="Book Antiqua" w:cs="Book Antiqua"/>
          <w:color w:val="000000"/>
          <w:lang w:val="en-GB"/>
        </w:rPr>
        <w:t xml:space="preserve"> TA, Rice-</w:t>
      </w:r>
      <w:proofErr w:type="spellStart"/>
      <w:r>
        <w:rPr>
          <w:rFonts w:ascii="Book Antiqua" w:eastAsia="Book Antiqua" w:hAnsi="Book Antiqua" w:cs="Book Antiqua"/>
          <w:color w:val="000000"/>
          <w:lang w:val="en-GB"/>
        </w:rPr>
        <w:t>Ficht</w:t>
      </w:r>
      <w:proofErr w:type="spellEnd"/>
      <w:r>
        <w:rPr>
          <w:rFonts w:ascii="Book Antiqua" w:eastAsia="Book Antiqua" w:hAnsi="Book Antiqua" w:cs="Book Antiqua"/>
          <w:color w:val="000000"/>
          <w:lang w:val="en-GB"/>
        </w:rPr>
        <w:t xml:space="preserve"> A, Rossetti CA, Adams LG. Pathogenesis and immunobiology of brucellosis: review of Brucella-host interactions. </w:t>
      </w:r>
      <w:r>
        <w:rPr>
          <w:rFonts w:ascii="Book Antiqua" w:eastAsia="Book Antiqua" w:hAnsi="Book Antiqua" w:cs="Book Antiqua"/>
          <w:i/>
          <w:iCs/>
          <w:color w:val="000000"/>
          <w:lang w:val="en-GB"/>
        </w:rPr>
        <w:t xml:space="preserve">Am J </w:t>
      </w:r>
      <w:proofErr w:type="spellStart"/>
      <w:r>
        <w:rPr>
          <w:rFonts w:ascii="Book Antiqua" w:eastAsia="Book Antiqua" w:hAnsi="Book Antiqua" w:cs="Book Antiqua"/>
          <w:i/>
          <w:iCs/>
          <w:color w:val="000000"/>
          <w:lang w:val="en-GB"/>
        </w:rPr>
        <w:t>Pathol</w:t>
      </w:r>
      <w:proofErr w:type="spellEnd"/>
      <w:r>
        <w:rPr>
          <w:rFonts w:ascii="Book Antiqua" w:eastAsia="Book Antiqua" w:hAnsi="Book Antiqua" w:cs="Book Antiqua"/>
          <w:color w:val="000000"/>
          <w:lang w:val="en-GB"/>
        </w:rPr>
        <w:t xml:space="preserve"> 2015; </w:t>
      </w:r>
      <w:r>
        <w:rPr>
          <w:rFonts w:ascii="Book Antiqua" w:eastAsia="Book Antiqua" w:hAnsi="Book Antiqua" w:cs="Book Antiqua"/>
          <w:b/>
          <w:bCs/>
          <w:color w:val="000000"/>
          <w:lang w:val="en-GB"/>
        </w:rPr>
        <w:t>185</w:t>
      </w:r>
      <w:r>
        <w:rPr>
          <w:rFonts w:ascii="Book Antiqua" w:eastAsia="Book Antiqua" w:hAnsi="Book Antiqua" w:cs="Book Antiqua"/>
          <w:color w:val="000000"/>
          <w:lang w:val="en-GB"/>
        </w:rPr>
        <w:t>: 1505-1517 [PMID: 25892682 DOI: 10.1016/j.ajpath.2015.03.003]</w:t>
      </w:r>
    </w:p>
    <w:p w14:paraId="53B78BA0"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3 </w:t>
      </w:r>
      <w:r>
        <w:rPr>
          <w:rFonts w:ascii="Book Antiqua" w:eastAsia="Book Antiqua" w:hAnsi="Book Antiqua" w:cs="Book Antiqua"/>
          <w:b/>
          <w:bCs/>
          <w:color w:val="000000"/>
          <w:lang w:val="en-GB"/>
        </w:rPr>
        <w:t>De</w:t>
      </w:r>
      <w:r>
        <w:rPr>
          <w:rFonts w:ascii="Book Antiqua" w:eastAsia="Book Antiqua" w:hAnsi="Book Antiqua" w:cs="Book Antiqua"/>
          <w:b/>
          <w:bCs/>
          <w:color w:val="000000"/>
          <w:lang w:val="en-GB"/>
        </w:rPr>
        <w:t>an AS</w:t>
      </w:r>
      <w:r>
        <w:rPr>
          <w:rFonts w:ascii="Book Antiqua" w:eastAsia="Book Antiqua" w:hAnsi="Book Antiqua" w:cs="Book Antiqua"/>
          <w:color w:val="000000"/>
          <w:lang w:val="en-GB"/>
        </w:rPr>
        <w:t xml:space="preserve">, Crump L, </w:t>
      </w:r>
      <w:proofErr w:type="spellStart"/>
      <w:r>
        <w:rPr>
          <w:rFonts w:ascii="Book Antiqua" w:eastAsia="Book Antiqua" w:hAnsi="Book Antiqua" w:cs="Book Antiqua"/>
          <w:color w:val="000000"/>
          <w:lang w:val="en-GB"/>
        </w:rPr>
        <w:t>Greter</w:t>
      </w:r>
      <w:proofErr w:type="spellEnd"/>
      <w:r>
        <w:rPr>
          <w:rFonts w:ascii="Book Antiqua" w:eastAsia="Book Antiqua" w:hAnsi="Book Antiqua" w:cs="Book Antiqua"/>
          <w:color w:val="000000"/>
          <w:lang w:val="en-GB"/>
        </w:rPr>
        <w:t xml:space="preserve"> H, </w:t>
      </w:r>
      <w:proofErr w:type="spellStart"/>
      <w:r>
        <w:rPr>
          <w:rFonts w:ascii="Book Antiqua" w:eastAsia="Book Antiqua" w:hAnsi="Book Antiqua" w:cs="Book Antiqua"/>
          <w:color w:val="000000"/>
          <w:lang w:val="en-GB"/>
        </w:rPr>
        <w:t>Hattendorf</w:t>
      </w:r>
      <w:proofErr w:type="spellEnd"/>
      <w:r>
        <w:rPr>
          <w:rFonts w:ascii="Book Antiqua" w:eastAsia="Book Antiqua" w:hAnsi="Book Antiqua" w:cs="Book Antiqua"/>
          <w:color w:val="000000"/>
          <w:lang w:val="en-GB"/>
        </w:rPr>
        <w:t xml:space="preserve"> J, Schelling E, </w:t>
      </w:r>
      <w:proofErr w:type="spellStart"/>
      <w:r>
        <w:rPr>
          <w:rFonts w:ascii="Book Antiqua" w:eastAsia="Book Antiqua" w:hAnsi="Book Antiqua" w:cs="Book Antiqua"/>
          <w:color w:val="000000"/>
          <w:lang w:val="en-GB"/>
        </w:rPr>
        <w:t>Zinsstag</w:t>
      </w:r>
      <w:proofErr w:type="spellEnd"/>
      <w:r>
        <w:rPr>
          <w:rFonts w:ascii="Book Antiqua" w:eastAsia="Book Antiqua" w:hAnsi="Book Antiqua" w:cs="Book Antiqua"/>
          <w:color w:val="000000"/>
          <w:lang w:val="en-GB"/>
        </w:rPr>
        <w:t xml:space="preserve"> J. Clinical manifestations of human brucellosis: a systematic review and meta-analysis. </w:t>
      </w:r>
      <w:proofErr w:type="spellStart"/>
      <w:r>
        <w:rPr>
          <w:rFonts w:ascii="Book Antiqua" w:eastAsia="Book Antiqua" w:hAnsi="Book Antiqua" w:cs="Book Antiqua"/>
          <w:i/>
          <w:iCs/>
          <w:color w:val="000000"/>
          <w:lang w:val="en-GB"/>
        </w:rPr>
        <w:t>PLoS</w:t>
      </w:r>
      <w:proofErr w:type="spellEnd"/>
      <w:r>
        <w:rPr>
          <w:rFonts w:ascii="Book Antiqua" w:eastAsia="Book Antiqua" w:hAnsi="Book Antiqua" w:cs="Book Antiqua"/>
          <w:i/>
          <w:iCs/>
          <w:color w:val="000000"/>
          <w:lang w:val="en-GB"/>
        </w:rPr>
        <w:t xml:space="preserve"> </w:t>
      </w:r>
      <w:proofErr w:type="spellStart"/>
      <w:r>
        <w:rPr>
          <w:rFonts w:ascii="Book Antiqua" w:eastAsia="Book Antiqua" w:hAnsi="Book Antiqua" w:cs="Book Antiqua"/>
          <w:i/>
          <w:iCs/>
          <w:color w:val="000000"/>
          <w:lang w:val="en-GB"/>
        </w:rPr>
        <w:t>Negl</w:t>
      </w:r>
      <w:proofErr w:type="spellEnd"/>
      <w:r>
        <w:rPr>
          <w:rFonts w:ascii="Book Antiqua" w:eastAsia="Book Antiqua" w:hAnsi="Book Antiqua" w:cs="Book Antiqua"/>
          <w:i/>
          <w:iCs/>
          <w:color w:val="000000"/>
          <w:lang w:val="en-GB"/>
        </w:rPr>
        <w:t xml:space="preserve"> Trop Dis</w:t>
      </w:r>
      <w:r>
        <w:rPr>
          <w:rFonts w:ascii="Book Antiqua" w:eastAsia="Book Antiqua" w:hAnsi="Book Antiqua" w:cs="Book Antiqua"/>
          <w:color w:val="000000"/>
          <w:lang w:val="en-GB"/>
        </w:rPr>
        <w:t xml:space="preserve"> 2012; </w:t>
      </w:r>
      <w:r>
        <w:rPr>
          <w:rFonts w:ascii="Book Antiqua" w:eastAsia="Book Antiqua" w:hAnsi="Book Antiqua" w:cs="Book Antiqua"/>
          <w:b/>
          <w:bCs/>
          <w:color w:val="000000"/>
          <w:lang w:val="en-GB"/>
        </w:rPr>
        <w:t>6</w:t>
      </w:r>
      <w:r>
        <w:rPr>
          <w:rFonts w:ascii="Book Antiqua" w:eastAsia="Book Antiqua" w:hAnsi="Book Antiqua" w:cs="Book Antiqua"/>
          <w:color w:val="000000"/>
          <w:lang w:val="en-GB"/>
        </w:rPr>
        <w:t>: e1929 [PMID: 23236528 DOI: 10.1371/journal.pntd.0001929]</w:t>
      </w:r>
    </w:p>
    <w:p w14:paraId="43746180"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4 </w:t>
      </w:r>
      <w:proofErr w:type="spellStart"/>
      <w:r>
        <w:rPr>
          <w:rFonts w:ascii="Book Antiqua" w:eastAsia="Book Antiqua" w:hAnsi="Book Antiqua" w:cs="Book Antiqua"/>
          <w:b/>
          <w:bCs/>
          <w:color w:val="000000"/>
          <w:lang w:val="en-GB"/>
        </w:rPr>
        <w:t>Seleem</w:t>
      </w:r>
      <w:proofErr w:type="spellEnd"/>
      <w:r>
        <w:rPr>
          <w:rFonts w:ascii="Book Antiqua" w:eastAsia="Book Antiqua" w:hAnsi="Book Antiqua" w:cs="Book Antiqua"/>
          <w:b/>
          <w:bCs/>
          <w:color w:val="000000"/>
          <w:lang w:val="en-GB"/>
        </w:rPr>
        <w:t xml:space="preserve"> MN</w:t>
      </w:r>
      <w:r>
        <w:rPr>
          <w:rFonts w:ascii="Book Antiqua" w:eastAsia="Book Antiqua" w:hAnsi="Book Antiqua" w:cs="Book Antiqua"/>
          <w:color w:val="000000"/>
          <w:lang w:val="en-GB"/>
        </w:rPr>
        <w:t>, Boyle SM</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Sriranganathan</w:t>
      </w:r>
      <w:proofErr w:type="spellEnd"/>
      <w:r>
        <w:rPr>
          <w:rFonts w:ascii="Book Antiqua" w:eastAsia="Book Antiqua" w:hAnsi="Book Antiqua" w:cs="Book Antiqua"/>
          <w:color w:val="000000"/>
          <w:lang w:val="en-GB"/>
        </w:rPr>
        <w:t xml:space="preserve"> N. Brucellosis: a re-emerging zoonosis. </w:t>
      </w:r>
      <w:r>
        <w:rPr>
          <w:rFonts w:ascii="Book Antiqua" w:eastAsia="Book Antiqua" w:hAnsi="Book Antiqua" w:cs="Book Antiqua"/>
          <w:i/>
          <w:iCs/>
          <w:color w:val="000000"/>
          <w:lang w:val="en-GB"/>
        </w:rPr>
        <w:t xml:space="preserve">Vet </w:t>
      </w:r>
      <w:proofErr w:type="spellStart"/>
      <w:r>
        <w:rPr>
          <w:rFonts w:ascii="Book Antiqua" w:eastAsia="Book Antiqua" w:hAnsi="Book Antiqua" w:cs="Book Antiqua"/>
          <w:i/>
          <w:iCs/>
          <w:color w:val="000000"/>
          <w:lang w:val="en-GB"/>
        </w:rPr>
        <w:t>Microbiol</w:t>
      </w:r>
      <w:proofErr w:type="spellEnd"/>
      <w:r>
        <w:rPr>
          <w:rFonts w:ascii="Book Antiqua" w:eastAsia="Book Antiqua" w:hAnsi="Book Antiqua" w:cs="Book Antiqua"/>
          <w:color w:val="000000"/>
          <w:lang w:val="en-GB"/>
        </w:rPr>
        <w:t xml:space="preserve"> 2010; </w:t>
      </w:r>
      <w:r>
        <w:rPr>
          <w:rFonts w:ascii="Book Antiqua" w:eastAsia="Book Antiqua" w:hAnsi="Book Antiqua" w:cs="Book Antiqua"/>
          <w:b/>
          <w:bCs/>
          <w:color w:val="000000"/>
          <w:lang w:val="en-GB"/>
        </w:rPr>
        <w:t>140</w:t>
      </w:r>
      <w:r>
        <w:rPr>
          <w:rFonts w:ascii="Book Antiqua" w:eastAsia="Book Antiqua" w:hAnsi="Book Antiqua" w:cs="Book Antiqua"/>
          <w:color w:val="000000"/>
          <w:lang w:val="en-GB"/>
        </w:rPr>
        <w:t>: 392-398 [PMID: 19604656 DOI: 10.1016/j.vetmic.2009.06.021]</w:t>
      </w:r>
    </w:p>
    <w:p w14:paraId="62CD4650"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5 </w:t>
      </w:r>
      <w:r>
        <w:rPr>
          <w:rFonts w:ascii="Book Antiqua" w:eastAsia="Book Antiqua" w:hAnsi="Book Antiqua" w:cs="Book Antiqua"/>
          <w:b/>
          <w:bCs/>
          <w:color w:val="000000"/>
          <w:lang w:val="en-GB"/>
        </w:rPr>
        <w:t>Deng Y</w:t>
      </w:r>
      <w:r>
        <w:rPr>
          <w:rFonts w:ascii="Book Antiqua" w:eastAsia="Book Antiqua" w:hAnsi="Book Antiqua" w:cs="Book Antiqua"/>
          <w:color w:val="000000"/>
          <w:lang w:val="en-GB"/>
        </w:rPr>
        <w:t xml:space="preserve">, Liu X, Duan K, Peng Q. Research Progress on Brucellosis. </w:t>
      </w:r>
      <w:proofErr w:type="spellStart"/>
      <w:r>
        <w:rPr>
          <w:rFonts w:ascii="Book Antiqua" w:eastAsia="Book Antiqua" w:hAnsi="Book Antiqua" w:cs="Book Antiqua"/>
          <w:i/>
          <w:iCs/>
          <w:color w:val="000000"/>
          <w:lang w:val="en-GB"/>
        </w:rPr>
        <w:t>Curr</w:t>
      </w:r>
      <w:proofErr w:type="spellEnd"/>
      <w:r>
        <w:rPr>
          <w:rFonts w:ascii="Book Antiqua" w:eastAsia="Book Antiqua" w:hAnsi="Book Antiqua" w:cs="Book Antiqua"/>
          <w:i/>
          <w:iCs/>
          <w:color w:val="000000"/>
          <w:lang w:val="en-GB"/>
        </w:rPr>
        <w:t xml:space="preserve"> Med Chem</w:t>
      </w:r>
      <w:r>
        <w:rPr>
          <w:rFonts w:ascii="Book Antiqua" w:eastAsia="Book Antiqua" w:hAnsi="Book Antiqua" w:cs="Book Antiqua"/>
          <w:color w:val="000000"/>
          <w:lang w:val="en-GB"/>
        </w:rPr>
        <w:t xml:space="preserve"> 2019; </w:t>
      </w:r>
      <w:r>
        <w:rPr>
          <w:rFonts w:ascii="Book Antiqua" w:eastAsia="Book Antiqua" w:hAnsi="Book Antiqua" w:cs="Book Antiqua"/>
          <w:b/>
          <w:bCs/>
          <w:color w:val="000000"/>
          <w:lang w:val="en-GB"/>
        </w:rPr>
        <w:t>26</w:t>
      </w:r>
      <w:r>
        <w:rPr>
          <w:rFonts w:ascii="Book Antiqua" w:eastAsia="Book Antiqua" w:hAnsi="Book Antiqua" w:cs="Book Antiqua"/>
          <w:color w:val="000000"/>
          <w:lang w:val="en-GB"/>
        </w:rPr>
        <w:t>: 5598-5608 [PMID: 2974532</w:t>
      </w:r>
      <w:r>
        <w:rPr>
          <w:rFonts w:ascii="Book Antiqua" w:eastAsia="Book Antiqua" w:hAnsi="Book Antiqua" w:cs="Book Antiqua"/>
          <w:color w:val="000000"/>
          <w:lang w:val="en-GB"/>
        </w:rPr>
        <w:t>3 DOI: 10.2174/0929867325666180510125009]</w:t>
      </w:r>
    </w:p>
    <w:p w14:paraId="780F4A98"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6 </w:t>
      </w:r>
      <w:r>
        <w:rPr>
          <w:rFonts w:ascii="Book Antiqua" w:eastAsia="Book Antiqua" w:hAnsi="Book Antiqua" w:cs="Book Antiqua"/>
          <w:b/>
          <w:bCs/>
          <w:color w:val="000000"/>
          <w:lang w:val="en-GB"/>
        </w:rPr>
        <w:t>Ulu-</w:t>
      </w:r>
      <w:proofErr w:type="spellStart"/>
      <w:r>
        <w:rPr>
          <w:rFonts w:ascii="Book Antiqua" w:eastAsia="Book Antiqua" w:hAnsi="Book Antiqua" w:cs="Book Antiqua"/>
          <w:b/>
          <w:bCs/>
          <w:color w:val="000000"/>
          <w:lang w:val="en-GB"/>
        </w:rPr>
        <w:t>Kilic</w:t>
      </w:r>
      <w:proofErr w:type="spellEnd"/>
      <w:r>
        <w:rPr>
          <w:rFonts w:ascii="Book Antiqua" w:eastAsia="Book Antiqua" w:hAnsi="Book Antiqua" w:cs="Book Antiqua"/>
          <w:b/>
          <w:bCs/>
          <w:color w:val="000000"/>
          <w:lang w:val="en-GB"/>
        </w:rPr>
        <w:t xml:space="preserve"> A</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Metan</w:t>
      </w:r>
      <w:proofErr w:type="spellEnd"/>
      <w:r>
        <w:rPr>
          <w:rFonts w:ascii="Book Antiqua" w:eastAsia="Book Antiqua" w:hAnsi="Book Antiqua" w:cs="Book Antiqua"/>
          <w:color w:val="000000"/>
          <w:lang w:val="en-GB"/>
        </w:rPr>
        <w:t xml:space="preserve"> G, Alp E. Clinical presentations and diagnosis of brucellosis. </w:t>
      </w:r>
      <w:r>
        <w:rPr>
          <w:rFonts w:ascii="Book Antiqua" w:eastAsia="Book Antiqua" w:hAnsi="Book Antiqua" w:cs="Book Antiqua"/>
          <w:i/>
          <w:iCs/>
          <w:color w:val="000000"/>
          <w:lang w:val="en-GB"/>
        </w:rPr>
        <w:t xml:space="preserve">Recent Pat </w:t>
      </w:r>
      <w:proofErr w:type="spellStart"/>
      <w:r>
        <w:rPr>
          <w:rFonts w:ascii="Book Antiqua" w:eastAsia="Book Antiqua" w:hAnsi="Book Antiqua" w:cs="Book Antiqua"/>
          <w:i/>
          <w:iCs/>
          <w:color w:val="000000"/>
          <w:lang w:val="en-GB"/>
        </w:rPr>
        <w:t>Antiinfect</w:t>
      </w:r>
      <w:proofErr w:type="spellEnd"/>
      <w:r>
        <w:rPr>
          <w:rFonts w:ascii="Book Antiqua" w:eastAsia="Book Antiqua" w:hAnsi="Book Antiqua" w:cs="Book Antiqua"/>
          <w:i/>
          <w:iCs/>
          <w:color w:val="000000"/>
          <w:lang w:val="en-GB"/>
        </w:rPr>
        <w:t xml:space="preserve"> Drug </w:t>
      </w:r>
      <w:proofErr w:type="spellStart"/>
      <w:r>
        <w:rPr>
          <w:rFonts w:ascii="Book Antiqua" w:eastAsia="Book Antiqua" w:hAnsi="Book Antiqua" w:cs="Book Antiqua"/>
          <w:i/>
          <w:iCs/>
          <w:color w:val="000000"/>
          <w:lang w:val="en-GB"/>
        </w:rPr>
        <w:t>Discov</w:t>
      </w:r>
      <w:proofErr w:type="spellEnd"/>
      <w:r>
        <w:rPr>
          <w:rFonts w:ascii="Book Antiqua" w:eastAsia="Book Antiqua" w:hAnsi="Book Antiqua" w:cs="Book Antiqua"/>
          <w:color w:val="000000"/>
          <w:lang w:val="en-GB"/>
        </w:rPr>
        <w:t xml:space="preserve"> 2013; </w:t>
      </w:r>
      <w:r>
        <w:rPr>
          <w:rFonts w:ascii="Book Antiqua" w:eastAsia="Book Antiqua" w:hAnsi="Book Antiqua" w:cs="Book Antiqua"/>
          <w:b/>
          <w:bCs/>
          <w:color w:val="000000"/>
          <w:lang w:val="en-GB"/>
        </w:rPr>
        <w:t>8</w:t>
      </w:r>
      <w:r>
        <w:rPr>
          <w:rFonts w:ascii="Book Antiqua" w:eastAsia="Book Antiqua" w:hAnsi="Book Antiqua" w:cs="Book Antiqua"/>
          <w:color w:val="000000"/>
          <w:lang w:val="en-GB"/>
        </w:rPr>
        <w:t>: 34-41 [PMID: 22873352 DOI: 10.2174/1574891X11308010007]</w:t>
      </w:r>
    </w:p>
    <w:p w14:paraId="7DAD99C2"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7 </w:t>
      </w:r>
      <w:proofErr w:type="spellStart"/>
      <w:r>
        <w:rPr>
          <w:rFonts w:ascii="Book Antiqua" w:eastAsia="Book Antiqua" w:hAnsi="Book Antiqua" w:cs="Book Antiqua"/>
          <w:b/>
          <w:bCs/>
          <w:color w:val="000000"/>
          <w:lang w:val="en-GB"/>
        </w:rPr>
        <w:t>Dhanashekar</w:t>
      </w:r>
      <w:proofErr w:type="spellEnd"/>
      <w:r>
        <w:rPr>
          <w:rFonts w:ascii="Book Antiqua" w:eastAsia="Book Antiqua" w:hAnsi="Book Antiqua" w:cs="Book Antiqua"/>
          <w:b/>
          <w:bCs/>
          <w:color w:val="000000"/>
          <w:lang w:val="en-GB"/>
        </w:rPr>
        <w:t xml:space="preserve"> R</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Akkinepalli</w:t>
      </w:r>
      <w:proofErr w:type="spellEnd"/>
      <w:r>
        <w:rPr>
          <w:rFonts w:ascii="Book Antiqua" w:eastAsia="Book Antiqua" w:hAnsi="Book Antiqua" w:cs="Book Antiqua"/>
          <w:color w:val="000000"/>
          <w:lang w:val="en-GB"/>
        </w:rPr>
        <w:t xml:space="preserve"> S, </w:t>
      </w:r>
      <w:proofErr w:type="spellStart"/>
      <w:r>
        <w:rPr>
          <w:rFonts w:ascii="Book Antiqua" w:eastAsia="Book Antiqua" w:hAnsi="Book Antiqua" w:cs="Book Antiqua"/>
          <w:color w:val="000000"/>
          <w:lang w:val="en-GB"/>
        </w:rPr>
        <w:t>Nellutla</w:t>
      </w:r>
      <w:proofErr w:type="spellEnd"/>
      <w:r>
        <w:rPr>
          <w:rFonts w:ascii="Book Antiqua" w:eastAsia="Book Antiqua" w:hAnsi="Book Antiqua" w:cs="Book Antiqua"/>
          <w:color w:val="000000"/>
          <w:lang w:val="en-GB"/>
        </w:rPr>
        <w:t xml:space="preserve"> A. Milk-borne infections. An analysis of their potential effect on the milk industry. </w:t>
      </w:r>
      <w:r>
        <w:rPr>
          <w:rFonts w:ascii="Book Antiqua" w:eastAsia="Book Antiqua" w:hAnsi="Book Antiqua" w:cs="Book Antiqua"/>
          <w:i/>
          <w:iCs/>
          <w:color w:val="000000"/>
          <w:lang w:val="en-GB"/>
        </w:rPr>
        <w:t>Germs</w:t>
      </w:r>
      <w:r>
        <w:rPr>
          <w:rFonts w:ascii="Book Antiqua" w:eastAsia="Book Antiqua" w:hAnsi="Book Antiqua" w:cs="Book Antiqua"/>
          <w:color w:val="000000"/>
          <w:lang w:val="en-GB"/>
        </w:rPr>
        <w:t xml:space="preserve"> 2012; </w:t>
      </w:r>
      <w:r>
        <w:rPr>
          <w:rFonts w:ascii="Book Antiqua" w:eastAsia="Book Antiqua" w:hAnsi="Book Antiqua" w:cs="Book Antiqua"/>
          <w:b/>
          <w:bCs/>
          <w:color w:val="000000"/>
          <w:lang w:val="en-GB"/>
        </w:rPr>
        <w:t>2</w:t>
      </w:r>
      <w:r>
        <w:rPr>
          <w:rFonts w:ascii="Book Antiqua" w:eastAsia="Book Antiqua" w:hAnsi="Book Antiqua" w:cs="Book Antiqua"/>
          <w:color w:val="000000"/>
          <w:lang w:val="en-GB"/>
        </w:rPr>
        <w:t>: 101-109 [PMID: 24432270 DOI: 10.11599/germs.2012.1020]</w:t>
      </w:r>
    </w:p>
    <w:p w14:paraId="07F0A117"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lastRenderedPageBreak/>
        <w:t xml:space="preserve">8 </w:t>
      </w:r>
      <w:r>
        <w:rPr>
          <w:rFonts w:ascii="Book Antiqua" w:eastAsia="Book Antiqua" w:hAnsi="Book Antiqua" w:cs="Book Antiqua"/>
          <w:b/>
          <w:bCs/>
          <w:color w:val="000000"/>
          <w:lang w:val="en-GB"/>
        </w:rPr>
        <w:t>de Glanville WA</w:t>
      </w:r>
      <w:r>
        <w:rPr>
          <w:rFonts w:ascii="Book Antiqua" w:eastAsia="Book Antiqua" w:hAnsi="Book Antiqua" w:cs="Book Antiqua"/>
          <w:color w:val="000000"/>
          <w:lang w:val="en-GB"/>
        </w:rPr>
        <w:t xml:space="preserve">, Conde-Álvarez R, </w:t>
      </w:r>
      <w:proofErr w:type="spellStart"/>
      <w:r>
        <w:rPr>
          <w:rFonts w:ascii="Book Antiqua" w:eastAsia="Book Antiqua" w:hAnsi="Book Antiqua" w:cs="Book Antiqua"/>
          <w:color w:val="000000"/>
          <w:lang w:val="en-GB"/>
        </w:rPr>
        <w:t>Moriyón</w:t>
      </w:r>
      <w:proofErr w:type="spellEnd"/>
      <w:r>
        <w:rPr>
          <w:rFonts w:ascii="Book Antiqua" w:eastAsia="Book Antiqua" w:hAnsi="Book Antiqua" w:cs="Book Antiqua"/>
          <w:color w:val="000000"/>
          <w:lang w:val="en-GB"/>
        </w:rPr>
        <w:t xml:space="preserve"> I, Njeru J, Díaz R, Cook EAJ, Morin M, </w:t>
      </w:r>
      <w:proofErr w:type="spellStart"/>
      <w:r>
        <w:rPr>
          <w:rFonts w:ascii="Book Antiqua" w:eastAsia="Book Antiqua" w:hAnsi="Book Antiqua" w:cs="Book Antiqua"/>
          <w:color w:val="000000"/>
          <w:lang w:val="en-GB"/>
        </w:rPr>
        <w:t>Bronsvoort</w:t>
      </w:r>
      <w:proofErr w:type="spellEnd"/>
      <w:r>
        <w:rPr>
          <w:rFonts w:ascii="Book Antiqua" w:eastAsia="Book Antiqua" w:hAnsi="Book Antiqua" w:cs="Book Antiqua"/>
          <w:color w:val="000000"/>
          <w:lang w:val="en-GB"/>
        </w:rPr>
        <w:t xml:space="preserve"> BMC, Thomas LF, Kariuki S, </w:t>
      </w:r>
      <w:proofErr w:type="spellStart"/>
      <w:r>
        <w:rPr>
          <w:rFonts w:ascii="Book Antiqua" w:eastAsia="Book Antiqua" w:hAnsi="Book Antiqua" w:cs="Book Antiqua"/>
          <w:color w:val="000000"/>
          <w:lang w:val="en-GB"/>
        </w:rPr>
        <w:t>Fèvre</w:t>
      </w:r>
      <w:proofErr w:type="spellEnd"/>
      <w:r>
        <w:rPr>
          <w:rFonts w:ascii="Book Antiqua" w:eastAsia="Book Antiqua" w:hAnsi="Book Antiqua" w:cs="Book Antiqua"/>
          <w:color w:val="000000"/>
          <w:lang w:val="en-GB"/>
        </w:rPr>
        <w:t xml:space="preserve"> EM. Poor performance of the rapid test for human brucellosis in health facilities in Kenya. </w:t>
      </w:r>
      <w:proofErr w:type="spellStart"/>
      <w:r>
        <w:rPr>
          <w:rFonts w:ascii="Book Antiqua" w:eastAsia="Book Antiqua" w:hAnsi="Book Antiqua" w:cs="Book Antiqua"/>
          <w:i/>
          <w:iCs/>
          <w:color w:val="000000"/>
          <w:lang w:val="en-GB"/>
        </w:rPr>
        <w:t>PLoS</w:t>
      </w:r>
      <w:proofErr w:type="spellEnd"/>
      <w:r>
        <w:rPr>
          <w:rFonts w:ascii="Book Antiqua" w:eastAsia="Book Antiqua" w:hAnsi="Book Antiqua" w:cs="Book Antiqua"/>
          <w:i/>
          <w:iCs/>
          <w:color w:val="000000"/>
          <w:lang w:val="en-GB"/>
        </w:rPr>
        <w:t xml:space="preserve"> </w:t>
      </w:r>
      <w:proofErr w:type="spellStart"/>
      <w:r>
        <w:rPr>
          <w:rFonts w:ascii="Book Antiqua" w:eastAsia="Book Antiqua" w:hAnsi="Book Antiqua" w:cs="Book Antiqua"/>
          <w:i/>
          <w:iCs/>
          <w:color w:val="000000"/>
          <w:lang w:val="en-GB"/>
        </w:rPr>
        <w:t>Negl</w:t>
      </w:r>
      <w:proofErr w:type="spellEnd"/>
      <w:r>
        <w:rPr>
          <w:rFonts w:ascii="Book Antiqua" w:eastAsia="Book Antiqua" w:hAnsi="Book Antiqua" w:cs="Book Antiqua"/>
          <w:i/>
          <w:iCs/>
          <w:color w:val="000000"/>
          <w:lang w:val="en-GB"/>
        </w:rPr>
        <w:t xml:space="preserve"> Trop Dis</w:t>
      </w:r>
      <w:r>
        <w:rPr>
          <w:rFonts w:ascii="Book Antiqua" w:eastAsia="Book Antiqua" w:hAnsi="Book Antiqua" w:cs="Book Antiqua"/>
          <w:color w:val="000000"/>
          <w:lang w:val="en-GB"/>
        </w:rPr>
        <w:t xml:space="preserve"> 2017; </w:t>
      </w:r>
      <w:r>
        <w:rPr>
          <w:rFonts w:ascii="Book Antiqua" w:eastAsia="Book Antiqua" w:hAnsi="Book Antiqua" w:cs="Book Antiqua"/>
          <w:b/>
          <w:bCs/>
          <w:color w:val="000000"/>
          <w:lang w:val="en-GB"/>
        </w:rPr>
        <w:t>11</w:t>
      </w:r>
      <w:r>
        <w:rPr>
          <w:rFonts w:ascii="Book Antiqua" w:eastAsia="Book Antiqua" w:hAnsi="Book Antiqua" w:cs="Book Antiqua"/>
          <w:color w:val="000000"/>
          <w:lang w:val="en-GB"/>
        </w:rPr>
        <w:t xml:space="preserve">: e0005508 [PMID: 28388625 </w:t>
      </w:r>
      <w:r>
        <w:rPr>
          <w:rFonts w:ascii="Book Antiqua" w:eastAsia="Book Antiqua" w:hAnsi="Book Antiqua" w:cs="Book Antiqua"/>
          <w:color w:val="000000"/>
          <w:lang w:val="en-GB"/>
        </w:rPr>
        <w:t>DOI: 10.1371/journal.pntd.0005508]</w:t>
      </w:r>
    </w:p>
    <w:p w14:paraId="35609B57"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9 </w:t>
      </w:r>
      <w:r>
        <w:rPr>
          <w:rFonts w:ascii="Book Antiqua" w:eastAsia="Book Antiqua" w:hAnsi="Book Antiqua" w:cs="Book Antiqua"/>
          <w:b/>
          <w:bCs/>
          <w:color w:val="000000"/>
          <w:lang w:val="en-GB"/>
        </w:rPr>
        <w:t>Dadar M</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Shahali</w:t>
      </w:r>
      <w:proofErr w:type="spellEnd"/>
      <w:r>
        <w:rPr>
          <w:rFonts w:ascii="Book Antiqua" w:eastAsia="Book Antiqua" w:hAnsi="Book Antiqua" w:cs="Book Antiqua"/>
          <w:color w:val="000000"/>
          <w:lang w:val="en-GB"/>
        </w:rPr>
        <w:t xml:space="preserve"> Y, </w:t>
      </w:r>
      <w:proofErr w:type="spellStart"/>
      <w:r>
        <w:rPr>
          <w:rFonts w:ascii="Book Antiqua" w:eastAsia="Book Antiqua" w:hAnsi="Book Antiqua" w:cs="Book Antiqua"/>
          <w:color w:val="000000"/>
          <w:lang w:val="en-GB"/>
        </w:rPr>
        <w:t>Whatmore</w:t>
      </w:r>
      <w:proofErr w:type="spellEnd"/>
      <w:r>
        <w:rPr>
          <w:rFonts w:ascii="Book Antiqua" w:eastAsia="Book Antiqua" w:hAnsi="Book Antiqua" w:cs="Book Antiqua"/>
          <w:color w:val="000000"/>
          <w:lang w:val="en-GB"/>
        </w:rPr>
        <w:t xml:space="preserve"> AM. Human brucellosis caused by raw dairy products: A review on the occurrence, major risk factors and prevention. </w:t>
      </w:r>
      <w:r>
        <w:rPr>
          <w:rFonts w:ascii="Book Antiqua" w:eastAsia="Book Antiqua" w:hAnsi="Book Antiqua" w:cs="Book Antiqua"/>
          <w:i/>
          <w:iCs/>
          <w:color w:val="000000"/>
          <w:lang w:val="en-GB"/>
        </w:rPr>
        <w:t xml:space="preserve">Int J Food </w:t>
      </w:r>
      <w:proofErr w:type="spellStart"/>
      <w:r>
        <w:rPr>
          <w:rFonts w:ascii="Book Antiqua" w:eastAsia="Book Antiqua" w:hAnsi="Book Antiqua" w:cs="Book Antiqua"/>
          <w:i/>
          <w:iCs/>
          <w:color w:val="000000"/>
          <w:lang w:val="en-GB"/>
        </w:rPr>
        <w:t>Microbiol</w:t>
      </w:r>
      <w:proofErr w:type="spellEnd"/>
      <w:r>
        <w:rPr>
          <w:rFonts w:ascii="Book Antiqua" w:eastAsia="Book Antiqua" w:hAnsi="Book Antiqua" w:cs="Book Antiqua"/>
          <w:color w:val="000000"/>
          <w:lang w:val="en-GB"/>
        </w:rPr>
        <w:t xml:space="preserve"> 2019; </w:t>
      </w:r>
      <w:r>
        <w:rPr>
          <w:rFonts w:ascii="Book Antiqua" w:eastAsia="Book Antiqua" w:hAnsi="Book Antiqua" w:cs="Book Antiqua"/>
          <w:b/>
          <w:bCs/>
          <w:color w:val="000000"/>
          <w:lang w:val="en-GB"/>
        </w:rPr>
        <w:t>292</w:t>
      </w:r>
      <w:r>
        <w:rPr>
          <w:rFonts w:ascii="Book Antiqua" w:eastAsia="Book Antiqua" w:hAnsi="Book Antiqua" w:cs="Book Antiqua"/>
          <w:color w:val="000000"/>
          <w:lang w:val="en-GB"/>
        </w:rPr>
        <w:t>: 39-47 [PMID: 30572264 DOI: 10.1016/j.ijfood</w:t>
      </w:r>
      <w:r>
        <w:rPr>
          <w:rFonts w:ascii="Book Antiqua" w:eastAsia="Book Antiqua" w:hAnsi="Book Antiqua" w:cs="Book Antiqua"/>
          <w:color w:val="000000"/>
          <w:lang w:val="en-GB"/>
        </w:rPr>
        <w:t>micro.2018.12.009]</w:t>
      </w:r>
    </w:p>
    <w:p w14:paraId="563423FB"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10 </w:t>
      </w:r>
      <w:proofErr w:type="spellStart"/>
      <w:r>
        <w:rPr>
          <w:rFonts w:ascii="Book Antiqua" w:eastAsia="Book Antiqua" w:hAnsi="Book Antiqua" w:cs="Book Antiqua"/>
          <w:b/>
          <w:bCs/>
          <w:color w:val="000000"/>
          <w:lang w:val="en-GB"/>
        </w:rPr>
        <w:t>Cafardi</w:t>
      </w:r>
      <w:proofErr w:type="spellEnd"/>
      <w:r>
        <w:rPr>
          <w:rFonts w:ascii="Book Antiqua" w:eastAsia="Book Antiqua" w:hAnsi="Book Antiqua" w:cs="Book Antiqua"/>
          <w:b/>
          <w:bCs/>
          <w:color w:val="000000"/>
          <w:lang w:val="en-GB"/>
        </w:rPr>
        <w:t xml:space="preserve"> JM</w:t>
      </w:r>
      <w:r>
        <w:rPr>
          <w:rFonts w:ascii="Book Antiqua" w:eastAsia="Book Antiqua" w:hAnsi="Book Antiqua" w:cs="Book Antiqua"/>
          <w:color w:val="000000"/>
          <w:lang w:val="en-GB"/>
        </w:rPr>
        <w:t xml:space="preserve">, Haas D, Lamarre T, Feinberg J. </w:t>
      </w:r>
      <w:r>
        <w:rPr>
          <w:rFonts w:ascii="Book Antiqua" w:eastAsia="Book Antiqua" w:hAnsi="Book Antiqua" w:cs="Book Antiqua"/>
          <w:i/>
          <w:iCs/>
          <w:color w:val="000000"/>
          <w:lang w:val="en-GB"/>
        </w:rPr>
        <w:t>Brucella</w:t>
      </w:r>
      <w:r>
        <w:rPr>
          <w:rFonts w:ascii="Book Antiqua" w:eastAsia="Book Antiqua" w:hAnsi="Book Antiqua" w:cs="Book Antiqua"/>
          <w:color w:val="000000"/>
          <w:lang w:val="en-GB"/>
        </w:rPr>
        <w:t xml:space="preserve"> Endocarditis in Persons Who Inject Drugs. </w:t>
      </w:r>
      <w:r>
        <w:rPr>
          <w:rFonts w:ascii="Book Antiqua" w:eastAsia="Book Antiqua" w:hAnsi="Book Antiqua" w:cs="Book Antiqua"/>
          <w:i/>
          <w:iCs/>
          <w:color w:val="000000"/>
          <w:lang w:val="en-GB"/>
        </w:rPr>
        <w:t>Open Forum Infect Dis</w:t>
      </w:r>
      <w:r>
        <w:rPr>
          <w:rFonts w:ascii="Book Antiqua" w:eastAsia="Book Antiqua" w:hAnsi="Book Antiqua" w:cs="Book Antiqua"/>
          <w:color w:val="000000"/>
          <w:lang w:val="en-GB"/>
        </w:rPr>
        <w:t xml:space="preserve"> 2020; </w:t>
      </w:r>
      <w:r>
        <w:rPr>
          <w:rFonts w:ascii="Book Antiqua" w:eastAsia="Book Antiqua" w:hAnsi="Book Antiqua" w:cs="Book Antiqua"/>
          <w:b/>
          <w:bCs/>
          <w:color w:val="000000"/>
          <w:lang w:val="en-GB"/>
        </w:rPr>
        <w:t>7</w:t>
      </w:r>
      <w:r>
        <w:rPr>
          <w:rFonts w:ascii="Book Antiqua" w:eastAsia="Book Antiqua" w:hAnsi="Book Antiqua" w:cs="Book Antiqua"/>
          <w:color w:val="000000"/>
          <w:lang w:val="en-GB"/>
        </w:rPr>
        <w:t>: ofaa063 [PMID: 32280723 DOI: 10.1093/</w:t>
      </w:r>
      <w:proofErr w:type="spellStart"/>
      <w:r>
        <w:rPr>
          <w:rFonts w:ascii="Book Antiqua" w:eastAsia="Book Antiqua" w:hAnsi="Book Antiqua" w:cs="Book Antiqua"/>
          <w:color w:val="000000"/>
          <w:lang w:val="en-GB"/>
        </w:rPr>
        <w:t>ofid</w:t>
      </w:r>
      <w:proofErr w:type="spellEnd"/>
      <w:r>
        <w:rPr>
          <w:rFonts w:ascii="Book Antiqua" w:eastAsia="Book Antiqua" w:hAnsi="Book Antiqua" w:cs="Book Antiqua"/>
          <w:color w:val="000000"/>
          <w:lang w:val="en-GB"/>
        </w:rPr>
        <w:t>/ofaa063]</w:t>
      </w:r>
    </w:p>
    <w:p w14:paraId="29554A0C"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11 </w:t>
      </w:r>
      <w:proofErr w:type="spellStart"/>
      <w:r>
        <w:rPr>
          <w:rFonts w:ascii="Book Antiqua" w:eastAsia="Book Antiqua" w:hAnsi="Book Antiqua" w:cs="Book Antiqua"/>
          <w:b/>
          <w:bCs/>
          <w:color w:val="000000"/>
          <w:lang w:val="en-GB"/>
        </w:rPr>
        <w:t>Zange</w:t>
      </w:r>
      <w:proofErr w:type="spellEnd"/>
      <w:r>
        <w:rPr>
          <w:rFonts w:ascii="Book Antiqua" w:eastAsia="Book Antiqua" w:hAnsi="Book Antiqua" w:cs="Book Antiqua"/>
          <w:b/>
          <w:bCs/>
          <w:color w:val="000000"/>
          <w:lang w:val="en-GB"/>
        </w:rPr>
        <w:t xml:space="preserve"> S</w:t>
      </w:r>
      <w:r>
        <w:rPr>
          <w:rFonts w:ascii="Book Antiqua" w:eastAsia="Book Antiqua" w:hAnsi="Book Antiqua" w:cs="Book Antiqua"/>
          <w:color w:val="000000"/>
          <w:lang w:val="en-GB"/>
        </w:rPr>
        <w:t xml:space="preserve">, Schneider K, Georgi E, Scholz HC, </w:t>
      </w:r>
      <w:proofErr w:type="spellStart"/>
      <w:r>
        <w:rPr>
          <w:rFonts w:ascii="Book Antiqua" w:eastAsia="Book Antiqua" w:hAnsi="Book Antiqua" w:cs="Book Antiqua"/>
          <w:color w:val="000000"/>
          <w:lang w:val="en-GB"/>
        </w:rPr>
        <w:t>Antwerpen</w:t>
      </w:r>
      <w:proofErr w:type="spellEnd"/>
      <w:r>
        <w:rPr>
          <w:rFonts w:ascii="Book Antiqua" w:eastAsia="Book Antiqua" w:hAnsi="Book Antiqua" w:cs="Book Antiqua"/>
          <w:color w:val="000000"/>
          <w:lang w:val="en-GB"/>
        </w:rPr>
        <w:t xml:space="preserve"> MH</w:t>
      </w:r>
      <w:r>
        <w:rPr>
          <w:rFonts w:ascii="Book Antiqua" w:eastAsia="Book Antiqua" w:hAnsi="Book Antiqua" w:cs="Book Antiqua"/>
          <w:color w:val="000000"/>
          <w:lang w:val="en-GB"/>
        </w:rPr>
        <w:t xml:space="preserve">, Walter MC, Zoeller L, von </w:t>
      </w:r>
      <w:proofErr w:type="spellStart"/>
      <w:r>
        <w:rPr>
          <w:rFonts w:ascii="Book Antiqua" w:eastAsia="Book Antiqua" w:hAnsi="Book Antiqua" w:cs="Book Antiqua"/>
          <w:color w:val="000000"/>
          <w:lang w:val="en-GB"/>
        </w:rPr>
        <w:t>Buttlar</w:t>
      </w:r>
      <w:proofErr w:type="spellEnd"/>
      <w:r>
        <w:rPr>
          <w:rFonts w:ascii="Book Antiqua" w:eastAsia="Book Antiqua" w:hAnsi="Book Antiqua" w:cs="Book Antiqua"/>
          <w:color w:val="000000"/>
          <w:lang w:val="en-GB"/>
        </w:rPr>
        <w:t xml:space="preserve"> H, </w:t>
      </w:r>
      <w:proofErr w:type="spellStart"/>
      <w:r>
        <w:rPr>
          <w:rFonts w:ascii="Book Antiqua" w:eastAsia="Book Antiqua" w:hAnsi="Book Antiqua" w:cs="Book Antiqua"/>
          <w:color w:val="000000"/>
          <w:lang w:val="en-GB"/>
        </w:rPr>
        <w:t>Borde</w:t>
      </w:r>
      <w:proofErr w:type="spellEnd"/>
      <w:r>
        <w:rPr>
          <w:rFonts w:ascii="Book Antiqua" w:eastAsia="Book Antiqua" w:hAnsi="Book Antiqua" w:cs="Book Antiqua"/>
          <w:color w:val="000000"/>
          <w:lang w:val="en-GB"/>
        </w:rPr>
        <w:t xml:space="preserve"> JP. A headache with surprising outcome: first case of brucellosis caused by Brucella </w:t>
      </w:r>
      <w:proofErr w:type="spellStart"/>
      <w:r>
        <w:rPr>
          <w:rFonts w:ascii="Book Antiqua" w:eastAsia="Book Antiqua" w:hAnsi="Book Antiqua" w:cs="Book Antiqua"/>
          <w:color w:val="000000"/>
          <w:lang w:val="en-GB"/>
        </w:rPr>
        <w:t>suis</w:t>
      </w:r>
      <w:proofErr w:type="spellEnd"/>
      <w:r>
        <w:rPr>
          <w:rFonts w:ascii="Book Antiqua" w:eastAsia="Book Antiqua" w:hAnsi="Book Antiqua" w:cs="Book Antiqua"/>
          <w:color w:val="000000"/>
          <w:lang w:val="en-GB"/>
        </w:rPr>
        <w:t xml:space="preserve"> biovar 1 in Germany. </w:t>
      </w:r>
      <w:r>
        <w:rPr>
          <w:rFonts w:ascii="Book Antiqua" w:eastAsia="Book Antiqua" w:hAnsi="Book Antiqua" w:cs="Book Antiqua"/>
          <w:i/>
          <w:iCs/>
          <w:color w:val="000000"/>
          <w:lang w:val="en-GB"/>
        </w:rPr>
        <w:t>Infection</w:t>
      </w:r>
      <w:r>
        <w:rPr>
          <w:rFonts w:ascii="Book Antiqua" w:eastAsia="Book Antiqua" w:hAnsi="Book Antiqua" w:cs="Book Antiqua"/>
          <w:color w:val="000000"/>
          <w:lang w:val="en-GB"/>
        </w:rPr>
        <w:t xml:space="preserve"> 2019; </w:t>
      </w:r>
      <w:r>
        <w:rPr>
          <w:rFonts w:ascii="Book Antiqua" w:eastAsia="Book Antiqua" w:hAnsi="Book Antiqua" w:cs="Book Antiqua"/>
          <w:b/>
          <w:bCs/>
          <w:color w:val="000000"/>
          <w:lang w:val="en-GB"/>
        </w:rPr>
        <w:t>47</w:t>
      </w:r>
      <w:r>
        <w:rPr>
          <w:rFonts w:ascii="Book Antiqua" w:eastAsia="Book Antiqua" w:hAnsi="Book Antiqua" w:cs="Book Antiqua"/>
          <w:color w:val="000000"/>
          <w:lang w:val="en-GB"/>
        </w:rPr>
        <w:t>: 863-868 [PMID: 31073709 DOI: 10.1007/s15010-019-01312-7]</w:t>
      </w:r>
    </w:p>
    <w:p w14:paraId="48067D7C" w14:textId="77777777" w:rsidR="00EB3E58" w:rsidRDefault="00EB3E58">
      <w:pPr>
        <w:adjustRightInd w:val="0"/>
        <w:snapToGrid w:val="0"/>
        <w:spacing w:line="360" w:lineRule="auto"/>
        <w:jc w:val="both"/>
        <w:rPr>
          <w:rFonts w:ascii="Book Antiqua" w:hAnsi="Book Antiqua"/>
          <w:lang w:val="en-GB"/>
        </w:rPr>
        <w:sectPr w:rsidR="00EB3E58">
          <w:pgSz w:w="12240" w:h="15840"/>
          <w:pgMar w:top="1440" w:right="1800" w:bottom="1440" w:left="1800" w:header="720" w:footer="720" w:gutter="0"/>
          <w:cols w:space="720"/>
          <w:docGrid w:linePitch="360"/>
        </w:sectPr>
      </w:pPr>
    </w:p>
    <w:p w14:paraId="3C08D0B1"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lastRenderedPageBreak/>
        <w:t>Footnotes</w:t>
      </w:r>
    </w:p>
    <w:p w14:paraId="393AFD8D"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Infor</w:t>
      </w:r>
      <w:r>
        <w:rPr>
          <w:rFonts w:ascii="Book Antiqua" w:eastAsia="Book Antiqua" w:hAnsi="Book Antiqua" w:cs="Book Antiqua"/>
          <w:b/>
          <w:bCs/>
          <w:color w:val="000000"/>
          <w:lang w:val="en-GB"/>
        </w:rPr>
        <w:t xml:space="preserve">med consent statement: </w:t>
      </w:r>
      <w:r>
        <w:rPr>
          <w:rFonts w:ascii="Book Antiqua" w:eastAsia="Book Antiqua" w:hAnsi="Book Antiqua" w:cs="Book Antiqua"/>
          <w:color w:val="000000"/>
          <w:lang w:val="en-GB"/>
        </w:rPr>
        <w:t>Written informed consent was obtained from the patient for the inclusion of his clinical details for publication.</w:t>
      </w:r>
    </w:p>
    <w:p w14:paraId="271DEF9A" w14:textId="77777777" w:rsidR="00EB3E58" w:rsidRDefault="00EB3E58">
      <w:pPr>
        <w:adjustRightInd w:val="0"/>
        <w:snapToGrid w:val="0"/>
        <w:spacing w:line="360" w:lineRule="auto"/>
        <w:jc w:val="both"/>
        <w:rPr>
          <w:rFonts w:ascii="Book Antiqua" w:hAnsi="Book Antiqua"/>
          <w:lang w:val="en-GB"/>
        </w:rPr>
      </w:pPr>
    </w:p>
    <w:p w14:paraId="427DB791"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Conflict-of-interest statement: </w:t>
      </w:r>
      <w:r>
        <w:rPr>
          <w:rFonts w:ascii="Book Antiqua" w:eastAsia="Book Antiqua" w:hAnsi="Book Antiqua" w:cs="Book Antiqua"/>
          <w:color w:val="000000"/>
          <w:lang w:val="en-GB"/>
        </w:rPr>
        <w:t>The authors declare that they have no conflicts of interest.</w:t>
      </w:r>
    </w:p>
    <w:p w14:paraId="6BF82099" w14:textId="77777777" w:rsidR="00EB3E58" w:rsidRDefault="00EB3E58">
      <w:pPr>
        <w:adjustRightInd w:val="0"/>
        <w:snapToGrid w:val="0"/>
        <w:spacing w:line="360" w:lineRule="auto"/>
        <w:jc w:val="both"/>
        <w:rPr>
          <w:rFonts w:ascii="Book Antiqua" w:hAnsi="Book Antiqua"/>
          <w:lang w:val="en-GB"/>
        </w:rPr>
      </w:pPr>
    </w:p>
    <w:p w14:paraId="29076F24"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CARE Checklist (2016) st</w:t>
      </w:r>
      <w:r>
        <w:rPr>
          <w:rFonts w:ascii="Book Antiqua" w:eastAsia="Book Antiqua" w:hAnsi="Book Antiqua" w:cs="Book Antiqua"/>
          <w:b/>
          <w:bCs/>
          <w:color w:val="000000"/>
          <w:lang w:val="en-GB"/>
        </w:rPr>
        <w:t xml:space="preserve">atement: </w:t>
      </w:r>
      <w:r>
        <w:rPr>
          <w:rFonts w:ascii="Book Antiqua" w:eastAsia="Book Antiqua" w:hAnsi="Book Antiqua" w:cs="Book Antiqua"/>
          <w:color w:val="000000"/>
          <w:lang w:val="en-GB"/>
        </w:rPr>
        <w:t>The authors have read the CARE Checklist (2016), and the manuscript was prepared and revised according to the CARE Checklist (2016).</w:t>
      </w:r>
    </w:p>
    <w:p w14:paraId="1D3F7EBD" w14:textId="77777777" w:rsidR="00EB3E58" w:rsidRDefault="00EB3E58">
      <w:pPr>
        <w:adjustRightInd w:val="0"/>
        <w:snapToGrid w:val="0"/>
        <w:spacing w:line="360" w:lineRule="auto"/>
        <w:jc w:val="both"/>
        <w:rPr>
          <w:rFonts w:ascii="Book Antiqua" w:hAnsi="Book Antiqua"/>
          <w:lang w:val="en-GB"/>
        </w:rPr>
      </w:pPr>
    </w:p>
    <w:p w14:paraId="27EDD727"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Open-Access: </w:t>
      </w:r>
      <w:r>
        <w:rPr>
          <w:rFonts w:ascii="Book Antiqua" w:eastAsia="Book Antiqua" w:hAnsi="Book Antiqua" w:cs="Book Antiqua"/>
          <w:color w:val="000000"/>
          <w:lang w:val="en-GB"/>
        </w:rPr>
        <w:t>This article is an open-access article that was selected by an in-house editor and fully peer-review</w:t>
      </w:r>
      <w:r>
        <w:rPr>
          <w:rFonts w:ascii="Book Antiqua" w:eastAsia="Book Antiqua" w:hAnsi="Book Antiqua" w:cs="Book Antiqua"/>
          <w:color w:val="000000"/>
          <w:lang w:val="en-GB"/>
        </w:rPr>
        <w:t>ed by external reviewers. It is distributed in accordance with the Creative Commons Attribution NonCommercial (CC BY-NC 4.0) license, which permits others to distribute, remix, adapt, build upon this work non-commercially, and license their derivative work</w:t>
      </w:r>
      <w:r>
        <w:rPr>
          <w:rFonts w:ascii="Book Antiqua" w:eastAsia="Book Antiqua" w:hAnsi="Book Antiqua" w:cs="Book Antiqua"/>
          <w:color w:val="000000"/>
          <w:lang w:val="en-GB"/>
        </w:rPr>
        <w:t>s on different terms, provided the original work is properly cited and the use is non-commercial. See: http://creativecommons.org/Licenses/by-nc/4.0/</w:t>
      </w:r>
    </w:p>
    <w:p w14:paraId="6A63B960" w14:textId="77777777" w:rsidR="00EB3E58" w:rsidRDefault="00EB3E58">
      <w:pPr>
        <w:adjustRightInd w:val="0"/>
        <w:snapToGrid w:val="0"/>
        <w:spacing w:line="360" w:lineRule="auto"/>
        <w:jc w:val="both"/>
        <w:rPr>
          <w:rFonts w:ascii="Book Antiqua" w:hAnsi="Book Antiqua"/>
          <w:lang w:val="en-GB"/>
        </w:rPr>
      </w:pPr>
    </w:p>
    <w:p w14:paraId="0ECB7949"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 xml:space="preserve">Manuscript source: </w:t>
      </w:r>
      <w:r>
        <w:rPr>
          <w:rFonts w:ascii="Book Antiqua" w:eastAsia="Book Antiqua" w:hAnsi="Book Antiqua" w:cs="Book Antiqua"/>
          <w:color w:val="000000"/>
          <w:lang w:val="en-GB"/>
        </w:rPr>
        <w:t>Unsolicited manuscript</w:t>
      </w:r>
    </w:p>
    <w:p w14:paraId="2EF89E17" w14:textId="77777777" w:rsidR="00EB3E58" w:rsidRDefault="00EB3E58">
      <w:pPr>
        <w:adjustRightInd w:val="0"/>
        <w:snapToGrid w:val="0"/>
        <w:spacing w:line="360" w:lineRule="auto"/>
        <w:jc w:val="both"/>
        <w:rPr>
          <w:rFonts w:ascii="Book Antiqua" w:hAnsi="Book Antiqua"/>
          <w:lang w:val="en-GB"/>
        </w:rPr>
      </w:pPr>
    </w:p>
    <w:p w14:paraId="12D5B784"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 xml:space="preserve">Peer-review started: </w:t>
      </w:r>
      <w:r>
        <w:rPr>
          <w:rFonts w:ascii="Book Antiqua" w:eastAsia="Book Antiqua" w:hAnsi="Book Antiqua" w:cs="Book Antiqua"/>
          <w:color w:val="000000"/>
          <w:lang w:val="en-GB"/>
        </w:rPr>
        <w:t>October 25, 2020</w:t>
      </w:r>
    </w:p>
    <w:p w14:paraId="2BEE10A8"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 xml:space="preserve">First decision: </w:t>
      </w:r>
      <w:r>
        <w:rPr>
          <w:rFonts w:ascii="Book Antiqua" w:eastAsia="Book Antiqua" w:hAnsi="Book Antiqua" w:cs="Book Antiqua"/>
          <w:color w:val="000000"/>
          <w:lang w:val="en-GB"/>
        </w:rPr>
        <w:t>January 17, 2021</w:t>
      </w:r>
    </w:p>
    <w:p w14:paraId="6701BE5E"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 xml:space="preserve">Article in press: </w:t>
      </w:r>
    </w:p>
    <w:p w14:paraId="48F104F9" w14:textId="77777777" w:rsidR="00EB3E58" w:rsidRDefault="00EB3E58">
      <w:pPr>
        <w:adjustRightInd w:val="0"/>
        <w:snapToGrid w:val="0"/>
        <w:spacing w:line="360" w:lineRule="auto"/>
        <w:jc w:val="both"/>
        <w:rPr>
          <w:rFonts w:ascii="Book Antiqua" w:hAnsi="Book Antiqua"/>
          <w:lang w:val="en-GB"/>
        </w:rPr>
      </w:pPr>
    </w:p>
    <w:p w14:paraId="6158A2B7"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 xml:space="preserve">Specialty type: </w:t>
      </w:r>
      <w:r>
        <w:rPr>
          <w:rFonts w:ascii="Book Antiqua" w:eastAsia="Book Antiqua" w:hAnsi="Book Antiqua" w:cs="Book Antiqua"/>
          <w:color w:val="000000"/>
          <w:lang w:val="en-GB"/>
        </w:rPr>
        <w:t>Infectious diseases</w:t>
      </w:r>
    </w:p>
    <w:p w14:paraId="206733A7"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 xml:space="preserve">Country/Territory of origin: </w:t>
      </w:r>
      <w:r>
        <w:rPr>
          <w:rFonts w:ascii="Book Antiqua" w:eastAsia="Book Antiqua" w:hAnsi="Book Antiqua" w:cs="Book Antiqua"/>
          <w:color w:val="000000"/>
          <w:lang w:val="en-GB"/>
        </w:rPr>
        <w:t>China</w:t>
      </w:r>
    </w:p>
    <w:p w14:paraId="32355A19"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Peer-review report’s scientific quality classification</w:t>
      </w:r>
    </w:p>
    <w:p w14:paraId="43CE2F0C"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Grade A (Excellent): 0</w:t>
      </w:r>
    </w:p>
    <w:p w14:paraId="57EFC184"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Grade B (Very good): 0</w:t>
      </w:r>
    </w:p>
    <w:p w14:paraId="23DFBCD9"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lastRenderedPageBreak/>
        <w:t>Grade C (Good): C</w:t>
      </w:r>
    </w:p>
    <w:p w14:paraId="595C86C7"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Grade D (Fair</w:t>
      </w:r>
      <w:r>
        <w:rPr>
          <w:rFonts w:ascii="Book Antiqua" w:eastAsia="Book Antiqua" w:hAnsi="Book Antiqua" w:cs="Book Antiqua"/>
          <w:color w:val="000000"/>
          <w:lang w:val="en-GB"/>
        </w:rPr>
        <w:t>): 0</w:t>
      </w:r>
    </w:p>
    <w:p w14:paraId="4DAB781A"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Grade E (Poor): 0</w:t>
      </w:r>
    </w:p>
    <w:p w14:paraId="462B684B" w14:textId="77777777" w:rsidR="00EB3E58" w:rsidRDefault="00EB3E58">
      <w:pPr>
        <w:adjustRightInd w:val="0"/>
        <w:snapToGrid w:val="0"/>
        <w:spacing w:line="360" w:lineRule="auto"/>
        <w:jc w:val="both"/>
        <w:rPr>
          <w:rFonts w:ascii="Book Antiqua" w:hAnsi="Book Antiqua"/>
          <w:lang w:val="en-GB"/>
        </w:rPr>
      </w:pPr>
    </w:p>
    <w:p w14:paraId="0A4CDFD7" w14:textId="77777777" w:rsidR="00EB3E58" w:rsidRDefault="005946F0">
      <w:pPr>
        <w:adjustRightInd w:val="0"/>
        <w:snapToGrid w:val="0"/>
        <w:spacing w:line="360" w:lineRule="auto"/>
        <w:jc w:val="both"/>
        <w:rPr>
          <w:rFonts w:ascii="Book Antiqua" w:eastAsia="Book Antiqua" w:hAnsi="Book Antiqua" w:cs="Book Antiqua"/>
          <w:b/>
          <w:color w:val="000000"/>
          <w:lang w:val="en-GB"/>
        </w:rPr>
      </w:pPr>
      <w:r>
        <w:rPr>
          <w:rFonts w:ascii="Book Antiqua" w:eastAsia="Book Antiqua" w:hAnsi="Book Antiqua" w:cs="Book Antiqua"/>
          <w:b/>
          <w:color w:val="000000"/>
          <w:lang w:val="en-GB"/>
        </w:rPr>
        <w:t xml:space="preserve">P-Reviewer: </w:t>
      </w:r>
      <w:proofErr w:type="spellStart"/>
      <w:r>
        <w:rPr>
          <w:rFonts w:ascii="Book Antiqua" w:eastAsia="Book Antiqua" w:hAnsi="Book Antiqua" w:cs="Book Antiqua"/>
          <w:color w:val="000000"/>
          <w:lang w:val="en-GB"/>
        </w:rPr>
        <w:t>Olt</w:t>
      </w:r>
      <w:proofErr w:type="spellEnd"/>
      <w:r>
        <w:rPr>
          <w:rFonts w:ascii="Book Antiqua" w:eastAsia="Book Antiqua" w:hAnsi="Book Antiqua" w:cs="Book Antiqua"/>
          <w:color w:val="000000"/>
          <w:lang w:val="en-GB"/>
        </w:rPr>
        <w:t xml:space="preserve"> S</w:t>
      </w:r>
      <w:r>
        <w:rPr>
          <w:rFonts w:ascii="Book Antiqua" w:eastAsia="Book Antiqua" w:hAnsi="Book Antiqua" w:cs="Book Antiqua"/>
          <w:b/>
          <w:color w:val="000000"/>
          <w:lang w:val="en-GB"/>
        </w:rPr>
        <w:t xml:space="preserve"> S-Editor: </w:t>
      </w:r>
      <w:r>
        <w:rPr>
          <w:rFonts w:ascii="Book Antiqua" w:eastAsia="Book Antiqua" w:hAnsi="Book Antiqua" w:cs="Book Antiqua"/>
          <w:color w:val="000000"/>
          <w:lang w:val="en-GB"/>
        </w:rPr>
        <w:t>Zhang L</w:t>
      </w:r>
      <w:r>
        <w:rPr>
          <w:rFonts w:ascii="Book Antiqua" w:eastAsia="Book Antiqua" w:hAnsi="Book Antiqua" w:cs="Book Antiqua"/>
          <w:b/>
          <w:color w:val="000000"/>
          <w:lang w:val="en-GB"/>
        </w:rPr>
        <w:t xml:space="preserve"> L-Editor: </w:t>
      </w:r>
      <w:r>
        <w:rPr>
          <w:rFonts w:ascii="Book Antiqua" w:eastAsia="Book Antiqua" w:hAnsi="Book Antiqua" w:cs="Book Antiqua"/>
          <w:bCs/>
          <w:color w:val="000000"/>
          <w:lang w:val="en-GB"/>
        </w:rPr>
        <w:t>Filipodia</w:t>
      </w:r>
      <w:r>
        <w:rPr>
          <w:rFonts w:ascii="Book Antiqua" w:eastAsia="Book Antiqua" w:hAnsi="Book Antiqua" w:cs="Book Antiqua"/>
          <w:b/>
          <w:color w:val="000000"/>
          <w:lang w:val="en-GB"/>
        </w:rPr>
        <w:t xml:space="preserve"> P-Editor:</w:t>
      </w:r>
    </w:p>
    <w:p w14:paraId="4233DF5F" w14:textId="77777777" w:rsidR="00EB3E58" w:rsidRDefault="005946F0">
      <w:pPr>
        <w:adjustRightInd w:val="0"/>
        <w:snapToGrid w:val="0"/>
        <w:spacing w:line="360" w:lineRule="auto"/>
        <w:jc w:val="both"/>
        <w:rPr>
          <w:rFonts w:ascii="Book Antiqua" w:hAnsi="Book Antiqua"/>
          <w:lang w:val="en-GB"/>
        </w:rPr>
        <w:sectPr w:rsidR="00EB3E58">
          <w:pgSz w:w="12240" w:h="15840"/>
          <w:pgMar w:top="1440" w:right="1800" w:bottom="1440" w:left="1800" w:header="720" w:footer="720" w:gutter="0"/>
          <w:cols w:space="720"/>
          <w:docGrid w:linePitch="360"/>
        </w:sectPr>
      </w:pPr>
      <w:r>
        <w:rPr>
          <w:rFonts w:ascii="Book Antiqua" w:eastAsia="Book Antiqua" w:hAnsi="Book Antiqua" w:cs="Book Antiqua"/>
          <w:b/>
          <w:color w:val="000000"/>
          <w:lang w:val="en-GB"/>
        </w:rPr>
        <w:t xml:space="preserve"> </w:t>
      </w:r>
    </w:p>
    <w:p w14:paraId="5B0D160D" w14:textId="77777777" w:rsidR="00EB3E58" w:rsidRDefault="005946F0">
      <w:pPr>
        <w:adjustRightInd w:val="0"/>
        <w:snapToGrid w:val="0"/>
        <w:spacing w:line="360" w:lineRule="auto"/>
        <w:jc w:val="both"/>
        <w:rPr>
          <w:rFonts w:ascii="Book Antiqua" w:eastAsia="Book Antiqua" w:hAnsi="Book Antiqua" w:cs="Book Antiqua"/>
          <w:b/>
          <w:color w:val="000000"/>
          <w:lang w:val="en-GB"/>
        </w:rPr>
      </w:pPr>
      <w:r>
        <w:rPr>
          <w:rFonts w:ascii="Book Antiqua" w:eastAsia="Book Antiqua" w:hAnsi="Book Antiqua" w:cs="Book Antiqua"/>
          <w:b/>
          <w:color w:val="000000"/>
          <w:lang w:val="en-GB"/>
        </w:rPr>
        <w:lastRenderedPageBreak/>
        <w:t>Figure Legends</w:t>
      </w:r>
    </w:p>
    <w:p w14:paraId="2013E90F" w14:textId="77777777" w:rsidR="00EB3E58" w:rsidRDefault="005946F0">
      <w:pPr>
        <w:adjustRightInd w:val="0"/>
        <w:snapToGrid w:val="0"/>
        <w:spacing w:line="360" w:lineRule="auto"/>
        <w:jc w:val="both"/>
        <w:rPr>
          <w:rFonts w:ascii="Book Antiqua" w:hAnsi="Book Antiqua"/>
          <w:lang w:val="en-GB"/>
        </w:rPr>
      </w:pPr>
      <w:r>
        <w:rPr>
          <w:rFonts w:ascii="Book Antiqua" w:hAnsi="Book Antiqua"/>
          <w:noProof/>
          <w:lang w:val="en-GB" w:eastAsia="zh-CN"/>
        </w:rPr>
        <w:drawing>
          <wp:inline distT="0" distB="0" distL="0" distR="0" wp14:anchorId="75F91754" wp14:editId="7000E1C1">
            <wp:extent cx="2133600" cy="22612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133600" cy="2261616"/>
                    </a:xfrm>
                    <a:prstGeom prst="rect">
                      <a:avLst/>
                    </a:prstGeom>
                  </pic:spPr>
                </pic:pic>
              </a:graphicData>
            </a:graphic>
          </wp:inline>
        </w:drawing>
      </w:r>
    </w:p>
    <w:p w14:paraId="36E0B359" w14:textId="77777777" w:rsidR="00EB3E58" w:rsidRDefault="005946F0">
      <w:pPr>
        <w:adjustRightInd w:val="0"/>
        <w:snapToGrid w:val="0"/>
        <w:spacing w:line="360" w:lineRule="auto"/>
        <w:jc w:val="both"/>
        <w:rPr>
          <w:rFonts w:ascii="Book Antiqua" w:eastAsia="Book Antiqua" w:hAnsi="Book Antiqua" w:cs="Book Antiqua"/>
          <w:color w:val="000000"/>
          <w:lang w:val="en-GB"/>
        </w:rPr>
      </w:pPr>
      <w:bookmarkStart w:id="24" w:name="OLE_LINK25"/>
      <w:bookmarkStart w:id="25" w:name="OLE_LINK26"/>
      <w:r>
        <w:rPr>
          <w:rFonts w:ascii="Book Antiqua" w:eastAsia="Book Antiqua" w:hAnsi="Book Antiqua" w:cs="Book Antiqua"/>
          <w:b/>
          <w:bCs/>
          <w:color w:val="000000"/>
          <w:lang w:val="en-GB"/>
        </w:rPr>
        <w:t xml:space="preserve">Figure 1 </w:t>
      </w:r>
      <w:r>
        <w:rPr>
          <w:rFonts w:ascii="Book Antiqua" w:eastAsia="Book Antiqua" w:hAnsi="Book Antiqua" w:cs="Book Antiqua"/>
          <w:b/>
          <w:bCs/>
          <w:i/>
          <w:iCs/>
          <w:color w:val="000000"/>
          <w:lang w:val="en-GB"/>
        </w:rPr>
        <w:t>Brucella</w:t>
      </w:r>
      <w:r>
        <w:rPr>
          <w:rFonts w:ascii="Book Antiqua" w:eastAsia="Book Antiqua" w:hAnsi="Book Antiqua" w:cs="Book Antiqua"/>
          <w:b/>
          <w:bCs/>
          <w:color w:val="000000"/>
          <w:lang w:val="en-GB"/>
        </w:rPr>
        <w:t xml:space="preserve"> in blood culture.</w:t>
      </w:r>
      <w:r>
        <w:rPr>
          <w:rFonts w:ascii="Book Antiqua" w:eastAsia="Book Antiqua" w:hAnsi="Book Antiqua" w:cs="Book Antiqua"/>
          <w:color w:val="000000"/>
          <w:lang w:val="en-GB"/>
        </w:rPr>
        <w:t xml:space="preserve"> Gram staining, 100 ×.</w:t>
      </w:r>
    </w:p>
    <w:bookmarkEnd w:id="24"/>
    <w:bookmarkEnd w:id="25"/>
    <w:p w14:paraId="654D416F"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br w:type="page"/>
      </w:r>
      <w:r>
        <w:rPr>
          <w:rFonts w:ascii="Book Antiqua" w:hAnsi="Book Antiqua"/>
          <w:noProof/>
          <w:lang w:val="en-GB" w:eastAsia="zh-CN"/>
        </w:rPr>
        <w:lastRenderedPageBreak/>
        <w:drawing>
          <wp:inline distT="0" distB="0" distL="0" distR="0" wp14:anchorId="6CE1AD36" wp14:editId="28BED373">
            <wp:extent cx="5742305" cy="23831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42930" cy="2383743"/>
                    </a:xfrm>
                    <a:prstGeom prst="rect">
                      <a:avLst/>
                    </a:prstGeom>
                  </pic:spPr>
                </pic:pic>
              </a:graphicData>
            </a:graphic>
          </wp:inline>
        </w:drawing>
      </w:r>
    </w:p>
    <w:p w14:paraId="5FD432F0" w14:textId="77777777" w:rsidR="00EB3E58" w:rsidRDefault="005946F0">
      <w:pPr>
        <w:adjustRightInd w:val="0"/>
        <w:snapToGrid w:val="0"/>
        <w:spacing w:line="360" w:lineRule="auto"/>
        <w:jc w:val="both"/>
        <w:rPr>
          <w:rFonts w:ascii="Book Antiqua" w:eastAsia="Book Antiqua" w:hAnsi="Book Antiqua" w:cs="Book Antiqua"/>
          <w:color w:val="000000"/>
          <w:lang w:val="en-GB"/>
        </w:rPr>
      </w:pPr>
      <w:r>
        <w:rPr>
          <w:rFonts w:ascii="Book Antiqua" w:eastAsia="Book Antiqua" w:hAnsi="Book Antiqua" w:cs="Book Antiqua"/>
          <w:b/>
          <w:bCs/>
          <w:color w:val="000000"/>
          <w:lang w:val="en-GB"/>
        </w:rPr>
        <w:t xml:space="preserve">Figure 2 </w:t>
      </w:r>
      <w:proofErr w:type="spellStart"/>
      <w:r>
        <w:rPr>
          <w:rFonts w:ascii="Book Antiqua" w:eastAsia="Book Antiqua" w:hAnsi="Book Antiqua" w:cs="Book Antiqua"/>
          <w:b/>
          <w:bCs/>
          <w:color w:val="000000"/>
          <w:lang w:val="en-GB"/>
        </w:rPr>
        <w:t>Haemophagocytosis</w:t>
      </w:r>
      <w:proofErr w:type="spellEnd"/>
      <w:r>
        <w:rPr>
          <w:rFonts w:ascii="Book Antiqua" w:eastAsia="Book Antiqua" w:hAnsi="Book Antiqua" w:cs="Book Antiqua"/>
          <w:b/>
          <w:bCs/>
          <w:color w:val="000000"/>
          <w:lang w:val="en-GB"/>
        </w:rPr>
        <w:t xml:space="preserve"> in bone marrow aspiration and biopsy </w:t>
      </w:r>
      <w:r>
        <w:rPr>
          <w:rFonts w:ascii="Book Antiqua" w:eastAsia="Book Antiqua" w:hAnsi="Book Antiqua" w:cs="Book Antiqua"/>
          <w:b/>
          <w:bCs/>
          <w:color w:val="000000"/>
          <w:lang w:val="en-GB"/>
        </w:rPr>
        <w:t>specimen, and histiocytes phagocytizing lymphocytes, platelets, and red cells.</w:t>
      </w:r>
      <w:r>
        <w:rPr>
          <w:rFonts w:ascii="Book Antiqua" w:eastAsia="Book Antiqua" w:hAnsi="Book Antiqua" w:cs="Book Antiqua"/>
          <w:color w:val="000000"/>
          <w:lang w:val="en-GB"/>
        </w:rPr>
        <w:t xml:space="preserve"> A and B: Wright staining, 1000 ×.</w:t>
      </w:r>
    </w:p>
    <w:p w14:paraId="6AB30570"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br w:type="page"/>
      </w:r>
      <w:r>
        <w:rPr>
          <w:rFonts w:ascii="Book Antiqua" w:hAnsi="Book Antiqua"/>
          <w:noProof/>
          <w:lang w:val="en-GB" w:eastAsia="zh-CN"/>
        </w:rPr>
        <w:lastRenderedPageBreak/>
        <w:drawing>
          <wp:inline distT="0" distB="0" distL="0" distR="0" wp14:anchorId="3BC2ACBB" wp14:editId="3669667D">
            <wp:extent cx="5943600" cy="19881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3600" cy="1988185"/>
                    </a:xfrm>
                    <a:prstGeom prst="rect">
                      <a:avLst/>
                    </a:prstGeom>
                  </pic:spPr>
                </pic:pic>
              </a:graphicData>
            </a:graphic>
          </wp:inline>
        </w:drawing>
      </w:r>
    </w:p>
    <w:p w14:paraId="70E49B3C" w14:textId="77777777" w:rsidR="00EB3E58" w:rsidRDefault="005946F0">
      <w:pPr>
        <w:adjustRightInd w:val="0"/>
        <w:snapToGrid w:val="0"/>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Figure 3 Mass spectrometry results.</w:t>
      </w:r>
    </w:p>
    <w:p w14:paraId="0D244F2D"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br w:type="page"/>
      </w:r>
    </w:p>
    <w:p w14:paraId="44FE26EC" w14:textId="63A36419" w:rsidR="00EB3E58" w:rsidRDefault="00AB1717">
      <w:pPr>
        <w:adjustRightInd w:val="0"/>
        <w:snapToGrid w:val="0"/>
        <w:spacing w:line="360" w:lineRule="auto"/>
        <w:jc w:val="both"/>
      </w:pPr>
      <w:r w:rsidRPr="00AB1717">
        <w:lastRenderedPageBreak/>
        <w:drawing>
          <wp:inline distT="0" distB="0" distL="0" distR="0" wp14:anchorId="0E43FB03" wp14:editId="4AD0E833">
            <wp:extent cx="5486400" cy="33159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3315970"/>
                    </a:xfrm>
                    <a:prstGeom prst="rect">
                      <a:avLst/>
                    </a:prstGeom>
                  </pic:spPr>
                </pic:pic>
              </a:graphicData>
            </a:graphic>
          </wp:inline>
        </w:drawing>
      </w:r>
    </w:p>
    <w:p w14:paraId="652800B3" w14:textId="77777777" w:rsidR="00EB3E58" w:rsidRDefault="005946F0">
      <w:pPr>
        <w:adjustRightInd w:val="0"/>
        <w:snapToGrid w:val="0"/>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Figure 4 Body temperature changes during treatment.</w:t>
      </w:r>
    </w:p>
    <w:p w14:paraId="4AAFD27B" w14:textId="77777777" w:rsidR="00EB3E58" w:rsidRDefault="005946F0">
      <w:pPr>
        <w:adjustRightInd w:val="0"/>
        <w:snapToGrid w:val="0"/>
        <w:spacing w:line="360" w:lineRule="auto"/>
        <w:jc w:val="both"/>
        <w:rPr>
          <w:rFonts w:ascii="Book Antiqua" w:hAnsi="Book Antiqua"/>
          <w:b/>
          <w:bCs/>
          <w:lang w:val="en-GB"/>
        </w:rPr>
      </w:pPr>
      <w:r>
        <w:rPr>
          <w:rFonts w:ascii="Book Antiqua" w:eastAsia="Book Antiqua" w:hAnsi="Book Antiqua" w:cs="Book Antiqua"/>
          <w:b/>
          <w:bCs/>
          <w:color w:val="000000"/>
          <w:lang w:val="en-GB"/>
        </w:rPr>
        <w:br w:type="page"/>
      </w:r>
      <w:r>
        <w:rPr>
          <w:rFonts w:ascii="Book Antiqua" w:hAnsi="Book Antiqua"/>
          <w:b/>
          <w:bCs/>
          <w:lang w:val="en-GB"/>
        </w:rPr>
        <w:lastRenderedPageBreak/>
        <w:t>Table 1 Laboratory results for a 50-year-old ma</w:t>
      </w:r>
      <w:r>
        <w:rPr>
          <w:rFonts w:ascii="Book Antiqua" w:hAnsi="Book Antiqua"/>
          <w:b/>
          <w:bCs/>
          <w:lang w:val="en-GB"/>
        </w:rPr>
        <w:t xml:space="preserve">n with brucellosis and secondary </w:t>
      </w:r>
      <w:proofErr w:type="spellStart"/>
      <w:r>
        <w:rPr>
          <w:rFonts w:ascii="Book Antiqua" w:hAnsi="Book Antiqua"/>
          <w:b/>
          <w:bCs/>
          <w:lang w:val="en-GB"/>
        </w:rPr>
        <w:t>haemophagocytic</w:t>
      </w:r>
      <w:proofErr w:type="spellEnd"/>
      <w:r>
        <w:rPr>
          <w:rFonts w:ascii="Book Antiqua" w:hAnsi="Book Antiqua"/>
          <w:b/>
          <w:bCs/>
          <w:lang w:val="en-GB"/>
        </w:rPr>
        <w:t xml:space="preserve"> syndrome</w:t>
      </w:r>
    </w:p>
    <w:tbl>
      <w:tblPr>
        <w:tblW w:w="9498" w:type="dxa"/>
        <w:tblInd w:w="-176" w:type="dxa"/>
        <w:tblBorders>
          <w:top w:val="single" w:sz="4" w:space="0" w:color="auto"/>
          <w:bottom w:val="single" w:sz="4" w:space="0" w:color="auto"/>
        </w:tblBorders>
        <w:tblLook w:val="04A0" w:firstRow="1" w:lastRow="0" w:firstColumn="1" w:lastColumn="0" w:noHBand="0" w:noVBand="1"/>
      </w:tblPr>
      <w:tblGrid>
        <w:gridCol w:w="2796"/>
        <w:gridCol w:w="1171"/>
        <w:gridCol w:w="1003"/>
        <w:gridCol w:w="1170"/>
        <w:gridCol w:w="1171"/>
        <w:gridCol w:w="2187"/>
      </w:tblGrid>
      <w:tr w:rsidR="00EB3E58" w14:paraId="5E6EF503" w14:textId="77777777">
        <w:trPr>
          <w:trHeight w:val="395"/>
        </w:trPr>
        <w:tc>
          <w:tcPr>
            <w:tcW w:w="2796" w:type="dxa"/>
            <w:tcBorders>
              <w:top w:val="single" w:sz="4" w:space="0" w:color="auto"/>
              <w:bottom w:val="single" w:sz="4" w:space="0" w:color="auto"/>
            </w:tcBorders>
          </w:tcPr>
          <w:p w14:paraId="562A9166" w14:textId="77777777" w:rsidR="00EB3E58" w:rsidRDefault="005946F0">
            <w:pPr>
              <w:adjustRightInd w:val="0"/>
              <w:snapToGrid w:val="0"/>
              <w:spacing w:line="360" w:lineRule="auto"/>
              <w:jc w:val="both"/>
              <w:rPr>
                <w:rFonts w:ascii="Book Antiqua" w:hAnsi="Book Antiqua" w:cs="Book Antiqua"/>
                <w:b/>
                <w:lang w:val="en-GB"/>
              </w:rPr>
            </w:pPr>
            <w:r>
              <w:rPr>
                <w:rFonts w:ascii="Book Antiqua" w:hAnsi="Book Antiqua" w:cs="Book Antiqua"/>
                <w:b/>
                <w:lang w:val="en-GB"/>
              </w:rPr>
              <w:t>Test</w:t>
            </w:r>
          </w:p>
        </w:tc>
        <w:tc>
          <w:tcPr>
            <w:tcW w:w="1171" w:type="dxa"/>
            <w:tcBorders>
              <w:top w:val="single" w:sz="4" w:space="0" w:color="auto"/>
              <w:bottom w:val="single" w:sz="4" w:space="0" w:color="auto"/>
            </w:tcBorders>
          </w:tcPr>
          <w:p w14:paraId="3A18D24B" w14:textId="77777777" w:rsidR="00EB3E58" w:rsidRDefault="005946F0">
            <w:pPr>
              <w:adjustRightInd w:val="0"/>
              <w:snapToGrid w:val="0"/>
              <w:spacing w:line="360" w:lineRule="auto"/>
              <w:jc w:val="both"/>
              <w:rPr>
                <w:rFonts w:ascii="Book Antiqua" w:hAnsi="Book Antiqua" w:cs="Book Antiqua"/>
                <w:b/>
                <w:bCs/>
                <w:lang w:val="en-GB"/>
              </w:rPr>
            </w:pPr>
            <w:r>
              <w:rPr>
                <w:rFonts w:ascii="Book Antiqua" w:hAnsi="Book Antiqua" w:cs="Book Antiqua"/>
                <w:b/>
                <w:lang w:val="en-GB"/>
              </w:rPr>
              <w:t>Day 1</w:t>
            </w:r>
          </w:p>
        </w:tc>
        <w:tc>
          <w:tcPr>
            <w:tcW w:w="1003" w:type="dxa"/>
            <w:tcBorders>
              <w:top w:val="single" w:sz="4" w:space="0" w:color="auto"/>
              <w:bottom w:val="single" w:sz="4" w:space="0" w:color="auto"/>
            </w:tcBorders>
          </w:tcPr>
          <w:p w14:paraId="654851B9" w14:textId="77777777" w:rsidR="00EB3E58" w:rsidRDefault="005946F0">
            <w:pPr>
              <w:adjustRightInd w:val="0"/>
              <w:snapToGrid w:val="0"/>
              <w:spacing w:line="360" w:lineRule="auto"/>
              <w:jc w:val="both"/>
              <w:rPr>
                <w:rFonts w:ascii="Book Antiqua" w:hAnsi="Book Antiqua" w:cs="Book Antiqua"/>
                <w:b/>
                <w:bCs/>
                <w:lang w:val="en-GB"/>
              </w:rPr>
            </w:pPr>
            <w:r>
              <w:rPr>
                <w:rFonts w:ascii="Book Antiqua" w:hAnsi="Book Antiqua" w:cs="Book Antiqua"/>
                <w:b/>
                <w:lang w:val="en-GB"/>
              </w:rPr>
              <w:t>Day 4</w:t>
            </w:r>
          </w:p>
        </w:tc>
        <w:tc>
          <w:tcPr>
            <w:tcW w:w="1170" w:type="dxa"/>
            <w:tcBorders>
              <w:top w:val="single" w:sz="4" w:space="0" w:color="auto"/>
              <w:bottom w:val="single" w:sz="4" w:space="0" w:color="auto"/>
            </w:tcBorders>
          </w:tcPr>
          <w:p w14:paraId="2274152E" w14:textId="77777777" w:rsidR="00EB3E58" w:rsidRDefault="005946F0">
            <w:pPr>
              <w:adjustRightInd w:val="0"/>
              <w:snapToGrid w:val="0"/>
              <w:spacing w:line="360" w:lineRule="auto"/>
              <w:jc w:val="both"/>
              <w:rPr>
                <w:rFonts w:ascii="Book Antiqua" w:hAnsi="Book Antiqua" w:cs="Book Antiqua"/>
                <w:b/>
                <w:bCs/>
                <w:lang w:val="en-GB"/>
              </w:rPr>
            </w:pPr>
            <w:r>
              <w:rPr>
                <w:rFonts w:ascii="Book Antiqua" w:hAnsi="Book Antiqua" w:cs="Book Antiqua"/>
                <w:b/>
                <w:lang w:val="en-GB"/>
              </w:rPr>
              <w:t>Day 7</w:t>
            </w:r>
          </w:p>
        </w:tc>
        <w:tc>
          <w:tcPr>
            <w:tcW w:w="1171" w:type="dxa"/>
            <w:tcBorders>
              <w:top w:val="single" w:sz="4" w:space="0" w:color="auto"/>
              <w:bottom w:val="single" w:sz="4" w:space="0" w:color="auto"/>
            </w:tcBorders>
          </w:tcPr>
          <w:p w14:paraId="5A5D398F" w14:textId="77777777" w:rsidR="00EB3E58" w:rsidRDefault="005946F0">
            <w:pPr>
              <w:adjustRightInd w:val="0"/>
              <w:snapToGrid w:val="0"/>
              <w:spacing w:line="360" w:lineRule="auto"/>
              <w:jc w:val="both"/>
              <w:rPr>
                <w:rFonts w:ascii="Book Antiqua" w:hAnsi="Book Antiqua" w:cs="Book Antiqua"/>
                <w:b/>
                <w:bCs/>
                <w:lang w:val="en-GB"/>
              </w:rPr>
            </w:pPr>
            <w:r>
              <w:rPr>
                <w:rFonts w:ascii="Book Antiqua" w:hAnsi="Book Antiqua" w:cs="Book Antiqua"/>
                <w:b/>
                <w:lang w:val="en-GB"/>
              </w:rPr>
              <w:t>Day 10</w:t>
            </w:r>
          </w:p>
        </w:tc>
        <w:tc>
          <w:tcPr>
            <w:tcW w:w="2187" w:type="dxa"/>
            <w:tcBorders>
              <w:top w:val="single" w:sz="4" w:space="0" w:color="auto"/>
              <w:bottom w:val="single" w:sz="4" w:space="0" w:color="auto"/>
            </w:tcBorders>
          </w:tcPr>
          <w:p w14:paraId="45761776" w14:textId="77777777" w:rsidR="00EB3E58" w:rsidRDefault="005946F0">
            <w:pPr>
              <w:adjustRightInd w:val="0"/>
              <w:snapToGrid w:val="0"/>
              <w:spacing w:line="360" w:lineRule="auto"/>
              <w:jc w:val="both"/>
              <w:rPr>
                <w:rFonts w:ascii="Book Antiqua" w:hAnsi="Book Antiqua" w:cs="Book Antiqua"/>
                <w:b/>
                <w:lang w:val="en-GB"/>
              </w:rPr>
            </w:pPr>
            <w:r>
              <w:rPr>
                <w:rFonts w:ascii="Book Antiqua" w:hAnsi="Book Antiqua" w:cs="Book Antiqua"/>
                <w:b/>
                <w:lang w:val="en-GB"/>
              </w:rPr>
              <w:t>Reference</w:t>
            </w:r>
            <w:r>
              <w:rPr>
                <w:rFonts w:ascii="Book Antiqua" w:hAnsi="Book Antiqua" w:cs="Book Antiqua"/>
                <w:b/>
                <w:color w:val="231F20"/>
                <w:lang w:val="en-GB"/>
              </w:rPr>
              <w:t xml:space="preserve"> </w:t>
            </w:r>
            <w:r>
              <w:rPr>
                <w:rFonts w:ascii="Book Antiqua" w:hAnsi="Book Antiqua" w:cs="Book Antiqua"/>
                <w:b/>
                <w:lang w:val="en-GB"/>
              </w:rPr>
              <w:t>range</w:t>
            </w:r>
          </w:p>
        </w:tc>
      </w:tr>
      <w:tr w:rsidR="00EB3E58" w14:paraId="407F9346" w14:textId="77777777">
        <w:trPr>
          <w:trHeight w:val="185"/>
        </w:trPr>
        <w:tc>
          <w:tcPr>
            <w:tcW w:w="2796" w:type="dxa"/>
            <w:tcBorders>
              <w:top w:val="single" w:sz="4" w:space="0" w:color="auto"/>
            </w:tcBorders>
          </w:tcPr>
          <w:p w14:paraId="61BA6A8D" w14:textId="77777777" w:rsidR="00EB3E58" w:rsidRDefault="005946F0">
            <w:pPr>
              <w:widowControl w:val="0"/>
              <w:adjustRightInd w:val="0"/>
              <w:snapToGrid w:val="0"/>
              <w:spacing w:line="360" w:lineRule="auto"/>
              <w:jc w:val="both"/>
              <w:rPr>
                <w:rFonts w:ascii="Book Antiqua" w:hAnsi="Book Antiqua" w:cs="Book Antiqua"/>
                <w:lang w:val="en-GB"/>
              </w:rPr>
            </w:pPr>
            <w:r>
              <w:rPr>
                <w:rFonts w:ascii="Book Antiqua" w:hAnsi="Book Antiqua" w:cs="Book Antiqua"/>
                <w:lang w:val="en-GB"/>
              </w:rPr>
              <w:t>WBC, 10</w:t>
            </w:r>
            <w:r>
              <w:rPr>
                <w:rFonts w:ascii="Book Antiqua" w:hAnsi="Book Antiqua" w:cs="Book Antiqua"/>
                <w:vertAlign w:val="superscript"/>
                <w:lang w:val="en-GB"/>
              </w:rPr>
              <w:t>9</w:t>
            </w:r>
            <w:r>
              <w:rPr>
                <w:rFonts w:ascii="Book Antiqua" w:hAnsi="Book Antiqua" w:cs="Book Antiqua"/>
                <w:lang w:val="en-GB"/>
              </w:rPr>
              <w:t>/L</w:t>
            </w:r>
          </w:p>
        </w:tc>
        <w:tc>
          <w:tcPr>
            <w:tcW w:w="1171" w:type="dxa"/>
            <w:tcBorders>
              <w:top w:val="single" w:sz="4" w:space="0" w:color="auto"/>
            </w:tcBorders>
            <w:vAlign w:val="bottom"/>
          </w:tcPr>
          <w:p w14:paraId="479683BB" w14:textId="77777777" w:rsidR="00EB3E58" w:rsidRDefault="005946F0">
            <w:pPr>
              <w:widowControl w:val="0"/>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2.67</w:t>
            </w:r>
          </w:p>
        </w:tc>
        <w:tc>
          <w:tcPr>
            <w:tcW w:w="1003" w:type="dxa"/>
            <w:tcBorders>
              <w:top w:val="single" w:sz="4" w:space="0" w:color="auto"/>
            </w:tcBorders>
            <w:vAlign w:val="bottom"/>
          </w:tcPr>
          <w:p w14:paraId="744874F9" w14:textId="77777777" w:rsidR="00EB3E58" w:rsidRDefault="005946F0">
            <w:pPr>
              <w:widowControl w:val="0"/>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2.35</w:t>
            </w:r>
          </w:p>
        </w:tc>
        <w:tc>
          <w:tcPr>
            <w:tcW w:w="1170" w:type="dxa"/>
            <w:tcBorders>
              <w:top w:val="single" w:sz="4" w:space="0" w:color="auto"/>
            </w:tcBorders>
            <w:vAlign w:val="bottom"/>
          </w:tcPr>
          <w:p w14:paraId="1ABC5EB5" w14:textId="77777777" w:rsidR="00EB3E58" w:rsidRDefault="005946F0">
            <w:pPr>
              <w:widowControl w:val="0"/>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3.92</w:t>
            </w:r>
          </w:p>
        </w:tc>
        <w:tc>
          <w:tcPr>
            <w:tcW w:w="1171" w:type="dxa"/>
            <w:tcBorders>
              <w:top w:val="single" w:sz="4" w:space="0" w:color="auto"/>
            </w:tcBorders>
            <w:vAlign w:val="bottom"/>
          </w:tcPr>
          <w:p w14:paraId="478A0F1C" w14:textId="77777777" w:rsidR="00EB3E58" w:rsidRDefault="005946F0">
            <w:pPr>
              <w:widowControl w:val="0"/>
              <w:adjustRightInd w:val="0"/>
              <w:snapToGrid w:val="0"/>
              <w:spacing w:line="360" w:lineRule="auto"/>
              <w:ind w:firstLineChars="50" w:firstLine="120"/>
              <w:jc w:val="both"/>
              <w:rPr>
                <w:rFonts w:ascii="Book Antiqua" w:hAnsi="Book Antiqua" w:cs="Book Antiqua"/>
                <w:color w:val="000000"/>
                <w:lang w:val="en-GB"/>
              </w:rPr>
            </w:pPr>
            <w:r>
              <w:rPr>
                <w:rFonts w:ascii="Book Antiqua" w:hAnsi="Book Antiqua" w:cs="Book Antiqua"/>
                <w:color w:val="000000"/>
                <w:lang w:val="en-GB"/>
              </w:rPr>
              <w:t>3.98</w:t>
            </w:r>
          </w:p>
        </w:tc>
        <w:tc>
          <w:tcPr>
            <w:tcW w:w="2187" w:type="dxa"/>
            <w:tcBorders>
              <w:top w:val="single" w:sz="4" w:space="0" w:color="auto"/>
            </w:tcBorders>
            <w:vAlign w:val="bottom"/>
          </w:tcPr>
          <w:p w14:paraId="16727858" w14:textId="77777777" w:rsidR="00EB3E58" w:rsidRDefault="005946F0">
            <w:pPr>
              <w:widowControl w:val="0"/>
              <w:adjustRightInd w:val="0"/>
              <w:snapToGrid w:val="0"/>
              <w:spacing w:line="360" w:lineRule="auto"/>
              <w:jc w:val="both"/>
              <w:rPr>
                <w:rFonts w:ascii="Book Antiqua" w:eastAsia="SimSun" w:hAnsi="Book Antiqua" w:cs="Book Antiqua"/>
                <w:color w:val="000000"/>
                <w:lang w:val="en-GB"/>
              </w:rPr>
            </w:pPr>
            <w:r>
              <w:rPr>
                <w:rFonts w:ascii="Book Antiqua" w:eastAsia="SimSun" w:hAnsi="Book Antiqua" w:cs="Book Antiqua"/>
                <w:color w:val="000000"/>
                <w:lang w:val="en-GB"/>
              </w:rPr>
              <w:t>3.5–9.5</w:t>
            </w:r>
          </w:p>
        </w:tc>
      </w:tr>
      <w:tr w:rsidR="00EB3E58" w14:paraId="3A9720AD" w14:textId="77777777">
        <w:trPr>
          <w:trHeight w:val="318"/>
        </w:trPr>
        <w:tc>
          <w:tcPr>
            <w:tcW w:w="2796" w:type="dxa"/>
          </w:tcPr>
          <w:p w14:paraId="7941ACF5"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HGB, g/L</w:t>
            </w:r>
          </w:p>
        </w:tc>
        <w:tc>
          <w:tcPr>
            <w:tcW w:w="1171" w:type="dxa"/>
            <w:vAlign w:val="bottom"/>
          </w:tcPr>
          <w:p w14:paraId="67952C9C"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147</w:t>
            </w:r>
          </w:p>
        </w:tc>
        <w:tc>
          <w:tcPr>
            <w:tcW w:w="1003" w:type="dxa"/>
            <w:vAlign w:val="bottom"/>
          </w:tcPr>
          <w:p w14:paraId="60DD5561"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139</w:t>
            </w:r>
          </w:p>
        </w:tc>
        <w:tc>
          <w:tcPr>
            <w:tcW w:w="1170" w:type="dxa"/>
            <w:vAlign w:val="bottom"/>
          </w:tcPr>
          <w:p w14:paraId="26215BFB"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143</w:t>
            </w:r>
          </w:p>
        </w:tc>
        <w:tc>
          <w:tcPr>
            <w:tcW w:w="1171" w:type="dxa"/>
            <w:vAlign w:val="bottom"/>
          </w:tcPr>
          <w:p w14:paraId="68D27BAE"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145</w:t>
            </w:r>
          </w:p>
        </w:tc>
        <w:tc>
          <w:tcPr>
            <w:tcW w:w="2187" w:type="dxa"/>
            <w:vAlign w:val="bottom"/>
          </w:tcPr>
          <w:p w14:paraId="6DDFB7B2"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130–175</w:t>
            </w:r>
          </w:p>
        </w:tc>
      </w:tr>
      <w:tr w:rsidR="00EB3E58" w14:paraId="1FD7DC4E" w14:textId="77777777">
        <w:trPr>
          <w:trHeight w:val="318"/>
        </w:trPr>
        <w:tc>
          <w:tcPr>
            <w:tcW w:w="2796" w:type="dxa"/>
          </w:tcPr>
          <w:p w14:paraId="52CD4DCF"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PLT, 10</w:t>
            </w:r>
            <w:r>
              <w:rPr>
                <w:rFonts w:ascii="Book Antiqua" w:hAnsi="Book Antiqua" w:cs="Book Antiqua"/>
                <w:vertAlign w:val="superscript"/>
                <w:lang w:val="en-GB"/>
              </w:rPr>
              <w:t>9</w:t>
            </w:r>
            <w:r>
              <w:rPr>
                <w:rFonts w:ascii="Book Antiqua" w:hAnsi="Book Antiqua" w:cs="Book Antiqua"/>
                <w:lang w:val="en-GB"/>
              </w:rPr>
              <w:t>/L</w:t>
            </w:r>
          </w:p>
        </w:tc>
        <w:tc>
          <w:tcPr>
            <w:tcW w:w="1171" w:type="dxa"/>
            <w:vAlign w:val="bottom"/>
          </w:tcPr>
          <w:p w14:paraId="292EEA8C"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83</w:t>
            </w:r>
          </w:p>
        </w:tc>
        <w:tc>
          <w:tcPr>
            <w:tcW w:w="1003" w:type="dxa"/>
            <w:vAlign w:val="bottom"/>
          </w:tcPr>
          <w:p w14:paraId="07E8C95D"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57</w:t>
            </w:r>
          </w:p>
        </w:tc>
        <w:tc>
          <w:tcPr>
            <w:tcW w:w="1170" w:type="dxa"/>
            <w:vAlign w:val="bottom"/>
          </w:tcPr>
          <w:p w14:paraId="0881B9B9"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99</w:t>
            </w:r>
          </w:p>
        </w:tc>
        <w:tc>
          <w:tcPr>
            <w:tcW w:w="1171" w:type="dxa"/>
            <w:vAlign w:val="bottom"/>
          </w:tcPr>
          <w:p w14:paraId="73BEA5E0"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181</w:t>
            </w:r>
          </w:p>
        </w:tc>
        <w:tc>
          <w:tcPr>
            <w:tcW w:w="2187" w:type="dxa"/>
            <w:vAlign w:val="bottom"/>
          </w:tcPr>
          <w:p w14:paraId="73EE8100"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125–350</w:t>
            </w:r>
          </w:p>
        </w:tc>
      </w:tr>
      <w:tr w:rsidR="00EB3E58" w14:paraId="784103BF" w14:textId="77777777">
        <w:trPr>
          <w:trHeight w:val="318"/>
        </w:trPr>
        <w:tc>
          <w:tcPr>
            <w:tcW w:w="2796" w:type="dxa"/>
          </w:tcPr>
          <w:p w14:paraId="372B6731"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CRP, mg/L</w:t>
            </w:r>
          </w:p>
        </w:tc>
        <w:tc>
          <w:tcPr>
            <w:tcW w:w="1171" w:type="dxa"/>
            <w:vAlign w:val="bottom"/>
          </w:tcPr>
          <w:p w14:paraId="172287E3"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30.76</w:t>
            </w:r>
          </w:p>
        </w:tc>
        <w:tc>
          <w:tcPr>
            <w:tcW w:w="1003" w:type="dxa"/>
            <w:vAlign w:val="bottom"/>
          </w:tcPr>
          <w:p w14:paraId="22C3D513"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18.25</w:t>
            </w:r>
          </w:p>
        </w:tc>
        <w:tc>
          <w:tcPr>
            <w:tcW w:w="1170" w:type="dxa"/>
          </w:tcPr>
          <w:p w14:paraId="4DD209ED"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4.87</w:t>
            </w:r>
          </w:p>
        </w:tc>
        <w:tc>
          <w:tcPr>
            <w:tcW w:w="1171" w:type="dxa"/>
          </w:tcPr>
          <w:p w14:paraId="0DD3A2A4"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0.79</w:t>
            </w:r>
          </w:p>
        </w:tc>
        <w:tc>
          <w:tcPr>
            <w:tcW w:w="2187" w:type="dxa"/>
            <w:vAlign w:val="bottom"/>
          </w:tcPr>
          <w:p w14:paraId="0B132361"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0–10</w:t>
            </w:r>
          </w:p>
        </w:tc>
      </w:tr>
      <w:tr w:rsidR="00EB3E58" w14:paraId="32B7E947" w14:textId="77777777">
        <w:trPr>
          <w:trHeight w:val="318"/>
        </w:trPr>
        <w:tc>
          <w:tcPr>
            <w:tcW w:w="2796" w:type="dxa"/>
          </w:tcPr>
          <w:p w14:paraId="7139A979" w14:textId="77777777" w:rsidR="00EB3E58" w:rsidRDefault="005946F0">
            <w:pPr>
              <w:adjustRightInd w:val="0"/>
              <w:snapToGrid w:val="0"/>
              <w:spacing w:line="360" w:lineRule="auto"/>
              <w:jc w:val="both"/>
              <w:rPr>
                <w:rFonts w:ascii="Book Antiqua" w:hAnsi="Book Antiqua" w:cs="Book Antiqua"/>
                <w:b/>
                <w:bCs/>
                <w:lang w:val="en-GB"/>
              </w:rPr>
            </w:pPr>
            <w:r>
              <w:rPr>
                <w:rFonts w:ascii="Book Antiqua" w:hAnsi="Book Antiqua" w:cs="Book Antiqua"/>
                <w:lang w:val="en-GB"/>
              </w:rPr>
              <w:t>PCT, ng/mL</w:t>
            </w:r>
          </w:p>
        </w:tc>
        <w:tc>
          <w:tcPr>
            <w:tcW w:w="1171" w:type="dxa"/>
            <w:vAlign w:val="bottom"/>
          </w:tcPr>
          <w:p w14:paraId="4C278729"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0.385</w:t>
            </w:r>
          </w:p>
        </w:tc>
        <w:tc>
          <w:tcPr>
            <w:tcW w:w="1003" w:type="dxa"/>
            <w:vAlign w:val="bottom"/>
          </w:tcPr>
          <w:p w14:paraId="237901A5"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w:t>
            </w:r>
          </w:p>
        </w:tc>
        <w:tc>
          <w:tcPr>
            <w:tcW w:w="1170" w:type="dxa"/>
          </w:tcPr>
          <w:p w14:paraId="7440D0EF"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w:t>
            </w:r>
          </w:p>
        </w:tc>
        <w:tc>
          <w:tcPr>
            <w:tcW w:w="1171" w:type="dxa"/>
          </w:tcPr>
          <w:p w14:paraId="759C514A" w14:textId="77777777" w:rsidR="00EB3E58" w:rsidRDefault="005946F0">
            <w:pPr>
              <w:adjustRightInd w:val="0"/>
              <w:snapToGrid w:val="0"/>
              <w:spacing w:line="360" w:lineRule="auto"/>
              <w:jc w:val="both"/>
              <w:rPr>
                <w:rFonts w:ascii="Book Antiqua" w:hAnsi="Book Antiqua" w:cs="Book Antiqua"/>
                <w:b/>
                <w:bCs/>
                <w:color w:val="000000"/>
                <w:lang w:val="en-GB"/>
              </w:rPr>
            </w:pPr>
            <w:r>
              <w:rPr>
                <w:rFonts w:ascii="Book Antiqua" w:hAnsi="Book Antiqua" w:cs="Book Antiqua"/>
                <w:color w:val="000000"/>
                <w:lang w:val="en-GB"/>
              </w:rPr>
              <w:t>-</w:t>
            </w:r>
          </w:p>
        </w:tc>
        <w:tc>
          <w:tcPr>
            <w:tcW w:w="2187" w:type="dxa"/>
            <w:vAlign w:val="bottom"/>
          </w:tcPr>
          <w:p w14:paraId="08E77674"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3.5–9.5</w:t>
            </w:r>
          </w:p>
        </w:tc>
      </w:tr>
      <w:tr w:rsidR="00EB3E58" w14:paraId="5C081DDE" w14:textId="77777777">
        <w:trPr>
          <w:trHeight w:val="71"/>
        </w:trPr>
        <w:tc>
          <w:tcPr>
            <w:tcW w:w="2796" w:type="dxa"/>
          </w:tcPr>
          <w:p w14:paraId="547D17EB" w14:textId="77777777" w:rsidR="00EB3E58" w:rsidRDefault="005946F0">
            <w:pPr>
              <w:adjustRightInd w:val="0"/>
              <w:snapToGrid w:val="0"/>
              <w:spacing w:line="360" w:lineRule="auto"/>
              <w:jc w:val="both"/>
              <w:rPr>
                <w:rFonts w:ascii="Book Antiqua" w:hAnsi="Book Antiqua" w:cs="Book Antiqua"/>
                <w:b/>
                <w:bCs/>
                <w:lang w:val="en-GB"/>
              </w:rPr>
            </w:pPr>
            <w:r>
              <w:rPr>
                <w:rFonts w:ascii="Book Antiqua" w:hAnsi="Book Antiqua" w:cs="Book Antiqua"/>
                <w:lang w:val="en-GB"/>
              </w:rPr>
              <w:t>Ferritin, ng/mL</w:t>
            </w:r>
          </w:p>
        </w:tc>
        <w:tc>
          <w:tcPr>
            <w:tcW w:w="1171" w:type="dxa"/>
            <w:vAlign w:val="bottom"/>
          </w:tcPr>
          <w:p w14:paraId="5E0B6504"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825.7</w:t>
            </w:r>
          </w:p>
        </w:tc>
        <w:tc>
          <w:tcPr>
            <w:tcW w:w="1003" w:type="dxa"/>
            <w:vAlign w:val="bottom"/>
          </w:tcPr>
          <w:p w14:paraId="762F31B4" w14:textId="77777777" w:rsidR="00EB3E58" w:rsidRDefault="005946F0">
            <w:pPr>
              <w:adjustRightInd w:val="0"/>
              <w:snapToGrid w:val="0"/>
              <w:spacing w:line="360" w:lineRule="auto"/>
              <w:jc w:val="both"/>
              <w:rPr>
                <w:rFonts w:ascii="Book Antiqua" w:hAnsi="Book Antiqua" w:cs="Book Antiqua"/>
                <w:color w:val="000000"/>
                <w:lang w:val="en-GB"/>
              </w:rPr>
            </w:pPr>
            <w:r>
              <w:rPr>
                <w:rStyle w:val="HeaderChar"/>
                <w:rFonts w:ascii="Book Antiqua" w:hAnsi="Book Antiqua" w:cs="Book Antiqua"/>
                <w:sz w:val="24"/>
                <w:szCs w:val="24"/>
                <w:lang w:val="en-GB"/>
              </w:rPr>
              <w:t>&gt; 1500</w:t>
            </w:r>
          </w:p>
        </w:tc>
        <w:tc>
          <w:tcPr>
            <w:tcW w:w="1170" w:type="dxa"/>
          </w:tcPr>
          <w:p w14:paraId="0B92ABC6"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1401.2</w:t>
            </w:r>
          </w:p>
        </w:tc>
        <w:tc>
          <w:tcPr>
            <w:tcW w:w="1171" w:type="dxa"/>
          </w:tcPr>
          <w:p w14:paraId="14D47544"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895</w:t>
            </w:r>
          </w:p>
        </w:tc>
        <w:tc>
          <w:tcPr>
            <w:tcW w:w="2187" w:type="dxa"/>
            <w:vAlign w:val="bottom"/>
          </w:tcPr>
          <w:p w14:paraId="35A37D3B"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23.9–336.2</w:t>
            </w:r>
          </w:p>
        </w:tc>
      </w:tr>
      <w:tr w:rsidR="00EB3E58" w14:paraId="52A65B75" w14:textId="77777777">
        <w:trPr>
          <w:trHeight w:val="318"/>
        </w:trPr>
        <w:tc>
          <w:tcPr>
            <w:tcW w:w="2796" w:type="dxa"/>
          </w:tcPr>
          <w:p w14:paraId="3E6EBAE5" w14:textId="77777777" w:rsidR="00EB3E58" w:rsidRDefault="005946F0">
            <w:pPr>
              <w:adjustRightInd w:val="0"/>
              <w:snapToGrid w:val="0"/>
              <w:spacing w:line="360" w:lineRule="auto"/>
              <w:jc w:val="both"/>
              <w:rPr>
                <w:rFonts w:ascii="Book Antiqua" w:hAnsi="Book Antiqua" w:cs="Book Antiqua"/>
                <w:b/>
                <w:bCs/>
                <w:lang w:val="en-GB"/>
              </w:rPr>
            </w:pPr>
            <w:r>
              <w:rPr>
                <w:rFonts w:ascii="Book Antiqua" w:hAnsi="Book Antiqua" w:cs="Book Antiqua"/>
                <w:lang w:val="en-GB"/>
              </w:rPr>
              <w:t>AST, U/L</w:t>
            </w:r>
          </w:p>
        </w:tc>
        <w:tc>
          <w:tcPr>
            <w:tcW w:w="1171" w:type="dxa"/>
            <w:vAlign w:val="bottom"/>
          </w:tcPr>
          <w:p w14:paraId="3904B696"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84.1</w:t>
            </w:r>
          </w:p>
        </w:tc>
        <w:tc>
          <w:tcPr>
            <w:tcW w:w="1003" w:type="dxa"/>
            <w:vAlign w:val="bottom"/>
          </w:tcPr>
          <w:p w14:paraId="04DD78B4"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98.1</w:t>
            </w:r>
          </w:p>
        </w:tc>
        <w:tc>
          <w:tcPr>
            <w:tcW w:w="1170" w:type="dxa"/>
          </w:tcPr>
          <w:p w14:paraId="3F6C4D8F"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98.3</w:t>
            </w:r>
          </w:p>
        </w:tc>
        <w:tc>
          <w:tcPr>
            <w:tcW w:w="1171" w:type="dxa"/>
          </w:tcPr>
          <w:p w14:paraId="38E83B52"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102.5</w:t>
            </w:r>
          </w:p>
        </w:tc>
        <w:tc>
          <w:tcPr>
            <w:tcW w:w="2187" w:type="dxa"/>
            <w:vAlign w:val="bottom"/>
          </w:tcPr>
          <w:p w14:paraId="4038807F"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15–40</w:t>
            </w:r>
          </w:p>
        </w:tc>
      </w:tr>
      <w:tr w:rsidR="00EB3E58" w14:paraId="7E817879" w14:textId="77777777">
        <w:trPr>
          <w:trHeight w:val="318"/>
        </w:trPr>
        <w:tc>
          <w:tcPr>
            <w:tcW w:w="2796" w:type="dxa"/>
          </w:tcPr>
          <w:p w14:paraId="530F70BE" w14:textId="77777777" w:rsidR="00EB3E58" w:rsidRDefault="005946F0">
            <w:pPr>
              <w:adjustRightInd w:val="0"/>
              <w:snapToGrid w:val="0"/>
              <w:spacing w:line="360" w:lineRule="auto"/>
              <w:jc w:val="both"/>
              <w:rPr>
                <w:rFonts w:ascii="Book Antiqua" w:hAnsi="Book Antiqua" w:cs="Book Antiqua"/>
                <w:b/>
                <w:bCs/>
                <w:lang w:val="en-GB"/>
              </w:rPr>
            </w:pPr>
            <w:r>
              <w:rPr>
                <w:rFonts w:ascii="Book Antiqua" w:hAnsi="Book Antiqua" w:cs="Book Antiqua"/>
                <w:lang w:val="en-GB"/>
              </w:rPr>
              <w:t>ALT, U/L</w:t>
            </w:r>
          </w:p>
        </w:tc>
        <w:tc>
          <w:tcPr>
            <w:tcW w:w="1171" w:type="dxa"/>
            <w:vAlign w:val="bottom"/>
          </w:tcPr>
          <w:p w14:paraId="12650FAE"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64.9</w:t>
            </w:r>
          </w:p>
        </w:tc>
        <w:tc>
          <w:tcPr>
            <w:tcW w:w="1003" w:type="dxa"/>
            <w:vAlign w:val="bottom"/>
          </w:tcPr>
          <w:p w14:paraId="4A1733D8"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70.9</w:t>
            </w:r>
          </w:p>
        </w:tc>
        <w:tc>
          <w:tcPr>
            <w:tcW w:w="1170" w:type="dxa"/>
          </w:tcPr>
          <w:p w14:paraId="772CB0B2"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75.5</w:t>
            </w:r>
          </w:p>
        </w:tc>
        <w:tc>
          <w:tcPr>
            <w:tcW w:w="1171" w:type="dxa"/>
          </w:tcPr>
          <w:p w14:paraId="08838498"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95.3</w:t>
            </w:r>
          </w:p>
        </w:tc>
        <w:tc>
          <w:tcPr>
            <w:tcW w:w="2187" w:type="dxa"/>
            <w:vAlign w:val="bottom"/>
          </w:tcPr>
          <w:p w14:paraId="38826C4C"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9–50</w:t>
            </w:r>
          </w:p>
        </w:tc>
      </w:tr>
      <w:tr w:rsidR="00EB3E58" w14:paraId="0A95182F" w14:textId="77777777">
        <w:trPr>
          <w:trHeight w:val="318"/>
        </w:trPr>
        <w:tc>
          <w:tcPr>
            <w:tcW w:w="2796" w:type="dxa"/>
          </w:tcPr>
          <w:p w14:paraId="47F7A421"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APTT, s</w:t>
            </w:r>
          </w:p>
        </w:tc>
        <w:tc>
          <w:tcPr>
            <w:tcW w:w="1171" w:type="dxa"/>
            <w:vAlign w:val="bottom"/>
          </w:tcPr>
          <w:p w14:paraId="02606EAB"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36.4</w:t>
            </w:r>
          </w:p>
        </w:tc>
        <w:tc>
          <w:tcPr>
            <w:tcW w:w="1003" w:type="dxa"/>
            <w:vAlign w:val="bottom"/>
          </w:tcPr>
          <w:p w14:paraId="48824015"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42.1</w:t>
            </w:r>
          </w:p>
        </w:tc>
        <w:tc>
          <w:tcPr>
            <w:tcW w:w="1170" w:type="dxa"/>
          </w:tcPr>
          <w:p w14:paraId="47E134AE"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36.3</w:t>
            </w:r>
          </w:p>
        </w:tc>
        <w:tc>
          <w:tcPr>
            <w:tcW w:w="1171" w:type="dxa"/>
          </w:tcPr>
          <w:p w14:paraId="25AED9E5"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36.2</w:t>
            </w:r>
          </w:p>
        </w:tc>
        <w:tc>
          <w:tcPr>
            <w:tcW w:w="2187" w:type="dxa"/>
            <w:vAlign w:val="bottom"/>
          </w:tcPr>
          <w:p w14:paraId="3FE9E222"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25.1–36.5</w:t>
            </w:r>
          </w:p>
        </w:tc>
      </w:tr>
      <w:tr w:rsidR="00EB3E58" w14:paraId="12396020" w14:textId="77777777">
        <w:trPr>
          <w:trHeight w:val="318"/>
        </w:trPr>
        <w:tc>
          <w:tcPr>
            <w:tcW w:w="2796" w:type="dxa"/>
          </w:tcPr>
          <w:p w14:paraId="14CD70C9"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PT, s</w:t>
            </w:r>
          </w:p>
        </w:tc>
        <w:tc>
          <w:tcPr>
            <w:tcW w:w="1171" w:type="dxa"/>
            <w:vAlign w:val="bottom"/>
          </w:tcPr>
          <w:p w14:paraId="286C7ADB"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11.3</w:t>
            </w:r>
          </w:p>
        </w:tc>
        <w:tc>
          <w:tcPr>
            <w:tcW w:w="1003" w:type="dxa"/>
            <w:vAlign w:val="bottom"/>
          </w:tcPr>
          <w:p w14:paraId="64B1E0FF"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11.8</w:t>
            </w:r>
          </w:p>
        </w:tc>
        <w:tc>
          <w:tcPr>
            <w:tcW w:w="1170" w:type="dxa"/>
          </w:tcPr>
          <w:p w14:paraId="171194BE"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11.8</w:t>
            </w:r>
          </w:p>
        </w:tc>
        <w:tc>
          <w:tcPr>
            <w:tcW w:w="1171" w:type="dxa"/>
          </w:tcPr>
          <w:p w14:paraId="18840B67"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11.8</w:t>
            </w:r>
          </w:p>
        </w:tc>
        <w:tc>
          <w:tcPr>
            <w:tcW w:w="2187" w:type="dxa"/>
            <w:vAlign w:val="bottom"/>
          </w:tcPr>
          <w:p w14:paraId="1CB621BF"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9.4–12.5</w:t>
            </w:r>
          </w:p>
        </w:tc>
      </w:tr>
      <w:tr w:rsidR="00EB3E58" w14:paraId="7C1281D8" w14:textId="77777777">
        <w:trPr>
          <w:trHeight w:val="315"/>
        </w:trPr>
        <w:tc>
          <w:tcPr>
            <w:tcW w:w="2796" w:type="dxa"/>
          </w:tcPr>
          <w:p w14:paraId="3E2966E5"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Fib, g/L</w:t>
            </w:r>
          </w:p>
        </w:tc>
        <w:tc>
          <w:tcPr>
            <w:tcW w:w="1171" w:type="dxa"/>
            <w:vAlign w:val="bottom"/>
          </w:tcPr>
          <w:p w14:paraId="555D2CAB"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3.17</w:t>
            </w:r>
          </w:p>
        </w:tc>
        <w:tc>
          <w:tcPr>
            <w:tcW w:w="1003" w:type="dxa"/>
            <w:vAlign w:val="bottom"/>
          </w:tcPr>
          <w:p w14:paraId="72876EEA"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2.69</w:t>
            </w:r>
          </w:p>
        </w:tc>
        <w:tc>
          <w:tcPr>
            <w:tcW w:w="1170" w:type="dxa"/>
          </w:tcPr>
          <w:p w14:paraId="50B6FC32"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3.17</w:t>
            </w:r>
          </w:p>
        </w:tc>
        <w:tc>
          <w:tcPr>
            <w:tcW w:w="1171" w:type="dxa"/>
          </w:tcPr>
          <w:p w14:paraId="16F5E74E"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2.73</w:t>
            </w:r>
          </w:p>
        </w:tc>
        <w:tc>
          <w:tcPr>
            <w:tcW w:w="2187" w:type="dxa"/>
            <w:vAlign w:val="bottom"/>
          </w:tcPr>
          <w:p w14:paraId="72B74658"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2.0–4.8</w:t>
            </w:r>
          </w:p>
        </w:tc>
      </w:tr>
      <w:tr w:rsidR="00EB3E58" w14:paraId="5D3D4083" w14:textId="77777777">
        <w:trPr>
          <w:trHeight w:val="70"/>
        </w:trPr>
        <w:tc>
          <w:tcPr>
            <w:tcW w:w="2796" w:type="dxa"/>
          </w:tcPr>
          <w:p w14:paraId="6D0C409D"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FDP-D-dimer, ng/mL</w:t>
            </w:r>
          </w:p>
        </w:tc>
        <w:tc>
          <w:tcPr>
            <w:tcW w:w="1171" w:type="dxa"/>
            <w:vAlign w:val="bottom"/>
          </w:tcPr>
          <w:p w14:paraId="0A17BEB3"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1560</w:t>
            </w:r>
          </w:p>
        </w:tc>
        <w:tc>
          <w:tcPr>
            <w:tcW w:w="1003" w:type="dxa"/>
            <w:vAlign w:val="bottom"/>
          </w:tcPr>
          <w:p w14:paraId="4BFB8FA6"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4190</w:t>
            </w:r>
          </w:p>
        </w:tc>
        <w:tc>
          <w:tcPr>
            <w:tcW w:w="1170" w:type="dxa"/>
          </w:tcPr>
          <w:p w14:paraId="0CC2BD1B"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696</w:t>
            </w:r>
          </w:p>
        </w:tc>
        <w:tc>
          <w:tcPr>
            <w:tcW w:w="1171" w:type="dxa"/>
          </w:tcPr>
          <w:p w14:paraId="25DD7A92"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284</w:t>
            </w:r>
          </w:p>
        </w:tc>
        <w:tc>
          <w:tcPr>
            <w:tcW w:w="2187" w:type="dxa"/>
            <w:vAlign w:val="bottom"/>
          </w:tcPr>
          <w:p w14:paraId="3CB3EAA3"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0–222</w:t>
            </w:r>
          </w:p>
        </w:tc>
      </w:tr>
    </w:tbl>
    <w:p w14:paraId="11E0BE81" w14:textId="77777777" w:rsidR="00EB3E58" w:rsidRDefault="005946F0">
      <w:pPr>
        <w:adjustRightInd w:val="0"/>
        <w:snapToGrid w:val="0"/>
        <w:spacing w:line="360" w:lineRule="auto"/>
        <w:jc w:val="both"/>
        <w:rPr>
          <w:rFonts w:ascii="Book Antiqua" w:eastAsia="Microsoft YaHei" w:hAnsi="Book Antiqua" w:cs="Book Antiqua"/>
          <w:lang w:val="en-GB" w:eastAsia="zh-CN"/>
        </w:rPr>
      </w:pPr>
      <w:r>
        <w:rPr>
          <w:rFonts w:ascii="Book Antiqua" w:hAnsi="Book Antiqua" w:cs="Book Antiqua"/>
          <w:lang w:val="en-GB" w:eastAsia="zh-CN"/>
        </w:rPr>
        <w:t>ALT: A</w:t>
      </w:r>
      <w:r>
        <w:rPr>
          <w:rFonts w:ascii="Book Antiqua" w:eastAsia="Microsoft YaHei" w:hAnsi="Book Antiqua" w:cs="Book Antiqua"/>
          <w:lang w:val="en-GB"/>
        </w:rPr>
        <w:t>lanine aminotransferase</w:t>
      </w:r>
      <w:r>
        <w:rPr>
          <w:rFonts w:ascii="Book Antiqua" w:hAnsi="Book Antiqua" w:cs="Book Antiqua"/>
          <w:lang w:val="en-GB" w:eastAsia="zh-CN"/>
        </w:rPr>
        <w:t>; APTT: A</w:t>
      </w:r>
      <w:r>
        <w:rPr>
          <w:rFonts w:ascii="Book Antiqua" w:eastAsia="Microsoft YaHei" w:hAnsi="Book Antiqua" w:cs="Book Antiqua"/>
          <w:lang w:val="en-GB"/>
        </w:rPr>
        <w:t>ctivated partial thromboplastin time</w:t>
      </w:r>
      <w:r>
        <w:rPr>
          <w:rFonts w:ascii="Book Antiqua" w:hAnsi="Book Antiqua" w:cs="Book Antiqua"/>
          <w:lang w:val="en-GB" w:eastAsia="zh-CN"/>
        </w:rPr>
        <w:t>; AST: G</w:t>
      </w:r>
      <w:r>
        <w:rPr>
          <w:rFonts w:ascii="Book Antiqua" w:eastAsia="Microsoft YaHei" w:hAnsi="Book Antiqua" w:cs="Book Antiqua"/>
          <w:lang w:val="en-GB"/>
        </w:rPr>
        <w:t>lutamic-pyruvic transaminase; C</w:t>
      </w:r>
      <w:r>
        <w:rPr>
          <w:rFonts w:ascii="Book Antiqua" w:hAnsi="Book Antiqua" w:cs="Book Antiqua"/>
          <w:lang w:val="en-GB" w:eastAsia="zh-CN"/>
        </w:rPr>
        <w:t xml:space="preserve">RP: </w:t>
      </w:r>
      <w:r>
        <w:rPr>
          <w:rFonts w:ascii="Book Antiqua" w:hAnsi="Book Antiqua" w:cs="Book Antiqua"/>
          <w:lang w:val="en-GB"/>
        </w:rPr>
        <w:t>C-reactive protein</w:t>
      </w:r>
      <w:r>
        <w:rPr>
          <w:rFonts w:ascii="Book Antiqua" w:hAnsi="Book Antiqua" w:cs="Book Antiqua"/>
          <w:lang w:val="en-GB" w:eastAsia="zh-CN"/>
        </w:rPr>
        <w:t xml:space="preserve">; FDP: Fibrinogen degradation products; HGB: </w:t>
      </w:r>
      <w:r>
        <w:rPr>
          <w:rFonts w:ascii="Book Antiqua" w:eastAsia="Microsoft YaHei" w:hAnsi="Book Antiqua" w:cs="Book Antiqua"/>
          <w:lang w:val="en-GB"/>
        </w:rPr>
        <w:t xml:space="preserve">Haemoglobin; </w:t>
      </w:r>
      <w:r>
        <w:rPr>
          <w:rFonts w:ascii="Book Antiqua" w:hAnsi="Book Antiqua" w:cs="Book Antiqua"/>
          <w:lang w:val="en-GB" w:eastAsia="zh-CN"/>
        </w:rPr>
        <w:t>PCT: P</w:t>
      </w:r>
      <w:r>
        <w:rPr>
          <w:rFonts w:ascii="Book Antiqua" w:hAnsi="Book Antiqua" w:cs="Book Antiqua"/>
          <w:lang w:val="en-GB"/>
        </w:rPr>
        <w:t>rocalcitonin</w:t>
      </w:r>
      <w:r>
        <w:rPr>
          <w:rFonts w:ascii="Book Antiqua" w:hAnsi="Book Antiqua" w:cs="Book Antiqua"/>
          <w:lang w:val="en-GB" w:eastAsia="zh-CN"/>
        </w:rPr>
        <w:t>; PT: P</w:t>
      </w:r>
      <w:r>
        <w:rPr>
          <w:rFonts w:ascii="Book Antiqua" w:eastAsia="Microsoft YaHei" w:hAnsi="Book Antiqua" w:cs="Book Antiqua"/>
          <w:lang w:val="en-GB"/>
        </w:rPr>
        <w:t>rothrombin time</w:t>
      </w:r>
      <w:r>
        <w:rPr>
          <w:rFonts w:ascii="Book Antiqua" w:hAnsi="Book Antiqua" w:cs="Book Antiqua"/>
          <w:lang w:val="en-GB" w:eastAsia="zh-CN"/>
        </w:rPr>
        <w:t xml:space="preserve">; WBC: </w:t>
      </w:r>
      <w:r>
        <w:rPr>
          <w:rFonts w:ascii="Book Antiqua" w:eastAsia="Microsoft YaHei" w:hAnsi="Book Antiqua" w:cs="Book Antiqua"/>
          <w:lang w:val="en-GB"/>
        </w:rPr>
        <w:t>White blood cell.</w:t>
      </w:r>
    </w:p>
    <w:sectPr w:rsidR="00EB3E5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5D9112" w14:textId="77777777" w:rsidR="005946F0" w:rsidRDefault="005946F0">
      <w:r>
        <w:separator/>
      </w:r>
    </w:p>
  </w:endnote>
  <w:endnote w:type="continuationSeparator" w:id="0">
    <w:p w14:paraId="50352297" w14:textId="77777777" w:rsidR="005946F0" w:rsidRDefault="00594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301046694"/>
    </w:sdtPr>
    <w:sdtEndPr/>
    <w:sdtContent>
      <w:p w14:paraId="226215A6" w14:textId="77777777" w:rsidR="00EB3E58" w:rsidRDefault="005946F0">
        <w:pPr>
          <w:pStyle w:val="Footer"/>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2</w:t>
        </w:r>
        <w:r>
          <w:rPr>
            <w:rFonts w:ascii="Book Antiqua" w:hAnsi="Book Antiqua"/>
            <w:sz w:val="24"/>
            <w:szCs w:val="24"/>
          </w:rPr>
          <w:fldChar w:fldCharType="end"/>
        </w:r>
        <w:r>
          <w:rPr>
            <w:rFonts w:ascii="Book Antiqua" w:hAnsi="Book Antiqua"/>
            <w:sz w:val="24"/>
            <w:szCs w:val="24"/>
          </w:rPr>
          <w:t xml:space="preserve"> / 16</w:t>
        </w:r>
      </w:p>
    </w:sdtContent>
  </w:sdt>
  <w:p w14:paraId="27E544BE" w14:textId="77777777" w:rsidR="00EB3E58" w:rsidRDefault="00EB3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74A0DB" w14:textId="77777777" w:rsidR="005946F0" w:rsidRDefault="005946F0">
      <w:r>
        <w:separator/>
      </w:r>
    </w:p>
  </w:footnote>
  <w:footnote w:type="continuationSeparator" w:id="0">
    <w:p w14:paraId="0E09A4CC" w14:textId="77777777" w:rsidR="005946F0" w:rsidRDefault="005946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91675"/>
    <w:rsid w:val="00125BB7"/>
    <w:rsid w:val="00187901"/>
    <w:rsid w:val="002D45B7"/>
    <w:rsid w:val="002F3FC0"/>
    <w:rsid w:val="00301C51"/>
    <w:rsid w:val="00305DFF"/>
    <w:rsid w:val="00326ACF"/>
    <w:rsid w:val="003C2528"/>
    <w:rsid w:val="004607BA"/>
    <w:rsid w:val="004D2331"/>
    <w:rsid w:val="00504F4E"/>
    <w:rsid w:val="00525BBA"/>
    <w:rsid w:val="00542FD0"/>
    <w:rsid w:val="005946F0"/>
    <w:rsid w:val="005D40EA"/>
    <w:rsid w:val="005F316A"/>
    <w:rsid w:val="0063298A"/>
    <w:rsid w:val="00640F6E"/>
    <w:rsid w:val="006E3D58"/>
    <w:rsid w:val="00751B9B"/>
    <w:rsid w:val="00772AEA"/>
    <w:rsid w:val="0079078E"/>
    <w:rsid w:val="0086343E"/>
    <w:rsid w:val="009554BA"/>
    <w:rsid w:val="00983E27"/>
    <w:rsid w:val="0099610D"/>
    <w:rsid w:val="00A06D3B"/>
    <w:rsid w:val="00A64510"/>
    <w:rsid w:val="00A77B3E"/>
    <w:rsid w:val="00AA76A1"/>
    <w:rsid w:val="00AB1717"/>
    <w:rsid w:val="00B05F1B"/>
    <w:rsid w:val="00B15364"/>
    <w:rsid w:val="00B239FA"/>
    <w:rsid w:val="00C13EA2"/>
    <w:rsid w:val="00C6442A"/>
    <w:rsid w:val="00CA2A55"/>
    <w:rsid w:val="00D27426"/>
    <w:rsid w:val="00D93731"/>
    <w:rsid w:val="00DD6655"/>
    <w:rsid w:val="00E052D8"/>
    <w:rsid w:val="00E2268C"/>
    <w:rsid w:val="00EB3E58"/>
    <w:rsid w:val="00F26CDE"/>
    <w:rsid w:val="00F547E4"/>
    <w:rsid w:val="00F63E59"/>
    <w:rsid w:val="01EE5D9E"/>
    <w:rsid w:val="04E40704"/>
    <w:rsid w:val="082C62C2"/>
    <w:rsid w:val="0B7738E2"/>
    <w:rsid w:val="0F1E46EC"/>
    <w:rsid w:val="1051086C"/>
    <w:rsid w:val="12A87C29"/>
    <w:rsid w:val="14611F66"/>
    <w:rsid w:val="19A33639"/>
    <w:rsid w:val="1CE06E38"/>
    <w:rsid w:val="1F1C599B"/>
    <w:rsid w:val="1F9F4A28"/>
    <w:rsid w:val="21524877"/>
    <w:rsid w:val="21CF2FA0"/>
    <w:rsid w:val="225339C4"/>
    <w:rsid w:val="22AA7859"/>
    <w:rsid w:val="268D040F"/>
    <w:rsid w:val="27CC684D"/>
    <w:rsid w:val="2B347BEC"/>
    <w:rsid w:val="2D6B71AD"/>
    <w:rsid w:val="2DD67778"/>
    <w:rsid w:val="358A7B50"/>
    <w:rsid w:val="36326D7C"/>
    <w:rsid w:val="36C61223"/>
    <w:rsid w:val="38EC7FA9"/>
    <w:rsid w:val="3B45233B"/>
    <w:rsid w:val="3DAD7318"/>
    <w:rsid w:val="3E5E5339"/>
    <w:rsid w:val="40464E02"/>
    <w:rsid w:val="406B2352"/>
    <w:rsid w:val="42E94E3A"/>
    <w:rsid w:val="459174C6"/>
    <w:rsid w:val="466C2FA3"/>
    <w:rsid w:val="4D9A7DC2"/>
    <w:rsid w:val="5521448E"/>
    <w:rsid w:val="57B14EF9"/>
    <w:rsid w:val="583F226C"/>
    <w:rsid w:val="5B3479DE"/>
    <w:rsid w:val="5BA27ACF"/>
    <w:rsid w:val="5C0E151D"/>
    <w:rsid w:val="617E5401"/>
    <w:rsid w:val="62324A58"/>
    <w:rsid w:val="626B7574"/>
    <w:rsid w:val="646C527F"/>
    <w:rsid w:val="65CD1862"/>
    <w:rsid w:val="68A31D26"/>
    <w:rsid w:val="69E57DFF"/>
    <w:rsid w:val="6A053CEC"/>
    <w:rsid w:val="6EDB6D82"/>
    <w:rsid w:val="746C726C"/>
    <w:rsid w:val="74E21D49"/>
    <w:rsid w:val="762D0A51"/>
    <w:rsid w:val="764136B4"/>
    <w:rsid w:val="7719038B"/>
    <w:rsid w:val="77B23C1F"/>
    <w:rsid w:val="799150BB"/>
    <w:rsid w:val="7A271CE1"/>
    <w:rsid w:val="7E0744A2"/>
    <w:rsid w:val="7E4D28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B840F94"/>
  <w15:docId w15:val="{C5A904BE-EB2F-554F-9FB2-38CF87098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iPriority="99"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qFormat/>
    <w:rPr>
      <w:sz w:val="20"/>
      <w:szCs w:val="20"/>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adjustRightInd w:val="0"/>
      <w:snapToGrid w:val="0"/>
      <w:spacing w:after="200"/>
      <w:jc w:val="center"/>
    </w:pPr>
    <w:rPr>
      <w:rFonts w:asciiTheme="minorHAnsi" w:eastAsiaTheme="minorHAnsi" w:hAnsiTheme="minorHAnsi" w:cstheme="minorBidi"/>
      <w:sz w:val="18"/>
      <w:szCs w:val="18"/>
      <w:lang w:val="en-ZA"/>
    </w:rPr>
  </w:style>
  <w:style w:type="paragraph" w:styleId="CommentSubject">
    <w:name w:val="annotation subject"/>
    <w:basedOn w:val="CommentText"/>
    <w:next w:val="CommentText"/>
    <w:link w:val="CommentSubjectChar"/>
    <w:semiHidden/>
    <w:unhideWhenUsed/>
    <w:qFormat/>
    <w:rPr>
      <w:b/>
      <w:bCs/>
    </w:rPr>
  </w:style>
  <w:style w:type="character" w:styleId="CommentReference">
    <w:name w:val="annotation reference"/>
    <w:basedOn w:val="DefaultParagraphFont"/>
    <w:semiHidden/>
    <w:unhideWhenUsed/>
    <w:qFormat/>
    <w:rPr>
      <w:sz w:val="16"/>
      <w:szCs w:val="16"/>
    </w:rPr>
  </w:style>
  <w:style w:type="character" w:customStyle="1" w:styleId="MsoCommentReference0">
    <w:name w:val="MsoCommentReference"/>
    <w:basedOn w:val="DefaultParagraphFont"/>
  </w:style>
  <w:style w:type="character" w:customStyle="1" w:styleId="HeaderChar">
    <w:name w:val="Header Char"/>
    <w:basedOn w:val="DefaultParagraphFont"/>
    <w:link w:val="Header"/>
    <w:uiPriority w:val="99"/>
    <w:qFormat/>
    <w:rPr>
      <w:rFonts w:asciiTheme="minorHAnsi" w:eastAsiaTheme="minorHAnsi" w:hAnsiTheme="minorHAnsi" w:cstheme="minorBidi"/>
      <w:sz w:val="18"/>
      <w:szCs w:val="18"/>
      <w:lang w:val="en-ZA"/>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semiHidden/>
    <w:qFormat/>
  </w:style>
  <w:style w:type="character" w:customStyle="1" w:styleId="CommentSubjectChar">
    <w:name w:val="Comment Subject Char"/>
    <w:basedOn w:val="CommentTextChar"/>
    <w:link w:val="CommentSubject"/>
    <w:semiHidden/>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16</Pages>
  <Words>1985</Words>
  <Characters>11315</Characters>
  <Application>Microsoft Office Word</Application>
  <DocSecurity>0</DocSecurity>
  <Lines>94</Lines>
  <Paragraphs>26</Paragraphs>
  <ScaleCrop>false</ScaleCrop>
  <Company/>
  <LinksUpToDate>false</LinksUpToDate>
  <CharactersWithSpaces>13274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Filipodia</cp:lastModifiedBy>
  <cp:revision>5</cp:revision>
  <dcterms:created xsi:type="dcterms:W3CDTF">2021-03-17T23:03:00Z</dcterms:created>
  <dcterms:modified xsi:type="dcterms:W3CDTF">2021-03-21T23:44:00Z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