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D5DE" w14:textId="77777777" w:rsidR="00A77B3E" w:rsidRDefault="007159E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A0F6F26" w14:textId="77777777" w:rsidR="00A77B3E" w:rsidRDefault="007159E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60373</w:t>
      </w:r>
    </w:p>
    <w:p w14:paraId="3D280C47" w14:textId="77777777" w:rsidR="00A77B3E" w:rsidRDefault="007159E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46BC2DB" w14:textId="77777777" w:rsidR="00A77B3E" w:rsidRDefault="00A77B3E">
      <w:pPr>
        <w:spacing w:line="360" w:lineRule="auto"/>
        <w:jc w:val="both"/>
      </w:pPr>
    </w:p>
    <w:p w14:paraId="751F14D6" w14:textId="77777777" w:rsidR="00A77B3E" w:rsidRDefault="007159E5">
      <w:pPr>
        <w:spacing w:line="360" w:lineRule="auto"/>
        <w:jc w:val="both"/>
      </w:pPr>
      <w:r>
        <w:rPr>
          <w:rFonts w:ascii="Book Antiqua" w:eastAsia="Book Antiqua" w:hAnsi="Book Antiqua" w:cs="Book Antiqua"/>
          <w:b/>
          <w:bCs/>
          <w:color w:val="000000"/>
        </w:rPr>
        <w:t>Tertiary peritonitis: A disease that should not be ignored</w:t>
      </w:r>
    </w:p>
    <w:p w14:paraId="446F484F" w14:textId="77777777" w:rsidR="00A77B3E" w:rsidRDefault="00A77B3E">
      <w:pPr>
        <w:spacing w:line="360" w:lineRule="auto"/>
        <w:jc w:val="both"/>
      </w:pPr>
    </w:p>
    <w:p w14:paraId="7C35CE32" w14:textId="202FAE80" w:rsidR="00A77B3E" w:rsidRDefault="00125109">
      <w:pPr>
        <w:spacing w:line="360" w:lineRule="auto"/>
        <w:jc w:val="both"/>
      </w:pPr>
      <w:r>
        <w:rPr>
          <w:rFonts w:ascii="Book Antiqua" w:eastAsia="Book Antiqua" w:hAnsi="Book Antiqua" w:cs="Book Antiqua"/>
          <w:color w:val="000000"/>
        </w:rPr>
        <w:t xml:space="preserve">Marques HS </w:t>
      </w:r>
      <w:r w:rsidRPr="00904FFC">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159E5">
        <w:rPr>
          <w:rFonts w:ascii="Book Antiqua" w:eastAsia="Book Antiqua" w:hAnsi="Book Antiqua" w:cs="Book Antiqua"/>
          <w:color w:val="000000"/>
        </w:rPr>
        <w:t>Tertiary peritonitis</w:t>
      </w:r>
    </w:p>
    <w:p w14:paraId="373449A7" w14:textId="77777777" w:rsidR="00A77B3E" w:rsidRDefault="00A77B3E">
      <w:pPr>
        <w:spacing w:line="360" w:lineRule="auto"/>
        <w:jc w:val="both"/>
      </w:pPr>
    </w:p>
    <w:p w14:paraId="6BFA5E50" w14:textId="77777777" w:rsidR="00A77B3E" w:rsidRPr="00AA37B5" w:rsidRDefault="007159E5">
      <w:pPr>
        <w:spacing w:line="360" w:lineRule="auto"/>
        <w:jc w:val="both"/>
      </w:pPr>
      <w:r w:rsidRPr="00AA37B5">
        <w:rPr>
          <w:rFonts w:ascii="Book Antiqua" w:eastAsia="Book Antiqua" w:hAnsi="Book Antiqua" w:cs="Book Antiqua"/>
          <w:color w:val="000000"/>
        </w:rPr>
        <w:t>Hanna Santos Marques, Glauber Rocha Lima Araújo, Filipe Antônio França da Silva, Breno Bittencourt de Brito, Paulo Victor Dias Versiani, Jaqueline Silva Caires, Thiago de Carvalho Milet, Fabrício Freire de Melo</w:t>
      </w:r>
    </w:p>
    <w:p w14:paraId="7F010A4F" w14:textId="77777777" w:rsidR="00A77B3E" w:rsidRPr="00AA37B5" w:rsidRDefault="00A77B3E">
      <w:pPr>
        <w:spacing w:line="360" w:lineRule="auto"/>
        <w:jc w:val="both"/>
      </w:pPr>
    </w:p>
    <w:p w14:paraId="65F58497" w14:textId="77777777" w:rsidR="00A77B3E" w:rsidRPr="00AA37B5" w:rsidRDefault="007159E5">
      <w:pPr>
        <w:spacing w:line="360" w:lineRule="auto"/>
        <w:jc w:val="both"/>
      </w:pPr>
      <w:r w:rsidRPr="00AA37B5">
        <w:rPr>
          <w:rFonts w:ascii="Book Antiqua" w:eastAsia="Book Antiqua" w:hAnsi="Book Antiqua" w:cs="Book Antiqua"/>
          <w:b/>
          <w:bCs/>
          <w:color w:val="000000"/>
        </w:rPr>
        <w:t xml:space="preserve">Hanna Santos Marques, </w:t>
      </w:r>
      <w:r w:rsidRPr="00AA37B5">
        <w:rPr>
          <w:rFonts w:ascii="Book Antiqua" w:eastAsia="Book Antiqua" w:hAnsi="Book Antiqua" w:cs="Book Antiqua"/>
          <w:color w:val="000000"/>
        </w:rPr>
        <w:t>Campus Vitória da Conquista, Universidade Estadual do Sudoeste da Bahia, Vitória da Conquista 45083-900, Bahia, Brazil</w:t>
      </w:r>
    </w:p>
    <w:p w14:paraId="16EC737E" w14:textId="77777777" w:rsidR="00A77B3E" w:rsidRPr="00AA37B5" w:rsidRDefault="00A77B3E">
      <w:pPr>
        <w:spacing w:line="360" w:lineRule="auto"/>
        <w:jc w:val="both"/>
      </w:pPr>
    </w:p>
    <w:p w14:paraId="08176C10" w14:textId="77777777" w:rsidR="00A77B3E" w:rsidRPr="00AA37B5" w:rsidRDefault="007159E5">
      <w:pPr>
        <w:spacing w:line="360" w:lineRule="auto"/>
        <w:jc w:val="both"/>
      </w:pPr>
      <w:r w:rsidRPr="00AA37B5">
        <w:rPr>
          <w:rFonts w:ascii="Book Antiqua" w:eastAsia="Book Antiqua" w:hAnsi="Book Antiqua" w:cs="Book Antiqua"/>
          <w:b/>
          <w:bCs/>
          <w:color w:val="000000"/>
        </w:rPr>
        <w:t xml:space="preserve">Glauber Rocha Lima Araújo, Filipe Antônio França da Silva, Breno Bittencourt de Brito, Paulo Victor Dias Versiani, Fabrício Freire de Melo, </w:t>
      </w:r>
      <w:r w:rsidRPr="00AA37B5">
        <w:rPr>
          <w:rFonts w:ascii="Book Antiqua" w:eastAsia="Book Antiqua" w:hAnsi="Book Antiqua" w:cs="Book Antiqua"/>
          <w:color w:val="000000"/>
        </w:rPr>
        <w:t>Instituto Multidisciplinar em Saúde, Universidade Federal da Bahia, Vitória da Conquista 45029-094, Bahia, Brazil</w:t>
      </w:r>
    </w:p>
    <w:p w14:paraId="059959A3" w14:textId="77777777" w:rsidR="00A77B3E" w:rsidRPr="00AA37B5" w:rsidRDefault="00A77B3E">
      <w:pPr>
        <w:spacing w:line="360" w:lineRule="auto"/>
        <w:jc w:val="both"/>
      </w:pPr>
    </w:p>
    <w:p w14:paraId="6710820D" w14:textId="77777777" w:rsidR="00A77B3E" w:rsidRPr="00AA37B5" w:rsidRDefault="007159E5">
      <w:pPr>
        <w:spacing w:line="360" w:lineRule="auto"/>
        <w:jc w:val="both"/>
      </w:pPr>
      <w:r w:rsidRPr="00AA37B5">
        <w:rPr>
          <w:rFonts w:ascii="Book Antiqua" w:eastAsia="Book Antiqua" w:hAnsi="Book Antiqua" w:cs="Book Antiqua"/>
          <w:b/>
          <w:bCs/>
          <w:color w:val="000000"/>
        </w:rPr>
        <w:t xml:space="preserve">Jaqueline Silva Caires, Thiago de Carvalho Milet, </w:t>
      </w:r>
      <w:r w:rsidRPr="00AA37B5">
        <w:rPr>
          <w:rFonts w:ascii="Book Antiqua" w:eastAsia="Book Antiqua" w:hAnsi="Book Antiqua" w:cs="Book Antiqua"/>
          <w:color w:val="000000"/>
        </w:rPr>
        <w:t>Department of Surgery, Hospital Geral de Vitória da Conquista, Vitória da Conquista 45029-094, Bahia, Brazil</w:t>
      </w:r>
    </w:p>
    <w:p w14:paraId="7F5A23A1" w14:textId="77777777" w:rsidR="00A77B3E" w:rsidRPr="00AA37B5" w:rsidRDefault="00A77B3E">
      <w:pPr>
        <w:spacing w:line="360" w:lineRule="auto"/>
        <w:jc w:val="both"/>
      </w:pPr>
    </w:p>
    <w:p w14:paraId="4015E1CE" w14:textId="7340BF6F" w:rsidR="00A77B3E" w:rsidRDefault="007159E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Marques HS contributed with study design, research, writing, and critical revision; Araujo GRL, da Silva FAF, Versiani PVD and Caires JS contributed with research and writing; de Brito BB contributed with research, writing, critical revision, and language editing; Milet TC contributed with critical revision and study design; de Melo FF coordinated the study and contributed with study design and critical revision.</w:t>
      </w:r>
    </w:p>
    <w:p w14:paraId="228481AA" w14:textId="77777777" w:rsidR="00A77B3E" w:rsidRDefault="00A77B3E">
      <w:pPr>
        <w:spacing w:line="360" w:lineRule="auto"/>
        <w:jc w:val="both"/>
      </w:pPr>
    </w:p>
    <w:p w14:paraId="506F2AD4" w14:textId="23C422BA" w:rsidR="00A77B3E" w:rsidRPr="00AA37B5" w:rsidRDefault="007159E5">
      <w:pPr>
        <w:spacing w:line="360" w:lineRule="auto"/>
        <w:jc w:val="both"/>
      </w:pPr>
      <w:r w:rsidRPr="00AA37B5">
        <w:rPr>
          <w:rFonts w:ascii="Book Antiqua" w:eastAsia="Book Antiqua" w:hAnsi="Book Antiqua" w:cs="Book Antiqua"/>
          <w:b/>
          <w:bCs/>
          <w:color w:val="000000"/>
        </w:rPr>
        <w:lastRenderedPageBreak/>
        <w:t xml:space="preserve">Corresponding author: Fabrício Freire de Melo, MSc, PhD, Professor, </w:t>
      </w:r>
      <w:r w:rsidRPr="00AA37B5">
        <w:rPr>
          <w:rFonts w:ascii="Book Antiqua" w:eastAsia="Book Antiqua" w:hAnsi="Book Antiqua" w:cs="Book Antiqua"/>
          <w:color w:val="000000"/>
        </w:rPr>
        <w:t>Instituto Multidisciplinar em Saúde, Universidade Federal da Bahia, Rua Hormindo Barros, 58, Quadra 17, Lote 58, Vitória da Conquista 45029-094, Bahia, Brazil. freiremelo@yahoo.com.br</w:t>
      </w:r>
    </w:p>
    <w:p w14:paraId="53CAD936" w14:textId="77777777" w:rsidR="00A77B3E" w:rsidRPr="00AA37B5" w:rsidRDefault="00A77B3E">
      <w:pPr>
        <w:spacing w:line="360" w:lineRule="auto"/>
        <w:jc w:val="both"/>
      </w:pPr>
    </w:p>
    <w:p w14:paraId="27FBD06C" w14:textId="77777777" w:rsidR="00A77B3E" w:rsidRDefault="007159E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27, 2020</w:t>
      </w:r>
    </w:p>
    <w:p w14:paraId="027796FB" w14:textId="77777777" w:rsidR="00A77B3E" w:rsidRDefault="007159E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10, 2021</w:t>
      </w:r>
    </w:p>
    <w:p w14:paraId="40E7C332" w14:textId="14E3CE12" w:rsidR="00A77B3E" w:rsidRDefault="007159E5">
      <w:pPr>
        <w:spacing w:line="360" w:lineRule="auto"/>
        <w:jc w:val="both"/>
      </w:pPr>
      <w:r>
        <w:rPr>
          <w:rFonts w:ascii="Book Antiqua" w:eastAsia="Book Antiqua" w:hAnsi="Book Antiqua" w:cs="Book Antiqua"/>
          <w:b/>
          <w:bCs/>
          <w:color w:val="000000"/>
        </w:rPr>
        <w:t xml:space="preserve">Accepted: </w:t>
      </w:r>
      <w:r w:rsidR="001440EC" w:rsidRPr="001440EC">
        <w:rPr>
          <w:rFonts w:ascii="Book Antiqua" w:eastAsia="Book Antiqua" w:hAnsi="Book Antiqua" w:cs="Book Antiqua"/>
          <w:color w:val="000000"/>
        </w:rPr>
        <w:t>February 4, 2021</w:t>
      </w:r>
    </w:p>
    <w:p w14:paraId="16382EDC" w14:textId="381DBBBF" w:rsidR="00A77B3E" w:rsidRDefault="007159E5">
      <w:pPr>
        <w:spacing w:line="360" w:lineRule="auto"/>
        <w:jc w:val="both"/>
      </w:pPr>
      <w:r>
        <w:rPr>
          <w:rFonts w:ascii="Book Antiqua" w:eastAsia="Book Antiqua" w:hAnsi="Book Antiqua" w:cs="Book Antiqua"/>
          <w:b/>
          <w:bCs/>
          <w:color w:val="000000"/>
        </w:rPr>
        <w:t xml:space="preserve">Published online: </w:t>
      </w:r>
      <w:r w:rsidR="00CE03B2" w:rsidRPr="00CE03B2">
        <w:rPr>
          <w:rFonts w:ascii="Book Antiqua" w:eastAsia="Book Antiqua" w:hAnsi="Book Antiqua" w:cs="Book Antiqua"/>
          <w:bCs/>
          <w:color w:val="000000"/>
        </w:rPr>
        <w:t>April 6, 2021</w:t>
      </w:r>
    </w:p>
    <w:p w14:paraId="046A624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049D62E" w14:textId="77777777" w:rsidR="00A77B3E" w:rsidRDefault="007159E5">
      <w:pPr>
        <w:spacing w:line="360" w:lineRule="auto"/>
        <w:jc w:val="both"/>
      </w:pPr>
      <w:r>
        <w:rPr>
          <w:rFonts w:ascii="Book Antiqua" w:eastAsia="Book Antiqua" w:hAnsi="Book Antiqua" w:cs="Book Antiqua"/>
          <w:b/>
          <w:color w:val="000000"/>
        </w:rPr>
        <w:lastRenderedPageBreak/>
        <w:t>Abstract</w:t>
      </w:r>
    </w:p>
    <w:p w14:paraId="2BAA4AA6" w14:textId="59308612" w:rsidR="00A77B3E" w:rsidRDefault="007159E5">
      <w:pPr>
        <w:spacing w:line="360" w:lineRule="auto"/>
        <w:jc w:val="both"/>
      </w:pPr>
      <w:r>
        <w:rPr>
          <w:rFonts w:ascii="Book Antiqua" w:eastAsia="Book Antiqua" w:hAnsi="Book Antiqua" w:cs="Book Antiqua"/>
          <w:color w:val="000000"/>
          <w:szCs w:val="22"/>
        </w:rPr>
        <w:t>Intra-abdominal infections can be classified into uncomplicated or complicated (peritonitis). Peritonitis is divided into primary, secondary, and tertiary. Tertiary peritonitis is the less common but the most severe among peritonitis stratifications, being defined as a recurrent intra-abdominal infection that occurs 48 h after a well-succeeded control of a secondary peritonitis. This disease has a complex pathogenesis that is closely related to the capacity of the peritoneal cavity to activate immunological processes. Patients who progress to persistent peritonitis are at an increased risk of developing several infectious complications such as sepsis and multiple organ failure syndrome. Moreover, tertiary peritonitis remains an important cause of hospital death mainly among patients with associated risk factors. The microbiological profile of organisms causing tertiary peritonitis is often different from that observed in other types of peritonitis. In addition, there is a high prevalence of multidrug-resistant pathogens causing this condition</w:t>
      </w:r>
      <w:r w:rsidR="00285495">
        <w:rPr>
          <w:rFonts w:ascii="Book Antiqua" w:eastAsia="Book Antiqua" w:hAnsi="Book Antiqua" w:cs="Book Antiqua"/>
          <w:color w:val="000000"/>
          <w:szCs w:val="22"/>
        </w:rPr>
        <w:t>, and</w:t>
      </w:r>
      <w:r>
        <w:rPr>
          <w:rFonts w:ascii="Book Antiqua" w:eastAsia="Book Antiqua" w:hAnsi="Book Antiqua" w:cs="Book Antiqua"/>
          <w:color w:val="000000"/>
          <w:szCs w:val="22"/>
        </w:rPr>
        <w:t xml:space="preserve"> an appropriate and successful clinical management depends on an early diagnosis, which can be made easier with the use of clinical scores presenting a good prediction value during the intensive care unit admission. Complementarily, immediate therapy should be performed to control the infectious focus and to prevent new recurrences. In this sense, the treatment is based on initial antimicrobial therapy and well-performed peritoneal drainage.</w:t>
      </w:r>
    </w:p>
    <w:p w14:paraId="3EFE9507" w14:textId="77777777" w:rsidR="00A77B3E" w:rsidRDefault="00A77B3E">
      <w:pPr>
        <w:spacing w:line="360" w:lineRule="auto"/>
        <w:jc w:val="both"/>
      </w:pPr>
    </w:p>
    <w:p w14:paraId="47A803C9" w14:textId="77777777" w:rsidR="00A77B3E" w:rsidRDefault="007159E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Tertiary peritonitis; Pathogenesis; Clinical manifestation; Diagnosis; Treatment; Prognosis</w:t>
      </w:r>
    </w:p>
    <w:p w14:paraId="13A6127C" w14:textId="77777777" w:rsidR="00A77B3E" w:rsidRDefault="00A77B3E">
      <w:pPr>
        <w:spacing w:line="360" w:lineRule="auto"/>
        <w:jc w:val="both"/>
        <w:rPr>
          <w:rFonts w:hint="eastAsia"/>
          <w:lang w:eastAsia="zh-CN"/>
        </w:rPr>
      </w:pPr>
    </w:p>
    <w:p w14:paraId="01A48198" w14:textId="77777777" w:rsidR="003F33B4" w:rsidRDefault="003F33B4" w:rsidP="003F33B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AB4F3EE" w14:textId="77777777" w:rsidR="003F33B4" w:rsidRDefault="003F33B4">
      <w:pPr>
        <w:spacing w:line="360" w:lineRule="auto"/>
        <w:jc w:val="both"/>
        <w:rPr>
          <w:rFonts w:hint="eastAsia"/>
          <w:lang w:eastAsia="zh-CN"/>
        </w:rPr>
      </w:pPr>
    </w:p>
    <w:p w14:paraId="651FD811" w14:textId="36A93D02" w:rsidR="00A77B3E" w:rsidRPr="00CE03B2" w:rsidRDefault="007159E5" w:rsidP="00CE03B2">
      <w:pPr>
        <w:spacing w:line="360" w:lineRule="auto"/>
        <w:jc w:val="both"/>
        <w:rPr>
          <w:rFonts w:ascii="Book Antiqua" w:eastAsia="Book Antiqua" w:hAnsi="Book Antiqua" w:cs="Book Antiqua"/>
          <w:color w:val="000000"/>
        </w:rPr>
      </w:pPr>
      <w:r w:rsidRPr="00AA37B5">
        <w:rPr>
          <w:rFonts w:ascii="Book Antiqua" w:eastAsia="Book Antiqua" w:hAnsi="Book Antiqua" w:cs="Book Antiqua"/>
          <w:color w:val="000000"/>
        </w:rPr>
        <w:t xml:space="preserve">Marques HS, </w:t>
      </w:r>
      <w:proofErr w:type="spellStart"/>
      <w:r w:rsidRPr="00AA37B5">
        <w:rPr>
          <w:rFonts w:ascii="Book Antiqua" w:eastAsia="Book Antiqua" w:hAnsi="Book Antiqua" w:cs="Book Antiqua"/>
          <w:color w:val="000000"/>
        </w:rPr>
        <w:t>Araújo</w:t>
      </w:r>
      <w:proofErr w:type="spellEnd"/>
      <w:r w:rsidRPr="00AA37B5">
        <w:rPr>
          <w:rFonts w:ascii="Book Antiqua" w:eastAsia="Book Antiqua" w:hAnsi="Book Antiqua" w:cs="Book Antiqua"/>
          <w:color w:val="000000"/>
        </w:rPr>
        <w:t xml:space="preserve"> GRL, Silva FAFD, de Brito BB, Versiani PVD, Caires JS, Milet TC, de Melo FF. </w:t>
      </w:r>
      <w:r>
        <w:rPr>
          <w:rFonts w:ascii="Book Antiqua" w:eastAsia="Book Antiqua" w:hAnsi="Book Antiqua" w:cs="Book Antiqua"/>
          <w:color w:val="000000"/>
        </w:rPr>
        <w:t xml:space="preserve">Tertiary peritonitis: A disease that should not be ignored.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sidR="00CE03B2">
        <w:rPr>
          <w:rFonts w:ascii="Book Antiqua" w:eastAsia="Book Antiqua" w:hAnsi="Book Antiqua" w:cs="Book Antiqua"/>
          <w:color w:val="000000"/>
        </w:rPr>
        <w:t xml:space="preserve"> </w:t>
      </w:r>
      <w:r w:rsidR="00CE03B2">
        <w:rPr>
          <w:rFonts w:ascii="Book Antiqua" w:eastAsia="Book Antiqua" w:hAnsi="Book Antiqua" w:cs="Book Antiqua"/>
          <w:color w:val="000000"/>
        </w:rPr>
        <w:lastRenderedPageBreak/>
        <w:t>2021;</w:t>
      </w:r>
      <w:r w:rsidR="00CE03B2">
        <w:rPr>
          <w:rFonts w:ascii="Book Antiqua" w:hAnsi="Book Antiqua" w:cs="Book Antiqua" w:hint="eastAsia"/>
          <w:color w:val="000000"/>
          <w:lang w:eastAsia="zh-CN"/>
        </w:rPr>
        <w:t xml:space="preserve"> </w:t>
      </w:r>
      <w:r w:rsidR="00CE03B2" w:rsidRPr="00CE03B2">
        <w:rPr>
          <w:rFonts w:ascii="Book Antiqua" w:eastAsia="Book Antiqua" w:hAnsi="Book Antiqua" w:cs="Book Antiqua"/>
          <w:color w:val="000000"/>
        </w:rPr>
        <w:t xml:space="preserve">9(10): </w:t>
      </w:r>
      <w:r w:rsidR="0070692A">
        <w:rPr>
          <w:rFonts w:ascii="Book Antiqua" w:hAnsi="Book Antiqua" w:cs="Book Antiqua" w:hint="eastAsia"/>
          <w:color w:val="000000"/>
          <w:lang w:eastAsia="zh-CN"/>
        </w:rPr>
        <w:t>2160-2169</w:t>
      </w:r>
      <w:r w:rsidR="00CE03B2" w:rsidRPr="00CE03B2">
        <w:rPr>
          <w:rFonts w:ascii="Book Antiqua" w:eastAsia="Book Antiqua" w:hAnsi="Book Antiqua" w:cs="Book Antiqua"/>
          <w:color w:val="000000"/>
        </w:rPr>
        <w:t xml:space="preserve"> URL: https://www.wjgnet.com/2307-8960/full/v9/i10/</w:t>
      </w:r>
      <w:r w:rsidR="0070692A">
        <w:rPr>
          <w:rFonts w:ascii="Book Antiqua" w:hAnsi="Book Antiqua" w:cs="Book Antiqua" w:hint="eastAsia"/>
          <w:color w:val="000000"/>
          <w:lang w:eastAsia="zh-CN"/>
        </w:rPr>
        <w:t>216</w:t>
      </w:r>
      <w:r w:rsidR="00CE03B2" w:rsidRPr="00CE03B2">
        <w:rPr>
          <w:rFonts w:ascii="Book Antiqua" w:eastAsia="Book Antiqua" w:hAnsi="Book Antiqua" w:cs="Book Antiqua"/>
          <w:color w:val="000000"/>
        </w:rPr>
        <w:t>0.htm DOI: https://dx.doi.org/10.12998/wjcc.v9.i10.</w:t>
      </w:r>
      <w:r w:rsidR="0070692A">
        <w:rPr>
          <w:rFonts w:ascii="Book Antiqua" w:hAnsi="Book Antiqua" w:cs="Book Antiqua" w:hint="eastAsia"/>
          <w:color w:val="000000"/>
          <w:lang w:eastAsia="zh-CN"/>
        </w:rPr>
        <w:t>216</w:t>
      </w:r>
      <w:r w:rsidR="00CE03B2" w:rsidRPr="00CE03B2">
        <w:rPr>
          <w:rFonts w:ascii="Book Antiqua" w:eastAsia="Book Antiqua" w:hAnsi="Book Antiqua" w:cs="Book Antiqua"/>
          <w:color w:val="000000"/>
        </w:rPr>
        <w:t>0</w:t>
      </w:r>
    </w:p>
    <w:p w14:paraId="11B0E6C9" w14:textId="77777777" w:rsidR="00A77B3E" w:rsidRDefault="00A77B3E">
      <w:pPr>
        <w:spacing w:line="360" w:lineRule="auto"/>
        <w:jc w:val="both"/>
      </w:pPr>
    </w:p>
    <w:p w14:paraId="4A9261FE" w14:textId="77777777" w:rsidR="00A77B3E" w:rsidRDefault="007159E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Tertiary peritonitis is a major cause of death among surgical patients. However, there is a lack of recent studies compiling the most important data on this issue. In this sense, this review provides a broad overview on that condition, from pathogenesis to treatment, compiling the most updated information on this issue.</w:t>
      </w:r>
    </w:p>
    <w:p w14:paraId="0B415968" w14:textId="49FC3211" w:rsidR="00A77B3E" w:rsidRDefault="00125109">
      <w:pPr>
        <w:spacing w:line="360" w:lineRule="auto"/>
        <w:jc w:val="both"/>
      </w:pPr>
      <w:r>
        <w:br w:type="page"/>
      </w:r>
      <w:r w:rsidR="007159E5">
        <w:rPr>
          <w:rFonts w:ascii="Book Antiqua" w:eastAsia="Book Antiqua" w:hAnsi="Book Antiqua" w:cs="Book Antiqua"/>
          <w:b/>
          <w:caps/>
          <w:color w:val="000000"/>
          <w:u w:val="single"/>
        </w:rPr>
        <w:lastRenderedPageBreak/>
        <w:t>INTRODUCTION</w:t>
      </w:r>
    </w:p>
    <w:p w14:paraId="650F9A35" w14:textId="35943FC6" w:rsidR="00A77B3E" w:rsidRDefault="007159E5">
      <w:pPr>
        <w:spacing w:line="360" w:lineRule="auto"/>
        <w:jc w:val="both"/>
      </w:pPr>
      <w:r>
        <w:rPr>
          <w:rFonts w:ascii="Book Antiqua" w:eastAsia="Book Antiqua" w:hAnsi="Book Antiqua" w:cs="Book Antiqua"/>
          <w:color w:val="000000"/>
        </w:rPr>
        <w:t>Peritonitis is the major cause of severe sepsis in surgical intensive care units (ICUs) worldwide, especially when it comes to its most serious forms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Although remarkable advances in the management of the peritoneal cavity have been achieved as a consequence of greater availability of diagnostic and therapeutic resources, tertiary peritonitis (TP) remains an important cause of death among inpatients, being associated with mortality rates ranging from 30</w:t>
      </w:r>
      <w:r w:rsidR="00776FCE">
        <w:rPr>
          <w:rFonts w:ascii="Book Antiqua" w:eastAsia="Book Antiqua" w:hAnsi="Book Antiqua" w:cs="Book Antiqua"/>
          <w:color w:val="000000"/>
        </w:rPr>
        <w:t>%</w:t>
      </w:r>
      <w:r>
        <w:rPr>
          <w:rFonts w:ascii="Book Antiqua" w:eastAsia="Book Antiqua" w:hAnsi="Book Antiqua" w:cs="Book Antiqua"/>
          <w:color w:val="000000"/>
        </w:rPr>
        <w:t xml:space="preserve"> to 60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sidRPr="00125109">
        <w:rPr>
          <w:rFonts w:ascii="Book Antiqua" w:eastAsia="Book Antiqua" w:hAnsi="Book Antiqua" w:cs="Book Antiqua"/>
          <w:color w:val="000000"/>
          <w:szCs w:val="20"/>
        </w:rPr>
        <w:t>.</w:t>
      </w:r>
    </w:p>
    <w:p w14:paraId="229BE2A2" w14:textId="135F639A" w:rsidR="00A77B3E" w:rsidRDefault="007159E5" w:rsidP="00125109">
      <w:pPr>
        <w:spacing w:line="360" w:lineRule="auto"/>
        <w:ind w:firstLineChars="100" w:firstLine="240"/>
        <w:jc w:val="both"/>
      </w:pPr>
      <w:r>
        <w:rPr>
          <w:rFonts w:ascii="Book Antiqua" w:eastAsia="Book Antiqua" w:hAnsi="Book Antiqua" w:cs="Book Antiqua"/>
          <w:color w:val="000000"/>
        </w:rPr>
        <w:t>Intra-abdominal infections (IAIs) are commonly classified into non-complicated and complicated IAIs on the basis of the extent of the infection site. Whereas in non-complicated IAIs the infection is limited to a single organ and the integrity of the anatomical structures is maintained, complicated IAIs reach the peritoneum, leading to a local or diffuse peritonitis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peritonitis, in its turn, can be classified into primary, secondary, or tertiary. Among the causes of primary peritonitis stand out the bacterial translocation, hematogenous dissemination, or iatrogenic abdominal contaminations that are not accompanied by macroscopic repercussions in the gastrointestinal tract (GIT</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secondary peritonitis (SP) occurs when the infectious process extends in a localized or generalized manner, accompanied by anatomical GIT rupture, resulting from traumatic, surgical, or ischemic processes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Lastly, a peritonitis that keeps up 48 h after successful surgical treatment of an SP is classified as a TP, which initially manifests as local irritation and has nosocomial pathogens as causal agents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51523299" w14:textId="4717B618" w:rsidR="00A77B3E" w:rsidRDefault="007159E5" w:rsidP="00125109">
      <w:pPr>
        <w:spacing w:line="360" w:lineRule="auto"/>
        <w:ind w:firstLineChars="100" w:firstLine="240"/>
        <w:jc w:val="both"/>
      </w:pPr>
      <w:r>
        <w:rPr>
          <w:rFonts w:ascii="Book Antiqua" w:eastAsia="Book Antiqua" w:hAnsi="Book Antiqua" w:cs="Book Antiqua"/>
          <w:color w:val="000000"/>
        </w:rPr>
        <w:t>Various pathogens are associated with the onset of the TP. The inflammation is favored by the peritoneum capacity to allow the activation, differentiation, and proliferation of immune cells, which leads to complex immune responses against invading microorganisms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Because TP is a life-threatening condition, an accurate and rapid diagnosis is crucial for the appropriate management of the disease</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Such diagnosis is made on the basis of clinical manifestations related to the peritoneal and systemic inflammation and can be supported by laboratory findings, imaging, and some score systems including Mannheim Peritonitis Index (MPI), Acute Physiology And Chronic Health Evaluation II (APACHE II), and Simplified Acute Physiology Score </w:t>
      </w:r>
      <w:r>
        <w:rPr>
          <w:rFonts w:ascii="Book Antiqua" w:eastAsia="Book Antiqua" w:hAnsi="Book Antiqua" w:cs="Book Antiqua"/>
          <w:color w:val="000000"/>
        </w:rPr>
        <w:lastRenderedPageBreak/>
        <w:t>(SAPS)</w:t>
      </w:r>
      <w:r>
        <w:rPr>
          <w:rFonts w:ascii="Book Antiqua" w:eastAsia="Book Antiqua" w:hAnsi="Book Antiqua" w:cs="Book Antiqua"/>
          <w:color w:val="000000"/>
          <w:szCs w:val="20"/>
          <w:vertAlign w:val="superscript"/>
        </w:rPr>
        <w:t>[7-11]</w:t>
      </w:r>
      <w:r>
        <w:rPr>
          <w:rFonts w:ascii="Book Antiqua" w:eastAsia="Book Antiqua" w:hAnsi="Book Antiqua" w:cs="Book Antiqua"/>
          <w:color w:val="000000"/>
        </w:rPr>
        <w:t>. The management of affected individuals is made through measures aim</w:t>
      </w:r>
      <w:r w:rsidR="00A001AD">
        <w:rPr>
          <w:rFonts w:ascii="Book Antiqua" w:eastAsia="Book Antiqua" w:hAnsi="Book Antiqua" w:cs="Book Antiqua"/>
          <w:color w:val="000000"/>
        </w:rPr>
        <w:t>ed at</w:t>
      </w:r>
      <w:r>
        <w:rPr>
          <w:rFonts w:ascii="Book Antiqua" w:eastAsia="Book Antiqua" w:hAnsi="Book Antiqua" w:cs="Book Antiqua"/>
          <w:color w:val="000000"/>
        </w:rPr>
        <w:t xml:space="preserve"> infection control, which range from antimicrobial therapy to percutaneous drainage or open surgical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w:t>
      </w:r>
    </w:p>
    <w:p w14:paraId="596BF7F0" w14:textId="73B19174" w:rsidR="00A77B3E" w:rsidRDefault="007159E5" w:rsidP="00125109">
      <w:pPr>
        <w:spacing w:line="360" w:lineRule="auto"/>
        <w:ind w:firstLineChars="100" w:firstLine="240"/>
        <w:jc w:val="both"/>
      </w:pPr>
      <w:r>
        <w:rPr>
          <w:rFonts w:ascii="Book Antiqua" w:eastAsia="Book Antiqua" w:hAnsi="Book Antiqua" w:cs="Book Antiqua"/>
          <w:color w:val="000000"/>
        </w:rPr>
        <w:t>This review aims to provide an updated overview on TP, from its pathophysiology to its management, as well as to discuss the complications, prognosis, and risk factors associated with this condition.</w:t>
      </w:r>
    </w:p>
    <w:p w14:paraId="1E13A2A8" w14:textId="77777777" w:rsidR="00A77B3E" w:rsidRDefault="00A77B3E">
      <w:pPr>
        <w:spacing w:line="360" w:lineRule="auto"/>
        <w:jc w:val="both"/>
      </w:pPr>
    </w:p>
    <w:p w14:paraId="7253D328" w14:textId="77777777" w:rsidR="00A77B3E" w:rsidRDefault="007159E5">
      <w:pPr>
        <w:spacing w:line="360" w:lineRule="auto"/>
        <w:jc w:val="both"/>
      </w:pPr>
      <w:r>
        <w:rPr>
          <w:rFonts w:ascii="Book Antiqua" w:eastAsia="Book Antiqua" w:hAnsi="Book Antiqua" w:cs="Book Antiqua"/>
          <w:b/>
          <w:bCs/>
          <w:caps/>
          <w:color w:val="000000"/>
          <w:u w:val="single"/>
        </w:rPr>
        <w:t>PATHOGENESIS</w:t>
      </w:r>
    </w:p>
    <w:p w14:paraId="14D8945A" w14:textId="72EEA885" w:rsidR="00A77B3E" w:rsidRDefault="007159E5">
      <w:pPr>
        <w:spacing w:line="360" w:lineRule="auto"/>
        <w:jc w:val="both"/>
      </w:pPr>
      <w:r>
        <w:rPr>
          <w:rFonts w:ascii="Book Antiqua" w:eastAsia="Book Antiqua" w:hAnsi="Book Antiqua" w:cs="Book Antiqua"/>
          <w:color w:val="000000"/>
          <w:shd w:val="clear" w:color="auto" w:fill="FFFFFF"/>
        </w:rPr>
        <w:t>The peritoneum is essential to provide an immunocompetent cavity system that is able to promote the activation, differentiation, proliferation, and recruitment of components of the immune system</w:t>
      </w:r>
      <w:r>
        <w:rPr>
          <w:rFonts w:ascii="Book Antiqua" w:eastAsia="Book Antiqua" w:hAnsi="Book Antiqua" w:cs="Book Antiqua"/>
          <w:color w:val="000000"/>
          <w:szCs w:val="20"/>
          <w:shd w:val="clear" w:color="auto" w:fill="FFFFFF"/>
          <w:vertAlign w:val="superscript"/>
        </w:rPr>
        <w:t>[14]</w:t>
      </w:r>
      <w:r>
        <w:rPr>
          <w:rFonts w:ascii="Book Antiqua" w:eastAsia="Book Antiqua" w:hAnsi="Book Antiqua" w:cs="Book Antiqua"/>
          <w:color w:val="000000"/>
          <w:shd w:val="clear" w:color="auto" w:fill="FFFFFF"/>
        </w:rPr>
        <w:t>. Nonetheless, certain clinical scenarios predispose the colonization of that environment by some microorganisms. In that context, the main pathogens related to the TP are enterococci (15</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-35%), coagulase-positive staphylococci (5</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-30%), </w:t>
      </w:r>
      <w:r w:rsidRPr="00AA3994">
        <w:rPr>
          <w:rFonts w:ascii="Book Antiqua" w:eastAsia="Book Antiqua" w:hAnsi="Book Antiqua" w:cs="Book Antiqua"/>
          <w:i/>
          <w:iCs/>
          <w:color w:val="000000"/>
          <w:shd w:val="clear" w:color="auto" w:fill="FFFFFF"/>
        </w:rPr>
        <w:t>Candida spp</w:t>
      </w:r>
      <w:r>
        <w:rPr>
          <w:rFonts w:ascii="Book Antiqua" w:eastAsia="Book Antiqua" w:hAnsi="Book Antiqua" w:cs="Book Antiqua"/>
          <w:color w:val="000000"/>
          <w:shd w:val="clear" w:color="auto" w:fill="FFFFFF"/>
        </w:rPr>
        <w:t xml:space="preserve"> (10</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-30%), and </w:t>
      </w:r>
      <w:r w:rsidRPr="00AA3994">
        <w:rPr>
          <w:rFonts w:ascii="Book Antiqua" w:eastAsia="Book Antiqua" w:hAnsi="Book Antiqua" w:cs="Book Antiqua"/>
          <w:i/>
          <w:iCs/>
          <w:color w:val="000000"/>
          <w:shd w:val="clear" w:color="auto" w:fill="FFFFFF"/>
        </w:rPr>
        <w:t>Escherichia coli</w:t>
      </w:r>
      <w:r>
        <w:rPr>
          <w:rFonts w:ascii="Book Antiqua" w:eastAsia="Book Antiqua" w:hAnsi="Book Antiqua" w:cs="Book Antiqua"/>
          <w:color w:val="000000"/>
          <w:shd w:val="clear" w:color="auto" w:fill="FFFFFF"/>
        </w:rPr>
        <w:t xml:space="preserve"> (10</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-15%), whereas the prevalence of </w:t>
      </w:r>
      <w:r w:rsidRPr="00AA3994">
        <w:rPr>
          <w:rFonts w:ascii="Book Antiqua" w:eastAsia="Book Antiqua" w:hAnsi="Book Antiqua" w:cs="Book Antiqua"/>
          <w:i/>
          <w:iCs/>
          <w:color w:val="000000"/>
          <w:shd w:val="clear" w:color="auto" w:fill="FFFFFF"/>
        </w:rPr>
        <w:t>Pseudomonas spp</w:t>
      </w:r>
      <w:r w:rsidRPr="000224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Pr="00AA3994">
        <w:rPr>
          <w:rFonts w:ascii="Book Antiqua" w:eastAsia="Book Antiqua" w:hAnsi="Book Antiqua" w:cs="Book Antiqua"/>
          <w:i/>
          <w:iCs/>
          <w:color w:val="000000"/>
          <w:shd w:val="clear" w:color="auto" w:fill="FFFFFF"/>
        </w:rPr>
        <w:t>Enterobacter spp</w:t>
      </w:r>
      <w:r>
        <w:rPr>
          <w:rFonts w:ascii="Book Antiqua" w:eastAsia="Book Antiqua" w:hAnsi="Book Antiqua" w:cs="Book Antiqua"/>
          <w:color w:val="000000"/>
          <w:shd w:val="clear" w:color="auto" w:fill="FFFFFF"/>
        </w:rPr>
        <w:t xml:space="preserve">, </w:t>
      </w:r>
      <w:r w:rsidRPr="00AA3994">
        <w:rPr>
          <w:rFonts w:ascii="Book Antiqua" w:eastAsia="Book Antiqua" w:hAnsi="Book Antiqua" w:cs="Book Antiqua"/>
          <w:i/>
          <w:iCs/>
          <w:color w:val="000000"/>
          <w:shd w:val="clear" w:color="auto" w:fill="FFFFFF"/>
        </w:rPr>
        <w:t>Bacteroides spp</w:t>
      </w:r>
      <w:r>
        <w:rPr>
          <w:rFonts w:ascii="Book Antiqua" w:eastAsia="Book Antiqua" w:hAnsi="Book Antiqua" w:cs="Book Antiqua"/>
          <w:color w:val="000000"/>
          <w:shd w:val="clear" w:color="auto" w:fill="FFFFFF"/>
        </w:rPr>
        <w:t xml:space="preserve">, </w:t>
      </w:r>
      <w:r w:rsidRPr="00AA3994">
        <w:rPr>
          <w:rFonts w:ascii="Book Antiqua" w:eastAsia="Book Antiqua" w:hAnsi="Book Antiqua" w:cs="Book Antiqua"/>
          <w:i/>
          <w:iCs/>
          <w:color w:val="000000"/>
          <w:shd w:val="clear" w:color="auto" w:fill="FFFFFF"/>
        </w:rPr>
        <w:t>Klebsiella spp</w:t>
      </w:r>
      <w:r>
        <w:rPr>
          <w:rFonts w:ascii="Book Antiqua" w:eastAsia="Book Antiqua" w:hAnsi="Book Antiqua" w:cs="Book Antiqua"/>
          <w:color w:val="000000"/>
          <w:shd w:val="clear" w:color="auto" w:fill="FFFFFF"/>
        </w:rPr>
        <w:t xml:space="preserve">, and </w:t>
      </w:r>
      <w:r w:rsidRPr="0060154A">
        <w:rPr>
          <w:rFonts w:ascii="Book Antiqua" w:eastAsia="Book Antiqua" w:hAnsi="Book Antiqua" w:cs="Book Antiqua"/>
          <w:i/>
          <w:iCs/>
          <w:color w:val="000000"/>
          <w:shd w:val="clear" w:color="auto" w:fill="FFFFFF"/>
        </w:rPr>
        <w:t>Staphylococcus aureus</w:t>
      </w:r>
      <w:r>
        <w:rPr>
          <w:rFonts w:ascii="Book Antiqua" w:eastAsia="Book Antiqua" w:hAnsi="Book Antiqua" w:cs="Book Antiqua"/>
          <w:color w:val="000000"/>
          <w:shd w:val="clear" w:color="auto" w:fill="FFFFFF"/>
        </w:rPr>
        <w:t xml:space="preserve"> are often lower than 10%</w:t>
      </w:r>
      <w:r>
        <w:rPr>
          <w:rFonts w:ascii="Book Antiqua" w:eastAsia="Book Antiqua" w:hAnsi="Book Antiqua" w:cs="Book Antiqua"/>
          <w:color w:val="000000"/>
          <w:szCs w:val="20"/>
          <w:shd w:val="clear" w:color="auto" w:fill="FFFFFF"/>
          <w:vertAlign w:val="superscript"/>
        </w:rPr>
        <w:t>[6]</w:t>
      </w:r>
      <w:r>
        <w:rPr>
          <w:rFonts w:ascii="Book Antiqua" w:eastAsia="Book Antiqua" w:hAnsi="Book Antiqua" w:cs="Book Antiqua"/>
          <w:color w:val="000000"/>
          <w:shd w:val="clear" w:color="auto" w:fill="FFFFFF"/>
        </w:rPr>
        <w:t>. Infections or surgical traumas to the peritoneum trigger an immune response with an initial predominance of monocytes, which produce pro-inflammatory cytokines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such as </w:t>
      </w:r>
      <w:bookmarkStart w:id="0" w:name="_Hlk58003098"/>
      <w:r w:rsidR="00125109" w:rsidRPr="00BC0BCD">
        <w:rPr>
          <w:rFonts w:ascii="Book Antiqua" w:eastAsia="Book Antiqua" w:hAnsi="Book Antiqua" w:cs="Book Antiqua"/>
          <w:color w:val="000000"/>
        </w:rPr>
        <w:t>tumor necrosis factor alpha</w:t>
      </w:r>
      <w:bookmarkEnd w:id="0"/>
      <w:r>
        <w:rPr>
          <w:rFonts w:ascii="Book Antiqua" w:eastAsia="Book Antiqua" w:hAnsi="Book Antiqua" w:cs="Book Antiqua"/>
          <w:color w:val="000000"/>
          <w:shd w:val="clear" w:color="auto" w:fill="FFFFFF"/>
        </w:rPr>
        <w:t xml:space="preserve">, </w:t>
      </w:r>
      <w:bookmarkStart w:id="1" w:name="_Hlk58003126"/>
      <w:r w:rsidR="00125109" w:rsidRPr="003F43AD">
        <w:rPr>
          <w:rFonts w:ascii="Book Antiqua" w:eastAsia="Book Antiqua" w:hAnsi="Book Antiqua" w:cs="Book Antiqua"/>
          <w:color w:val="000000"/>
        </w:rPr>
        <w:t>interleukin</w:t>
      </w:r>
      <w:bookmarkEnd w:id="1"/>
      <w:r w:rsidR="0012510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w:t>
      </w:r>
      <w:r w:rsidR="001251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-1β, and </w:t>
      </w:r>
      <w:r w:rsidR="00125109" w:rsidRPr="00125109">
        <w:rPr>
          <w:rFonts w:ascii="Book Antiqua" w:eastAsia="Book Antiqua" w:hAnsi="Book Antiqua" w:cs="Book Antiqua"/>
          <w:color w:val="000000"/>
          <w:shd w:val="clear" w:color="auto" w:fill="FFFFFF"/>
        </w:rPr>
        <w:t>interferon</w:t>
      </w:r>
      <w:r>
        <w:rPr>
          <w:rFonts w:ascii="Book Antiqua" w:eastAsia="Book Antiqua" w:hAnsi="Book Antiqua" w:cs="Book Antiqua"/>
          <w:color w:val="000000"/>
          <w:shd w:val="clear" w:color="auto" w:fill="FFFFFF"/>
        </w:rPr>
        <w:t>-γ aiming to recruit other cells in order to establish a robust immune response. In this process, anti-inflammatory cytokines including IL-4, IL-10, IL-1RA, and IL-13 are also released to control the level of inflammation and protect the host against an exacerbated inflammatory response</w:t>
      </w:r>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shd w:val="clear" w:color="auto" w:fill="FFFFFF"/>
        </w:rPr>
        <w:t xml:space="preserve">. These cytokines tend to inhibit the action of monocytes, including their ability to present antigens by reducing the expression of </w:t>
      </w:r>
      <w:r w:rsidR="00C25248">
        <w:rPr>
          <w:rFonts w:ascii="Book Antiqua" w:eastAsia="Book Antiqua" w:hAnsi="Book Antiqua" w:cs="Book Antiqua"/>
          <w:color w:val="000000"/>
          <w:shd w:val="clear" w:color="auto" w:fill="FFFFFF"/>
        </w:rPr>
        <w:t>human leukocyte antigen</w:t>
      </w:r>
      <w:r>
        <w:rPr>
          <w:rFonts w:ascii="Book Antiqua" w:eastAsia="Book Antiqua" w:hAnsi="Book Antiqua" w:cs="Book Antiqua"/>
          <w:color w:val="000000"/>
          <w:shd w:val="clear" w:color="auto" w:fill="FFFFFF"/>
        </w:rPr>
        <w:t>-DR</w:t>
      </w:r>
      <w:r w:rsidR="00C25248">
        <w:rPr>
          <w:rFonts w:ascii="Book Antiqua" w:eastAsia="Book Antiqua" w:hAnsi="Book Antiqua" w:cs="Book Antiqua"/>
          <w:color w:val="000000"/>
          <w:shd w:val="clear" w:color="auto" w:fill="FFFFFF"/>
        </w:rPr>
        <w:t xml:space="preserve"> isotype</w:t>
      </w:r>
      <w:r>
        <w:rPr>
          <w:rFonts w:ascii="Book Antiqua" w:eastAsia="Book Antiqua" w:hAnsi="Book Antiqua" w:cs="Book Antiqua"/>
          <w:color w:val="000000"/>
          <w:shd w:val="clear" w:color="auto" w:fill="FFFFFF"/>
        </w:rPr>
        <w:t xml:space="preserve">. If there is a decrease of more than 30% in the </w:t>
      </w:r>
      <w:r w:rsidR="00C25248">
        <w:rPr>
          <w:rFonts w:ascii="Book Antiqua" w:eastAsia="Book Antiqua" w:hAnsi="Book Antiqua" w:cs="Book Antiqua"/>
          <w:color w:val="000000"/>
          <w:shd w:val="clear" w:color="auto" w:fill="FFFFFF"/>
        </w:rPr>
        <w:t>human leukocyte antigen-DR isotype</w:t>
      </w:r>
      <w:r w:rsidR="00C25248" w:rsidDel="00C2524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expression by monocytes, then an “immunological paralysis” can be found, a phenomenon that is believed to be the basis for the development of the </w:t>
      </w:r>
      <w:proofErr w:type="gramStart"/>
      <w:r>
        <w:rPr>
          <w:rFonts w:ascii="Book Antiqua" w:eastAsia="Book Antiqua" w:hAnsi="Book Antiqua" w:cs="Book Antiqua"/>
          <w:color w:val="000000"/>
          <w:shd w:val="clear" w:color="auto" w:fill="FFFFFF"/>
        </w:rPr>
        <w:t>TP</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16]</w:t>
      </w:r>
      <w:r>
        <w:rPr>
          <w:rFonts w:ascii="Book Antiqua" w:eastAsia="Book Antiqua" w:hAnsi="Book Antiqua" w:cs="Book Antiqua"/>
          <w:color w:val="000000"/>
          <w:shd w:val="clear" w:color="auto" w:fill="FFFFFF"/>
        </w:rPr>
        <w:t xml:space="preserve">. In addition, neutrophils seem to affect the microbicidal function of other immune cells, hindering the occurrence of an effective </w:t>
      </w:r>
      <w:r w:rsidR="00C25248">
        <w:rPr>
          <w:rFonts w:ascii="Book Antiqua" w:eastAsia="Book Antiqua" w:hAnsi="Book Antiqua" w:cs="Book Antiqua"/>
          <w:color w:val="000000"/>
          <w:shd w:val="clear" w:color="auto" w:fill="FFFFFF"/>
        </w:rPr>
        <w:lastRenderedPageBreak/>
        <w:t>type 1 T helper</w:t>
      </w:r>
      <w:r>
        <w:rPr>
          <w:rFonts w:ascii="Book Antiqua" w:eastAsia="Book Antiqua" w:hAnsi="Book Antiqua" w:cs="Book Antiqua"/>
          <w:color w:val="000000"/>
          <w:shd w:val="clear" w:color="auto" w:fill="FFFFFF"/>
        </w:rPr>
        <w:t xml:space="preserve"> response and, therefore, playing a role in the above-mentioned immunological </w:t>
      </w:r>
      <w:proofErr w:type="gramStart"/>
      <w:r>
        <w:rPr>
          <w:rFonts w:ascii="Book Antiqua" w:eastAsia="Book Antiqua" w:hAnsi="Book Antiqua" w:cs="Book Antiqua"/>
          <w:color w:val="000000"/>
          <w:shd w:val="clear" w:color="auto" w:fill="FFFFFF"/>
        </w:rPr>
        <w:t>phenomenon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w:t>
      </w:r>
    </w:p>
    <w:p w14:paraId="53C00D0C" w14:textId="77777777" w:rsidR="00A77B3E" w:rsidRDefault="00A77B3E">
      <w:pPr>
        <w:spacing w:line="360" w:lineRule="auto"/>
        <w:jc w:val="both"/>
      </w:pPr>
    </w:p>
    <w:p w14:paraId="09C162B9" w14:textId="77777777" w:rsidR="00A77B3E" w:rsidRDefault="007159E5">
      <w:pPr>
        <w:spacing w:line="360" w:lineRule="auto"/>
        <w:jc w:val="both"/>
      </w:pPr>
      <w:r>
        <w:rPr>
          <w:rFonts w:ascii="Book Antiqua" w:eastAsia="Book Antiqua" w:hAnsi="Book Antiqua" w:cs="Book Antiqua"/>
          <w:b/>
          <w:bCs/>
          <w:caps/>
          <w:color w:val="000000"/>
          <w:u w:val="single"/>
        </w:rPr>
        <w:t>CLINICAL MANIFESTATIONS AND DIAGNOSIS</w:t>
      </w:r>
    </w:p>
    <w:p w14:paraId="5AF5131F" w14:textId="256409DE" w:rsidR="00A77B3E" w:rsidRDefault="007159E5">
      <w:pPr>
        <w:spacing w:line="360" w:lineRule="auto"/>
        <w:jc w:val="both"/>
      </w:pPr>
      <w:r>
        <w:rPr>
          <w:rFonts w:ascii="Book Antiqua" w:eastAsia="Book Antiqua" w:hAnsi="Book Antiqua" w:cs="Book Antiqua"/>
          <w:color w:val="000000"/>
        </w:rPr>
        <w:t>The distinct innervations of the parietal and visceral layers of the peritoneum determine the manifestations in patients with peritonitis. Parietal peritonitis manifests as a somatic, acute, constant, local pain and potentially affects abdominal wall muscles. As a result, patients tend to present with abdominal stiffness as a protective reaction. On the other hand, inflammation in the visceral peritoneum often leads to a referred, colicky pain in the medial aspect of the abdomen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Along with the clinical picture of acute abdomen, the TP is commonly accompanied by elevation in body temperature as well as imaging and laboratory findings, being associated with progressive multiple organ failure and prolonged systemic inflammation</w:t>
      </w:r>
      <w:r w:rsidR="00FA4D93" w:rsidRPr="00753AF3">
        <w:rPr>
          <w:rFonts w:ascii="Book Antiqua" w:eastAsia="Times New Roman" w:hAnsi="Book Antiqua"/>
          <w:color w:val="000000"/>
          <w:vertAlign w:val="superscript"/>
          <w:lang w:eastAsia="pt-BR"/>
        </w:rPr>
        <w:t>[1</w:t>
      </w:r>
      <w:r w:rsidR="00FA4D93">
        <w:rPr>
          <w:rFonts w:ascii="Book Antiqua" w:eastAsia="Times New Roman" w:hAnsi="Book Antiqua"/>
          <w:color w:val="000000"/>
          <w:vertAlign w:val="superscript"/>
          <w:lang w:eastAsia="pt-BR"/>
        </w:rPr>
        <w:t>8</w:t>
      </w:r>
      <w:r w:rsidR="00FA4D93" w:rsidRPr="00753AF3">
        <w:rPr>
          <w:rFonts w:ascii="Book Antiqua" w:eastAsia="Times New Roman" w:hAnsi="Book Antiqua"/>
          <w:color w:val="000000"/>
          <w:vertAlign w:val="superscript"/>
          <w:lang w:eastAsia="pt-BR"/>
        </w:rPr>
        <w:t>,</w:t>
      </w:r>
      <w:r w:rsidR="00FA4D93">
        <w:rPr>
          <w:rFonts w:ascii="Book Antiqua" w:eastAsia="Times New Roman" w:hAnsi="Book Antiqua"/>
          <w:color w:val="000000"/>
          <w:vertAlign w:val="superscript"/>
          <w:lang w:eastAsia="pt-BR"/>
        </w:rPr>
        <w:t>19</w:t>
      </w:r>
      <w:r w:rsidR="00FA4D93" w:rsidRPr="00753AF3">
        <w:rPr>
          <w:rFonts w:ascii="Book Antiqua" w:eastAsia="Times New Roman" w:hAnsi="Book Antiqua"/>
          <w:color w:val="000000"/>
          <w:vertAlign w:val="superscript"/>
          <w:lang w:eastAsia="pt-BR"/>
        </w:rPr>
        <w:t>]</w:t>
      </w:r>
      <w:r w:rsidR="00FA4D93" w:rsidRPr="00753AF3">
        <w:rPr>
          <w:rFonts w:ascii="Book Antiqua" w:eastAsia="Times New Roman" w:hAnsi="Book Antiqua"/>
          <w:color w:val="000000"/>
          <w:lang w:eastAsia="pt-BR"/>
        </w:rPr>
        <w:t>.</w:t>
      </w:r>
    </w:p>
    <w:p w14:paraId="06EB63C8" w14:textId="30D791B0" w:rsidR="00A77B3E" w:rsidRDefault="007159E5" w:rsidP="00DF5B7D">
      <w:pPr>
        <w:spacing w:line="360" w:lineRule="auto"/>
        <w:ind w:firstLineChars="100" w:firstLine="240"/>
        <w:jc w:val="both"/>
      </w:pPr>
      <w:r>
        <w:rPr>
          <w:rFonts w:ascii="Book Antiqua" w:eastAsia="Book Antiqua" w:hAnsi="Book Antiqua" w:cs="Book Antiqua"/>
          <w:color w:val="000000"/>
        </w:rPr>
        <w:t>The first step in the approach of patients with clinical manifestations compatible with peritonitis should be the characterization of the clinical severity through appropriate score systems. Moreover, the hospital service should be prepared for a potential immediate intervention</w:t>
      </w:r>
      <w:r>
        <w:rPr>
          <w:rFonts w:ascii="Book Antiqua" w:eastAsia="Book Antiqua" w:hAnsi="Book Antiqua" w:cs="Book Antiqua"/>
          <w:color w:val="000000"/>
          <w:vertAlign w:val="superscript"/>
        </w:rPr>
        <w:t>[</w:t>
      </w:r>
      <w:r w:rsidR="00FA4D93">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Relaparotomy is the most commonly used method to diagnose and treat the TP. This procedure may be necessary more than once after the initial surgery and it is considered as a late diagnostic method. Therefore, the identification of clinical features associated with an increased risk of developing TP may lead to an earlier diagnosis</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Clinical scoring systems are frequently mentioned in studies as important tools used in the ICU admission, being useful in the evaluation of the severity and clinical outcomes of the TP</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MPI is a scoring tool based on clinical parameters that aims to predict mortality and risk of post-surgical complications in patients with peritonitis</w:t>
      </w:r>
      <w:r>
        <w:rPr>
          <w:rFonts w:ascii="Book Antiqua" w:eastAsia="Book Antiqua" w:hAnsi="Book Antiqua" w:cs="Book Antiqua"/>
          <w:color w:val="000000"/>
          <w:vertAlign w:val="superscript"/>
        </w:rPr>
        <w:t>[9]</w:t>
      </w:r>
      <w:r>
        <w:rPr>
          <w:rFonts w:ascii="Book Antiqua" w:eastAsia="Book Antiqua" w:hAnsi="Book Antiqua" w:cs="Book Antiqua"/>
          <w:color w:val="000000"/>
        </w:rPr>
        <w:t>. It takes into consideration specific factors of the disease such as the characteristics of the peritoneal fluid (clear, purulent, or fecal) and the degree of the peritonitis</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That index used to be applied only in SP, but it also proved to be effective in the prediction of the development of TP</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addition, a study found that scores equal to or less than 32 for that index are associated with a low risk of death, </w:t>
      </w:r>
      <w:r>
        <w:rPr>
          <w:rFonts w:ascii="Book Antiqua" w:eastAsia="Book Antiqua" w:hAnsi="Book Antiqua" w:cs="Book Antiqua"/>
          <w:color w:val="000000"/>
        </w:rPr>
        <w:lastRenderedPageBreak/>
        <w:t>whereas scores greater than 32 are associated with a high risk for this outcome</w:t>
      </w:r>
      <w:r>
        <w:rPr>
          <w:rFonts w:ascii="Book Antiqua" w:eastAsia="Book Antiqua" w:hAnsi="Book Antiqua" w:cs="Book Antiqua"/>
          <w:color w:val="000000"/>
          <w:vertAlign w:val="superscript"/>
        </w:rPr>
        <w:t>[9]</w:t>
      </w:r>
      <w:r>
        <w:rPr>
          <w:rFonts w:ascii="Book Antiqua" w:eastAsia="Book Antiqua" w:hAnsi="Book Antiqua" w:cs="Book Antiqua"/>
          <w:color w:val="000000"/>
        </w:rPr>
        <w:t>. Other disease-independent scores such as the APACHE II and SAPS II can be used in order to stratify patients based on the risk of death and disease severity. They are obtained from physiological parameters and may help in the decision making in the management of each patient in addition to serving as parameters for the effectiveness of the treatment provided</w:t>
      </w:r>
      <w:r>
        <w:rPr>
          <w:rFonts w:ascii="Book Antiqua" w:eastAsia="Book Antiqua" w:hAnsi="Book Antiqua" w:cs="Book Antiqua"/>
          <w:color w:val="000000"/>
          <w:vertAlign w:val="superscript"/>
        </w:rPr>
        <w:t>[10,11]</w:t>
      </w:r>
      <w:r>
        <w:rPr>
          <w:rFonts w:ascii="Book Antiqua" w:eastAsia="Book Antiqua" w:hAnsi="Book Antiqua" w:cs="Book Antiqua"/>
          <w:color w:val="000000"/>
        </w:rPr>
        <w:t>. The APACHE II is one of the most well-known and used systems in ICUs</w:t>
      </w:r>
      <w:r w:rsidR="00994296">
        <w:rPr>
          <w:rFonts w:ascii="Book Antiqua" w:eastAsia="Book Antiqua" w:hAnsi="Book Antiqua" w:cs="Book Antiqua"/>
          <w:color w:val="000000"/>
        </w:rPr>
        <w:t>,</w:t>
      </w:r>
      <w:r>
        <w:rPr>
          <w:rFonts w:ascii="Book Antiqua" w:eastAsia="Book Antiqua" w:hAnsi="Book Antiqua" w:cs="Book Antiqua"/>
          <w:color w:val="000000"/>
        </w:rPr>
        <w:t xml:space="preserve"> and it is based on 12 physiological variables such as blood pressure, heart rate, temperature, age, and biochemical parameters, predicting mortality and multiple organ failure. A study evaluating this system found that a score equal to or greater than 15 is associated with higher mortality rates than scores below that cutoff</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 study including 122 patients demonstrated that individuals who progressed to TP had mean values of APACHE II (12.0</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6.3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15.7</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4.8,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and MPI (25.2</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8.8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28.7</w:t>
      </w:r>
      <w:r w:rsidR="00DF5B7D">
        <w:rPr>
          <w:rFonts w:ascii="Book Antiqua" w:eastAsia="Book Antiqua" w:hAnsi="Book Antiqua" w:cs="Book Antiqua"/>
          <w:color w:val="000000"/>
        </w:rPr>
        <w:t xml:space="preserve"> </w:t>
      </w:r>
      <w:r>
        <w:rPr>
          <w:rFonts w:ascii="Book Antiqua" w:eastAsia="Book Antiqua" w:hAnsi="Book Antiqua" w:cs="Book Antiqua"/>
          <w:color w:val="000000"/>
        </w:rPr>
        <w: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8.0,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scores significantly higher than those who had only SP. Moreover, that study showed higher effectiveness associated with the combined use of these score systems compared to the use of MPI alone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SAPS II is a tool that assists in predicting mortality from 17 variables that are collected in ICU admission, being a prognostic method for TP</w:t>
      </w:r>
      <w:r w:rsidR="00FA4D93" w:rsidRPr="00753AF3">
        <w:rPr>
          <w:rFonts w:ascii="Book Antiqua" w:eastAsia="Times New Roman" w:hAnsi="Book Antiqua"/>
          <w:color w:val="000000"/>
          <w:vertAlign w:val="superscript"/>
          <w:lang w:eastAsia="pt-BR"/>
        </w:rPr>
        <w:t>[2</w:t>
      </w:r>
      <w:r w:rsidR="00FA4D93">
        <w:rPr>
          <w:rFonts w:ascii="Book Antiqua" w:eastAsia="Times New Roman" w:hAnsi="Book Antiqua"/>
          <w:color w:val="000000"/>
          <w:vertAlign w:val="superscript"/>
          <w:lang w:eastAsia="pt-BR"/>
        </w:rPr>
        <w:t>4</w:t>
      </w:r>
      <w:r w:rsidR="00FA4D93" w:rsidRPr="00753AF3">
        <w:rPr>
          <w:rFonts w:ascii="Book Antiqua" w:eastAsia="Times New Roman" w:hAnsi="Book Antiqua"/>
          <w:color w:val="000000"/>
          <w:vertAlign w:val="superscript"/>
          <w:lang w:eastAsia="pt-BR"/>
        </w:rPr>
        <w:t>,2</w:t>
      </w:r>
      <w:r w:rsidR="00FA4D93">
        <w:rPr>
          <w:rFonts w:ascii="Book Antiqua" w:eastAsia="Times New Roman" w:hAnsi="Book Antiqua"/>
          <w:color w:val="000000"/>
          <w:vertAlign w:val="superscript"/>
          <w:lang w:eastAsia="pt-BR"/>
        </w:rPr>
        <w:t>5</w:t>
      </w:r>
      <w:r w:rsidR="00FA4D93" w:rsidRPr="00753AF3">
        <w:rPr>
          <w:rFonts w:ascii="Book Antiqua" w:eastAsia="Times New Roman" w:hAnsi="Book Antiqua"/>
          <w:color w:val="000000"/>
          <w:vertAlign w:val="superscript"/>
          <w:lang w:eastAsia="pt-BR"/>
        </w:rPr>
        <w:t>]</w:t>
      </w:r>
      <w:r w:rsidR="00FA4D93">
        <w:rPr>
          <w:rFonts w:ascii="Book Antiqua" w:eastAsia="Times New Roman" w:hAnsi="Book Antiqua"/>
          <w:color w:val="000000"/>
          <w:lang w:eastAsia="pt-BR"/>
        </w:rPr>
        <w:t>.</w:t>
      </w:r>
      <w:r>
        <w:rPr>
          <w:rFonts w:ascii="Book Antiqua" w:eastAsia="Book Antiqua" w:hAnsi="Book Antiqua" w:cs="Book Antiqua"/>
          <w:color w:val="000000"/>
        </w:rPr>
        <w:t xml:space="preserve"> A study conducted by Weiss </w:t>
      </w:r>
      <w:r>
        <w:rPr>
          <w:rFonts w:ascii="Book Antiqua" w:eastAsia="Book Antiqua" w:hAnsi="Book Antiqua" w:cs="Book Antiqua"/>
          <w:i/>
          <w:iCs/>
          <w:color w:val="000000"/>
        </w:rPr>
        <w:t>et al</w:t>
      </w:r>
      <w:r w:rsidR="00DF5B7D">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that included 356 IAI patients demonstrated that the medians of MPI (25.9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31.4,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APACHE II (12.4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20.7,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and SAPS II (31.9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45.6,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 0.001) were significantly higher in TP patients compared with SP individuals</w:t>
      </w:r>
      <w:r>
        <w:rPr>
          <w:rFonts w:ascii="Book Antiqua" w:eastAsia="Book Antiqua" w:hAnsi="Book Antiqua" w:cs="Book Antiqua"/>
          <w:color w:val="000000"/>
          <w:vertAlign w:val="superscript"/>
        </w:rPr>
        <w:t>[2</w:t>
      </w:r>
      <w:r w:rsidR="00FA4D93">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F5FA921" w14:textId="48C3FA91" w:rsidR="00A77B3E" w:rsidRDefault="007159E5" w:rsidP="00DF5B7D">
      <w:pPr>
        <w:spacing w:line="360" w:lineRule="auto"/>
        <w:ind w:firstLineChars="100" w:firstLine="240"/>
        <w:jc w:val="both"/>
      </w:pPr>
      <w:r>
        <w:rPr>
          <w:rFonts w:ascii="Book Antiqua" w:eastAsia="Book Antiqua" w:hAnsi="Book Antiqua" w:cs="Book Antiqua"/>
          <w:color w:val="000000"/>
        </w:rPr>
        <w:t>The serum level of C-reactive protein is another parameter commonly used in that context</w:t>
      </w:r>
      <w:r>
        <w:rPr>
          <w:rFonts w:ascii="Book Antiqua" w:eastAsia="Book Antiqua" w:hAnsi="Book Antiqua" w:cs="Book Antiqua"/>
          <w:color w:val="000000"/>
          <w:szCs w:val="20"/>
          <w:vertAlign w:val="superscript"/>
        </w:rPr>
        <w:t>[2</w:t>
      </w:r>
      <w:r w:rsidR="00FA4D93">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Such protein </w:t>
      </w:r>
      <w:r w:rsidR="00994296">
        <w:rPr>
          <w:rFonts w:ascii="Book Antiqua" w:eastAsia="Book Antiqua" w:hAnsi="Book Antiqua" w:cs="Book Antiqua"/>
          <w:color w:val="000000"/>
        </w:rPr>
        <w:t>w</w:t>
      </w:r>
      <w:r>
        <w:rPr>
          <w:rFonts w:ascii="Book Antiqua" w:eastAsia="Book Antiqua" w:hAnsi="Book Antiqua" w:cs="Book Antiqua"/>
          <w:color w:val="000000"/>
        </w:rPr>
        <w:t xml:space="preserve">as shown to be increased in the serum of post-surgical patients, but it is not specific for abdominal infections and can be just a consequence of other repercussions from the initial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sidR="00FA4D93">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 study that included 69 patients within the first days after a surgery to treat SP observed significantly higher values of C-reactive protein (265 mg/dL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 xml:space="preserve">217 mg/dL, </w:t>
      </w:r>
      <w:r w:rsidR="00DF5B7D">
        <w:rPr>
          <w:rFonts w:ascii="Book Antiqua" w:eastAsia="Book Antiqua" w:hAnsi="Book Antiqua" w:cs="Book Antiqua"/>
          <w:i/>
          <w:iCs/>
          <w:color w:val="000000"/>
        </w:rPr>
        <w:t>P</w:t>
      </w:r>
      <w:r>
        <w:rPr>
          <w:rFonts w:ascii="Book Antiqua" w:eastAsia="Book Antiqua" w:hAnsi="Book Antiqua" w:cs="Book Antiqua"/>
          <w:color w:val="000000"/>
        </w:rPr>
        <w:t xml:space="preserve"> &lt; 0.05) as well as of SAPS II (45</w:t>
      </w:r>
      <w:r w:rsidR="00DF5B7D">
        <w:rPr>
          <w:rFonts w:ascii="Book Antiqua" w:eastAsia="Book Antiqua" w:hAnsi="Book Antiqua" w:cs="Book Antiqua"/>
          <w:color w:val="000000"/>
        </w:rPr>
        <w:t>.</w:t>
      </w:r>
      <w:r>
        <w:rPr>
          <w:rFonts w:ascii="Book Antiqua" w:eastAsia="Book Antiqua" w:hAnsi="Book Antiqua" w:cs="Book Antiqua"/>
          <w:color w:val="000000"/>
        </w:rPr>
        <w:t xml:space="preserve">1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28</w:t>
      </w:r>
      <w:r w:rsidR="00DF5B7D">
        <w:rPr>
          <w:rFonts w:ascii="Book Antiqua" w:eastAsia="Book Antiqua" w:hAnsi="Book Antiqua" w:cs="Book Antiqua"/>
          <w:color w:val="000000"/>
        </w:rPr>
        <w:t>.</w:t>
      </w:r>
      <w:r>
        <w:rPr>
          <w:rFonts w:ascii="Book Antiqua" w:eastAsia="Book Antiqua" w:hAnsi="Book Antiqua" w:cs="Book Antiqua"/>
          <w:color w:val="000000"/>
        </w:rPr>
        <w:t xml:space="preserve">4;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0.005) and MPI (28</w:t>
      </w:r>
      <w:r w:rsidR="00DF5B7D">
        <w:rPr>
          <w:rFonts w:ascii="Book Antiqua" w:eastAsia="Book Antiqua" w:hAnsi="Book Antiqua" w:cs="Book Antiqua"/>
          <w:color w:val="000000"/>
        </w:rPr>
        <w:t>.</w:t>
      </w:r>
      <w:r>
        <w:rPr>
          <w:rFonts w:ascii="Book Antiqua" w:eastAsia="Book Antiqua" w:hAnsi="Book Antiqua" w:cs="Book Antiqua"/>
          <w:color w:val="000000"/>
        </w:rPr>
        <w:t xml:space="preserve">6 </w:t>
      </w:r>
      <w:r w:rsidRPr="00DF5B7D">
        <w:rPr>
          <w:rFonts w:ascii="Book Antiqua" w:eastAsia="Book Antiqua" w:hAnsi="Book Antiqua" w:cs="Book Antiqua"/>
          <w:i/>
          <w:iCs/>
          <w:color w:val="000000"/>
        </w:rPr>
        <w:t>vs</w:t>
      </w:r>
      <w:r w:rsidR="00DF5B7D">
        <w:rPr>
          <w:rFonts w:ascii="Book Antiqua" w:eastAsia="Book Antiqua" w:hAnsi="Book Antiqua" w:cs="Book Antiqua"/>
          <w:color w:val="000000"/>
        </w:rPr>
        <w:t xml:space="preserve"> </w:t>
      </w:r>
      <w:r>
        <w:rPr>
          <w:rFonts w:ascii="Book Antiqua" w:eastAsia="Book Antiqua" w:hAnsi="Book Antiqua" w:cs="Book Antiqua"/>
          <w:color w:val="000000"/>
        </w:rPr>
        <w:t>19</w:t>
      </w:r>
      <w:r w:rsidR="00DF5B7D">
        <w:rPr>
          <w:rFonts w:ascii="Book Antiqua" w:eastAsia="Book Antiqua" w:hAnsi="Book Antiqua" w:cs="Book Antiqua"/>
          <w:color w:val="000000"/>
        </w:rPr>
        <w:t>.</w:t>
      </w:r>
      <w:r>
        <w:rPr>
          <w:rFonts w:ascii="Book Antiqua" w:eastAsia="Book Antiqua" w:hAnsi="Book Antiqua" w:cs="Book Antiqua"/>
          <w:color w:val="000000"/>
        </w:rPr>
        <w:t xml:space="preserve">8; </w:t>
      </w:r>
      <w:r w:rsidR="00DF5B7D" w:rsidRPr="00DF5B7D">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F5B7D">
        <w:rPr>
          <w:rFonts w:ascii="Book Antiqua" w:eastAsia="Book Antiqua" w:hAnsi="Book Antiqua" w:cs="Book Antiqua"/>
          <w:color w:val="000000"/>
        </w:rPr>
        <w:t xml:space="preserve"> </w:t>
      </w:r>
      <w:r>
        <w:rPr>
          <w:rFonts w:ascii="Book Antiqua" w:eastAsia="Book Antiqua" w:hAnsi="Book Antiqua" w:cs="Book Antiqua"/>
          <w:color w:val="000000"/>
        </w:rPr>
        <w:t>0,001) among individuals who progressed to TP compared to those with SP</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63E816AD" w14:textId="57A2E9F7" w:rsidR="00A77B3E" w:rsidRDefault="007159E5" w:rsidP="00DF5B7D">
      <w:pPr>
        <w:spacing w:line="360" w:lineRule="auto"/>
        <w:ind w:firstLineChars="100" w:firstLine="240"/>
        <w:jc w:val="both"/>
      </w:pPr>
      <w:r>
        <w:rPr>
          <w:rFonts w:ascii="Book Antiqua" w:eastAsia="Book Antiqua" w:hAnsi="Book Antiqua" w:cs="Book Antiqua"/>
          <w:color w:val="000000"/>
        </w:rPr>
        <w:lastRenderedPageBreak/>
        <w:t>Clinical suspicion of peritonitis can be elucidated with complementary data from imaging exams. Simple radiographic examination is not very effective in the identification of recurrent peritonitis due to the insignificant presence of abdominal air during the post-surgical period. In contrast, ultrasound examination and computerized tomography are often used and have satisfactory performances in the diagnosis/screening of intra-abdominal acute infections, with the latter having a higher potential for this purpose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Both methods aid in the detection and drainage of abdominal fluid collections</w:t>
      </w:r>
      <w:r>
        <w:rPr>
          <w:rFonts w:ascii="Book Antiqua" w:eastAsia="Book Antiqua" w:hAnsi="Book Antiqua" w:cs="Book Antiqua"/>
          <w:color w:val="000000"/>
          <w:szCs w:val="20"/>
          <w:vertAlign w:val="superscript"/>
        </w:rPr>
        <w:t>[</w:t>
      </w:r>
      <w:r w:rsidR="00FA4D93">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9CBC25B" w14:textId="6DC98243"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Complementarily, laboratory parameters and microbiological monitoring play pivotal roles in the diagnosis of the TP. Routine microbiological screening is able to </w:t>
      </w:r>
      <w:r w:rsidR="00994296">
        <w:rPr>
          <w:rFonts w:ascii="Book Antiqua" w:eastAsia="Book Antiqua" w:hAnsi="Book Antiqua" w:cs="Book Antiqua"/>
          <w:color w:val="000000"/>
        </w:rPr>
        <w:t xml:space="preserve">identify </w:t>
      </w:r>
      <w:r>
        <w:rPr>
          <w:rFonts w:ascii="Book Antiqua" w:eastAsia="Book Antiqua" w:hAnsi="Book Antiqua" w:cs="Book Antiqua"/>
          <w:color w:val="000000"/>
        </w:rPr>
        <w:t xml:space="preserve">rapidly infections by nosocomial pathogens and serve as a basis for the search for an infectious focus and for the appropriate antimicrobial </w:t>
      </w:r>
      <w:proofErr w:type="gramStart"/>
      <w:r>
        <w:rPr>
          <w:rFonts w:ascii="Book Antiqua" w:eastAsia="Book Antiqua" w:hAnsi="Book Antiqua" w:cs="Book Antiqua"/>
          <w:color w:val="000000"/>
        </w:rPr>
        <w:t>choice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Otherwise, laboratory investigation in this setting is made on the basis of the evaluation of leu</w:t>
      </w:r>
      <w:r w:rsidR="00994296">
        <w:rPr>
          <w:rFonts w:ascii="Book Antiqua" w:eastAsia="Book Antiqua" w:hAnsi="Book Antiqua" w:cs="Book Antiqua"/>
          <w:color w:val="000000"/>
        </w:rPr>
        <w:t>k</w:t>
      </w:r>
      <w:r>
        <w:rPr>
          <w:rFonts w:ascii="Book Antiqua" w:eastAsia="Book Antiqua" w:hAnsi="Book Antiqua" w:cs="Book Antiqua"/>
          <w:color w:val="000000"/>
        </w:rPr>
        <w:t>ocytes and procalcitonin, besides the aforementioned C-reactive protein. These parameters can be altered as a consequence of the inflammatory response due to the initial surgery as well; however, considerably high and rising values may indicate a recurrent infection</w:t>
      </w:r>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aforementioned study by Weiss </w:t>
      </w:r>
      <w:r>
        <w:rPr>
          <w:rFonts w:ascii="Book Antiqua" w:eastAsia="Book Antiqua" w:hAnsi="Book Antiqua" w:cs="Book Antiqua"/>
          <w:i/>
          <w:iCs/>
          <w:color w:val="000000"/>
        </w:rPr>
        <w:t>et al</w:t>
      </w:r>
      <w:r w:rsidR="00DF5B7D">
        <w:rPr>
          <w:rFonts w:ascii="Book Antiqua" w:eastAsia="Book Antiqua" w:hAnsi="Book Antiqua" w:cs="Book Antiqua"/>
          <w:color w:val="000000"/>
          <w:vertAlign w:val="superscript"/>
        </w:rPr>
        <w:t>[1]</w:t>
      </w:r>
      <w:r>
        <w:rPr>
          <w:rFonts w:ascii="Book Antiqua" w:eastAsia="Book Antiqua" w:hAnsi="Book Antiqua" w:cs="Book Antiqua"/>
          <w:color w:val="000000"/>
        </w:rPr>
        <w:t>, these parameters were also evaluated, and procalcitonin and temperature elevations showed to be the most sensitive clinical/</w:t>
      </w:r>
      <w:r w:rsidR="00DF5B7D">
        <w:rPr>
          <w:rFonts w:ascii="Book Antiqua" w:eastAsia="Book Antiqua" w:hAnsi="Book Antiqua" w:cs="Book Antiqua"/>
          <w:color w:val="000000"/>
        </w:rPr>
        <w:t>l</w:t>
      </w:r>
      <w:r>
        <w:rPr>
          <w:rFonts w:ascii="Book Antiqua" w:eastAsia="Book Antiqua" w:hAnsi="Book Antiqua" w:cs="Book Antiqua"/>
          <w:color w:val="000000"/>
        </w:rPr>
        <w:t>aboratory parameters to diagnose that condition (sensitivity = 64.5% and 63.4%, respectively). Although these parameters can increase the accuracy of the diagnosis, their usefulness may be reduced in patients who present with sepsis, multiple organ failure, and recurrent inflammations. Of note, even the accuracy of the clinical examination can be reduced due to non-infectious confounding factors such as surgical and reperfusion damages as well as therapies with steroidal anti-inflammatory drugs</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6AD63EC3" w14:textId="66974909"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There are three practical stratifications for TP according to the different levels of clinical evidence suggesting its diagnosis. A microbiologically confirmed TP is characterized by detectable nosocomial pathogens in the peritoneal fluid or blood 48 h after the treatment of the SP. An SP-like clinical presentation with a documented </w:t>
      </w:r>
      <w:r>
        <w:rPr>
          <w:rFonts w:ascii="Book Antiqua" w:eastAsia="Book Antiqua" w:hAnsi="Book Antiqua" w:cs="Book Antiqua"/>
          <w:color w:val="000000"/>
        </w:rPr>
        <w:lastRenderedPageBreak/>
        <w:t xml:space="preserve">persistent inflammation (more than 500 </w:t>
      </w:r>
      <w:r w:rsidR="00DF5B7D">
        <w:rPr>
          <w:rFonts w:ascii="Book Antiqua" w:eastAsia="Book Antiqua" w:hAnsi="Book Antiqua" w:cs="Book Antiqua"/>
          <w:color w:val="000000"/>
        </w:rPr>
        <w:t>l</w:t>
      </w:r>
      <w:r>
        <w:rPr>
          <w:rFonts w:ascii="Book Antiqua" w:eastAsia="Book Antiqua" w:hAnsi="Book Antiqua" w:cs="Book Antiqua"/>
          <w:color w:val="000000"/>
        </w:rPr>
        <w:t>eukocytes/µL of peritoneal fluid) and lack of microbiological confirmation after the aforementioned post-surgical period characterizes a probable TP. In contrast, if there is no documented evidence of peritoneal inflammation in that clinical scenario, the condition is defined as a possible TP</w:t>
      </w:r>
      <w:r>
        <w:rPr>
          <w:rFonts w:ascii="Book Antiqua" w:eastAsia="Book Antiqua" w:hAnsi="Book Antiqua" w:cs="Book Antiqua"/>
          <w:color w:val="000000"/>
          <w:vertAlign w:val="superscript"/>
        </w:rPr>
        <w:t>[4]</w:t>
      </w:r>
      <w:r>
        <w:rPr>
          <w:rFonts w:ascii="Book Antiqua" w:eastAsia="Book Antiqua" w:hAnsi="Book Antiqua" w:cs="Book Antiqua"/>
          <w:color w:val="000000"/>
        </w:rPr>
        <w:t>. Figure 1 summarizes the stratification of patients with IAIs.</w:t>
      </w:r>
    </w:p>
    <w:p w14:paraId="59BAD3D2" w14:textId="54D9D27B" w:rsidR="00A77B3E" w:rsidRDefault="007159E5" w:rsidP="00DF5B7D">
      <w:pPr>
        <w:spacing w:line="360" w:lineRule="auto"/>
        <w:ind w:firstLineChars="100" w:firstLine="240"/>
        <w:jc w:val="both"/>
      </w:pPr>
      <w:r>
        <w:rPr>
          <w:rFonts w:ascii="Book Antiqua" w:eastAsia="Book Antiqua" w:hAnsi="Book Antiqua" w:cs="Book Antiqua"/>
          <w:color w:val="000000"/>
        </w:rPr>
        <w:t>Because the delimitation between SP and TP can be difficult in clinical practice, some authors argue that the stratification into three clinical entities for peritonitis may be unnecessary. They suggest the exclusion of the term “tertiary peritonitis” and propose a subclassification of SP in which the presence or absence of anatomic rupture and clinical severity should be considered as distinct phenotypes of a single condition</w:t>
      </w:r>
      <w:r>
        <w:rPr>
          <w:rFonts w:ascii="Book Antiqua" w:eastAsia="Book Antiqua" w:hAnsi="Book Antiqua" w:cs="Book Antiqua"/>
          <w:color w:val="000000"/>
          <w:vertAlign w:val="superscript"/>
        </w:rPr>
        <w:t>[6,3</w:t>
      </w:r>
      <w:r w:rsidR="00951418">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5D0B7C" w14:textId="77777777" w:rsidR="00A77B3E" w:rsidRDefault="00A77B3E">
      <w:pPr>
        <w:spacing w:line="360" w:lineRule="auto"/>
        <w:jc w:val="both"/>
      </w:pPr>
    </w:p>
    <w:p w14:paraId="5F8E78F9" w14:textId="36EA8ACA" w:rsidR="00A77B3E" w:rsidRDefault="007159E5">
      <w:pPr>
        <w:spacing w:line="360" w:lineRule="auto"/>
        <w:jc w:val="both"/>
      </w:pPr>
      <w:r>
        <w:rPr>
          <w:rFonts w:ascii="Book Antiqua" w:eastAsia="Book Antiqua" w:hAnsi="Book Antiqua" w:cs="Book Antiqua"/>
          <w:b/>
          <w:bCs/>
          <w:caps/>
          <w:color w:val="000000"/>
          <w:u w:val="single"/>
        </w:rPr>
        <w:t>TREATMENT</w:t>
      </w:r>
    </w:p>
    <w:p w14:paraId="77C3DC11" w14:textId="18349920" w:rsidR="00A77B3E"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management of TP involves establishing an effective antimicrobial therapy covering multidrug-resistant pathogens as well as performing procedural approaches in order to control the source of infection. Previous antimicrobial therapies and exposure to the hospital environment are associated with changes in the pattern of microbiological colonization of the patients</w:t>
      </w:r>
      <w:r w:rsidR="004E5ECD">
        <w:rPr>
          <w:rFonts w:ascii="Book Antiqua" w:eastAsia="Book Antiqua" w:hAnsi="Book Antiqua" w:cs="Book Antiqua"/>
          <w:color w:val="000000"/>
        </w:rPr>
        <w:t>;</w:t>
      </w:r>
      <w:r>
        <w:rPr>
          <w:rFonts w:ascii="Book Antiqua" w:eastAsia="Book Antiqua" w:hAnsi="Book Antiqua" w:cs="Book Antiqua"/>
          <w:color w:val="000000"/>
        </w:rPr>
        <w:t xml:space="preserve"> and, therefore, </w:t>
      </w:r>
      <w:r w:rsidR="00125109">
        <w:rPr>
          <w:rFonts w:ascii="Book Antiqua" w:eastAsia="Book Antiqua" w:hAnsi="Book Antiqua" w:cs="Book Antiqua"/>
          <w:color w:val="000000"/>
        </w:rPr>
        <w:t>IAI</w:t>
      </w:r>
      <w:r>
        <w:rPr>
          <w:rFonts w:ascii="Book Antiqua" w:eastAsia="Book Antiqua" w:hAnsi="Book Antiqua" w:cs="Book Antiqua"/>
          <w:color w:val="000000"/>
        </w:rPr>
        <w:t>s in these circumstances are more likely to involve nosocomial bacteria</w:t>
      </w:r>
      <w:r>
        <w:rPr>
          <w:rFonts w:ascii="Book Antiqua" w:eastAsia="Book Antiqua" w:hAnsi="Book Antiqua" w:cs="Book Antiqua"/>
          <w:color w:val="000000"/>
          <w:vertAlign w:val="superscript"/>
        </w:rPr>
        <w:t>[12]</w:t>
      </w:r>
      <w:r>
        <w:rPr>
          <w:rFonts w:ascii="Book Antiqua" w:eastAsia="Book Antiqua" w:hAnsi="Book Antiqua" w:cs="Book Antiqua"/>
          <w:color w:val="000000"/>
        </w:rPr>
        <w:t>. Of note, fungi are not uncommon pathogens among patients with bowel involvement, nosocomial infection, previous exposure to antibiotics, immunocompromising conditions, or recurrent infections</w:t>
      </w:r>
      <w:r>
        <w:rPr>
          <w:rFonts w:ascii="Book Antiqua" w:eastAsia="Book Antiqua" w:hAnsi="Book Antiqua" w:cs="Book Antiqua"/>
          <w:color w:val="000000"/>
          <w:vertAlign w:val="superscript"/>
        </w:rPr>
        <w:t>[</w:t>
      </w:r>
      <w:r w:rsidR="00FA4D93">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389F779" w14:textId="77777777" w:rsidR="00DF5B7D" w:rsidRDefault="00DF5B7D">
      <w:pPr>
        <w:spacing w:line="360" w:lineRule="auto"/>
        <w:jc w:val="both"/>
      </w:pPr>
    </w:p>
    <w:p w14:paraId="2AEF5B8C" w14:textId="49768C21" w:rsidR="00DF5B7D" w:rsidRPr="00DF5B7D" w:rsidRDefault="007159E5">
      <w:pPr>
        <w:spacing w:line="360" w:lineRule="auto"/>
        <w:jc w:val="both"/>
        <w:rPr>
          <w:rFonts w:ascii="Book Antiqua" w:eastAsia="Book Antiqua" w:hAnsi="Book Antiqua" w:cs="Book Antiqua"/>
          <w:b/>
          <w:bCs/>
          <w:i/>
          <w:iCs/>
          <w:color w:val="000000"/>
        </w:rPr>
      </w:pPr>
      <w:r w:rsidRPr="00DF5B7D">
        <w:rPr>
          <w:rFonts w:ascii="Book Antiqua" w:eastAsia="Book Antiqua" w:hAnsi="Book Antiqua" w:cs="Book Antiqua"/>
          <w:b/>
          <w:bCs/>
          <w:i/>
          <w:iCs/>
          <w:color w:val="000000"/>
        </w:rPr>
        <w:t>Source</w:t>
      </w:r>
      <w:r w:rsidR="00DF5B7D" w:rsidRPr="00DF5B7D">
        <w:rPr>
          <w:rFonts w:ascii="Book Antiqua" w:eastAsia="Book Antiqua" w:hAnsi="Book Antiqua" w:cs="Book Antiqua"/>
          <w:b/>
          <w:bCs/>
          <w:i/>
          <w:iCs/>
          <w:color w:val="000000"/>
        </w:rPr>
        <w:t xml:space="preserve"> control and d</w:t>
      </w:r>
      <w:r w:rsidRPr="00DF5B7D">
        <w:rPr>
          <w:rFonts w:ascii="Book Antiqua" w:eastAsia="Book Antiqua" w:hAnsi="Book Antiqua" w:cs="Book Antiqua"/>
          <w:b/>
          <w:bCs/>
          <w:i/>
          <w:iCs/>
          <w:color w:val="000000"/>
        </w:rPr>
        <w:t>rainage</w:t>
      </w:r>
    </w:p>
    <w:p w14:paraId="70C93F85" w14:textId="436CAE52" w:rsidR="00DF5B7D"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Except for primary peritonitis, surgical intervention and/or percutaneous drainage are often required for the treatment of </w:t>
      </w:r>
      <w:r w:rsidR="00125109">
        <w:rPr>
          <w:rFonts w:ascii="Book Antiqua" w:eastAsia="Book Antiqua" w:hAnsi="Book Antiqua" w:cs="Book Antiqua"/>
          <w:color w:val="000000"/>
        </w:rPr>
        <w:t>IAI</w:t>
      </w:r>
      <w:r>
        <w:rPr>
          <w:rFonts w:ascii="Book Antiqua" w:eastAsia="Book Antiqua" w:hAnsi="Book Antiqua" w:cs="Book Antiqua"/>
          <w:color w:val="000000"/>
        </w:rPr>
        <w:t>s, and the latter procedure should be the first choice. Open surgical interventions allow surgeons to identify and correct dehiscence or anatomical changes, to debride infected necrotic tissues, and to drain fluids</w:t>
      </w:r>
      <w:r>
        <w:rPr>
          <w:rFonts w:ascii="Book Antiqua" w:eastAsia="Book Antiqua" w:hAnsi="Book Antiqua" w:cs="Book Antiqua"/>
          <w:color w:val="000000"/>
          <w:vertAlign w:val="superscript"/>
        </w:rPr>
        <w:t>[</w:t>
      </w:r>
      <w:r w:rsidR="00FA4D93">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Sample collections for microbiological analysis including </w:t>
      </w:r>
      <w:r w:rsidR="004E5ECD">
        <w:rPr>
          <w:rFonts w:ascii="Book Antiqua" w:eastAsia="Book Antiqua" w:hAnsi="Book Antiqua" w:cs="Book Antiqua"/>
          <w:color w:val="000000"/>
        </w:rPr>
        <w:t>g</w:t>
      </w:r>
      <w:r>
        <w:rPr>
          <w:rFonts w:ascii="Book Antiqua" w:eastAsia="Book Antiqua" w:hAnsi="Book Antiqua" w:cs="Book Antiqua"/>
          <w:color w:val="000000"/>
        </w:rPr>
        <w:t xml:space="preserve">ram stain and cultures should be performed during the procedure. The microbiological analysis is especially important for patients who were previously exposed to antibiotics or who are at a high risk of </w:t>
      </w:r>
      <w:r>
        <w:rPr>
          <w:rFonts w:ascii="Book Antiqua" w:eastAsia="Book Antiqua" w:hAnsi="Book Antiqua" w:cs="Book Antiqua"/>
          <w:color w:val="000000"/>
        </w:rPr>
        <w:lastRenderedPageBreak/>
        <w:t>infection with resistant organisms. Gram staining provides early guidance that aids in the choice of antibiotics and may be the only source of information if cultures do not achieve satisfactory growth</w:t>
      </w:r>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0B42B4" w14:textId="14841F13"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Indication for surgical treatment should be aggressive and aims to eliminate the source of infection, to reduce the peritoneal contaminants, and to avoid a continued peritonitis. The cavity approach should be performed through the former surgical incision, whose length should be extended if necessary. The reduction of peritoneal contamination is done through aspiration of the infectious content, purulent exudates, food debris, or fecal particles, in a radical debridement scheme</w:t>
      </w:r>
      <w:r>
        <w:rPr>
          <w:rFonts w:ascii="Book Antiqua" w:eastAsia="Book Antiqua" w:hAnsi="Book Antiqua" w:cs="Book Antiqua"/>
          <w:color w:val="000000"/>
          <w:vertAlign w:val="superscript"/>
        </w:rPr>
        <w:t>[3</w:t>
      </w:r>
      <w:r w:rsidR="00FA4D93">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Most patients progress with mechanical obstruction and substantial distention of the small intestine, making decompression an important part of the surgical treatment as well as the washing of the abdominal cavity</w:t>
      </w:r>
      <w:r>
        <w:rPr>
          <w:rFonts w:ascii="Book Antiqua" w:eastAsia="Book Antiqua" w:hAnsi="Book Antiqua" w:cs="Book Antiqua"/>
          <w:color w:val="000000"/>
          <w:vertAlign w:val="superscript"/>
        </w:rPr>
        <w:t>[3</w:t>
      </w:r>
      <w:r w:rsidR="00841125">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Of note, the main goal is to solve the intraperitoneal infectious process in the first re-intervention, thus avoiding new re-interventions, since there is an increase in mortality in patients who undergo multiple re-interventions</w:t>
      </w:r>
      <w:r>
        <w:rPr>
          <w:rFonts w:ascii="Book Antiqua" w:eastAsia="Book Antiqua" w:hAnsi="Book Antiqua" w:cs="Book Antiqua"/>
          <w:color w:val="000000"/>
          <w:vertAlign w:val="superscript"/>
        </w:rPr>
        <w:t>[3</w:t>
      </w:r>
      <w:r w:rsidR="00841125">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DE82CB" w14:textId="2BA8D06E" w:rsidR="00A77B3E"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Another important measure associated with the definitive resolution of </w:t>
      </w:r>
      <w:r w:rsidR="00125109">
        <w:rPr>
          <w:rFonts w:ascii="Book Antiqua" w:eastAsia="Book Antiqua" w:hAnsi="Book Antiqua" w:cs="Book Antiqua"/>
          <w:color w:val="000000"/>
        </w:rPr>
        <w:t>IAI</w:t>
      </w:r>
      <w:r>
        <w:rPr>
          <w:rFonts w:ascii="Book Antiqua" w:eastAsia="Book Antiqua" w:hAnsi="Book Antiqua" w:cs="Book Antiqua"/>
          <w:color w:val="000000"/>
        </w:rPr>
        <w:t xml:space="preserve"> is to avoid planned relaparotomy. A randomized trial including 232 patients compared planned relaparotomy (after 36-48 h of the last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on-demand approaches (when there are parameters of clinical deterioration). Their results demonstrated that the former group did not experience a statistically significant reduction in the occurrence of unfavorable primary outcomes (morbidity and mortality) associated with severe peritonitis. However, there was a significant reduction in the prevalence of secondary outcomes such as the frequency of relaparotomies and percutaneous drainages as well as the length of hospital and ICU stay</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The negative result of programmed relaparotomies seems to be related to a delay in the diagnosis of persistent infection and the onset of multiple organ dysfunction syndrome before the re-approach.</w:t>
      </w:r>
    </w:p>
    <w:p w14:paraId="1289A161" w14:textId="77777777" w:rsidR="00DF5B7D" w:rsidRDefault="00DF5B7D" w:rsidP="00DF5B7D">
      <w:pPr>
        <w:spacing w:line="360" w:lineRule="auto"/>
        <w:jc w:val="both"/>
      </w:pPr>
    </w:p>
    <w:p w14:paraId="1605F267" w14:textId="487CAC2B" w:rsidR="00DF5B7D" w:rsidRPr="00DF5B7D" w:rsidRDefault="007159E5">
      <w:pPr>
        <w:spacing w:line="360" w:lineRule="auto"/>
        <w:jc w:val="both"/>
        <w:rPr>
          <w:rFonts w:ascii="Book Antiqua" w:eastAsia="Book Antiqua" w:hAnsi="Book Antiqua" w:cs="Book Antiqua"/>
          <w:b/>
          <w:bCs/>
          <w:i/>
          <w:iCs/>
          <w:color w:val="000000"/>
        </w:rPr>
      </w:pPr>
      <w:r w:rsidRPr="00DF5B7D">
        <w:rPr>
          <w:rFonts w:ascii="Book Antiqua" w:eastAsia="Book Antiqua" w:hAnsi="Book Antiqua" w:cs="Book Antiqua"/>
          <w:b/>
          <w:bCs/>
          <w:i/>
          <w:iCs/>
          <w:color w:val="000000"/>
        </w:rPr>
        <w:t xml:space="preserve">Adjuvant </w:t>
      </w:r>
      <w:r w:rsidR="00DF5B7D" w:rsidRPr="00DF5B7D">
        <w:rPr>
          <w:rFonts w:ascii="Book Antiqua" w:eastAsia="Book Antiqua" w:hAnsi="Book Antiqua" w:cs="Book Antiqua"/>
          <w:b/>
          <w:bCs/>
          <w:i/>
          <w:iCs/>
          <w:color w:val="000000"/>
        </w:rPr>
        <w:t>t</w:t>
      </w:r>
      <w:r w:rsidRPr="00DF5B7D">
        <w:rPr>
          <w:rFonts w:ascii="Book Antiqua" w:eastAsia="Book Antiqua" w:hAnsi="Book Antiqua" w:cs="Book Antiqua"/>
          <w:b/>
          <w:bCs/>
          <w:i/>
          <w:iCs/>
          <w:color w:val="000000"/>
        </w:rPr>
        <w:t>herapy</w:t>
      </w:r>
    </w:p>
    <w:p w14:paraId="5791DDDA" w14:textId="5C17F13A" w:rsidR="00DF5B7D"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 addition to the mandatory surgical treatment in the management of TP, pharmacological therapy has great importance in mitigating the infectious process. Given the increasing prevalence of infections caused by multidrug-resistant organisms, studies have been evaluating the appropriate selection of antimicrobial drugs and the duration of treatment</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Resistance to multiple drugs is not exclusive to nosocomial pathogens</w:t>
      </w:r>
      <w:r w:rsidR="004B3E9A">
        <w:rPr>
          <w:rFonts w:ascii="Book Antiqua" w:eastAsia="Book Antiqua" w:hAnsi="Book Antiqua" w:cs="Book Antiqua"/>
          <w:color w:val="000000"/>
        </w:rPr>
        <w:t>;</w:t>
      </w:r>
      <w:r>
        <w:rPr>
          <w:rFonts w:ascii="Book Antiqua" w:eastAsia="Book Antiqua" w:hAnsi="Book Antiqua" w:cs="Book Antiqua"/>
          <w:color w:val="000000"/>
        </w:rPr>
        <w:t xml:space="preserve"> and, otherwise, it can also be seen in community-acquired infections, mainly by extended-spectrum beta-lactamase microorganisms. However, infections by pathogens from a hospital multidrug-resistant microbiota represent a greater challenge for the pharmacological approach in TP</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to be emphasized that the presence of risk factors related to the patient also leads to the prescription of more aggressive adjuvant therapies.</w:t>
      </w:r>
    </w:p>
    <w:p w14:paraId="3B28B819" w14:textId="399C7356"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Given the above, knowing the nosocomial microbiota is crucial to guide the spectrum of the adjuvant therapy. Multidrug-resistant bacteria can be both gram-positive or gram-negative microorganisms</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fungal infections in patients with TP can also be observed, with </w:t>
      </w:r>
      <w:r w:rsidRPr="0060154A">
        <w:rPr>
          <w:rFonts w:ascii="Book Antiqua" w:eastAsia="Book Antiqua" w:hAnsi="Book Antiqua" w:cs="Book Antiqua"/>
          <w:i/>
          <w:iCs/>
          <w:color w:val="000000"/>
        </w:rPr>
        <w:t>Candida albicans</w:t>
      </w:r>
      <w:r>
        <w:rPr>
          <w:rFonts w:ascii="Book Antiqua" w:eastAsia="Book Antiqua" w:hAnsi="Book Antiqua" w:cs="Book Antiqua"/>
          <w:color w:val="000000"/>
        </w:rPr>
        <w:t xml:space="preserve"> being the most commonly found pathogen, besides other opportunistic fungi.</w:t>
      </w:r>
    </w:p>
    <w:p w14:paraId="30056B25" w14:textId="3B68605F" w:rsidR="00DF5B7D"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Along with the growing number of infections caused by multidrug-resistant pathogens, new drugs and antibiotic schemes have been made available.</w:t>
      </w:r>
      <w:r w:rsidR="00DF5B7D">
        <w:rPr>
          <w:rFonts w:ascii="Book Antiqua" w:eastAsia="Book Antiqua" w:hAnsi="Book Antiqua" w:cs="Book Antiqua"/>
          <w:color w:val="000000"/>
        </w:rPr>
        <w:t xml:space="preserve"> </w:t>
      </w:r>
      <w:r>
        <w:rPr>
          <w:rFonts w:ascii="Book Antiqua" w:eastAsia="Book Antiqua" w:hAnsi="Book Antiqua" w:cs="Book Antiqua"/>
          <w:color w:val="000000"/>
        </w:rPr>
        <w:t>Among the new drugs and therapeutic combinations stand out some cephalosporins (ceftolozane and ceftazidime) associated with beta-lactamase inhibitors (tazobactam and avibactam) and fluorocyclines (eravacycline). However, their use should be carefully selected in order to prevent the development of bacterial resistance</w:t>
      </w:r>
      <w:r>
        <w:rPr>
          <w:rFonts w:ascii="Book Antiqua" w:eastAsia="Book Antiqua" w:hAnsi="Book Antiqua" w:cs="Book Antiqua"/>
          <w:color w:val="000000"/>
          <w:vertAlign w:val="superscript"/>
        </w:rPr>
        <w:t>[4</w:t>
      </w:r>
      <w:r w:rsidR="0084112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new options have been added to the widely used regimens against aerobic and anaerobic gram-negative bacilli such as meropenem, imipenem-cilastatin, doripenem, and piperacillin plus tazobactam, for individual use, and ceftazidime or cefepime associated with metronidazole if an infection by anaerobic microorganism is suspected</w:t>
      </w:r>
      <w:r>
        <w:rPr>
          <w:rFonts w:ascii="Book Antiqua" w:eastAsia="Book Antiqua" w:hAnsi="Book Antiqua" w:cs="Book Antiqua"/>
          <w:color w:val="000000"/>
          <w:vertAlign w:val="superscript"/>
        </w:rPr>
        <w:t>[4</w:t>
      </w:r>
      <w:r w:rsidR="0084112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antienterococcal antibiotics are recommended in empirical schemes for patients with nosocomial </w:t>
      </w:r>
      <w:r w:rsidR="00125109">
        <w:rPr>
          <w:rFonts w:ascii="Book Antiqua" w:eastAsia="Book Antiqua" w:hAnsi="Book Antiqua" w:cs="Book Antiqua"/>
          <w:color w:val="000000"/>
        </w:rPr>
        <w:t>IAI</w:t>
      </w:r>
      <w:r>
        <w:rPr>
          <w:rFonts w:ascii="Book Antiqua" w:eastAsia="Book Antiqua" w:hAnsi="Book Antiqua" w:cs="Book Antiqua"/>
          <w:color w:val="000000"/>
        </w:rPr>
        <w:t xml:space="preserve">s, especially those with postoperative infections who were previously treated with cephalosporins. In this scenario, ampicillin or vancomycin can be added for </w:t>
      </w:r>
      <w:r>
        <w:rPr>
          <w:rFonts w:ascii="Book Antiqua" w:eastAsia="Book Antiqua" w:hAnsi="Book Antiqua" w:cs="Book Antiqua"/>
          <w:color w:val="000000"/>
        </w:rPr>
        <w:lastRenderedPageBreak/>
        <w:t>enterococcal coverage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IAI cases with a documented infection by </w:t>
      </w:r>
      <w:r w:rsidR="00D719B1" w:rsidRPr="00D719B1">
        <w:rPr>
          <w:rFonts w:ascii="Book Antiqua" w:hAnsi="Book Antiqua"/>
        </w:rPr>
        <w:t xml:space="preserve">methicillin-resistant </w:t>
      </w:r>
      <w:r w:rsidR="00D719B1" w:rsidRPr="00D719B1">
        <w:rPr>
          <w:rFonts w:ascii="Book Antiqua" w:hAnsi="Book Antiqua"/>
          <w:i/>
          <w:iCs/>
        </w:rPr>
        <w:t>Staphylococcus aureus</w:t>
      </w:r>
      <w:r>
        <w:rPr>
          <w:rFonts w:ascii="Book Antiqua" w:eastAsia="Book Antiqua" w:hAnsi="Book Antiqua" w:cs="Book Antiqua"/>
          <w:color w:val="000000"/>
        </w:rPr>
        <w:t xml:space="preserve"> or an increased risk of colonization by this pathogen due to failure of previous treatment and previous exposure to various antibiotics, an empirical antimicrobial scheme including vancomycin should be instituted</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Furthermore, echinocandins were shown to be superior to other drugs in controlling peritonitis by </w:t>
      </w:r>
      <w:r w:rsidRPr="00AA3994">
        <w:rPr>
          <w:rFonts w:ascii="Book Antiqua" w:eastAsia="Book Antiqua" w:hAnsi="Book Antiqua" w:cs="Book Antiqua"/>
          <w:i/>
          <w:iCs/>
          <w:color w:val="000000"/>
        </w:rPr>
        <w:t>Candida spp</w:t>
      </w:r>
      <w:r>
        <w:rPr>
          <w:rFonts w:ascii="Book Antiqua" w:eastAsia="Book Antiqua" w:hAnsi="Book Antiqua" w:cs="Book Antiqua"/>
          <w:color w:val="000000"/>
        </w:rPr>
        <w:t xml:space="preserve"> in critical patients, whereas the use of azoles is indicated in patients in clinical remission</w:t>
      </w:r>
      <w:r>
        <w:rPr>
          <w:rFonts w:ascii="Book Antiqua" w:eastAsia="Book Antiqua" w:hAnsi="Book Antiqua" w:cs="Book Antiqua"/>
          <w:color w:val="000000"/>
          <w:vertAlign w:val="superscript"/>
        </w:rPr>
        <w:t>[4</w:t>
      </w:r>
      <w:r w:rsidR="00841125">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4C8116" w14:textId="7EFC9998" w:rsidR="00A77B3E" w:rsidRDefault="007159E5" w:rsidP="00DF5B7D">
      <w:pPr>
        <w:spacing w:line="360" w:lineRule="auto"/>
        <w:ind w:firstLineChars="100" w:firstLine="240"/>
        <w:jc w:val="both"/>
      </w:pPr>
      <w:r>
        <w:rPr>
          <w:rFonts w:ascii="Book Antiqua" w:eastAsia="Book Antiqua" w:hAnsi="Book Antiqua" w:cs="Book Antiqua"/>
          <w:color w:val="000000"/>
        </w:rPr>
        <w:t>Furthermore, the duration of antimicrobial therapies directly influences the development of multidrug-resistant organisms. Moreover, a series of studies conducted in countries such as France and the United States (STOP-IT 2015) observed no benefit with the use of prolonged antimicrobial therapy for the control of the infectious focus in patients with peritonitis</w:t>
      </w:r>
      <w:r w:rsidR="00841125" w:rsidRPr="0056323B">
        <w:rPr>
          <w:rFonts w:ascii="Book Antiqua" w:eastAsia="Times New Roman" w:hAnsi="Book Antiqua"/>
          <w:color w:val="212121"/>
          <w:shd w:val="clear" w:color="auto" w:fill="FFFFFF"/>
          <w:vertAlign w:val="superscript"/>
          <w:lang w:eastAsia="pt-BR"/>
        </w:rPr>
        <w:t>[</w:t>
      </w:r>
      <w:r w:rsidR="00841125" w:rsidRPr="00753AF3">
        <w:rPr>
          <w:rFonts w:ascii="Book Antiqua" w:eastAsia="Times New Roman" w:hAnsi="Book Antiqua"/>
          <w:color w:val="212121"/>
          <w:shd w:val="clear" w:color="auto" w:fill="FFFFFF"/>
          <w:vertAlign w:val="superscript"/>
          <w:lang w:eastAsia="pt-BR"/>
        </w:rPr>
        <w:t>4</w:t>
      </w:r>
      <w:r w:rsidR="00841125">
        <w:rPr>
          <w:rFonts w:ascii="Book Antiqua" w:eastAsia="Times New Roman" w:hAnsi="Book Antiqua"/>
          <w:color w:val="212121"/>
          <w:shd w:val="clear" w:color="auto" w:fill="FFFFFF"/>
          <w:vertAlign w:val="superscript"/>
          <w:lang w:eastAsia="pt-BR"/>
        </w:rPr>
        <w:t>3,44]</w:t>
      </w:r>
      <w:r>
        <w:rPr>
          <w:rFonts w:ascii="Book Antiqua" w:eastAsia="Book Antiqua" w:hAnsi="Book Antiqua" w:cs="Book Antiqua"/>
          <w:color w:val="000000"/>
        </w:rPr>
        <w:t>. The most updated guidelines of the Surgical Infection Society indicate the use of antibiotics for no more than 96 h in patients with a controlled infectious focus. On the other hand, patients who have not undergone a procedure aiming for the definitive control of the infectious focus should have their therapy extended for 5-7 d</w:t>
      </w:r>
      <w:r w:rsidR="00DF5B7D">
        <w:rPr>
          <w:rFonts w:ascii="Book Antiqua" w:eastAsia="Book Antiqua" w:hAnsi="Book Antiqua" w:cs="Book Antiqua"/>
          <w:color w:val="000000"/>
        </w:rPr>
        <w:t xml:space="preserve"> </w:t>
      </w:r>
      <w:r>
        <w:rPr>
          <w:rFonts w:ascii="Book Antiqua" w:eastAsia="Book Antiqua" w:hAnsi="Book Antiqua" w:cs="Book Antiqua"/>
          <w:color w:val="000000"/>
        </w:rPr>
        <w:t>(Table 1)</w:t>
      </w:r>
      <w:r>
        <w:rPr>
          <w:rFonts w:ascii="Book Antiqua" w:eastAsia="Book Antiqua" w:hAnsi="Book Antiqua" w:cs="Book Antiqua"/>
          <w:color w:val="000000"/>
          <w:vertAlign w:val="superscript"/>
        </w:rPr>
        <w:t>[</w:t>
      </w:r>
      <w:r w:rsidR="00841125">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00EC94" w14:textId="77777777" w:rsidR="00A77B3E" w:rsidRDefault="00A77B3E">
      <w:pPr>
        <w:spacing w:line="360" w:lineRule="auto"/>
        <w:jc w:val="both"/>
      </w:pPr>
    </w:p>
    <w:p w14:paraId="7E80BD75" w14:textId="77777777" w:rsidR="00A77B3E" w:rsidRDefault="007159E5">
      <w:pPr>
        <w:spacing w:line="360" w:lineRule="auto"/>
        <w:jc w:val="both"/>
      </w:pPr>
      <w:r>
        <w:rPr>
          <w:rFonts w:ascii="Book Antiqua" w:eastAsia="Book Antiqua" w:hAnsi="Book Antiqua" w:cs="Book Antiqua"/>
          <w:b/>
          <w:bCs/>
          <w:caps/>
          <w:color w:val="000000"/>
          <w:u w:val="single"/>
        </w:rPr>
        <w:t>CLINICAL COMPLICATIONS, PROGNOSIS, AND RISK FACTORS</w:t>
      </w:r>
    </w:p>
    <w:p w14:paraId="390DA007" w14:textId="3B9D5DB2" w:rsidR="00DF5B7D"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Since late diagnosis increases the likelihood of negative outcomes in TP, it is a condition that requires great attention from the medical team. This disease should not be ignored and requires effective and targeted treatment according to the clinical characteristics of each patient in order to avoid clinical complications</w:t>
      </w:r>
      <w:r>
        <w:rPr>
          <w:rFonts w:ascii="Book Antiqua" w:eastAsia="Book Antiqua" w:hAnsi="Book Antiqua" w:cs="Book Antiqua"/>
          <w:color w:val="000000"/>
          <w:vertAlign w:val="superscript"/>
        </w:rPr>
        <w:t>[</w:t>
      </w:r>
      <w:r w:rsidR="00DF5B7D">
        <w:rPr>
          <w:rFonts w:ascii="Book Antiqua" w:eastAsia="Book Antiqua" w:hAnsi="Book Antiqua" w:cs="Book Antiqua"/>
          <w:color w:val="000000"/>
          <w:vertAlign w:val="superscript"/>
        </w:rPr>
        <w:t>2,</w:t>
      </w:r>
      <w:r w:rsidR="00841125" w:rsidRPr="00AA37B5">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CEB4C11" w14:textId="4CCFD7CA" w:rsidR="00C06BA8"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zCs w:val="22"/>
        </w:rPr>
        <w:t xml:space="preserve">Some independent factors can increase mortality in TP patients, such as advanced age </w:t>
      </w:r>
      <w:r w:rsidR="00DF5B7D">
        <w:rPr>
          <w:rFonts w:ascii="Book Antiqua" w:eastAsia="Book Antiqua" w:hAnsi="Book Antiqua" w:cs="Book Antiqua"/>
          <w:color w:val="000000"/>
          <w:szCs w:val="22"/>
        </w:rPr>
        <w:t>[</w:t>
      </w:r>
      <w:bookmarkStart w:id="2" w:name="_Hlk50367577"/>
      <w:r w:rsidR="00DF5B7D" w:rsidRPr="00616F4C">
        <w:rPr>
          <w:rFonts w:ascii="Book Antiqua" w:eastAsia="Malgun Gothic" w:hAnsi="Book Antiqua"/>
        </w:rPr>
        <w:t>odds ratio</w:t>
      </w:r>
      <w:bookmarkEnd w:id="2"/>
      <w:r w:rsidR="00DF5B7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1.06, 95%</w:t>
      </w:r>
      <w:r w:rsidR="00DF5B7D">
        <w:rPr>
          <w:rFonts w:ascii="Book Antiqua" w:eastAsia="Book Antiqua" w:hAnsi="Book Antiqua" w:cs="Book Antiqua"/>
          <w:color w:val="000000"/>
          <w:szCs w:val="22"/>
        </w:rPr>
        <w:t xml:space="preserve"> </w:t>
      </w:r>
      <w:bookmarkStart w:id="3" w:name="_Hlk58003882"/>
      <w:r w:rsidR="00DF5B7D" w:rsidRPr="00616F4C">
        <w:rPr>
          <w:rFonts w:ascii="Book Antiqua" w:eastAsia="Malgun Gothic" w:hAnsi="Book Antiqua"/>
        </w:rPr>
        <w:t>confidence interval</w:t>
      </w:r>
      <w:bookmarkEnd w:id="3"/>
      <w:r w:rsidR="00DF5B7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DF5B7D">
        <w:rPr>
          <w:rFonts w:ascii="Book Antiqua" w:eastAsia="Book Antiqua" w:hAnsi="Book Antiqua" w:cs="Book Antiqua"/>
          <w:color w:val="000000"/>
          <w:szCs w:val="22"/>
        </w:rPr>
        <w:t>)</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1.1, </w:t>
      </w:r>
      <w:r w:rsidR="00DF5B7D" w:rsidRPr="00DF5B7D">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cerebrovascular disease (OR: 4.3,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1.40</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malignant disease (OR: 2.9,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1.3</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hemodialysis dependence (OR: 3.8,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1.3</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11.2,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and liver disease (OR: 4.2, 95%CI</w:t>
      </w:r>
      <w:r w:rsidR="006B4C1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1.6</w:t>
      </w:r>
      <w:r w:rsidR="00DF5B7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15.1,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0.03)</w:t>
      </w:r>
      <w:r>
        <w:rPr>
          <w:rFonts w:ascii="Book Antiqua" w:eastAsia="Book Antiqua" w:hAnsi="Book Antiqua" w:cs="Book Antiqua"/>
          <w:color w:val="000000"/>
          <w:vertAlign w:val="superscript"/>
        </w:rPr>
        <w:t>[2,2</w:t>
      </w:r>
      <w:r w:rsidR="00841125">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Individuals with TP have higher rates of multiple organ failure and a higher mortality rate than patients with SP</w:t>
      </w:r>
      <w:r w:rsidR="00841125" w:rsidRPr="003960C1">
        <w:rPr>
          <w:rFonts w:ascii="Book Antiqua" w:eastAsia="Times New Roman" w:hAnsi="Book Antiqua"/>
          <w:color w:val="000000"/>
          <w:vertAlign w:val="superscript"/>
          <w:lang w:eastAsia="pt-BR"/>
        </w:rPr>
        <w:t>[</w:t>
      </w:r>
      <w:r w:rsidR="00AA37B5">
        <w:rPr>
          <w:rFonts w:ascii="Book Antiqua" w:eastAsia="Times New Roman" w:hAnsi="Book Antiqua"/>
          <w:color w:val="000000"/>
          <w:vertAlign w:val="superscript"/>
          <w:lang w:eastAsia="pt-BR"/>
        </w:rPr>
        <w:t>1,7,</w:t>
      </w:r>
      <w:r w:rsidR="00841125" w:rsidRPr="003960C1">
        <w:rPr>
          <w:rFonts w:ascii="Book Antiqua" w:eastAsia="Times New Roman" w:hAnsi="Book Antiqua"/>
          <w:color w:val="000000"/>
          <w:vertAlign w:val="superscript"/>
          <w:lang w:eastAsia="pt-BR"/>
        </w:rPr>
        <w:t>2</w:t>
      </w:r>
      <w:r w:rsidR="00841125">
        <w:rPr>
          <w:rFonts w:ascii="Book Antiqua" w:eastAsia="Times New Roman" w:hAnsi="Book Antiqua"/>
          <w:color w:val="000000"/>
          <w:vertAlign w:val="superscript"/>
          <w:lang w:eastAsia="pt-BR"/>
        </w:rPr>
        <w:t>1</w:t>
      </w:r>
      <w:r w:rsidR="00841125" w:rsidRPr="003960C1">
        <w:rPr>
          <w:rFonts w:ascii="Book Antiqua" w:eastAsia="Times New Roman" w:hAnsi="Book Antiqua"/>
          <w:color w:val="000000"/>
          <w:vertAlign w:val="superscript"/>
          <w:lang w:eastAsia="pt-BR"/>
        </w:rPr>
        <w:t>,</w:t>
      </w:r>
      <w:r w:rsidR="00841125">
        <w:rPr>
          <w:rFonts w:ascii="Book Antiqua" w:eastAsia="Times New Roman" w:hAnsi="Book Antiqua"/>
          <w:color w:val="000000"/>
          <w:vertAlign w:val="superscript"/>
          <w:lang w:eastAsia="pt-BR"/>
        </w:rPr>
        <w:t>47</w:t>
      </w:r>
      <w:r w:rsidR="00841125" w:rsidRPr="003960C1">
        <w:rPr>
          <w:rFonts w:ascii="Book Antiqua" w:eastAsia="Times New Roman" w:hAnsi="Book Antiqua"/>
          <w:color w:val="000000"/>
          <w:vertAlign w:val="superscript"/>
          <w:lang w:eastAsia="pt-BR"/>
        </w:rPr>
        <w:t>]</w:t>
      </w:r>
      <w:r>
        <w:rPr>
          <w:rFonts w:ascii="Book Antiqua" w:eastAsia="Book Antiqua" w:hAnsi="Book Antiqua" w:cs="Book Antiqua"/>
          <w:color w:val="000000"/>
        </w:rPr>
        <w:t xml:space="preserve">. A recent study by Ballus </w:t>
      </w:r>
      <w:r>
        <w:rPr>
          <w:rFonts w:ascii="Book Antiqua" w:eastAsia="Book Antiqua" w:hAnsi="Book Antiqua" w:cs="Book Antiqua"/>
          <w:i/>
          <w:iCs/>
          <w:color w:val="000000"/>
          <w:szCs w:val="22"/>
        </w:rPr>
        <w:t>et al</w:t>
      </w:r>
      <w:r w:rsidR="00DF5B7D">
        <w:rPr>
          <w:rFonts w:ascii="Book Antiqua" w:eastAsia="Book Antiqua" w:hAnsi="Book Antiqua" w:cs="Book Antiqua"/>
          <w:color w:val="000000"/>
          <w:vertAlign w:val="superscript"/>
        </w:rPr>
        <w:t>[4</w:t>
      </w:r>
      <w:r w:rsidR="00AA37B5">
        <w:rPr>
          <w:rFonts w:ascii="Book Antiqua" w:eastAsia="Book Antiqua" w:hAnsi="Book Antiqua" w:cs="Book Antiqua"/>
          <w:color w:val="000000"/>
          <w:vertAlign w:val="superscript"/>
        </w:rPr>
        <w:t>8</w:t>
      </w:r>
      <w:r w:rsidR="00DF5B7D">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assessed 343 patients with peritonitis who underwent abdominal </w:t>
      </w:r>
      <w:r>
        <w:rPr>
          <w:rFonts w:ascii="Book Antiqua" w:eastAsia="Book Antiqua" w:hAnsi="Book Antiqua" w:cs="Book Antiqua"/>
          <w:color w:val="000000"/>
          <w:szCs w:val="22"/>
        </w:rPr>
        <w:lastRenderedPageBreak/>
        <w:t>surgery. Among them, 185 progressed to TP, from which 48% (</w:t>
      </w:r>
      <w:r w:rsidRPr="0060154A">
        <w:rPr>
          <w:rFonts w:ascii="Book Antiqua" w:eastAsia="Book Antiqua" w:hAnsi="Book Antiqua" w:cs="Book Antiqua"/>
          <w:color w:val="000000"/>
          <w:szCs w:val="22"/>
        </w:rPr>
        <w:t>n</w:t>
      </w:r>
      <w:r w:rsidRPr="00D052A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 90,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0.02) died. Besides, patients with TP are at a higher risk of developing severe sepsis/septic shock</w:t>
      </w:r>
      <w:r>
        <w:rPr>
          <w:rFonts w:ascii="Book Antiqua" w:eastAsia="Book Antiqua" w:hAnsi="Book Antiqua" w:cs="Book Antiqua"/>
          <w:color w:val="000000"/>
          <w:vertAlign w:val="superscript"/>
        </w:rPr>
        <w:t>[</w:t>
      </w:r>
      <w:r w:rsidR="00841125" w:rsidRPr="00AA37B5">
        <w:rPr>
          <w:rFonts w:ascii="Book Antiqua" w:eastAsia="Book Antiqua" w:hAnsi="Book Antiqua" w:cs="Book Antiqua"/>
          <w:color w:val="000000"/>
          <w:vertAlign w:val="superscript"/>
        </w:rPr>
        <w:t>48</w:t>
      </w:r>
      <w:r w:rsidRPr="00AA37B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782FFE" w14:textId="2E45FB86" w:rsidR="00C06BA8"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Among other characteristics associated with a poorer prognosis stand out delayed intervention, inability to obtain satisfactory surgical control, immunosuppression, organ dysfunction, severe peritoneal involvement or diffuse peritonitis, hypoalbuminemia, and low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72CE740" w14:textId="2794E183" w:rsidR="00C06BA8" w:rsidRDefault="007159E5" w:rsidP="00DF5B7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ICU admission itself predisposes the occurrence of certain infections due to the mechanisms used in the treatment of the patient. In this sense, it is not uncommon to observe cases of pneumonia associated with artificial respiration, contamination through central venous access, or urinary tract infection due to vesical catheterization</w:t>
      </w:r>
      <w:r w:rsidR="00841125" w:rsidRPr="00753AF3">
        <w:rPr>
          <w:rFonts w:ascii="Book Antiqua" w:eastAsia="Times New Roman" w:hAnsi="Book Antiqua"/>
          <w:color w:val="000000"/>
          <w:vertAlign w:val="superscript"/>
          <w:lang w:eastAsia="pt-BR"/>
        </w:rPr>
        <w:t>[2</w:t>
      </w:r>
      <w:r w:rsidR="00841125">
        <w:rPr>
          <w:rFonts w:ascii="Book Antiqua" w:eastAsia="Times New Roman" w:hAnsi="Book Antiqua"/>
          <w:color w:val="000000"/>
          <w:vertAlign w:val="superscript"/>
          <w:lang w:eastAsia="pt-BR"/>
        </w:rPr>
        <w:t>6</w:t>
      </w:r>
      <w:r w:rsidR="00841125" w:rsidRPr="00753AF3">
        <w:rPr>
          <w:rFonts w:ascii="Book Antiqua" w:eastAsia="Times New Roman" w:hAnsi="Book Antiqua"/>
          <w:color w:val="000000"/>
          <w:vertAlign w:val="superscript"/>
          <w:lang w:eastAsia="pt-BR"/>
        </w:rPr>
        <w:t>,</w:t>
      </w:r>
      <w:r w:rsidR="00841125">
        <w:rPr>
          <w:rFonts w:ascii="Book Antiqua" w:eastAsia="Times New Roman" w:hAnsi="Book Antiqua"/>
          <w:color w:val="000000"/>
          <w:vertAlign w:val="superscript"/>
          <w:lang w:eastAsia="pt-BR"/>
        </w:rPr>
        <w:t>45</w:t>
      </w:r>
      <w:r w:rsidR="00841125" w:rsidRPr="00753AF3">
        <w:rPr>
          <w:rFonts w:ascii="Book Antiqua" w:eastAsia="Times New Roman" w:hAnsi="Book Antiqua"/>
          <w:color w:val="000000"/>
          <w:vertAlign w:val="superscript"/>
          <w:lang w:eastAsia="pt-BR"/>
        </w:rPr>
        <w:t>]</w:t>
      </w:r>
      <w:r>
        <w:rPr>
          <w:rFonts w:ascii="Book Antiqua" w:eastAsia="Book Antiqua" w:hAnsi="Book Antiqua" w:cs="Book Antiqua"/>
          <w:color w:val="000000"/>
        </w:rPr>
        <w:t>. Therefore, patients with TP are at an increased risk of acquiring additional infections since their period of stay in the ICU tends to be longer than individuals with SP (21.8 ± 14.9</w:t>
      </w:r>
      <w:r w:rsidR="00C06BA8" w:rsidRPr="00C06BA8">
        <w:rPr>
          <w:rFonts w:ascii="Book Antiqua" w:eastAsia="Book Antiqua" w:hAnsi="Book Antiqua" w:cs="Book Antiqua"/>
          <w:color w:val="000000"/>
        </w:rPr>
        <w:t xml:space="preserve"> </w:t>
      </w:r>
      <w:r w:rsidR="00C06BA8">
        <w:rPr>
          <w:rFonts w:ascii="Book Antiqua" w:eastAsia="Book Antiqua" w:hAnsi="Book Antiqua" w:cs="Book Antiqua"/>
          <w:color w:val="000000"/>
        </w:rPr>
        <w:t>d</w:t>
      </w:r>
      <w:r>
        <w:rPr>
          <w:rFonts w:ascii="Book Antiqua" w:eastAsia="Book Antiqua" w:hAnsi="Book Antiqua" w:cs="Book Antiqua"/>
          <w:color w:val="000000"/>
        </w:rPr>
        <w:t xml:space="preserve"> </w:t>
      </w:r>
      <w:r w:rsidRPr="00C06BA8">
        <w:rPr>
          <w:rFonts w:ascii="Book Antiqua" w:eastAsia="Book Antiqua" w:hAnsi="Book Antiqua" w:cs="Book Antiqua"/>
          <w:i/>
          <w:iCs/>
          <w:color w:val="000000"/>
        </w:rPr>
        <w:t>vs</w:t>
      </w:r>
      <w:r w:rsidR="00C06BA8">
        <w:rPr>
          <w:rFonts w:ascii="Book Antiqua" w:eastAsia="Book Antiqua" w:hAnsi="Book Antiqua" w:cs="Book Antiqua"/>
          <w:color w:val="000000"/>
        </w:rPr>
        <w:t xml:space="preserve"> </w:t>
      </w:r>
      <w:r>
        <w:rPr>
          <w:rFonts w:ascii="Book Antiqua" w:eastAsia="Book Antiqua" w:hAnsi="Book Antiqua" w:cs="Book Antiqua"/>
          <w:color w:val="000000"/>
        </w:rPr>
        <w:t>8.5 ± 7.9 d)</w:t>
      </w:r>
      <w:r>
        <w:rPr>
          <w:rFonts w:ascii="Book Antiqua" w:eastAsia="Book Antiqua" w:hAnsi="Book Antiqua" w:cs="Book Antiqua"/>
          <w:color w:val="000000"/>
          <w:vertAlign w:val="superscript"/>
        </w:rPr>
        <w:t>[1</w:t>
      </w:r>
      <w:r w:rsidR="00841125">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Bacterial resistance is another point that makes recovery difficult and increases the severity of the condition and the length of hospital stay</w:t>
      </w:r>
      <w:r>
        <w:rPr>
          <w:rFonts w:ascii="Book Antiqua" w:eastAsia="Book Antiqua" w:hAnsi="Book Antiqua" w:cs="Book Antiqua"/>
          <w:color w:val="000000"/>
          <w:vertAlign w:val="superscript"/>
        </w:rPr>
        <w:t>[</w:t>
      </w:r>
      <w:r w:rsidR="00841125" w:rsidRPr="00AA37B5">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BF12D96" w14:textId="4DCF0371" w:rsidR="00A77B3E" w:rsidRDefault="007159E5" w:rsidP="00DF5B7D">
      <w:pPr>
        <w:spacing w:line="360" w:lineRule="auto"/>
        <w:ind w:firstLineChars="100" w:firstLine="240"/>
        <w:jc w:val="both"/>
      </w:pPr>
      <w:r>
        <w:rPr>
          <w:rFonts w:ascii="Book Antiqua" w:eastAsia="Book Antiqua" w:hAnsi="Book Antiqua" w:cs="Book Antiqua"/>
          <w:color w:val="000000"/>
          <w:szCs w:val="22"/>
        </w:rPr>
        <w:t xml:space="preserve">The aforementioned study by Ballus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A37B5">
        <w:rPr>
          <w:rFonts w:ascii="Book Antiqua" w:eastAsia="Book Antiqua" w:hAnsi="Book Antiqua" w:cs="Book Antiqua"/>
          <w:color w:val="000000"/>
          <w:vertAlign w:val="superscript"/>
        </w:rPr>
        <w:t>[</w:t>
      </w:r>
      <w:proofErr w:type="gramEnd"/>
      <w:r w:rsidR="00AA37B5" w:rsidRPr="00AA37B5">
        <w:rPr>
          <w:rFonts w:ascii="Book Antiqua" w:eastAsia="Book Antiqua" w:hAnsi="Book Antiqua" w:cs="Book Antiqua"/>
          <w:color w:val="000000"/>
          <w:vertAlign w:val="superscript"/>
        </w:rPr>
        <w:t>48</w:t>
      </w:r>
      <w:r w:rsidR="00AA37B5">
        <w:rPr>
          <w:rFonts w:ascii="Book Antiqua" w:eastAsia="Book Antiqua" w:hAnsi="Book Antiqua" w:cs="Book Antiqua"/>
          <w:color w:val="000000"/>
          <w:vertAlign w:val="superscript"/>
        </w:rPr>
        <w:t>]</w:t>
      </w:r>
      <w:r>
        <w:rPr>
          <w:rFonts w:ascii="Book Antiqua" w:eastAsia="Book Antiqua" w:hAnsi="Book Antiqua" w:cs="Book Antiqua"/>
          <w:color w:val="000000"/>
          <w:szCs w:val="22"/>
        </w:rPr>
        <w:t xml:space="preserve"> found that some factors may contribute to the development of TP in ill individuals, such as a long stay in ICU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the necessity of urgen</w:t>
      </w:r>
      <w:r w:rsidR="00D052AA">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 surgery in hospital admission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 the use of parenteral nutrition in ICU patients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and initial infection in the stomach or duodenal sites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0.011). On the other hand, patients who had localized peritonitis at ICU admission had lower chances of developing TP (</w:t>
      </w:r>
      <w:r>
        <w:rPr>
          <w:rFonts w:ascii="Book Antiqua" w:eastAsia="Book Antiqua" w:hAnsi="Book Antiqua" w:cs="Book Antiqua"/>
          <w:i/>
          <w:iCs/>
          <w:color w:val="000000"/>
          <w:szCs w:val="22"/>
        </w:rPr>
        <w:t>P</w:t>
      </w:r>
      <w:r>
        <w:rPr>
          <w:rFonts w:ascii="Book Antiqua" w:eastAsia="Book Antiqua" w:hAnsi="Book Antiqua" w:cs="Book Antiqua"/>
          <w:color w:val="000000"/>
        </w:rPr>
        <w:t xml:space="preserve"> = 0.001).</w:t>
      </w:r>
    </w:p>
    <w:p w14:paraId="5E6EA58A" w14:textId="77777777" w:rsidR="00A77B3E" w:rsidRDefault="00A77B3E">
      <w:pPr>
        <w:spacing w:line="360" w:lineRule="auto"/>
        <w:jc w:val="both"/>
      </w:pPr>
    </w:p>
    <w:p w14:paraId="55D17500" w14:textId="77777777" w:rsidR="00A77B3E" w:rsidRDefault="007159E5">
      <w:pPr>
        <w:spacing w:line="360" w:lineRule="auto"/>
        <w:jc w:val="both"/>
      </w:pPr>
      <w:r>
        <w:rPr>
          <w:rFonts w:ascii="Book Antiqua" w:eastAsia="Book Antiqua" w:hAnsi="Book Antiqua" w:cs="Book Antiqua"/>
          <w:b/>
          <w:caps/>
          <w:color w:val="000000"/>
          <w:u w:val="single"/>
        </w:rPr>
        <w:t>CONCLUSION</w:t>
      </w:r>
    </w:p>
    <w:p w14:paraId="5F8260FB" w14:textId="3F2AB0A3" w:rsidR="00A77B3E" w:rsidRDefault="007159E5">
      <w:pPr>
        <w:spacing w:line="360" w:lineRule="auto"/>
        <w:jc w:val="both"/>
      </w:pPr>
      <w:r>
        <w:rPr>
          <w:rFonts w:ascii="Book Antiqua" w:eastAsia="Book Antiqua" w:hAnsi="Book Antiqua" w:cs="Book Antiqua"/>
          <w:color w:val="000000"/>
          <w:shd w:val="clear" w:color="auto" w:fill="FFFFFF"/>
        </w:rPr>
        <w:t>Although advances have been achieved in</w:t>
      </w:r>
      <w:r w:rsidR="00D052AA">
        <w:rPr>
          <w:rFonts w:ascii="Book Antiqua" w:eastAsia="Book Antiqua" w:hAnsi="Book Antiqua" w:cs="Book Antiqua"/>
          <w:color w:val="000000"/>
          <w:shd w:val="clear" w:color="auto" w:fill="FFFFFF"/>
        </w:rPr>
        <w:t xml:space="preserve"> our</w:t>
      </w:r>
      <w:r>
        <w:rPr>
          <w:rFonts w:ascii="Book Antiqua" w:eastAsia="Book Antiqua" w:hAnsi="Book Antiqua" w:cs="Book Antiqua"/>
          <w:color w:val="000000"/>
          <w:shd w:val="clear" w:color="auto" w:fill="FFFFFF"/>
        </w:rPr>
        <w:t xml:space="preserve"> knowledge </w:t>
      </w:r>
      <w:r w:rsidR="00D052AA">
        <w:rPr>
          <w:rFonts w:ascii="Book Antiqua" w:eastAsia="Book Antiqua" w:hAnsi="Book Antiqua" w:cs="Book Antiqua"/>
          <w:color w:val="000000"/>
          <w:shd w:val="clear" w:color="auto" w:fill="FFFFFF"/>
        </w:rPr>
        <w:t>of</w:t>
      </w:r>
      <w:r>
        <w:rPr>
          <w:rFonts w:ascii="Book Antiqua" w:eastAsia="Book Antiqua" w:hAnsi="Book Antiqua" w:cs="Book Antiqua"/>
          <w:color w:val="000000"/>
          <w:shd w:val="clear" w:color="auto" w:fill="FFFFFF"/>
        </w:rPr>
        <w:t xml:space="preserve"> TP, much has to be done aiming for a better understanding of this condition. Unfortunately, this review evidences a limited number of current studies on that condition. In this sense, given the high complexity of TP and the absence of a meaningful reduction in its mortality rates throughout the years, it has to be emphasized the importance of conducting original </w:t>
      </w:r>
      <w:r>
        <w:rPr>
          <w:rFonts w:ascii="Book Antiqua" w:eastAsia="Book Antiqua" w:hAnsi="Book Antiqua" w:cs="Book Antiqua"/>
          <w:color w:val="000000"/>
          <w:shd w:val="clear" w:color="auto" w:fill="FFFFFF"/>
        </w:rPr>
        <w:lastRenderedPageBreak/>
        <w:t>studies that aim for a better comprehension of the condition and for improvements in its management. Of note, an effective diagnosis is essential for an appropriate and rapid therapy, which should include both procedural approaches aiming for the definitive control of the infectious focus and the use of antimicrobial drugs, leading to a lower frequency of complications and unfavorable outcomes.</w:t>
      </w:r>
    </w:p>
    <w:p w14:paraId="27CF712D" w14:textId="77777777" w:rsidR="00A77B3E" w:rsidRDefault="00A77B3E">
      <w:pPr>
        <w:spacing w:line="360" w:lineRule="auto"/>
        <w:jc w:val="both"/>
      </w:pPr>
    </w:p>
    <w:p w14:paraId="5C3585B7" w14:textId="77777777" w:rsidR="00A77B3E" w:rsidRDefault="007159E5">
      <w:pPr>
        <w:spacing w:line="360" w:lineRule="auto"/>
        <w:jc w:val="both"/>
      </w:pPr>
      <w:r>
        <w:rPr>
          <w:rFonts w:ascii="Book Antiqua" w:eastAsia="Book Antiqua" w:hAnsi="Book Antiqua" w:cs="Book Antiqua"/>
          <w:b/>
          <w:color w:val="000000"/>
        </w:rPr>
        <w:t>REFERENCES</w:t>
      </w:r>
    </w:p>
    <w:p w14:paraId="0C57AA6E" w14:textId="77777777" w:rsidR="00A77B3E" w:rsidRDefault="007159E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Weiss G</w:t>
      </w:r>
      <w:r>
        <w:rPr>
          <w:rFonts w:ascii="Book Antiqua" w:eastAsia="Book Antiqua" w:hAnsi="Book Antiqua" w:cs="Book Antiqua"/>
          <w:color w:val="000000"/>
        </w:rPr>
        <w:t xml:space="preserve">, Steffanie W, Lippert H. [Peritonitis: main reason of severe sepsis in surgical intensive care]. </w:t>
      </w:r>
      <w:proofErr w:type="spellStart"/>
      <w:r>
        <w:rPr>
          <w:rFonts w:ascii="Book Antiqua" w:eastAsia="Book Antiqua" w:hAnsi="Book Antiqua" w:cs="Book Antiqua"/>
          <w:i/>
          <w:iCs/>
          <w:color w:val="000000"/>
        </w:rPr>
        <w:t>Zentralbl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130-137 [PMID: 17516319 DOI: 10.1055/s-2006-960478]</w:t>
      </w:r>
    </w:p>
    <w:p w14:paraId="1A31F57C" w14:textId="77777777" w:rsidR="00A77B3E" w:rsidRPr="00AA37B5" w:rsidRDefault="007159E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Evans HL</w:t>
      </w:r>
      <w:r>
        <w:rPr>
          <w:rFonts w:ascii="Book Antiqua" w:eastAsia="Book Antiqua" w:hAnsi="Book Antiqua" w:cs="Book Antiqua"/>
          <w:color w:val="000000"/>
        </w:rPr>
        <w:t xml:space="preserve">, Raymond DP, Pelletier SJ, Crabtree TD, Pruett TL, Sawyer RG. Tertiary peritonitis (recurrent diffuse or localized disease) is not an independent predictor of mortality in surgical patients with intraabdominal infection. </w:t>
      </w:r>
      <w:r w:rsidRPr="00AA37B5">
        <w:rPr>
          <w:rFonts w:ascii="Book Antiqua" w:eastAsia="Book Antiqua" w:hAnsi="Book Antiqua" w:cs="Book Antiqua"/>
          <w:i/>
          <w:iCs/>
          <w:color w:val="000000"/>
        </w:rPr>
        <w:t>Surg Infect (Larchmt)</w:t>
      </w:r>
      <w:r w:rsidRPr="00AA37B5">
        <w:rPr>
          <w:rFonts w:ascii="Book Antiqua" w:eastAsia="Book Antiqua" w:hAnsi="Book Antiqua" w:cs="Book Antiqua"/>
          <w:color w:val="000000"/>
        </w:rPr>
        <w:t xml:space="preserve"> 2001; </w:t>
      </w:r>
      <w:r w:rsidRPr="00AA37B5">
        <w:rPr>
          <w:rFonts w:ascii="Book Antiqua" w:eastAsia="Book Antiqua" w:hAnsi="Book Antiqua" w:cs="Book Antiqua"/>
          <w:b/>
          <w:bCs/>
          <w:color w:val="000000"/>
        </w:rPr>
        <w:t>2</w:t>
      </w:r>
      <w:r w:rsidRPr="00AA37B5">
        <w:rPr>
          <w:rFonts w:ascii="Book Antiqua" w:eastAsia="Book Antiqua" w:hAnsi="Book Antiqua" w:cs="Book Antiqua"/>
          <w:color w:val="000000"/>
        </w:rPr>
        <w:t>: 255-63; discussion 264-5 [PMID: 12593701 DOI: 10.1089/10962960152813296]</w:t>
      </w:r>
    </w:p>
    <w:p w14:paraId="09A36061" w14:textId="77777777" w:rsidR="00A77B3E" w:rsidRDefault="007159E5">
      <w:pPr>
        <w:spacing w:line="360" w:lineRule="auto"/>
        <w:jc w:val="both"/>
      </w:pPr>
      <w:r w:rsidRPr="00AA37B5">
        <w:rPr>
          <w:rFonts w:ascii="Book Antiqua" w:eastAsia="Book Antiqua" w:hAnsi="Book Antiqua" w:cs="Book Antiqua"/>
          <w:color w:val="000000"/>
        </w:rPr>
        <w:t xml:space="preserve">3 </w:t>
      </w:r>
      <w:r w:rsidRPr="00AA37B5">
        <w:rPr>
          <w:rFonts w:ascii="Book Antiqua" w:eastAsia="Book Antiqua" w:hAnsi="Book Antiqua" w:cs="Book Antiqua"/>
          <w:b/>
          <w:bCs/>
          <w:color w:val="000000"/>
        </w:rPr>
        <w:t>Clara L</w:t>
      </w:r>
      <w:r w:rsidRPr="00AA37B5">
        <w:rPr>
          <w:rFonts w:ascii="Book Antiqua" w:eastAsia="Book Antiqua" w:hAnsi="Book Antiqua" w:cs="Book Antiqua"/>
          <w:color w:val="000000"/>
        </w:rPr>
        <w:t xml:space="preserve">, Rodríguez VM, Saúl P, Domínguez C, Esteban M. [Intra-abdominal infections. </w:t>
      </w:r>
      <w:r>
        <w:rPr>
          <w:rFonts w:ascii="Book Antiqua" w:eastAsia="Book Antiqua" w:hAnsi="Book Antiqua" w:cs="Book Antiqua"/>
          <w:color w:val="000000"/>
        </w:rPr>
        <w:t xml:space="preserve">Update and recommendations].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(B Aires)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417-426 [PMID: 30504109]</w:t>
      </w:r>
    </w:p>
    <w:p w14:paraId="5BB523E8" w14:textId="77777777" w:rsidR="00A77B3E" w:rsidRDefault="007159E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Calandra T</w:t>
      </w:r>
      <w:r>
        <w:rPr>
          <w:rFonts w:ascii="Book Antiqua" w:eastAsia="Book Antiqua" w:hAnsi="Book Antiqua" w:cs="Book Antiqua"/>
          <w:color w:val="000000"/>
        </w:rPr>
        <w:t xml:space="preserve">, Cohen J; International Sepsis Forum Definition of Infection in the ICU Consensus Conference. The international sepsis forum consensus conference on definitions of infection in the intensive care unit.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33</w:t>
      </w:r>
      <w:r>
        <w:rPr>
          <w:rFonts w:ascii="Book Antiqua" w:eastAsia="Book Antiqua" w:hAnsi="Book Antiqua" w:cs="Book Antiqua"/>
          <w:color w:val="000000"/>
        </w:rPr>
        <w:t>: 1538-1548 [PMID: 16003060 DOI: 10.1097/01.ccm.0000168253.91200.83]</w:t>
      </w:r>
    </w:p>
    <w:p w14:paraId="4F2F5DBD" w14:textId="77777777" w:rsidR="00A77B3E" w:rsidRPr="00AA37B5" w:rsidRDefault="007159E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Hartl</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Kuppinger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Vilsmaier</w:t>
      </w:r>
      <w:proofErr w:type="spellEnd"/>
      <w:r>
        <w:rPr>
          <w:rFonts w:ascii="Book Antiqua" w:eastAsia="Book Antiqua" w:hAnsi="Book Antiqua" w:cs="Book Antiqua"/>
          <w:color w:val="000000"/>
        </w:rPr>
        <w:t xml:space="preserve"> M. [Secondary peritonitis]. </w:t>
      </w:r>
      <w:r w:rsidRPr="00AA37B5">
        <w:rPr>
          <w:rFonts w:ascii="Book Antiqua" w:eastAsia="Book Antiqua" w:hAnsi="Book Antiqua" w:cs="Book Antiqua"/>
          <w:i/>
          <w:iCs/>
          <w:color w:val="000000"/>
        </w:rPr>
        <w:t>Zentralbl Chir</w:t>
      </w:r>
      <w:r w:rsidRPr="00AA37B5">
        <w:rPr>
          <w:rFonts w:ascii="Book Antiqua" w:eastAsia="Book Antiqua" w:hAnsi="Book Antiqua" w:cs="Book Antiqua"/>
          <w:color w:val="000000"/>
        </w:rPr>
        <w:t xml:space="preserve"> 2011; </w:t>
      </w:r>
      <w:r w:rsidRPr="00AA37B5">
        <w:rPr>
          <w:rFonts w:ascii="Book Antiqua" w:eastAsia="Book Antiqua" w:hAnsi="Book Antiqua" w:cs="Book Antiqua"/>
          <w:b/>
          <w:bCs/>
          <w:color w:val="000000"/>
        </w:rPr>
        <w:t>136</w:t>
      </w:r>
      <w:r w:rsidRPr="00AA37B5">
        <w:rPr>
          <w:rFonts w:ascii="Book Antiqua" w:eastAsia="Book Antiqua" w:hAnsi="Book Antiqua" w:cs="Book Antiqua"/>
          <w:color w:val="000000"/>
        </w:rPr>
        <w:t>: 11-17 [PMID: 21337289 DOI: 10.1055/s-0030-1262603]</w:t>
      </w:r>
    </w:p>
    <w:p w14:paraId="672BE90F" w14:textId="77777777" w:rsidR="00A77B3E" w:rsidRDefault="007159E5">
      <w:pPr>
        <w:spacing w:line="360" w:lineRule="auto"/>
        <w:jc w:val="both"/>
      </w:pPr>
      <w:r w:rsidRPr="00AA37B5">
        <w:rPr>
          <w:rFonts w:ascii="Book Antiqua" w:eastAsia="Book Antiqua" w:hAnsi="Book Antiqua" w:cs="Book Antiqua"/>
          <w:color w:val="000000"/>
        </w:rPr>
        <w:t xml:space="preserve">6 </w:t>
      </w:r>
      <w:r w:rsidRPr="00AA37B5">
        <w:rPr>
          <w:rFonts w:ascii="Book Antiqua" w:eastAsia="Book Antiqua" w:hAnsi="Book Antiqua" w:cs="Book Antiqua"/>
          <w:b/>
          <w:bCs/>
          <w:color w:val="000000"/>
        </w:rPr>
        <w:t>Martín-López A</w:t>
      </w:r>
      <w:r w:rsidRPr="00AA37B5">
        <w:rPr>
          <w:rFonts w:ascii="Book Antiqua" w:eastAsia="Book Antiqua" w:hAnsi="Book Antiqua" w:cs="Book Antiqua"/>
          <w:color w:val="000000"/>
        </w:rPr>
        <w:t xml:space="preserve">, Castaño-Ávila S, Maynar-Moliner FJ, Urturi-Matos JA, Manzano-Ramírez A, Martín-López HP. </w:t>
      </w:r>
      <w:r>
        <w:rPr>
          <w:rFonts w:ascii="Book Antiqua" w:eastAsia="Book Antiqua" w:hAnsi="Book Antiqua" w:cs="Book Antiqua"/>
          <w:color w:val="000000"/>
        </w:rPr>
        <w:t xml:space="preserve">[Tertiary peritonitis: as difficult to define as it is to treat]. </w:t>
      </w:r>
      <w:r>
        <w:rPr>
          <w:rFonts w:ascii="Book Antiqua" w:eastAsia="Book Antiqua" w:hAnsi="Book Antiqua" w:cs="Book Antiqua"/>
          <w:i/>
          <w:iCs/>
          <w:color w:val="000000"/>
        </w:rPr>
        <w:t xml:space="preserve">Cir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90</w:t>
      </w:r>
      <w:r>
        <w:rPr>
          <w:rFonts w:ascii="Book Antiqua" w:eastAsia="Book Antiqua" w:hAnsi="Book Antiqua" w:cs="Book Antiqua"/>
          <w:color w:val="000000"/>
        </w:rPr>
        <w:t>: 11-16 [PMID: 21269607 DOI: 10.1016/j.ciresp.2010.11.005]</w:t>
      </w:r>
    </w:p>
    <w:p w14:paraId="1A98D6A4" w14:textId="77777777" w:rsidR="00A77B3E" w:rsidRDefault="007159E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Chromik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Hölling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Sülberg</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Daigeler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Meurer</w:t>
      </w:r>
      <w:proofErr w:type="spellEnd"/>
      <w:r>
        <w:rPr>
          <w:rFonts w:ascii="Book Antiqua" w:eastAsia="Book Antiqua" w:hAnsi="Book Antiqua" w:cs="Book Antiqua"/>
          <w:color w:val="000000"/>
        </w:rPr>
        <w:t xml:space="preserve"> K, Vogelsang H, </w:t>
      </w:r>
      <w:proofErr w:type="spellStart"/>
      <w:r>
        <w:rPr>
          <w:rFonts w:ascii="Book Antiqua" w:eastAsia="Book Antiqua" w:hAnsi="Book Antiqua" w:cs="Book Antiqua"/>
          <w:color w:val="000000"/>
        </w:rPr>
        <w:t>Seelig</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Uhl</w:t>
      </w:r>
      <w:proofErr w:type="spellEnd"/>
      <w:r>
        <w:rPr>
          <w:rFonts w:ascii="Book Antiqua" w:eastAsia="Book Antiqua" w:hAnsi="Book Antiqua" w:cs="Book Antiqua"/>
          <w:color w:val="000000"/>
        </w:rPr>
        <w:t xml:space="preserve"> W. Identification of patients at risk for development of tertiary peritonitis on a surgical intensive care unit.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1358-1367 [PMID: 19352781 DOI: 10.1007/s11605-009-0882-y]</w:t>
      </w:r>
    </w:p>
    <w:p w14:paraId="746F2485" w14:textId="77777777" w:rsidR="00A77B3E" w:rsidRDefault="007159E5">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Ross 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Harris HW. Secondary peritonitis: principles of diagnosis and intervention.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k1407 [PMID: 29914871 DOI: 10.1136/bmj.k1407]</w:t>
      </w:r>
    </w:p>
    <w:p w14:paraId="66D90570" w14:textId="77777777" w:rsidR="00A77B3E" w:rsidRDefault="007159E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Budzyński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Dworak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Natkaniec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Pędziwiatr</w:t>
      </w:r>
      <w:proofErr w:type="spellEnd"/>
      <w:r>
        <w:rPr>
          <w:rFonts w:ascii="Book Antiqua" w:eastAsia="Book Antiqua" w:hAnsi="Book Antiqua" w:cs="Book Antiqua"/>
          <w:color w:val="000000"/>
        </w:rPr>
        <w:t xml:space="preserve"> M, Major P, </w:t>
      </w:r>
      <w:proofErr w:type="spellStart"/>
      <w:r>
        <w:rPr>
          <w:rFonts w:ascii="Book Antiqua" w:eastAsia="Book Antiqua" w:hAnsi="Book Antiqua" w:cs="Book Antiqua"/>
          <w:color w:val="000000"/>
        </w:rPr>
        <w:t>Migaczewski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Matłok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A. The usefulness of the Mannheim Peritonitis Index score in assessing the condition of patients treated for peritonitis. </w:t>
      </w:r>
      <w:r>
        <w:rPr>
          <w:rFonts w:ascii="Book Antiqua" w:eastAsia="Book Antiqua" w:hAnsi="Book Antiqua" w:cs="Book Antiqua"/>
          <w:i/>
          <w:iCs/>
          <w:color w:val="000000"/>
        </w:rPr>
        <w:t xml:space="preserve">Pol </w:t>
      </w:r>
      <w:proofErr w:type="spellStart"/>
      <w:r>
        <w:rPr>
          <w:rFonts w:ascii="Book Antiqua" w:eastAsia="Book Antiqua" w:hAnsi="Book Antiqua" w:cs="Book Antiqua"/>
          <w:i/>
          <w:iCs/>
          <w:color w:val="000000"/>
        </w:rPr>
        <w:t>Przegl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301-306 [PMID: 26247501 DOI: 10.1515/pjs-2015-0058]</w:t>
      </w:r>
    </w:p>
    <w:p w14:paraId="2EB29519" w14:textId="77777777" w:rsidR="00A77B3E" w:rsidRDefault="007159E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Al-Khafaji A</w:t>
      </w:r>
      <w:r>
        <w:rPr>
          <w:rFonts w:ascii="Book Antiqua" w:eastAsia="Book Antiqua" w:hAnsi="Book Antiqua" w:cs="Book Antiqua"/>
          <w:color w:val="000000"/>
        </w:rPr>
        <w:t xml:space="preserve">, Angus DC,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WA. The Acute Physiology and Chronic Health Evaluation II. Article of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with expert commentary by Dr Derek Angus.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85-88 [PMID: 17371751 DOI: 10.1016/j.jcrc.2006.11.001]</w:t>
      </w:r>
    </w:p>
    <w:p w14:paraId="140E99C8" w14:textId="77777777" w:rsidR="00A77B3E" w:rsidRPr="00AA37B5" w:rsidRDefault="007159E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 Gall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Saulnier</w:t>
      </w:r>
      <w:proofErr w:type="spellEnd"/>
      <w:r>
        <w:rPr>
          <w:rFonts w:ascii="Book Antiqua" w:eastAsia="Book Antiqua" w:hAnsi="Book Antiqua" w:cs="Book Antiqua"/>
          <w:color w:val="000000"/>
        </w:rPr>
        <w:t xml:space="preserve"> F. A new Simplified Acute Physiology Score (SAPS II) based on a European/North American multicenter study. </w:t>
      </w:r>
      <w:r w:rsidRPr="00AA37B5">
        <w:rPr>
          <w:rFonts w:ascii="Book Antiqua" w:eastAsia="Book Antiqua" w:hAnsi="Book Antiqua" w:cs="Book Antiqua"/>
          <w:i/>
          <w:iCs/>
          <w:color w:val="000000"/>
        </w:rPr>
        <w:t>JAMA</w:t>
      </w:r>
      <w:r w:rsidRPr="00AA37B5">
        <w:rPr>
          <w:rFonts w:ascii="Book Antiqua" w:eastAsia="Book Antiqua" w:hAnsi="Book Antiqua" w:cs="Book Antiqua"/>
          <w:color w:val="000000"/>
        </w:rPr>
        <w:t xml:space="preserve"> 1993; </w:t>
      </w:r>
      <w:r w:rsidRPr="00AA37B5">
        <w:rPr>
          <w:rFonts w:ascii="Book Antiqua" w:eastAsia="Book Antiqua" w:hAnsi="Book Antiqua" w:cs="Book Antiqua"/>
          <w:b/>
          <w:bCs/>
          <w:color w:val="000000"/>
        </w:rPr>
        <w:t>270</w:t>
      </w:r>
      <w:r w:rsidRPr="00AA37B5">
        <w:rPr>
          <w:rFonts w:ascii="Book Antiqua" w:eastAsia="Book Antiqua" w:hAnsi="Book Antiqua" w:cs="Book Antiqua"/>
          <w:color w:val="000000"/>
        </w:rPr>
        <w:t>: 2957-2963 [PMID: 8254858 DOI: 10.1001/jama.270.24.2957]</w:t>
      </w:r>
    </w:p>
    <w:p w14:paraId="0F2E3BE4" w14:textId="77777777" w:rsidR="00A77B3E" w:rsidRDefault="007159E5">
      <w:pPr>
        <w:spacing w:line="360" w:lineRule="auto"/>
        <w:jc w:val="both"/>
      </w:pPr>
      <w:r w:rsidRPr="00AA37B5">
        <w:rPr>
          <w:rFonts w:ascii="Book Antiqua" w:eastAsia="Book Antiqua" w:hAnsi="Book Antiqua" w:cs="Book Antiqua"/>
          <w:color w:val="000000"/>
        </w:rPr>
        <w:t xml:space="preserve">12 </w:t>
      </w:r>
      <w:r w:rsidRPr="00AA37B5">
        <w:rPr>
          <w:rFonts w:ascii="Book Antiqua" w:eastAsia="Book Antiqua" w:hAnsi="Book Antiqua" w:cs="Book Antiqua"/>
          <w:b/>
          <w:bCs/>
          <w:color w:val="000000"/>
        </w:rPr>
        <w:t>Sitges-Serra A</w:t>
      </w:r>
      <w:r w:rsidRPr="00AA37B5">
        <w:rPr>
          <w:rFonts w:ascii="Book Antiqua" w:eastAsia="Book Antiqua" w:hAnsi="Book Antiqua" w:cs="Book Antiqua"/>
          <w:color w:val="000000"/>
        </w:rPr>
        <w:t xml:space="preserve">, López MJ, Girvent M, Almirall S, Sancho JJ. </w:t>
      </w:r>
      <w:r>
        <w:rPr>
          <w:rFonts w:ascii="Book Antiqua" w:eastAsia="Book Antiqua" w:hAnsi="Book Antiqua" w:cs="Book Antiqua"/>
          <w:color w:val="000000"/>
        </w:rPr>
        <w:t xml:space="preserve">Postoperative enterococcal infection after treatment of complicated intra-abdominal sepsis.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361-367 [PMID: 11872065 DOI: 10.1046/j.0007-1323.2001.02023.x]</w:t>
      </w:r>
    </w:p>
    <w:p w14:paraId="7BBC5013" w14:textId="77777777" w:rsidR="00A77B3E" w:rsidRDefault="007159E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Solomkin</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Bradley JS, </w:t>
      </w:r>
      <w:proofErr w:type="spellStart"/>
      <w:r>
        <w:rPr>
          <w:rFonts w:ascii="Book Antiqua" w:eastAsia="Book Antiqua" w:hAnsi="Book Antiqua" w:cs="Book Antiqua"/>
          <w:color w:val="000000"/>
        </w:rPr>
        <w:t>Rodvold</w:t>
      </w:r>
      <w:proofErr w:type="spellEnd"/>
      <w:r>
        <w:rPr>
          <w:rFonts w:ascii="Book Antiqua" w:eastAsia="Book Antiqua" w:hAnsi="Book Antiqua" w:cs="Book Antiqua"/>
          <w:color w:val="000000"/>
        </w:rPr>
        <w:t xml:space="preserve"> KA, Goldstein EJ, Baron EJ, O'Neill PJ, Chow AW, Dellinger EP, </w:t>
      </w:r>
      <w:proofErr w:type="spellStart"/>
      <w:r>
        <w:rPr>
          <w:rFonts w:ascii="Book Antiqua" w:eastAsia="Book Antiqua" w:hAnsi="Book Antiqua" w:cs="Book Antiqua"/>
          <w:color w:val="000000"/>
        </w:rPr>
        <w:t>Eachempati</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Gorbach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Hilfiker</w:t>
      </w:r>
      <w:proofErr w:type="spellEnd"/>
      <w:r>
        <w:rPr>
          <w:rFonts w:ascii="Book Antiqua" w:eastAsia="Book Antiqua" w:hAnsi="Book Antiqua" w:cs="Book Antiqua"/>
          <w:color w:val="000000"/>
        </w:rPr>
        <w:t xml:space="preserve"> M, May AK, </w:t>
      </w:r>
      <w:proofErr w:type="spellStart"/>
      <w:r>
        <w:rPr>
          <w:rFonts w:ascii="Book Antiqua" w:eastAsia="Book Antiqua" w:hAnsi="Book Antiqua" w:cs="Book Antiqua"/>
          <w:color w:val="000000"/>
        </w:rPr>
        <w:t>Nathens</w:t>
      </w:r>
      <w:proofErr w:type="spellEnd"/>
      <w:r>
        <w:rPr>
          <w:rFonts w:ascii="Book Antiqua" w:eastAsia="Book Antiqua" w:hAnsi="Book Antiqua" w:cs="Book Antiqua"/>
          <w:color w:val="000000"/>
        </w:rPr>
        <w:t xml:space="preserve"> AB, Sawyer RG, Bartlett JG. Diagnosis and management of complicated intra-abdominal infection in adults and children: guidelines by the Surgical Infection Society and the Infectious Diseases Society of America.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50</w:t>
      </w:r>
      <w:r>
        <w:rPr>
          <w:rFonts w:ascii="Book Antiqua" w:eastAsia="Book Antiqua" w:hAnsi="Book Antiqua" w:cs="Book Antiqua"/>
          <w:color w:val="000000"/>
        </w:rPr>
        <w:t>: 133-164 [PMID: 20034345 DOI: 10.1086/649554]</w:t>
      </w:r>
    </w:p>
    <w:p w14:paraId="0258D63A" w14:textId="77777777" w:rsidR="00A77B3E" w:rsidRDefault="007159E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Holmes C</w:t>
      </w:r>
      <w:r>
        <w:rPr>
          <w:rFonts w:ascii="Book Antiqua" w:eastAsia="Book Antiqua" w:hAnsi="Book Antiqua" w:cs="Book Antiqua"/>
          <w:color w:val="000000"/>
        </w:rPr>
        <w:t xml:space="preserve">, Lewis S. Host defense mechanisms in the peritoneal cavity of continuous ambulatory peritoneal dialysis patients. 2. Humoral defenses.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11</w:t>
      </w:r>
      <w:r>
        <w:rPr>
          <w:rFonts w:ascii="Book Antiqua" w:eastAsia="Book Antiqua" w:hAnsi="Book Antiqua" w:cs="Book Antiqua"/>
          <w:color w:val="000000"/>
        </w:rPr>
        <w:t>: 112-117 [PMID: 1854866]</w:t>
      </w:r>
    </w:p>
    <w:p w14:paraId="251F2326" w14:textId="77777777" w:rsidR="00A77B3E" w:rsidRDefault="007159E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Bone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Grodzin</w:t>
      </w:r>
      <w:proofErr w:type="spellEnd"/>
      <w:r>
        <w:rPr>
          <w:rFonts w:ascii="Book Antiqua" w:eastAsia="Book Antiqua" w:hAnsi="Book Antiqua" w:cs="Book Antiqua"/>
          <w:color w:val="000000"/>
        </w:rPr>
        <w:t xml:space="preserve"> CJ, Balk RA. Sepsis: a new hypothesis for pathogenesis of the disease process.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112</w:t>
      </w:r>
      <w:r>
        <w:rPr>
          <w:rFonts w:ascii="Book Antiqua" w:eastAsia="Book Antiqua" w:hAnsi="Book Antiqua" w:cs="Book Antiqua"/>
          <w:color w:val="000000"/>
        </w:rPr>
        <w:t>: 235-243 [PMID: 9228382 DOI: 10.1378/chest.112.1.235]</w:t>
      </w:r>
    </w:p>
    <w:p w14:paraId="36942580" w14:textId="77777777" w:rsidR="00A77B3E" w:rsidRDefault="007159E5">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Buijk</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HA. Future directions in the management of tertiary peritonitis.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28</w:t>
      </w:r>
      <w:r>
        <w:rPr>
          <w:rFonts w:ascii="Book Antiqua" w:eastAsia="Book Antiqua" w:hAnsi="Book Antiqua" w:cs="Book Antiqua"/>
          <w:color w:val="000000"/>
        </w:rPr>
        <w:t>: 1024-1029 [PMID: 12185420 DOI: 10.1007/s00134-002-1383-6]</w:t>
      </w:r>
    </w:p>
    <w:p w14:paraId="6C6F6EEC" w14:textId="77777777" w:rsidR="00A77B3E" w:rsidRDefault="007159E5">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Leliefeld</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Wessels</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Leenen</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Koenderman</w:t>
      </w:r>
      <w:proofErr w:type="spellEnd"/>
      <w:r>
        <w:rPr>
          <w:rFonts w:ascii="Book Antiqua" w:eastAsia="Book Antiqua" w:hAnsi="Book Antiqua" w:cs="Book Antiqua"/>
          <w:color w:val="000000"/>
        </w:rPr>
        <w:t xml:space="preserve"> L, Pillay J. The role of neutrophils in immune dysfunction during severe inflammation.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73 [PMID: 27005275 DOI: 10.1186/s13054-016-1250-4]</w:t>
      </w:r>
    </w:p>
    <w:p w14:paraId="09FF4242" w14:textId="77777777" w:rsidR="00A77B3E" w:rsidRDefault="007159E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Nathens</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Rotstein</w:t>
      </w:r>
      <w:proofErr w:type="spellEnd"/>
      <w:r>
        <w:rPr>
          <w:rFonts w:ascii="Book Antiqua" w:eastAsia="Book Antiqua" w:hAnsi="Book Antiqua" w:cs="Book Antiqua"/>
          <w:color w:val="000000"/>
        </w:rPr>
        <w:t xml:space="preserve"> OD, Marshall JC. Tertiary peritonitis: clinical features of a complex nosocomial infection.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158-163 [PMID: 9451931 DOI: 10.1007/s002689900364]</w:t>
      </w:r>
    </w:p>
    <w:p w14:paraId="209D8E75" w14:textId="77777777" w:rsidR="00A77B3E" w:rsidRDefault="007159E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Doklestić</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Bajec</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Djukić</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Bumbaširević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Detanac</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Detanac</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Bracanović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Karamarković</w:t>
      </w:r>
      <w:proofErr w:type="spellEnd"/>
      <w:r>
        <w:rPr>
          <w:rFonts w:ascii="Book Antiqua" w:eastAsia="Book Antiqua" w:hAnsi="Book Antiqua" w:cs="Book Antiqua"/>
          <w:color w:val="000000"/>
        </w:rPr>
        <w:t xml:space="preserve"> RA. Secondary peritonitis - evaluation of 204 cases and literature review. </w:t>
      </w:r>
      <w:r>
        <w:rPr>
          <w:rFonts w:ascii="Book Antiqua" w:eastAsia="Book Antiqua" w:hAnsi="Book Antiqua" w:cs="Book Antiqua"/>
          <w:i/>
          <w:iCs/>
          <w:color w:val="000000"/>
        </w:rPr>
        <w:t>J Med Life</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132-138 [PMID: 25408716]</w:t>
      </w:r>
    </w:p>
    <w:p w14:paraId="576EE5FC" w14:textId="77777777" w:rsidR="00A77B3E" w:rsidRDefault="007159E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Koperna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Schulz F. Relaparotomy in peritonitis: prognosis and treatment of patients with persisting intraabdominal infection.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24</w:t>
      </w:r>
      <w:r>
        <w:rPr>
          <w:rFonts w:ascii="Book Antiqua" w:eastAsia="Book Antiqua" w:hAnsi="Book Antiqua" w:cs="Book Antiqua"/>
          <w:color w:val="000000"/>
        </w:rPr>
        <w:t>: 32-37 [PMID: 10594200 DOI: 10.1007/s002689910007]</w:t>
      </w:r>
    </w:p>
    <w:p w14:paraId="5479D953" w14:textId="77777777" w:rsidR="00A77B3E" w:rsidRDefault="007159E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Panhofer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Izay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Riedl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Ferenc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Ploder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Jakesz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Götzinger</w:t>
      </w:r>
      <w:proofErr w:type="spellEnd"/>
      <w:r>
        <w:rPr>
          <w:rFonts w:ascii="Book Antiqua" w:eastAsia="Book Antiqua" w:hAnsi="Book Antiqua" w:cs="Book Antiqua"/>
          <w:color w:val="000000"/>
        </w:rPr>
        <w:t xml:space="preserve"> P. Age, microbiology and prognostic scores help to differentiate between secondary and tertiary peritonitis.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394</w:t>
      </w:r>
      <w:r>
        <w:rPr>
          <w:rFonts w:ascii="Book Antiqua" w:eastAsia="Book Antiqua" w:hAnsi="Book Antiqua" w:cs="Book Antiqua"/>
          <w:color w:val="000000"/>
        </w:rPr>
        <w:t>: 265-271 [PMID: 18343942 DOI: 10.1007/s00423-008-0301-y]</w:t>
      </w:r>
    </w:p>
    <w:p w14:paraId="61932AC1" w14:textId="77777777" w:rsidR="00A77B3E" w:rsidRDefault="007159E5">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 focus on intra-abdominal infections.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9 [PMID: 20302628 DOI: 10.1186/1749-7922-5-9]</w:t>
      </w:r>
    </w:p>
    <w:p w14:paraId="65DC13A4" w14:textId="77777777" w:rsidR="00A77B3E" w:rsidRDefault="007159E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Bahtouee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Eghbali</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Rastgou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Motamed</w:t>
      </w:r>
      <w:proofErr w:type="spellEnd"/>
      <w:r>
        <w:rPr>
          <w:rFonts w:ascii="Book Antiqua" w:eastAsia="Book Antiqua" w:hAnsi="Book Antiqua" w:cs="Book Antiqua"/>
          <w:color w:val="000000"/>
        </w:rPr>
        <w:t xml:space="preserve"> N. Acute Physiology and Chronic Health Evaluation II score for the assessment of mortality prediction in the intensive care unit: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from Iran.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375-380 [PMID: 30924584 DOI: 10.1111/nicc.12401]</w:t>
      </w:r>
    </w:p>
    <w:p w14:paraId="46EA5923" w14:textId="77777777" w:rsidR="00A77B3E" w:rsidRDefault="007159E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Allyn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Ferdynus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Bohrer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Dalban</w:t>
      </w:r>
      <w:proofErr w:type="spellEnd"/>
      <w:r>
        <w:rPr>
          <w:rFonts w:ascii="Book Antiqua" w:eastAsia="Book Antiqua" w:hAnsi="Book Antiqua" w:cs="Book Antiqua"/>
          <w:color w:val="000000"/>
        </w:rPr>
        <w:t xml:space="preserve"> C, Valance D, </w:t>
      </w:r>
      <w:proofErr w:type="spellStart"/>
      <w:r>
        <w:rPr>
          <w:rFonts w:ascii="Book Antiqua" w:eastAsia="Book Antiqua" w:hAnsi="Book Antiqua" w:cs="Book Antiqua"/>
          <w:color w:val="000000"/>
        </w:rPr>
        <w:t>Allou</w:t>
      </w:r>
      <w:proofErr w:type="spellEnd"/>
      <w:r>
        <w:rPr>
          <w:rFonts w:ascii="Book Antiqua" w:eastAsia="Book Antiqua" w:hAnsi="Book Antiqua" w:cs="Book Antiqua"/>
          <w:color w:val="000000"/>
        </w:rPr>
        <w:t xml:space="preserve"> N. Simplified Acute Physiology Score II as Predictor of Mortality in Intensive Care Units: A Decision Curve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e0164828 [PMID: 27741304 DOI: 10.1371/journal.pone.0164828]</w:t>
      </w:r>
    </w:p>
    <w:p w14:paraId="276A7666" w14:textId="77777777" w:rsidR="00A77B3E" w:rsidRDefault="007159E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Agha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Fröhlich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Höfler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Krenz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["Simplified Acute Physiology Score" (SAPS II) </w:t>
      </w:r>
      <w:proofErr w:type="spellStart"/>
      <w:r>
        <w:rPr>
          <w:rFonts w:ascii="Book Antiqua" w:eastAsia="Book Antiqua" w:hAnsi="Book Antiqua" w:cs="Book Antiqua"/>
          <w:color w:val="000000"/>
        </w:rPr>
        <w:t>ina</w:t>
      </w:r>
      <w:proofErr w:type="spellEnd"/>
      <w:r>
        <w:rPr>
          <w:rFonts w:ascii="Book Antiqua" w:eastAsia="Book Antiqua" w:hAnsi="Book Antiqua" w:cs="Book Antiqua"/>
          <w:color w:val="000000"/>
        </w:rPr>
        <w:t xml:space="preserve"> the assessment of severity of illness in surgical intensive </w:t>
      </w:r>
      <w:r>
        <w:rPr>
          <w:rFonts w:ascii="Book Antiqua" w:eastAsia="Book Antiqua" w:hAnsi="Book Antiqua" w:cs="Book Antiqua"/>
          <w:color w:val="000000"/>
        </w:rPr>
        <w:lastRenderedPageBreak/>
        <w:t xml:space="preserve">care patients]. </w:t>
      </w:r>
      <w:proofErr w:type="spellStart"/>
      <w:r>
        <w:rPr>
          <w:rFonts w:ascii="Book Antiqua" w:eastAsia="Book Antiqua" w:hAnsi="Book Antiqua" w:cs="Book Antiqua"/>
          <w:i/>
          <w:iCs/>
          <w:color w:val="000000"/>
        </w:rPr>
        <w:t>Chirurg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439-442 [PMID: 12089827 DOI: 10.1007/s00104-001-0374-4]</w:t>
      </w:r>
    </w:p>
    <w:p w14:paraId="3A4CE2FF" w14:textId="77777777" w:rsidR="00A77B3E" w:rsidRDefault="007159E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Weiss G</w:t>
      </w:r>
      <w:r>
        <w:rPr>
          <w:rFonts w:ascii="Book Antiqua" w:eastAsia="Book Antiqua" w:hAnsi="Book Antiqua" w:cs="Book Antiqua"/>
          <w:color w:val="000000"/>
        </w:rPr>
        <w:t xml:space="preserve">, Meyer F, Lippert H. </w:t>
      </w:r>
      <w:proofErr w:type="spellStart"/>
      <w:r>
        <w:rPr>
          <w:rFonts w:ascii="Book Antiqua" w:eastAsia="Book Antiqua" w:hAnsi="Book Antiqua" w:cs="Book Antiqua"/>
          <w:color w:val="000000"/>
        </w:rPr>
        <w:t>Infectiological</w:t>
      </w:r>
      <w:proofErr w:type="spellEnd"/>
      <w:r>
        <w:rPr>
          <w:rFonts w:ascii="Book Antiqua" w:eastAsia="Book Antiqua" w:hAnsi="Book Antiqua" w:cs="Book Antiqua"/>
          <w:color w:val="000000"/>
        </w:rPr>
        <w:t xml:space="preserve"> diagnostic problems in tertiary peritonitis.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391</w:t>
      </w:r>
      <w:r>
        <w:rPr>
          <w:rFonts w:ascii="Book Antiqua" w:eastAsia="Book Antiqua" w:hAnsi="Book Antiqua" w:cs="Book Antiqua"/>
          <w:color w:val="000000"/>
        </w:rPr>
        <w:t>: 473-482 [PMID: 16909293 DOI: 10.1007/s00423-006-0071-3]</w:t>
      </w:r>
    </w:p>
    <w:p w14:paraId="32AD3677" w14:textId="77777777" w:rsidR="00A77B3E" w:rsidRDefault="007159E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Malangoni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Evaluation and management of tertiary peritonitis.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66</w:t>
      </w:r>
      <w:r>
        <w:rPr>
          <w:rFonts w:ascii="Book Antiqua" w:eastAsia="Book Antiqua" w:hAnsi="Book Antiqua" w:cs="Book Antiqua"/>
          <w:color w:val="000000"/>
        </w:rPr>
        <w:t>: 157-161 [PMID: 10695746]</w:t>
      </w:r>
    </w:p>
    <w:p w14:paraId="3A0F474D" w14:textId="77777777" w:rsidR="00A77B3E" w:rsidRDefault="007159E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Mishra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Tiwary</w:t>
      </w:r>
      <w:proofErr w:type="spellEnd"/>
      <w:r>
        <w:rPr>
          <w:rFonts w:ascii="Book Antiqua" w:eastAsia="Book Antiqua" w:hAnsi="Book Antiqua" w:cs="Book Antiqua"/>
          <w:color w:val="000000"/>
        </w:rPr>
        <w:t xml:space="preserve"> SK, Mishra M, Gupta SK. An introduction of Tertiary Peritonitis.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Trauma Shock</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121-123 [PMID: 24812458 DOI: 10.4103/0974-2700.130883]</w:t>
      </w:r>
    </w:p>
    <w:p w14:paraId="772F272A" w14:textId="77777777" w:rsidR="00A77B3E" w:rsidRDefault="007159E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Wasnik</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Maturen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Kaza</w:t>
      </w:r>
      <w:proofErr w:type="spellEnd"/>
      <w:r>
        <w:rPr>
          <w:rFonts w:ascii="Book Antiqua" w:eastAsia="Book Antiqua" w:hAnsi="Book Antiqua" w:cs="Book Antiqua"/>
          <w:color w:val="000000"/>
        </w:rPr>
        <w:t xml:space="preserve"> RK,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MM, Francis IR. Primary and secondary disease of the peritoneum and mesentery: review of anatomy and imaging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626-642 [PMID: 25189130 DOI: 10.1007/s00261-014-0232-8]</w:t>
      </w:r>
    </w:p>
    <w:p w14:paraId="66FE806C" w14:textId="77777777" w:rsidR="00A77B3E" w:rsidRDefault="007159E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Roehrborn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L, </w:t>
      </w:r>
      <w:proofErr w:type="spellStart"/>
      <w:r>
        <w:rPr>
          <w:rFonts w:ascii="Book Antiqua" w:eastAsia="Book Antiqua" w:hAnsi="Book Antiqua" w:cs="Book Antiqua"/>
          <w:color w:val="000000"/>
        </w:rPr>
        <w:t>Potreck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Ebener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Ohmann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Goretzki</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Röher</w:t>
      </w:r>
      <w:proofErr w:type="spellEnd"/>
      <w:r>
        <w:rPr>
          <w:rFonts w:ascii="Book Antiqua" w:eastAsia="Book Antiqua" w:hAnsi="Book Antiqua" w:cs="Book Antiqua"/>
          <w:color w:val="000000"/>
        </w:rPr>
        <w:t xml:space="preserve"> HD. The microbiology of postoperative peritonitis.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1513-1519 [PMID: 11568851 DOI: 10.1086/323333]</w:t>
      </w:r>
    </w:p>
    <w:p w14:paraId="4C91AD57" w14:textId="77777777" w:rsidR="00A77B3E" w:rsidRDefault="007159E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Sartelli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Labricciosa</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Leppäniemi</w:t>
      </w:r>
      <w:proofErr w:type="spellEnd"/>
      <w:r>
        <w:rPr>
          <w:rFonts w:ascii="Book Antiqua" w:eastAsia="Book Antiqua" w:hAnsi="Book Antiqua" w:cs="Book Antiqua"/>
          <w:color w:val="000000"/>
        </w:rPr>
        <w:t xml:space="preserve"> A, Kirkpatrick AW, </w:t>
      </w:r>
      <w:proofErr w:type="spellStart"/>
      <w:r>
        <w:rPr>
          <w:rFonts w:ascii="Book Antiqua" w:eastAsia="Book Antiqua" w:hAnsi="Book Antiqua" w:cs="Book Antiqua"/>
          <w:color w:val="000000"/>
        </w:rPr>
        <w:t>Tolonen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Tranà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Hardcastle</w:t>
      </w:r>
      <w:proofErr w:type="spellEnd"/>
      <w:r>
        <w:rPr>
          <w:rFonts w:ascii="Book Antiqua" w:eastAsia="Book Antiqua" w:hAnsi="Book Antiqua" w:cs="Book Antiqua"/>
          <w:color w:val="000000"/>
        </w:rPr>
        <w:t xml:space="preserve"> T, Koshy RM, Abbas A, </w:t>
      </w:r>
      <w:proofErr w:type="spellStart"/>
      <w:r>
        <w:rPr>
          <w:rFonts w:ascii="Book Antiqua" w:eastAsia="Book Antiqua" w:hAnsi="Book Antiqua" w:cs="Book Antiqua"/>
          <w:color w:val="000000"/>
        </w:rPr>
        <w:t>Aday</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Adesunkanmi</w:t>
      </w:r>
      <w:proofErr w:type="spellEnd"/>
      <w:r>
        <w:rPr>
          <w:rFonts w:ascii="Book Antiqua" w:eastAsia="Book Antiqua" w:hAnsi="Book Antiqua" w:cs="Book Antiqua"/>
          <w:color w:val="000000"/>
        </w:rPr>
        <w:t xml:space="preserve"> ARK, </w:t>
      </w:r>
      <w:proofErr w:type="spellStart"/>
      <w:r>
        <w:rPr>
          <w:rFonts w:ascii="Book Antiqua" w:eastAsia="Book Antiqua" w:hAnsi="Book Antiqua" w:cs="Book Antiqua"/>
          <w:color w:val="000000"/>
        </w:rPr>
        <w:t>Ajibade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Akhmeteli</w:t>
      </w:r>
      <w:proofErr w:type="spellEnd"/>
      <w:r>
        <w:rPr>
          <w:rFonts w:ascii="Book Antiqua" w:eastAsia="Book Antiqua" w:hAnsi="Book Antiqua" w:cs="Book Antiqua"/>
          <w:color w:val="000000"/>
        </w:rPr>
        <w:t xml:space="preserve"> L, Akın E, </w:t>
      </w:r>
      <w:proofErr w:type="spellStart"/>
      <w:r>
        <w:rPr>
          <w:rFonts w:ascii="Book Antiqua" w:eastAsia="Book Antiqua" w:hAnsi="Book Antiqua" w:cs="Book Antiqua"/>
          <w:color w:val="000000"/>
        </w:rPr>
        <w:t>Akkapulu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Alotaibi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Altintoprak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Anyfantakis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Atanasov</w:t>
      </w:r>
      <w:proofErr w:type="spellEnd"/>
      <w:r>
        <w:rPr>
          <w:rFonts w:ascii="Book Antiqua" w:eastAsia="Book Antiqua" w:hAnsi="Book Antiqua" w:cs="Book Antiqua"/>
          <w:color w:val="000000"/>
        </w:rPr>
        <w:t xml:space="preserve"> B, Augustin G, </w:t>
      </w:r>
      <w:proofErr w:type="spellStart"/>
      <w:r>
        <w:rPr>
          <w:rFonts w:ascii="Book Antiqua" w:eastAsia="Book Antiqua" w:hAnsi="Book Antiqua" w:cs="Book Antiqua"/>
          <w:color w:val="000000"/>
        </w:rPr>
        <w:t>Azevedo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Balalis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Baraket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Baral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Barkai</w:t>
      </w:r>
      <w:proofErr w:type="spellEnd"/>
      <w:r>
        <w:rPr>
          <w:rFonts w:ascii="Book Antiqua" w:eastAsia="Book Antiqua" w:hAnsi="Book Antiqua" w:cs="Book Antiqua"/>
          <w:color w:val="000000"/>
        </w:rPr>
        <w:t xml:space="preserve"> O, Beltran M, Bini R, </w:t>
      </w:r>
      <w:proofErr w:type="spellStart"/>
      <w:r>
        <w:rPr>
          <w:rFonts w:ascii="Book Antiqua" w:eastAsia="Book Antiqua" w:hAnsi="Book Antiqua" w:cs="Book Antiqua"/>
          <w:color w:val="000000"/>
        </w:rPr>
        <w:t>Bouliaris</w:t>
      </w:r>
      <w:proofErr w:type="spellEnd"/>
      <w:r>
        <w:rPr>
          <w:rFonts w:ascii="Book Antiqua" w:eastAsia="Book Antiqua" w:hAnsi="Book Antiqua" w:cs="Book Antiqua"/>
          <w:color w:val="000000"/>
        </w:rPr>
        <w:t xml:space="preserve"> K, Caballero AB, </w:t>
      </w:r>
      <w:proofErr w:type="spellStart"/>
      <w:r>
        <w:rPr>
          <w:rFonts w:ascii="Book Antiqua" w:eastAsia="Book Antiqua" w:hAnsi="Book Antiqua" w:cs="Book Antiqua"/>
          <w:color w:val="000000"/>
        </w:rPr>
        <w:t>Calu</w:t>
      </w:r>
      <w:proofErr w:type="spellEnd"/>
      <w:r>
        <w:rPr>
          <w:rFonts w:ascii="Book Antiqua" w:eastAsia="Book Antiqua" w:hAnsi="Book Antiqua" w:cs="Book Antiqua"/>
          <w:color w:val="000000"/>
        </w:rPr>
        <w:t xml:space="preserve"> V, Catani M,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Jusoh</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Cillara</w:t>
      </w:r>
      <w:proofErr w:type="spellEnd"/>
      <w:r>
        <w:rPr>
          <w:rFonts w:ascii="Book Antiqua" w:eastAsia="Book Antiqua" w:hAnsi="Book Antiqua" w:cs="Book Antiqua"/>
          <w:color w:val="000000"/>
        </w:rPr>
        <w:t xml:space="preserve"> N, Cuesta RC, </w:t>
      </w:r>
      <w:proofErr w:type="spellStart"/>
      <w:r>
        <w:rPr>
          <w:rFonts w:ascii="Book Antiqua" w:eastAsia="Book Antiqua" w:hAnsi="Book Antiqua" w:cs="Book Antiqua"/>
          <w:color w:val="000000"/>
        </w:rPr>
        <w:t>Cobuccio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Cocorullo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E, Conti L, Cui Y, De Simone B, </w:t>
      </w:r>
      <w:proofErr w:type="spellStart"/>
      <w:r>
        <w:rPr>
          <w:rFonts w:ascii="Book Antiqua" w:eastAsia="Book Antiqua" w:hAnsi="Book Antiqua" w:cs="Book Antiqua"/>
          <w:color w:val="000000"/>
        </w:rPr>
        <w:t>Delibegovic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Demetriades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Dimova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Dogjani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Enani</w:t>
      </w:r>
      <w:proofErr w:type="spellEnd"/>
      <w:r>
        <w:rPr>
          <w:rFonts w:ascii="Book Antiqua" w:eastAsia="Book Antiqua" w:hAnsi="Book Antiqua" w:cs="Book Antiqua"/>
          <w:color w:val="000000"/>
        </w:rPr>
        <w:t xml:space="preserve"> M, Farina F, Ferrara F, </w:t>
      </w:r>
      <w:proofErr w:type="spellStart"/>
      <w:r>
        <w:rPr>
          <w:rFonts w:ascii="Book Antiqua" w:eastAsia="Book Antiqua" w:hAnsi="Book Antiqua" w:cs="Book Antiqua"/>
          <w:color w:val="000000"/>
        </w:rPr>
        <w:t>Foghetti</w:t>
      </w:r>
      <w:proofErr w:type="spellEnd"/>
      <w:r>
        <w:rPr>
          <w:rFonts w:ascii="Book Antiqua" w:eastAsia="Book Antiqua" w:hAnsi="Book Antiqua" w:cs="Book Antiqua"/>
          <w:color w:val="000000"/>
        </w:rPr>
        <w:t xml:space="preserve"> D, Fontana T,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Gachabayov</w:t>
      </w:r>
      <w:proofErr w:type="spellEnd"/>
      <w:r>
        <w:rPr>
          <w:rFonts w:ascii="Book Antiqua" w:eastAsia="Book Antiqua" w:hAnsi="Book Antiqua" w:cs="Book Antiqua"/>
          <w:color w:val="000000"/>
        </w:rPr>
        <w:t xml:space="preserve"> M, Gérard G, </w:t>
      </w:r>
      <w:proofErr w:type="spellStart"/>
      <w:r>
        <w:rPr>
          <w:rFonts w:ascii="Book Antiqua" w:eastAsia="Book Antiqua" w:hAnsi="Book Antiqua" w:cs="Book Antiqua"/>
          <w:color w:val="000000"/>
        </w:rPr>
        <w:t>Ghnnam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Maurel</w:t>
      </w:r>
      <w:proofErr w:type="spellEnd"/>
      <w:r>
        <w:rPr>
          <w:rFonts w:ascii="Book Antiqua" w:eastAsia="Book Antiqua" w:hAnsi="Book Antiqua" w:cs="Book Antiqua"/>
          <w:color w:val="000000"/>
        </w:rPr>
        <w:t xml:space="preserve"> TG, </w:t>
      </w:r>
      <w:proofErr w:type="spellStart"/>
      <w:r>
        <w:rPr>
          <w:rFonts w:ascii="Book Antiqua" w:eastAsia="Book Antiqua" w:hAnsi="Book Antiqua" w:cs="Book Antiqua"/>
          <w:color w:val="000000"/>
        </w:rPr>
        <w:t>Gkiokas</w:t>
      </w:r>
      <w:proofErr w:type="spellEnd"/>
      <w:r>
        <w:rPr>
          <w:rFonts w:ascii="Book Antiqua" w:eastAsia="Book Antiqua" w:hAnsi="Book Antiqua" w:cs="Book Antiqua"/>
          <w:color w:val="000000"/>
        </w:rPr>
        <w:t xml:space="preserve"> G, Gomes CA, </w:t>
      </w:r>
      <w:proofErr w:type="spellStart"/>
      <w:r>
        <w:rPr>
          <w:rFonts w:ascii="Book Antiqua" w:eastAsia="Book Antiqua" w:hAnsi="Book Antiqua" w:cs="Book Antiqua"/>
          <w:color w:val="000000"/>
        </w:rPr>
        <w:t>Guner</w:t>
      </w:r>
      <w:proofErr w:type="spellEnd"/>
      <w:r>
        <w:rPr>
          <w:rFonts w:ascii="Book Antiqua" w:eastAsia="Book Antiqua" w:hAnsi="Book Antiqua" w:cs="Book Antiqua"/>
          <w:color w:val="000000"/>
        </w:rPr>
        <w:t xml:space="preserve"> A, Gupta S, Hecker A, Hirano ES, </w:t>
      </w:r>
      <w:proofErr w:type="spellStart"/>
      <w:r>
        <w:rPr>
          <w:rFonts w:ascii="Book Antiqua" w:eastAsia="Book Antiqua" w:hAnsi="Book Antiqua" w:cs="Book Antiqua"/>
          <w:color w:val="000000"/>
        </w:rPr>
        <w:t>Hodonou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Hutan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Ilaschuk</w:t>
      </w:r>
      <w:proofErr w:type="spellEnd"/>
      <w:r>
        <w:rPr>
          <w:rFonts w:ascii="Book Antiqua" w:eastAsia="Book Antiqua" w:hAnsi="Book Antiqua" w:cs="Book Antiqua"/>
          <w:color w:val="000000"/>
        </w:rPr>
        <w:t xml:space="preserve"> I, Ioannidis O,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Ivakhov</w:t>
      </w:r>
      <w:proofErr w:type="spellEnd"/>
      <w:r>
        <w:rPr>
          <w:rFonts w:ascii="Book Antiqua" w:eastAsia="Book Antiqua" w:hAnsi="Book Antiqua" w:cs="Book Antiqua"/>
          <w:color w:val="000000"/>
        </w:rPr>
        <w:t xml:space="preserve"> G, Jain S, </w:t>
      </w:r>
      <w:proofErr w:type="spellStart"/>
      <w:r>
        <w:rPr>
          <w:rFonts w:ascii="Book Antiqua" w:eastAsia="Book Antiqua" w:hAnsi="Book Antiqua" w:cs="Book Antiqua"/>
          <w:color w:val="000000"/>
        </w:rPr>
        <w:t>Jokubauskas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Karamarkovic</w:t>
      </w:r>
      <w:proofErr w:type="spellEnd"/>
      <w:r>
        <w:rPr>
          <w:rFonts w:ascii="Book Antiqua" w:eastAsia="Book Antiqua" w:hAnsi="Book Antiqua" w:cs="Book Antiqua"/>
          <w:color w:val="000000"/>
        </w:rPr>
        <w:t xml:space="preserve"> A, Kaushik R, </w:t>
      </w:r>
      <w:proofErr w:type="spellStart"/>
      <w:r>
        <w:rPr>
          <w:rFonts w:ascii="Book Antiqua" w:eastAsia="Book Antiqua" w:hAnsi="Book Antiqua" w:cs="Book Antiqua"/>
          <w:color w:val="000000"/>
        </w:rPr>
        <w:t>Kenig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Khokha</w:t>
      </w:r>
      <w:proofErr w:type="spellEnd"/>
      <w:r>
        <w:rPr>
          <w:rFonts w:ascii="Book Antiqua" w:eastAsia="Book Antiqua" w:hAnsi="Book Antiqua" w:cs="Book Antiqua"/>
          <w:color w:val="000000"/>
        </w:rPr>
        <w:t xml:space="preserve"> D, Kim JI, Kong V, </w:t>
      </w:r>
      <w:proofErr w:type="spellStart"/>
      <w:r>
        <w:rPr>
          <w:rFonts w:ascii="Book Antiqua" w:eastAsia="Book Antiqua" w:hAnsi="Book Antiqua" w:cs="Book Antiqua"/>
          <w:color w:val="000000"/>
        </w:rPr>
        <w:t>Korkolis</w:t>
      </w:r>
      <w:proofErr w:type="spellEnd"/>
      <w:r>
        <w:rPr>
          <w:rFonts w:ascii="Book Antiqua" w:eastAsia="Book Antiqua" w:hAnsi="Book Antiqua" w:cs="Book Antiqua"/>
          <w:color w:val="000000"/>
        </w:rPr>
        <w:t xml:space="preserve"> D, Kruger VF, </w:t>
      </w:r>
      <w:proofErr w:type="spellStart"/>
      <w:r>
        <w:rPr>
          <w:rFonts w:ascii="Book Antiqua" w:eastAsia="Book Antiqua" w:hAnsi="Book Antiqua" w:cs="Book Antiqua"/>
          <w:color w:val="000000"/>
        </w:rPr>
        <w:t>Kshirsagar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Lanaia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Lasithiotakis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lastRenderedPageBreak/>
        <w:t>Leão</w:t>
      </w:r>
      <w:proofErr w:type="spellEnd"/>
      <w:r>
        <w:rPr>
          <w:rFonts w:ascii="Book Antiqua" w:eastAsia="Book Antiqua" w:hAnsi="Book Antiqua" w:cs="Book Antiqua"/>
          <w:color w:val="000000"/>
        </w:rPr>
        <w:t xml:space="preserve"> P, Arellano ML, </w:t>
      </w:r>
      <w:proofErr w:type="spellStart"/>
      <w:r>
        <w:rPr>
          <w:rFonts w:ascii="Book Antiqua" w:eastAsia="Book Antiqua" w:hAnsi="Book Antiqua" w:cs="Book Antiqua"/>
          <w:color w:val="000000"/>
        </w:rPr>
        <w:t>Listle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Litvin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Lizarazu</w:t>
      </w:r>
      <w:proofErr w:type="spellEnd"/>
      <w:r>
        <w:rPr>
          <w:rFonts w:ascii="Book Antiqua" w:eastAsia="Book Antiqua" w:hAnsi="Book Antiqua" w:cs="Book Antiqua"/>
          <w:color w:val="000000"/>
        </w:rPr>
        <w:t xml:space="preserve"> Pérez A, Lopez-</w:t>
      </w:r>
      <w:proofErr w:type="spellStart"/>
      <w:r>
        <w:rPr>
          <w:rFonts w:ascii="Book Antiqua" w:eastAsia="Book Antiqua" w:hAnsi="Book Antiqua" w:cs="Book Antiqua"/>
          <w:color w:val="000000"/>
        </w:rPr>
        <w:t>Tomassetti</w:t>
      </w:r>
      <w:proofErr w:type="spellEnd"/>
      <w:r>
        <w:rPr>
          <w:rFonts w:ascii="Book Antiqua" w:eastAsia="Book Antiqua" w:hAnsi="Book Antiqua" w:cs="Book Antiqua"/>
          <w:color w:val="000000"/>
        </w:rPr>
        <w:t xml:space="preserve"> Fernandez E, </w:t>
      </w:r>
      <w:proofErr w:type="spellStart"/>
      <w:r>
        <w:rPr>
          <w:rFonts w:ascii="Book Antiqua" w:eastAsia="Book Antiqua" w:hAnsi="Book Antiqua" w:cs="Book Antiqua"/>
          <w:color w:val="000000"/>
        </w:rPr>
        <w:t>Lostoridis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Luppi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Machain</w:t>
      </w:r>
      <w:proofErr w:type="spellEnd"/>
      <w:r>
        <w:rPr>
          <w:rFonts w:ascii="Book Antiqua" w:eastAsia="Book Antiqua" w:hAnsi="Book Antiqua" w:cs="Book Antiqua"/>
          <w:color w:val="000000"/>
        </w:rPr>
        <w:t xml:space="preserve"> V GM, Major P, </w:t>
      </w:r>
      <w:proofErr w:type="spellStart"/>
      <w:r>
        <w:rPr>
          <w:rFonts w:ascii="Book Antiqua" w:eastAsia="Book Antiqua" w:hAnsi="Book Antiqua" w:cs="Book Antiqua"/>
          <w:color w:val="000000"/>
        </w:rPr>
        <w:t>Manatakis</w:t>
      </w:r>
      <w:proofErr w:type="spellEnd"/>
      <w:r>
        <w:rPr>
          <w:rFonts w:ascii="Book Antiqua" w:eastAsia="Book Antiqua" w:hAnsi="Book Antiqua" w:cs="Book Antiqua"/>
          <w:color w:val="000000"/>
        </w:rPr>
        <w:t xml:space="preserve"> D, Reitz MM, </w:t>
      </w:r>
      <w:proofErr w:type="spellStart"/>
      <w:r>
        <w:rPr>
          <w:rFonts w:ascii="Book Antiqua" w:eastAsia="Book Antiqua" w:hAnsi="Book Antiqua" w:cs="Book Antiqua"/>
          <w:color w:val="000000"/>
        </w:rPr>
        <w:t>Marinis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-Pérez A, </w:t>
      </w:r>
      <w:proofErr w:type="spellStart"/>
      <w:r>
        <w:rPr>
          <w:rFonts w:ascii="Book Antiqua" w:eastAsia="Book Antiqua" w:hAnsi="Book Antiqua" w:cs="Book Antiqua"/>
          <w:color w:val="000000"/>
        </w:rPr>
        <w:t>Marwah</w:t>
      </w:r>
      <w:proofErr w:type="spellEnd"/>
      <w:r>
        <w:rPr>
          <w:rFonts w:ascii="Book Antiqua" w:eastAsia="Book Antiqua" w:hAnsi="Book Antiqua" w:cs="Book Antiqua"/>
          <w:color w:val="000000"/>
        </w:rPr>
        <w:t xml:space="preserve"> S, McFarlane M, Mesic M, </w:t>
      </w:r>
      <w:proofErr w:type="spellStart"/>
      <w:r>
        <w:rPr>
          <w:rFonts w:ascii="Book Antiqua" w:eastAsia="Book Antiqua" w:hAnsi="Book Antiqua" w:cs="Book Antiqua"/>
          <w:color w:val="000000"/>
        </w:rPr>
        <w:t>Mesina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Misiakos</w:t>
      </w:r>
      <w:proofErr w:type="spellEnd"/>
      <w:r>
        <w:rPr>
          <w:rFonts w:ascii="Book Antiqua" w:eastAsia="Book Antiqua" w:hAnsi="Book Antiqua" w:cs="Book Antiqua"/>
          <w:color w:val="000000"/>
        </w:rPr>
        <w:t xml:space="preserve"> E, Moreira FG, </w:t>
      </w:r>
      <w:proofErr w:type="spellStart"/>
      <w:r>
        <w:rPr>
          <w:rFonts w:ascii="Book Antiqua" w:eastAsia="Book Antiqua" w:hAnsi="Book Antiqua" w:cs="Book Antiqua"/>
          <w:color w:val="000000"/>
        </w:rPr>
        <w:t>Mouaqit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Muhtaroglu</w:t>
      </w:r>
      <w:proofErr w:type="spellEnd"/>
      <w:r>
        <w:rPr>
          <w:rFonts w:ascii="Book Antiqua" w:eastAsia="Book Antiqua" w:hAnsi="Book Antiqua" w:cs="Book Antiqua"/>
          <w:color w:val="000000"/>
        </w:rPr>
        <w:t xml:space="preserve"> A, Naidoo N,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Nikitina Z, Nikolopoulos I, Nita GE, </w:t>
      </w:r>
      <w:proofErr w:type="spellStart"/>
      <w:r>
        <w:rPr>
          <w:rFonts w:ascii="Book Antiqua" w:eastAsia="Book Antiqua" w:hAnsi="Book Antiqua" w:cs="Book Antiqua"/>
          <w:color w:val="000000"/>
        </w:rPr>
        <w:t>Occhionorelli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Olaoye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Ordoñez</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Ozkan</w:t>
      </w:r>
      <w:proofErr w:type="spellEnd"/>
      <w:r>
        <w:rPr>
          <w:rFonts w:ascii="Book Antiqua" w:eastAsia="Book Antiqua" w:hAnsi="Book Antiqua" w:cs="Book Antiqua"/>
          <w:color w:val="000000"/>
        </w:rPr>
        <w:t xml:space="preserve"> Z, Pal A, </w:t>
      </w:r>
      <w:proofErr w:type="spellStart"/>
      <w:r>
        <w:rPr>
          <w:rFonts w:ascii="Book Antiqua" w:eastAsia="Book Antiqua" w:hAnsi="Book Antiqua" w:cs="Book Antiqua"/>
          <w:color w:val="000000"/>
        </w:rPr>
        <w:t>Palini</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Papagoras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Pędziwiatr</w:t>
      </w:r>
      <w:proofErr w:type="spellEnd"/>
      <w:r>
        <w:rPr>
          <w:rFonts w:ascii="Book Antiqua" w:eastAsia="Book Antiqua" w:hAnsi="Book Antiqua" w:cs="Book Antiqua"/>
          <w:color w:val="000000"/>
        </w:rPr>
        <w:t xml:space="preserve"> M, Pereira J, Pereira Junior GA, </w:t>
      </w:r>
      <w:proofErr w:type="spellStart"/>
      <w:r>
        <w:rPr>
          <w:rFonts w:ascii="Book Antiqua" w:eastAsia="Book Antiqua" w:hAnsi="Book Antiqua" w:cs="Book Antiqua"/>
          <w:color w:val="000000"/>
        </w:rPr>
        <w:t>Perrone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Pintar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Pisarska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Plehutsa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Poillucci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Quiodettis</w:t>
      </w:r>
      <w:proofErr w:type="spellEnd"/>
      <w:r>
        <w:rPr>
          <w:rFonts w:ascii="Book Antiqua" w:eastAsia="Book Antiqua" w:hAnsi="Book Antiqua" w:cs="Book Antiqua"/>
          <w:color w:val="000000"/>
        </w:rPr>
        <w:t xml:space="preserve"> M, Rahim T, Rios-Cruz D, Rodrigues G, </w:t>
      </w:r>
      <w:proofErr w:type="spellStart"/>
      <w:r>
        <w:rPr>
          <w:rFonts w:ascii="Book Antiqua" w:eastAsia="Book Antiqua" w:hAnsi="Book Antiqua" w:cs="Book Antiqua"/>
          <w:color w:val="000000"/>
        </w:rPr>
        <w:t>Rozov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Sall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Sazhin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Semião</w:t>
      </w:r>
      <w:proofErr w:type="spellEnd"/>
      <w:r>
        <w:rPr>
          <w:rFonts w:ascii="Book Antiqua" w:eastAsia="Book Antiqua" w:hAnsi="Book Antiqua" w:cs="Book Antiqua"/>
          <w:color w:val="000000"/>
        </w:rPr>
        <w:t xml:space="preserve"> M, Sharda T,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Sinibaldi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Skicko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Skrovina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Stamatiou</w:t>
      </w:r>
      <w:proofErr w:type="spellEnd"/>
      <w:r>
        <w:rPr>
          <w:rFonts w:ascii="Book Antiqua" w:eastAsia="Book Antiqua" w:hAnsi="Book Antiqua" w:cs="Book Antiqua"/>
          <w:color w:val="000000"/>
        </w:rPr>
        <w:t xml:space="preserve"> D, Stella M, </w:t>
      </w:r>
      <w:proofErr w:type="spellStart"/>
      <w:r>
        <w:rPr>
          <w:rFonts w:ascii="Book Antiqua" w:eastAsia="Book Antiqua" w:hAnsi="Book Antiqua" w:cs="Book Antiqua"/>
          <w:color w:val="000000"/>
        </w:rPr>
        <w:t>Strzałka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Sydorchuk</w:t>
      </w:r>
      <w:proofErr w:type="spellEnd"/>
      <w:r>
        <w:rPr>
          <w:rFonts w:ascii="Book Antiqua" w:eastAsia="Book Antiqua" w:hAnsi="Book Antiqua" w:cs="Book Antiqua"/>
          <w:color w:val="000000"/>
        </w:rPr>
        <w:t xml:space="preserve"> R, Teixeira </w:t>
      </w:r>
      <w:proofErr w:type="spellStart"/>
      <w:r>
        <w:rPr>
          <w:rFonts w:ascii="Book Antiqua" w:eastAsia="Book Antiqua" w:hAnsi="Book Antiqua" w:cs="Book Antiqua"/>
          <w:color w:val="000000"/>
        </w:rPr>
        <w:t>Gonsaga</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Tochie</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Tomadze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Ugoletti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Ulrych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Ümarik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Uzunoglu</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Vasilescu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Vereczkei</w:t>
      </w:r>
      <w:proofErr w:type="spellEnd"/>
      <w:r>
        <w:rPr>
          <w:rFonts w:ascii="Book Antiqua" w:eastAsia="Book Antiqua" w:hAnsi="Book Antiqua" w:cs="Book Antiqua"/>
          <w:color w:val="000000"/>
        </w:rPr>
        <w:t xml:space="preserve"> A, Vlad N, </w:t>
      </w:r>
      <w:proofErr w:type="spellStart"/>
      <w:r>
        <w:rPr>
          <w:rFonts w:ascii="Book Antiqua" w:eastAsia="Book Antiqua" w:hAnsi="Book Antiqua" w:cs="Book Antiqua"/>
          <w:color w:val="000000"/>
        </w:rPr>
        <w:t>Walędziak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Yahya</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Yalkin</w:t>
      </w:r>
      <w:proofErr w:type="spellEnd"/>
      <w:r>
        <w:rPr>
          <w:rFonts w:ascii="Book Antiqua" w:eastAsia="Book Antiqua" w:hAnsi="Book Antiqua" w:cs="Book Antiqua"/>
          <w:color w:val="000000"/>
        </w:rPr>
        <w:t xml:space="preserve"> O, Yilmaz TU,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AE, Yuan KC, Zachariah SK, </w:t>
      </w:r>
      <w:proofErr w:type="spellStart"/>
      <w:r>
        <w:rPr>
          <w:rFonts w:ascii="Book Antiqua" w:eastAsia="Book Antiqua" w:hAnsi="Book Antiqua" w:cs="Book Antiqua"/>
          <w:color w:val="000000"/>
        </w:rPr>
        <w:t>Žilinskas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Zizzo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Pattonieri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GL, Catena F. Physiological parameters for Prognosis in Abdominal Sepsis (PIPAS) Study: a WSES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34 [PMID: 31341511 DOI: 10.1186/s13017-019-0253-2]</w:t>
      </w:r>
    </w:p>
    <w:p w14:paraId="0BB3B0FC" w14:textId="77777777" w:rsidR="00A77B3E" w:rsidRDefault="007159E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Blot S</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Waele</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Vogelaers</w:t>
      </w:r>
      <w:proofErr w:type="spellEnd"/>
      <w:r>
        <w:rPr>
          <w:rFonts w:ascii="Book Antiqua" w:eastAsia="Book Antiqua" w:hAnsi="Book Antiqua" w:cs="Book Antiqua"/>
          <w:color w:val="000000"/>
        </w:rPr>
        <w:t xml:space="preserve"> D. Essentials for selecting antimicrobial therapy for intra-abdominal infections.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e17-e32 [PMID: 22480338 DOI: 10.2165/11599800-000000000-00000]</w:t>
      </w:r>
    </w:p>
    <w:p w14:paraId="079966E0" w14:textId="77777777" w:rsidR="00A77B3E" w:rsidRDefault="007159E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Baron EJ</w:t>
      </w:r>
      <w:r>
        <w:rPr>
          <w:rFonts w:ascii="Book Antiqua" w:eastAsia="Book Antiqua" w:hAnsi="Book Antiqua" w:cs="Book Antiqua"/>
          <w:color w:val="000000"/>
        </w:rPr>
        <w:t xml:space="preserve">, Miller JM, Weinstein MP, Richter SS, Gilligan PH, Thomson RB Jr, Bourbeau P, Carroll KC, </w:t>
      </w:r>
      <w:proofErr w:type="spellStart"/>
      <w:r>
        <w:rPr>
          <w:rFonts w:ascii="Book Antiqua" w:eastAsia="Book Antiqua" w:hAnsi="Book Antiqua" w:cs="Book Antiqua"/>
          <w:color w:val="000000"/>
        </w:rPr>
        <w:t>Kehl</w:t>
      </w:r>
      <w:proofErr w:type="spellEnd"/>
      <w:r>
        <w:rPr>
          <w:rFonts w:ascii="Book Antiqua" w:eastAsia="Book Antiqua" w:hAnsi="Book Antiqua" w:cs="Book Antiqua"/>
          <w:color w:val="000000"/>
        </w:rPr>
        <w:t xml:space="preserve"> SC, Dunne WM, Robinson-Dunn B, Schwartzman JD, Chapin KC, Snyder JW, Forbes BA, Patel R, Rosenblatt JE, Pritt BS. A guide to utilization of the microbiology laboratory for diagnosis of infectious diseases: 2013 recommendations by the Infectious Diseases Society of America (IDSA) and the American Society for Microbiology (ASM)(a).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e22-e121 [PMID: 23845951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/cit278]</w:t>
      </w:r>
    </w:p>
    <w:p w14:paraId="230C631D" w14:textId="77777777" w:rsidR="00A77B3E" w:rsidRDefault="007159E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Hudspeth AS</w:t>
      </w:r>
      <w:r>
        <w:rPr>
          <w:rFonts w:ascii="Book Antiqua" w:eastAsia="Book Antiqua" w:hAnsi="Book Antiqua" w:cs="Book Antiqua"/>
          <w:color w:val="000000"/>
        </w:rPr>
        <w:t xml:space="preserve">. Radical surgical debridement in the treatment of advanced generalized bacterial peritonitis.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1975; </w:t>
      </w:r>
      <w:r>
        <w:rPr>
          <w:rFonts w:ascii="Book Antiqua" w:eastAsia="Book Antiqua" w:hAnsi="Book Antiqua" w:cs="Book Antiqua"/>
          <w:b/>
          <w:bCs/>
          <w:color w:val="000000"/>
        </w:rPr>
        <w:t>110</w:t>
      </w:r>
      <w:r>
        <w:rPr>
          <w:rFonts w:ascii="Book Antiqua" w:eastAsia="Book Antiqua" w:hAnsi="Book Antiqua" w:cs="Book Antiqua"/>
          <w:color w:val="000000"/>
        </w:rPr>
        <w:t>: 1233-1236 [PMID: 1103791 DOI: 10.1001/archsurg.1975.01360160071012]</w:t>
      </w:r>
    </w:p>
    <w:p w14:paraId="2D430ACE" w14:textId="77777777" w:rsidR="00A77B3E" w:rsidRDefault="007159E5">
      <w:pPr>
        <w:spacing w:line="360" w:lineRule="auto"/>
        <w:jc w:val="both"/>
      </w:pPr>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Hau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Ahrenholz</w:t>
      </w:r>
      <w:proofErr w:type="spellEnd"/>
      <w:r>
        <w:rPr>
          <w:rFonts w:ascii="Book Antiqua" w:eastAsia="Book Antiqua" w:hAnsi="Book Antiqua" w:cs="Book Antiqua"/>
          <w:color w:val="000000"/>
        </w:rPr>
        <w:t xml:space="preserve"> DH, Simmons RL. Secondary bacterial peritonitis: the biologic basis of treatment.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Probl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1979; </w:t>
      </w:r>
      <w:r>
        <w:rPr>
          <w:rFonts w:ascii="Book Antiqua" w:eastAsia="Book Antiqua" w:hAnsi="Book Antiqua" w:cs="Book Antiqua"/>
          <w:b/>
          <w:bCs/>
          <w:color w:val="000000"/>
        </w:rPr>
        <w:t>16</w:t>
      </w:r>
      <w:r>
        <w:rPr>
          <w:rFonts w:ascii="Book Antiqua" w:eastAsia="Book Antiqua" w:hAnsi="Book Antiqua" w:cs="Book Antiqua"/>
          <w:color w:val="000000"/>
        </w:rPr>
        <w:t>: 1-65 [PMID: 387340 DOI: 10.1016/s0011-3840(79)80011-8]</w:t>
      </w:r>
    </w:p>
    <w:p w14:paraId="00024E51" w14:textId="77777777" w:rsidR="00A77B3E" w:rsidRDefault="007159E5">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Koperna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Schulz F. Prognosis and treatment of peritonitis. Do we need new scoring systems?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131</w:t>
      </w:r>
      <w:r>
        <w:rPr>
          <w:rFonts w:ascii="Book Antiqua" w:eastAsia="Book Antiqua" w:hAnsi="Book Antiqua" w:cs="Book Antiqua"/>
          <w:color w:val="000000"/>
        </w:rPr>
        <w:t>: 180-186 [PMID: 8611076 DOI: 10.1001/archsurg.1996.01430140070019]</w:t>
      </w:r>
    </w:p>
    <w:p w14:paraId="738325DB" w14:textId="77777777" w:rsidR="00A77B3E" w:rsidRDefault="007159E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van Ruler O</w:t>
      </w:r>
      <w:r>
        <w:rPr>
          <w:rFonts w:ascii="Book Antiqua" w:eastAsia="Book Antiqua" w:hAnsi="Book Antiqua" w:cs="Book Antiqua"/>
          <w:color w:val="000000"/>
        </w:rPr>
        <w:t xml:space="preserve">, Mahler CW, Boer KR, </w:t>
      </w:r>
      <w:proofErr w:type="spellStart"/>
      <w:r>
        <w:rPr>
          <w:rFonts w:ascii="Book Antiqua" w:eastAsia="Book Antiqua" w:hAnsi="Book Antiqua" w:cs="Book Antiqua"/>
          <w:color w:val="000000"/>
        </w:rPr>
        <w:t>Reuland</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Gooszen</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Opmeer</w:t>
      </w:r>
      <w:proofErr w:type="spellEnd"/>
      <w:r>
        <w:rPr>
          <w:rFonts w:ascii="Book Antiqua" w:eastAsia="Book Antiqua" w:hAnsi="Book Antiqua" w:cs="Book Antiqua"/>
          <w:color w:val="000000"/>
        </w:rPr>
        <w:t xml:space="preserve"> BC, de </w:t>
      </w:r>
      <w:proofErr w:type="spellStart"/>
      <w:r>
        <w:rPr>
          <w:rFonts w:ascii="Book Antiqua" w:eastAsia="Book Antiqua" w:hAnsi="Book Antiqua" w:cs="Book Antiqua"/>
          <w:color w:val="000000"/>
        </w:rPr>
        <w:t>Graaf</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Lamme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Gerhards</w:t>
      </w:r>
      <w:proofErr w:type="spellEnd"/>
      <w:r>
        <w:rPr>
          <w:rFonts w:ascii="Book Antiqua" w:eastAsia="Book Antiqua" w:hAnsi="Book Antiqua" w:cs="Book Antiqua"/>
          <w:color w:val="000000"/>
        </w:rPr>
        <w:t xml:space="preserve"> MF, Steller EP, van Till JW, de </w:t>
      </w:r>
      <w:proofErr w:type="spellStart"/>
      <w:r>
        <w:rPr>
          <w:rFonts w:ascii="Book Antiqua" w:eastAsia="Book Antiqua" w:hAnsi="Book Antiqua" w:cs="Book Antiqua"/>
          <w:color w:val="000000"/>
        </w:rPr>
        <w:t>Borgie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Gouma</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MA; Dutch Peritonitis Study Group. Comparison of on-demand </w:t>
      </w:r>
      <w:r>
        <w:rPr>
          <w:rFonts w:ascii="Book Antiqua" w:eastAsia="Book Antiqua" w:hAnsi="Book Antiqua" w:cs="Book Antiqua"/>
          <w:i/>
          <w:iCs/>
          <w:color w:val="000000"/>
        </w:rPr>
        <w:t>vs</w:t>
      </w:r>
      <w:r>
        <w:rPr>
          <w:rFonts w:ascii="Book Antiqua" w:eastAsia="Book Antiqua" w:hAnsi="Book Antiqua" w:cs="Book Antiqua"/>
          <w:color w:val="000000"/>
        </w:rPr>
        <w:t xml:space="preserve"> planned relaparotomy strategy in patients with severe peritonitis: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298</w:t>
      </w:r>
      <w:r>
        <w:rPr>
          <w:rFonts w:ascii="Book Antiqua" w:eastAsia="Book Antiqua" w:hAnsi="Book Antiqua" w:cs="Book Antiqua"/>
          <w:color w:val="000000"/>
        </w:rPr>
        <w:t>: 865-872 [PMID: 17712070 DOI: 10.1001/jama.298.8.865]</w:t>
      </w:r>
    </w:p>
    <w:p w14:paraId="095037C0" w14:textId="77777777" w:rsidR="00A77B3E" w:rsidRDefault="007159E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Eisner R</w:t>
      </w:r>
      <w:r>
        <w:rPr>
          <w:rFonts w:ascii="Book Antiqua" w:eastAsia="Book Antiqua" w:hAnsi="Book Antiqua" w:cs="Book Antiqua"/>
          <w:color w:val="000000"/>
        </w:rPr>
        <w:t xml:space="preserve">, Lippmann N, </w:t>
      </w:r>
      <w:proofErr w:type="spellStart"/>
      <w:r>
        <w:rPr>
          <w:rFonts w:ascii="Book Antiqua" w:eastAsia="Book Antiqua" w:hAnsi="Book Antiqua" w:cs="Book Antiqua"/>
          <w:color w:val="000000"/>
        </w:rPr>
        <w:t>Josten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Rodloff</w:t>
      </w:r>
      <w:proofErr w:type="spellEnd"/>
      <w:r>
        <w:rPr>
          <w:rFonts w:ascii="Book Antiqua" w:eastAsia="Book Antiqua" w:hAnsi="Book Antiqua" w:cs="Book Antiqua"/>
          <w:color w:val="000000"/>
        </w:rPr>
        <w:t xml:space="preserve"> AC, Behrendt D. Development of the Bacterial Spectrum and Antimicrobial Resistance in Surgical Site Infections of Trauma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684-693 [PMID: 31944899 DOI: 10.1089/sur.2019.158]</w:t>
      </w:r>
    </w:p>
    <w:p w14:paraId="65778575" w14:textId="77777777" w:rsidR="00A77B3E" w:rsidRDefault="007159E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Steinbach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Töpper</w:t>
      </w:r>
      <w:proofErr w:type="spellEnd"/>
      <w:r>
        <w:rPr>
          <w:rFonts w:ascii="Book Antiqua" w:eastAsia="Book Antiqua" w:hAnsi="Book Antiqua" w:cs="Book Antiqua"/>
          <w:color w:val="000000"/>
        </w:rPr>
        <w:t xml:space="preserve"> C, Adam T, </w:t>
      </w:r>
      <w:proofErr w:type="spellStart"/>
      <w:r>
        <w:rPr>
          <w:rFonts w:ascii="Book Antiqua" w:eastAsia="Book Antiqua" w:hAnsi="Book Antiqua" w:cs="Book Antiqua"/>
          <w:color w:val="000000"/>
        </w:rPr>
        <w:t>Kees</w:t>
      </w:r>
      <w:proofErr w:type="spellEnd"/>
      <w:r>
        <w:rPr>
          <w:rFonts w:ascii="Book Antiqua" w:eastAsia="Book Antiqua" w:hAnsi="Book Antiqua" w:cs="Book Antiqua"/>
          <w:color w:val="000000"/>
        </w:rPr>
        <w:t xml:space="preserve"> MG. Spectrum adequacy of antibiotic regimens for secondary peritonitis: a retrospective analysis in intermediate and intensive care unit patients.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48 [PMID: 26541549 DOI: 10.1186/s12941-015-0110-4]</w:t>
      </w:r>
    </w:p>
    <w:p w14:paraId="3547C900" w14:textId="77777777" w:rsidR="00A77B3E" w:rsidRDefault="007159E5">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Karlowsky</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Hoban DJ, </w:t>
      </w:r>
      <w:proofErr w:type="spellStart"/>
      <w:r>
        <w:rPr>
          <w:rFonts w:ascii="Book Antiqua" w:eastAsia="Book Antiqua" w:hAnsi="Book Antiqua" w:cs="Book Antiqua"/>
          <w:color w:val="000000"/>
        </w:rPr>
        <w:t>Hackel</w:t>
      </w:r>
      <w:proofErr w:type="spellEnd"/>
      <w:r>
        <w:rPr>
          <w:rFonts w:ascii="Book Antiqua" w:eastAsia="Book Antiqua" w:hAnsi="Book Antiqua" w:cs="Book Antiqua"/>
          <w:color w:val="000000"/>
        </w:rPr>
        <w:t xml:space="preserve"> MA, Lob SH, </w:t>
      </w:r>
      <w:proofErr w:type="spellStart"/>
      <w:r>
        <w:rPr>
          <w:rFonts w:ascii="Book Antiqua" w:eastAsia="Book Antiqua" w:hAnsi="Book Antiqua" w:cs="Book Antiqua"/>
          <w:color w:val="000000"/>
        </w:rPr>
        <w:t>Sahm</w:t>
      </w:r>
      <w:proofErr w:type="spellEnd"/>
      <w:r>
        <w:rPr>
          <w:rFonts w:ascii="Book Antiqua" w:eastAsia="Book Antiqua" w:hAnsi="Book Antiqua" w:cs="Book Antiqua"/>
          <w:color w:val="000000"/>
        </w:rPr>
        <w:t xml:space="preserve"> DF. Resistance among Gram-negative ESKAPE pathogens isolated from hospitalized patients with intra-abdominal and urinary tract infections in Latin American countries: SMART 2013-2015.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343-348 [PMID: 28399424 DOI: 10.1016/j.bjid.2017.03.006]</w:t>
      </w:r>
    </w:p>
    <w:p w14:paraId="1DF6C345" w14:textId="77777777" w:rsidR="00A77B3E" w:rsidRDefault="007159E5">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Bassetti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Righi</w:t>
      </w:r>
      <w:proofErr w:type="spellEnd"/>
      <w:r>
        <w:rPr>
          <w:rFonts w:ascii="Book Antiqua" w:eastAsia="Book Antiqua" w:hAnsi="Book Antiqua" w:cs="Book Antiqua"/>
          <w:color w:val="000000"/>
        </w:rPr>
        <w:t xml:space="preserve"> E. New antibiotics and antimicrobial combination therapy for the treatment of gram-negative bacterial infections.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402-411 [PMID: 26263298 DOI: 10.1097/MCC.0000000000000235]</w:t>
      </w:r>
    </w:p>
    <w:p w14:paraId="1EADDF5F" w14:textId="77777777" w:rsidR="00A77B3E" w:rsidRDefault="007159E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Pappas PG</w:t>
      </w:r>
      <w:r>
        <w:rPr>
          <w:rFonts w:ascii="Book Antiqua" w:eastAsia="Book Antiqua" w:hAnsi="Book Antiqua" w:cs="Book Antiqua"/>
          <w:color w:val="000000"/>
        </w:rPr>
        <w:t xml:space="preserve">, Kauffman CA, Andes DR, Clancy CJ, Marr KA, </w:t>
      </w:r>
      <w:proofErr w:type="spellStart"/>
      <w:r>
        <w:rPr>
          <w:rFonts w:ascii="Book Antiqua" w:eastAsia="Book Antiqua" w:hAnsi="Book Antiqua" w:cs="Book Antiqua"/>
          <w:color w:val="000000"/>
        </w:rPr>
        <w:t>Ostrosky-Zeichner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Reboli</w:t>
      </w:r>
      <w:proofErr w:type="spellEnd"/>
      <w:r>
        <w:rPr>
          <w:rFonts w:ascii="Book Antiqua" w:eastAsia="Book Antiqua" w:hAnsi="Book Antiqua" w:cs="Book Antiqua"/>
          <w:color w:val="000000"/>
        </w:rPr>
        <w:t xml:space="preserve"> AC, Schuster MG, Vazquez JA, Walsh TJ, </w:t>
      </w:r>
      <w:proofErr w:type="spellStart"/>
      <w:r>
        <w:rPr>
          <w:rFonts w:ascii="Book Antiqua" w:eastAsia="Book Antiqua" w:hAnsi="Book Antiqua" w:cs="Book Antiqua"/>
          <w:color w:val="000000"/>
        </w:rPr>
        <w:t>Zaoutis</w:t>
      </w:r>
      <w:proofErr w:type="spellEnd"/>
      <w:r>
        <w:rPr>
          <w:rFonts w:ascii="Book Antiqua" w:eastAsia="Book Antiqua" w:hAnsi="Book Antiqua" w:cs="Book Antiqua"/>
          <w:color w:val="000000"/>
        </w:rPr>
        <w:t xml:space="preserve"> TE, Sobel JD. Executive Summary: Clinical Practice Guideline for the Management of Candidiasis: 2016 Update </w:t>
      </w:r>
      <w:r>
        <w:rPr>
          <w:rFonts w:ascii="Book Antiqua" w:eastAsia="Book Antiqua" w:hAnsi="Book Antiqua" w:cs="Book Antiqua"/>
          <w:color w:val="000000"/>
        </w:rPr>
        <w:lastRenderedPageBreak/>
        <w:t xml:space="preserve">by the Infectious Diseases Society of America.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62</w:t>
      </w:r>
      <w:r>
        <w:rPr>
          <w:rFonts w:ascii="Book Antiqua" w:eastAsia="Book Antiqua" w:hAnsi="Book Antiqua" w:cs="Book Antiqua"/>
          <w:color w:val="000000"/>
        </w:rPr>
        <w:t>: 409-417 [PMID: 26810419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/civ1194]</w:t>
      </w:r>
    </w:p>
    <w:p w14:paraId="0F5F06EC" w14:textId="77777777" w:rsidR="00A77B3E" w:rsidRDefault="007159E5">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Montravers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Lepape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Dubreuil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Gauzit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Dupont</w:t>
      </w:r>
      <w:proofErr w:type="spellEnd"/>
      <w:r>
        <w:rPr>
          <w:rFonts w:ascii="Book Antiqua" w:eastAsia="Book Antiqua" w:hAnsi="Book Antiqua" w:cs="Book Antiqua"/>
          <w:color w:val="000000"/>
        </w:rPr>
        <w:t xml:space="preserve"> H. Clinical and microbiological profiles of community-acquired and nosocomial intra-abdominal infections: results of the French prospective, observational EBIIA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63</w:t>
      </w:r>
      <w:r>
        <w:rPr>
          <w:rFonts w:ascii="Book Antiqua" w:eastAsia="Book Antiqua" w:hAnsi="Book Antiqua" w:cs="Book Antiqua"/>
          <w:color w:val="000000"/>
        </w:rPr>
        <w:t>: 785-794 [PMID: 19196742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/dkp005]</w:t>
      </w:r>
    </w:p>
    <w:p w14:paraId="4B99432E" w14:textId="77777777" w:rsidR="00A77B3E" w:rsidRDefault="007159E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Sawyer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Claridge</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Nathens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Rotstein</w:t>
      </w:r>
      <w:proofErr w:type="spellEnd"/>
      <w:r>
        <w:rPr>
          <w:rFonts w:ascii="Book Antiqua" w:eastAsia="Book Antiqua" w:hAnsi="Book Antiqua" w:cs="Book Antiqua"/>
          <w:color w:val="000000"/>
        </w:rPr>
        <w:t xml:space="preserve"> OD, Duane TM, Evans HL, Cook CH, O'Neill PJ, </w:t>
      </w:r>
      <w:proofErr w:type="spellStart"/>
      <w:r>
        <w:rPr>
          <w:rFonts w:ascii="Book Antiqua" w:eastAsia="Book Antiqua" w:hAnsi="Book Antiqua" w:cs="Book Antiqua"/>
          <w:color w:val="000000"/>
        </w:rPr>
        <w:t>Mazuski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Askari</w:t>
      </w:r>
      <w:proofErr w:type="spellEnd"/>
      <w:r>
        <w:rPr>
          <w:rFonts w:ascii="Book Antiqua" w:eastAsia="Book Antiqua" w:hAnsi="Book Antiqua" w:cs="Book Antiqua"/>
          <w:color w:val="000000"/>
        </w:rPr>
        <w:t xml:space="preserve"> R, Wilson MA, Napolitano LM, </w:t>
      </w:r>
      <w:proofErr w:type="spellStart"/>
      <w:r>
        <w:rPr>
          <w:rFonts w:ascii="Book Antiqua" w:eastAsia="Book Antiqua" w:hAnsi="Book Antiqua" w:cs="Book Antiqua"/>
          <w:color w:val="000000"/>
        </w:rPr>
        <w:t>Namias</w:t>
      </w:r>
      <w:proofErr w:type="spellEnd"/>
      <w:r>
        <w:rPr>
          <w:rFonts w:ascii="Book Antiqua" w:eastAsia="Book Antiqua" w:hAnsi="Book Antiqua" w:cs="Book Antiqua"/>
          <w:color w:val="000000"/>
        </w:rPr>
        <w:t xml:space="preserve"> N, Miller PR, Dellinger EP, Watson CM, Coimbra R, Dent DL, Lowry SF, </w:t>
      </w:r>
      <w:proofErr w:type="spellStart"/>
      <w:r>
        <w:rPr>
          <w:rFonts w:ascii="Book Antiqua" w:eastAsia="Book Antiqua" w:hAnsi="Book Antiqua" w:cs="Book Antiqua"/>
          <w:color w:val="000000"/>
        </w:rPr>
        <w:t>Cocanour</w:t>
      </w:r>
      <w:proofErr w:type="spellEnd"/>
      <w:r>
        <w:rPr>
          <w:rFonts w:ascii="Book Antiqua" w:eastAsia="Book Antiqua" w:hAnsi="Book Antiqua" w:cs="Book Antiqua"/>
          <w:color w:val="000000"/>
        </w:rPr>
        <w:t xml:space="preserve"> CS, West MA, Banton KL, Cheadle WG, Lipsett PA, Guidry CA, </w:t>
      </w:r>
      <w:proofErr w:type="spellStart"/>
      <w:r>
        <w:rPr>
          <w:rFonts w:ascii="Book Antiqua" w:eastAsia="Book Antiqua" w:hAnsi="Book Antiqua" w:cs="Book Antiqua"/>
          <w:color w:val="000000"/>
        </w:rPr>
        <w:t>Popovsky</w:t>
      </w:r>
      <w:proofErr w:type="spellEnd"/>
      <w:r>
        <w:rPr>
          <w:rFonts w:ascii="Book Antiqua" w:eastAsia="Book Antiqua" w:hAnsi="Book Antiqua" w:cs="Book Antiqua"/>
          <w:color w:val="000000"/>
        </w:rPr>
        <w:t xml:space="preserve"> K; STOP-IT Trial Investigators. Trial of short-course antimicrobial therapy for intraabdominal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1996-2005 [PMID: 25992746 DOI: 10.1056/NEJMoa1411162]</w:t>
      </w:r>
    </w:p>
    <w:p w14:paraId="51B3256F" w14:textId="77777777" w:rsidR="00A77B3E" w:rsidRDefault="007159E5">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Mazuski</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Tessier JM, May AK, Sawyer RG, Nadler EP, </w:t>
      </w:r>
      <w:proofErr w:type="spellStart"/>
      <w:r>
        <w:rPr>
          <w:rFonts w:ascii="Book Antiqua" w:eastAsia="Book Antiqua" w:hAnsi="Book Antiqua" w:cs="Book Antiqua"/>
          <w:color w:val="000000"/>
        </w:rPr>
        <w:t>Rosengart</w:t>
      </w:r>
      <w:proofErr w:type="spellEnd"/>
      <w:r>
        <w:rPr>
          <w:rFonts w:ascii="Book Antiqua" w:eastAsia="Book Antiqua" w:hAnsi="Book Antiqua" w:cs="Book Antiqua"/>
          <w:color w:val="000000"/>
        </w:rPr>
        <w:t xml:space="preserve"> MR, Chang PK, O'Neill PJ, </w:t>
      </w:r>
      <w:proofErr w:type="spellStart"/>
      <w:r>
        <w:rPr>
          <w:rFonts w:ascii="Book Antiqua" w:eastAsia="Book Antiqua" w:hAnsi="Book Antiqua" w:cs="Book Antiqua"/>
          <w:color w:val="000000"/>
        </w:rPr>
        <w:t>Mollen</w:t>
      </w:r>
      <w:proofErr w:type="spellEnd"/>
      <w:r>
        <w:rPr>
          <w:rFonts w:ascii="Book Antiqua" w:eastAsia="Book Antiqua" w:hAnsi="Book Antiqua" w:cs="Book Antiqua"/>
          <w:color w:val="000000"/>
        </w:rPr>
        <w:t xml:space="preserve"> KP, Huston JM, Diaz JJ Jr, Prince JM. The Surgical Infection Society Revised Guidelines on the Management of Intra-Abdominal Infection.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1-76 [PMID: 28085573 DOI: 10.1089/sur.2016.261]</w:t>
      </w:r>
    </w:p>
    <w:p w14:paraId="60AFF87A" w14:textId="0D804923" w:rsidR="00A77B3E" w:rsidRDefault="007159E5">
      <w:pPr>
        <w:spacing w:line="360" w:lineRule="auto"/>
        <w:jc w:val="both"/>
      </w:pPr>
      <w:r w:rsidRPr="002B4B31">
        <w:rPr>
          <w:rFonts w:ascii="Book Antiqua" w:eastAsia="Book Antiqua" w:hAnsi="Book Antiqua" w:cs="Book Antiqua"/>
          <w:color w:val="000000"/>
          <w:highlight w:val="yellow"/>
        </w:rPr>
        <w:t xml:space="preserve">46 </w:t>
      </w:r>
      <w:proofErr w:type="spellStart"/>
      <w:r w:rsidRPr="002B4B31">
        <w:rPr>
          <w:rFonts w:ascii="Book Antiqua" w:eastAsia="Book Antiqua" w:hAnsi="Book Antiqua" w:cs="Book Antiqua"/>
          <w:b/>
          <w:bCs/>
          <w:color w:val="000000"/>
          <w:highlight w:val="yellow"/>
        </w:rPr>
        <w:t>Hranjec</w:t>
      </w:r>
      <w:proofErr w:type="spellEnd"/>
      <w:r w:rsidRPr="002B4B31">
        <w:rPr>
          <w:rFonts w:ascii="Book Antiqua" w:eastAsia="Book Antiqua" w:hAnsi="Book Antiqua" w:cs="Book Antiqua"/>
          <w:b/>
          <w:bCs/>
          <w:color w:val="000000"/>
          <w:highlight w:val="yellow"/>
        </w:rPr>
        <w:t xml:space="preserve"> T</w:t>
      </w:r>
      <w:r w:rsidRPr="002B4B31">
        <w:rPr>
          <w:rFonts w:ascii="Book Antiqua" w:eastAsia="Book Antiqua" w:hAnsi="Book Antiqua" w:cs="Book Antiqua"/>
          <w:color w:val="000000"/>
          <w:highlight w:val="yellow"/>
        </w:rPr>
        <w:t>, Watson CM, Sawyer RG. Peritonitis: Definitions of Primary, Secondary, and Tertiary. In: Vincent JL, Hall JB. Encyclopedia of Intensive Care Medicine</w:t>
      </w:r>
      <w:r w:rsidR="006B4C1A">
        <w:rPr>
          <w:rFonts w:ascii="Book Antiqua" w:eastAsia="Book Antiqua" w:hAnsi="Book Antiqua" w:cs="Book Antiqua"/>
          <w:color w:val="000000"/>
          <w:highlight w:val="yellow"/>
        </w:rPr>
        <w:t>;</w:t>
      </w:r>
      <w:r w:rsidR="002B4B31" w:rsidRPr="002B4B31">
        <w:rPr>
          <w:rFonts w:ascii="Book Antiqua" w:eastAsia="Book Antiqua" w:hAnsi="Book Antiqua" w:cs="Book Antiqua"/>
          <w:color w:val="000000"/>
          <w:highlight w:val="yellow"/>
        </w:rPr>
        <w:t xml:space="preserve"> </w:t>
      </w:r>
      <w:r w:rsidRPr="002B4B31">
        <w:rPr>
          <w:rFonts w:ascii="Book Antiqua" w:eastAsia="Book Antiqua" w:hAnsi="Book Antiqua" w:cs="Book Antiqua"/>
          <w:color w:val="000000"/>
          <w:highlight w:val="yellow"/>
        </w:rPr>
        <w:t>2012</w:t>
      </w:r>
      <w:r w:rsidR="002B4B31" w:rsidRPr="002B4B31">
        <w:rPr>
          <w:rFonts w:ascii="Book Antiqua" w:eastAsia="Book Antiqua" w:hAnsi="Book Antiqua" w:cs="Book Antiqua"/>
          <w:color w:val="000000"/>
          <w:highlight w:val="yellow"/>
        </w:rPr>
        <w:t>:</w:t>
      </w:r>
      <w:r w:rsidRPr="002B4B31">
        <w:rPr>
          <w:rFonts w:ascii="Book Antiqua" w:eastAsia="Book Antiqua" w:hAnsi="Book Antiqua" w:cs="Book Antiqua"/>
          <w:color w:val="000000"/>
          <w:highlight w:val="yellow"/>
        </w:rPr>
        <w:t xml:space="preserve"> 1723-1729 [DOI: 10.1007/978-3-642-00418-6_84]</w:t>
      </w:r>
    </w:p>
    <w:p w14:paraId="59DC4266" w14:textId="77777777" w:rsidR="00A77B3E" w:rsidRPr="00AA37B5" w:rsidRDefault="007159E5">
      <w:pPr>
        <w:spacing w:line="360" w:lineRule="auto"/>
        <w:jc w:val="both"/>
      </w:pPr>
      <w:r w:rsidRPr="00AA37B5">
        <w:rPr>
          <w:rFonts w:ascii="Book Antiqua" w:eastAsia="Book Antiqua" w:hAnsi="Book Antiqua" w:cs="Book Antiqua"/>
          <w:color w:val="000000"/>
        </w:rPr>
        <w:t xml:space="preserve">47 </w:t>
      </w:r>
      <w:r w:rsidRPr="00AA37B5">
        <w:rPr>
          <w:rFonts w:ascii="Book Antiqua" w:eastAsia="Book Antiqua" w:hAnsi="Book Antiqua" w:cs="Book Antiqua"/>
          <w:b/>
          <w:bCs/>
          <w:color w:val="000000"/>
        </w:rPr>
        <w:t>Ballus J</w:t>
      </w:r>
      <w:r w:rsidRPr="00AA37B5">
        <w:rPr>
          <w:rFonts w:ascii="Book Antiqua" w:eastAsia="Book Antiqua" w:hAnsi="Book Antiqua" w:cs="Book Antiqua"/>
          <w:color w:val="000000"/>
        </w:rPr>
        <w:t xml:space="preserve">, Lopez-Delgado JC, Sabater-Riera J, Perez-Fernandez XL, Betbese AJ, Roncal JA. </w:t>
      </w:r>
      <w:r>
        <w:rPr>
          <w:rFonts w:ascii="Book Antiqua" w:eastAsia="Book Antiqua" w:hAnsi="Book Antiqua" w:cs="Book Antiqua"/>
          <w:color w:val="000000"/>
        </w:rPr>
        <w:t xml:space="preserve">Surgical site infection in critically ill patients with secondary and tertiary peritonitis: epidemiology, microbiology and influence in outcomes. </w:t>
      </w:r>
      <w:r w:rsidRPr="00AA37B5">
        <w:rPr>
          <w:rFonts w:ascii="Book Antiqua" w:eastAsia="Book Antiqua" w:hAnsi="Book Antiqua" w:cs="Book Antiqua"/>
          <w:i/>
          <w:iCs/>
          <w:color w:val="000000"/>
        </w:rPr>
        <w:t>BMC Infect Dis</w:t>
      </w:r>
      <w:r w:rsidRPr="00AA37B5">
        <w:rPr>
          <w:rFonts w:ascii="Book Antiqua" w:eastAsia="Book Antiqua" w:hAnsi="Book Antiqua" w:cs="Book Antiqua"/>
          <w:color w:val="000000"/>
        </w:rPr>
        <w:t xml:space="preserve"> 2015; </w:t>
      </w:r>
      <w:r w:rsidRPr="00AA37B5">
        <w:rPr>
          <w:rFonts w:ascii="Book Antiqua" w:eastAsia="Book Antiqua" w:hAnsi="Book Antiqua" w:cs="Book Antiqua"/>
          <w:b/>
          <w:bCs/>
          <w:color w:val="000000"/>
        </w:rPr>
        <w:t>15</w:t>
      </w:r>
      <w:r w:rsidRPr="00AA37B5">
        <w:rPr>
          <w:rFonts w:ascii="Book Antiqua" w:eastAsia="Book Antiqua" w:hAnsi="Book Antiqua" w:cs="Book Antiqua"/>
          <w:color w:val="000000"/>
        </w:rPr>
        <w:t>: 304 [PMID: 26223477 DOI: 10.1186/s12879-015-1050-5]</w:t>
      </w:r>
    </w:p>
    <w:p w14:paraId="71EC3A56" w14:textId="77777777" w:rsidR="00A77B3E" w:rsidRDefault="007159E5">
      <w:pPr>
        <w:spacing w:line="360" w:lineRule="auto"/>
        <w:jc w:val="both"/>
      </w:pPr>
      <w:r w:rsidRPr="00AA37B5">
        <w:rPr>
          <w:rFonts w:ascii="Book Antiqua" w:eastAsia="Book Antiqua" w:hAnsi="Book Antiqua" w:cs="Book Antiqua"/>
          <w:color w:val="000000"/>
        </w:rPr>
        <w:t xml:space="preserve">48 </w:t>
      </w:r>
      <w:r w:rsidRPr="00AA37B5">
        <w:rPr>
          <w:rFonts w:ascii="Book Antiqua" w:eastAsia="Book Antiqua" w:hAnsi="Book Antiqua" w:cs="Book Antiqua"/>
          <w:b/>
          <w:bCs/>
          <w:color w:val="000000"/>
        </w:rPr>
        <w:t>Ballus J</w:t>
      </w:r>
      <w:r w:rsidRPr="00AA37B5">
        <w:rPr>
          <w:rFonts w:ascii="Book Antiqua" w:eastAsia="Book Antiqua" w:hAnsi="Book Antiqua" w:cs="Book Antiqua"/>
          <w:color w:val="000000"/>
        </w:rPr>
        <w:t xml:space="preserve">, Lopez-Delgado JC, Sabater-Riera J, Perez-Fernandez XL, Betbese AJ, Roncal JA. </w:t>
      </w:r>
      <w:r>
        <w:rPr>
          <w:rFonts w:ascii="Book Antiqua" w:eastAsia="Book Antiqua" w:hAnsi="Book Antiqua" w:cs="Book Antiqua"/>
          <w:color w:val="000000"/>
        </w:rPr>
        <w:t xml:space="preserve">Factors Associated with the Development of Tertiary Peritonitis in Critically Ill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588-595 [PMID: 28353418 DOI: 10.1089/sur.2016.018]</w:t>
      </w:r>
    </w:p>
    <w:p w14:paraId="0E86FC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7FDCC7" w14:textId="77777777" w:rsidR="00A77B3E" w:rsidRDefault="007159E5">
      <w:pPr>
        <w:spacing w:line="360" w:lineRule="auto"/>
        <w:jc w:val="both"/>
      </w:pPr>
      <w:r>
        <w:rPr>
          <w:rFonts w:ascii="Book Antiqua" w:eastAsia="Book Antiqua" w:hAnsi="Book Antiqua" w:cs="Book Antiqua"/>
          <w:b/>
          <w:color w:val="000000"/>
        </w:rPr>
        <w:lastRenderedPageBreak/>
        <w:t>Footnotes</w:t>
      </w:r>
    </w:p>
    <w:p w14:paraId="2345B3A2" w14:textId="0EECC47C" w:rsidR="00A77B3E" w:rsidRDefault="007159E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There is no conflict of interest associated with the senior author or </w:t>
      </w:r>
      <w:r w:rsidR="00145C7B">
        <w:rPr>
          <w:rFonts w:ascii="Book Antiqua" w:eastAsia="Book Antiqua" w:hAnsi="Book Antiqua" w:cs="Book Antiqua"/>
          <w:color w:val="000000"/>
        </w:rPr>
        <w:t xml:space="preserve">any of the </w:t>
      </w:r>
      <w:r>
        <w:rPr>
          <w:rFonts w:ascii="Book Antiqua" w:eastAsia="Book Antiqua" w:hAnsi="Book Antiqua" w:cs="Book Antiqua"/>
          <w:color w:val="000000"/>
        </w:rPr>
        <w:t xml:space="preserve">other coauthors </w:t>
      </w:r>
      <w:r w:rsidR="00145C7B">
        <w:rPr>
          <w:rFonts w:ascii="Book Antiqua" w:eastAsia="Book Antiqua" w:hAnsi="Book Antiqua" w:cs="Book Antiqua"/>
          <w:color w:val="000000"/>
        </w:rPr>
        <w:t xml:space="preserve">who </w:t>
      </w:r>
      <w:r>
        <w:rPr>
          <w:rFonts w:ascii="Book Antiqua" w:eastAsia="Book Antiqua" w:hAnsi="Book Antiqua" w:cs="Book Antiqua"/>
          <w:color w:val="000000"/>
        </w:rPr>
        <w:t xml:space="preserve">contributed their efforts </w:t>
      </w:r>
      <w:r w:rsidR="00145C7B">
        <w:rPr>
          <w:rFonts w:ascii="Book Antiqua" w:eastAsia="Book Antiqua" w:hAnsi="Book Antiqua" w:cs="Book Antiqua"/>
          <w:color w:val="000000"/>
        </w:rPr>
        <w:t>to</w:t>
      </w:r>
      <w:r>
        <w:rPr>
          <w:rFonts w:ascii="Book Antiqua" w:eastAsia="Book Antiqua" w:hAnsi="Book Antiqua" w:cs="Book Antiqua"/>
          <w:color w:val="000000"/>
        </w:rPr>
        <w:t xml:space="preserve"> this manuscript.</w:t>
      </w:r>
    </w:p>
    <w:p w14:paraId="440912B6" w14:textId="77777777" w:rsidR="00A77B3E" w:rsidRDefault="00A77B3E">
      <w:pPr>
        <w:spacing w:line="360" w:lineRule="auto"/>
        <w:jc w:val="both"/>
      </w:pPr>
    </w:p>
    <w:p w14:paraId="2B1FA72F" w14:textId="77777777" w:rsidR="00A77B3E" w:rsidRDefault="007159E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5D9275" w14:textId="77777777" w:rsidR="00A77B3E" w:rsidRDefault="00A77B3E">
      <w:pPr>
        <w:spacing w:line="360" w:lineRule="auto"/>
        <w:jc w:val="both"/>
      </w:pPr>
    </w:p>
    <w:p w14:paraId="38C89149" w14:textId="4864FBD5" w:rsidR="00A77B3E" w:rsidRDefault="007159E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2B4B3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17A5DE3" w14:textId="77777777" w:rsidR="00A77B3E" w:rsidRDefault="00A77B3E">
      <w:pPr>
        <w:spacing w:line="360" w:lineRule="auto"/>
        <w:jc w:val="both"/>
      </w:pPr>
    </w:p>
    <w:p w14:paraId="4E708210" w14:textId="77777777" w:rsidR="00A77B3E" w:rsidRDefault="007159E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27, 2020</w:t>
      </w:r>
    </w:p>
    <w:p w14:paraId="4D3A8D49" w14:textId="77777777" w:rsidR="00A77B3E" w:rsidRDefault="007159E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27, 2020</w:t>
      </w:r>
    </w:p>
    <w:p w14:paraId="5A4AF6EB" w14:textId="1B6F5680" w:rsidR="00A77B3E" w:rsidRDefault="007159E5">
      <w:pPr>
        <w:spacing w:line="360" w:lineRule="auto"/>
        <w:jc w:val="both"/>
      </w:pPr>
      <w:r>
        <w:rPr>
          <w:rFonts w:ascii="Book Antiqua" w:eastAsia="Book Antiqua" w:hAnsi="Book Antiqua" w:cs="Book Antiqua"/>
          <w:b/>
          <w:color w:val="000000"/>
        </w:rPr>
        <w:t xml:space="preserve">Article in press: </w:t>
      </w:r>
      <w:r w:rsidR="00CE03B2" w:rsidRPr="00CE03B2">
        <w:rPr>
          <w:rFonts w:ascii="Book Antiqua" w:eastAsia="Book Antiqua" w:hAnsi="Book Antiqua" w:cs="Book Antiqua"/>
          <w:color w:val="000000"/>
        </w:rPr>
        <w:t xml:space="preserve">February </w:t>
      </w:r>
      <w:r w:rsidR="00CE03B2" w:rsidRPr="00CE03B2">
        <w:rPr>
          <w:rFonts w:ascii="Book Antiqua" w:hAnsi="Book Antiqua" w:cs="Book Antiqua" w:hint="eastAsia"/>
          <w:color w:val="000000"/>
          <w:lang w:eastAsia="zh-CN"/>
        </w:rPr>
        <w:t>4</w:t>
      </w:r>
      <w:r w:rsidR="00CE03B2" w:rsidRPr="00CE03B2">
        <w:rPr>
          <w:rFonts w:ascii="Book Antiqua" w:eastAsia="Book Antiqua" w:hAnsi="Book Antiqua" w:cs="Book Antiqua"/>
          <w:color w:val="000000"/>
        </w:rPr>
        <w:t>, 2021</w:t>
      </w:r>
    </w:p>
    <w:p w14:paraId="08EF8791" w14:textId="77777777" w:rsidR="00A77B3E" w:rsidRDefault="00A77B3E">
      <w:pPr>
        <w:spacing w:line="360" w:lineRule="auto"/>
        <w:jc w:val="both"/>
      </w:pPr>
    </w:p>
    <w:p w14:paraId="68307242" w14:textId="4C0BD909" w:rsidR="00A77B3E" w:rsidRDefault="007159E5">
      <w:pPr>
        <w:spacing w:line="360" w:lineRule="auto"/>
        <w:jc w:val="both"/>
      </w:pPr>
      <w:r>
        <w:rPr>
          <w:rFonts w:ascii="Book Antiqua" w:eastAsia="Book Antiqua" w:hAnsi="Book Antiqua" w:cs="Book Antiqua"/>
          <w:b/>
          <w:color w:val="000000"/>
        </w:rPr>
        <w:t xml:space="preserve">Specialty type: </w:t>
      </w:r>
      <w:r w:rsidR="002B4B31" w:rsidRPr="00E700C2">
        <w:rPr>
          <w:rFonts w:ascii="Book Antiqua" w:eastAsia="微软雅黑" w:hAnsi="Book Antiqua" w:cs="宋体"/>
        </w:rPr>
        <w:t>Medicine, research and experimental</w:t>
      </w:r>
    </w:p>
    <w:p w14:paraId="259C2ABD" w14:textId="77777777" w:rsidR="00A77B3E" w:rsidRDefault="007159E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7320698D" w14:textId="77777777" w:rsidR="00A77B3E" w:rsidRDefault="007159E5">
      <w:pPr>
        <w:spacing w:line="360" w:lineRule="auto"/>
        <w:jc w:val="both"/>
      </w:pPr>
      <w:r>
        <w:rPr>
          <w:rFonts w:ascii="Book Antiqua" w:eastAsia="Book Antiqua" w:hAnsi="Book Antiqua" w:cs="Book Antiqua"/>
          <w:b/>
          <w:color w:val="000000"/>
        </w:rPr>
        <w:t>Peer-review report’s scientific quality classification</w:t>
      </w:r>
    </w:p>
    <w:p w14:paraId="3D7E3EB5" w14:textId="77777777" w:rsidR="00A77B3E" w:rsidRDefault="007159E5">
      <w:pPr>
        <w:spacing w:line="360" w:lineRule="auto"/>
        <w:jc w:val="both"/>
      </w:pPr>
      <w:r>
        <w:rPr>
          <w:rFonts w:ascii="Book Antiqua" w:eastAsia="Book Antiqua" w:hAnsi="Book Antiqua" w:cs="Book Antiqua"/>
          <w:color w:val="000000"/>
        </w:rPr>
        <w:t>Grade A (Excellent): 0</w:t>
      </w:r>
    </w:p>
    <w:p w14:paraId="2F388297" w14:textId="4071AF9E" w:rsidR="00A77B3E" w:rsidRDefault="007159E5">
      <w:pPr>
        <w:spacing w:line="360" w:lineRule="auto"/>
        <w:jc w:val="both"/>
      </w:pPr>
      <w:r>
        <w:rPr>
          <w:rFonts w:ascii="Book Antiqua" w:eastAsia="Book Antiqua" w:hAnsi="Book Antiqua" w:cs="Book Antiqua"/>
          <w:color w:val="000000"/>
        </w:rPr>
        <w:t>Grade B (Very good): B</w:t>
      </w:r>
      <w:r w:rsidR="002B4B31">
        <w:rPr>
          <w:rFonts w:ascii="Book Antiqua" w:eastAsia="Book Antiqua" w:hAnsi="Book Antiqua" w:cs="Book Antiqua"/>
          <w:color w:val="000000"/>
        </w:rPr>
        <w:t>, B</w:t>
      </w:r>
    </w:p>
    <w:p w14:paraId="25F6B6B8" w14:textId="77777777" w:rsidR="00A77B3E" w:rsidRDefault="007159E5">
      <w:pPr>
        <w:spacing w:line="360" w:lineRule="auto"/>
        <w:jc w:val="both"/>
      </w:pPr>
      <w:r>
        <w:rPr>
          <w:rFonts w:ascii="Book Antiqua" w:eastAsia="Book Antiqua" w:hAnsi="Book Antiqua" w:cs="Book Antiqua"/>
          <w:color w:val="000000"/>
        </w:rPr>
        <w:t>Grade C (Good): 0</w:t>
      </w:r>
    </w:p>
    <w:p w14:paraId="04CC7ED9" w14:textId="77777777" w:rsidR="00A77B3E" w:rsidRDefault="007159E5">
      <w:pPr>
        <w:spacing w:line="360" w:lineRule="auto"/>
        <w:jc w:val="both"/>
      </w:pPr>
      <w:r>
        <w:rPr>
          <w:rFonts w:ascii="Book Antiqua" w:eastAsia="Book Antiqua" w:hAnsi="Book Antiqua" w:cs="Book Antiqua"/>
          <w:color w:val="000000"/>
        </w:rPr>
        <w:t>Grade D (Fair): 0</w:t>
      </w:r>
    </w:p>
    <w:p w14:paraId="342B01AE" w14:textId="77777777" w:rsidR="00A77B3E" w:rsidRDefault="007159E5">
      <w:pPr>
        <w:spacing w:line="360" w:lineRule="auto"/>
        <w:jc w:val="both"/>
      </w:pPr>
      <w:r>
        <w:rPr>
          <w:rFonts w:ascii="Book Antiqua" w:eastAsia="Book Antiqua" w:hAnsi="Book Antiqua" w:cs="Book Antiqua"/>
          <w:color w:val="000000"/>
        </w:rPr>
        <w:t>Grade E (Poor): 0</w:t>
      </w:r>
    </w:p>
    <w:p w14:paraId="70EC488C" w14:textId="77777777" w:rsidR="00A77B3E" w:rsidRDefault="00A77B3E">
      <w:pPr>
        <w:spacing w:line="360" w:lineRule="auto"/>
        <w:jc w:val="both"/>
      </w:pPr>
    </w:p>
    <w:p w14:paraId="33A828FB" w14:textId="5AE9F91E" w:rsidR="00A77B3E" w:rsidRDefault="007159E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Lutz P</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7C459A">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w:t>
      </w:r>
      <w:r w:rsidR="00CE03B2">
        <w:rPr>
          <w:rFonts w:ascii="Book Antiqua" w:hAnsi="Book Antiqua" w:cs="Book Antiqua" w:hint="eastAsia"/>
          <w:b/>
          <w:color w:val="000000"/>
          <w:lang w:eastAsia="zh-CN"/>
        </w:rPr>
        <w:t xml:space="preserve"> </w:t>
      </w:r>
      <w:r w:rsidR="00CE03B2" w:rsidRPr="00CE03B2">
        <w:rPr>
          <w:rFonts w:ascii="Book Antiqua" w:eastAsia="Book Antiqua" w:hAnsi="Book Antiqua" w:cs="Book Antiqua"/>
          <w:color w:val="000000"/>
        </w:rPr>
        <w:t>Liu JH</w:t>
      </w:r>
    </w:p>
    <w:p w14:paraId="5539046B" w14:textId="09D2311B" w:rsidR="00A77B3E" w:rsidRDefault="007159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B2A010" w14:textId="616E211C" w:rsidR="00C06BA8" w:rsidRDefault="00C06BA8">
      <w:pPr>
        <w:spacing w:line="360" w:lineRule="auto"/>
        <w:jc w:val="both"/>
        <w:rPr>
          <w:noProof/>
          <w:lang w:eastAsia="zh-CN"/>
        </w:rPr>
      </w:pPr>
    </w:p>
    <w:p w14:paraId="58F91081" w14:textId="10CBAEB4" w:rsidR="006B4C1A" w:rsidRDefault="006B4C1A">
      <w:pPr>
        <w:spacing w:line="360" w:lineRule="auto"/>
        <w:jc w:val="both"/>
      </w:pPr>
      <w:r>
        <w:rPr>
          <w:noProof/>
          <w:lang w:eastAsia="zh-CN"/>
        </w:rPr>
        <w:drawing>
          <wp:inline distT="0" distB="0" distL="0" distR="0" wp14:anchorId="5A2448EE" wp14:editId="3366FB83">
            <wp:extent cx="5930265" cy="3684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265" cy="3684905"/>
                    </a:xfrm>
                    <a:prstGeom prst="rect">
                      <a:avLst/>
                    </a:prstGeom>
                    <a:noFill/>
                    <a:ln>
                      <a:noFill/>
                    </a:ln>
                  </pic:spPr>
                </pic:pic>
              </a:graphicData>
            </a:graphic>
          </wp:inline>
        </w:drawing>
      </w:r>
    </w:p>
    <w:p w14:paraId="076B518B" w14:textId="5E292B6C" w:rsidR="00AA3994" w:rsidRDefault="007159E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C06BA8">
        <w:rPr>
          <w:rFonts w:ascii="Book Antiqua" w:eastAsia="Book Antiqua" w:hAnsi="Book Antiqua" w:cs="Book Antiqua"/>
          <w:b/>
          <w:bCs/>
          <w:color w:val="000000"/>
        </w:rPr>
        <w:t xml:space="preserve"> </w:t>
      </w:r>
      <w:r>
        <w:rPr>
          <w:rFonts w:ascii="Book Antiqua" w:eastAsia="Book Antiqua" w:hAnsi="Book Antiqua" w:cs="Book Antiqua"/>
          <w:b/>
          <w:bCs/>
          <w:color w:val="000000"/>
        </w:rPr>
        <w:t>Stratification of intra-abdominal infections</w:t>
      </w:r>
      <w:r w:rsidRPr="00C06BA8">
        <w:rPr>
          <w:rFonts w:ascii="Book Antiqua" w:eastAsia="Book Antiqua" w:hAnsi="Book Antiqua" w:cs="Book Antiqua"/>
          <w:b/>
          <w:bCs/>
          <w:color w:val="000000"/>
        </w:rPr>
        <w:t>.</w:t>
      </w:r>
      <w:r>
        <w:rPr>
          <w:rFonts w:ascii="Book Antiqua" w:eastAsia="Book Antiqua" w:hAnsi="Book Antiqua" w:cs="Book Antiqua"/>
          <w:color w:val="000000"/>
        </w:rPr>
        <w:t xml:space="preserve"> GIT: Gastrointestinal tract</w:t>
      </w:r>
      <w:r w:rsidR="00C06BA8">
        <w:rPr>
          <w:rFonts w:ascii="Book Antiqua" w:eastAsia="Book Antiqua" w:hAnsi="Book Antiqua" w:cs="Book Antiqua"/>
          <w:color w:val="000000"/>
        </w:rPr>
        <w:t>;</w:t>
      </w:r>
      <w:r>
        <w:rPr>
          <w:rFonts w:ascii="Book Antiqua" w:eastAsia="Book Antiqua" w:hAnsi="Book Antiqua" w:cs="Book Antiqua"/>
          <w:color w:val="000000"/>
        </w:rPr>
        <w:t xml:space="preserve"> </w:t>
      </w:r>
      <w:r w:rsidR="00145C7B">
        <w:rPr>
          <w:rFonts w:ascii="Book Antiqua" w:eastAsia="Book Antiqua" w:hAnsi="Book Antiqua" w:cs="Book Antiqua"/>
          <w:color w:val="000000"/>
        </w:rPr>
        <w:t xml:space="preserve">NP: Nosocomial pathogens; </w:t>
      </w:r>
      <w:r>
        <w:rPr>
          <w:rFonts w:ascii="Book Antiqua" w:eastAsia="Book Antiqua" w:hAnsi="Book Antiqua" w:cs="Book Antiqua"/>
          <w:color w:val="000000"/>
        </w:rPr>
        <w:t>SP: Secondary peritonitis</w:t>
      </w:r>
      <w:r w:rsidR="00C06BA8">
        <w:rPr>
          <w:rFonts w:ascii="Book Antiqua" w:eastAsia="Book Antiqua" w:hAnsi="Book Antiqua" w:cs="Book Antiqua"/>
          <w:color w:val="000000"/>
        </w:rPr>
        <w:t>.</w:t>
      </w:r>
    </w:p>
    <w:p w14:paraId="68A918F9" w14:textId="03514BCE" w:rsidR="00A77B3E" w:rsidRDefault="00AA399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AA3994">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AA3994">
        <w:rPr>
          <w:rFonts w:ascii="Book Antiqua" w:eastAsia="Book Antiqua" w:hAnsi="Book Antiqua" w:cs="Book Antiqua"/>
          <w:b/>
          <w:bCs/>
          <w:color w:val="000000"/>
        </w:rPr>
        <w:t>Adjuvant therapy in tertiary peritonitis</w:t>
      </w:r>
    </w:p>
    <w:tbl>
      <w:tblPr>
        <w:tblW w:w="0" w:type="auto"/>
        <w:tblCellMar>
          <w:top w:w="15" w:type="dxa"/>
          <w:left w:w="15" w:type="dxa"/>
          <w:bottom w:w="15" w:type="dxa"/>
          <w:right w:w="15" w:type="dxa"/>
        </w:tblCellMar>
        <w:tblLook w:val="04A0" w:firstRow="1" w:lastRow="0" w:firstColumn="1" w:lastColumn="0" w:noHBand="0" w:noVBand="1"/>
      </w:tblPr>
      <w:tblGrid>
        <w:gridCol w:w="2415"/>
        <w:gridCol w:w="4424"/>
        <w:gridCol w:w="2721"/>
      </w:tblGrid>
      <w:tr w:rsidR="00D719B1" w:rsidRPr="00B54858" w14:paraId="26EEC610" w14:textId="77777777" w:rsidTr="00D719B1">
        <w:trPr>
          <w:trHeight w:val="875"/>
        </w:trPr>
        <w:tc>
          <w:tcPr>
            <w:tcW w:w="0" w:type="auto"/>
            <w:tcBorders>
              <w:top w:val="single" w:sz="4" w:space="0" w:color="auto"/>
              <w:bottom w:val="single" w:sz="4" w:space="0" w:color="auto"/>
            </w:tcBorders>
            <w:tcMar>
              <w:top w:w="100" w:type="dxa"/>
              <w:left w:w="100" w:type="dxa"/>
              <w:bottom w:w="100" w:type="dxa"/>
              <w:right w:w="100" w:type="dxa"/>
            </w:tcMar>
            <w:hideMark/>
          </w:tcPr>
          <w:p w14:paraId="153288BA" w14:textId="77777777" w:rsidR="00AA3994" w:rsidRPr="00AA3994" w:rsidRDefault="00AA3994" w:rsidP="00AA3994">
            <w:pPr>
              <w:spacing w:line="360" w:lineRule="auto"/>
              <w:jc w:val="both"/>
              <w:rPr>
                <w:rFonts w:ascii="Book Antiqua" w:eastAsia="Times New Roman" w:hAnsi="Book Antiqua"/>
                <w:b/>
                <w:bCs/>
                <w:lang w:eastAsia="pt-BR"/>
              </w:rPr>
            </w:pPr>
            <w:r w:rsidRPr="00AA3994">
              <w:rPr>
                <w:rFonts w:ascii="Book Antiqua" w:eastAsia="Times New Roman" w:hAnsi="Book Antiqua"/>
                <w:b/>
                <w:bCs/>
                <w:color w:val="000000"/>
                <w:lang w:eastAsia="pt-BR"/>
              </w:rPr>
              <w:t>Microorganisms</w:t>
            </w:r>
          </w:p>
        </w:tc>
        <w:tc>
          <w:tcPr>
            <w:tcW w:w="0" w:type="auto"/>
            <w:tcBorders>
              <w:top w:val="single" w:sz="4" w:space="0" w:color="auto"/>
              <w:bottom w:val="single" w:sz="4" w:space="0" w:color="auto"/>
            </w:tcBorders>
            <w:tcMar>
              <w:top w:w="100" w:type="dxa"/>
              <w:left w:w="100" w:type="dxa"/>
              <w:bottom w:w="100" w:type="dxa"/>
              <w:right w:w="100" w:type="dxa"/>
            </w:tcMar>
            <w:hideMark/>
          </w:tcPr>
          <w:p w14:paraId="4EB3F653" w14:textId="77777777" w:rsidR="00AA3994" w:rsidRPr="00AA3994" w:rsidRDefault="00AA3994" w:rsidP="00AA3994">
            <w:pPr>
              <w:spacing w:line="360" w:lineRule="auto"/>
              <w:jc w:val="both"/>
              <w:rPr>
                <w:rFonts w:ascii="Book Antiqua" w:eastAsia="Times New Roman" w:hAnsi="Book Antiqua"/>
                <w:b/>
                <w:bCs/>
                <w:lang w:eastAsia="pt-BR"/>
              </w:rPr>
            </w:pPr>
            <w:r w:rsidRPr="00AA3994">
              <w:rPr>
                <w:rFonts w:ascii="Book Antiqua" w:eastAsia="Times New Roman" w:hAnsi="Book Antiqua"/>
                <w:b/>
                <w:bCs/>
                <w:color w:val="000000"/>
                <w:lang w:eastAsia="pt-BR"/>
              </w:rPr>
              <w:t>Antimicrobial drugs</w:t>
            </w:r>
          </w:p>
        </w:tc>
        <w:tc>
          <w:tcPr>
            <w:tcW w:w="0" w:type="auto"/>
            <w:tcBorders>
              <w:top w:val="single" w:sz="4" w:space="0" w:color="auto"/>
              <w:bottom w:val="single" w:sz="4" w:space="0" w:color="auto"/>
            </w:tcBorders>
            <w:tcMar>
              <w:top w:w="100" w:type="dxa"/>
              <w:left w:w="100" w:type="dxa"/>
              <w:bottom w:w="100" w:type="dxa"/>
              <w:right w:w="100" w:type="dxa"/>
            </w:tcMar>
            <w:hideMark/>
          </w:tcPr>
          <w:p w14:paraId="681C762F" w14:textId="3B4838EB" w:rsidR="00AA3994" w:rsidRPr="00AA3994" w:rsidRDefault="00AA3994" w:rsidP="00D719B1">
            <w:pPr>
              <w:spacing w:line="360" w:lineRule="auto"/>
              <w:jc w:val="both"/>
              <w:rPr>
                <w:rFonts w:ascii="Book Antiqua" w:eastAsia="Times New Roman" w:hAnsi="Book Antiqua"/>
                <w:b/>
                <w:bCs/>
                <w:lang w:eastAsia="pt-BR"/>
              </w:rPr>
            </w:pPr>
            <w:r w:rsidRPr="00AA3994">
              <w:rPr>
                <w:rFonts w:ascii="Book Antiqua" w:eastAsia="Times New Roman" w:hAnsi="Book Antiqua"/>
                <w:b/>
                <w:bCs/>
                <w:color w:val="000000"/>
                <w:lang w:eastAsia="pt-BR"/>
              </w:rPr>
              <w:t xml:space="preserve">Treatment </w:t>
            </w:r>
            <w:r w:rsidR="00D719B1" w:rsidRPr="00AA3994">
              <w:rPr>
                <w:rFonts w:ascii="Book Antiqua" w:eastAsia="Times New Roman" w:hAnsi="Book Antiqua"/>
                <w:b/>
                <w:bCs/>
                <w:color w:val="000000"/>
                <w:lang w:eastAsia="pt-BR"/>
              </w:rPr>
              <w:t>d</w:t>
            </w:r>
            <w:r w:rsidRPr="00AA3994">
              <w:rPr>
                <w:rFonts w:ascii="Book Antiqua" w:eastAsia="Times New Roman" w:hAnsi="Book Antiqua"/>
                <w:b/>
                <w:bCs/>
                <w:color w:val="000000"/>
                <w:lang w:eastAsia="pt-BR"/>
              </w:rPr>
              <w:t>uration</w:t>
            </w:r>
            <w:r w:rsidR="00D719B1">
              <w:rPr>
                <w:rFonts w:ascii="Book Antiqua" w:eastAsia="Times New Roman" w:hAnsi="Book Antiqua"/>
                <w:b/>
                <w:bCs/>
                <w:color w:val="000000"/>
                <w:lang w:eastAsia="pt-BR"/>
              </w:rPr>
              <w:t xml:space="preserve"> </w:t>
            </w:r>
            <w:r w:rsidRPr="00AA3994">
              <w:rPr>
                <w:rFonts w:ascii="Book Antiqua" w:eastAsia="Times New Roman" w:hAnsi="Book Antiqua"/>
                <w:b/>
                <w:bCs/>
                <w:color w:val="000000"/>
                <w:lang w:eastAsia="pt-BR"/>
              </w:rPr>
              <w:t>(for all regimens)</w:t>
            </w:r>
          </w:p>
        </w:tc>
      </w:tr>
      <w:tr w:rsidR="00AA3994" w:rsidRPr="00807417" w14:paraId="28E77227" w14:textId="77777777" w:rsidTr="00446131">
        <w:trPr>
          <w:trHeight w:val="3470"/>
        </w:trPr>
        <w:tc>
          <w:tcPr>
            <w:tcW w:w="0" w:type="auto"/>
            <w:tcBorders>
              <w:top w:val="single" w:sz="4" w:space="0" w:color="auto"/>
            </w:tcBorders>
            <w:tcMar>
              <w:top w:w="100" w:type="dxa"/>
              <w:left w:w="100" w:type="dxa"/>
              <w:bottom w:w="100" w:type="dxa"/>
              <w:right w:w="100" w:type="dxa"/>
            </w:tcMar>
            <w:hideMark/>
          </w:tcPr>
          <w:p w14:paraId="055D39B6" w14:textId="106A8448"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Gram-negative bacilli and multidrug-resistant pathogens</w:t>
            </w:r>
          </w:p>
        </w:tc>
        <w:tc>
          <w:tcPr>
            <w:tcW w:w="0" w:type="auto"/>
            <w:tcBorders>
              <w:top w:val="single" w:sz="4" w:space="0" w:color="auto"/>
            </w:tcBorders>
            <w:tcMar>
              <w:top w:w="100" w:type="dxa"/>
              <w:left w:w="100" w:type="dxa"/>
              <w:bottom w:w="100" w:type="dxa"/>
              <w:right w:w="100" w:type="dxa"/>
            </w:tcMar>
            <w:hideMark/>
          </w:tcPr>
          <w:p w14:paraId="599CDE42" w14:textId="480A2BC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Meropenem or imipenem-cilastatin or piperacillin-tazobactam or doripenem</w:t>
            </w:r>
            <w:r>
              <w:rPr>
                <w:rFonts w:ascii="Book Antiqua" w:eastAsia="Times New Roman" w:hAnsi="Book Antiqua"/>
                <w:color w:val="000000"/>
                <w:lang w:eastAsia="pt-BR"/>
              </w:rPr>
              <w:t xml:space="preserve">; </w:t>
            </w:r>
            <w:r w:rsidRPr="007B7399">
              <w:rPr>
                <w:rFonts w:ascii="Book Antiqua" w:eastAsia="Times New Roman" w:hAnsi="Book Antiqua"/>
                <w:color w:val="212121"/>
                <w:shd w:val="clear" w:color="auto" w:fill="FFFFFF"/>
                <w:lang w:eastAsia="pt-BR"/>
              </w:rPr>
              <w:t>Anaerobic microorganism</w:t>
            </w:r>
            <w:r w:rsidRPr="007B7399">
              <w:rPr>
                <w:rFonts w:ascii="Book Antiqua" w:eastAsia="Times New Roman" w:hAnsi="Book Antiqua"/>
                <w:color w:val="000000"/>
                <w:lang w:eastAsia="pt-BR"/>
              </w:rPr>
              <w:t>s:</w:t>
            </w:r>
            <w:r>
              <w:rPr>
                <w:rFonts w:ascii="Book Antiqua" w:eastAsia="Times New Roman" w:hAnsi="Book Antiqua"/>
                <w:color w:val="000000"/>
                <w:lang w:eastAsia="pt-BR"/>
              </w:rPr>
              <w:t xml:space="preserve"> </w:t>
            </w:r>
            <w:r w:rsidRPr="007B7399">
              <w:rPr>
                <w:rFonts w:ascii="Book Antiqua" w:eastAsia="Times New Roman" w:hAnsi="Book Antiqua"/>
                <w:color w:val="212121"/>
                <w:shd w:val="clear" w:color="auto" w:fill="FFFFFF"/>
                <w:lang w:eastAsia="pt-BR"/>
              </w:rPr>
              <w:t>ceftazidime or cefepime associated with metronidazole</w:t>
            </w:r>
            <w:r>
              <w:rPr>
                <w:rFonts w:ascii="Book Antiqua" w:eastAsia="Times New Roman" w:hAnsi="Book Antiqua"/>
                <w:color w:val="212121"/>
                <w:shd w:val="clear" w:color="auto" w:fill="FFFFFF"/>
                <w:lang w:eastAsia="pt-BR"/>
              </w:rPr>
              <w:t xml:space="preserve">; </w:t>
            </w:r>
            <w:r w:rsidRPr="007B7399">
              <w:rPr>
                <w:rFonts w:ascii="Book Antiqua" w:eastAsia="Times New Roman" w:hAnsi="Book Antiqua"/>
                <w:color w:val="000000"/>
                <w:lang w:eastAsia="pt-BR"/>
              </w:rPr>
              <w:t>New schemes:</w:t>
            </w:r>
            <w:r>
              <w:rPr>
                <w:rFonts w:ascii="Book Antiqua" w:eastAsia="Times New Roman" w:hAnsi="Book Antiqua"/>
                <w:color w:val="000000"/>
                <w:lang w:eastAsia="pt-BR"/>
              </w:rPr>
              <w:t xml:space="preserve"> c</w:t>
            </w:r>
            <w:r w:rsidRPr="007B7399">
              <w:rPr>
                <w:rFonts w:ascii="Book Antiqua" w:eastAsia="Times New Roman" w:hAnsi="Book Antiqua"/>
                <w:color w:val="000000"/>
                <w:lang w:eastAsia="pt-BR"/>
              </w:rPr>
              <w:t>eftolozana or ceftazidime + tazobactam or avibactam</w:t>
            </w:r>
            <w:r>
              <w:rPr>
                <w:rFonts w:ascii="Book Antiqua" w:eastAsia="Times New Roman" w:hAnsi="Book Antiqua"/>
                <w:color w:val="000000"/>
                <w:lang w:eastAsia="pt-BR"/>
              </w:rPr>
              <w:t xml:space="preserve">; </w:t>
            </w:r>
            <w:r w:rsidRPr="007B7399">
              <w:rPr>
                <w:rFonts w:ascii="Book Antiqua" w:eastAsia="Times New Roman" w:hAnsi="Book Antiqua"/>
                <w:color w:val="000000"/>
                <w:lang w:eastAsia="pt-BR"/>
              </w:rPr>
              <w:t>Fluorocyclines</w:t>
            </w:r>
          </w:p>
        </w:tc>
        <w:tc>
          <w:tcPr>
            <w:tcW w:w="0" w:type="auto"/>
            <w:vMerge w:val="restart"/>
            <w:tcBorders>
              <w:top w:val="single" w:sz="4" w:space="0" w:color="auto"/>
            </w:tcBorders>
            <w:tcMar>
              <w:top w:w="100" w:type="dxa"/>
              <w:left w:w="100" w:type="dxa"/>
              <w:bottom w:w="100" w:type="dxa"/>
              <w:right w:w="100" w:type="dxa"/>
            </w:tcMar>
            <w:hideMark/>
          </w:tcPr>
          <w:p w14:paraId="6378B5E8" w14:textId="01EBCB04"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212121"/>
                <w:shd w:val="clear" w:color="auto" w:fill="FFFFFF"/>
                <w:lang w:eastAsia="pt-BR"/>
              </w:rPr>
              <w:t>Patients with controlled infectious focus</w:t>
            </w:r>
            <w:r w:rsidRPr="007B7399">
              <w:rPr>
                <w:rFonts w:ascii="Book Antiqua" w:eastAsia="Times New Roman" w:hAnsi="Book Antiqua"/>
                <w:color w:val="000000"/>
                <w:lang w:eastAsia="pt-BR"/>
              </w:rPr>
              <w:t>:</w:t>
            </w:r>
            <w:r>
              <w:rPr>
                <w:rFonts w:ascii="Book Antiqua" w:eastAsia="Times New Roman" w:hAnsi="Book Antiqua"/>
                <w:color w:val="000000"/>
                <w:lang w:eastAsia="pt-BR"/>
              </w:rPr>
              <w:t xml:space="preserve"> </w:t>
            </w:r>
            <w:r w:rsidRPr="007B7399">
              <w:rPr>
                <w:rFonts w:ascii="Book Antiqua" w:eastAsia="Times New Roman" w:hAnsi="Book Antiqua"/>
                <w:color w:val="212121"/>
                <w:shd w:val="clear" w:color="auto" w:fill="FFFFFF"/>
                <w:lang w:eastAsia="pt-BR"/>
              </w:rPr>
              <w:t>no more than 96 h</w:t>
            </w:r>
            <w:r>
              <w:rPr>
                <w:rFonts w:ascii="Book Antiqua" w:eastAsia="Times New Roman" w:hAnsi="Book Antiqua"/>
                <w:color w:val="212121"/>
                <w:shd w:val="clear" w:color="auto" w:fill="FFFFFF"/>
                <w:lang w:eastAsia="pt-BR"/>
              </w:rPr>
              <w:t xml:space="preserve">. </w:t>
            </w:r>
            <w:r w:rsidRPr="007B7399">
              <w:rPr>
                <w:rFonts w:ascii="Book Antiqua" w:eastAsia="Times New Roman" w:hAnsi="Book Antiqua"/>
                <w:color w:val="212121"/>
                <w:shd w:val="clear" w:color="auto" w:fill="FFFFFF"/>
                <w:lang w:eastAsia="pt-BR"/>
              </w:rPr>
              <w:t>Patients who not yet undergone definitive control of the infectious focus:</w:t>
            </w:r>
            <w:r>
              <w:rPr>
                <w:rFonts w:ascii="Book Antiqua" w:eastAsia="Times New Roman" w:hAnsi="Book Antiqua"/>
                <w:color w:val="212121"/>
                <w:shd w:val="clear" w:color="auto" w:fill="FFFFFF"/>
                <w:lang w:eastAsia="pt-BR"/>
              </w:rPr>
              <w:t xml:space="preserve"> </w:t>
            </w:r>
            <w:r w:rsidRPr="007B7399">
              <w:rPr>
                <w:rFonts w:ascii="Book Antiqua" w:eastAsia="Times New Roman" w:hAnsi="Book Antiqua"/>
                <w:color w:val="212121"/>
                <w:shd w:val="clear" w:color="auto" w:fill="FFFFFF"/>
                <w:lang w:eastAsia="pt-BR"/>
              </w:rPr>
              <w:t>5-7 d</w:t>
            </w:r>
          </w:p>
        </w:tc>
      </w:tr>
      <w:tr w:rsidR="00AA3994" w:rsidRPr="007B7399" w14:paraId="0B741FBC" w14:textId="77777777" w:rsidTr="00446131">
        <w:trPr>
          <w:trHeight w:val="258"/>
        </w:trPr>
        <w:tc>
          <w:tcPr>
            <w:tcW w:w="0" w:type="auto"/>
            <w:tcMar>
              <w:top w:w="100" w:type="dxa"/>
              <w:left w:w="100" w:type="dxa"/>
              <w:bottom w:w="100" w:type="dxa"/>
              <w:right w:w="100" w:type="dxa"/>
            </w:tcMar>
            <w:hideMark/>
          </w:tcPr>
          <w:p w14:paraId="52131916"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i/>
                <w:iCs/>
                <w:color w:val="212121"/>
                <w:shd w:val="clear" w:color="auto" w:fill="FFFFFF"/>
                <w:lang w:eastAsia="pt-BR"/>
              </w:rPr>
              <w:t>Enterococcus spp</w:t>
            </w:r>
          </w:p>
        </w:tc>
        <w:tc>
          <w:tcPr>
            <w:tcW w:w="0" w:type="auto"/>
            <w:tcMar>
              <w:top w:w="100" w:type="dxa"/>
              <w:left w:w="100" w:type="dxa"/>
              <w:bottom w:w="100" w:type="dxa"/>
              <w:right w:w="100" w:type="dxa"/>
            </w:tcMar>
            <w:hideMark/>
          </w:tcPr>
          <w:p w14:paraId="41B62F71"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212121"/>
                <w:lang w:eastAsia="pt-BR"/>
              </w:rPr>
              <w:t>Include ampicillin or vancomycin</w:t>
            </w:r>
          </w:p>
        </w:tc>
        <w:tc>
          <w:tcPr>
            <w:tcW w:w="0" w:type="auto"/>
            <w:vMerge/>
            <w:hideMark/>
          </w:tcPr>
          <w:p w14:paraId="0546E2B6" w14:textId="77777777" w:rsidR="00AA3994" w:rsidRPr="007B7399" w:rsidRDefault="00AA3994" w:rsidP="00AA3994">
            <w:pPr>
              <w:spacing w:line="360" w:lineRule="auto"/>
              <w:jc w:val="both"/>
              <w:rPr>
                <w:rFonts w:ascii="Book Antiqua" w:eastAsia="Times New Roman" w:hAnsi="Book Antiqua"/>
                <w:lang w:eastAsia="pt-BR"/>
              </w:rPr>
            </w:pPr>
          </w:p>
        </w:tc>
      </w:tr>
      <w:tr w:rsidR="00AA3994" w:rsidRPr="007B7399" w14:paraId="5EC2CB08" w14:textId="77777777" w:rsidTr="00446131">
        <w:trPr>
          <w:trHeight w:val="324"/>
        </w:trPr>
        <w:tc>
          <w:tcPr>
            <w:tcW w:w="0" w:type="auto"/>
            <w:tcMar>
              <w:top w:w="100" w:type="dxa"/>
              <w:left w:w="100" w:type="dxa"/>
              <w:bottom w:w="100" w:type="dxa"/>
              <w:right w:w="100" w:type="dxa"/>
            </w:tcMar>
            <w:hideMark/>
          </w:tcPr>
          <w:p w14:paraId="00F22AF2"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MRSA</w:t>
            </w:r>
          </w:p>
        </w:tc>
        <w:tc>
          <w:tcPr>
            <w:tcW w:w="0" w:type="auto"/>
            <w:tcMar>
              <w:top w:w="100" w:type="dxa"/>
              <w:left w:w="100" w:type="dxa"/>
              <w:bottom w:w="100" w:type="dxa"/>
              <w:right w:w="100" w:type="dxa"/>
            </w:tcMar>
            <w:hideMark/>
          </w:tcPr>
          <w:p w14:paraId="65662981"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Include vancomycin</w:t>
            </w:r>
          </w:p>
        </w:tc>
        <w:tc>
          <w:tcPr>
            <w:tcW w:w="0" w:type="auto"/>
            <w:vMerge/>
            <w:hideMark/>
          </w:tcPr>
          <w:p w14:paraId="1B531E6C" w14:textId="77777777" w:rsidR="00AA3994" w:rsidRPr="007B7399" w:rsidRDefault="00AA3994" w:rsidP="00AA3994">
            <w:pPr>
              <w:spacing w:line="360" w:lineRule="auto"/>
              <w:jc w:val="both"/>
              <w:rPr>
                <w:rFonts w:ascii="Book Antiqua" w:eastAsia="Times New Roman" w:hAnsi="Book Antiqua"/>
                <w:lang w:eastAsia="pt-BR"/>
              </w:rPr>
            </w:pPr>
          </w:p>
        </w:tc>
      </w:tr>
      <w:tr w:rsidR="00AA3994" w:rsidRPr="007B7399" w14:paraId="53C0BEF3" w14:textId="77777777" w:rsidTr="00446131">
        <w:trPr>
          <w:trHeight w:val="660"/>
        </w:trPr>
        <w:tc>
          <w:tcPr>
            <w:tcW w:w="0" w:type="auto"/>
            <w:tcBorders>
              <w:bottom w:val="single" w:sz="4" w:space="0" w:color="auto"/>
            </w:tcBorders>
            <w:tcMar>
              <w:top w:w="100" w:type="dxa"/>
              <w:left w:w="100" w:type="dxa"/>
              <w:bottom w:w="100" w:type="dxa"/>
              <w:right w:w="100" w:type="dxa"/>
            </w:tcMar>
            <w:hideMark/>
          </w:tcPr>
          <w:p w14:paraId="71F3DBC7" w14:textId="77777777" w:rsidR="00AA3994" w:rsidRPr="007B7399" w:rsidRDefault="00AA3994" w:rsidP="00AA3994">
            <w:pPr>
              <w:spacing w:line="360" w:lineRule="auto"/>
              <w:jc w:val="both"/>
              <w:rPr>
                <w:rFonts w:ascii="Book Antiqua" w:eastAsia="Times New Roman" w:hAnsi="Book Antiqua"/>
                <w:lang w:eastAsia="pt-BR"/>
              </w:rPr>
            </w:pPr>
            <w:r w:rsidRPr="007B7399">
              <w:rPr>
                <w:rFonts w:ascii="Book Antiqua" w:eastAsia="Times New Roman" w:hAnsi="Book Antiqua"/>
                <w:i/>
                <w:iCs/>
                <w:color w:val="212121"/>
                <w:shd w:val="clear" w:color="auto" w:fill="FFFFFF"/>
                <w:lang w:eastAsia="pt-BR"/>
              </w:rPr>
              <w:t>Candida spp</w:t>
            </w:r>
          </w:p>
        </w:tc>
        <w:tc>
          <w:tcPr>
            <w:tcW w:w="0" w:type="auto"/>
            <w:tcBorders>
              <w:bottom w:val="single" w:sz="4" w:space="0" w:color="auto"/>
            </w:tcBorders>
            <w:tcMar>
              <w:top w:w="100" w:type="dxa"/>
              <w:left w:w="100" w:type="dxa"/>
              <w:bottom w:w="100" w:type="dxa"/>
              <w:right w:w="100" w:type="dxa"/>
            </w:tcMar>
            <w:hideMark/>
          </w:tcPr>
          <w:p w14:paraId="092B879A" w14:textId="43D457C0" w:rsidR="00AA3994" w:rsidRPr="007B7399" w:rsidRDefault="00AA3994" w:rsidP="00D719B1">
            <w:pPr>
              <w:spacing w:line="360" w:lineRule="auto"/>
              <w:jc w:val="both"/>
              <w:rPr>
                <w:rFonts w:ascii="Book Antiqua" w:eastAsia="Times New Roman" w:hAnsi="Book Antiqua"/>
                <w:lang w:eastAsia="pt-BR"/>
              </w:rPr>
            </w:pPr>
            <w:r w:rsidRPr="007B7399">
              <w:rPr>
                <w:rFonts w:ascii="Book Antiqua" w:eastAsia="Times New Roman" w:hAnsi="Book Antiqua"/>
                <w:color w:val="000000"/>
                <w:lang w:eastAsia="pt-BR"/>
              </w:rPr>
              <w:t>Critical patients:</w:t>
            </w:r>
            <w:r w:rsidR="00D719B1">
              <w:rPr>
                <w:rFonts w:ascii="Book Antiqua" w:eastAsia="Times New Roman" w:hAnsi="Book Antiqua"/>
                <w:color w:val="000000"/>
                <w:lang w:eastAsia="pt-BR"/>
              </w:rPr>
              <w:t xml:space="preserve"> e</w:t>
            </w:r>
            <w:r w:rsidRPr="007B7399">
              <w:rPr>
                <w:rFonts w:ascii="Book Antiqua" w:eastAsia="Times New Roman" w:hAnsi="Book Antiqua"/>
                <w:color w:val="000000"/>
                <w:lang w:eastAsia="pt-BR"/>
              </w:rPr>
              <w:t>chinocandins</w:t>
            </w:r>
            <w:r w:rsidR="00D719B1">
              <w:rPr>
                <w:rFonts w:ascii="Book Antiqua" w:eastAsia="Times New Roman" w:hAnsi="Book Antiqua"/>
                <w:color w:val="000000"/>
                <w:lang w:eastAsia="pt-BR"/>
              </w:rPr>
              <w:t xml:space="preserve">; </w:t>
            </w:r>
            <w:r w:rsidRPr="007B7399">
              <w:rPr>
                <w:rFonts w:ascii="Book Antiqua" w:eastAsia="Times New Roman" w:hAnsi="Book Antiqua"/>
                <w:color w:val="000000"/>
                <w:lang w:eastAsia="pt-BR"/>
              </w:rPr>
              <w:t>Patients in clinical remission:</w:t>
            </w:r>
            <w:r w:rsidR="00D719B1">
              <w:rPr>
                <w:rFonts w:ascii="Book Antiqua" w:eastAsia="Times New Roman" w:hAnsi="Book Antiqua"/>
                <w:color w:val="000000"/>
                <w:lang w:eastAsia="pt-BR"/>
              </w:rPr>
              <w:t xml:space="preserve"> a</w:t>
            </w:r>
            <w:r w:rsidRPr="007B7399">
              <w:rPr>
                <w:rFonts w:ascii="Book Antiqua" w:eastAsia="Times New Roman" w:hAnsi="Book Antiqua"/>
                <w:color w:val="000000"/>
                <w:lang w:eastAsia="pt-BR"/>
              </w:rPr>
              <w:t>zoles</w:t>
            </w:r>
          </w:p>
        </w:tc>
        <w:tc>
          <w:tcPr>
            <w:tcW w:w="0" w:type="auto"/>
            <w:vMerge/>
            <w:tcBorders>
              <w:bottom w:val="single" w:sz="4" w:space="0" w:color="auto"/>
            </w:tcBorders>
            <w:hideMark/>
          </w:tcPr>
          <w:p w14:paraId="65FDC6CE" w14:textId="77777777" w:rsidR="00AA3994" w:rsidRPr="007B7399" w:rsidRDefault="00AA3994" w:rsidP="00AA3994">
            <w:pPr>
              <w:spacing w:line="360" w:lineRule="auto"/>
              <w:jc w:val="both"/>
              <w:rPr>
                <w:rFonts w:ascii="Book Antiqua" w:eastAsia="Times New Roman" w:hAnsi="Book Antiqua"/>
                <w:lang w:eastAsia="pt-BR"/>
              </w:rPr>
            </w:pPr>
          </w:p>
        </w:tc>
      </w:tr>
    </w:tbl>
    <w:p w14:paraId="60D5CD1D" w14:textId="5853E8BB" w:rsidR="003F33B4" w:rsidRDefault="00D719B1">
      <w:pPr>
        <w:spacing w:line="360" w:lineRule="auto"/>
        <w:jc w:val="both"/>
        <w:rPr>
          <w:rFonts w:ascii="Book Antiqua" w:hAnsi="Book Antiqua"/>
        </w:rPr>
      </w:pPr>
      <w:r w:rsidRPr="00D719B1">
        <w:rPr>
          <w:rFonts w:ascii="Book Antiqua" w:hAnsi="Book Antiqua"/>
        </w:rPr>
        <w:t xml:space="preserve">MRSA: Methicillin-resistant </w:t>
      </w:r>
      <w:r w:rsidRPr="00D719B1">
        <w:rPr>
          <w:rFonts w:ascii="Book Antiqua" w:hAnsi="Book Antiqua"/>
          <w:i/>
          <w:iCs/>
        </w:rPr>
        <w:t>Staphylococcus aureus</w:t>
      </w:r>
      <w:r w:rsidRPr="00D719B1">
        <w:rPr>
          <w:rFonts w:ascii="Book Antiqua" w:hAnsi="Book Antiqua"/>
        </w:rPr>
        <w:t>.</w:t>
      </w:r>
    </w:p>
    <w:p w14:paraId="26143CAE" w14:textId="77777777" w:rsidR="003F33B4" w:rsidRDefault="003F33B4">
      <w:pPr>
        <w:rPr>
          <w:rFonts w:ascii="Book Antiqua" w:hAnsi="Book Antiqua"/>
        </w:rPr>
      </w:pPr>
      <w:r>
        <w:rPr>
          <w:rFonts w:ascii="Book Antiqua" w:hAnsi="Book Antiqua"/>
        </w:rPr>
        <w:br w:type="page"/>
      </w:r>
    </w:p>
    <w:p w14:paraId="37D6DF30" w14:textId="77777777" w:rsidR="003F33B4" w:rsidRDefault="003F33B4" w:rsidP="003F33B4">
      <w:pPr>
        <w:jc w:val="center"/>
        <w:rPr>
          <w:rFonts w:ascii="Book Antiqua" w:hAnsi="Book Antiqua"/>
        </w:rPr>
      </w:pPr>
    </w:p>
    <w:p w14:paraId="493D07E8" w14:textId="77777777" w:rsidR="003F33B4" w:rsidRDefault="003F33B4" w:rsidP="003F33B4">
      <w:pPr>
        <w:jc w:val="center"/>
        <w:rPr>
          <w:rFonts w:ascii="Book Antiqua" w:hAnsi="Book Antiqua"/>
        </w:rPr>
      </w:pPr>
    </w:p>
    <w:p w14:paraId="45653675" w14:textId="77777777" w:rsidR="003F33B4" w:rsidRDefault="003F33B4" w:rsidP="003F33B4">
      <w:pPr>
        <w:jc w:val="center"/>
        <w:rPr>
          <w:rFonts w:ascii="Book Antiqua" w:hAnsi="Book Antiqua"/>
        </w:rPr>
      </w:pPr>
    </w:p>
    <w:p w14:paraId="56E704EA" w14:textId="77777777" w:rsidR="003F33B4" w:rsidRDefault="003F33B4" w:rsidP="003F33B4">
      <w:pPr>
        <w:jc w:val="center"/>
        <w:rPr>
          <w:rFonts w:ascii="Book Antiqua" w:hAnsi="Book Antiqua"/>
        </w:rPr>
      </w:pPr>
    </w:p>
    <w:p w14:paraId="77B459C0" w14:textId="77777777" w:rsidR="003F33B4" w:rsidRDefault="003F33B4" w:rsidP="003F33B4">
      <w:pPr>
        <w:jc w:val="center"/>
        <w:rPr>
          <w:rFonts w:ascii="Book Antiqua" w:hAnsi="Book Antiqua"/>
        </w:rPr>
      </w:pPr>
    </w:p>
    <w:p w14:paraId="5CE4054C" w14:textId="62AD2B13" w:rsidR="003F33B4" w:rsidRDefault="003F33B4" w:rsidP="003F33B4">
      <w:pPr>
        <w:jc w:val="center"/>
        <w:rPr>
          <w:rFonts w:ascii="Book Antiqua" w:hAnsi="Book Antiqua"/>
        </w:rPr>
      </w:pPr>
      <w:r>
        <w:rPr>
          <w:rFonts w:ascii="Book Antiqua" w:hAnsi="Book Antiqua"/>
          <w:noProof/>
          <w:lang w:eastAsia="zh-CN"/>
        </w:rPr>
        <w:drawing>
          <wp:inline distT="0" distB="0" distL="0" distR="0" wp14:anchorId="2E535625" wp14:editId="1EE8C3D3">
            <wp:extent cx="2495550" cy="1438910"/>
            <wp:effectExtent l="0" t="0" r="0" b="889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910"/>
                    </a:xfrm>
                    <a:prstGeom prst="rect">
                      <a:avLst/>
                    </a:prstGeom>
                    <a:noFill/>
                    <a:ln>
                      <a:noFill/>
                    </a:ln>
                  </pic:spPr>
                </pic:pic>
              </a:graphicData>
            </a:graphic>
          </wp:inline>
        </w:drawing>
      </w:r>
    </w:p>
    <w:p w14:paraId="32AC19B0" w14:textId="77777777" w:rsidR="003F33B4" w:rsidRDefault="003F33B4" w:rsidP="003F33B4">
      <w:pPr>
        <w:jc w:val="center"/>
        <w:rPr>
          <w:rFonts w:ascii="Book Antiqua" w:hAnsi="Book Antiqua"/>
        </w:rPr>
      </w:pPr>
    </w:p>
    <w:p w14:paraId="0F62500E" w14:textId="77777777" w:rsidR="003F33B4" w:rsidRDefault="003F33B4" w:rsidP="003F33B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9A5D7C4" w14:textId="77777777" w:rsidR="003F33B4" w:rsidRDefault="003F33B4" w:rsidP="003F33B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535A42" w14:textId="77777777" w:rsidR="003F33B4" w:rsidRDefault="003F33B4" w:rsidP="003F33B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BA90EE" w14:textId="77777777" w:rsidR="003F33B4" w:rsidRDefault="003F33B4" w:rsidP="003F33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56FD83" w14:textId="77777777" w:rsidR="003F33B4" w:rsidRDefault="003F33B4" w:rsidP="003F33B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E485884" w14:textId="77777777" w:rsidR="003F33B4" w:rsidRDefault="003F33B4" w:rsidP="003F33B4">
      <w:pPr>
        <w:jc w:val="center"/>
        <w:rPr>
          <w:rFonts w:ascii="Book Antiqua" w:hAnsi="Book Antiqua"/>
        </w:rPr>
      </w:pPr>
      <w:r>
        <w:rPr>
          <w:rFonts w:ascii="Book Antiqua" w:eastAsia="TimesNewRomanPSMT" w:hAnsi="Book Antiqua" w:cs="Garamond"/>
          <w:color w:val="D56400"/>
          <w:sz w:val="28"/>
          <w:szCs w:val="28"/>
        </w:rPr>
        <w:t>https://www.wjgnet.com</w:t>
      </w:r>
    </w:p>
    <w:p w14:paraId="28789633" w14:textId="77777777" w:rsidR="003F33B4" w:rsidRDefault="003F33B4" w:rsidP="003F33B4">
      <w:pPr>
        <w:jc w:val="center"/>
        <w:rPr>
          <w:rFonts w:ascii="Book Antiqua" w:hAnsi="Book Antiqua"/>
        </w:rPr>
      </w:pPr>
    </w:p>
    <w:p w14:paraId="3526D8A0" w14:textId="77777777" w:rsidR="003F33B4" w:rsidRDefault="003F33B4" w:rsidP="003F33B4">
      <w:pPr>
        <w:jc w:val="center"/>
        <w:rPr>
          <w:rFonts w:ascii="Book Antiqua" w:hAnsi="Book Antiqua"/>
        </w:rPr>
      </w:pPr>
    </w:p>
    <w:p w14:paraId="2E515183" w14:textId="77777777" w:rsidR="003F33B4" w:rsidRDefault="003F33B4" w:rsidP="003F33B4">
      <w:pPr>
        <w:jc w:val="center"/>
        <w:rPr>
          <w:rFonts w:ascii="Book Antiqua" w:hAnsi="Book Antiqua"/>
        </w:rPr>
      </w:pPr>
    </w:p>
    <w:p w14:paraId="00B0CAD6" w14:textId="1FC117E5" w:rsidR="003F33B4" w:rsidRDefault="003F33B4" w:rsidP="003F33B4">
      <w:pPr>
        <w:jc w:val="center"/>
        <w:rPr>
          <w:rFonts w:ascii="Book Antiqua" w:hAnsi="Book Antiqua"/>
        </w:rPr>
      </w:pPr>
      <w:r>
        <w:rPr>
          <w:rFonts w:ascii="Book Antiqua" w:hAnsi="Book Antiqua"/>
          <w:noProof/>
          <w:lang w:eastAsia="zh-CN"/>
        </w:rPr>
        <w:drawing>
          <wp:inline distT="0" distB="0" distL="0" distR="0" wp14:anchorId="4E1C8994" wp14:editId="7A7CC5E7">
            <wp:extent cx="1446530" cy="1438910"/>
            <wp:effectExtent l="0" t="0" r="1270" b="889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8910"/>
                    </a:xfrm>
                    <a:prstGeom prst="rect">
                      <a:avLst/>
                    </a:prstGeom>
                    <a:noFill/>
                    <a:ln>
                      <a:noFill/>
                    </a:ln>
                  </pic:spPr>
                </pic:pic>
              </a:graphicData>
            </a:graphic>
          </wp:inline>
        </w:drawing>
      </w:r>
    </w:p>
    <w:p w14:paraId="196228B8" w14:textId="77777777" w:rsidR="003F33B4" w:rsidRDefault="003F33B4" w:rsidP="003F33B4">
      <w:pPr>
        <w:jc w:val="center"/>
        <w:rPr>
          <w:rFonts w:ascii="Book Antiqua" w:hAnsi="Book Antiqua"/>
        </w:rPr>
      </w:pPr>
    </w:p>
    <w:p w14:paraId="65C0DE6E" w14:textId="77777777" w:rsidR="003F33B4" w:rsidRDefault="003F33B4" w:rsidP="003F33B4">
      <w:pPr>
        <w:jc w:val="center"/>
        <w:rPr>
          <w:rFonts w:ascii="Book Antiqua" w:hAnsi="Book Antiqua"/>
        </w:rPr>
      </w:pPr>
    </w:p>
    <w:p w14:paraId="33220129" w14:textId="77777777" w:rsidR="003F33B4" w:rsidRDefault="003F33B4" w:rsidP="003F33B4">
      <w:pPr>
        <w:jc w:val="center"/>
        <w:rPr>
          <w:rFonts w:ascii="Book Antiqua" w:hAnsi="Book Antiqua"/>
        </w:rPr>
      </w:pPr>
    </w:p>
    <w:p w14:paraId="3A933FF0" w14:textId="77777777" w:rsidR="003F33B4" w:rsidRDefault="003F33B4" w:rsidP="003F33B4">
      <w:pPr>
        <w:jc w:val="center"/>
        <w:rPr>
          <w:rFonts w:ascii="Book Antiqua" w:hAnsi="Book Antiqua"/>
        </w:rPr>
      </w:pPr>
    </w:p>
    <w:p w14:paraId="3E089CF3" w14:textId="77777777" w:rsidR="003F33B4" w:rsidRDefault="003F33B4" w:rsidP="003F33B4">
      <w:pPr>
        <w:jc w:val="center"/>
        <w:rPr>
          <w:rFonts w:ascii="Book Antiqua" w:hAnsi="Book Antiqua"/>
        </w:rPr>
      </w:pPr>
    </w:p>
    <w:p w14:paraId="6B79EA0B" w14:textId="77777777" w:rsidR="003F33B4" w:rsidRDefault="003F33B4" w:rsidP="003F33B4">
      <w:pPr>
        <w:jc w:val="right"/>
        <w:rPr>
          <w:rFonts w:ascii="Book Antiqua" w:hAnsi="Book Antiqua"/>
          <w:color w:val="000000" w:themeColor="text1"/>
        </w:rPr>
      </w:pPr>
    </w:p>
    <w:p w14:paraId="3F14AB0C" w14:textId="77777777" w:rsidR="003F33B4" w:rsidRDefault="003F33B4" w:rsidP="003F33B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6F2B95D" w14:textId="77777777" w:rsidR="003F33B4" w:rsidRDefault="003F33B4" w:rsidP="003F33B4">
      <w:pPr>
        <w:snapToGrid w:val="0"/>
        <w:spacing w:line="360" w:lineRule="auto"/>
        <w:rPr>
          <w:rFonts w:asciiTheme="minorEastAsia" w:hAnsiTheme="minorEastAsia"/>
          <w:b/>
        </w:rPr>
      </w:pPr>
    </w:p>
    <w:p w14:paraId="393C45F0" w14:textId="77777777" w:rsidR="00AA3994" w:rsidRPr="00D719B1" w:rsidRDefault="00AA3994">
      <w:pPr>
        <w:spacing w:line="360" w:lineRule="auto"/>
        <w:jc w:val="both"/>
        <w:rPr>
          <w:rFonts w:ascii="Book Antiqua" w:hAnsi="Book Antiqua"/>
        </w:rPr>
      </w:pPr>
      <w:bookmarkStart w:id="4" w:name="_GoBack"/>
      <w:bookmarkEnd w:id="4"/>
    </w:p>
    <w:sectPr w:rsidR="00AA3994" w:rsidRPr="00D71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EA5E" w14:textId="77777777" w:rsidR="00AF2A67" w:rsidRDefault="00AF2A67" w:rsidP="002B4B31">
      <w:r>
        <w:separator/>
      </w:r>
    </w:p>
  </w:endnote>
  <w:endnote w:type="continuationSeparator" w:id="0">
    <w:p w14:paraId="730766C5" w14:textId="77777777" w:rsidR="00AF2A67" w:rsidRDefault="00AF2A67" w:rsidP="002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4210152"/>
      <w:docPartObj>
        <w:docPartGallery w:val="Page Numbers (Bottom of Page)"/>
        <w:docPartUnique/>
      </w:docPartObj>
    </w:sdtPr>
    <w:sdtEndPr>
      <w:rPr>
        <w:noProof/>
      </w:rPr>
    </w:sdtEndPr>
    <w:sdtContent>
      <w:p w14:paraId="7F4EF47C" w14:textId="5EA347E0" w:rsidR="00285495" w:rsidRPr="0060154A" w:rsidRDefault="00285495">
        <w:pPr>
          <w:pStyle w:val="a4"/>
          <w:jc w:val="right"/>
          <w:rPr>
            <w:rFonts w:ascii="Book Antiqua" w:hAnsi="Book Antiqua"/>
            <w:sz w:val="24"/>
            <w:szCs w:val="24"/>
          </w:rPr>
        </w:pPr>
        <w:r w:rsidRPr="0060154A">
          <w:rPr>
            <w:rFonts w:ascii="Book Antiqua" w:hAnsi="Book Antiqua"/>
            <w:sz w:val="24"/>
            <w:szCs w:val="24"/>
          </w:rPr>
          <w:fldChar w:fldCharType="begin"/>
        </w:r>
        <w:r w:rsidRPr="0060154A">
          <w:rPr>
            <w:rFonts w:ascii="Book Antiqua" w:hAnsi="Book Antiqua"/>
            <w:sz w:val="24"/>
            <w:szCs w:val="24"/>
          </w:rPr>
          <w:instrText xml:space="preserve"> PAGE   \* MERGEFORMAT </w:instrText>
        </w:r>
        <w:r w:rsidRPr="0060154A">
          <w:rPr>
            <w:rFonts w:ascii="Book Antiqua" w:hAnsi="Book Antiqua"/>
            <w:sz w:val="24"/>
            <w:szCs w:val="24"/>
          </w:rPr>
          <w:fldChar w:fldCharType="separate"/>
        </w:r>
        <w:r w:rsidR="003F33B4">
          <w:rPr>
            <w:rFonts w:ascii="Book Antiqua" w:hAnsi="Book Antiqua"/>
            <w:noProof/>
            <w:sz w:val="24"/>
            <w:szCs w:val="24"/>
          </w:rPr>
          <w:t>25</w:t>
        </w:r>
        <w:r w:rsidRPr="0060154A">
          <w:rPr>
            <w:rFonts w:ascii="Book Antiqua" w:hAnsi="Book Antiqua"/>
            <w:noProof/>
            <w:sz w:val="24"/>
            <w:szCs w:val="24"/>
          </w:rPr>
          <w:fldChar w:fldCharType="end"/>
        </w:r>
        <w:r w:rsidRPr="0060154A">
          <w:rPr>
            <w:rFonts w:ascii="Book Antiqua" w:hAnsi="Book Antiqua"/>
            <w:noProof/>
            <w:sz w:val="24"/>
            <w:szCs w:val="24"/>
          </w:rPr>
          <w:t xml:space="preserve"> / 24</w:t>
        </w:r>
      </w:p>
    </w:sdtContent>
  </w:sdt>
  <w:p w14:paraId="104141C0" w14:textId="77777777" w:rsidR="00D40B67" w:rsidRPr="00D40B67" w:rsidRDefault="00D40B67" w:rsidP="00D40B6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D4C1D" w14:textId="77777777" w:rsidR="00AF2A67" w:rsidRDefault="00AF2A67" w:rsidP="002B4B31">
      <w:r>
        <w:separator/>
      </w:r>
    </w:p>
  </w:footnote>
  <w:footnote w:type="continuationSeparator" w:id="0">
    <w:p w14:paraId="4794C626" w14:textId="77777777" w:rsidR="00AF2A67" w:rsidRDefault="00AF2A67" w:rsidP="002B4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470"/>
    <w:rsid w:val="000C5FF8"/>
    <w:rsid w:val="000D1D66"/>
    <w:rsid w:val="000E0640"/>
    <w:rsid w:val="00125109"/>
    <w:rsid w:val="00135A95"/>
    <w:rsid w:val="001440EC"/>
    <w:rsid w:val="00145C7B"/>
    <w:rsid w:val="001A21A7"/>
    <w:rsid w:val="001C0202"/>
    <w:rsid w:val="00266B8C"/>
    <w:rsid w:val="00285495"/>
    <w:rsid w:val="002B4B31"/>
    <w:rsid w:val="00312EF7"/>
    <w:rsid w:val="00375D2D"/>
    <w:rsid w:val="0038093B"/>
    <w:rsid w:val="003C13ED"/>
    <w:rsid w:val="003D4DC7"/>
    <w:rsid w:val="003E6BC9"/>
    <w:rsid w:val="003E7774"/>
    <w:rsid w:val="003F33B4"/>
    <w:rsid w:val="00446131"/>
    <w:rsid w:val="00470D5E"/>
    <w:rsid w:val="004B3E9A"/>
    <w:rsid w:val="004E5ECD"/>
    <w:rsid w:val="0054762A"/>
    <w:rsid w:val="0060154A"/>
    <w:rsid w:val="00657488"/>
    <w:rsid w:val="006657E5"/>
    <w:rsid w:val="006B4C1A"/>
    <w:rsid w:val="0070692A"/>
    <w:rsid w:val="007159E5"/>
    <w:rsid w:val="00754D58"/>
    <w:rsid w:val="00776FCE"/>
    <w:rsid w:val="007C459A"/>
    <w:rsid w:val="007F26F2"/>
    <w:rsid w:val="00841125"/>
    <w:rsid w:val="00904F20"/>
    <w:rsid w:val="00904FFC"/>
    <w:rsid w:val="00951418"/>
    <w:rsid w:val="00994296"/>
    <w:rsid w:val="009C739C"/>
    <w:rsid w:val="00A001AD"/>
    <w:rsid w:val="00A37C64"/>
    <w:rsid w:val="00A77B3E"/>
    <w:rsid w:val="00AA37B5"/>
    <w:rsid w:val="00AA3994"/>
    <w:rsid w:val="00AF2A67"/>
    <w:rsid w:val="00B55522"/>
    <w:rsid w:val="00B5561D"/>
    <w:rsid w:val="00C06BA8"/>
    <w:rsid w:val="00C25248"/>
    <w:rsid w:val="00CA2A55"/>
    <w:rsid w:val="00CE03B2"/>
    <w:rsid w:val="00D052AA"/>
    <w:rsid w:val="00D05B11"/>
    <w:rsid w:val="00D40B67"/>
    <w:rsid w:val="00D70823"/>
    <w:rsid w:val="00D719B1"/>
    <w:rsid w:val="00DF4D62"/>
    <w:rsid w:val="00DF5B7D"/>
    <w:rsid w:val="00E11F62"/>
    <w:rsid w:val="00E64BF1"/>
    <w:rsid w:val="00FA4D93"/>
    <w:rsid w:val="00FF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7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4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4B31"/>
    <w:rPr>
      <w:sz w:val="18"/>
      <w:szCs w:val="18"/>
    </w:rPr>
  </w:style>
  <w:style w:type="paragraph" w:styleId="a4">
    <w:name w:val="footer"/>
    <w:basedOn w:val="a"/>
    <w:link w:val="Char0"/>
    <w:uiPriority w:val="99"/>
    <w:unhideWhenUsed/>
    <w:rsid w:val="002B4B31"/>
    <w:pPr>
      <w:tabs>
        <w:tab w:val="center" w:pos="4153"/>
        <w:tab w:val="right" w:pos="8306"/>
      </w:tabs>
      <w:snapToGrid w:val="0"/>
    </w:pPr>
    <w:rPr>
      <w:sz w:val="18"/>
      <w:szCs w:val="18"/>
    </w:rPr>
  </w:style>
  <w:style w:type="character" w:customStyle="1" w:styleId="Char0">
    <w:name w:val="页脚 Char"/>
    <w:basedOn w:val="a0"/>
    <w:link w:val="a4"/>
    <w:uiPriority w:val="99"/>
    <w:rsid w:val="002B4B31"/>
    <w:rPr>
      <w:sz w:val="18"/>
      <w:szCs w:val="18"/>
    </w:rPr>
  </w:style>
  <w:style w:type="character" w:styleId="a5">
    <w:name w:val="annotation reference"/>
    <w:basedOn w:val="a0"/>
    <w:semiHidden/>
    <w:unhideWhenUsed/>
    <w:rsid w:val="00C06BA8"/>
    <w:rPr>
      <w:sz w:val="21"/>
      <w:szCs w:val="21"/>
    </w:rPr>
  </w:style>
  <w:style w:type="paragraph" w:styleId="a6">
    <w:name w:val="annotation text"/>
    <w:basedOn w:val="a"/>
    <w:link w:val="Char1"/>
    <w:semiHidden/>
    <w:unhideWhenUsed/>
    <w:rsid w:val="00C06BA8"/>
  </w:style>
  <w:style w:type="character" w:customStyle="1" w:styleId="Char1">
    <w:name w:val="批注文字 Char"/>
    <w:basedOn w:val="a0"/>
    <w:link w:val="a6"/>
    <w:semiHidden/>
    <w:rsid w:val="00C06BA8"/>
    <w:rPr>
      <w:sz w:val="24"/>
      <w:szCs w:val="24"/>
    </w:rPr>
  </w:style>
  <w:style w:type="paragraph" w:styleId="a7">
    <w:name w:val="annotation subject"/>
    <w:basedOn w:val="a6"/>
    <w:next w:val="a6"/>
    <w:link w:val="Char2"/>
    <w:semiHidden/>
    <w:unhideWhenUsed/>
    <w:rsid w:val="00C06BA8"/>
    <w:rPr>
      <w:b/>
      <w:bCs/>
    </w:rPr>
  </w:style>
  <w:style w:type="character" w:customStyle="1" w:styleId="Char2">
    <w:name w:val="批注主题 Char"/>
    <w:basedOn w:val="Char1"/>
    <w:link w:val="a7"/>
    <w:semiHidden/>
    <w:rsid w:val="00C06BA8"/>
    <w:rPr>
      <w:b/>
      <w:bCs/>
      <w:sz w:val="24"/>
      <w:szCs w:val="24"/>
    </w:rPr>
  </w:style>
  <w:style w:type="paragraph" w:styleId="a8">
    <w:name w:val="Balloon Text"/>
    <w:basedOn w:val="a"/>
    <w:link w:val="Char3"/>
    <w:semiHidden/>
    <w:unhideWhenUsed/>
    <w:rsid w:val="00FA4D93"/>
    <w:rPr>
      <w:rFonts w:ascii="Segoe UI" w:hAnsi="Segoe UI" w:cs="Segoe UI"/>
      <w:sz w:val="18"/>
      <w:szCs w:val="18"/>
    </w:rPr>
  </w:style>
  <w:style w:type="character" w:customStyle="1" w:styleId="Char3">
    <w:name w:val="批注框文本 Char"/>
    <w:basedOn w:val="a0"/>
    <w:link w:val="a8"/>
    <w:semiHidden/>
    <w:rsid w:val="00FA4D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B4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B4B31"/>
    <w:rPr>
      <w:sz w:val="18"/>
      <w:szCs w:val="18"/>
    </w:rPr>
  </w:style>
  <w:style w:type="paragraph" w:styleId="a4">
    <w:name w:val="footer"/>
    <w:basedOn w:val="a"/>
    <w:link w:val="Char0"/>
    <w:uiPriority w:val="99"/>
    <w:unhideWhenUsed/>
    <w:rsid w:val="002B4B31"/>
    <w:pPr>
      <w:tabs>
        <w:tab w:val="center" w:pos="4153"/>
        <w:tab w:val="right" w:pos="8306"/>
      </w:tabs>
      <w:snapToGrid w:val="0"/>
    </w:pPr>
    <w:rPr>
      <w:sz w:val="18"/>
      <w:szCs w:val="18"/>
    </w:rPr>
  </w:style>
  <w:style w:type="character" w:customStyle="1" w:styleId="Char0">
    <w:name w:val="页脚 Char"/>
    <w:basedOn w:val="a0"/>
    <w:link w:val="a4"/>
    <w:uiPriority w:val="99"/>
    <w:rsid w:val="002B4B31"/>
    <w:rPr>
      <w:sz w:val="18"/>
      <w:szCs w:val="18"/>
    </w:rPr>
  </w:style>
  <w:style w:type="character" w:styleId="a5">
    <w:name w:val="annotation reference"/>
    <w:basedOn w:val="a0"/>
    <w:semiHidden/>
    <w:unhideWhenUsed/>
    <w:rsid w:val="00C06BA8"/>
    <w:rPr>
      <w:sz w:val="21"/>
      <w:szCs w:val="21"/>
    </w:rPr>
  </w:style>
  <w:style w:type="paragraph" w:styleId="a6">
    <w:name w:val="annotation text"/>
    <w:basedOn w:val="a"/>
    <w:link w:val="Char1"/>
    <w:semiHidden/>
    <w:unhideWhenUsed/>
    <w:rsid w:val="00C06BA8"/>
  </w:style>
  <w:style w:type="character" w:customStyle="1" w:styleId="Char1">
    <w:name w:val="批注文字 Char"/>
    <w:basedOn w:val="a0"/>
    <w:link w:val="a6"/>
    <w:semiHidden/>
    <w:rsid w:val="00C06BA8"/>
    <w:rPr>
      <w:sz w:val="24"/>
      <w:szCs w:val="24"/>
    </w:rPr>
  </w:style>
  <w:style w:type="paragraph" w:styleId="a7">
    <w:name w:val="annotation subject"/>
    <w:basedOn w:val="a6"/>
    <w:next w:val="a6"/>
    <w:link w:val="Char2"/>
    <w:semiHidden/>
    <w:unhideWhenUsed/>
    <w:rsid w:val="00C06BA8"/>
    <w:rPr>
      <w:b/>
      <w:bCs/>
    </w:rPr>
  </w:style>
  <w:style w:type="character" w:customStyle="1" w:styleId="Char2">
    <w:name w:val="批注主题 Char"/>
    <w:basedOn w:val="Char1"/>
    <w:link w:val="a7"/>
    <w:semiHidden/>
    <w:rsid w:val="00C06BA8"/>
    <w:rPr>
      <w:b/>
      <w:bCs/>
      <w:sz w:val="24"/>
      <w:szCs w:val="24"/>
    </w:rPr>
  </w:style>
  <w:style w:type="paragraph" w:styleId="a8">
    <w:name w:val="Balloon Text"/>
    <w:basedOn w:val="a"/>
    <w:link w:val="Char3"/>
    <w:semiHidden/>
    <w:unhideWhenUsed/>
    <w:rsid w:val="00FA4D93"/>
    <w:rPr>
      <w:rFonts w:ascii="Segoe UI" w:hAnsi="Segoe UI" w:cs="Segoe UI"/>
      <w:sz w:val="18"/>
      <w:szCs w:val="18"/>
    </w:rPr>
  </w:style>
  <w:style w:type="character" w:customStyle="1" w:styleId="Char3">
    <w:name w:val="批注框文本 Char"/>
    <w:basedOn w:val="a0"/>
    <w:link w:val="a8"/>
    <w:semiHidden/>
    <w:rsid w:val="00FA4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1720">
      <w:bodyDiv w:val="1"/>
      <w:marLeft w:val="0"/>
      <w:marRight w:val="0"/>
      <w:marTop w:val="0"/>
      <w:marBottom w:val="0"/>
      <w:divBdr>
        <w:top w:val="none" w:sz="0" w:space="0" w:color="auto"/>
        <w:left w:val="none" w:sz="0" w:space="0" w:color="auto"/>
        <w:bottom w:val="none" w:sz="0" w:space="0" w:color="auto"/>
        <w:right w:val="none" w:sz="0" w:space="0" w:color="auto"/>
      </w:divBdr>
    </w:div>
    <w:div w:id="1922176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6468</Words>
  <Characters>36872</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邢燕霞</cp:lastModifiedBy>
  <cp:revision>4</cp:revision>
  <dcterms:created xsi:type="dcterms:W3CDTF">2021-02-07T18:26:00Z</dcterms:created>
  <dcterms:modified xsi:type="dcterms:W3CDTF">2021-03-28T10:58:00Z</dcterms:modified>
</cp:coreProperties>
</file>