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AC80B"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DA90D5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60377</w:t>
      </w:r>
    </w:p>
    <w:p w14:paraId="79707C31"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B59649A" w14:textId="77777777" w:rsidR="00DC7063" w:rsidRDefault="00DC7063">
      <w:pPr>
        <w:adjustRightInd w:val="0"/>
        <w:snapToGrid w:val="0"/>
        <w:spacing w:line="360" w:lineRule="auto"/>
        <w:jc w:val="both"/>
        <w:rPr>
          <w:rFonts w:ascii="Book Antiqua" w:hAnsi="Book Antiqua" w:cs="Book Antiqua"/>
        </w:rPr>
      </w:pPr>
    </w:p>
    <w:p w14:paraId="5F754B13" w14:textId="77777777" w:rsidR="00DC7063" w:rsidRDefault="00B62DEE">
      <w:pPr>
        <w:adjustRightInd w:val="0"/>
        <w:snapToGrid w:val="0"/>
        <w:spacing w:line="360" w:lineRule="auto"/>
        <w:jc w:val="both"/>
        <w:rPr>
          <w:rFonts w:ascii="Book Antiqua" w:hAnsi="Book Antiqua" w:cs="Book Antiqua"/>
        </w:rPr>
      </w:pPr>
      <w:bookmarkStart w:id="0" w:name="OLE_LINK1"/>
      <w:bookmarkStart w:id="1" w:name="OLE_LINK2"/>
      <w:r>
        <w:rPr>
          <w:rFonts w:ascii="Book Antiqua" w:eastAsia="Book Antiqua" w:hAnsi="Book Antiqua" w:cs="Book Antiqua"/>
          <w:b/>
          <w:bCs/>
          <w:color w:val="000000"/>
        </w:rPr>
        <w:t xml:space="preserve">Granulomatosis with </w:t>
      </w:r>
      <w:proofErr w:type="spellStart"/>
      <w:r>
        <w:rPr>
          <w:rFonts w:ascii="Book Antiqua" w:eastAsia="Book Antiqua" w:hAnsi="Book Antiqua" w:cs="Book Antiqua"/>
          <w:b/>
          <w:bCs/>
          <w:color w:val="000000"/>
        </w:rPr>
        <w:t>polyangiitis</w:t>
      </w:r>
      <w:proofErr w:type="spellEnd"/>
      <w:r>
        <w:rPr>
          <w:rFonts w:ascii="Book Antiqua" w:eastAsia="Book Antiqua" w:hAnsi="Book Antiqua" w:cs="Book Antiqua"/>
          <w:b/>
          <w:bCs/>
          <w:color w:val="000000"/>
        </w:rPr>
        <w:t xml:space="preserve"> presenting as high fever with diffuse alveolar hemorrhage and otitis media:</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A case report</w:t>
      </w:r>
      <w:bookmarkEnd w:id="0"/>
      <w:bookmarkEnd w:id="1"/>
    </w:p>
    <w:p w14:paraId="31CDFDBB" w14:textId="77777777" w:rsidR="00DC7063" w:rsidRDefault="00DC7063">
      <w:pPr>
        <w:adjustRightInd w:val="0"/>
        <w:snapToGrid w:val="0"/>
        <w:spacing w:line="360" w:lineRule="auto"/>
        <w:jc w:val="both"/>
        <w:rPr>
          <w:rFonts w:ascii="Book Antiqua" w:hAnsi="Book Antiqua" w:cs="Book Antiqua"/>
        </w:rPr>
      </w:pPr>
    </w:p>
    <w:p w14:paraId="468BC301"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Li XJ </w:t>
      </w:r>
      <w:r>
        <w:rPr>
          <w:rFonts w:ascii="Book Antiqua" w:eastAsia="Book Antiqua" w:hAnsi="Book Antiqua" w:cs="Book Antiqua"/>
          <w:i/>
          <w:iCs/>
          <w:color w:val="000000"/>
        </w:rPr>
        <w:t>et al</w:t>
      </w:r>
      <w:r>
        <w:rPr>
          <w:rFonts w:ascii="Book Antiqua" w:eastAsia="Book Antiqua" w:hAnsi="Book Antiqua" w:cs="Book Antiqua"/>
          <w:color w:val="000000"/>
        </w:rPr>
        <w:t>. Diffuse alveolar hemorrhage and otitis media</w:t>
      </w:r>
    </w:p>
    <w:p w14:paraId="7AC4CF8E" w14:textId="77777777" w:rsidR="00DC7063" w:rsidRDefault="00DC7063">
      <w:pPr>
        <w:adjustRightInd w:val="0"/>
        <w:snapToGrid w:val="0"/>
        <w:spacing w:line="360" w:lineRule="auto"/>
        <w:jc w:val="both"/>
        <w:rPr>
          <w:rFonts w:ascii="Book Antiqua" w:hAnsi="Book Antiqua" w:cs="Book Antiqua"/>
        </w:rPr>
      </w:pPr>
    </w:p>
    <w:p w14:paraId="6B5B84C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Xiao-</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Li, Liu Yang, Xiao-Feng Yan, Chu-Ting Zhan, Jiang-Hua Liu</w:t>
      </w:r>
    </w:p>
    <w:p w14:paraId="3100B7DB" w14:textId="77777777" w:rsidR="00DC7063" w:rsidRDefault="00DC7063">
      <w:pPr>
        <w:adjustRightInd w:val="0"/>
        <w:snapToGrid w:val="0"/>
        <w:spacing w:line="360" w:lineRule="auto"/>
        <w:jc w:val="both"/>
        <w:rPr>
          <w:rFonts w:ascii="Book Antiqua" w:hAnsi="Book Antiqua" w:cs="Book Antiqua"/>
        </w:rPr>
      </w:pPr>
    </w:p>
    <w:p w14:paraId="039A1B03"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Xiao-</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Li, Liu Yang, Xiao-Feng Yan, Chu-Ting Zhan, Jiang-Hua Liu, </w:t>
      </w:r>
      <w:r>
        <w:rPr>
          <w:rFonts w:ascii="Book Antiqua" w:eastAsia="Book Antiqua" w:hAnsi="Book Antiqua" w:cs="Book Antiqua"/>
          <w:color w:val="000000"/>
        </w:rPr>
        <w:t>Department of General Practice, The Second Affiliated Hospital of Guangxi Medical University, Nanning 530007, Guangxi Zhuang Autonomous Region, China</w:t>
      </w:r>
    </w:p>
    <w:p w14:paraId="4A0AFC62" w14:textId="77777777" w:rsidR="00DC7063" w:rsidRDefault="00DC7063">
      <w:pPr>
        <w:adjustRightInd w:val="0"/>
        <w:snapToGrid w:val="0"/>
        <w:spacing w:line="360" w:lineRule="auto"/>
        <w:jc w:val="both"/>
        <w:rPr>
          <w:rFonts w:ascii="Book Antiqua" w:hAnsi="Book Antiqua" w:cs="Book Antiqua"/>
        </w:rPr>
      </w:pPr>
    </w:p>
    <w:p w14:paraId="22812195"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Jiang-Hua Liu, </w:t>
      </w:r>
      <w:r>
        <w:rPr>
          <w:rFonts w:ascii="Book Antiqua" w:eastAsia="Book Antiqua" w:hAnsi="Book Antiqua" w:cs="Book Antiqua"/>
          <w:color w:val="000000"/>
        </w:rPr>
        <w:t>Department of General Practice, General Practice School of Guangxi Medical University, Nanning 530007, Guangxi Zhuang Autonomous Region, China</w:t>
      </w:r>
    </w:p>
    <w:p w14:paraId="4EF20CC5" w14:textId="77777777" w:rsidR="00DC7063" w:rsidRDefault="00DC7063">
      <w:pPr>
        <w:adjustRightInd w:val="0"/>
        <w:snapToGrid w:val="0"/>
        <w:spacing w:line="360" w:lineRule="auto"/>
        <w:jc w:val="both"/>
        <w:rPr>
          <w:rFonts w:ascii="Book Antiqua" w:hAnsi="Book Antiqua" w:cs="Book Antiqua"/>
        </w:rPr>
      </w:pPr>
    </w:p>
    <w:p w14:paraId="36E0D1E3" w14:textId="058FF3B4"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Liu JH and Yang L conducted the studies, participated in collecting the data, and drafted the manuscript; Yan XF and Zhan CT participated in the study design and performed the statistical analyses; Liu JH and Li XJ participated in the acquisition, analysis, or interpretation of data and drafted the manuscript; </w:t>
      </w:r>
      <w:proofErr w:type="gramStart"/>
      <w:r>
        <w:rPr>
          <w:rFonts w:ascii="Book Antiqua" w:eastAsia="Book Antiqua" w:hAnsi="Book Antiqua" w:cs="Book Antiqua"/>
          <w:color w:val="000000"/>
        </w:rPr>
        <w:t>All</w:t>
      </w:r>
      <w:proofErr w:type="gramEnd"/>
      <w:r>
        <w:rPr>
          <w:rFonts w:ascii="Book Antiqua" w:eastAsia="Book Antiqua" w:hAnsi="Book Antiqua" w:cs="Book Antiqua"/>
          <w:color w:val="000000"/>
        </w:rPr>
        <w:t xml:space="preserve"> authors read and approved the final manuscript.</w:t>
      </w:r>
    </w:p>
    <w:p w14:paraId="69E0AFA7" w14:textId="77777777" w:rsidR="00DC7063" w:rsidRDefault="00DC7063">
      <w:pPr>
        <w:adjustRightInd w:val="0"/>
        <w:snapToGrid w:val="0"/>
        <w:spacing w:line="360" w:lineRule="auto"/>
        <w:jc w:val="both"/>
        <w:rPr>
          <w:rFonts w:ascii="Book Antiqua" w:hAnsi="Book Antiqua" w:cs="Book Antiqua"/>
        </w:rPr>
      </w:pPr>
    </w:p>
    <w:p w14:paraId="6BBF90BA"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Jiang-Hua Liu, MD, Doctor, </w:t>
      </w:r>
      <w:r>
        <w:rPr>
          <w:rFonts w:ascii="Book Antiqua" w:eastAsia="Book Antiqua" w:hAnsi="Book Antiqua" w:cs="Book Antiqua"/>
          <w:color w:val="000000"/>
        </w:rPr>
        <w:t>Department of General Practice, The Second Affiliated Hospital of Guangxi Medical University, No. 166 East University Road, Nanning 530007, Guangxi Zhuang Autonomous Region, China. jianghualiu0107@163.com</w:t>
      </w:r>
    </w:p>
    <w:p w14:paraId="2F202176" w14:textId="77777777" w:rsidR="00DC7063" w:rsidRDefault="00DC7063">
      <w:pPr>
        <w:adjustRightInd w:val="0"/>
        <w:snapToGrid w:val="0"/>
        <w:spacing w:line="360" w:lineRule="auto"/>
        <w:jc w:val="both"/>
        <w:rPr>
          <w:rFonts w:ascii="Book Antiqua" w:hAnsi="Book Antiqua" w:cs="Book Antiqua"/>
        </w:rPr>
      </w:pPr>
    </w:p>
    <w:p w14:paraId="7EB0894D"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October 27, 2020</w:t>
      </w:r>
    </w:p>
    <w:p w14:paraId="55903C38"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 2020</w:t>
      </w:r>
    </w:p>
    <w:p w14:paraId="196303E4"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February 11, 2021</w:t>
      </w:r>
    </w:p>
    <w:p w14:paraId="0699099D" w14:textId="3E33847E"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Published online: </w:t>
      </w:r>
      <w:r w:rsidR="005C56FA">
        <w:rPr>
          <w:rFonts w:ascii="Book Antiqua" w:eastAsia="Book Antiqua" w:hAnsi="Book Antiqua" w:cs="Book Antiqua"/>
          <w:bCs/>
          <w:color w:val="000000"/>
        </w:rPr>
        <w:t xml:space="preserve">April </w:t>
      </w:r>
      <w:r w:rsidR="00F55283" w:rsidRPr="00F55283">
        <w:rPr>
          <w:rFonts w:ascii="Book Antiqua" w:eastAsia="Book Antiqua" w:hAnsi="Book Antiqua" w:cs="Book Antiqua"/>
          <w:bCs/>
          <w:color w:val="000000"/>
        </w:rPr>
        <w:t>6, 2021</w:t>
      </w:r>
    </w:p>
    <w:p w14:paraId="38127FF6" w14:textId="77777777" w:rsidR="00DC7063" w:rsidRDefault="00DC7063">
      <w:pPr>
        <w:adjustRightInd w:val="0"/>
        <w:snapToGrid w:val="0"/>
        <w:spacing w:line="360" w:lineRule="auto"/>
        <w:jc w:val="both"/>
        <w:rPr>
          <w:rFonts w:ascii="Book Antiqua" w:hAnsi="Book Antiqua" w:cs="Book Antiqua"/>
        </w:rPr>
        <w:sectPr w:rsidR="00DC7063">
          <w:footerReference w:type="default" r:id="rId8"/>
          <w:pgSz w:w="12240" w:h="15840"/>
          <w:pgMar w:top="1440" w:right="1440" w:bottom="1440" w:left="1440" w:header="720" w:footer="720" w:gutter="0"/>
          <w:cols w:space="720"/>
          <w:docGrid w:linePitch="360"/>
        </w:sectPr>
      </w:pPr>
    </w:p>
    <w:p w14:paraId="38C3D57D"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4BE1DD13"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32EAF26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Granulomatosis with </w:t>
      </w:r>
      <w:proofErr w:type="spellStart"/>
      <w:r>
        <w:rPr>
          <w:rFonts w:ascii="Book Antiqua" w:eastAsia="Book Antiqua" w:hAnsi="Book Antiqua" w:cs="Book Antiqua"/>
          <w:color w:val="000000"/>
        </w:rPr>
        <w:t>polyangiitis</w:t>
      </w:r>
      <w:proofErr w:type="spellEnd"/>
      <w:r>
        <w:rPr>
          <w:rFonts w:ascii="Book Antiqua" w:eastAsia="Book Antiqua" w:hAnsi="Book Antiqua" w:cs="Book Antiqua"/>
          <w:color w:val="000000"/>
        </w:rPr>
        <w:t xml:space="preserve"> is a necrotizing inflammation of small and medium-sized vessels accompanied by formation of granuloma, involvement of primary granulomatous upper and lower respiratory tracts, glomerulonephritis, and vasculitis of small vessels. </w:t>
      </w:r>
    </w:p>
    <w:p w14:paraId="7A6129DC" w14:textId="77777777" w:rsidR="00DC7063" w:rsidRDefault="00DC7063">
      <w:pPr>
        <w:adjustRightInd w:val="0"/>
        <w:snapToGrid w:val="0"/>
        <w:spacing w:line="360" w:lineRule="auto"/>
        <w:jc w:val="both"/>
        <w:rPr>
          <w:rFonts w:ascii="Book Antiqua" w:hAnsi="Book Antiqua" w:cs="Book Antiqua"/>
        </w:rPr>
      </w:pPr>
    </w:p>
    <w:p w14:paraId="7C8FC6B8"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CASE SUMMARY</w:t>
      </w:r>
    </w:p>
    <w:p w14:paraId="32C76CF7"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Herein, we described a case of a 52-year-old man admitted with pulmonary nodules and high fever. </w:t>
      </w:r>
      <w:hyperlink r:id="rId9" w:history="1">
        <w:r>
          <w:rPr>
            <w:rFonts w:ascii="Book Antiqua" w:eastAsia="Book Antiqua" w:hAnsi="Book Antiqua" w:cs="Book Antiqua"/>
            <w:color w:val="000000"/>
          </w:rPr>
          <w:t>Autoantibody</w:t>
        </w:r>
      </w:hyperlink>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workup revealed that the patient was positive for c-anti-neutrophil cytoplasmic antibodies and proteinase-3 anti-neutrophil cytoplasmic antibodies. Pulmonary biopsies revealed a local granulomatous structure. The patient received therapy with methylprednisolone and intravenous immunoglobulin, and his clinical symptoms improved. </w:t>
      </w:r>
    </w:p>
    <w:p w14:paraId="27AC1DC4" w14:textId="77777777" w:rsidR="00DC7063" w:rsidRDefault="00DC7063">
      <w:pPr>
        <w:adjustRightInd w:val="0"/>
        <w:snapToGrid w:val="0"/>
        <w:spacing w:line="360" w:lineRule="auto"/>
        <w:jc w:val="both"/>
        <w:rPr>
          <w:rFonts w:ascii="Book Antiqua" w:hAnsi="Book Antiqua" w:cs="Book Antiqua"/>
        </w:rPr>
      </w:pPr>
    </w:p>
    <w:p w14:paraId="10FEC079"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182A9463"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Intravenous immunoglobulin may act on granulomatosis with </w:t>
      </w:r>
      <w:proofErr w:type="spellStart"/>
      <w:r>
        <w:rPr>
          <w:rFonts w:ascii="Book Antiqua" w:eastAsia="Book Antiqua" w:hAnsi="Book Antiqua" w:cs="Book Antiqua"/>
          <w:color w:val="000000"/>
        </w:rPr>
        <w:t>polyangiitis</w:t>
      </w:r>
      <w:proofErr w:type="spellEnd"/>
      <w:r>
        <w:rPr>
          <w:rFonts w:ascii="Book Antiqua" w:eastAsia="Book Antiqua" w:hAnsi="Book Antiqua" w:cs="Book Antiqua"/>
          <w:color w:val="000000"/>
        </w:rPr>
        <w:t xml:space="preserve"> similar to </w:t>
      </w:r>
      <w:proofErr w:type="spellStart"/>
      <w:r>
        <w:rPr>
          <w:rFonts w:ascii="Book Antiqua" w:eastAsia="Book Antiqua" w:hAnsi="Book Antiqua" w:cs="Book Antiqua"/>
          <w:color w:val="000000"/>
        </w:rPr>
        <w:t>immunosuppressants</w:t>
      </w:r>
      <w:proofErr w:type="spellEnd"/>
      <w:r>
        <w:rPr>
          <w:rFonts w:ascii="Book Antiqua" w:eastAsia="Book Antiqua" w:hAnsi="Book Antiqua" w:cs="Book Antiqua"/>
          <w:color w:val="000000"/>
        </w:rPr>
        <w:t>.</w:t>
      </w:r>
    </w:p>
    <w:p w14:paraId="348B56CF" w14:textId="77777777" w:rsidR="00DC7063" w:rsidRDefault="00DC7063">
      <w:pPr>
        <w:adjustRightInd w:val="0"/>
        <w:snapToGrid w:val="0"/>
        <w:spacing w:line="360" w:lineRule="auto"/>
        <w:jc w:val="both"/>
        <w:rPr>
          <w:rFonts w:ascii="Book Antiqua" w:hAnsi="Book Antiqua" w:cs="Book Antiqua"/>
        </w:rPr>
      </w:pPr>
    </w:p>
    <w:p w14:paraId="608E098E"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Key Words: </w:t>
      </w:r>
      <w:r>
        <w:rPr>
          <w:rStyle w:val="15"/>
          <w:rFonts w:ascii="Book Antiqua" w:eastAsia="Book Antiqua" w:hAnsi="Book Antiqua" w:cs="Book Antiqua"/>
          <w:color w:val="000000"/>
        </w:rPr>
        <w:t xml:space="preserve">Granulomatosis with </w:t>
      </w:r>
      <w:proofErr w:type="spellStart"/>
      <w:r>
        <w:rPr>
          <w:rStyle w:val="15"/>
          <w:rFonts w:ascii="Book Antiqua" w:eastAsia="Book Antiqua" w:hAnsi="Book Antiqua" w:cs="Book Antiqua"/>
          <w:color w:val="000000"/>
        </w:rPr>
        <w:t>polyangiitis</w:t>
      </w:r>
      <w:proofErr w:type="spellEnd"/>
      <w:r>
        <w:rPr>
          <w:rStyle w:val="15"/>
          <w:rFonts w:ascii="Book Antiqua" w:eastAsia="Book Antiqua" w:hAnsi="Book Antiqua" w:cs="Book Antiqua"/>
          <w:color w:val="000000"/>
        </w:rPr>
        <w:t xml:space="preserve">; </w:t>
      </w:r>
      <w:proofErr w:type="gramStart"/>
      <w:r>
        <w:rPr>
          <w:rStyle w:val="15"/>
          <w:rFonts w:ascii="Book Antiqua" w:eastAsia="Book Antiqua" w:hAnsi="Book Antiqua" w:cs="Book Antiqua"/>
          <w:color w:val="000000"/>
        </w:rPr>
        <w:t>Diffuse</w:t>
      </w:r>
      <w:proofErr w:type="gramEnd"/>
      <w:r>
        <w:rPr>
          <w:rStyle w:val="15"/>
          <w:rFonts w:ascii="Book Antiqua" w:eastAsia="Book Antiqua" w:hAnsi="Book Antiqua" w:cs="Book Antiqua"/>
          <w:color w:val="000000"/>
        </w:rPr>
        <w:t xml:space="preserve"> alveolar hemorrhage; Otitis media; Methylprednisolone; Intravenous immunoglobulin; Case report</w:t>
      </w:r>
    </w:p>
    <w:p w14:paraId="44117BEE" w14:textId="77777777" w:rsidR="00DC7063" w:rsidRDefault="00DC7063">
      <w:pPr>
        <w:adjustRightInd w:val="0"/>
        <w:snapToGrid w:val="0"/>
        <w:spacing w:line="360" w:lineRule="auto"/>
        <w:jc w:val="both"/>
        <w:rPr>
          <w:rFonts w:ascii="Book Antiqua" w:eastAsiaTheme="minorEastAsia" w:hAnsi="Book Antiqua" w:cs="Book Antiqua" w:hint="eastAsia"/>
          <w:lang w:eastAsia="zh-CN"/>
        </w:rPr>
      </w:pPr>
    </w:p>
    <w:p w14:paraId="09BEAF75" w14:textId="7FEA28B0" w:rsidR="00E779C7" w:rsidRDefault="00E779C7">
      <w:pPr>
        <w:adjustRightInd w:val="0"/>
        <w:snapToGrid w:val="0"/>
        <w:spacing w:line="360" w:lineRule="auto"/>
        <w:jc w:val="both"/>
        <w:rPr>
          <w:rFonts w:ascii="Book Antiqua" w:eastAsiaTheme="minorEastAsia" w:hAnsi="Book Antiqua" w:cs="Book Antiqua" w:hint="eastAsia"/>
          <w:color w:val="000000"/>
          <w:lang w:eastAsia="zh-CN"/>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w:t>
      </w:r>
    </w:p>
    <w:p w14:paraId="5527F613" w14:textId="77777777" w:rsidR="00E779C7" w:rsidRPr="00E779C7" w:rsidRDefault="00E779C7">
      <w:pPr>
        <w:adjustRightInd w:val="0"/>
        <w:snapToGrid w:val="0"/>
        <w:spacing w:line="360" w:lineRule="auto"/>
        <w:jc w:val="both"/>
        <w:rPr>
          <w:rFonts w:ascii="Book Antiqua" w:eastAsiaTheme="minorEastAsia" w:hAnsi="Book Antiqua" w:cs="Book Antiqua" w:hint="eastAsia"/>
          <w:lang w:eastAsia="zh-CN"/>
        </w:rPr>
      </w:pPr>
    </w:p>
    <w:p w14:paraId="6DCC3027" w14:textId="1DF1846A" w:rsidR="00DC7063" w:rsidRPr="00A65E81" w:rsidRDefault="00B62DEE">
      <w:pPr>
        <w:adjustRightInd w:val="0"/>
        <w:snapToGrid w:val="0"/>
        <w:spacing w:line="360" w:lineRule="auto"/>
        <w:jc w:val="both"/>
        <w:rPr>
          <w:rFonts w:ascii="Book Antiqua" w:eastAsiaTheme="minorEastAsia" w:hAnsi="Book Antiqua" w:cs="Book Antiqua" w:hint="eastAsia"/>
          <w:lang w:eastAsia="zh-CN"/>
        </w:rPr>
      </w:pPr>
      <w:proofErr w:type="gramStart"/>
      <w:r>
        <w:rPr>
          <w:rFonts w:ascii="Book Antiqua" w:eastAsia="Book Antiqua" w:hAnsi="Book Antiqua" w:cs="Book Antiqua"/>
          <w:color w:val="000000"/>
        </w:rPr>
        <w:t>Li XJ, Yang L, Yan XF, Zhan CT, Liu JH.</w:t>
      </w:r>
      <w:proofErr w:type="gramEnd"/>
      <w:r>
        <w:rPr>
          <w:rFonts w:ascii="Book Antiqua" w:eastAsia="Book Antiqua" w:hAnsi="Book Antiqua" w:cs="Book Antiqua"/>
          <w:color w:val="000000"/>
        </w:rPr>
        <w:t xml:space="preserve"> Granulomatosis with </w:t>
      </w:r>
      <w:proofErr w:type="spellStart"/>
      <w:r>
        <w:rPr>
          <w:rFonts w:ascii="Book Antiqua" w:eastAsia="Book Antiqua" w:hAnsi="Book Antiqua" w:cs="Book Antiqua"/>
          <w:color w:val="000000"/>
        </w:rPr>
        <w:t>polyangiitis</w:t>
      </w:r>
      <w:proofErr w:type="spellEnd"/>
      <w:r>
        <w:rPr>
          <w:rFonts w:ascii="Book Antiqua" w:eastAsia="Book Antiqua" w:hAnsi="Book Antiqua" w:cs="Book Antiqua"/>
          <w:color w:val="000000"/>
        </w:rPr>
        <w:t xml:space="preserve"> presenting as high fever with diffuse alveolar hemorrhage and otitis media:</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F55283" w:rsidRPr="00F55283">
        <w:rPr>
          <w:rFonts w:ascii="Book Antiqua" w:eastAsia="Book Antiqua" w:hAnsi="Book Antiqua" w:cs="Book Antiqua"/>
          <w:color w:val="000000"/>
        </w:rPr>
        <w:t>9(</w:t>
      </w:r>
      <w:r w:rsidR="005C56FA">
        <w:rPr>
          <w:rFonts w:ascii="Book Antiqua" w:eastAsia="Book Antiqua" w:hAnsi="Book Antiqua" w:cs="Book Antiqua"/>
          <w:color w:val="000000"/>
        </w:rPr>
        <w:t>10</w:t>
      </w:r>
      <w:r w:rsidR="00F55283" w:rsidRPr="00F55283">
        <w:rPr>
          <w:rFonts w:ascii="Book Antiqua" w:eastAsia="Book Antiqua" w:hAnsi="Book Antiqua" w:cs="Book Antiqua"/>
          <w:color w:val="000000"/>
        </w:rPr>
        <w:t xml:space="preserve">): </w:t>
      </w:r>
      <w:r w:rsidR="00A65E81">
        <w:rPr>
          <w:rFonts w:ascii="Book Antiqua" w:eastAsiaTheme="minorEastAsia" w:hAnsi="Book Antiqua" w:cs="Book Antiqua" w:hint="eastAsia"/>
          <w:color w:val="000000"/>
          <w:lang w:eastAsia="zh-CN"/>
        </w:rPr>
        <w:t>2344-2351</w:t>
      </w:r>
      <w:r w:rsidR="00F55283" w:rsidRPr="00F55283">
        <w:rPr>
          <w:rFonts w:ascii="Book Antiqua" w:eastAsia="Book Antiqua" w:hAnsi="Book Antiqua" w:cs="Book Antiqua"/>
          <w:color w:val="000000"/>
        </w:rPr>
        <w:t xml:space="preserve"> URL: https://www.wjgnet.com/2307-8960/full/v9/i1</w:t>
      </w:r>
      <w:r w:rsidR="005C56FA">
        <w:rPr>
          <w:rFonts w:ascii="Book Antiqua" w:eastAsia="Book Antiqua" w:hAnsi="Book Antiqua" w:cs="Book Antiqua"/>
          <w:color w:val="000000"/>
        </w:rPr>
        <w:t>0</w:t>
      </w:r>
      <w:r w:rsidR="00F55283" w:rsidRPr="00F55283">
        <w:rPr>
          <w:rFonts w:ascii="Book Antiqua" w:eastAsia="Book Antiqua" w:hAnsi="Book Antiqua" w:cs="Book Antiqua"/>
          <w:color w:val="000000"/>
        </w:rPr>
        <w:t>/</w:t>
      </w:r>
      <w:r w:rsidR="00A65E81">
        <w:rPr>
          <w:rFonts w:ascii="Book Antiqua" w:eastAsiaTheme="minorEastAsia" w:hAnsi="Book Antiqua" w:cs="Book Antiqua" w:hint="eastAsia"/>
          <w:color w:val="000000"/>
          <w:lang w:eastAsia="zh-CN"/>
        </w:rPr>
        <w:t>2344</w:t>
      </w:r>
      <w:r w:rsidR="00F55283" w:rsidRPr="00F55283">
        <w:rPr>
          <w:rFonts w:ascii="Book Antiqua" w:eastAsia="Book Antiqua" w:hAnsi="Book Antiqua" w:cs="Book Antiqua"/>
          <w:color w:val="000000"/>
        </w:rPr>
        <w:t>.htm DOI: https://dx.doi.org/10.12998/wjcc.v9.i1</w:t>
      </w:r>
      <w:r w:rsidR="005C56FA">
        <w:rPr>
          <w:rFonts w:ascii="Book Antiqua" w:eastAsia="Book Antiqua" w:hAnsi="Book Antiqua" w:cs="Book Antiqua"/>
          <w:color w:val="000000"/>
        </w:rPr>
        <w:t>0</w:t>
      </w:r>
      <w:r w:rsidR="00F55283" w:rsidRPr="00F55283">
        <w:rPr>
          <w:rFonts w:ascii="Book Antiqua" w:eastAsia="Book Antiqua" w:hAnsi="Book Antiqua" w:cs="Book Antiqua"/>
          <w:color w:val="000000"/>
        </w:rPr>
        <w:t>.</w:t>
      </w:r>
      <w:r w:rsidR="00A65E81">
        <w:rPr>
          <w:rFonts w:ascii="Book Antiqua" w:eastAsiaTheme="minorEastAsia" w:hAnsi="Book Antiqua" w:cs="Book Antiqua" w:hint="eastAsia"/>
          <w:color w:val="000000"/>
          <w:lang w:eastAsia="zh-CN"/>
        </w:rPr>
        <w:t>2344</w:t>
      </w:r>
    </w:p>
    <w:p w14:paraId="4D602813" w14:textId="77777777" w:rsidR="00DC7063" w:rsidRDefault="00DC7063">
      <w:pPr>
        <w:adjustRightInd w:val="0"/>
        <w:snapToGrid w:val="0"/>
        <w:spacing w:line="360" w:lineRule="auto"/>
        <w:jc w:val="both"/>
        <w:rPr>
          <w:rFonts w:ascii="Book Antiqua" w:hAnsi="Book Antiqua" w:cs="Book Antiqua"/>
        </w:rPr>
      </w:pPr>
    </w:p>
    <w:p w14:paraId="5D303B96" w14:textId="74E6DB81" w:rsidR="00DC7063" w:rsidRDefault="00B62DEE">
      <w:pPr>
        <w:adjustRightInd w:val="0"/>
        <w:snapToGrid w:val="0"/>
        <w:spacing w:line="360" w:lineRule="auto"/>
        <w:jc w:val="both"/>
        <w:rPr>
          <w:rFonts w:ascii="Book Antiqua" w:hAnsi="Book Antiqua" w:cs="Book Antiqua"/>
        </w:rPr>
        <w:sectPr w:rsidR="00DC7063">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Core Tip: </w:t>
      </w:r>
      <w:r>
        <w:rPr>
          <w:rStyle w:val="15"/>
          <w:rFonts w:ascii="Book Antiqua" w:eastAsia="Book Antiqua" w:hAnsi="Book Antiqua" w:cs="Book Antiqua"/>
          <w:color w:val="000000"/>
        </w:rPr>
        <w:t xml:space="preserve">By reviewing a patient diagnosed with granulomatosis with </w:t>
      </w:r>
      <w:proofErr w:type="spellStart"/>
      <w:r>
        <w:rPr>
          <w:rStyle w:val="15"/>
          <w:rFonts w:ascii="Book Antiqua" w:eastAsia="Book Antiqua" w:hAnsi="Book Antiqua" w:cs="Book Antiqua"/>
          <w:color w:val="000000"/>
        </w:rPr>
        <w:t>polyangiitis</w:t>
      </w:r>
      <w:proofErr w:type="spellEnd"/>
      <w:r>
        <w:rPr>
          <w:rStyle w:val="15"/>
          <w:rFonts w:ascii="Book Antiqua" w:eastAsia="Book Antiqua" w:hAnsi="Book Antiqua" w:cs="Book Antiqua"/>
          <w:color w:val="000000"/>
        </w:rPr>
        <w:t xml:space="preserve">, we found that intravenous </w:t>
      </w:r>
      <w:proofErr w:type="spellStart"/>
      <w:r>
        <w:rPr>
          <w:rStyle w:val="15"/>
          <w:rFonts w:ascii="Book Antiqua" w:eastAsia="Book Antiqua" w:hAnsi="Book Antiqua" w:cs="Book Antiqua"/>
          <w:color w:val="000000"/>
        </w:rPr>
        <w:t>immunoglobin</w:t>
      </w:r>
      <w:proofErr w:type="spellEnd"/>
      <w:r>
        <w:rPr>
          <w:rStyle w:val="15"/>
          <w:rFonts w:ascii="Book Antiqua" w:eastAsia="Book Antiqua" w:hAnsi="Book Antiqua" w:cs="Book Antiqua"/>
          <w:color w:val="000000"/>
        </w:rPr>
        <w:t xml:space="preserve"> combined with methylprednisolone can reduce the symptoms of pulmonary hemorrhage. These findings differ from previous reports, and provide more possibilities for the treatment of similar conditions.</w:t>
      </w:r>
    </w:p>
    <w:p w14:paraId="1E6AD637"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INTRODUCTION</w:t>
      </w:r>
    </w:p>
    <w:p w14:paraId="03A8C4F7" w14:textId="577FD96D" w:rsidR="00DC7063" w:rsidRDefault="00B62DEE">
      <w:pPr>
        <w:adjustRightInd w:val="0"/>
        <w:snapToGrid w:val="0"/>
        <w:spacing w:line="360" w:lineRule="auto"/>
        <w:jc w:val="both"/>
        <w:rPr>
          <w:rStyle w:val="15"/>
          <w:rFonts w:ascii="Book Antiqua" w:eastAsia="Book Antiqua" w:hAnsi="Book Antiqua" w:cs="Book Antiqua"/>
          <w:color w:val="000000"/>
        </w:rPr>
      </w:pPr>
      <w:r>
        <w:rPr>
          <w:rStyle w:val="15"/>
          <w:rFonts w:ascii="Book Antiqua" w:eastAsia="Book Antiqua" w:hAnsi="Book Antiqua" w:cs="Book Antiqua"/>
          <w:color w:val="000000"/>
        </w:rPr>
        <w:t xml:space="preserve">Granulomatosis with </w:t>
      </w:r>
      <w:proofErr w:type="spellStart"/>
      <w:r>
        <w:rPr>
          <w:rStyle w:val="15"/>
          <w:rFonts w:ascii="Book Antiqua" w:eastAsia="Book Antiqua" w:hAnsi="Book Antiqua" w:cs="Book Antiqua"/>
          <w:color w:val="000000"/>
        </w:rPr>
        <w:t>polyangiitis</w:t>
      </w:r>
      <w:proofErr w:type="spellEnd"/>
      <w:r>
        <w:rPr>
          <w:rStyle w:val="15"/>
          <w:rFonts w:ascii="Book Antiqua" w:eastAsia="Book Antiqua" w:hAnsi="Book Antiqua" w:cs="Book Antiqua"/>
          <w:color w:val="000000"/>
        </w:rPr>
        <w:t xml:space="preserve"> (GPA) is a systemic disease characterized by necrotizing vasculitis and granulomatous inflammation. The inflammatory destructive lesions may develop in any organ. The evolution of GPA can be rapid and aggressive, and its mortality rate is 82% within 1 year when left </w:t>
      </w:r>
      <w:proofErr w:type="gramStart"/>
      <w:r>
        <w:rPr>
          <w:rStyle w:val="15"/>
          <w:rFonts w:ascii="Book Antiqua" w:eastAsia="Book Antiqua" w:hAnsi="Book Antiqua" w:cs="Book Antiqua"/>
          <w:color w:val="000000"/>
        </w:rPr>
        <w:t>untreated</w:t>
      </w:r>
      <w:r>
        <w:rPr>
          <w:rStyle w:val="15"/>
          <w:rFonts w:ascii="Book Antiqua" w:eastAsia="Book Antiqua" w:hAnsi="Book Antiqua" w:cs="Book Antiqua"/>
          <w:color w:val="000000"/>
          <w:vertAlign w:val="superscript"/>
        </w:rPr>
        <w:t>[</w:t>
      </w:r>
      <w:proofErr w:type="gramEnd"/>
      <w:r>
        <w:rPr>
          <w:rStyle w:val="15"/>
          <w:rFonts w:ascii="Book Antiqua" w:eastAsia="Book Antiqua" w:hAnsi="Book Antiqua" w:cs="Book Antiqua"/>
          <w:color w:val="000000"/>
          <w:vertAlign w:val="superscript"/>
        </w:rPr>
        <w:t>1,2]</w:t>
      </w:r>
      <w:r>
        <w:rPr>
          <w:rStyle w:val="15"/>
          <w:rFonts w:ascii="Book Antiqua" w:eastAsia="Book Antiqua" w:hAnsi="Book Antiqua" w:cs="Book Antiqua"/>
          <w:color w:val="000000"/>
        </w:rPr>
        <w:t xml:space="preserve">. The classical clinical </w:t>
      </w:r>
      <w:proofErr w:type="spellStart"/>
      <w:r>
        <w:rPr>
          <w:rStyle w:val="15"/>
          <w:rFonts w:ascii="Book Antiqua" w:eastAsia="Book Antiqua" w:hAnsi="Book Antiqua" w:cs="Book Antiqua"/>
          <w:color w:val="000000"/>
        </w:rPr>
        <w:t>triad</w:t>
      </w:r>
      <w:proofErr w:type="spellEnd"/>
      <w:r>
        <w:rPr>
          <w:rStyle w:val="15"/>
          <w:rFonts w:ascii="Book Antiqua" w:eastAsia="Book Antiqua" w:hAnsi="Book Antiqua" w:cs="Book Antiqua"/>
          <w:color w:val="000000"/>
        </w:rPr>
        <w:t xml:space="preserve"> of GPA includes the upper respiratory tract, lower respiratory tract, and renal </w:t>
      </w:r>
      <w:proofErr w:type="gramStart"/>
      <w:r>
        <w:rPr>
          <w:rStyle w:val="15"/>
          <w:rFonts w:ascii="Book Antiqua" w:eastAsia="Book Antiqua" w:hAnsi="Book Antiqua" w:cs="Book Antiqua"/>
          <w:color w:val="000000"/>
        </w:rPr>
        <w:t>involvement</w:t>
      </w:r>
      <w:r>
        <w:rPr>
          <w:rStyle w:val="15"/>
          <w:rFonts w:ascii="Book Antiqua" w:eastAsia="Book Antiqua" w:hAnsi="Book Antiqua" w:cs="Book Antiqua"/>
          <w:color w:val="000000"/>
          <w:vertAlign w:val="superscript"/>
        </w:rPr>
        <w:t>[</w:t>
      </w:r>
      <w:proofErr w:type="gramEnd"/>
      <w:r>
        <w:rPr>
          <w:rStyle w:val="15"/>
          <w:rFonts w:ascii="Book Antiqua" w:eastAsia="Book Antiqua" w:hAnsi="Book Antiqua" w:cs="Book Antiqua"/>
          <w:color w:val="000000"/>
          <w:vertAlign w:val="superscript"/>
        </w:rPr>
        <w:t>3]</w:t>
      </w:r>
      <w:r>
        <w:rPr>
          <w:rStyle w:val="15"/>
          <w:rFonts w:ascii="Book Antiqua" w:eastAsia="Book Antiqua" w:hAnsi="Book Antiqua" w:cs="Book Antiqua"/>
          <w:color w:val="000000"/>
        </w:rPr>
        <w:t>. Chronic sinusitis, epistaxis, and otitis media are the dominant clinical features of GPA in the upper respiratory tract, and 30</w:t>
      </w:r>
      <w:r>
        <w:rPr>
          <w:rStyle w:val="15"/>
          <w:rFonts w:ascii="Book Antiqua" w:eastAsia="宋体" w:hAnsi="Book Antiqua" w:cs="Book Antiqua"/>
          <w:color w:val="000000"/>
          <w:lang w:eastAsia="zh-CN"/>
        </w:rPr>
        <w:t>%-</w:t>
      </w:r>
      <w:r>
        <w:rPr>
          <w:rStyle w:val="15"/>
          <w:rFonts w:ascii="Book Antiqua" w:eastAsia="Book Antiqua" w:hAnsi="Book Antiqua" w:cs="Book Antiqua"/>
          <w:color w:val="000000"/>
        </w:rPr>
        <w:t xml:space="preserve">50% of patients have </w:t>
      </w:r>
      <w:proofErr w:type="spellStart"/>
      <w:r>
        <w:rPr>
          <w:rStyle w:val="15"/>
          <w:rFonts w:ascii="Book Antiqua" w:eastAsia="Book Antiqua" w:hAnsi="Book Antiqua" w:cs="Book Antiqua"/>
          <w:color w:val="000000"/>
        </w:rPr>
        <w:t>otological</w:t>
      </w:r>
      <w:proofErr w:type="spellEnd"/>
      <w:r>
        <w:rPr>
          <w:rStyle w:val="15"/>
          <w:rFonts w:ascii="Book Antiqua" w:eastAsia="Book Antiqua" w:hAnsi="Book Antiqua" w:cs="Book Antiqua"/>
          <w:color w:val="000000"/>
        </w:rPr>
        <w:t xml:space="preserve"> </w:t>
      </w:r>
      <w:proofErr w:type="gramStart"/>
      <w:r>
        <w:rPr>
          <w:rStyle w:val="15"/>
          <w:rFonts w:ascii="Book Antiqua" w:eastAsia="Book Antiqua" w:hAnsi="Book Antiqua" w:cs="Book Antiqua"/>
          <w:color w:val="000000"/>
        </w:rPr>
        <w:t>involvement</w:t>
      </w:r>
      <w:r>
        <w:rPr>
          <w:rStyle w:val="15"/>
          <w:rFonts w:ascii="Book Antiqua" w:eastAsia="Book Antiqua" w:hAnsi="Book Antiqua" w:cs="Book Antiqua"/>
          <w:color w:val="000000"/>
          <w:vertAlign w:val="superscript"/>
        </w:rPr>
        <w:t>[</w:t>
      </w:r>
      <w:proofErr w:type="gramEnd"/>
      <w:r>
        <w:rPr>
          <w:rStyle w:val="15"/>
          <w:rFonts w:ascii="Book Antiqua" w:eastAsia="Book Antiqua" w:hAnsi="Book Antiqua" w:cs="Book Antiqua"/>
          <w:color w:val="000000"/>
          <w:vertAlign w:val="superscript"/>
        </w:rPr>
        <w:t>4]</w:t>
      </w:r>
      <w:r>
        <w:rPr>
          <w:rStyle w:val="15"/>
          <w:rFonts w:ascii="Book Antiqua" w:eastAsia="Book Antiqua" w:hAnsi="Book Antiqua" w:cs="Book Antiqua"/>
          <w:color w:val="000000"/>
        </w:rPr>
        <w:t xml:space="preserve">. Approximately 8% of patients with GPA develop diffuse alveolar hemorrhage (DAH), a prominent and life-threatening pulmonary manifestation of this </w:t>
      </w:r>
      <w:proofErr w:type="gramStart"/>
      <w:r>
        <w:rPr>
          <w:rStyle w:val="15"/>
          <w:rFonts w:ascii="Book Antiqua" w:eastAsia="Book Antiqua" w:hAnsi="Book Antiqua" w:cs="Book Antiqua"/>
          <w:color w:val="000000"/>
        </w:rPr>
        <w:t>disease</w:t>
      </w:r>
      <w:r>
        <w:rPr>
          <w:rStyle w:val="15"/>
          <w:rFonts w:ascii="Book Antiqua" w:eastAsia="Book Antiqua" w:hAnsi="Book Antiqua" w:cs="Book Antiqua"/>
          <w:color w:val="000000"/>
          <w:vertAlign w:val="superscript"/>
        </w:rPr>
        <w:t>[</w:t>
      </w:r>
      <w:proofErr w:type="gramEnd"/>
      <w:r>
        <w:rPr>
          <w:rStyle w:val="15"/>
          <w:rFonts w:ascii="Book Antiqua" w:eastAsia="Book Antiqua" w:hAnsi="Book Antiqua" w:cs="Book Antiqua"/>
          <w:color w:val="000000"/>
          <w:vertAlign w:val="superscript"/>
        </w:rPr>
        <w:t>5,6]</w:t>
      </w:r>
      <w:r>
        <w:rPr>
          <w:rStyle w:val="15"/>
          <w:rFonts w:ascii="Book Antiqua" w:eastAsia="Book Antiqua" w:hAnsi="Book Antiqua" w:cs="Book Antiqua"/>
          <w:color w:val="000000"/>
        </w:rPr>
        <w:t xml:space="preserve">. </w:t>
      </w:r>
    </w:p>
    <w:p w14:paraId="7C98E80E" w14:textId="47424E9E" w:rsidR="00DC7063" w:rsidRDefault="00B62DEE" w:rsidP="00282B37">
      <w:pPr>
        <w:adjustRightInd w:val="0"/>
        <w:snapToGrid w:val="0"/>
        <w:spacing w:line="360" w:lineRule="auto"/>
        <w:ind w:firstLine="270"/>
        <w:jc w:val="both"/>
        <w:rPr>
          <w:rFonts w:ascii="Book Antiqua" w:hAnsi="Book Antiqua" w:cs="Book Antiqua"/>
        </w:rPr>
      </w:pPr>
      <w:r>
        <w:rPr>
          <w:rStyle w:val="15"/>
          <w:rFonts w:ascii="Book Antiqua" w:eastAsia="Book Antiqua" w:hAnsi="Book Antiqua" w:cs="Book Antiqua"/>
          <w:color w:val="000000"/>
        </w:rPr>
        <w:t>Herein, we report a rare case of GPA from China, which presented as high fever with DAH and otitis media.</w:t>
      </w:r>
    </w:p>
    <w:p w14:paraId="110B675C" w14:textId="77777777" w:rsidR="00DC7063" w:rsidRDefault="00DC7063">
      <w:pPr>
        <w:adjustRightInd w:val="0"/>
        <w:snapToGrid w:val="0"/>
        <w:spacing w:line="360" w:lineRule="auto"/>
        <w:jc w:val="both"/>
        <w:rPr>
          <w:rFonts w:ascii="Book Antiqua" w:hAnsi="Book Antiqua" w:cs="Book Antiqua"/>
        </w:rPr>
      </w:pPr>
    </w:p>
    <w:p w14:paraId="7D88FB13"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0B15131F"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428B529F" w14:textId="7D353161"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 52-year-old male patient of Zhuang ethnicity had a cough for 1 mo. The patient had previously taken antibiotic treatment for cough and otitis media, which presented as pain and impaired hearing in the outer court for 1.5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w:t>
      </w:r>
    </w:p>
    <w:p w14:paraId="75ED66BD" w14:textId="77777777" w:rsidR="00DC7063" w:rsidRDefault="00DC7063">
      <w:pPr>
        <w:adjustRightInd w:val="0"/>
        <w:snapToGrid w:val="0"/>
        <w:spacing w:line="360" w:lineRule="auto"/>
        <w:jc w:val="both"/>
        <w:rPr>
          <w:rFonts w:ascii="Book Antiqua" w:hAnsi="Book Antiqua" w:cs="Book Antiqua"/>
        </w:rPr>
      </w:pPr>
    </w:p>
    <w:p w14:paraId="2F8B5DB8"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10971578" w14:textId="1F79FD5D" w:rsidR="00DC7063" w:rsidRDefault="00B62DEE">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rPr>
        <w:t xml:space="preserve">The </w:t>
      </w:r>
      <w:r>
        <w:rPr>
          <w:rFonts w:ascii="Book Antiqua" w:eastAsia="Book Antiqua" w:hAnsi="Book Antiqua" w:cs="Book Antiqua"/>
          <w:color w:val="000000"/>
        </w:rPr>
        <w:t xml:space="preserve">patient’s symptoms started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with recurrent attacks of paroxysmal cough. At 10 d prior to admission, the patient had a fever and reported 3 kg weight loss in the past month.</w:t>
      </w:r>
    </w:p>
    <w:p w14:paraId="0F1F43DC" w14:textId="77777777" w:rsidR="00DC7063" w:rsidRDefault="00DC7063">
      <w:pPr>
        <w:adjustRightInd w:val="0"/>
        <w:snapToGrid w:val="0"/>
        <w:spacing w:line="360" w:lineRule="auto"/>
        <w:jc w:val="both"/>
        <w:rPr>
          <w:rFonts w:ascii="Book Antiqua" w:hAnsi="Book Antiqua" w:cs="Book Antiqua"/>
        </w:rPr>
      </w:pPr>
    </w:p>
    <w:p w14:paraId="3D7B094B"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14:paraId="342048D4"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patient had no previous medical history, and no history of smoking or drinking.</w:t>
      </w:r>
    </w:p>
    <w:p w14:paraId="5596CAE6" w14:textId="77777777" w:rsidR="00DC7063" w:rsidRDefault="00DC7063">
      <w:pPr>
        <w:adjustRightInd w:val="0"/>
        <w:snapToGrid w:val="0"/>
        <w:spacing w:line="360" w:lineRule="auto"/>
        <w:jc w:val="both"/>
        <w:rPr>
          <w:rFonts w:ascii="Book Antiqua" w:hAnsi="Book Antiqua" w:cs="Book Antiqua"/>
        </w:rPr>
      </w:pPr>
    </w:p>
    <w:p w14:paraId="14F2CA4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4145B3EB"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The patient has no personal genetic history or family history.</w:t>
      </w:r>
    </w:p>
    <w:p w14:paraId="613C326A"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5D66FEB2" w14:textId="2EE811DB"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Physical examination on admission revealed a temperature of 36.5 °C and</w:t>
      </w:r>
      <w:r>
        <w:rPr>
          <w:rStyle w:val="15"/>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heart rate of 106 bpm; and no lymphadenopathy was detected. The </w:t>
      </w:r>
      <w:proofErr w:type="gramStart"/>
      <w:r>
        <w:rPr>
          <w:rFonts w:ascii="Book Antiqua" w:eastAsia="Book Antiqua" w:hAnsi="Book Antiqua" w:cs="Book Antiqua"/>
          <w:color w:val="000000"/>
        </w:rPr>
        <w:t>cardiovascular,</w:t>
      </w:r>
      <w:proofErr w:type="gramEnd"/>
      <w:r>
        <w:rPr>
          <w:rFonts w:ascii="Book Antiqua" w:eastAsia="Book Antiqua" w:hAnsi="Book Antiqua" w:cs="Book Antiqua"/>
          <w:color w:val="000000"/>
        </w:rPr>
        <w:t xml:space="preserve"> and neurological examinations were unremarkable. The right eye had mild conjunctival hyperemia. Harsh breath sounds were heard in both lungs, and moist rales and voice tremor enhancement were heard in the left upper lobe.</w:t>
      </w:r>
    </w:p>
    <w:p w14:paraId="5345EBF9" w14:textId="77777777" w:rsidR="00DC7063" w:rsidRDefault="00DC7063">
      <w:pPr>
        <w:adjustRightInd w:val="0"/>
        <w:snapToGrid w:val="0"/>
        <w:spacing w:line="360" w:lineRule="auto"/>
        <w:jc w:val="both"/>
        <w:rPr>
          <w:rFonts w:ascii="Book Antiqua" w:hAnsi="Book Antiqua" w:cs="Book Antiqua"/>
        </w:rPr>
      </w:pPr>
    </w:p>
    <w:p w14:paraId="3C7A8C38"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4462153D" w14:textId="1975D720" w:rsidR="00DC7063" w:rsidRDefault="00B62DEE">
      <w:pPr>
        <w:adjustRightInd w:val="0"/>
        <w:snapToGrid w:val="0"/>
        <w:spacing w:line="360" w:lineRule="auto"/>
        <w:jc w:val="both"/>
        <w:rPr>
          <w:rFonts w:ascii="Book Antiqua" w:hAnsi="Book Antiqua" w:cs="Book Antiqua"/>
        </w:rPr>
      </w:pPr>
      <w:r>
        <w:rPr>
          <w:rStyle w:val="17"/>
          <w:rFonts w:ascii="Book Antiqua" w:eastAsia="Book Antiqua" w:hAnsi="Book Antiqua" w:cs="Book Antiqua"/>
          <w:color w:val="000000"/>
        </w:rPr>
        <w:t xml:space="preserve">Routine blood examination showed that white blood cell (WBC) count was 10.55 </w:t>
      </w:r>
      <w:r>
        <w:rPr>
          <w:rStyle w:val="16"/>
          <w:rFonts w:ascii="Book Antiqua" w:eastAsia="Book Antiqua" w:hAnsi="Book Antiqua" w:cs="Book Antiqua"/>
          <w:color w:val="000000"/>
        </w:rPr>
        <w:t xml:space="preserve">× </w:t>
      </w:r>
      <w:r>
        <w:rPr>
          <w:rStyle w:val="17"/>
          <w:rFonts w:ascii="Book Antiqua" w:eastAsia="Book Antiqua" w:hAnsi="Book Antiqua" w:cs="Book Antiqua"/>
          <w:color w:val="000000"/>
        </w:rPr>
        <w:t>10</w:t>
      </w:r>
      <w:r>
        <w:rPr>
          <w:rStyle w:val="17"/>
          <w:rFonts w:ascii="Book Antiqua" w:eastAsia="Book Antiqua" w:hAnsi="Book Antiqua" w:cs="Book Antiqua"/>
          <w:color w:val="000000"/>
          <w:vertAlign w:val="superscript"/>
        </w:rPr>
        <w:t>9</w:t>
      </w:r>
      <w:r>
        <w:rPr>
          <w:rStyle w:val="17"/>
          <w:rFonts w:ascii="Book Antiqua" w:eastAsia="Book Antiqua" w:hAnsi="Book Antiqua" w:cs="Book Antiqua"/>
          <w:color w:val="000000"/>
        </w:rPr>
        <w:t xml:space="preserve">/L, hemoglobin was 108.30 </w:t>
      </w:r>
      <w:r>
        <w:rPr>
          <w:rStyle w:val="16"/>
          <w:rFonts w:ascii="Book Antiqua" w:eastAsia="Book Antiqua" w:hAnsi="Book Antiqua" w:cs="Book Antiqua"/>
          <w:color w:val="000000"/>
        </w:rPr>
        <w:t xml:space="preserve">× </w:t>
      </w:r>
      <w:r>
        <w:rPr>
          <w:rStyle w:val="17"/>
          <w:rFonts w:ascii="Book Antiqua" w:eastAsia="Book Antiqua" w:hAnsi="Book Antiqua" w:cs="Book Antiqua"/>
          <w:color w:val="000000"/>
        </w:rPr>
        <w:t>10</w:t>
      </w:r>
      <w:r>
        <w:rPr>
          <w:rStyle w:val="17"/>
          <w:rFonts w:ascii="Book Antiqua" w:eastAsia="Book Antiqua" w:hAnsi="Book Antiqua" w:cs="Book Antiqua"/>
          <w:color w:val="000000"/>
          <w:vertAlign w:val="superscript"/>
        </w:rPr>
        <w:t>12</w:t>
      </w:r>
      <w:r>
        <w:rPr>
          <w:rStyle w:val="17"/>
          <w:rFonts w:ascii="Book Antiqua" w:eastAsia="Book Antiqua" w:hAnsi="Book Antiqua" w:cs="Book Antiqua"/>
          <w:color w:val="000000"/>
        </w:rPr>
        <w:t xml:space="preserve">/L, neutrophil percentage was 0.828, </w:t>
      </w:r>
      <w:proofErr w:type="spellStart"/>
      <w:r>
        <w:rPr>
          <w:rStyle w:val="17"/>
          <w:rFonts w:ascii="Book Antiqua" w:eastAsia="Book Antiqua" w:hAnsi="Book Antiqua" w:cs="Book Antiqua"/>
          <w:color w:val="000000"/>
        </w:rPr>
        <w:t>procalcitonin</w:t>
      </w:r>
      <w:proofErr w:type="spellEnd"/>
      <w:r>
        <w:rPr>
          <w:rStyle w:val="17"/>
          <w:rFonts w:ascii="Book Antiqua" w:eastAsia="Book Antiqua" w:hAnsi="Book Antiqua" w:cs="Book Antiqua"/>
          <w:color w:val="000000"/>
        </w:rPr>
        <w:t xml:space="preserve"> was 0.428, erythrocyte sedimentation rate (ESR) was 91 mm, and C-reactive protein (CRP) level was &gt; 200 mg/L. Liver function test showed that total bilirubin was 29.1 </w:t>
      </w:r>
      <w:proofErr w:type="spellStart"/>
      <w:r>
        <w:rPr>
          <w:rStyle w:val="17"/>
          <w:rFonts w:ascii="Book Antiqua" w:eastAsia="Book Antiqua" w:hAnsi="Book Antiqua" w:cs="Book Antiqua"/>
          <w:color w:val="000000"/>
        </w:rPr>
        <w:t>μmol</w:t>
      </w:r>
      <w:proofErr w:type="spellEnd"/>
      <w:r>
        <w:rPr>
          <w:rStyle w:val="17"/>
          <w:rFonts w:ascii="Book Antiqua" w:eastAsia="Book Antiqua" w:hAnsi="Book Antiqua" w:cs="Book Antiqua"/>
          <w:color w:val="000000"/>
        </w:rPr>
        <w:t xml:space="preserve">/L, direct bilirubin was 23.3 </w:t>
      </w:r>
      <w:proofErr w:type="spellStart"/>
      <w:r>
        <w:rPr>
          <w:rStyle w:val="17"/>
          <w:rFonts w:ascii="Book Antiqua" w:eastAsia="Book Antiqua" w:hAnsi="Book Antiqua" w:cs="Book Antiqua"/>
          <w:color w:val="000000"/>
        </w:rPr>
        <w:t>μmol</w:t>
      </w:r>
      <w:proofErr w:type="spellEnd"/>
      <w:r>
        <w:rPr>
          <w:rStyle w:val="17"/>
          <w:rFonts w:ascii="Book Antiqua" w:eastAsia="Book Antiqua" w:hAnsi="Book Antiqua" w:cs="Book Antiqua"/>
          <w:color w:val="000000"/>
        </w:rPr>
        <w:t xml:space="preserve">/L, and alanine aminotransferase and aspartate aminotransferase were within normal range. Coagulation function examination showed that prothrombin time was 16.7 s, activated partial thromboplastin time was 33.4 s, fibrinogen was 6.68 g/L, </w:t>
      </w:r>
      <w:proofErr w:type="spellStart"/>
      <w:r>
        <w:rPr>
          <w:rStyle w:val="17"/>
          <w:rFonts w:ascii="Book Antiqua" w:eastAsia="Book Antiqua" w:hAnsi="Book Antiqua" w:cs="Book Antiqua"/>
          <w:color w:val="000000"/>
        </w:rPr>
        <w:t>antithrombin</w:t>
      </w:r>
      <w:proofErr w:type="spellEnd"/>
      <w:r>
        <w:rPr>
          <w:rStyle w:val="17"/>
          <w:rFonts w:ascii="Book Antiqua" w:eastAsia="Book Antiqua" w:hAnsi="Book Antiqua" w:cs="Book Antiqua"/>
          <w:color w:val="000000"/>
        </w:rPr>
        <w:t xml:space="preserve"> was 74%, and D-dimer was 807 ng/</w:t>
      </w:r>
      <w:proofErr w:type="spellStart"/>
      <w:r>
        <w:rPr>
          <w:rStyle w:val="17"/>
          <w:rFonts w:ascii="Book Antiqua" w:eastAsia="Book Antiqua" w:hAnsi="Book Antiqua" w:cs="Book Antiqua"/>
          <w:color w:val="000000"/>
        </w:rPr>
        <w:t>mL.</w:t>
      </w:r>
      <w:proofErr w:type="spellEnd"/>
      <w:r>
        <w:rPr>
          <w:rStyle w:val="17"/>
          <w:rFonts w:ascii="Book Antiqua" w:eastAsia="Book Antiqua" w:hAnsi="Book Antiqua" w:cs="Book Antiqua"/>
          <w:color w:val="000000"/>
        </w:rPr>
        <w:t xml:space="preserve"> Electrolytes and renal function were within normal limits. Urine showed a pH of 5, specific gravity of 1.030, </w:t>
      </w:r>
      <w:hyperlink r:id="rId10" w:history="1">
        <w:r>
          <w:rPr>
            <w:rStyle w:val="17"/>
            <w:rFonts w:ascii="Book Antiqua" w:eastAsia="Book Antiqua" w:hAnsi="Book Antiqua" w:cs="Book Antiqua"/>
            <w:color w:val="000000"/>
          </w:rPr>
          <w:t>urine bilirubin</w:t>
        </w:r>
      </w:hyperlink>
      <w:r>
        <w:rPr>
          <w:rStyle w:val="17"/>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w:t>
      </w:r>
      <w:r>
        <w:rPr>
          <w:rStyle w:val="17"/>
          <w:rFonts w:ascii="Book Antiqua" w:eastAsia="宋体" w:hAnsi="Book Antiqua" w:cs="Book Antiqua"/>
          <w:color w:val="000000"/>
          <w:lang w:eastAsia="zh-CN"/>
        </w:rPr>
        <w:t xml:space="preserve"> </w:t>
      </w:r>
      <w:r>
        <w:rPr>
          <w:rStyle w:val="17"/>
          <w:rFonts w:ascii="Book Antiqua" w:eastAsia="Book Antiqua" w:hAnsi="Book Antiqua" w:cs="Book Antiqua"/>
          <w:color w:val="000000"/>
        </w:rPr>
        <w:t xml:space="preserve">1, urobilinogen </w:t>
      </w:r>
      <w:r>
        <w:rPr>
          <w:rStyle w:val="16"/>
          <w:rFonts w:ascii="Book Antiqua" w:eastAsia="Book Antiqua" w:hAnsi="Book Antiqua" w:cs="Book Antiqua"/>
          <w:color w:val="000000"/>
        </w:rPr>
        <w:t>+</w:t>
      </w:r>
      <w:r>
        <w:rPr>
          <w:rStyle w:val="17"/>
          <w:rFonts w:ascii="Book Antiqua" w:eastAsia="宋体" w:hAnsi="Book Antiqua" w:cs="Book Antiqua"/>
          <w:color w:val="000000"/>
          <w:lang w:eastAsia="zh-CN"/>
        </w:rPr>
        <w:t xml:space="preserve"> </w:t>
      </w:r>
      <w:r>
        <w:rPr>
          <w:rStyle w:val="17"/>
          <w:rFonts w:ascii="Book Antiqua" w:eastAsia="Book Antiqua" w:hAnsi="Book Antiqua" w:cs="Book Antiqua"/>
          <w:color w:val="000000"/>
        </w:rPr>
        <w:t xml:space="preserve">2, urine protein </w:t>
      </w:r>
      <w:r>
        <w:rPr>
          <w:rStyle w:val="15"/>
          <w:rFonts w:ascii="Book Antiqua" w:eastAsia="Book Antiqua" w:hAnsi="Book Antiqua" w:cs="Book Antiqua"/>
          <w:color w:val="000000"/>
        </w:rPr>
        <w:t>±</w:t>
      </w:r>
      <w:r>
        <w:rPr>
          <w:rStyle w:val="17"/>
          <w:rFonts w:ascii="Book Antiqua" w:eastAsia="Book Antiqua" w:hAnsi="Book Antiqua" w:cs="Book Antiqua"/>
          <w:color w:val="000000"/>
        </w:rPr>
        <w:t>, and no red blood cells or WBCs in the high-power field. Stool was positive for liver fluke, and blood culture was negative.</w:t>
      </w:r>
    </w:p>
    <w:p w14:paraId="01D59749" w14:textId="77777777" w:rsidR="00DC7063" w:rsidRDefault="00DC7063">
      <w:pPr>
        <w:adjustRightInd w:val="0"/>
        <w:snapToGrid w:val="0"/>
        <w:spacing w:line="360" w:lineRule="auto"/>
        <w:jc w:val="both"/>
        <w:rPr>
          <w:rFonts w:ascii="Book Antiqua" w:hAnsi="Book Antiqua" w:cs="Book Antiqua"/>
        </w:rPr>
      </w:pPr>
    </w:p>
    <w:p w14:paraId="7A1981FD"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Imaging examinations</w:t>
      </w:r>
    </w:p>
    <w:p w14:paraId="3F9CC923"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Bronchoscopy revealed remarkable tracheal and endobronchial mucosal erosion, congestion, and inflammation. Chest computed tomography (CT) revealed multiple pulmonary nodules, enlarged hilar and mediastinal lymph nodes, and pleural effusion in bilateral lungs. The lesions were not enhanced in the CT images (Figure 1). No enhancement was found in the susceptible sites of tuberculosis, so the possibility of lung cancer was temporarily ruled out.</w:t>
      </w:r>
    </w:p>
    <w:p w14:paraId="7CDD28CA" w14:textId="77777777" w:rsidR="00DC7063" w:rsidRDefault="00DC7063">
      <w:pPr>
        <w:adjustRightInd w:val="0"/>
        <w:snapToGrid w:val="0"/>
        <w:spacing w:line="360" w:lineRule="auto"/>
        <w:jc w:val="both"/>
        <w:rPr>
          <w:rFonts w:ascii="Book Antiqua" w:hAnsi="Book Antiqua" w:cs="Book Antiqua"/>
        </w:rPr>
      </w:pPr>
    </w:p>
    <w:p w14:paraId="4B72CEDC" w14:textId="77777777" w:rsidR="00DC7063" w:rsidRDefault="00B62DEE">
      <w:pPr>
        <w:adjustRightInd w:val="0"/>
        <w:snapToGrid w:val="0"/>
        <w:spacing w:line="360" w:lineRule="auto"/>
        <w:jc w:val="both"/>
        <w:rPr>
          <w:rFonts w:ascii="Book Antiqua" w:hAnsi="Book Antiqua" w:cs="Book Antiqua"/>
        </w:rPr>
      </w:pPr>
      <w:r>
        <w:rPr>
          <w:rStyle w:val="15"/>
          <w:rFonts w:ascii="Book Antiqua" w:eastAsia="Book Antiqua" w:hAnsi="Book Antiqua" w:cs="Book Antiqua"/>
          <w:b/>
          <w:bCs/>
          <w:i/>
          <w:iCs/>
          <w:caps/>
          <w:color w:val="000000"/>
        </w:rPr>
        <w:t>F</w:t>
      </w:r>
      <w:r>
        <w:rPr>
          <w:rStyle w:val="15"/>
          <w:rFonts w:ascii="Book Antiqua" w:eastAsia="Book Antiqua" w:hAnsi="Book Antiqua" w:cs="Book Antiqua"/>
          <w:b/>
          <w:bCs/>
          <w:i/>
          <w:iCs/>
          <w:color w:val="000000"/>
        </w:rPr>
        <w:t>urther diagnostic work-up</w:t>
      </w:r>
    </w:p>
    <w:p w14:paraId="0E76A2F8" w14:textId="601364D3" w:rsidR="00DC7063" w:rsidRDefault="00B62DEE">
      <w:pPr>
        <w:adjustRightInd w:val="0"/>
        <w:snapToGrid w:val="0"/>
        <w:spacing w:line="360" w:lineRule="auto"/>
        <w:jc w:val="both"/>
        <w:rPr>
          <w:rFonts w:ascii="Book Antiqua" w:hAnsi="Book Antiqua" w:cs="Book Antiqua"/>
        </w:rPr>
      </w:pPr>
      <w:r>
        <w:rPr>
          <w:rStyle w:val="16"/>
          <w:rFonts w:ascii="Book Antiqua" w:eastAsia="Book Antiqua" w:hAnsi="Book Antiqua" w:cs="Book Antiqua"/>
          <w:color w:val="000000"/>
        </w:rPr>
        <w:t xml:space="preserve">No acid-fast bacteria were observed on smear, and all blood cultures were negative. Chest CT scan reexamination (Figure 2) showed enlarged pulmonary nodules (the anti-tuberculosis drugs were discontinued). Pure tone audiometry revealed moderately high-frequency mixed hearing loss in the right ear, and normal hearing in the left ear. Ear examination showed intact tympanic membrane with congestion and invagination in the right ear, and normal tympanic membrane in the left ear. Biopsies revealed local granulomatous structure; peripheral fibrous hyperplasia; lymphocyte, plasma cell, and neutrophil infiltration around the structure; and no heterotypic cells (Figure 3). Bronchoscopy reexamination showed diffuse mucosal hemorrhage ending in the glottis. Therefore, the operation was discontinued. During this period, hemoglobin decreased progressively from 108.30 g/L to 53.10 g/L, </w:t>
      </w:r>
      <w:proofErr w:type="spellStart"/>
      <w:r>
        <w:rPr>
          <w:rStyle w:val="16"/>
          <w:rFonts w:ascii="Book Antiqua" w:eastAsia="Book Antiqua" w:hAnsi="Book Antiqua" w:cs="Book Antiqua"/>
          <w:color w:val="000000"/>
        </w:rPr>
        <w:t>antithrombin</w:t>
      </w:r>
      <w:proofErr w:type="spellEnd"/>
      <w:r>
        <w:rPr>
          <w:rStyle w:val="16"/>
          <w:rFonts w:ascii="Book Antiqua" w:eastAsia="Book Antiqua" w:hAnsi="Book Antiqua" w:cs="Book Antiqua"/>
          <w:color w:val="000000"/>
        </w:rPr>
        <w:t xml:space="preserve"> decreased from 74% to 20%, and fever persisted at &gt; 39.0 °C (</w:t>
      </w:r>
      <w:r>
        <w:rPr>
          <w:rStyle w:val="15"/>
          <w:rFonts w:ascii="Book Antiqua" w:eastAsia="Book Antiqua" w:hAnsi="Book Antiqua" w:cs="Book Antiqua"/>
          <w:color w:val="000000"/>
        </w:rPr>
        <w:t xml:space="preserve">multiple </w:t>
      </w:r>
      <w:r>
        <w:rPr>
          <w:rStyle w:val="16"/>
          <w:rFonts w:ascii="Book Antiqua" w:eastAsia="Book Antiqua" w:hAnsi="Book Antiqua" w:cs="Book Antiqua"/>
          <w:color w:val="000000"/>
        </w:rPr>
        <w:t xml:space="preserve">blood transfusions and fresh frozen plasma transfusions were given). Rheumatoid factor was negative. </w:t>
      </w:r>
      <w:hyperlink r:id="rId11" w:history="1">
        <w:r>
          <w:rPr>
            <w:rStyle w:val="16"/>
            <w:rFonts w:ascii="Book Antiqua" w:eastAsia="Book Antiqua" w:hAnsi="Book Antiqua" w:cs="Book Antiqua"/>
            <w:color w:val="000000"/>
          </w:rPr>
          <w:t>Autoantibody</w:t>
        </w:r>
      </w:hyperlink>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examination showed positive antinuclear antibody (ANA), c-anti-neutrophil cytoplasmic antibodies (c-ANCA), and proteinase-3 anti-neutrophil cytoplasmic antibodies (PR3-ANCA).</w:t>
      </w:r>
    </w:p>
    <w:p w14:paraId="7856BDC9" w14:textId="77777777" w:rsidR="00DC7063" w:rsidRDefault="00DC7063">
      <w:pPr>
        <w:adjustRightInd w:val="0"/>
        <w:snapToGrid w:val="0"/>
        <w:spacing w:line="360" w:lineRule="auto"/>
        <w:jc w:val="both"/>
        <w:rPr>
          <w:rFonts w:ascii="Book Antiqua" w:hAnsi="Book Antiqua" w:cs="Book Antiqua"/>
        </w:rPr>
      </w:pPr>
    </w:p>
    <w:p w14:paraId="32BBC2FA"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6833CD81" w14:textId="630FDA47" w:rsidR="00DC7063" w:rsidRDefault="00B62DEE">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rPr>
        <w:t>The final diagnosis was GPA.</w:t>
      </w:r>
    </w:p>
    <w:p w14:paraId="265FC227" w14:textId="77777777" w:rsidR="00DC7063" w:rsidRDefault="00DC7063">
      <w:pPr>
        <w:adjustRightInd w:val="0"/>
        <w:snapToGrid w:val="0"/>
        <w:spacing w:line="360" w:lineRule="auto"/>
        <w:jc w:val="both"/>
        <w:rPr>
          <w:rFonts w:ascii="Book Antiqua" w:hAnsi="Book Antiqua" w:cs="Book Antiqua"/>
        </w:rPr>
      </w:pPr>
    </w:p>
    <w:p w14:paraId="42A82869"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4823209B" w14:textId="11D33DB0" w:rsidR="00DC7063" w:rsidRDefault="00B62DEE">
      <w:pPr>
        <w:adjustRightInd w:val="0"/>
        <w:snapToGrid w:val="0"/>
        <w:spacing w:line="360" w:lineRule="auto"/>
        <w:jc w:val="both"/>
        <w:rPr>
          <w:rFonts w:ascii="Book Antiqua" w:hAnsi="Book Antiqua" w:cs="Book Antiqua"/>
        </w:rPr>
      </w:pPr>
      <w:r>
        <w:rPr>
          <w:rStyle w:val="16"/>
          <w:rFonts w:ascii="Book Antiqua" w:eastAsia="Book Antiqua" w:hAnsi="Book Antiqua" w:cs="Book Antiqua"/>
          <w:color w:val="000000"/>
        </w:rPr>
        <w:t xml:space="preserve">After the patient was admitted to the hospital, trial anti-tuberculosis treatment (0.3 g isoniazid </w:t>
      </w:r>
      <w:r>
        <w:rPr>
          <w:rStyle w:val="15"/>
          <w:rFonts w:ascii="Book Antiqua" w:eastAsia="Book Antiqua" w:hAnsi="Book Antiqua" w:cs="Book Antiqua"/>
          <w:color w:val="000000"/>
        </w:rPr>
        <w:t>+</w:t>
      </w:r>
      <w:r>
        <w:rPr>
          <w:rStyle w:val="15"/>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 xml:space="preserve">0.45 g rifampicin </w:t>
      </w:r>
      <w:r>
        <w:rPr>
          <w:rStyle w:val="15"/>
          <w:rFonts w:ascii="Book Antiqua" w:eastAsia="Book Antiqua" w:hAnsi="Book Antiqua" w:cs="Book Antiqua"/>
          <w:color w:val="000000"/>
        </w:rPr>
        <w:t>+</w:t>
      </w:r>
      <w:r>
        <w:rPr>
          <w:rStyle w:val="15"/>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 xml:space="preserve">0.75 g </w:t>
      </w:r>
      <w:hyperlink r:id="rId12" w:history="1">
        <w:r>
          <w:rPr>
            <w:rStyle w:val="16"/>
            <w:rFonts w:ascii="Book Antiqua" w:eastAsia="Book Antiqua" w:hAnsi="Book Antiqua" w:cs="Book Antiqua"/>
            <w:color w:val="000000"/>
          </w:rPr>
          <w:t>ethambutol</w:t>
        </w:r>
      </w:hyperlink>
      <w:r>
        <w:rPr>
          <w:rStyle w:val="16"/>
          <w:rFonts w:ascii="Book Antiqua" w:eastAsia="Book Antiqua" w:hAnsi="Book Antiqua" w:cs="Book Antiqua"/>
          <w:color w:val="000000"/>
        </w:rPr>
        <w:t xml:space="preserve">) was initiated (from November 4, 2019 to November 10, 2019), supplemented with anti-infection (2.0 g </w:t>
      </w:r>
      <w:proofErr w:type="spellStart"/>
      <w:r>
        <w:rPr>
          <w:rStyle w:val="16"/>
          <w:rFonts w:ascii="Book Antiqua" w:eastAsia="Book Antiqua" w:hAnsi="Book Antiqua" w:cs="Book Antiqua"/>
          <w:color w:val="000000"/>
        </w:rPr>
        <w:t>cefoperazone</w:t>
      </w:r>
      <w:proofErr w:type="spellEnd"/>
      <w:r>
        <w:rPr>
          <w:rStyle w:val="16"/>
          <w:rFonts w:ascii="Book Antiqua" w:eastAsia="Book Antiqua" w:hAnsi="Book Antiqua" w:cs="Book Antiqua"/>
          <w:color w:val="000000"/>
        </w:rPr>
        <w:t xml:space="preserve"> sodium and </w:t>
      </w:r>
      <w:proofErr w:type="spellStart"/>
      <w:r>
        <w:rPr>
          <w:rStyle w:val="16"/>
          <w:rFonts w:ascii="Book Antiqua" w:eastAsia="Book Antiqua" w:hAnsi="Book Antiqua" w:cs="Book Antiqua"/>
          <w:color w:val="000000"/>
        </w:rPr>
        <w:t>tazobactam</w:t>
      </w:r>
      <w:proofErr w:type="spellEnd"/>
      <w:r>
        <w:rPr>
          <w:rStyle w:val="16"/>
          <w:rFonts w:ascii="Book Antiqua" w:eastAsia="Book Antiqua" w:hAnsi="Book Antiqua" w:cs="Book Antiqua"/>
          <w:color w:val="000000"/>
        </w:rPr>
        <w:t xml:space="preserve"> sodium and 0.4 g levofloxacin), antipyretic, and symptomatic supportive treatment. However, high fever and shortness of breath persisted. After the results of </w:t>
      </w:r>
      <w:hyperlink r:id="rId13" w:history="1">
        <w:r>
          <w:rPr>
            <w:rStyle w:val="16"/>
            <w:rFonts w:ascii="Book Antiqua" w:eastAsia="Book Antiqua" w:hAnsi="Book Antiqua" w:cs="Book Antiqua"/>
            <w:color w:val="000000"/>
          </w:rPr>
          <w:t>autoantibody</w:t>
        </w:r>
      </w:hyperlink>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 xml:space="preserve">examination, chest CT scan and biopsies, the patient received methylprednisolone combined with intravenous immunoglobulin (IVIG) therapy. </w:t>
      </w:r>
      <w:r>
        <w:rPr>
          <w:rStyle w:val="16"/>
          <w:rFonts w:ascii="Book Antiqua" w:eastAsia="Book Antiqua" w:hAnsi="Book Antiqua" w:cs="Book Antiqua"/>
          <w:color w:val="000000"/>
        </w:rPr>
        <w:lastRenderedPageBreak/>
        <w:t xml:space="preserve">Emergency bronchoscope-assisted tracheal intubation was performed on the second day of remission induction because the patient had a disturbance of consciousness and low pulse oxygen at 79%. Tracheal blood </w:t>
      </w:r>
      <w:hyperlink r:id="rId14" w:history="1">
        <w:r>
          <w:rPr>
            <w:rStyle w:val="16"/>
            <w:rFonts w:ascii="Book Antiqua" w:eastAsia="Book Antiqua" w:hAnsi="Book Antiqua" w:cs="Book Antiqua"/>
            <w:color w:val="000000"/>
          </w:rPr>
          <w:t>secretion</w:t>
        </w:r>
      </w:hyperlink>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was observed under bronchoscopy. During the full-dose full-period administration of methylprednisolone (80 mg, once a day [</w:t>
      </w:r>
      <w:proofErr w:type="spellStart"/>
      <w:r>
        <w:rPr>
          <w:rStyle w:val="16"/>
          <w:rFonts w:ascii="Book Antiqua" w:eastAsia="Book Antiqua" w:hAnsi="Book Antiqua" w:cs="Book Antiqua"/>
          <w:color w:val="000000"/>
        </w:rPr>
        <w:t>qd</w:t>
      </w:r>
      <w:proofErr w:type="spellEnd"/>
      <w:r>
        <w:rPr>
          <w:rStyle w:val="16"/>
          <w:rFonts w:ascii="Book Antiqua" w:eastAsia="Book Antiqua" w:hAnsi="Book Antiqua" w:cs="Book Antiqua"/>
          <w:color w:val="000000"/>
        </w:rPr>
        <w:t xml:space="preserve">], from November 12, 2019 to November 18, 2019) and IVIG (20 g, </w:t>
      </w:r>
      <w:proofErr w:type="spellStart"/>
      <w:r>
        <w:rPr>
          <w:rStyle w:val="16"/>
          <w:rFonts w:ascii="Book Antiqua" w:eastAsia="Book Antiqua" w:hAnsi="Book Antiqua" w:cs="Book Antiqua"/>
          <w:color w:val="000000"/>
        </w:rPr>
        <w:t>qd</w:t>
      </w:r>
      <w:proofErr w:type="spellEnd"/>
      <w:r>
        <w:rPr>
          <w:rStyle w:val="16"/>
          <w:rFonts w:ascii="Book Antiqua" w:eastAsia="Book Antiqua" w:hAnsi="Book Antiqua" w:cs="Book Antiqua"/>
          <w:color w:val="000000"/>
        </w:rPr>
        <w:t>, from November 12, 2019 to November 18, 2019), the patient’s breathlessness was significantly improved. Thereafter, the treatment plan was changed to cyclophosphamide (200 mg, every other day [</w:t>
      </w:r>
      <w:proofErr w:type="spellStart"/>
      <w:r>
        <w:rPr>
          <w:rStyle w:val="16"/>
          <w:rFonts w:ascii="Book Antiqua" w:eastAsia="Book Antiqua" w:hAnsi="Book Antiqua" w:cs="Book Antiqua"/>
          <w:color w:val="000000"/>
        </w:rPr>
        <w:t>qod</w:t>
      </w:r>
      <w:proofErr w:type="spellEnd"/>
      <w:r>
        <w:rPr>
          <w:rStyle w:val="16"/>
          <w:rFonts w:ascii="Book Antiqua" w:eastAsia="Book Antiqua" w:hAnsi="Book Antiqua" w:cs="Book Antiqua"/>
          <w:color w:val="000000"/>
        </w:rPr>
        <w:t xml:space="preserve">], from November 18, 2019 to December 03, 2019) and methylprednisolone (80 mg, </w:t>
      </w:r>
      <w:proofErr w:type="spellStart"/>
      <w:r>
        <w:rPr>
          <w:rStyle w:val="16"/>
          <w:rFonts w:ascii="Book Antiqua" w:eastAsia="Book Antiqua" w:hAnsi="Book Antiqua" w:cs="Book Antiqua"/>
          <w:color w:val="000000"/>
        </w:rPr>
        <w:t>qd</w:t>
      </w:r>
      <w:proofErr w:type="spellEnd"/>
      <w:r>
        <w:rPr>
          <w:rStyle w:val="16"/>
          <w:rFonts w:ascii="Book Antiqua" w:eastAsia="Book Antiqua" w:hAnsi="Book Antiqua" w:cs="Book Antiqua"/>
          <w:color w:val="000000"/>
        </w:rPr>
        <w:t>, from November 18, 2019 to December 03, 2019).</w:t>
      </w:r>
    </w:p>
    <w:p w14:paraId="06A6B9B2" w14:textId="77777777" w:rsidR="00DC7063" w:rsidRDefault="00DC7063">
      <w:pPr>
        <w:adjustRightInd w:val="0"/>
        <w:snapToGrid w:val="0"/>
        <w:spacing w:line="360" w:lineRule="auto"/>
        <w:jc w:val="both"/>
        <w:rPr>
          <w:rFonts w:ascii="Book Antiqua" w:hAnsi="Book Antiqua" w:cs="Book Antiqua"/>
        </w:rPr>
      </w:pPr>
    </w:p>
    <w:p w14:paraId="452E9DE8"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286CA89F" w14:textId="77777777" w:rsidR="00DC7063" w:rsidRDefault="00B62DEE">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rPr>
        <w:t xml:space="preserve">The patient was transferred to the rheumatology and immunology department, and subsequently discharged. During the last follow-up on May 6, 2020, except for bilateral vocal cord paralysis and tinnitus in the right ear with impaired hearing, there was no cough, fever or other discomfort. Reexamination showed no obvious increase in the inflammatory indexes (including WBCs, neutrophils, high-sensitivity CRP, and ESR). No obvious abnormality was found in the liver function, renal function and coagulation function. ANA and anti-neutrophil cytoplasmic antibodies (including </w:t>
      </w:r>
      <w:proofErr w:type="spellStart"/>
      <w:r>
        <w:rPr>
          <w:rStyle w:val="15"/>
          <w:rFonts w:ascii="Book Antiqua" w:eastAsia="Book Antiqua" w:hAnsi="Book Antiqua" w:cs="Book Antiqua"/>
          <w:color w:val="000000"/>
        </w:rPr>
        <w:t>pANCA</w:t>
      </w:r>
      <w:proofErr w:type="spellEnd"/>
      <w:r>
        <w:rPr>
          <w:rStyle w:val="15"/>
          <w:rFonts w:ascii="Book Antiqua" w:eastAsia="Book Antiqua" w:hAnsi="Book Antiqua" w:cs="Book Antiqua"/>
          <w:color w:val="000000"/>
        </w:rPr>
        <w:t xml:space="preserve">, </w:t>
      </w:r>
      <w:proofErr w:type="spellStart"/>
      <w:r>
        <w:rPr>
          <w:rStyle w:val="15"/>
          <w:rFonts w:ascii="Book Antiqua" w:eastAsia="Book Antiqua" w:hAnsi="Book Antiqua" w:cs="Book Antiqua"/>
          <w:color w:val="000000"/>
        </w:rPr>
        <w:t>cANCA</w:t>
      </w:r>
      <w:proofErr w:type="spellEnd"/>
      <w:r>
        <w:rPr>
          <w:rStyle w:val="15"/>
          <w:rFonts w:ascii="Book Antiqua" w:eastAsia="Book Antiqua" w:hAnsi="Book Antiqua" w:cs="Book Antiqua"/>
          <w:color w:val="000000"/>
        </w:rPr>
        <w:t xml:space="preserve">, MPO-ANCA, PR3-ANCA) were negative. Chest CT showed that the high-density shadows in both lungs were absorbed more obviously than before (Figure 4). </w:t>
      </w:r>
    </w:p>
    <w:p w14:paraId="6B8D9F58" w14:textId="77777777" w:rsidR="00DC7063" w:rsidRDefault="00DC7063">
      <w:pPr>
        <w:adjustRightInd w:val="0"/>
        <w:snapToGrid w:val="0"/>
        <w:spacing w:line="360" w:lineRule="auto"/>
        <w:jc w:val="both"/>
        <w:rPr>
          <w:rFonts w:ascii="Book Antiqua" w:hAnsi="Book Antiqua" w:cs="Book Antiqua"/>
        </w:rPr>
      </w:pPr>
    </w:p>
    <w:p w14:paraId="3326ED07"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775FFB55" w14:textId="2A9EFCAD" w:rsidR="00DC7063" w:rsidRDefault="00B62DE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GPA, a new alternative name for Wegener’s granulomatosis, is a necrotizing inflammation of small and medium-sized vessels accompanied by formation of granuloma, involvement of primary granulomatous upper and lower respiratory tracts, glomerulonephritis, and vasculitis of small vessels. GPA is a heterogeneous disease in terms of severity and clinical </w:t>
      </w:r>
      <w:proofErr w:type="gramStart"/>
      <w:r>
        <w:rPr>
          <w:rFonts w:ascii="Book Antiqua" w:eastAsia="Book Antiqua" w:hAnsi="Book Antiqua" w:cs="Book Antiqua"/>
          <w:color w:val="000000"/>
        </w:rPr>
        <w:t>manifestations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Its annual incidence is 4-21 cases per million, with a higher incidence in Europe, particularly in Southern Sweden, Norway, New Zealand and the United States, and a lower incidence in China</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r>
        <w:rPr>
          <w:rFonts w:ascii="Book Antiqua" w:eastAsia="宋体" w:hAnsi="Book Antiqua" w:cs="Book Antiqua"/>
          <w:b/>
          <w:bCs/>
          <w:color w:val="000000"/>
          <w:vertAlign w:val="superscript"/>
          <w:lang w:eastAsia="zh-CN"/>
        </w:rPr>
        <w:t xml:space="preserve"> </w:t>
      </w:r>
      <w:r>
        <w:rPr>
          <w:rFonts w:ascii="Book Antiqua" w:eastAsia="Book Antiqua" w:hAnsi="Book Antiqua" w:cs="Book Antiqua"/>
          <w:color w:val="000000"/>
        </w:rPr>
        <w:t xml:space="preserve">The mean age of </w:t>
      </w:r>
      <w:r>
        <w:rPr>
          <w:rFonts w:ascii="Book Antiqua" w:eastAsia="Book Antiqua" w:hAnsi="Book Antiqua" w:cs="Book Antiqua"/>
          <w:color w:val="000000"/>
        </w:rPr>
        <w:lastRenderedPageBreak/>
        <w:t xml:space="preserve">patients at diagnosis is 40-50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 xml:space="preserve">The most frequently affected organ is the lung, which is involved in more than 90% of patients during the course of the disease. The associated lung diseases range from asymptomatic pulmonary nodules to pulmonary infiltrates and fulminant alveolar hemorrhage. Lung nodules and masses are the most common radiographic and CT </w:t>
      </w:r>
      <w:proofErr w:type="gramStart"/>
      <w:r>
        <w:rPr>
          <w:rFonts w:ascii="Book Antiqua" w:eastAsia="Book Antiqua" w:hAnsi="Book Antiqua" w:cs="Book Antiqua"/>
          <w:color w:val="000000"/>
        </w:rPr>
        <w:t>abnormalities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DAH is a rare fatal complication of GPA that increases the mortality rate of affected patients by six times the normal </w:t>
      </w:r>
      <w:proofErr w:type="gramStart"/>
      <w:r>
        <w:rPr>
          <w:rFonts w:ascii="Book Antiqua" w:eastAsia="Book Antiqua" w:hAnsi="Book Antiqua" w:cs="Book Antiqua"/>
          <w:color w:val="000000"/>
        </w:rPr>
        <w:t>value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 skin, central nervous system, heart, salivary gland, eye and orbit, breast, gastrointestinal tract, spleen, pituitary gland, thyroid gland, and urogenital tract can also be involved in this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 xml:space="preserve">GPA is diagnosed when two of the following four criteria are met: </w:t>
      </w:r>
      <w:r w:rsidR="00430ACF">
        <w:rPr>
          <w:rFonts w:ascii="Book Antiqua" w:eastAsiaTheme="minorEastAsia" w:hAnsi="Book Antiqua" w:cs="Book Antiqua" w:hint="eastAsia"/>
          <w:color w:val="000000"/>
          <w:lang w:eastAsia="zh-CN"/>
        </w:rPr>
        <w:t>N</w:t>
      </w:r>
      <w:r>
        <w:rPr>
          <w:rFonts w:ascii="Book Antiqua" w:eastAsia="Book Antiqua" w:hAnsi="Book Antiqua" w:cs="Book Antiqua"/>
          <w:color w:val="000000"/>
        </w:rPr>
        <w:t>asal or oral inflammation with ulcers or purulent bloody discharge; chest radiograph showing nodules, cavities, or infiltrates; urinary sediment with red cell casts or microscopic hematuria; and granulomatous inflammation on lung biopsy. GPA has a strong and specific association with c-anti-neutrophil cytoplasmic antibodies, which in combination with anti-proteinase-3 testing, has great significance for early GPA diagnosis because their sensitivity and specificity are higher than 90% and 98%, respectively</w:t>
      </w:r>
      <w:r>
        <w:rPr>
          <w:rFonts w:ascii="Book Antiqua" w:eastAsia="Book Antiqua" w:hAnsi="Book Antiqua" w:cs="Book Antiqua"/>
          <w:color w:val="000000"/>
          <w:vertAlign w:val="superscript"/>
        </w:rPr>
        <w:t>[5,12]</w:t>
      </w:r>
      <w:r>
        <w:rPr>
          <w:rFonts w:ascii="Book Antiqua" w:eastAsia="Book Antiqua" w:hAnsi="Book Antiqua" w:cs="Book Antiqua"/>
          <w:color w:val="000000"/>
        </w:rPr>
        <w:t xml:space="preserve">. Early diagnosis and treatment </w:t>
      </w:r>
      <w:proofErr w:type="gramStart"/>
      <w:r>
        <w:rPr>
          <w:rFonts w:ascii="Book Antiqua" w:eastAsia="Book Antiqua" w:hAnsi="Book Antiqua" w:cs="Book Antiqua"/>
          <w:color w:val="000000"/>
        </w:rPr>
        <w:t>are</w:t>
      </w:r>
      <w:proofErr w:type="gramEnd"/>
      <w:r>
        <w:rPr>
          <w:rFonts w:ascii="Book Antiqua" w:eastAsia="Book Antiqua" w:hAnsi="Book Antiqua" w:cs="Book Antiqua"/>
          <w:color w:val="000000"/>
        </w:rPr>
        <w:t xml:space="preserve"> the key to GPA management. The therapeutic options for GPA are as follows: </w:t>
      </w:r>
      <w:r w:rsidR="00430ACF">
        <w:rPr>
          <w:rFonts w:ascii="Book Antiqua" w:eastAsiaTheme="minorEastAsia" w:hAnsi="Book Antiqua" w:cs="Book Antiqua" w:hint="eastAsia"/>
          <w:color w:val="000000"/>
          <w:lang w:eastAsia="zh-CN"/>
        </w:rPr>
        <w:t>C</w:t>
      </w:r>
      <w:r>
        <w:rPr>
          <w:rFonts w:ascii="Book Antiqua" w:eastAsia="Book Antiqua" w:hAnsi="Book Antiqua" w:cs="Book Antiqua"/>
          <w:color w:val="000000"/>
        </w:rPr>
        <w:t xml:space="preserve">yclophosphamide + corticosteroids, methotrexate + corticosteroids, azathioprine, </w:t>
      </w:r>
      <w:proofErr w:type="spellStart"/>
      <w:r>
        <w:rPr>
          <w:rFonts w:ascii="Book Antiqua" w:eastAsia="Book Antiqua" w:hAnsi="Book Antiqua" w:cs="Book Antiqua"/>
          <w:color w:val="000000"/>
        </w:rPr>
        <w:t>leflunomide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cotrimoxazole</w:t>
      </w:r>
      <w:proofErr w:type="spellEnd"/>
      <w:r>
        <w:rPr>
          <w:rFonts w:ascii="Book Antiqua" w:eastAsia="Book Antiqua" w:hAnsi="Book Antiqua" w:cs="Book Antiqua"/>
          <w:color w:val="000000"/>
        </w:rPr>
        <w:t xml:space="preserve">, mycophenolate, cyclosporine, or </w:t>
      </w:r>
      <w:proofErr w:type="gramStart"/>
      <w:r>
        <w:rPr>
          <w:rFonts w:ascii="Book Antiqua" w:eastAsia="Book Antiqua" w:hAnsi="Book Antiqua" w:cs="Book Antiqua"/>
          <w:color w:val="000000"/>
        </w:rPr>
        <w:t>rituximab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Glucocorticoids with cyclophosphamide are considered the first-line </w:t>
      </w:r>
      <w:proofErr w:type="gramStart"/>
      <w:r>
        <w:rPr>
          <w:rFonts w:ascii="Book Antiqua" w:eastAsia="Book Antiqua" w:hAnsi="Book Antiqua" w:cs="Book Antiqua"/>
          <w:color w:val="000000"/>
        </w:rPr>
        <w:t>regimen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w:t>
      </w:r>
      <w:r>
        <w:rPr>
          <w:rFonts w:ascii="Book Antiqua" w:eastAsia="Book Antiqua" w:hAnsi="Book Antiqua" w:cs="Book Antiqua"/>
          <w:color w:val="000000"/>
        </w:rPr>
        <w:t xml:space="preserve">. However, treatment-related morbidity and toxicity from prolonged cyclophosphamide therapy remains a major concern. Therefore, safe and effective alternatives are urgently needed. IVIG can reduce the disease activity in diverse autoimmune diseases by interrupting T-cell- or B-cell-mediated immune </w:t>
      </w:r>
      <w:proofErr w:type="gramStart"/>
      <w:r>
        <w:rPr>
          <w:rFonts w:ascii="Book Antiqua" w:eastAsia="Book Antiqua" w:hAnsi="Book Antiqua" w:cs="Book Antiqua"/>
          <w:color w:val="000000"/>
        </w:rPr>
        <w:t>responses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The results of a French Vasculitis Study Group prospective trial showed that after treatment with IVIG as additional therapy, 16 of the 22 patients experienced complete remission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after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(72.7; 15 with Wegener’s granulomatosis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1 with microscopic </w:t>
      </w:r>
      <w:proofErr w:type="spellStart"/>
      <w:r>
        <w:rPr>
          <w:rFonts w:ascii="Book Antiqua" w:eastAsia="Book Antiqua" w:hAnsi="Book Antiqua" w:cs="Book Antiqua"/>
          <w:color w:val="000000"/>
        </w:rPr>
        <w:t>polyangiitis</w:t>
      </w:r>
      <w:proofErr w:type="spellEnd"/>
      <w:r>
        <w:rPr>
          <w:rFonts w:ascii="Book Antiqua" w:eastAsia="Book Antiqua" w:hAnsi="Book Antiqua" w:cs="Book Antiqua"/>
          <w:color w:val="000000"/>
        </w:rPr>
        <w:t xml:space="preserve">), and 17 patients after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(77.3%)</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This is in agreement with </w:t>
      </w:r>
      <w:hyperlink r:id="rId15" w:history="1">
        <w:r>
          <w:rPr>
            <w:rStyle w:val="15"/>
            <w:rFonts w:ascii="Book Antiqua" w:eastAsia="Book Antiqua" w:hAnsi="Book Antiqua" w:cs="Book Antiqua"/>
            <w:color w:val="000000"/>
          </w:rPr>
          <w:t>Etienne Crickx</w:t>
        </w:r>
      </w:hyperlink>
      <w:r>
        <w:rPr>
          <w:rFonts w:ascii="Book Antiqua" w:eastAsia="Book Antiqua" w:hAnsi="Book Antiqua" w:cs="Book Antiqua"/>
          <w:color w:val="000000"/>
        </w:rPr>
        <w:t xml:space="preserve">’s retrospective study, which supported the use of IVIG in anti-neutrophil cytoplasmic antibody-associated </w:t>
      </w:r>
      <w:proofErr w:type="spellStart"/>
      <w:r>
        <w:rPr>
          <w:rFonts w:ascii="Book Antiqua" w:eastAsia="Book Antiqua" w:hAnsi="Book Antiqua" w:cs="Book Antiqua"/>
          <w:color w:val="000000"/>
        </w:rPr>
        <w:t>vasculitides</w:t>
      </w:r>
      <w:proofErr w:type="spellEnd"/>
      <w:r>
        <w:rPr>
          <w:rFonts w:ascii="Book Antiqua" w:eastAsia="Book Antiqua" w:hAnsi="Book Antiqua" w:cs="Book Antiqua"/>
          <w:color w:val="000000"/>
        </w:rPr>
        <w:t xml:space="preserve"> patients with refractory or </w:t>
      </w:r>
      <w:r>
        <w:rPr>
          <w:rFonts w:ascii="Book Antiqua" w:eastAsia="Book Antiqua" w:hAnsi="Book Antiqua" w:cs="Book Antiqua"/>
          <w:color w:val="000000"/>
        </w:rPr>
        <w:lastRenderedPageBreak/>
        <w:t xml:space="preserve">relapsed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Fortin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’s study, 34 participants with GPA were randomly assigned to two groups: </w:t>
      </w:r>
      <w:r w:rsidR="00430ACF">
        <w:rPr>
          <w:rFonts w:ascii="Book Antiqua" w:eastAsiaTheme="minorEastAsia" w:hAnsi="Book Antiqua" w:cs="Book Antiqua" w:hint="eastAsia"/>
          <w:color w:val="000000"/>
          <w:lang w:eastAsia="zh-CN"/>
        </w:rPr>
        <w:t>O</w:t>
      </w:r>
      <w:r>
        <w:rPr>
          <w:rFonts w:ascii="Book Antiqua" w:eastAsia="Book Antiqua" w:hAnsi="Book Antiqua" w:cs="Book Antiqua"/>
          <w:color w:val="000000"/>
        </w:rPr>
        <w:t>ne group was treated with IVIG, systemic corticosteroids, and immunosuppressive drugs; and the other group was treated with systemic corticosteroids and immunosuppressive drugs. The IVIG group showed significant increase in total adverse events, but the two groups had no remarkable differences in mortality, serious adverse events, time to relapse, open-label rescue therapy, and infection rates (Table 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r w:rsidR="00430ACF">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Two patients diagnosed with eosinophilic granulomatosis with </w:t>
      </w:r>
      <w:proofErr w:type="spellStart"/>
      <w:r>
        <w:rPr>
          <w:rFonts w:ascii="Book Antiqua" w:eastAsia="Book Antiqua" w:hAnsi="Book Antiqua" w:cs="Book Antiqua"/>
          <w:color w:val="000000"/>
        </w:rPr>
        <w:t>polyangiitis</w:t>
      </w:r>
      <w:proofErr w:type="spellEnd"/>
      <w:r>
        <w:rPr>
          <w:rFonts w:ascii="Book Antiqua" w:eastAsia="Book Antiqua" w:hAnsi="Book Antiqua" w:cs="Book Antiqua"/>
          <w:color w:val="000000"/>
        </w:rPr>
        <w:t xml:space="preserve"> and drastically progressive neuropathy were successfully treated with IVIG, not steroids, and showed no apparent side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Similarly, for chronic residual peripheral neuropathy in eosinophilic GPA</w:t>
      </w:r>
      <w:r>
        <w:rPr>
          <w:rFonts w:ascii="Book Antiqua" w:eastAsia="宋体" w:hAnsi="Book Antiqua" w:cs="Book Antiqu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Churg</w:t>
      </w:r>
      <w:proofErr w:type="spellEnd"/>
      <w:r>
        <w:rPr>
          <w:rFonts w:ascii="Book Antiqua" w:eastAsia="Book Antiqua" w:hAnsi="Book Antiqua" w:cs="Book Antiqua"/>
          <w:color w:val="000000"/>
        </w:rPr>
        <w:t>-Strauss syndrome),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 number of muscles with low manual muscle testing scores and the neuropathic pain scores also improved significantly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IVIG administration</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which indicated the practicality and effectiveness of IVIG treatment for eosinophilic patients with peripheral neuropathy. In addition, IVIG therapy has been safely used during </w:t>
      </w:r>
      <w:proofErr w:type="gramStart"/>
      <w:r>
        <w:rPr>
          <w:rFonts w:ascii="Book Antiqua" w:eastAsia="Book Antiqua" w:hAnsi="Book Antiqua" w:cs="Book Antiqua"/>
          <w:color w:val="000000"/>
        </w:rPr>
        <w:t>pregnancy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 The frequency of cluster of differentiation-positive cells among the CD4+ T cells (which may promote remission in eosinophilic GPA) in the study group (IVIG therapy combined with conventional therapy) was lower than that of the control group (conventional therapy) before therapy, and was significantly increased after IVIG treatment (Table 2)</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3839EB42" w14:textId="77777777" w:rsidR="00DC7063" w:rsidRDefault="00B62DEE" w:rsidP="00282B37">
      <w:pPr>
        <w:tabs>
          <w:tab w:val="left" w:pos="270"/>
        </w:tabs>
        <w:adjustRightInd w:val="0"/>
        <w:snapToGrid w:val="0"/>
        <w:spacing w:line="360" w:lineRule="auto"/>
        <w:ind w:firstLine="270"/>
        <w:jc w:val="both"/>
        <w:rPr>
          <w:rFonts w:ascii="Book Antiqua" w:hAnsi="Book Antiqua" w:cs="Book Antiqua"/>
        </w:rPr>
      </w:pPr>
      <w:r>
        <w:rPr>
          <w:rFonts w:ascii="Book Antiqua" w:eastAsia="Book Antiqua" w:hAnsi="Book Antiqua" w:cs="Book Antiqua"/>
          <w:color w:val="000000"/>
        </w:rPr>
        <w:t xml:space="preserve">Our case strengthens the validity of IVIG use. The combination of methylprednisolone and IVIG can considerably improve the symptoms, with less cytotoxic side effects. However, the length of remission induction, the potential side effects compared with </w:t>
      </w:r>
      <w:hyperlink r:id="rId16" w:history="1">
        <w:r>
          <w:rPr>
            <w:rStyle w:val="15"/>
            <w:rFonts w:ascii="Book Antiqua" w:eastAsia="Book Antiqua" w:hAnsi="Book Antiqua" w:cs="Book Antiqua"/>
            <w:color w:val="000000"/>
          </w:rPr>
          <w:t>cyclophosphamide</w:t>
        </w:r>
      </w:hyperlink>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use, and the best time for administration need further study. </w:t>
      </w:r>
    </w:p>
    <w:p w14:paraId="210314BA" w14:textId="77777777" w:rsidR="00DC7063" w:rsidRDefault="00DC7063">
      <w:pPr>
        <w:adjustRightInd w:val="0"/>
        <w:snapToGrid w:val="0"/>
        <w:spacing w:line="360" w:lineRule="auto"/>
        <w:jc w:val="both"/>
        <w:rPr>
          <w:rFonts w:ascii="Book Antiqua" w:hAnsi="Book Antiqua" w:cs="Book Antiqua"/>
        </w:rPr>
      </w:pPr>
    </w:p>
    <w:p w14:paraId="0E3EDD91"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1CC6CDC8" w14:textId="77777777" w:rsidR="00DC7063" w:rsidRDefault="00B62DEE">
      <w:pPr>
        <w:adjustRightInd w:val="0"/>
        <w:snapToGrid w:val="0"/>
        <w:spacing w:line="360" w:lineRule="auto"/>
        <w:jc w:val="both"/>
        <w:rPr>
          <w:rFonts w:ascii="Book Antiqua" w:hAnsi="Book Antiqua" w:cs="Book Antiqua"/>
        </w:rPr>
      </w:pPr>
      <w:r>
        <w:rPr>
          <w:rStyle w:val="16"/>
          <w:rFonts w:ascii="Book Antiqua" w:eastAsia="Book Antiqua" w:hAnsi="Book Antiqua" w:cs="Book Antiqua"/>
          <w:color w:val="000000"/>
        </w:rPr>
        <w:t xml:space="preserve">GPA is an autoimmune disease that is rare and difficult to diagnose, and its treatment plan needs to be </w:t>
      </w:r>
      <w:r>
        <w:rPr>
          <w:rStyle w:val="15"/>
          <w:rFonts w:ascii="Book Antiqua" w:eastAsia="Book Antiqua" w:hAnsi="Book Antiqua" w:cs="Book Antiqua"/>
          <w:color w:val="000000"/>
        </w:rPr>
        <w:t xml:space="preserve">constantly </w:t>
      </w:r>
      <w:r>
        <w:rPr>
          <w:rStyle w:val="16"/>
          <w:rFonts w:ascii="Book Antiqua" w:eastAsia="Book Antiqua" w:hAnsi="Book Antiqua" w:cs="Book Antiqua"/>
          <w:color w:val="000000"/>
        </w:rPr>
        <w:t xml:space="preserve">optimized. Early diagnosis and treatment </w:t>
      </w:r>
      <w:proofErr w:type="gramStart"/>
      <w:r>
        <w:rPr>
          <w:rStyle w:val="16"/>
          <w:rFonts w:ascii="Book Antiqua" w:eastAsia="Book Antiqua" w:hAnsi="Book Antiqua" w:cs="Book Antiqua"/>
          <w:color w:val="000000"/>
        </w:rPr>
        <w:t>are</w:t>
      </w:r>
      <w:proofErr w:type="gramEnd"/>
      <w:r>
        <w:rPr>
          <w:rStyle w:val="16"/>
          <w:rFonts w:ascii="Book Antiqua" w:eastAsia="Book Antiqua" w:hAnsi="Book Antiqua" w:cs="Book Antiqua"/>
          <w:color w:val="000000"/>
        </w:rPr>
        <w:t xml:space="preserve"> the key to managing and treating this lethal disease.</w:t>
      </w:r>
    </w:p>
    <w:p w14:paraId="11D13DC9" w14:textId="77777777" w:rsidR="00DC7063" w:rsidRDefault="00DC7063">
      <w:pPr>
        <w:adjustRightInd w:val="0"/>
        <w:snapToGrid w:val="0"/>
        <w:spacing w:line="360" w:lineRule="auto"/>
        <w:jc w:val="both"/>
        <w:rPr>
          <w:rFonts w:ascii="Book Antiqua" w:hAnsi="Book Antiqua" w:cs="Book Antiqua"/>
        </w:rPr>
      </w:pPr>
    </w:p>
    <w:p w14:paraId="233C107A"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14:paraId="5250E499" w14:textId="77777777" w:rsidR="00DC7063" w:rsidRDefault="00B62DEE">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rPr>
        <w:t>The authors acknowledge the invaluable participation of the patient.</w:t>
      </w:r>
    </w:p>
    <w:p w14:paraId="045E97FA" w14:textId="77777777" w:rsidR="00DC7063" w:rsidRDefault="00DC7063">
      <w:pPr>
        <w:adjustRightInd w:val="0"/>
        <w:snapToGrid w:val="0"/>
        <w:spacing w:line="360" w:lineRule="auto"/>
        <w:jc w:val="both"/>
        <w:rPr>
          <w:rFonts w:ascii="Book Antiqua" w:hAnsi="Book Antiqua" w:cs="Book Antiqua"/>
        </w:rPr>
      </w:pPr>
    </w:p>
    <w:p w14:paraId="3BF915DB"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5DC849B3" w14:textId="77777777" w:rsidR="00DC7063" w:rsidRDefault="00B62DEE">
      <w:pPr>
        <w:adjustRightInd w:val="0"/>
        <w:snapToGrid w:val="0"/>
        <w:spacing w:line="360" w:lineRule="auto"/>
        <w:jc w:val="both"/>
        <w:rPr>
          <w:rFonts w:ascii="Book Antiqua" w:hAnsi="Book Antiqua" w:cs="Book Antiqua"/>
        </w:rPr>
      </w:pPr>
      <w:bookmarkStart w:id="2" w:name="OLE_LINK16"/>
      <w:r>
        <w:rPr>
          <w:rFonts w:ascii="Book Antiqua" w:eastAsia="Book Antiqua" w:hAnsi="Book Antiqua" w:cs="Book Antiqua"/>
          <w:color w:val="000000"/>
        </w:rPr>
        <w:t xml:space="preserve">1 </w:t>
      </w:r>
      <w:r>
        <w:rPr>
          <w:rFonts w:ascii="Book Antiqua" w:eastAsia="Book Antiqua" w:hAnsi="Book Antiqua" w:cs="Book Antiqua"/>
          <w:b/>
          <w:bCs/>
          <w:color w:val="000000"/>
        </w:rPr>
        <w:t>Rossini BA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Bogaz</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Yonamine</w:t>
      </w:r>
      <w:proofErr w:type="spellEnd"/>
      <w:r>
        <w:rPr>
          <w:rFonts w:ascii="Book Antiqua" w:eastAsia="Book Antiqua" w:hAnsi="Book Antiqua" w:cs="Book Antiqua"/>
          <w:color w:val="000000"/>
        </w:rPr>
        <w:t xml:space="preserve"> FK, </w:t>
      </w:r>
      <w:proofErr w:type="spellStart"/>
      <w:r>
        <w:rPr>
          <w:rFonts w:ascii="Book Antiqua" w:eastAsia="Book Antiqua" w:hAnsi="Book Antiqua" w:cs="Book Antiqua"/>
          <w:color w:val="000000"/>
        </w:rPr>
        <w:t>Testa</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Penido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Nde</w:t>
      </w:r>
      <w:proofErr w:type="spellEnd"/>
      <w:r>
        <w:rPr>
          <w:rFonts w:ascii="Book Antiqua" w:eastAsia="Book Antiqua" w:hAnsi="Book Antiqua" w:cs="Book Antiqua"/>
          <w:color w:val="000000"/>
        </w:rPr>
        <w:t xml:space="preserve"> O. Refractory otitis media as the first manifestation of Wegener's granulomatosis.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76</w:t>
      </w:r>
      <w:r>
        <w:rPr>
          <w:rFonts w:ascii="Book Antiqua" w:eastAsia="Book Antiqua" w:hAnsi="Book Antiqua" w:cs="Book Antiqua"/>
          <w:color w:val="000000"/>
        </w:rPr>
        <w:t>: 541 [PMID: 20835547]</w:t>
      </w:r>
    </w:p>
    <w:p w14:paraId="67C03B61" w14:textId="77777777" w:rsidR="00DC7063" w:rsidRDefault="00B62DEE">
      <w:pPr>
        <w:adjustRightInd w:val="0"/>
        <w:snapToGrid w:val="0"/>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Chouhan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Kulhari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Amisha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Kasliwal</w:t>
      </w:r>
      <w:proofErr w:type="spellEnd"/>
      <w:r>
        <w:rPr>
          <w:rFonts w:ascii="Book Antiqua" w:eastAsia="Book Antiqua" w:hAnsi="Book Antiqua" w:cs="Book Antiqua"/>
          <w:color w:val="000000"/>
        </w:rPr>
        <w:t xml:space="preserve"> N.</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An Unusual Presentation of Wegener's Granulomatosis with </w:t>
      </w:r>
      <w:proofErr w:type="spellStart"/>
      <w:r>
        <w:rPr>
          <w:rFonts w:ascii="Book Antiqua" w:eastAsia="Book Antiqua" w:hAnsi="Book Antiqua" w:cs="Book Antiqua"/>
          <w:color w:val="000000"/>
        </w:rPr>
        <w:t>Otologic</w:t>
      </w:r>
      <w:proofErr w:type="spellEnd"/>
      <w:r>
        <w:rPr>
          <w:rFonts w:ascii="Book Antiqua" w:eastAsia="Book Antiqua" w:hAnsi="Book Antiqua" w:cs="Book Antiqua"/>
          <w:color w:val="000000"/>
        </w:rPr>
        <w:t xml:space="preserve"> Symptoms and Unilateral Parotid Gland Enlargement.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21-24 [PMID: 31741922 DOI: 10.1007/s12070-015-0941-5]</w:t>
      </w:r>
    </w:p>
    <w:p w14:paraId="54B2F2E5"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Apostolova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Shoib</w:t>
      </w:r>
      <w:proofErr w:type="spellEnd"/>
      <w:r>
        <w:rPr>
          <w:rFonts w:ascii="Book Antiqua" w:eastAsia="Book Antiqua" w:hAnsi="Book Antiqua" w:cs="Book Antiqua"/>
          <w:color w:val="000000"/>
        </w:rPr>
        <w:t xml:space="preserve"> M, Nasser S. Multiple pulmonary nodules: a complex case of Wegener's granulomatosis.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w:t>
      </w:r>
      <w:r>
        <w:rPr>
          <w:rFonts w:ascii="Book Antiqua" w:eastAsia="Book Antiqua" w:hAnsi="Book Antiqua" w:cs="Book Antiqua"/>
          <w:color w:val="000000"/>
        </w:rPr>
        <w:t>: e14 [PMID: 24765494 DOI: 10.4081/cp.2013.e14]</w:t>
      </w:r>
    </w:p>
    <w:p w14:paraId="701D224A"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Lynch JP 3rd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Derhovanessian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Tazelaar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Belperio</w:t>
      </w:r>
      <w:proofErr w:type="spellEnd"/>
      <w:r>
        <w:rPr>
          <w:rFonts w:ascii="Book Antiqua" w:eastAsia="Book Antiqua" w:hAnsi="Book Antiqua" w:cs="Book Antiqua"/>
          <w:color w:val="000000"/>
        </w:rPr>
        <w:t xml:space="preserve"> JA. Granulomatosis with </w:t>
      </w:r>
      <w:proofErr w:type="spellStart"/>
      <w:r>
        <w:rPr>
          <w:rFonts w:ascii="Book Antiqua" w:eastAsia="Book Antiqua" w:hAnsi="Book Antiqua" w:cs="Book Antiqua"/>
          <w:color w:val="000000"/>
        </w:rPr>
        <w:t>Polyangiitis</w:t>
      </w:r>
      <w:proofErr w:type="spellEnd"/>
      <w:r>
        <w:rPr>
          <w:rFonts w:ascii="Book Antiqua" w:eastAsia="Book Antiqua" w:hAnsi="Book Antiqua" w:cs="Book Antiqua"/>
          <w:color w:val="000000"/>
        </w:rPr>
        <w:t xml:space="preserve"> (Wegener's Granulomatosis): Evolving Concepts in Treatment.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Respir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Care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434-458 [PMID: 30404111 DOI: 10.1055/s-0038-1660874]</w:t>
      </w:r>
    </w:p>
    <w:p w14:paraId="28B96EB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Neves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Marinho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Melo</w:t>
      </w:r>
      <w:proofErr w:type="spellEnd"/>
      <w:r>
        <w:rPr>
          <w:rFonts w:ascii="Book Antiqua" w:eastAsia="Book Antiqua" w:hAnsi="Book Antiqua" w:cs="Book Antiqua"/>
          <w:color w:val="000000"/>
        </w:rPr>
        <w:t xml:space="preserve"> N, Jesus JM, Moura CS, </w:t>
      </w:r>
      <w:proofErr w:type="spellStart"/>
      <w:r>
        <w:rPr>
          <w:rFonts w:ascii="Book Antiqua" w:eastAsia="Book Antiqua" w:hAnsi="Book Antiqua" w:cs="Book Antiqua"/>
          <w:color w:val="000000"/>
        </w:rPr>
        <w:t>Bernardes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Vaz</w:t>
      </w:r>
      <w:proofErr w:type="spellEnd"/>
      <w:r>
        <w:rPr>
          <w:rFonts w:ascii="Book Antiqua" w:eastAsia="Book Antiqua" w:hAnsi="Book Antiqua" w:cs="Book Antiqua"/>
          <w:color w:val="000000"/>
        </w:rPr>
        <w:t xml:space="preserve"> C. Wegener's granulomatosis and alveolar hemorrhage - case report.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Reumatol</w:t>
      </w:r>
      <w:proofErr w:type="spellEnd"/>
      <w:r>
        <w:rPr>
          <w:rFonts w:ascii="Book Antiqua" w:eastAsia="Book Antiqua" w:hAnsi="Book Antiqua" w:cs="Book Antiqua"/>
          <w:i/>
          <w:iCs/>
          <w:color w:val="000000"/>
        </w:rPr>
        <w:t xml:space="preserve"> Port</w:t>
      </w:r>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295-298 [PMID: 24435035]</w:t>
      </w:r>
    </w:p>
    <w:p w14:paraId="6CD82EE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Ishiguro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Takayanagi</w:t>
      </w:r>
      <w:proofErr w:type="spellEnd"/>
      <w:r>
        <w:rPr>
          <w:rFonts w:ascii="Book Antiqua" w:eastAsia="Book Antiqua" w:hAnsi="Book Antiqua" w:cs="Book Antiqua"/>
          <w:color w:val="000000"/>
        </w:rPr>
        <w:t xml:space="preserve"> N, Yamaguchi S, Shimizu Y, Yanagisawa T, Sugita Y, Kawabata Y. Pulmonary </w:t>
      </w:r>
      <w:proofErr w:type="spellStart"/>
      <w:r>
        <w:rPr>
          <w:rFonts w:ascii="Book Antiqua" w:eastAsia="Book Antiqua" w:hAnsi="Book Antiqua" w:cs="Book Antiqua"/>
          <w:color w:val="000000"/>
        </w:rPr>
        <w:t>capillaritis</w:t>
      </w:r>
      <w:proofErr w:type="spellEnd"/>
      <w:r>
        <w:rPr>
          <w:rFonts w:ascii="Book Antiqua" w:eastAsia="Book Antiqua" w:hAnsi="Book Antiqua" w:cs="Book Antiqua"/>
          <w:color w:val="000000"/>
        </w:rPr>
        <w:t xml:space="preserve"> in Wegener's granulomatosis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transbronchial</w:t>
      </w:r>
      <w:proofErr w:type="spellEnd"/>
      <w:r>
        <w:rPr>
          <w:rFonts w:ascii="Book Antiqua" w:eastAsia="Book Antiqua" w:hAnsi="Book Antiqua" w:cs="Book Antiqua"/>
          <w:color w:val="000000"/>
        </w:rPr>
        <w:t xml:space="preserve"> lung biopsy.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51</w:t>
      </w:r>
      <w:r>
        <w:rPr>
          <w:rFonts w:ascii="Book Antiqua" w:eastAsia="Book Antiqua" w:hAnsi="Book Antiqua" w:cs="Book Antiqua"/>
          <w:color w:val="000000"/>
        </w:rPr>
        <w:t>: 905-909 [PMID: 22504248 DOI: 10.2169/internalmedicine.51.6518]</w:t>
      </w:r>
    </w:p>
    <w:p w14:paraId="3C8B3884"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Harabuchi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Kishibe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Komabayashi</w:t>
      </w:r>
      <w:proofErr w:type="spellEnd"/>
      <w:r>
        <w:rPr>
          <w:rFonts w:ascii="Book Antiqua" w:eastAsia="Book Antiqua" w:hAnsi="Book Antiqua" w:cs="Book Antiqua"/>
          <w:color w:val="000000"/>
        </w:rPr>
        <w:t xml:space="preserve"> Y. Clinical manifestations of granulomatosis with </w:t>
      </w:r>
      <w:proofErr w:type="spellStart"/>
      <w:r>
        <w:rPr>
          <w:rFonts w:ascii="Book Antiqua" w:eastAsia="Book Antiqua" w:hAnsi="Book Antiqua" w:cs="Book Antiqua"/>
          <w:color w:val="000000"/>
        </w:rPr>
        <w:t>polyangiitis</w:t>
      </w:r>
      <w:proofErr w:type="spellEnd"/>
      <w:r>
        <w:rPr>
          <w:rFonts w:ascii="Book Antiqua" w:eastAsia="Book Antiqua" w:hAnsi="Book Antiqua" w:cs="Book Antiqua"/>
          <w:color w:val="000000"/>
        </w:rPr>
        <w:t xml:space="preserve"> (Wegener's granulomatosis) in the upper respiratory tract seen by otolaryngologists in Japan.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Nephrol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663-666 [PMID: 23385778 DOI: 10.1007/s10157-012-0768-2]</w:t>
      </w:r>
    </w:p>
    <w:p w14:paraId="44040495" w14:textId="77777777" w:rsidR="00DC7063" w:rsidRDefault="00B62DEE">
      <w:pPr>
        <w:adjustRightInd w:val="0"/>
        <w:snapToGrid w:val="0"/>
        <w:spacing w:line="360" w:lineRule="auto"/>
        <w:jc w:val="both"/>
        <w:rPr>
          <w:rFonts w:ascii="Book Antiqua" w:hAnsi="Book Antiqua" w:cs="Book Antiqua"/>
        </w:rPr>
      </w:pPr>
      <w:proofErr w:type="gramStart"/>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Gadó</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Szabó</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Csákó</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Domján</w:t>
      </w:r>
      <w:proofErr w:type="spellEnd"/>
      <w:r>
        <w:rPr>
          <w:rFonts w:ascii="Book Antiqua" w:eastAsia="Book Antiqua" w:hAnsi="Book Antiqua" w:cs="Book Antiqua"/>
          <w:color w:val="000000"/>
        </w:rPr>
        <w:t xml:space="preserve"> G. [Wegener's granulomatosis].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i/>
          <w:iCs/>
          <w:color w:val="000000"/>
        </w:rPr>
        <w:t>Orv</w:t>
      </w:r>
      <w:proofErr w:type="gram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Hetil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154</w:t>
      </w:r>
      <w:r>
        <w:rPr>
          <w:rFonts w:ascii="Book Antiqua" w:eastAsia="Book Antiqua" w:hAnsi="Book Antiqua" w:cs="Book Antiqua"/>
          <w:color w:val="000000"/>
        </w:rPr>
        <w:t>: 1083-1095 [PMID: 23835353 DOI: 10.1556/OH.2013.29666]</w:t>
      </w:r>
    </w:p>
    <w:p w14:paraId="69309FCB"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Almouhawis</w:t>
      </w:r>
      <w:proofErr w:type="spellEnd"/>
      <w:r>
        <w:rPr>
          <w:rFonts w:ascii="Book Antiqua" w:eastAsia="Book Antiqua" w:hAnsi="Book Antiqua" w:cs="Book Antiqua"/>
          <w:b/>
          <w:bCs/>
          <w:color w:val="000000"/>
        </w:rPr>
        <w:t xml:space="preserve"> HA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Leao</w:t>
      </w:r>
      <w:proofErr w:type="spellEnd"/>
      <w:r>
        <w:rPr>
          <w:rFonts w:ascii="Book Antiqua" w:eastAsia="Book Antiqua" w:hAnsi="Book Antiqua" w:cs="Book Antiqua"/>
          <w:color w:val="000000"/>
        </w:rPr>
        <w:t xml:space="preserve"> JC, Fedele S, Porter SR. Wegener's granulomatosis: a review of clinical features and an update in diagnosis and treatment.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42</w:t>
      </w:r>
      <w:r>
        <w:rPr>
          <w:rFonts w:ascii="Book Antiqua" w:eastAsia="Book Antiqua" w:hAnsi="Book Antiqua" w:cs="Book Antiqua"/>
          <w:color w:val="000000"/>
        </w:rPr>
        <w:t>: 507-516 [PMID: 23301777 DOI: 10.1111/jop.12030]</w:t>
      </w:r>
    </w:p>
    <w:p w14:paraId="096F1C85" w14:textId="77777777" w:rsidR="00DC7063" w:rsidRDefault="00B62DEE">
      <w:pPr>
        <w:adjustRightInd w:val="0"/>
        <w:snapToGrid w:val="0"/>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10 </w:t>
      </w:r>
      <w:r>
        <w:rPr>
          <w:rFonts w:ascii="Book Antiqua" w:eastAsia="Book Antiqua" w:hAnsi="Book Antiqua" w:cs="Book Antiqua"/>
          <w:b/>
          <w:bCs/>
          <w:color w:val="000000"/>
        </w:rPr>
        <w:t>de Oliveira RV</w:t>
      </w:r>
      <w:r>
        <w:rPr>
          <w:rFonts w:ascii="Book Antiqua" w:eastAsia="Book Antiqua" w:hAnsi="Book Antiqua" w:cs="Book Antiqua"/>
          <w:color w:val="000000"/>
        </w:rPr>
        <w:t xml:space="preserve">, Zanetti G, </w:t>
      </w:r>
      <w:proofErr w:type="spellStart"/>
      <w:r>
        <w:rPr>
          <w:rFonts w:ascii="Book Antiqua" w:eastAsia="Book Antiqua" w:hAnsi="Book Antiqua" w:cs="Book Antiqua"/>
          <w:color w:val="000000"/>
        </w:rPr>
        <w:t>Marchiori</w:t>
      </w:r>
      <w:proofErr w:type="spellEnd"/>
      <w:r>
        <w:rPr>
          <w:rFonts w:ascii="Book Antiqua" w:eastAsia="Book Antiqua" w:hAnsi="Book Antiqua" w:cs="Book Antiqua"/>
          <w:color w:val="000000"/>
        </w:rPr>
        <w:t xml:space="preserve"> E. Multiple pulmonary nodules.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Wegener's granulomatosis simulating pulmonary metastases.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QJM</w:t>
      </w:r>
      <w:r>
        <w:rPr>
          <w:rFonts w:ascii="Book Antiqua" w:eastAsia="Book Antiqua" w:hAnsi="Book Antiqua" w:cs="Book Antiqua"/>
          <w:color w:val="000000"/>
        </w:rPr>
        <w:t xml:space="preserve"> 2013; </w:t>
      </w:r>
      <w:r>
        <w:rPr>
          <w:rFonts w:ascii="Book Antiqua" w:eastAsia="Book Antiqua" w:hAnsi="Book Antiqua" w:cs="Book Antiqua"/>
          <w:b/>
          <w:bCs/>
          <w:color w:val="000000"/>
        </w:rPr>
        <w:t>106</w:t>
      </w:r>
      <w:r>
        <w:rPr>
          <w:rFonts w:ascii="Book Antiqua" w:eastAsia="Book Antiqua" w:hAnsi="Book Antiqua" w:cs="Book Antiqua"/>
          <w:color w:val="000000"/>
        </w:rPr>
        <w:t>: 1143-1144 [PMID: 23097393 DOI: 10.1093/</w:t>
      </w:r>
      <w:proofErr w:type="spellStart"/>
      <w:r>
        <w:rPr>
          <w:rFonts w:ascii="Book Antiqua" w:eastAsia="Book Antiqua" w:hAnsi="Book Antiqua" w:cs="Book Antiqua"/>
          <w:color w:val="000000"/>
        </w:rPr>
        <w:t>qjmed</w:t>
      </w:r>
      <w:proofErr w:type="spellEnd"/>
      <w:r>
        <w:rPr>
          <w:rFonts w:ascii="Book Antiqua" w:eastAsia="Book Antiqua" w:hAnsi="Book Antiqua" w:cs="Book Antiqua"/>
          <w:color w:val="000000"/>
        </w:rPr>
        <w:t>/hcs202]</w:t>
      </w:r>
    </w:p>
    <w:p w14:paraId="06A5D1C4"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Arora R</w:t>
      </w:r>
      <w:r>
        <w:rPr>
          <w:rFonts w:ascii="Book Antiqua" w:eastAsia="Book Antiqua" w:hAnsi="Book Antiqua" w:cs="Book Antiqua"/>
          <w:color w:val="000000"/>
        </w:rPr>
        <w:t xml:space="preserve">. Massive alveolar </w:t>
      </w:r>
      <w:proofErr w:type="spellStart"/>
      <w:proofErr w:type="gramStart"/>
      <w:r>
        <w:rPr>
          <w:rFonts w:ascii="Book Antiqua" w:eastAsia="Book Antiqua" w:hAnsi="Book Antiqua" w:cs="Book Antiqua"/>
          <w:color w:val="000000"/>
        </w:rPr>
        <w:t>haemorrhage</w:t>
      </w:r>
      <w:proofErr w:type="spellEnd"/>
      <w:proofErr w:type="gramEnd"/>
      <w:r>
        <w:rPr>
          <w:rFonts w:ascii="Book Antiqua" w:eastAsia="Book Antiqua" w:hAnsi="Book Antiqua" w:cs="Book Antiqua"/>
          <w:color w:val="000000"/>
        </w:rPr>
        <w:t xml:space="preserve">: a rare life threatening complication of Wegener's granulomatosis-report of a rare case. </w:t>
      </w:r>
      <w:r>
        <w:rPr>
          <w:rFonts w:ascii="Book Antiqua" w:eastAsia="Book Antiqua" w:hAnsi="Book Antiqua" w:cs="Book Antiqua"/>
          <w:i/>
          <w:iCs/>
          <w:color w:val="000000"/>
        </w:rPr>
        <w:t xml:space="preserve">Quant Imaging Med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509-511 [PMID: 25525588 DOI: 10.3978/j.issn.2223-4292.2014.07.03]</w:t>
      </w:r>
    </w:p>
    <w:p w14:paraId="226D0F91"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Liang J</w:t>
      </w:r>
      <w:r>
        <w:rPr>
          <w:rFonts w:ascii="Book Antiqua" w:eastAsia="Book Antiqua" w:hAnsi="Book Antiqua" w:cs="Book Antiqua"/>
          <w:color w:val="000000"/>
        </w:rPr>
        <w:t xml:space="preserve">, Fan W, Yuan RD. Peripheral ulcerative keratitis and otitis media as initial symptoms of Wegener's granulomatosis: a case report.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873-876 [PMID: 31131254 DOI: 10.18240/ijo.2019.05.30]</w:t>
      </w:r>
    </w:p>
    <w:p w14:paraId="4CFAEC77" w14:textId="77777777" w:rsidR="00DC7063" w:rsidRDefault="00B62DEE">
      <w:pPr>
        <w:adjustRightInd w:val="0"/>
        <w:snapToGrid w:val="0"/>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Karras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Guiard</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Lévi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Thervet</w:t>
      </w:r>
      <w:proofErr w:type="spellEnd"/>
      <w:r>
        <w:rPr>
          <w:rFonts w:ascii="Book Antiqua" w:eastAsia="Book Antiqua" w:hAnsi="Book Antiqua" w:cs="Book Antiqua"/>
          <w:color w:val="000000"/>
        </w:rPr>
        <w:t xml:space="preserve"> E. [Granulomatosis with </w:t>
      </w:r>
      <w:proofErr w:type="spellStart"/>
      <w:r>
        <w:rPr>
          <w:rFonts w:ascii="Book Antiqua" w:eastAsia="Book Antiqua" w:hAnsi="Book Antiqua" w:cs="Book Antiqua"/>
          <w:color w:val="000000"/>
        </w:rPr>
        <w:t>polyangiitis</w:t>
      </w:r>
      <w:proofErr w:type="spellEnd"/>
      <w:r>
        <w:rPr>
          <w:rFonts w:ascii="Book Antiqua" w:eastAsia="Book Antiqua" w:hAnsi="Book Antiqua" w:cs="Book Antiqua"/>
          <w:color w:val="000000"/>
        </w:rPr>
        <w:t xml:space="preserve"> (Wegener's granulomatosis)].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Presse</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1014-1023 [PMID: 22902722 DOI: 10.1016/j.lpm.2012.06.007]</w:t>
      </w:r>
    </w:p>
    <w:p w14:paraId="514E735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Blum M</w:t>
      </w:r>
      <w:r>
        <w:rPr>
          <w:rFonts w:ascii="Book Antiqua" w:eastAsia="Book Antiqua" w:hAnsi="Book Antiqua" w:cs="Book Antiqua"/>
          <w:color w:val="000000"/>
        </w:rPr>
        <w:t xml:space="preserve">, Andrassy K, Adler D, Hartmann M, </w:t>
      </w:r>
      <w:proofErr w:type="spellStart"/>
      <w:r>
        <w:rPr>
          <w:rFonts w:ascii="Book Antiqua" w:eastAsia="Book Antiqua" w:hAnsi="Book Antiqua" w:cs="Book Antiqua"/>
          <w:color w:val="000000"/>
        </w:rPr>
        <w:t>Völcker</w:t>
      </w:r>
      <w:proofErr w:type="spellEnd"/>
      <w:r>
        <w:rPr>
          <w:rFonts w:ascii="Book Antiqua" w:eastAsia="Book Antiqua" w:hAnsi="Book Antiqua" w:cs="Book Antiqua"/>
          <w:color w:val="000000"/>
        </w:rPr>
        <w:t xml:space="preserve"> HE. </w:t>
      </w:r>
      <w:proofErr w:type="gramStart"/>
      <w:r>
        <w:rPr>
          <w:rFonts w:ascii="Book Antiqua" w:eastAsia="Book Antiqua" w:hAnsi="Book Antiqua" w:cs="Book Antiqua"/>
          <w:color w:val="000000"/>
        </w:rPr>
        <w:t>Early experience with intravenous immunoglobulin treatment in Wegener's granulomatosis with ocular involvement.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Graefes</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235</w:t>
      </w:r>
      <w:r>
        <w:rPr>
          <w:rFonts w:ascii="Book Antiqua" w:eastAsia="Book Antiqua" w:hAnsi="Book Antiqua" w:cs="Book Antiqua"/>
          <w:color w:val="000000"/>
        </w:rPr>
        <w:t>: 599-602 [PMID: 9342611 DOI: 10.1007/bf00947090]</w:t>
      </w:r>
    </w:p>
    <w:p w14:paraId="49AA94FC"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Martinez V</w:t>
      </w:r>
      <w:r>
        <w:rPr>
          <w:rFonts w:ascii="Book Antiqua" w:eastAsia="Book Antiqua" w:hAnsi="Book Antiqua" w:cs="Book Antiqua"/>
          <w:color w:val="000000"/>
        </w:rPr>
        <w:t xml:space="preserve">, Cohen P, </w:t>
      </w:r>
      <w:proofErr w:type="spellStart"/>
      <w:r>
        <w:rPr>
          <w:rFonts w:ascii="Book Antiqua" w:eastAsia="Book Antiqua" w:hAnsi="Book Antiqua" w:cs="Book Antiqua"/>
          <w:color w:val="000000"/>
        </w:rPr>
        <w:t>Pagnoux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Vinzio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Mahr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Mouthon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Sailler</w:t>
      </w:r>
      <w:proofErr w:type="spellEnd"/>
      <w:r>
        <w:rPr>
          <w:rFonts w:ascii="Book Antiqua" w:eastAsia="Book Antiqua" w:hAnsi="Book Antiqua" w:cs="Book Antiqua"/>
          <w:color w:val="000000"/>
        </w:rPr>
        <w:t xml:space="preserve"> L, Delaunay C, </w:t>
      </w:r>
      <w:proofErr w:type="spellStart"/>
      <w:r>
        <w:rPr>
          <w:rFonts w:ascii="Book Antiqua" w:eastAsia="Book Antiqua" w:hAnsi="Book Antiqua" w:cs="Book Antiqua"/>
          <w:color w:val="000000"/>
        </w:rPr>
        <w:t>Sadoun</w:t>
      </w:r>
      <w:proofErr w:type="spellEnd"/>
      <w:r>
        <w:rPr>
          <w:rFonts w:ascii="Book Antiqua" w:eastAsia="Book Antiqua" w:hAnsi="Book Antiqua" w:cs="Book Antiqua"/>
          <w:color w:val="000000"/>
        </w:rPr>
        <w:t xml:space="preserve"> A, Guillevin L; French Vasculitis Study Group. Intravenous immunoglobulins for relapses of systemic </w:t>
      </w:r>
      <w:proofErr w:type="spellStart"/>
      <w:r>
        <w:rPr>
          <w:rFonts w:ascii="Book Antiqua" w:eastAsia="Book Antiqua" w:hAnsi="Book Antiqua" w:cs="Book Antiqua"/>
          <w:color w:val="000000"/>
        </w:rPr>
        <w:t>vasculitides</w:t>
      </w:r>
      <w:proofErr w:type="spellEnd"/>
      <w:r>
        <w:rPr>
          <w:rFonts w:ascii="Book Antiqua" w:eastAsia="Book Antiqua" w:hAnsi="Book Antiqua" w:cs="Book Antiqua"/>
          <w:color w:val="000000"/>
        </w:rPr>
        <w:t xml:space="preserve"> associated with </w:t>
      </w:r>
      <w:proofErr w:type="spellStart"/>
      <w:r>
        <w:rPr>
          <w:rFonts w:ascii="Book Antiqua" w:eastAsia="Book Antiqua" w:hAnsi="Book Antiqua" w:cs="Book Antiqua"/>
          <w:color w:val="000000"/>
        </w:rPr>
        <w:t>antineutrophil</w:t>
      </w:r>
      <w:proofErr w:type="spellEnd"/>
      <w:r>
        <w:rPr>
          <w:rFonts w:ascii="Book Antiqua" w:eastAsia="Book Antiqua" w:hAnsi="Book Antiqua" w:cs="Book Antiqua"/>
          <w:color w:val="000000"/>
        </w:rPr>
        <w:t xml:space="preserve"> cytoplasmic autoantibodies: results of a multicenter, prospective, open-label study of twenty-two patients.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2008; </w:t>
      </w:r>
      <w:r>
        <w:rPr>
          <w:rFonts w:ascii="Book Antiqua" w:eastAsia="Book Antiqua" w:hAnsi="Book Antiqua" w:cs="Book Antiqua"/>
          <w:b/>
          <w:bCs/>
          <w:color w:val="000000"/>
        </w:rPr>
        <w:t>58</w:t>
      </w:r>
      <w:r>
        <w:rPr>
          <w:rFonts w:ascii="Book Antiqua" w:eastAsia="Book Antiqua" w:hAnsi="Book Antiqua" w:cs="Book Antiqua"/>
          <w:color w:val="000000"/>
        </w:rPr>
        <w:t>: 308-317 [PMID: 18163506 DOI: 10.1002/art.23147]</w:t>
      </w:r>
    </w:p>
    <w:p w14:paraId="302267FB"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Crickx</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Machelart</w:t>
      </w:r>
      <w:proofErr w:type="spellEnd"/>
      <w:r>
        <w:rPr>
          <w:rFonts w:ascii="Book Antiqua" w:eastAsia="Book Antiqua" w:hAnsi="Book Antiqua" w:cs="Book Antiqua"/>
          <w:color w:val="000000"/>
        </w:rPr>
        <w:t xml:space="preserve"> I, Lazaro E, Kahn JE, Cohen-</w:t>
      </w:r>
      <w:proofErr w:type="spellStart"/>
      <w:r>
        <w:rPr>
          <w:rFonts w:ascii="Book Antiqua" w:eastAsia="Book Antiqua" w:hAnsi="Book Antiqua" w:cs="Book Antiqua"/>
          <w:color w:val="000000"/>
        </w:rPr>
        <w:t>Aubart</w:t>
      </w:r>
      <w:proofErr w:type="spellEnd"/>
      <w:r>
        <w:rPr>
          <w:rFonts w:ascii="Book Antiqua" w:eastAsia="Book Antiqua" w:hAnsi="Book Antiqua" w:cs="Book Antiqua"/>
          <w:color w:val="000000"/>
        </w:rPr>
        <w:t xml:space="preserve"> F, Martin T, Mania A, </w:t>
      </w:r>
      <w:proofErr w:type="spellStart"/>
      <w:r>
        <w:rPr>
          <w:rFonts w:ascii="Book Antiqua" w:eastAsia="Book Antiqua" w:hAnsi="Book Antiqua" w:cs="Book Antiqua"/>
          <w:color w:val="000000"/>
        </w:rPr>
        <w:t>Hatron</w:t>
      </w:r>
      <w:proofErr w:type="spellEnd"/>
      <w:r>
        <w:rPr>
          <w:rFonts w:ascii="Book Antiqua" w:eastAsia="Book Antiqua" w:hAnsi="Book Antiqua" w:cs="Book Antiqua"/>
          <w:color w:val="000000"/>
        </w:rPr>
        <w:t xml:space="preserve"> PY, </w:t>
      </w:r>
      <w:proofErr w:type="spellStart"/>
      <w:r>
        <w:rPr>
          <w:rFonts w:ascii="Book Antiqua" w:eastAsia="Book Antiqua" w:hAnsi="Book Antiqua" w:cs="Book Antiqua"/>
          <w:color w:val="000000"/>
        </w:rPr>
        <w:t>Hayem</w:t>
      </w:r>
      <w:proofErr w:type="spellEnd"/>
      <w:r>
        <w:rPr>
          <w:rFonts w:ascii="Book Antiqua" w:eastAsia="Book Antiqua" w:hAnsi="Book Antiqua" w:cs="Book Antiqua"/>
          <w:color w:val="000000"/>
        </w:rPr>
        <w:t xml:space="preserve"> G, Blanchard-Delaunay C, de </w:t>
      </w:r>
      <w:proofErr w:type="spellStart"/>
      <w:r>
        <w:rPr>
          <w:rFonts w:ascii="Book Antiqua" w:eastAsia="Book Antiqua" w:hAnsi="Book Antiqua" w:cs="Book Antiqua"/>
          <w:color w:val="000000"/>
        </w:rPr>
        <w:t>Moreuil</w:t>
      </w:r>
      <w:proofErr w:type="spellEnd"/>
      <w:r>
        <w:rPr>
          <w:rFonts w:ascii="Book Antiqua" w:eastAsia="Book Antiqua" w:hAnsi="Book Antiqua" w:cs="Book Antiqua"/>
          <w:color w:val="000000"/>
        </w:rPr>
        <w:t xml:space="preserve"> C, Le </w:t>
      </w:r>
      <w:proofErr w:type="spellStart"/>
      <w:r>
        <w:rPr>
          <w:rFonts w:ascii="Book Antiqua" w:eastAsia="Book Antiqua" w:hAnsi="Book Antiqua" w:cs="Book Antiqua"/>
          <w:color w:val="000000"/>
        </w:rPr>
        <w:t>Guenno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lastRenderedPageBreak/>
        <w:t>Vandergheynst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Maurier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Crestani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Dhote</w:t>
      </w:r>
      <w:proofErr w:type="spellEnd"/>
      <w:r>
        <w:rPr>
          <w:rFonts w:ascii="Book Antiqua" w:eastAsia="Book Antiqua" w:hAnsi="Book Antiqua" w:cs="Book Antiqua"/>
          <w:color w:val="000000"/>
        </w:rPr>
        <w:t xml:space="preserve"> R, Silva NM, </w:t>
      </w:r>
      <w:proofErr w:type="spellStart"/>
      <w:r>
        <w:rPr>
          <w:rFonts w:ascii="Book Antiqua" w:eastAsia="Book Antiqua" w:hAnsi="Book Antiqua" w:cs="Book Antiqua"/>
          <w:color w:val="000000"/>
        </w:rPr>
        <w:t>Ollivier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Mehdaoui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Godeau</w:t>
      </w:r>
      <w:proofErr w:type="spellEnd"/>
      <w:r>
        <w:rPr>
          <w:rFonts w:ascii="Book Antiqua" w:eastAsia="Book Antiqua" w:hAnsi="Book Antiqua" w:cs="Book Antiqua"/>
          <w:color w:val="000000"/>
        </w:rPr>
        <w:t xml:space="preserve"> B, Mariette X, </w:t>
      </w:r>
      <w:proofErr w:type="spellStart"/>
      <w:r>
        <w:rPr>
          <w:rFonts w:ascii="Book Antiqua" w:eastAsia="Book Antiqua" w:hAnsi="Book Antiqua" w:cs="Book Antiqua"/>
          <w:color w:val="000000"/>
        </w:rPr>
        <w:t>Cadranel</w:t>
      </w:r>
      <w:proofErr w:type="spellEnd"/>
      <w:r>
        <w:rPr>
          <w:rFonts w:ascii="Book Antiqua" w:eastAsia="Book Antiqua" w:hAnsi="Book Antiqua" w:cs="Book Antiqua"/>
          <w:color w:val="000000"/>
        </w:rPr>
        <w:t xml:space="preserve"> J, Cohen P, </w:t>
      </w:r>
      <w:proofErr w:type="spellStart"/>
      <w:r>
        <w:rPr>
          <w:rFonts w:ascii="Book Antiqua" w:eastAsia="Book Antiqua" w:hAnsi="Book Antiqua" w:cs="Book Antiqua"/>
          <w:color w:val="000000"/>
        </w:rPr>
        <w:t>Puéchal</w:t>
      </w:r>
      <w:proofErr w:type="spellEnd"/>
      <w:r>
        <w:rPr>
          <w:rFonts w:ascii="Book Antiqua" w:eastAsia="Book Antiqua" w:hAnsi="Book Antiqua" w:cs="Book Antiqua"/>
          <w:color w:val="000000"/>
        </w:rPr>
        <w:t xml:space="preserve"> X, Le </w:t>
      </w:r>
      <w:proofErr w:type="spellStart"/>
      <w:r>
        <w:rPr>
          <w:rFonts w:ascii="Book Antiqua" w:eastAsia="Book Antiqua" w:hAnsi="Book Antiqua" w:cs="Book Antiqua"/>
          <w:color w:val="000000"/>
        </w:rPr>
        <w:t>Jeunne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Mouthon</w:t>
      </w:r>
      <w:proofErr w:type="spellEnd"/>
      <w:r>
        <w:rPr>
          <w:rFonts w:ascii="Book Antiqua" w:eastAsia="Book Antiqua" w:hAnsi="Book Antiqua" w:cs="Book Antiqua"/>
          <w:color w:val="000000"/>
        </w:rPr>
        <w:t xml:space="preserve"> L, Guillevin L, Terrier B; French Vasculitis Study Group. Intravenous Immunoglobulin as an </w:t>
      </w:r>
      <w:proofErr w:type="spellStart"/>
      <w:r>
        <w:rPr>
          <w:rFonts w:ascii="Book Antiqua" w:eastAsia="Book Antiqua" w:hAnsi="Book Antiqua" w:cs="Book Antiqua"/>
          <w:color w:val="000000"/>
        </w:rPr>
        <w:t>Immunomodulating</w:t>
      </w:r>
      <w:proofErr w:type="spellEnd"/>
      <w:r>
        <w:rPr>
          <w:rFonts w:ascii="Book Antiqua" w:eastAsia="Book Antiqua" w:hAnsi="Book Antiqua" w:cs="Book Antiqua"/>
          <w:color w:val="000000"/>
        </w:rPr>
        <w:t xml:space="preserve"> Agent in </w:t>
      </w:r>
      <w:proofErr w:type="spellStart"/>
      <w:r>
        <w:rPr>
          <w:rFonts w:ascii="Book Antiqua" w:eastAsia="Book Antiqua" w:hAnsi="Book Antiqua" w:cs="Book Antiqua"/>
          <w:color w:val="000000"/>
        </w:rPr>
        <w:t>Antineutrophil</w:t>
      </w:r>
      <w:proofErr w:type="spellEnd"/>
      <w:r>
        <w:rPr>
          <w:rFonts w:ascii="Book Antiqua" w:eastAsia="Book Antiqua" w:hAnsi="Book Antiqua" w:cs="Book Antiqua"/>
          <w:color w:val="000000"/>
        </w:rPr>
        <w:t xml:space="preserve"> Cytoplasmic Antibody-Associated </w:t>
      </w:r>
      <w:proofErr w:type="spellStart"/>
      <w:r>
        <w:rPr>
          <w:rFonts w:ascii="Book Antiqua" w:eastAsia="Book Antiqua" w:hAnsi="Book Antiqua" w:cs="Book Antiqua"/>
          <w:color w:val="000000"/>
        </w:rPr>
        <w:t>Vasculitides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French</w:t>
      </w:r>
      <w:proofErr w:type="gramEnd"/>
      <w:r>
        <w:rPr>
          <w:rFonts w:ascii="Book Antiqua" w:eastAsia="Book Antiqua" w:hAnsi="Book Antiqua" w:cs="Book Antiqua"/>
          <w:color w:val="000000"/>
        </w:rPr>
        <w:t xml:space="preserve"> Nationwide Study of Ninety-Two Patients. </w:t>
      </w:r>
      <w:r>
        <w:rPr>
          <w:rFonts w:ascii="Book Antiqua" w:eastAsia="Book Antiqua" w:hAnsi="Book Antiqua" w:cs="Book Antiqua"/>
          <w:i/>
          <w:iCs/>
          <w:color w:val="000000"/>
        </w:rPr>
        <w:t xml:space="preserve">Arthritis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702-712 [PMID: 26473632 DOI: 10.1002/art.39472]</w:t>
      </w:r>
    </w:p>
    <w:p w14:paraId="32FBD942"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Fortin PM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Tejani</w:t>
      </w:r>
      <w:proofErr w:type="spellEnd"/>
      <w:r>
        <w:rPr>
          <w:rFonts w:ascii="Book Antiqua" w:eastAsia="Book Antiqua" w:hAnsi="Book Antiqua" w:cs="Book Antiqua"/>
          <w:color w:val="000000"/>
        </w:rPr>
        <w:t xml:space="preserve"> AM, Bassett K, </w:t>
      </w:r>
      <w:proofErr w:type="spellStart"/>
      <w:r>
        <w:rPr>
          <w:rFonts w:ascii="Book Antiqua" w:eastAsia="Book Antiqua" w:hAnsi="Book Antiqua" w:cs="Book Antiqua"/>
          <w:color w:val="000000"/>
        </w:rPr>
        <w:t>Musini</w:t>
      </w:r>
      <w:proofErr w:type="spellEnd"/>
      <w:r>
        <w:rPr>
          <w:rFonts w:ascii="Book Antiqua" w:eastAsia="Book Antiqua" w:hAnsi="Book Antiqua" w:cs="Book Antiqua"/>
          <w:color w:val="000000"/>
        </w:rPr>
        <w:t xml:space="preserve"> VM. </w:t>
      </w:r>
      <w:proofErr w:type="gramStart"/>
      <w:r>
        <w:rPr>
          <w:rFonts w:ascii="Book Antiqua" w:eastAsia="Book Antiqua" w:hAnsi="Book Antiqua" w:cs="Book Antiqua"/>
          <w:color w:val="000000"/>
        </w:rPr>
        <w:t>Intravenous immunoglobulin as adjuvant therapy for Wegener's granulomatosis.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Cochrane Database </w:t>
      </w:r>
      <w:proofErr w:type="spellStart"/>
      <w:r>
        <w:rPr>
          <w:rFonts w:ascii="Book Antiqua" w:eastAsia="Book Antiqua" w:hAnsi="Book Antiqua" w:cs="Book Antiqua"/>
          <w:i/>
          <w:iCs/>
          <w:color w:val="000000"/>
        </w:rPr>
        <w:t>Syst</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2013; </w:t>
      </w:r>
      <w:r>
        <w:rPr>
          <w:rFonts w:ascii="Book Antiqua" w:eastAsia="Book Antiqua" w:hAnsi="Book Antiqua" w:cs="Book Antiqua"/>
          <w:b/>
          <w:bCs/>
          <w:color w:val="000000"/>
        </w:rPr>
        <w:t>2013</w:t>
      </w:r>
      <w:r>
        <w:rPr>
          <w:rFonts w:ascii="Book Antiqua" w:eastAsia="Book Antiqua" w:hAnsi="Book Antiqua" w:cs="Book Antiqua"/>
          <w:color w:val="000000"/>
        </w:rPr>
        <w:t>: CD007057 [PMID: 23440811 DOI: 10.1002/14651858.CD007057.pub3]</w:t>
      </w:r>
    </w:p>
    <w:p w14:paraId="02CA80FD"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Matsumoto T</w:t>
      </w:r>
      <w:r>
        <w:rPr>
          <w:rFonts w:ascii="Book Antiqua" w:eastAsia="Book Antiqua" w:hAnsi="Book Antiqua" w:cs="Book Antiqua"/>
          <w:color w:val="000000"/>
        </w:rPr>
        <w:t xml:space="preserve">, Otsuka K, Kawamoto M, Nagata K, </w:t>
      </w:r>
      <w:proofErr w:type="spellStart"/>
      <w:r>
        <w:rPr>
          <w:rFonts w:ascii="Book Antiqua" w:eastAsia="Book Antiqua" w:hAnsi="Book Antiqua" w:cs="Book Antiqua"/>
          <w:color w:val="000000"/>
        </w:rPr>
        <w:t>Tachikawa</w:t>
      </w:r>
      <w:proofErr w:type="spellEnd"/>
      <w:r>
        <w:rPr>
          <w:rFonts w:ascii="Book Antiqua" w:eastAsia="Book Antiqua" w:hAnsi="Book Antiqua" w:cs="Book Antiqua"/>
          <w:color w:val="000000"/>
        </w:rPr>
        <w:t xml:space="preserve"> R, Imai Y, Oka N, </w:t>
      </w:r>
      <w:proofErr w:type="spellStart"/>
      <w:r>
        <w:rPr>
          <w:rFonts w:ascii="Book Antiqua" w:eastAsia="Book Antiqua" w:hAnsi="Book Antiqua" w:cs="Book Antiqua"/>
          <w:color w:val="000000"/>
        </w:rPr>
        <w:t>Tomii</w:t>
      </w:r>
      <w:proofErr w:type="spellEnd"/>
      <w:r>
        <w:rPr>
          <w:rFonts w:ascii="Book Antiqua" w:eastAsia="Book Antiqua" w:hAnsi="Book Antiqua" w:cs="Book Antiqua"/>
          <w:color w:val="000000"/>
        </w:rPr>
        <w:t xml:space="preserve"> K. Efficacy of early intravenous immunoglobulin for eosinophilic granulomatosis with </w:t>
      </w:r>
      <w:proofErr w:type="spellStart"/>
      <w:r>
        <w:rPr>
          <w:rFonts w:ascii="Book Antiqua" w:eastAsia="Book Antiqua" w:hAnsi="Book Antiqua" w:cs="Book Antiqua"/>
          <w:color w:val="000000"/>
        </w:rPr>
        <w:t>polyangiitis</w:t>
      </w:r>
      <w:proofErr w:type="spellEnd"/>
      <w:r>
        <w:rPr>
          <w:rFonts w:ascii="Book Antiqua" w:eastAsia="Book Antiqua" w:hAnsi="Book Antiqua" w:cs="Book Antiqua"/>
          <w:color w:val="000000"/>
        </w:rPr>
        <w:t xml:space="preserve"> with drastically progressive neuropathy: a synopsis of two cases.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52</w:t>
      </w:r>
      <w:r>
        <w:rPr>
          <w:rFonts w:ascii="Book Antiqua" w:eastAsia="Book Antiqua" w:hAnsi="Book Antiqua" w:cs="Book Antiqua"/>
          <w:color w:val="000000"/>
        </w:rPr>
        <w:t>: 913-917 [PMID: 23583996 DOI: 10.2169/internalmedicine.52.8889]</w:t>
      </w:r>
    </w:p>
    <w:p w14:paraId="2DC30C61"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Koike H</w:t>
      </w:r>
      <w:r>
        <w:rPr>
          <w:rFonts w:ascii="Book Antiqua" w:eastAsia="Book Antiqua" w:hAnsi="Book Antiqua" w:cs="Book Antiqua"/>
          <w:color w:val="000000"/>
        </w:rPr>
        <w:t xml:space="preserve">, Akiyama K, Saito T, </w:t>
      </w:r>
      <w:proofErr w:type="spellStart"/>
      <w:r>
        <w:rPr>
          <w:rFonts w:ascii="Book Antiqua" w:eastAsia="Book Antiqua" w:hAnsi="Book Antiqua" w:cs="Book Antiqua"/>
          <w:color w:val="000000"/>
        </w:rPr>
        <w:t>Sobue</w:t>
      </w:r>
      <w:proofErr w:type="spellEnd"/>
      <w:r>
        <w:rPr>
          <w:rFonts w:ascii="Book Antiqua" w:eastAsia="Book Antiqua" w:hAnsi="Book Antiqua" w:cs="Book Antiqua"/>
          <w:color w:val="000000"/>
        </w:rPr>
        <w:t xml:space="preserve"> G; Research Group for </w:t>
      </w:r>
      <w:proofErr w:type="spellStart"/>
      <w:r>
        <w:rPr>
          <w:rFonts w:ascii="Book Antiqua" w:eastAsia="Book Antiqua" w:hAnsi="Book Antiqua" w:cs="Book Antiqua"/>
          <w:color w:val="000000"/>
        </w:rPr>
        <w:t>IVIg</w:t>
      </w:r>
      <w:proofErr w:type="spellEnd"/>
      <w:r>
        <w:rPr>
          <w:rFonts w:ascii="Book Antiqua" w:eastAsia="Book Antiqua" w:hAnsi="Book Antiqua" w:cs="Book Antiqua"/>
          <w:color w:val="000000"/>
        </w:rPr>
        <w:t xml:space="preserve"> for EGPA/CSS in Japan. Intravenous immunoglobulin for chronic residual peripheral neuropathy in eosinophilic granulomatosis with </w:t>
      </w:r>
      <w:proofErr w:type="spellStart"/>
      <w:r>
        <w:rPr>
          <w:rFonts w:ascii="Book Antiqua" w:eastAsia="Book Antiqua" w:hAnsi="Book Antiqua" w:cs="Book Antiqua"/>
          <w:color w:val="000000"/>
        </w:rPr>
        <w:t>polyangiitis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Churg</w:t>
      </w:r>
      <w:proofErr w:type="spellEnd"/>
      <w:r>
        <w:rPr>
          <w:rFonts w:ascii="Book Antiqua" w:eastAsia="Book Antiqua" w:hAnsi="Book Antiqua" w:cs="Book Antiqua"/>
          <w:color w:val="000000"/>
        </w:rPr>
        <w:t xml:space="preserve">-Strauss syndrome): a multicenter, double-blind trial.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262</w:t>
      </w:r>
      <w:r>
        <w:rPr>
          <w:rFonts w:ascii="Book Antiqua" w:eastAsia="Book Antiqua" w:hAnsi="Book Antiqua" w:cs="Book Antiqua"/>
          <w:color w:val="000000"/>
        </w:rPr>
        <w:t>: 752-759 [PMID: 25577176 DOI: 10.1007/s00415-014-7618-y]</w:t>
      </w:r>
    </w:p>
    <w:p w14:paraId="2EBEADFF"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Daher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Sauvetre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Girszyn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Verspyck</w:t>
      </w:r>
      <w:proofErr w:type="spellEnd"/>
      <w:r>
        <w:rPr>
          <w:rFonts w:ascii="Book Antiqua" w:eastAsia="Book Antiqua" w:hAnsi="Book Antiqua" w:cs="Book Antiqua"/>
          <w:color w:val="000000"/>
        </w:rPr>
        <w:t xml:space="preserve"> E, Levesque H, Le </w:t>
      </w:r>
      <w:proofErr w:type="spellStart"/>
      <w:r>
        <w:rPr>
          <w:rFonts w:ascii="Book Antiqua" w:eastAsia="Book Antiqua" w:hAnsi="Book Antiqua" w:cs="Book Antiqua"/>
          <w:color w:val="000000"/>
        </w:rPr>
        <w:t>Besnerais</w:t>
      </w:r>
      <w:proofErr w:type="spellEnd"/>
      <w:r>
        <w:rPr>
          <w:rFonts w:ascii="Book Antiqua" w:eastAsia="Book Antiqua" w:hAnsi="Book Antiqua" w:cs="Book Antiqua"/>
          <w:color w:val="000000"/>
        </w:rPr>
        <w:t xml:space="preserve"> M. Granulomatosis with </w:t>
      </w:r>
      <w:proofErr w:type="spellStart"/>
      <w:r>
        <w:rPr>
          <w:rFonts w:ascii="Book Antiqua" w:eastAsia="Book Antiqua" w:hAnsi="Book Antiqua" w:cs="Book Antiqua"/>
          <w:color w:val="000000"/>
        </w:rPr>
        <w:t>polyangiitis</w:t>
      </w:r>
      <w:proofErr w:type="spellEnd"/>
      <w:r>
        <w:rPr>
          <w:rFonts w:ascii="Book Antiqua" w:eastAsia="Book Antiqua" w:hAnsi="Book Antiqua" w:cs="Book Antiqua"/>
          <w:color w:val="000000"/>
        </w:rPr>
        <w:t xml:space="preserve"> and pregnancy: A case report and review of the literature.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76-82 [PMID: 32714439 DOI: 10.1177/1753495X18822581]</w:t>
      </w:r>
    </w:p>
    <w:p w14:paraId="6425E86D"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Kim SY</w:t>
      </w:r>
      <w:r>
        <w:rPr>
          <w:rFonts w:ascii="Book Antiqua" w:eastAsia="Book Antiqua" w:hAnsi="Book Antiqua" w:cs="Book Antiqua"/>
          <w:color w:val="000000"/>
        </w:rPr>
        <w:t xml:space="preserve">, Linton JM, </w:t>
      </w:r>
      <w:proofErr w:type="spellStart"/>
      <w:r>
        <w:rPr>
          <w:rFonts w:ascii="Book Antiqua" w:eastAsia="Book Antiqua" w:hAnsi="Book Antiqua" w:cs="Book Antiqua"/>
          <w:color w:val="000000"/>
        </w:rPr>
        <w:t>Kolasinski</w:t>
      </w:r>
      <w:proofErr w:type="spellEnd"/>
      <w:r>
        <w:rPr>
          <w:rFonts w:ascii="Book Antiqua" w:eastAsia="Book Antiqua" w:hAnsi="Book Antiqua" w:cs="Book Antiqua"/>
          <w:color w:val="000000"/>
        </w:rPr>
        <w:t xml:space="preserve"> SL. Successful treatment of new onset Wegener's granulomatosis with IVIG (intravenous immunoglobulin) during pregnancy: a case report.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177-180 [PMID: 18299958 DOI: 10.1007/s10165-008-0020-9]</w:t>
      </w:r>
    </w:p>
    <w:p w14:paraId="1D5280CE"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Tsurikisawa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Saito H, </w:t>
      </w:r>
      <w:proofErr w:type="spellStart"/>
      <w:r>
        <w:rPr>
          <w:rFonts w:ascii="Book Antiqua" w:eastAsia="Book Antiqua" w:hAnsi="Book Antiqua" w:cs="Book Antiqua"/>
          <w:color w:val="000000"/>
        </w:rPr>
        <w:t>Oshikata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Tsuburai</w:t>
      </w:r>
      <w:proofErr w:type="spellEnd"/>
      <w:r>
        <w:rPr>
          <w:rFonts w:ascii="Book Antiqua" w:eastAsia="Book Antiqua" w:hAnsi="Book Antiqua" w:cs="Book Antiqua"/>
          <w:color w:val="000000"/>
        </w:rPr>
        <w:t xml:space="preserve"> T, Akiyama K. High-dose intravenous immunoglobulin treatment increases regulatory T cells in patients with eosinophilic granulomatosis with </w:t>
      </w:r>
      <w:proofErr w:type="spellStart"/>
      <w:r>
        <w:rPr>
          <w:rFonts w:ascii="Book Antiqua" w:eastAsia="Book Antiqua" w:hAnsi="Book Antiqua" w:cs="Book Antiqua"/>
          <w:color w:val="000000"/>
        </w:rPr>
        <w:t>polyangiitis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39</w:t>
      </w:r>
      <w:r>
        <w:rPr>
          <w:rFonts w:ascii="Book Antiqua" w:eastAsia="Book Antiqua" w:hAnsi="Book Antiqua" w:cs="Book Antiqua"/>
          <w:color w:val="000000"/>
        </w:rPr>
        <w:t>: 1019-1025 [PMID: 22467925 DOI: 10.3899/jrheum.110981]</w:t>
      </w:r>
      <w:bookmarkEnd w:id="2"/>
    </w:p>
    <w:p w14:paraId="01242533" w14:textId="77777777" w:rsidR="00DC7063" w:rsidRDefault="00DC7063">
      <w:pPr>
        <w:adjustRightInd w:val="0"/>
        <w:snapToGrid w:val="0"/>
        <w:spacing w:line="360" w:lineRule="auto"/>
        <w:jc w:val="both"/>
        <w:rPr>
          <w:rFonts w:ascii="Book Antiqua" w:hAnsi="Book Antiqua" w:cs="Book Antiqua"/>
        </w:rPr>
        <w:sectPr w:rsidR="00DC7063">
          <w:pgSz w:w="12240" w:h="15840"/>
          <w:pgMar w:top="1440" w:right="1440" w:bottom="1440" w:left="1440" w:header="720" w:footer="720" w:gutter="0"/>
          <w:cols w:space="720"/>
          <w:docGrid w:linePitch="360"/>
        </w:sectPr>
      </w:pPr>
    </w:p>
    <w:p w14:paraId="62B3B824"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23AC3A23"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 written consent was obtained from the patient for publication of this report and accompanying images.</w:t>
      </w:r>
    </w:p>
    <w:p w14:paraId="213F15BA" w14:textId="77777777" w:rsidR="00DC7063" w:rsidRDefault="00DC7063">
      <w:pPr>
        <w:adjustRightInd w:val="0"/>
        <w:snapToGrid w:val="0"/>
        <w:spacing w:line="360" w:lineRule="auto"/>
        <w:jc w:val="both"/>
        <w:rPr>
          <w:rFonts w:ascii="Book Antiqua" w:hAnsi="Book Antiqua" w:cs="Book Antiqua"/>
        </w:rPr>
      </w:pPr>
    </w:p>
    <w:p w14:paraId="0C313F37"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have no conflicts of interest.</w:t>
      </w:r>
    </w:p>
    <w:p w14:paraId="5852CEC3" w14:textId="77777777" w:rsidR="00DC7063" w:rsidRDefault="00DC7063">
      <w:pPr>
        <w:adjustRightInd w:val="0"/>
        <w:snapToGrid w:val="0"/>
        <w:spacing w:line="360" w:lineRule="auto"/>
        <w:jc w:val="both"/>
        <w:rPr>
          <w:rFonts w:ascii="Book Antiqua" w:hAnsi="Book Antiqua" w:cs="Book Antiqua"/>
        </w:rPr>
      </w:pPr>
    </w:p>
    <w:p w14:paraId="7BD2E80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51B4E0B" w14:textId="77777777" w:rsidR="00DC7063" w:rsidRDefault="00DC7063">
      <w:pPr>
        <w:adjustRightInd w:val="0"/>
        <w:snapToGrid w:val="0"/>
        <w:spacing w:line="360" w:lineRule="auto"/>
        <w:jc w:val="both"/>
        <w:rPr>
          <w:rFonts w:ascii="Book Antiqua" w:hAnsi="Book Antiqua" w:cs="Book Antiqua"/>
        </w:rPr>
      </w:pPr>
    </w:p>
    <w:p w14:paraId="638DFA8C"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D1C50B" w14:textId="77777777" w:rsidR="00DC7063" w:rsidRDefault="00DC7063">
      <w:pPr>
        <w:adjustRightInd w:val="0"/>
        <w:snapToGrid w:val="0"/>
        <w:spacing w:line="360" w:lineRule="auto"/>
        <w:jc w:val="both"/>
        <w:rPr>
          <w:rFonts w:ascii="Book Antiqua" w:hAnsi="Book Antiqua" w:cs="Book Antiqua"/>
        </w:rPr>
      </w:pPr>
    </w:p>
    <w:p w14:paraId="02811E54"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2E751C23" w14:textId="77777777" w:rsidR="00DC7063" w:rsidRDefault="00DC7063">
      <w:pPr>
        <w:adjustRightInd w:val="0"/>
        <w:snapToGrid w:val="0"/>
        <w:spacing w:line="360" w:lineRule="auto"/>
        <w:jc w:val="both"/>
        <w:rPr>
          <w:rFonts w:ascii="Book Antiqua" w:hAnsi="Book Antiqua" w:cs="Book Antiqua"/>
        </w:rPr>
      </w:pPr>
    </w:p>
    <w:p w14:paraId="5DC53738"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27, 2020</w:t>
      </w:r>
    </w:p>
    <w:p w14:paraId="71E43B47"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14:paraId="5BC30E20" w14:textId="00B77B2A"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F55283">
        <w:rPr>
          <w:rFonts w:ascii="Book Antiqua" w:eastAsia="Book Antiqua" w:hAnsi="Book Antiqua" w:cs="Book Antiqua"/>
          <w:color w:val="000000"/>
        </w:rPr>
        <w:t>February 11, 2021</w:t>
      </w:r>
    </w:p>
    <w:p w14:paraId="6501BADD" w14:textId="77777777" w:rsidR="00DC7063" w:rsidRDefault="00DC7063">
      <w:pPr>
        <w:adjustRightInd w:val="0"/>
        <w:snapToGrid w:val="0"/>
        <w:spacing w:line="360" w:lineRule="auto"/>
        <w:jc w:val="both"/>
        <w:rPr>
          <w:rFonts w:ascii="Book Antiqua" w:hAnsi="Book Antiqua" w:cs="Book Antiqua"/>
        </w:rPr>
      </w:pPr>
    </w:p>
    <w:p w14:paraId="0E6A96F1"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Otorhinolaryngology</w:t>
      </w:r>
    </w:p>
    <w:p w14:paraId="2A2D492F"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65D5B4E"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668480E5"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451CEED"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Grade B (Very good): B</w:t>
      </w:r>
    </w:p>
    <w:p w14:paraId="517C05A1"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Grade C (Good): 0</w:t>
      </w:r>
    </w:p>
    <w:p w14:paraId="1DF0DFC9"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Grade D (Fair): 0</w:t>
      </w:r>
    </w:p>
    <w:p w14:paraId="3CC5E3E2"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Grade E (Poor): 0</w:t>
      </w:r>
    </w:p>
    <w:p w14:paraId="0EC421FB" w14:textId="77777777" w:rsidR="00DC7063" w:rsidRDefault="00DC7063">
      <w:pPr>
        <w:adjustRightInd w:val="0"/>
        <w:snapToGrid w:val="0"/>
        <w:spacing w:line="360" w:lineRule="auto"/>
        <w:jc w:val="both"/>
        <w:rPr>
          <w:rFonts w:ascii="Book Antiqua" w:hAnsi="Book Antiqua" w:cs="Book Antiqua"/>
        </w:rPr>
      </w:pPr>
    </w:p>
    <w:p w14:paraId="15585B99" w14:textId="576D289E" w:rsidR="00DC7063" w:rsidRDefault="00B62DEE">
      <w:pPr>
        <w:adjustRightInd w:val="0"/>
        <w:snapToGrid w:val="0"/>
        <w:spacing w:line="360" w:lineRule="auto"/>
        <w:jc w:val="both"/>
        <w:rPr>
          <w:rFonts w:ascii="Book Antiqua" w:hAnsi="Book Antiqua" w:cs="Book Antiqua"/>
        </w:rPr>
        <w:sectPr w:rsidR="00DC706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Han YM</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w:t>
      </w:r>
      <w:r>
        <w:rPr>
          <w:rFonts w:ascii="Book Antiqua" w:eastAsia="宋体" w:hAnsi="Book Antiqua" w:cs="Book Antiqua"/>
          <w:b/>
          <w:color w:val="000000"/>
          <w:lang w:eastAsia="zh-CN"/>
        </w:rPr>
        <w:t xml:space="preserve"> </w:t>
      </w:r>
      <w:proofErr w:type="spellStart"/>
      <w:r>
        <w:rPr>
          <w:rFonts w:ascii="Book Antiqua" w:eastAsia="宋体" w:hAnsi="Book Antiqua" w:cs="Book Antiqua"/>
          <w:bCs/>
          <w:color w:val="000000"/>
          <w:lang w:eastAsia="zh-CN"/>
        </w:rPr>
        <w:t>Filipodia</w:t>
      </w:r>
      <w:proofErr w:type="spellEnd"/>
      <w:r>
        <w:rPr>
          <w:rFonts w:ascii="Book Antiqua" w:eastAsia="宋体" w:hAnsi="Book Antiqua" w:cs="Book Antiqua"/>
          <w:bCs/>
          <w:color w:val="000000"/>
          <w:lang w:eastAsia="zh-CN"/>
        </w:rPr>
        <w:t xml:space="preserve"> </w:t>
      </w:r>
      <w:r>
        <w:rPr>
          <w:rFonts w:ascii="Book Antiqua" w:eastAsia="Book Antiqua" w:hAnsi="Book Antiqua" w:cs="Book Antiqua"/>
          <w:b/>
          <w:color w:val="000000"/>
        </w:rPr>
        <w:t xml:space="preserve">P-Editor: </w:t>
      </w:r>
      <w:r w:rsidR="00394BB9" w:rsidRPr="00820F2D">
        <w:rPr>
          <w:rFonts w:ascii="Book Antiqua" w:eastAsia="Book Antiqua" w:hAnsi="Book Antiqua" w:cs="Book Antiqua"/>
          <w:color w:val="000000"/>
        </w:rPr>
        <w:t>Xing YX</w:t>
      </w:r>
    </w:p>
    <w:p w14:paraId="79BEC602" w14:textId="77777777" w:rsidR="00DC7063" w:rsidRDefault="00B62DEE">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6BF3B3B" w14:textId="77777777" w:rsidR="00DC7063" w:rsidRDefault="00B62DEE">
      <w:pPr>
        <w:adjustRightInd w:val="0"/>
        <w:snapToGrid w:val="0"/>
        <w:spacing w:line="360" w:lineRule="auto"/>
        <w:jc w:val="both"/>
        <w:rPr>
          <w:rFonts w:ascii="Book Antiqua" w:eastAsia="Book Antiqua" w:hAnsi="Book Antiqua" w:cs="Book Antiqua"/>
          <w:b/>
          <w:color w:val="000000"/>
        </w:rPr>
      </w:pPr>
      <w:r>
        <w:rPr>
          <w:rFonts w:ascii="Book Antiqua" w:hAnsi="Book Antiqua" w:cs="Book Antiqua"/>
          <w:noProof/>
          <w:lang w:eastAsia="zh-CN"/>
        </w:rPr>
        <w:drawing>
          <wp:inline distT="0" distB="0" distL="114300" distR="114300" wp14:anchorId="63A36779" wp14:editId="0EC57603">
            <wp:extent cx="5937885" cy="3256915"/>
            <wp:effectExtent l="0" t="0" r="571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937885" cy="3256915"/>
                    </a:xfrm>
                    <a:prstGeom prst="rect">
                      <a:avLst/>
                    </a:prstGeom>
                    <a:noFill/>
                    <a:ln>
                      <a:noFill/>
                    </a:ln>
                  </pic:spPr>
                </pic:pic>
              </a:graphicData>
            </a:graphic>
          </wp:inline>
        </w:drawing>
      </w:r>
    </w:p>
    <w:p w14:paraId="11500DB2" w14:textId="77777777" w:rsidR="00DC7063" w:rsidRDefault="00B62DEE">
      <w:pPr>
        <w:adjustRightInd w:val="0"/>
        <w:snapToGrid w:val="0"/>
        <w:spacing w:line="360" w:lineRule="auto"/>
        <w:jc w:val="both"/>
        <w:rPr>
          <w:rStyle w:val="16"/>
          <w:rFonts w:ascii="Book Antiqua" w:eastAsia="Book Antiqua" w:hAnsi="Book Antiqua" w:cs="Book Antiqua"/>
          <w:color w:val="000000"/>
        </w:rPr>
      </w:pPr>
      <w:r>
        <w:rPr>
          <w:rStyle w:val="16"/>
          <w:rFonts w:ascii="Book Antiqua" w:eastAsia="Book Antiqua" w:hAnsi="Book Antiqua" w:cs="Book Antiqua"/>
          <w:b/>
          <w:bCs/>
          <w:color w:val="000000"/>
        </w:rPr>
        <w:t>Figure 1</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b/>
          <w:bCs/>
          <w:color w:val="000000"/>
        </w:rPr>
        <w:t xml:space="preserve">Chest </w:t>
      </w:r>
      <w:r>
        <w:rPr>
          <w:rFonts w:ascii="Book Antiqua" w:eastAsia="Book Antiqua" w:hAnsi="Book Antiqua" w:cs="Book Antiqua"/>
          <w:b/>
          <w:bCs/>
          <w:color w:val="000000"/>
        </w:rPr>
        <w:t>computed tomography</w:t>
      </w:r>
      <w:r>
        <w:rPr>
          <w:rStyle w:val="16"/>
          <w:rFonts w:ascii="Book Antiqua" w:eastAsia="宋体" w:hAnsi="Book Antiqua" w:cs="Book Antiqua"/>
          <w:b/>
          <w:bCs/>
          <w:color w:val="000000"/>
          <w:lang w:eastAsia="zh-CN"/>
        </w:rPr>
        <w:t xml:space="preserve"> </w:t>
      </w:r>
      <w:r>
        <w:rPr>
          <w:rStyle w:val="16"/>
          <w:rFonts w:ascii="Book Antiqua" w:eastAsia="Book Antiqua" w:hAnsi="Book Antiqua" w:cs="Book Antiqua"/>
          <w:b/>
          <w:bCs/>
          <w:color w:val="000000"/>
        </w:rPr>
        <w:t>scan at admission.</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A:</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Multiple masses and nodules were found in both lungs;</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B: Multiple consolidation in both lungs; C: No obvious</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enhancement was found in the nodules; D: Hilar and mediastinal lymphadenopathy.</w:t>
      </w:r>
    </w:p>
    <w:p w14:paraId="472A0F2D" w14:textId="77777777" w:rsidR="00DC7063" w:rsidRDefault="00B62DEE">
      <w:pPr>
        <w:adjustRightInd w:val="0"/>
        <w:snapToGrid w:val="0"/>
        <w:spacing w:line="360" w:lineRule="auto"/>
        <w:jc w:val="both"/>
        <w:rPr>
          <w:rFonts w:ascii="Book Antiqua" w:hAnsi="Book Antiqua" w:cs="Book Antiqua"/>
        </w:rPr>
      </w:pPr>
      <w:r>
        <w:rPr>
          <w:rStyle w:val="16"/>
          <w:rFonts w:ascii="Book Antiqua" w:eastAsia="Book Antiqua" w:hAnsi="Book Antiqua" w:cs="Book Antiqua"/>
          <w:color w:val="000000"/>
        </w:rPr>
        <w:br w:type="page"/>
      </w:r>
      <w:r>
        <w:rPr>
          <w:rFonts w:ascii="Book Antiqua" w:hAnsi="Book Antiqua" w:cs="Book Antiqua"/>
          <w:noProof/>
          <w:lang w:eastAsia="zh-CN"/>
        </w:rPr>
        <w:lastRenderedPageBreak/>
        <w:drawing>
          <wp:inline distT="0" distB="0" distL="114300" distR="114300" wp14:anchorId="484CF787" wp14:editId="4BC0D6DA">
            <wp:extent cx="5934710" cy="1610360"/>
            <wp:effectExtent l="0" t="0" r="889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934710" cy="1610360"/>
                    </a:xfrm>
                    <a:prstGeom prst="rect">
                      <a:avLst/>
                    </a:prstGeom>
                    <a:noFill/>
                    <a:ln>
                      <a:noFill/>
                    </a:ln>
                  </pic:spPr>
                </pic:pic>
              </a:graphicData>
            </a:graphic>
          </wp:inline>
        </w:drawing>
      </w:r>
    </w:p>
    <w:p w14:paraId="3394FCF4" w14:textId="4167A543" w:rsidR="00DC7063" w:rsidRDefault="00B62DEE">
      <w:pPr>
        <w:adjustRightInd w:val="0"/>
        <w:snapToGrid w:val="0"/>
        <w:spacing w:line="360" w:lineRule="auto"/>
        <w:jc w:val="both"/>
        <w:rPr>
          <w:rStyle w:val="15"/>
          <w:rFonts w:ascii="Book Antiqua" w:eastAsia="Book Antiqua" w:hAnsi="Book Antiqua" w:cs="Book Antiqua"/>
          <w:color w:val="000000"/>
        </w:rPr>
      </w:pPr>
      <w:r>
        <w:rPr>
          <w:rStyle w:val="16"/>
          <w:rFonts w:ascii="Book Antiqua" w:eastAsia="Book Antiqua" w:hAnsi="Book Antiqua" w:cs="Book Antiqua"/>
          <w:b/>
          <w:bCs/>
          <w:color w:val="000000"/>
        </w:rPr>
        <w:t>Figure 2</w:t>
      </w:r>
      <w:r>
        <w:rPr>
          <w:rStyle w:val="16"/>
          <w:rFonts w:ascii="Book Antiqua" w:eastAsia="宋体" w:hAnsi="Book Antiqua" w:cs="Book Antiqua"/>
          <w:b/>
          <w:bCs/>
          <w:color w:val="000000"/>
          <w:lang w:eastAsia="zh-CN"/>
        </w:rPr>
        <w:t xml:space="preserve"> </w:t>
      </w:r>
      <w:r>
        <w:rPr>
          <w:rStyle w:val="15"/>
          <w:rFonts w:ascii="Book Antiqua" w:eastAsia="Book Antiqua" w:hAnsi="Book Antiqua" w:cs="Book Antiqua"/>
          <w:b/>
          <w:bCs/>
          <w:color w:val="000000"/>
        </w:rPr>
        <w:t>Imaging changes in the lung after anti-tuberculosis treatment.</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A: The pulmonary nodules were larger than before treatment;</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B: The lung shadow was greater than before treatment.</w:t>
      </w:r>
    </w:p>
    <w:p w14:paraId="75B8DAAE" w14:textId="77777777" w:rsidR="00DC7063" w:rsidRDefault="00B62DEE">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rPr>
        <w:br w:type="page"/>
      </w:r>
      <w:r>
        <w:rPr>
          <w:rFonts w:ascii="Book Antiqua" w:hAnsi="Book Antiqua" w:cs="Book Antiqua"/>
          <w:noProof/>
          <w:lang w:eastAsia="zh-CN"/>
        </w:rPr>
        <w:lastRenderedPageBreak/>
        <w:drawing>
          <wp:inline distT="0" distB="0" distL="114300" distR="114300" wp14:anchorId="3FFF36BF" wp14:editId="3CE41727">
            <wp:extent cx="5748655" cy="2066925"/>
            <wp:effectExtent l="0" t="0" r="444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752843" cy="2068810"/>
                    </a:xfrm>
                    <a:prstGeom prst="rect">
                      <a:avLst/>
                    </a:prstGeom>
                    <a:noFill/>
                    <a:ln>
                      <a:noFill/>
                    </a:ln>
                  </pic:spPr>
                </pic:pic>
              </a:graphicData>
            </a:graphic>
          </wp:inline>
        </w:drawing>
      </w:r>
    </w:p>
    <w:p w14:paraId="4FAA2E56" w14:textId="38E4F266" w:rsidR="00DC7063" w:rsidRDefault="00B62DEE">
      <w:pPr>
        <w:adjustRightInd w:val="0"/>
        <w:snapToGrid w:val="0"/>
        <w:spacing w:line="360" w:lineRule="auto"/>
        <w:rPr>
          <w:rStyle w:val="15"/>
          <w:rFonts w:ascii="Book Antiqua" w:eastAsia="Book Antiqua" w:hAnsi="Book Antiqua" w:cs="Book Antiqua"/>
          <w:color w:val="000000"/>
        </w:rPr>
      </w:pPr>
      <w:r>
        <w:rPr>
          <w:rStyle w:val="16"/>
          <w:rFonts w:ascii="Book Antiqua" w:eastAsia="Book Antiqua" w:hAnsi="Book Antiqua" w:cs="Book Antiqua"/>
          <w:b/>
          <w:bCs/>
          <w:color w:val="000000"/>
        </w:rPr>
        <w:t>Figure 3</w:t>
      </w:r>
      <w:r>
        <w:rPr>
          <w:rStyle w:val="15"/>
          <w:rFonts w:ascii="Book Antiqua" w:eastAsia="宋体" w:hAnsi="Book Antiqua" w:cs="Book Antiqua"/>
          <w:b/>
          <w:bCs/>
          <w:color w:val="000000"/>
          <w:lang w:eastAsia="zh-CN"/>
        </w:rPr>
        <w:t xml:space="preserve"> </w:t>
      </w:r>
      <w:r>
        <w:rPr>
          <w:rStyle w:val="15"/>
          <w:rFonts w:ascii="Book Antiqua" w:eastAsia="Book Antiqua" w:hAnsi="Book Antiqua" w:cs="Book Antiqua"/>
          <w:b/>
          <w:bCs/>
          <w:color w:val="000000"/>
        </w:rPr>
        <w:t xml:space="preserve">Results of </w:t>
      </w:r>
      <w:proofErr w:type="spellStart"/>
      <w:r>
        <w:rPr>
          <w:rStyle w:val="15"/>
          <w:rFonts w:ascii="Book Antiqua" w:eastAsia="Book Antiqua" w:hAnsi="Book Antiqua" w:cs="Book Antiqua"/>
          <w:b/>
          <w:bCs/>
          <w:color w:val="000000"/>
        </w:rPr>
        <w:t>bronchoscopic</w:t>
      </w:r>
      <w:proofErr w:type="spellEnd"/>
      <w:r>
        <w:rPr>
          <w:rStyle w:val="15"/>
          <w:rFonts w:ascii="Book Antiqua" w:eastAsia="Book Antiqua" w:hAnsi="Book Antiqua" w:cs="Book Antiqua"/>
          <w:b/>
          <w:bCs/>
          <w:color w:val="000000"/>
        </w:rPr>
        <w:t xml:space="preserve"> biopsy. </w:t>
      </w:r>
      <w:r>
        <w:rPr>
          <w:rStyle w:val="15"/>
          <w:rFonts w:ascii="Book Antiqua" w:eastAsia="Book Antiqua" w:hAnsi="Book Antiqua" w:cs="Book Antiqua"/>
          <w:color w:val="000000"/>
        </w:rPr>
        <w:t>A</w:t>
      </w:r>
      <w:r>
        <w:rPr>
          <w:rFonts w:ascii="Book Antiqua" w:eastAsia="Book Antiqua" w:hAnsi="Book Antiqua" w:cs="Book Antiqua"/>
          <w:color w:val="000000"/>
          <w:lang w:eastAsia="zh-CN" w:bidi="ar"/>
        </w:rPr>
        <w:t xml:space="preserve">: </w:t>
      </w:r>
      <w:r>
        <w:rPr>
          <w:rStyle w:val="15"/>
          <w:rFonts w:ascii="Book Antiqua" w:eastAsia="Book Antiqua" w:hAnsi="Book Antiqua" w:cs="Book Antiqua"/>
          <w:color w:val="000000"/>
        </w:rPr>
        <w:t>Biopsies revealed local granulomatous structure; peripheral fibrous hyperplasia; lymphocyte, plasma cell and neutrophil infiltration (</w:t>
      </w:r>
      <w:proofErr w:type="spellStart"/>
      <w:r>
        <w:rPr>
          <w:rStyle w:val="15"/>
          <w:rFonts w:ascii="Book Antiqua" w:eastAsia="Book Antiqua" w:hAnsi="Book Antiqua" w:cs="Book Antiqua"/>
          <w:color w:val="000000"/>
        </w:rPr>
        <w:t>Papanicolaou</w:t>
      </w:r>
      <w:proofErr w:type="spellEnd"/>
      <w:r>
        <w:rPr>
          <w:rStyle w:val="15"/>
          <w:rFonts w:ascii="Book Antiqua" w:eastAsia="Book Antiqua" w:hAnsi="Book Antiqua" w:cs="Book Antiqua"/>
          <w:color w:val="000000"/>
        </w:rPr>
        <w:t xml:space="preserve"> stain, 20 ×);</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B: By microscopy, columnar epithelial cells and individual lymphocytes were seen, and no heterotypic cells were found (hematoxylin and eosin stain, 20 ×).</w:t>
      </w:r>
    </w:p>
    <w:p w14:paraId="4EC06D16" w14:textId="77777777" w:rsidR="00DC7063" w:rsidRDefault="00B62DEE">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rPr>
        <w:br w:type="page"/>
      </w:r>
      <w:r>
        <w:rPr>
          <w:rFonts w:ascii="Book Antiqua" w:hAnsi="Book Antiqua" w:cs="Book Antiqua"/>
          <w:noProof/>
          <w:lang w:eastAsia="zh-CN"/>
        </w:rPr>
        <w:lastRenderedPageBreak/>
        <w:drawing>
          <wp:inline distT="0" distB="0" distL="114300" distR="114300" wp14:anchorId="1558FDE0" wp14:editId="12103186">
            <wp:extent cx="5941060" cy="17399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941060" cy="1739900"/>
                    </a:xfrm>
                    <a:prstGeom prst="rect">
                      <a:avLst/>
                    </a:prstGeom>
                    <a:noFill/>
                    <a:ln>
                      <a:noFill/>
                    </a:ln>
                  </pic:spPr>
                </pic:pic>
              </a:graphicData>
            </a:graphic>
          </wp:inline>
        </w:drawing>
      </w:r>
    </w:p>
    <w:p w14:paraId="4725C8A6" w14:textId="77777777" w:rsidR="00DC7063" w:rsidRDefault="00B62DEE">
      <w:pPr>
        <w:adjustRightInd w:val="0"/>
        <w:snapToGrid w:val="0"/>
        <w:spacing w:line="360" w:lineRule="auto"/>
        <w:jc w:val="both"/>
        <w:rPr>
          <w:rStyle w:val="15"/>
          <w:rFonts w:ascii="Book Antiqua" w:eastAsia="Book Antiqua" w:hAnsi="Book Antiqua" w:cs="Book Antiqua"/>
          <w:color w:val="000000"/>
        </w:rPr>
      </w:pPr>
      <w:r>
        <w:rPr>
          <w:rStyle w:val="16"/>
          <w:rFonts w:ascii="Book Antiqua" w:eastAsia="Book Antiqua" w:hAnsi="Book Antiqua" w:cs="Book Antiqua"/>
          <w:b/>
          <w:bCs/>
          <w:color w:val="000000"/>
        </w:rPr>
        <w:t>Figure 4</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b/>
          <w:bCs/>
          <w:color w:val="000000"/>
        </w:rPr>
        <w:t xml:space="preserve">Chest </w:t>
      </w:r>
      <w:r>
        <w:rPr>
          <w:rFonts w:ascii="Book Antiqua" w:eastAsia="Book Antiqua" w:hAnsi="Book Antiqua" w:cs="Book Antiqua"/>
          <w:b/>
          <w:bCs/>
          <w:color w:val="000000"/>
        </w:rPr>
        <w:t>computed tomography</w:t>
      </w:r>
      <w:r>
        <w:rPr>
          <w:rStyle w:val="15"/>
          <w:rFonts w:ascii="Book Antiqua" w:eastAsia="宋体" w:hAnsi="Book Antiqua" w:cs="Book Antiqua"/>
          <w:b/>
          <w:bCs/>
          <w:color w:val="000000"/>
          <w:lang w:eastAsia="zh-CN"/>
        </w:rPr>
        <w:t xml:space="preserve"> </w:t>
      </w:r>
      <w:r>
        <w:rPr>
          <w:rStyle w:val="15"/>
          <w:rFonts w:ascii="Book Antiqua" w:eastAsia="Book Antiqua" w:hAnsi="Book Antiqua" w:cs="Book Antiqua"/>
          <w:b/>
          <w:bCs/>
          <w:color w:val="000000"/>
        </w:rPr>
        <w:t xml:space="preserve">scan re-examination at the last follow-up on May 6, 2020. </w:t>
      </w:r>
      <w:r>
        <w:rPr>
          <w:rStyle w:val="15"/>
          <w:rFonts w:ascii="Book Antiqua" w:eastAsia="Book Antiqua" w:hAnsi="Book Antiqua" w:cs="Book Antiqua"/>
          <w:color w:val="000000"/>
        </w:rPr>
        <w:t>A:</w:t>
      </w:r>
      <w:r>
        <w:rPr>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There were strip shadows in both lungs;</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B:</w:t>
      </w:r>
      <w:r>
        <w:rPr>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No obvious shadow or nodules</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were</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found in both lungs.</w:t>
      </w:r>
    </w:p>
    <w:p w14:paraId="0F8F521D" w14:textId="77777777" w:rsidR="00DC7063" w:rsidRDefault="00B62DEE">
      <w:pPr>
        <w:rPr>
          <w:rStyle w:val="15"/>
          <w:rFonts w:ascii="Book Antiqua" w:eastAsia="Book Antiqua" w:hAnsi="Book Antiqua" w:cs="Book Antiqua"/>
          <w:color w:val="000000"/>
        </w:rPr>
      </w:pPr>
      <w:r>
        <w:rPr>
          <w:rStyle w:val="15"/>
          <w:rFonts w:ascii="Book Antiqua" w:eastAsia="Book Antiqua" w:hAnsi="Book Antiqua" w:cs="Book Antiqua"/>
          <w:color w:val="000000"/>
        </w:rPr>
        <w:br w:type="page"/>
      </w:r>
    </w:p>
    <w:p w14:paraId="084DD2CB" w14:textId="62441A56" w:rsidR="00DC7063" w:rsidRDefault="00B62DEE">
      <w:pPr>
        <w:spacing w:line="360" w:lineRule="auto"/>
        <w:ind w:left="105"/>
        <w:rPr>
          <w:rStyle w:val="Hyperlink0"/>
          <w:rFonts w:ascii="Book Antiqua" w:eastAsia="等线" w:hAnsi="Book Antiqua" w:cs="Book Antiqua"/>
          <w:sz w:val="24"/>
          <w:szCs w:val="24"/>
        </w:rPr>
      </w:pPr>
      <w:bookmarkStart w:id="3" w:name="OLE_LINK42"/>
      <w:r>
        <w:rPr>
          <w:rStyle w:val="None"/>
          <w:rFonts w:ascii="Book Antiqua" w:hAnsi="Book Antiqua" w:cs="Book Antiqua"/>
          <w:b/>
          <w:bCs/>
        </w:rPr>
        <w:lastRenderedPageBreak/>
        <w:t>T</w:t>
      </w:r>
      <w:bookmarkStart w:id="4" w:name="OLE_LINK43"/>
      <w:bookmarkEnd w:id="3"/>
      <w:r>
        <w:rPr>
          <w:rStyle w:val="None"/>
          <w:rFonts w:ascii="Book Antiqua" w:hAnsi="Book Antiqua" w:cs="Book Antiqua"/>
          <w:b/>
          <w:bCs/>
        </w:rPr>
        <w:t>able 1</w:t>
      </w:r>
      <w:r>
        <w:rPr>
          <w:rStyle w:val="Hyperlink0"/>
          <w:rFonts w:ascii="Book Antiqua" w:eastAsia="等线" w:hAnsi="Book Antiqua" w:cs="Book Antiqua"/>
          <w:b/>
          <w:bCs/>
          <w:sz w:val="24"/>
          <w:szCs w:val="24"/>
        </w:rPr>
        <w:t xml:space="preserve"> Results of Fortin </w:t>
      </w:r>
      <w:r>
        <w:rPr>
          <w:rStyle w:val="Hyperlink0"/>
          <w:rFonts w:ascii="Book Antiqua" w:eastAsia="等线" w:hAnsi="Book Antiqua" w:cs="Book Antiqua"/>
          <w:b/>
          <w:bCs/>
          <w:i/>
          <w:iCs/>
          <w:sz w:val="24"/>
          <w:szCs w:val="24"/>
        </w:rPr>
        <w:t xml:space="preserve">et </w:t>
      </w:r>
      <w:proofErr w:type="gramStart"/>
      <w:r>
        <w:rPr>
          <w:rStyle w:val="Hyperlink0"/>
          <w:rFonts w:ascii="Book Antiqua" w:eastAsia="等线" w:hAnsi="Book Antiqua" w:cs="Book Antiqua"/>
          <w:b/>
          <w:bCs/>
          <w:i/>
          <w:iCs/>
          <w:sz w:val="24"/>
          <w:szCs w:val="24"/>
        </w:rPr>
        <w:t>al</w:t>
      </w:r>
      <w:r>
        <w:rPr>
          <w:rStyle w:val="Hyperlink0"/>
          <w:rFonts w:ascii="Book Antiqua" w:eastAsia="等线" w:hAnsi="Book Antiqua" w:cs="Book Antiqua"/>
          <w:b/>
          <w:bCs/>
          <w:sz w:val="24"/>
          <w:szCs w:val="24"/>
          <w:vertAlign w:val="superscript"/>
        </w:rPr>
        <w:t>[</w:t>
      </w:r>
      <w:proofErr w:type="gramEnd"/>
      <w:r>
        <w:rPr>
          <w:rStyle w:val="Hyperlink0"/>
          <w:rFonts w:ascii="Book Antiqua" w:eastAsia="等线" w:hAnsi="Book Antiqua" w:cs="Book Antiqua"/>
          <w:b/>
          <w:bCs/>
          <w:sz w:val="24"/>
          <w:szCs w:val="24"/>
          <w:vertAlign w:val="superscript"/>
        </w:rPr>
        <w:t>17]</w:t>
      </w:r>
    </w:p>
    <w:tbl>
      <w:tblPr>
        <w:tblStyle w:val="TableNormal1"/>
        <w:tblW w:w="936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592"/>
        <w:gridCol w:w="876"/>
        <w:gridCol w:w="1989"/>
        <w:gridCol w:w="1142"/>
        <w:gridCol w:w="3767"/>
      </w:tblGrid>
      <w:tr w:rsidR="00DC7063" w14:paraId="206217E6" w14:textId="77777777">
        <w:trPr>
          <w:trHeight w:val="1662"/>
        </w:trPr>
        <w:tc>
          <w:tcPr>
            <w:tcW w:w="159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C9C6853" w14:textId="77777777" w:rsidR="00DC7063" w:rsidRDefault="00DC7063">
            <w:pPr>
              <w:rPr>
                <w:rFonts w:ascii="Book Antiqua" w:hAnsi="Book Antiqua" w:cs="Book Antiqua"/>
                <w:b/>
                <w:bCs/>
              </w:rPr>
            </w:pPr>
          </w:p>
        </w:tc>
        <w:tc>
          <w:tcPr>
            <w:tcW w:w="87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75B02EF" w14:textId="77777777" w:rsidR="00DC7063" w:rsidRDefault="00B62DEE">
            <w:pPr>
              <w:spacing w:line="360" w:lineRule="auto"/>
              <w:rPr>
                <w:rFonts w:ascii="Book Antiqua" w:hAnsi="Book Antiqua" w:cs="Book Antiqua"/>
                <w:b/>
                <w:bCs/>
              </w:rPr>
            </w:pPr>
            <w:r>
              <w:rPr>
                <w:rStyle w:val="None"/>
                <w:rFonts w:ascii="Book Antiqua" w:eastAsia="宋体" w:hAnsi="Book Antiqua" w:cs="Book Antiqua"/>
                <w:b/>
                <w:bCs/>
                <w:lang w:eastAsia="zh-CN"/>
              </w:rPr>
              <w:t>T</w:t>
            </w:r>
            <w:r>
              <w:rPr>
                <w:rStyle w:val="None"/>
                <w:rFonts w:ascii="Book Antiqua" w:hAnsi="Book Antiqua" w:cs="Book Antiqua"/>
                <w:b/>
                <w:bCs/>
              </w:rPr>
              <w:t>reated with IVIG</w:t>
            </w:r>
          </w:p>
        </w:tc>
        <w:tc>
          <w:tcPr>
            <w:tcW w:w="198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98C48F1" w14:textId="77777777" w:rsidR="00DC7063" w:rsidRDefault="00B62DEE">
            <w:pPr>
              <w:spacing w:line="360" w:lineRule="auto"/>
              <w:rPr>
                <w:rFonts w:ascii="Book Antiqua" w:hAnsi="Book Antiqua" w:cs="Book Antiqua"/>
                <w:b/>
                <w:bCs/>
              </w:rPr>
            </w:pPr>
            <w:r>
              <w:rPr>
                <w:rStyle w:val="None"/>
                <w:rFonts w:ascii="Book Antiqua" w:eastAsia="宋体" w:hAnsi="Book Antiqua" w:cs="Book Antiqua"/>
                <w:b/>
                <w:bCs/>
                <w:lang w:eastAsia="zh-CN"/>
              </w:rPr>
              <w:t>T</w:t>
            </w:r>
            <w:r>
              <w:rPr>
                <w:rStyle w:val="None"/>
                <w:rFonts w:ascii="Book Antiqua" w:hAnsi="Book Antiqua" w:cs="Book Antiqua"/>
                <w:b/>
                <w:bCs/>
              </w:rPr>
              <w:t>reated with systemic corticosteroids and immunosuppressive drug</w:t>
            </w:r>
          </w:p>
        </w:tc>
        <w:tc>
          <w:tcPr>
            <w:tcW w:w="11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5D70F48" w14:textId="77777777" w:rsidR="00DC7063" w:rsidRDefault="00B62DEE">
            <w:pPr>
              <w:spacing w:line="360" w:lineRule="auto"/>
              <w:rPr>
                <w:rFonts w:ascii="Book Antiqua" w:hAnsi="Book Antiqua" w:cs="Book Antiqua"/>
                <w:b/>
                <w:bCs/>
              </w:rPr>
            </w:pPr>
            <w:r>
              <w:rPr>
                <w:rStyle w:val="None"/>
                <w:rFonts w:ascii="Book Antiqua" w:eastAsia="宋体" w:hAnsi="Book Antiqua" w:cs="Book Antiqua"/>
                <w:b/>
                <w:bCs/>
                <w:lang w:eastAsia="zh-CN"/>
              </w:rPr>
              <w:t>T</w:t>
            </w:r>
            <w:r>
              <w:rPr>
                <w:rStyle w:val="None"/>
                <w:rFonts w:ascii="Book Antiqua" w:hAnsi="Book Antiqua" w:cs="Book Antiqua"/>
                <w:b/>
                <w:bCs/>
              </w:rPr>
              <w:t>otal adverse events</w:t>
            </w:r>
          </w:p>
        </w:tc>
        <w:tc>
          <w:tcPr>
            <w:tcW w:w="376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6720CCE" w14:textId="77777777" w:rsidR="00DC7063" w:rsidRDefault="00B62DEE">
            <w:pPr>
              <w:spacing w:line="360" w:lineRule="auto"/>
              <w:rPr>
                <w:rFonts w:ascii="Book Antiqua" w:hAnsi="Book Antiqua" w:cs="Book Antiqua"/>
                <w:b/>
                <w:bCs/>
              </w:rPr>
            </w:pPr>
            <w:r>
              <w:rPr>
                <w:rStyle w:val="None"/>
                <w:rFonts w:ascii="Book Antiqua" w:eastAsia="宋体" w:hAnsi="Book Antiqua" w:cs="Book Antiqua"/>
                <w:b/>
                <w:bCs/>
                <w:lang w:eastAsia="zh-CN"/>
              </w:rPr>
              <w:t>M</w:t>
            </w:r>
            <w:r>
              <w:rPr>
                <w:rStyle w:val="None"/>
                <w:rFonts w:ascii="Book Antiqua" w:hAnsi="Book Antiqua" w:cs="Book Antiqua"/>
                <w:b/>
                <w:bCs/>
              </w:rPr>
              <w:t>ortality, serious adverse events, time to relapse, open-label rescue therapy, and infection rates</w:t>
            </w:r>
          </w:p>
        </w:tc>
      </w:tr>
      <w:tr w:rsidR="00DC7063" w14:paraId="4EA4ABDB" w14:textId="77777777">
        <w:trPr>
          <w:trHeight w:val="596"/>
        </w:trPr>
        <w:tc>
          <w:tcPr>
            <w:tcW w:w="1592" w:type="dxa"/>
            <w:tcBorders>
              <w:top w:val="single" w:sz="4" w:space="0" w:color="000000"/>
              <w:left w:val="nil"/>
              <w:bottom w:val="nil"/>
              <w:right w:val="nil"/>
            </w:tcBorders>
            <w:shd w:val="clear" w:color="auto" w:fill="auto"/>
            <w:tcMar>
              <w:top w:w="80" w:type="dxa"/>
              <w:left w:w="80" w:type="dxa"/>
              <w:bottom w:w="80" w:type="dxa"/>
              <w:right w:w="80" w:type="dxa"/>
            </w:tcMar>
          </w:tcPr>
          <w:p w14:paraId="6E3B9CF5" w14:textId="77777777" w:rsidR="00DC7063" w:rsidRDefault="00B62DEE">
            <w:pPr>
              <w:spacing w:line="360" w:lineRule="auto"/>
              <w:rPr>
                <w:rFonts w:ascii="Book Antiqua" w:hAnsi="Book Antiqua" w:cs="Book Antiqua"/>
              </w:rPr>
            </w:pPr>
            <w:r>
              <w:rPr>
                <w:rStyle w:val="None"/>
                <w:rFonts w:ascii="Book Antiqua" w:eastAsia="宋体" w:hAnsi="Book Antiqua" w:cs="Book Antiqua"/>
                <w:lang w:eastAsia="zh-CN"/>
              </w:rPr>
              <w:t>C</w:t>
            </w:r>
            <w:r>
              <w:rPr>
                <w:rStyle w:val="None"/>
                <w:rFonts w:ascii="Book Antiqua" w:hAnsi="Book Antiqua" w:cs="Book Antiqua"/>
              </w:rPr>
              <w:t xml:space="preserve">ontrol group </w:t>
            </w:r>
          </w:p>
        </w:tc>
        <w:tc>
          <w:tcPr>
            <w:tcW w:w="876" w:type="dxa"/>
            <w:tcBorders>
              <w:top w:val="single" w:sz="4" w:space="0" w:color="000000"/>
              <w:left w:val="nil"/>
              <w:bottom w:val="nil"/>
              <w:right w:val="nil"/>
            </w:tcBorders>
            <w:shd w:val="clear" w:color="auto" w:fill="auto"/>
            <w:tcMar>
              <w:top w:w="80" w:type="dxa"/>
              <w:left w:w="80" w:type="dxa"/>
              <w:bottom w:w="80" w:type="dxa"/>
              <w:right w:w="80" w:type="dxa"/>
            </w:tcMar>
          </w:tcPr>
          <w:p w14:paraId="00014B02" w14:textId="77777777" w:rsidR="00DC7063" w:rsidRDefault="00B62DEE">
            <w:pPr>
              <w:spacing w:line="360" w:lineRule="auto"/>
              <w:rPr>
                <w:rFonts w:ascii="Book Antiqua" w:eastAsia="PMingLiU" w:hAnsi="Book Antiqua" w:cs="Book Antiqua"/>
              </w:rPr>
            </w:pPr>
            <w:r>
              <w:rPr>
                <w:rStyle w:val="None"/>
                <w:rFonts w:ascii="Book Antiqua" w:eastAsia="宋体" w:hAnsi="Book Antiqua" w:cs="Book Antiqua"/>
                <w:lang w:eastAsia="zh-CN"/>
              </w:rPr>
              <w:t>(-)</w:t>
            </w:r>
          </w:p>
        </w:tc>
        <w:tc>
          <w:tcPr>
            <w:tcW w:w="1989" w:type="dxa"/>
            <w:tcBorders>
              <w:top w:val="single" w:sz="4" w:space="0" w:color="000000"/>
              <w:left w:val="nil"/>
              <w:bottom w:val="nil"/>
              <w:right w:val="nil"/>
            </w:tcBorders>
            <w:shd w:val="clear" w:color="auto" w:fill="auto"/>
            <w:tcMar>
              <w:top w:w="80" w:type="dxa"/>
              <w:left w:w="80" w:type="dxa"/>
              <w:bottom w:w="80" w:type="dxa"/>
              <w:right w:w="80" w:type="dxa"/>
            </w:tcMar>
          </w:tcPr>
          <w:p w14:paraId="4CA743B3" w14:textId="77777777" w:rsidR="00DC7063" w:rsidRDefault="00B62DEE">
            <w:pPr>
              <w:spacing w:line="360" w:lineRule="auto"/>
              <w:rPr>
                <w:rFonts w:ascii="Book Antiqua" w:eastAsia="PMingLiU" w:hAnsi="Book Antiqua" w:cs="Book Antiqua"/>
              </w:rPr>
            </w:pPr>
            <w:r>
              <w:rPr>
                <w:rStyle w:val="None"/>
                <w:rFonts w:ascii="Book Antiqua" w:eastAsia="宋体" w:hAnsi="Book Antiqua" w:cs="Book Antiqua"/>
                <w:lang w:eastAsia="zh-CN"/>
              </w:rPr>
              <w:t>(+)</w:t>
            </w:r>
          </w:p>
        </w:tc>
        <w:tc>
          <w:tcPr>
            <w:tcW w:w="1142" w:type="dxa"/>
            <w:tcBorders>
              <w:top w:val="single" w:sz="4" w:space="0" w:color="000000"/>
              <w:left w:val="nil"/>
              <w:bottom w:val="nil"/>
              <w:right w:val="nil"/>
            </w:tcBorders>
            <w:shd w:val="clear" w:color="auto" w:fill="auto"/>
            <w:tcMar>
              <w:top w:w="80" w:type="dxa"/>
              <w:left w:w="80" w:type="dxa"/>
              <w:bottom w:w="80" w:type="dxa"/>
              <w:right w:w="80" w:type="dxa"/>
            </w:tcMar>
          </w:tcPr>
          <w:p w14:paraId="47DCF7CE" w14:textId="501FE2FE" w:rsidR="00DC7063" w:rsidRDefault="00DA1845">
            <w:pPr>
              <w:spacing w:line="360" w:lineRule="auto"/>
              <w:rPr>
                <w:rFonts w:ascii="Book Antiqua" w:hAnsi="Book Antiqua" w:cs="Book Antiqua"/>
                <w:lang w:eastAsia="zh-CN"/>
              </w:rPr>
            </w:pPr>
            <w:r>
              <w:rPr>
                <w:rStyle w:val="None"/>
                <w:rFonts w:ascii="Book Antiqua" w:eastAsia="宋体" w:hAnsi="Book Antiqua" w:cs="Book Antiqua" w:hint="eastAsia"/>
                <w:lang w:val="zh-TW" w:eastAsia="zh-CN"/>
              </w:rPr>
              <w:t>-</w:t>
            </w:r>
          </w:p>
        </w:tc>
        <w:tc>
          <w:tcPr>
            <w:tcW w:w="3767" w:type="dxa"/>
            <w:tcBorders>
              <w:top w:val="single" w:sz="4" w:space="0" w:color="000000"/>
              <w:left w:val="nil"/>
              <w:bottom w:val="nil"/>
              <w:right w:val="nil"/>
            </w:tcBorders>
            <w:shd w:val="clear" w:color="auto" w:fill="auto"/>
            <w:tcMar>
              <w:top w:w="80" w:type="dxa"/>
              <w:left w:w="80" w:type="dxa"/>
              <w:bottom w:w="80" w:type="dxa"/>
              <w:right w:w="80" w:type="dxa"/>
            </w:tcMar>
          </w:tcPr>
          <w:p w14:paraId="031B7002" w14:textId="77777777" w:rsidR="00DC7063" w:rsidRDefault="00B62DEE">
            <w:pPr>
              <w:spacing w:line="360" w:lineRule="auto"/>
              <w:rPr>
                <w:rFonts w:ascii="Book Antiqua" w:hAnsi="Book Antiqua" w:cs="Book Antiqua"/>
              </w:rPr>
            </w:pPr>
            <w:r>
              <w:rPr>
                <w:rStyle w:val="None"/>
                <w:rFonts w:ascii="Book Antiqua" w:eastAsia="宋体" w:hAnsi="Book Antiqua" w:cs="Book Antiqua"/>
                <w:lang w:eastAsia="zh-CN"/>
              </w:rPr>
              <w:t>N</w:t>
            </w:r>
            <w:r>
              <w:rPr>
                <w:rStyle w:val="None"/>
                <w:rFonts w:ascii="Book Antiqua" w:hAnsi="Book Antiqua" w:cs="Book Antiqua"/>
              </w:rPr>
              <w:t>o remarkable differences</w:t>
            </w:r>
          </w:p>
        </w:tc>
      </w:tr>
      <w:tr w:rsidR="00DC7063" w14:paraId="34453AA6" w14:textId="77777777">
        <w:trPr>
          <w:trHeight w:val="330"/>
        </w:trPr>
        <w:tc>
          <w:tcPr>
            <w:tcW w:w="1592" w:type="dxa"/>
            <w:tcBorders>
              <w:top w:val="nil"/>
              <w:left w:val="nil"/>
              <w:bottom w:val="single" w:sz="4" w:space="0" w:color="000000"/>
              <w:right w:val="nil"/>
            </w:tcBorders>
            <w:shd w:val="clear" w:color="auto" w:fill="auto"/>
            <w:tcMar>
              <w:top w:w="80" w:type="dxa"/>
              <w:left w:w="80" w:type="dxa"/>
              <w:bottom w:w="80" w:type="dxa"/>
              <w:right w:w="80" w:type="dxa"/>
            </w:tcMar>
          </w:tcPr>
          <w:p w14:paraId="1E61D411" w14:textId="77777777" w:rsidR="00DC7063" w:rsidRDefault="00B62DEE">
            <w:pPr>
              <w:spacing w:line="360" w:lineRule="auto"/>
              <w:rPr>
                <w:rFonts w:ascii="Book Antiqua" w:hAnsi="Book Antiqua" w:cs="Book Antiqua"/>
              </w:rPr>
            </w:pPr>
            <w:r>
              <w:rPr>
                <w:rStyle w:val="None"/>
                <w:rFonts w:ascii="Book Antiqua" w:eastAsia="宋体" w:hAnsi="Book Antiqua" w:cs="Book Antiqua"/>
                <w:lang w:eastAsia="zh-CN"/>
              </w:rPr>
              <w:t>S</w:t>
            </w:r>
            <w:r>
              <w:rPr>
                <w:rStyle w:val="None"/>
                <w:rFonts w:ascii="Book Antiqua" w:hAnsi="Book Antiqua" w:cs="Book Antiqua"/>
              </w:rPr>
              <w:t>tudy group</w:t>
            </w:r>
          </w:p>
        </w:tc>
        <w:tc>
          <w:tcPr>
            <w:tcW w:w="876" w:type="dxa"/>
            <w:tcBorders>
              <w:top w:val="nil"/>
              <w:left w:val="nil"/>
              <w:bottom w:val="single" w:sz="4" w:space="0" w:color="000000"/>
              <w:right w:val="nil"/>
            </w:tcBorders>
            <w:shd w:val="clear" w:color="auto" w:fill="auto"/>
            <w:tcMar>
              <w:top w:w="80" w:type="dxa"/>
              <w:left w:w="80" w:type="dxa"/>
              <w:bottom w:w="80" w:type="dxa"/>
              <w:right w:w="80" w:type="dxa"/>
            </w:tcMar>
          </w:tcPr>
          <w:p w14:paraId="2A11630C" w14:textId="77777777" w:rsidR="00DC7063" w:rsidRDefault="00B62DEE">
            <w:pPr>
              <w:spacing w:line="360" w:lineRule="auto"/>
              <w:rPr>
                <w:rFonts w:ascii="Book Antiqua" w:hAnsi="Book Antiqua" w:cs="Book Antiqua"/>
              </w:rPr>
            </w:pPr>
            <w:r>
              <w:rPr>
                <w:rStyle w:val="None"/>
                <w:rFonts w:ascii="Book Antiqua" w:eastAsia="宋体" w:hAnsi="Book Antiqua" w:cs="Book Antiqua"/>
                <w:lang w:eastAsia="zh-CN"/>
              </w:rPr>
              <w:t>(+)</w:t>
            </w:r>
          </w:p>
        </w:tc>
        <w:tc>
          <w:tcPr>
            <w:tcW w:w="1989" w:type="dxa"/>
            <w:tcBorders>
              <w:top w:val="nil"/>
              <w:left w:val="nil"/>
              <w:bottom w:val="single" w:sz="4" w:space="0" w:color="000000"/>
              <w:right w:val="nil"/>
            </w:tcBorders>
            <w:shd w:val="clear" w:color="auto" w:fill="auto"/>
            <w:tcMar>
              <w:top w:w="80" w:type="dxa"/>
              <w:left w:w="80" w:type="dxa"/>
              <w:bottom w:w="80" w:type="dxa"/>
              <w:right w:w="80" w:type="dxa"/>
            </w:tcMar>
          </w:tcPr>
          <w:p w14:paraId="78119926" w14:textId="77777777" w:rsidR="00DC7063" w:rsidRDefault="00B62DEE">
            <w:pPr>
              <w:spacing w:line="360" w:lineRule="auto"/>
              <w:rPr>
                <w:rFonts w:ascii="Book Antiqua" w:hAnsi="Book Antiqua" w:cs="Book Antiqua"/>
              </w:rPr>
            </w:pPr>
            <w:r>
              <w:rPr>
                <w:rStyle w:val="None"/>
                <w:rFonts w:ascii="Book Antiqua" w:eastAsia="宋体" w:hAnsi="Book Antiqua" w:cs="Book Antiqua"/>
                <w:lang w:eastAsia="zh-CN"/>
              </w:rPr>
              <w:t>(+)</w:t>
            </w:r>
          </w:p>
        </w:tc>
        <w:tc>
          <w:tcPr>
            <w:tcW w:w="1142" w:type="dxa"/>
            <w:tcBorders>
              <w:top w:val="nil"/>
              <w:left w:val="nil"/>
              <w:bottom w:val="single" w:sz="4" w:space="0" w:color="000000"/>
              <w:right w:val="nil"/>
            </w:tcBorders>
            <w:shd w:val="clear" w:color="auto" w:fill="auto"/>
            <w:tcMar>
              <w:top w:w="80" w:type="dxa"/>
              <w:left w:w="80" w:type="dxa"/>
              <w:bottom w:w="80" w:type="dxa"/>
              <w:right w:w="80" w:type="dxa"/>
            </w:tcMar>
          </w:tcPr>
          <w:p w14:paraId="562D462F" w14:textId="77777777" w:rsidR="00DC7063" w:rsidRDefault="00B62DEE">
            <w:pPr>
              <w:spacing w:line="360" w:lineRule="auto"/>
              <w:rPr>
                <w:rFonts w:ascii="Book Antiqua" w:hAnsi="Book Antiqua" w:cs="Book Antiqua"/>
              </w:rPr>
            </w:pPr>
            <w:r>
              <w:rPr>
                <w:rStyle w:val="None"/>
                <w:rFonts w:ascii="Book Antiqua" w:eastAsia="宋体" w:hAnsi="Book Antiqua" w:cs="Book Antiqua"/>
                <w:lang w:eastAsia="zh-CN"/>
              </w:rPr>
              <w:t>H</w:t>
            </w:r>
            <w:r>
              <w:rPr>
                <w:rStyle w:val="None"/>
                <w:rFonts w:ascii="Book Antiqua" w:hAnsi="Book Antiqua" w:cs="Book Antiqua"/>
              </w:rPr>
              <w:t>igher</w:t>
            </w:r>
          </w:p>
        </w:tc>
        <w:tc>
          <w:tcPr>
            <w:tcW w:w="3767" w:type="dxa"/>
            <w:tcBorders>
              <w:top w:val="nil"/>
              <w:left w:val="nil"/>
              <w:bottom w:val="single" w:sz="4" w:space="0" w:color="000000"/>
              <w:right w:val="nil"/>
            </w:tcBorders>
            <w:shd w:val="clear" w:color="auto" w:fill="auto"/>
            <w:tcMar>
              <w:top w:w="80" w:type="dxa"/>
              <w:left w:w="80" w:type="dxa"/>
              <w:bottom w:w="80" w:type="dxa"/>
              <w:right w:w="80" w:type="dxa"/>
            </w:tcMar>
          </w:tcPr>
          <w:p w14:paraId="21EA4AD3" w14:textId="77777777" w:rsidR="00DC7063" w:rsidRDefault="00B62DEE">
            <w:pPr>
              <w:spacing w:line="360" w:lineRule="auto"/>
              <w:rPr>
                <w:rFonts w:ascii="Book Antiqua" w:hAnsi="Book Antiqua" w:cs="Book Antiqua"/>
              </w:rPr>
            </w:pPr>
            <w:r>
              <w:rPr>
                <w:rStyle w:val="None"/>
                <w:rFonts w:ascii="Book Antiqua" w:eastAsia="宋体" w:hAnsi="Book Antiqua" w:cs="Book Antiqua"/>
                <w:lang w:eastAsia="zh-CN"/>
              </w:rPr>
              <w:t>N</w:t>
            </w:r>
            <w:r>
              <w:rPr>
                <w:rStyle w:val="None"/>
                <w:rFonts w:ascii="Book Antiqua" w:hAnsi="Book Antiqua" w:cs="Book Antiqua"/>
              </w:rPr>
              <w:t>o remarkable differences</w:t>
            </w:r>
          </w:p>
        </w:tc>
      </w:tr>
    </w:tbl>
    <w:bookmarkEnd w:id="4"/>
    <w:p w14:paraId="5EE7BC68" w14:textId="77777777" w:rsidR="00DC7063" w:rsidRDefault="00B62DEE">
      <w:pPr>
        <w:spacing w:line="360" w:lineRule="auto"/>
        <w:jc w:val="both"/>
        <w:rPr>
          <w:rStyle w:val="16"/>
          <w:rFonts w:ascii="Book Antiqua" w:eastAsia="宋体" w:hAnsi="Book Antiqua" w:cs="Book Antiqua"/>
          <w:color w:val="000000"/>
          <w:lang w:eastAsia="zh-CN"/>
        </w:rPr>
      </w:pPr>
      <w:r>
        <w:rPr>
          <w:rStyle w:val="16"/>
          <w:rFonts w:ascii="Book Antiqua" w:eastAsia="宋体" w:hAnsi="Book Antiqua" w:cs="Book Antiqua"/>
          <w:color w:val="000000"/>
          <w:lang w:eastAsia="zh-CN"/>
        </w:rPr>
        <w:t>IVIG: I</w:t>
      </w:r>
      <w:r>
        <w:rPr>
          <w:rStyle w:val="16"/>
          <w:rFonts w:ascii="Book Antiqua" w:eastAsia="Book Antiqua" w:hAnsi="Book Antiqua" w:cs="Book Antiqua"/>
          <w:color w:val="000000"/>
        </w:rPr>
        <w:t>ntravenous immunoglobulin</w:t>
      </w:r>
      <w:r>
        <w:rPr>
          <w:rStyle w:val="16"/>
          <w:rFonts w:ascii="Book Antiqua" w:eastAsia="宋体" w:hAnsi="Book Antiqua" w:cs="Book Antiqua"/>
          <w:color w:val="000000"/>
          <w:lang w:eastAsia="zh-CN"/>
        </w:rPr>
        <w:t>.</w:t>
      </w:r>
    </w:p>
    <w:p w14:paraId="7B33D445" w14:textId="3AD48B80" w:rsidR="00DC7063" w:rsidRDefault="00B62DEE">
      <w:pPr>
        <w:wordWrap w:val="0"/>
        <w:autoSpaceDE w:val="0"/>
        <w:autoSpaceDN w:val="0"/>
        <w:adjustRightInd w:val="0"/>
        <w:spacing w:line="360" w:lineRule="auto"/>
        <w:ind w:leftChars="50" w:left="120"/>
        <w:rPr>
          <w:rFonts w:ascii="Book Antiqua" w:eastAsia="宋体" w:hAnsi="Book Antiqua" w:cs="Book Antiqua"/>
        </w:rPr>
      </w:pPr>
      <w:r>
        <w:rPr>
          <w:rStyle w:val="16"/>
          <w:rFonts w:ascii="Book Antiqua" w:eastAsia="宋体" w:hAnsi="Book Antiqua" w:cs="Book Antiqua"/>
          <w:color w:val="000000"/>
          <w:lang w:eastAsia="zh-CN"/>
        </w:rPr>
        <w:br w:type="page"/>
      </w:r>
      <w:r>
        <w:rPr>
          <w:rFonts w:ascii="Book Antiqua" w:eastAsia="宋体" w:hAnsi="Book Antiqua" w:cs="Book Antiqua"/>
          <w:b/>
        </w:rPr>
        <w:lastRenderedPageBreak/>
        <w:t xml:space="preserve">Table 2 Results of </w:t>
      </w:r>
      <w:proofErr w:type="spellStart"/>
      <w:r>
        <w:rPr>
          <w:rFonts w:ascii="Book Antiqua" w:eastAsia="宋体" w:hAnsi="Book Antiqua" w:cs="Book Antiqua"/>
          <w:b/>
        </w:rPr>
        <w:t>Tsurikisawa</w:t>
      </w:r>
      <w:proofErr w:type="spellEnd"/>
      <w:r>
        <w:rPr>
          <w:rFonts w:ascii="Book Antiqua" w:eastAsia="宋体" w:hAnsi="Book Antiqua" w:cs="Book Antiqua"/>
          <w:b/>
        </w:rPr>
        <w:t xml:space="preserve"> </w:t>
      </w:r>
      <w:r>
        <w:rPr>
          <w:rFonts w:ascii="Book Antiqua" w:eastAsia="宋体" w:hAnsi="Book Antiqua" w:cs="Book Antiqua"/>
          <w:b/>
          <w:i/>
          <w:iCs/>
        </w:rPr>
        <w:t xml:space="preserve">et </w:t>
      </w:r>
      <w:proofErr w:type="gramStart"/>
      <w:r>
        <w:rPr>
          <w:rFonts w:ascii="Book Antiqua" w:eastAsia="宋体" w:hAnsi="Book Antiqua" w:cs="Book Antiqua"/>
          <w:b/>
          <w:i/>
          <w:iCs/>
        </w:rPr>
        <w:t>al</w:t>
      </w:r>
      <w:r>
        <w:rPr>
          <w:rFonts w:ascii="Book Antiqua" w:eastAsia="宋体" w:hAnsi="Book Antiqua" w:cs="Book Antiqua"/>
          <w:b/>
          <w:vertAlign w:val="superscript"/>
        </w:rPr>
        <w:t>[</w:t>
      </w:r>
      <w:proofErr w:type="gramEnd"/>
      <w:r>
        <w:rPr>
          <w:rFonts w:ascii="Book Antiqua" w:eastAsia="宋体" w:hAnsi="Book Antiqua" w:cs="Book Antiqua"/>
          <w:b/>
          <w:vertAlign w:val="superscript"/>
        </w:rPr>
        <w:t>22]</w:t>
      </w:r>
    </w:p>
    <w:tbl>
      <w:tblPr>
        <w:tblW w:w="0" w:type="auto"/>
        <w:tblInd w:w="245" w:type="dxa"/>
        <w:tblBorders>
          <w:top w:val="single" w:sz="4" w:space="0" w:color="auto"/>
          <w:bottom w:val="single" w:sz="4" w:space="0" w:color="auto"/>
          <w:insideH w:val="single" w:sz="4" w:space="0" w:color="auto"/>
        </w:tblBorders>
        <w:tblLook w:val="04A0" w:firstRow="1" w:lastRow="0" w:firstColumn="1" w:lastColumn="0" w:noHBand="0" w:noVBand="1"/>
      </w:tblPr>
      <w:tblGrid>
        <w:gridCol w:w="1564"/>
        <w:gridCol w:w="927"/>
        <w:gridCol w:w="1507"/>
        <w:gridCol w:w="2578"/>
        <w:gridCol w:w="2755"/>
      </w:tblGrid>
      <w:tr w:rsidR="00DC7063" w14:paraId="1E3B34D5" w14:textId="77777777">
        <w:tc>
          <w:tcPr>
            <w:tcW w:w="1564" w:type="dxa"/>
            <w:tcBorders>
              <w:top w:val="single" w:sz="4" w:space="0" w:color="auto"/>
              <w:bottom w:val="single" w:sz="4" w:space="0" w:color="auto"/>
              <w:tl2br w:val="nil"/>
            </w:tcBorders>
            <w:shd w:val="clear" w:color="auto" w:fill="auto"/>
          </w:tcPr>
          <w:p w14:paraId="0E6349E4" w14:textId="77777777" w:rsidR="00DC7063" w:rsidRDefault="00DC7063">
            <w:pPr>
              <w:wordWrap w:val="0"/>
              <w:autoSpaceDE w:val="0"/>
              <w:autoSpaceDN w:val="0"/>
              <w:adjustRightInd w:val="0"/>
              <w:spacing w:line="360" w:lineRule="auto"/>
              <w:rPr>
                <w:rFonts w:ascii="Book Antiqua" w:eastAsia="宋体" w:hAnsi="Book Antiqua" w:cs="Book Antiqua"/>
                <w:b/>
                <w:bCs/>
              </w:rPr>
            </w:pPr>
          </w:p>
        </w:tc>
        <w:tc>
          <w:tcPr>
            <w:tcW w:w="927" w:type="dxa"/>
            <w:tcBorders>
              <w:top w:val="single" w:sz="4" w:space="0" w:color="auto"/>
              <w:bottom w:val="single" w:sz="4" w:space="0" w:color="auto"/>
            </w:tcBorders>
            <w:shd w:val="clear" w:color="auto" w:fill="auto"/>
          </w:tcPr>
          <w:p w14:paraId="121655D2" w14:textId="77777777" w:rsidR="00DC7063" w:rsidRDefault="00B62DEE">
            <w:pPr>
              <w:wordWrap w:val="0"/>
              <w:autoSpaceDE w:val="0"/>
              <w:autoSpaceDN w:val="0"/>
              <w:adjustRightInd w:val="0"/>
              <w:spacing w:line="360" w:lineRule="auto"/>
              <w:rPr>
                <w:rFonts w:ascii="Book Antiqua" w:eastAsia="宋体" w:hAnsi="Book Antiqua" w:cs="Book Antiqua"/>
                <w:b/>
                <w:bCs/>
              </w:rPr>
            </w:pPr>
            <w:r>
              <w:rPr>
                <w:rFonts w:ascii="Book Antiqua" w:eastAsia="宋体" w:hAnsi="Book Antiqua" w:cs="Book Antiqua"/>
                <w:b/>
                <w:bCs/>
              </w:rPr>
              <w:t>IVIG therapy</w:t>
            </w:r>
          </w:p>
        </w:tc>
        <w:tc>
          <w:tcPr>
            <w:tcW w:w="1507" w:type="dxa"/>
            <w:tcBorders>
              <w:top w:val="single" w:sz="4" w:space="0" w:color="auto"/>
              <w:bottom w:val="single" w:sz="4" w:space="0" w:color="auto"/>
            </w:tcBorders>
            <w:shd w:val="clear" w:color="auto" w:fill="auto"/>
          </w:tcPr>
          <w:p w14:paraId="7DE71048" w14:textId="77777777" w:rsidR="00DC7063" w:rsidRDefault="00B62DEE">
            <w:pPr>
              <w:wordWrap w:val="0"/>
              <w:autoSpaceDE w:val="0"/>
              <w:autoSpaceDN w:val="0"/>
              <w:adjustRightInd w:val="0"/>
              <w:spacing w:line="360" w:lineRule="auto"/>
              <w:rPr>
                <w:rFonts w:ascii="Book Antiqua" w:eastAsia="宋体" w:hAnsi="Book Antiqua" w:cs="Book Antiqua"/>
                <w:b/>
                <w:bCs/>
              </w:rPr>
            </w:pPr>
            <w:r>
              <w:rPr>
                <w:rFonts w:ascii="Book Antiqua" w:eastAsia="宋体" w:hAnsi="Book Antiqua" w:cs="Book Antiqua"/>
                <w:b/>
                <w:bCs/>
                <w:lang w:eastAsia="zh-CN"/>
              </w:rPr>
              <w:t>C</w:t>
            </w:r>
            <w:r>
              <w:rPr>
                <w:rFonts w:ascii="Book Antiqua" w:eastAsia="宋体" w:hAnsi="Book Antiqua" w:cs="Book Antiqua"/>
                <w:b/>
                <w:bCs/>
              </w:rPr>
              <w:t>onventional therapy</w:t>
            </w:r>
          </w:p>
        </w:tc>
        <w:tc>
          <w:tcPr>
            <w:tcW w:w="2578" w:type="dxa"/>
            <w:tcBorders>
              <w:top w:val="single" w:sz="4" w:space="0" w:color="auto"/>
              <w:bottom w:val="single" w:sz="4" w:space="0" w:color="auto"/>
            </w:tcBorders>
            <w:shd w:val="clear" w:color="auto" w:fill="auto"/>
          </w:tcPr>
          <w:p w14:paraId="2468A6CC" w14:textId="06D76D02" w:rsidR="00DC7063" w:rsidRDefault="00B62DEE">
            <w:pPr>
              <w:wordWrap w:val="0"/>
              <w:autoSpaceDE w:val="0"/>
              <w:autoSpaceDN w:val="0"/>
              <w:adjustRightInd w:val="0"/>
              <w:spacing w:line="360" w:lineRule="auto"/>
              <w:rPr>
                <w:rFonts w:ascii="Book Antiqua" w:eastAsia="宋体" w:hAnsi="Book Antiqua" w:cs="Book Antiqua"/>
                <w:b/>
                <w:bCs/>
              </w:rPr>
            </w:pPr>
            <w:r>
              <w:rPr>
                <w:rFonts w:ascii="Book Antiqua" w:eastAsia="宋体" w:hAnsi="Book Antiqua" w:cs="Book Antiqua"/>
                <w:b/>
                <w:bCs/>
                <w:lang w:eastAsia="zh-CN"/>
              </w:rPr>
              <w:t>F</w:t>
            </w:r>
            <w:r>
              <w:rPr>
                <w:rFonts w:ascii="Book Antiqua" w:eastAsia="宋体" w:hAnsi="Book Antiqua" w:cs="Book Antiqua"/>
                <w:b/>
                <w:bCs/>
              </w:rPr>
              <w:t>requency of CD25+</w:t>
            </w:r>
            <w:r>
              <w:rPr>
                <w:rFonts w:ascii="Book Antiqua" w:eastAsia="宋体" w:hAnsi="Book Antiqua" w:cs="Book Antiqua"/>
                <w:b/>
                <w:bCs/>
                <w:lang w:eastAsia="zh-CN"/>
              </w:rPr>
              <w:t xml:space="preserve"> </w:t>
            </w:r>
            <w:r>
              <w:rPr>
                <w:rFonts w:ascii="Book Antiqua" w:eastAsia="宋体" w:hAnsi="Book Antiqua" w:cs="Book Antiqua"/>
                <w:b/>
                <w:bCs/>
              </w:rPr>
              <w:t>(</w:t>
            </w:r>
            <w:r>
              <w:rPr>
                <w:rFonts w:ascii="Book Antiqua" w:eastAsia="宋体" w:hAnsi="Book Antiqua" w:cs="Book Antiqua"/>
                <w:b/>
                <w:bCs/>
                <w:lang w:eastAsia="zh-CN"/>
              </w:rPr>
              <w:t>b</w:t>
            </w:r>
            <w:r>
              <w:rPr>
                <w:rFonts w:ascii="Book Antiqua" w:eastAsia="宋体" w:hAnsi="Book Antiqua" w:cs="Book Antiqua"/>
                <w:b/>
                <w:bCs/>
              </w:rPr>
              <w:t>efore therapy)</w:t>
            </w:r>
          </w:p>
        </w:tc>
        <w:tc>
          <w:tcPr>
            <w:tcW w:w="2755" w:type="dxa"/>
            <w:tcBorders>
              <w:top w:val="single" w:sz="4" w:space="0" w:color="auto"/>
              <w:bottom w:val="single" w:sz="4" w:space="0" w:color="auto"/>
            </w:tcBorders>
            <w:shd w:val="clear" w:color="auto" w:fill="auto"/>
          </w:tcPr>
          <w:p w14:paraId="5DD3B7B3" w14:textId="17F88DC2" w:rsidR="00DC7063" w:rsidRDefault="00B62DEE">
            <w:pPr>
              <w:wordWrap w:val="0"/>
              <w:autoSpaceDE w:val="0"/>
              <w:autoSpaceDN w:val="0"/>
              <w:adjustRightInd w:val="0"/>
              <w:spacing w:line="360" w:lineRule="auto"/>
              <w:rPr>
                <w:rFonts w:ascii="Book Antiqua" w:eastAsia="宋体" w:hAnsi="Book Antiqua" w:cs="Book Antiqua"/>
                <w:b/>
                <w:bCs/>
              </w:rPr>
            </w:pPr>
            <w:r>
              <w:rPr>
                <w:rFonts w:ascii="Book Antiqua" w:eastAsia="宋体" w:hAnsi="Book Antiqua" w:cs="Book Antiqua"/>
                <w:b/>
                <w:bCs/>
                <w:lang w:eastAsia="zh-CN"/>
              </w:rPr>
              <w:t>F</w:t>
            </w:r>
            <w:r>
              <w:rPr>
                <w:rFonts w:ascii="Book Antiqua" w:eastAsia="宋体" w:hAnsi="Book Antiqua" w:cs="Book Antiqua"/>
                <w:b/>
                <w:bCs/>
              </w:rPr>
              <w:t>requency of CD25+</w:t>
            </w:r>
            <w:r>
              <w:rPr>
                <w:rFonts w:ascii="Book Antiqua" w:eastAsia="宋体" w:hAnsi="Book Antiqua" w:cs="Book Antiqua"/>
                <w:b/>
                <w:bCs/>
                <w:lang w:eastAsia="zh-CN"/>
              </w:rPr>
              <w:t xml:space="preserve"> </w:t>
            </w:r>
            <w:r>
              <w:rPr>
                <w:rFonts w:ascii="Book Antiqua" w:eastAsia="宋体" w:hAnsi="Book Antiqua" w:cs="Book Antiqua"/>
                <w:b/>
                <w:bCs/>
              </w:rPr>
              <w:t>(</w:t>
            </w:r>
            <w:r>
              <w:rPr>
                <w:rFonts w:ascii="Book Antiqua" w:eastAsia="宋体" w:hAnsi="Book Antiqua" w:cs="Book Antiqua"/>
                <w:b/>
                <w:bCs/>
                <w:lang w:eastAsia="zh-CN"/>
              </w:rPr>
              <w:t>a</w:t>
            </w:r>
            <w:r>
              <w:rPr>
                <w:rFonts w:ascii="Book Antiqua" w:eastAsia="宋体" w:hAnsi="Book Antiqua" w:cs="Book Antiqua"/>
                <w:b/>
                <w:bCs/>
              </w:rPr>
              <w:t>fter IVIG treatment)</w:t>
            </w:r>
          </w:p>
        </w:tc>
      </w:tr>
      <w:tr w:rsidR="00DC7063" w14:paraId="7B5A27A5" w14:textId="77777777">
        <w:tc>
          <w:tcPr>
            <w:tcW w:w="1564" w:type="dxa"/>
            <w:tcBorders>
              <w:top w:val="single" w:sz="4" w:space="0" w:color="auto"/>
              <w:bottom w:val="nil"/>
              <w:tl2br w:val="nil"/>
            </w:tcBorders>
            <w:shd w:val="clear" w:color="auto" w:fill="auto"/>
          </w:tcPr>
          <w:p w14:paraId="60668AF2" w14:textId="77777777" w:rsidR="00DC7063" w:rsidRDefault="00B62DEE">
            <w:pPr>
              <w:wordWrap w:val="0"/>
              <w:autoSpaceDE w:val="0"/>
              <w:autoSpaceDN w:val="0"/>
              <w:adjustRightInd w:val="0"/>
              <w:spacing w:line="360" w:lineRule="auto"/>
              <w:rPr>
                <w:rFonts w:ascii="Book Antiqua" w:eastAsia="宋体" w:hAnsi="Book Antiqua" w:cs="Book Antiqua"/>
              </w:rPr>
            </w:pPr>
            <w:r>
              <w:rPr>
                <w:rFonts w:ascii="Book Antiqua" w:eastAsia="宋体" w:hAnsi="Book Antiqua" w:cs="Book Antiqua"/>
                <w:lang w:eastAsia="zh-CN"/>
              </w:rPr>
              <w:t>C</w:t>
            </w:r>
            <w:r>
              <w:rPr>
                <w:rFonts w:ascii="Book Antiqua" w:eastAsia="宋体" w:hAnsi="Book Antiqua" w:cs="Book Antiqua"/>
              </w:rPr>
              <w:t>ontrol group</w:t>
            </w:r>
          </w:p>
        </w:tc>
        <w:tc>
          <w:tcPr>
            <w:tcW w:w="927" w:type="dxa"/>
            <w:tcBorders>
              <w:top w:val="single" w:sz="4" w:space="0" w:color="auto"/>
              <w:bottom w:val="nil"/>
            </w:tcBorders>
            <w:shd w:val="clear" w:color="auto" w:fill="auto"/>
          </w:tcPr>
          <w:p w14:paraId="58ED4F43" w14:textId="77777777" w:rsidR="00DC7063" w:rsidRDefault="00B62DEE">
            <w:pPr>
              <w:wordWrap w:val="0"/>
              <w:autoSpaceDE w:val="0"/>
              <w:autoSpaceDN w:val="0"/>
              <w:adjustRightInd w:val="0"/>
              <w:spacing w:line="360" w:lineRule="auto"/>
              <w:rPr>
                <w:rFonts w:ascii="Book Antiqua" w:eastAsia="宋体" w:hAnsi="Book Antiqua" w:cs="Book Antiqua"/>
              </w:rPr>
            </w:pPr>
            <w:r>
              <w:rPr>
                <w:rStyle w:val="None"/>
                <w:rFonts w:ascii="Book Antiqua" w:eastAsia="宋体" w:hAnsi="Book Antiqua" w:cs="Book Antiqua"/>
                <w:lang w:eastAsia="zh-CN"/>
              </w:rPr>
              <w:t>(-)</w:t>
            </w:r>
          </w:p>
        </w:tc>
        <w:tc>
          <w:tcPr>
            <w:tcW w:w="1507" w:type="dxa"/>
            <w:tcBorders>
              <w:top w:val="single" w:sz="4" w:space="0" w:color="auto"/>
              <w:bottom w:val="nil"/>
            </w:tcBorders>
            <w:shd w:val="clear" w:color="auto" w:fill="auto"/>
          </w:tcPr>
          <w:p w14:paraId="2306A604" w14:textId="77777777" w:rsidR="00DC7063" w:rsidRDefault="00B62DEE">
            <w:pPr>
              <w:wordWrap w:val="0"/>
              <w:autoSpaceDE w:val="0"/>
              <w:autoSpaceDN w:val="0"/>
              <w:adjustRightInd w:val="0"/>
              <w:spacing w:line="360" w:lineRule="auto"/>
              <w:rPr>
                <w:rFonts w:ascii="Book Antiqua" w:eastAsia="宋体" w:hAnsi="Book Antiqua" w:cs="Book Antiqua"/>
              </w:rPr>
            </w:pPr>
            <w:r>
              <w:rPr>
                <w:rStyle w:val="None"/>
                <w:rFonts w:ascii="Book Antiqua" w:eastAsia="宋体" w:hAnsi="Book Antiqua" w:cs="Book Antiqua"/>
                <w:lang w:eastAsia="zh-CN"/>
              </w:rPr>
              <w:t>(+)</w:t>
            </w:r>
          </w:p>
        </w:tc>
        <w:tc>
          <w:tcPr>
            <w:tcW w:w="2578" w:type="dxa"/>
            <w:tcBorders>
              <w:top w:val="single" w:sz="4" w:space="0" w:color="auto"/>
              <w:bottom w:val="nil"/>
            </w:tcBorders>
            <w:shd w:val="clear" w:color="auto" w:fill="auto"/>
          </w:tcPr>
          <w:p w14:paraId="511BB7C7" w14:textId="77777777" w:rsidR="00DC7063" w:rsidRDefault="00B62DEE">
            <w:pPr>
              <w:wordWrap w:val="0"/>
              <w:autoSpaceDE w:val="0"/>
              <w:autoSpaceDN w:val="0"/>
              <w:adjustRightInd w:val="0"/>
              <w:spacing w:line="360" w:lineRule="auto"/>
              <w:rPr>
                <w:rFonts w:ascii="Book Antiqua" w:eastAsia="宋体" w:hAnsi="Book Antiqua" w:cs="Book Antiqua"/>
              </w:rPr>
            </w:pPr>
            <w:r>
              <w:rPr>
                <w:rFonts w:ascii="Book Antiqua" w:eastAsia="宋体" w:hAnsi="Book Antiqua" w:cs="Book Antiqua"/>
                <w:lang w:eastAsia="zh-CN"/>
              </w:rPr>
              <w:t>H</w:t>
            </w:r>
            <w:r>
              <w:rPr>
                <w:rFonts w:ascii="Book Antiqua" w:eastAsia="宋体" w:hAnsi="Book Antiqua" w:cs="Book Antiqua"/>
              </w:rPr>
              <w:t>igher</w:t>
            </w:r>
          </w:p>
        </w:tc>
        <w:tc>
          <w:tcPr>
            <w:tcW w:w="2755" w:type="dxa"/>
            <w:tcBorders>
              <w:top w:val="single" w:sz="4" w:space="0" w:color="auto"/>
              <w:bottom w:val="nil"/>
            </w:tcBorders>
            <w:shd w:val="clear" w:color="auto" w:fill="auto"/>
          </w:tcPr>
          <w:p w14:paraId="2F661C58" w14:textId="12DD4E7E" w:rsidR="00DC7063" w:rsidRDefault="00430ACF">
            <w:pPr>
              <w:wordWrap w:val="0"/>
              <w:autoSpaceDE w:val="0"/>
              <w:autoSpaceDN w:val="0"/>
              <w:adjustRightInd w:val="0"/>
              <w:spacing w:line="360" w:lineRule="auto"/>
              <w:rPr>
                <w:rFonts w:ascii="Book Antiqua" w:eastAsia="宋体" w:hAnsi="Book Antiqua" w:cs="Book Antiqua"/>
                <w:lang w:eastAsia="zh-CN"/>
              </w:rPr>
            </w:pPr>
            <w:r>
              <w:rPr>
                <w:rFonts w:ascii="Book Antiqua" w:eastAsia="宋体" w:hAnsi="Book Antiqua" w:cs="Book Antiqua" w:hint="eastAsia"/>
                <w:lang w:eastAsia="zh-CN"/>
              </w:rPr>
              <w:t>-</w:t>
            </w:r>
          </w:p>
        </w:tc>
      </w:tr>
      <w:tr w:rsidR="00DC7063" w14:paraId="143473A4" w14:textId="77777777">
        <w:tc>
          <w:tcPr>
            <w:tcW w:w="1564" w:type="dxa"/>
            <w:tcBorders>
              <w:top w:val="nil"/>
              <w:bottom w:val="single" w:sz="4" w:space="0" w:color="auto"/>
              <w:tl2br w:val="nil"/>
            </w:tcBorders>
            <w:shd w:val="clear" w:color="auto" w:fill="auto"/>
          </w:tcPr>
          <w:p w14:paraId="4CAFD050" w14:textId="77777777" w:rsidR="00DC7063" w:rsidRDefault="00B62DEE">
            <w:pPr>
              <w:wordWrap w:val="0"/>
              <w:autoSpaceDE w:val="0"/>
              <w:autoSpaceDN w:val="0"/>
              <w:adjustRightInd w:val="0"/>
              <w:spacing w:line="360" w:lineRule="auto"/>
              <w:rPr>
                <w:rFonts w:ascii="Book Antiqua" w:eastAsia="宋体" w:hAnsi="Book Antiqua" w:cs="Book Antiqua"/>
              </w:rPr>
            </w:pPr>
            <w:r>
              <w:rPr>
                <w:rFonts w:ascii="Book Antiqua" w:eastAsia="宋体" w:hAnsi="Book Antiqua" w:cs="Book Antiqua"/>
                <w:lang w:eastAsia="zh-CN"/>
              </w:rPr>
              <w:t>S</w:t>
            </w:r>
            <w:r>
              <w:rPr>
                <w:rFonts w:ascii="Book Antiqua" w:eastAsia="宋体" w:hAnsi="Book Antiqua" w:cs="Book Antiqua"/>
              </w:rPr>
              <w:t>tudy group</w:t>
            </w:r>
          </w:p>
        </w:tc>
        <w:tc>
          <w:tcPr>
            <w:tcW w:w="927" w:type="dxa"/>
            <w:tcBorders>
              <w:top w:val="nil"/>
              <w:bottom w:val="single" w:sz="4" w:space="0" w:color="auto"/>
            </w:tcBorders>
            <w:shd w:val="clear" w:color="auto" w:fill="auto"/>
          </w:tcPr>
          <w:p w14:paraId="0FD77225" w14:textId="77777777" w:rsidR="00DC7063" w:rsidRDefault="00B62DEE">
            <w:pPr>
              <w:wordWrap w:val="0"/>
              <w:autoSpaceDE w:val="0"/>
              <w:autoSpaceDN w:val="0"/>
              <w:adjustRightInd w:val="0"/>
              <w:spacing w:line="360" w:lineRule="auto"/>
              <w:rPr>
                <w:rFonts w:ascii="Book Antiqua" w:eastAsia="宋体" w:hAnsi="Book Antiqua" w:cs="Book Antiqua"/>
              </w:rPr>
            </w:pPr>
            <w:r>
              <w:rPr>
                <w:rStyle w:val="None"/>
                <w:rFonts w:ascii="Book Antiqua" w:eastAsia="宋体" w:hAnsi="Book Antiqua" w:cs="Book Antiqua"/>
                <w:lang w:eastAsia="zh-CN"/>
              </w:rPr>
              <w:t>(+)</w:t>
            </w:r>
          </w:p>
        </w:tc>
        <w:tc>
          <w:tcPr>
            <w:tcW w:w="1507" w:type="dxa"/>
            <w:tcBorders>
              <w:top w:val="nil"/>
              <w:bottom w:val="single" w:sz="4" w:space="0" w:color="auto"/>
            </w:tcBorders>
            <w:shd w:val="clear" w:color="auto" w:fill="auto"/>
          </w:tcPr>
          <w:p w14:paraId="5742AA31" w14:textId="77777777" w:rsidR="00DC7063" w:rsidRDefault="00B62DEE">
            <w:pPr>
              <w:wordWrap w:val="0"/>
              <w:autoSpaceDE w:val="0"/>
              <w:autoSpaceDN w:val="0"/>
              <w:adjustRightInd w:val="0"/>
              <w:spacing w:line="360" w:lineRule="auto"/>
              <w:rPr>
                <w:rFonts w:ascii="Book Antiqua" w:eastAsia="宋体" w:hAnsi="Book Antiqua" w:cs="Book Antiqua"/>
              </w:rPr>
            </w:pPr>
            <w:r>
              <w:rPr>
                <w:rStyle w:val="None"/>
                <w:rFonts w:ascii="Book Antiqua" w:eastAsia="宋体" w:hAnsi="Book Antiqua" w:cs="Book Antiqua"/>
                <w:lang w:eastAsia="zh-CN"/>
              </w:rPr>
              <w:t>(+)</w:t>
            </w:r>
          </w:p>
        </w:tc>
        <w:tc>
          <w:tcPr>
            <w:tcW w:w="2578" w:type="dxa"/>
            <w:tcBorders>
              <w:top w:val="nil"/>
              <w:bottom w:val="single" w:sz="4" w:space="0" w:color="auto"/>
            </w:tcBorders>
            <w:shd w:val="clear" w:color="auto" w:fill="auto"/>
          </w:tcPr>
          <w:p w14:paraId="3387EED8" w14:textId="0DE29B70" w:rsidR="00DC7063" w:rsidRDefault="00430ACF">
            <w:pPr>
              <w:wordWrap w:val="0"/>
              <w:autoSpaceDE w:val="0"/>
              <w:autoSpaceDN w:val="0"/>
              <w:adjustRightInd w:val="0"/>
              <w:spacing w:line="360" w:lineRule="auto"/>
              <w:rPr>
                <w:rFonts w:ascii="Book Antiqua" w:eastAsia="宋体" w:hAnsi="Book Antiqua" w:cs="Book Antiqua"/>
                <w:lang w:eastAsia="zh-CN"/>
              </w:rPr>
            </w:pPr>
            <w:r>
              <w:rPr>
                <w:rFonts w:ascii="Book Antiqua" w:eastAsia="宋体" w:hAnsi="Book Antiqua" w:cs="Book Antiqua" w:hint="eastAsia"/>
                <w:lang w:eastAsia="zh-CN"/>
              </w:rPr>
              <w:t>-</w:t>
            </w:r>
          </w:p>
        </w:tc>
        <w:tc>
          <w:tcPr>
            <w:tcW w:w="2755" w:type="dxa"/>
            <w:tcBorders>
              <w:top w:val="nil"/>
              <w:bottom w:val="single" w:sz="4" w:space="0" w:color="auto"/>
            </w:tcBorders>
            <w:shd w:val="clear" w:color="auto" w:fill="auto"/>
          </w:tcPr>
          <w:p w14:paraId="00E2B488" w14:textId="77777777" w:rsidR="00DC7063" w:rsidRDefault="00B62DEE">
            <w:pPr>
              <w:wordWrap w:val="0"/>
              <w:autoSpaceDE w:val="0"/>
              <w:autoSpaceDN w:val="0"/>
              <w:adjustRightInd w:val="0"/>
              <w:spacing w:line="360" w:lineRule="auto"/>
              <w:rPr>
                <w:rFonts w:ascii="Book Antiqua" w:eastAsia="宋体" w:hAnsi="Book Antiqua" w:cs="Book Antiqua"/>
              </w:rPr>
            </w:pPr>
            <w:r>
              <w:rPr>
                <w:rFonts w:ascii="Book Antiqua" w:eastAsia="宋体" w:hAnsi="Book Antiqua" w:cs="Book Antiqua"/>
                <w:lang w:eastAsia="zh-CN"/>
              </w:rPr>
              <w:t>H</w:t>
            </w:r>
            <w:r>
              <w:rPr>
                <w:rFonts w:ascii="Book Antiqua" w:eastAsia="宋体" w:hAnsi="Book Antiqua" w:cs="Book Antiqua"/>
              </w:rPr>
              <w:t>igher</w:t>
            </w:r>
          </w:p>
        </w:tc>
      </w:tr>
    </w:tbl>
    <w:p w14:paraId="3B4510D4" w14:textId="06B593EA" w:rsidR="00E779C7" w:rsidRDefault="00B62DEE">
      <w:pPr>
        <w:spacing w:line="360" w:lineRule="auto"/>
        <w:jc w:val="both"/>
        <w:rPr>
          <w:rStyle w:val="16"/>
          <w:rFonts w:ascii="Book Antiqua" w:eastAsia="宋体" w:hAnsi="Book Antiqua" w:cs="Book Antiqua"/>
          <w:color w:val="000000"/>
          <w:lang w:eastAsia="zh-CN"/>
        </w:rPr>
      </w:pPr>
      <w:r>
        <w:rPr>
          <w:rStyle w:val="16"/>
          <w:rFonts w:ascii="Book Antiqua" w:eastAsia="宋体" w:hAnsi="Book Antiqua" w:cs="Book Antiqua"/>
          <w:color w:val="000000"/>
          <w:lang w:eastAsia="zh-CN"/>
        </w:rPr>
        <w:t>CD25: Cluster of differentiation 25; IVIG: I</w:t>
      </w:r>
      <w:r>
        <w:rPr>
          <w:rStyle w:val="16"/>
          <w:rFonts w:ascii="Book Antiqua" w:eastAsia="Book Antiqua" w:hAnsi="Book Antiqua" w:cs="Book Antiqua"/>
          <w:color w:val="000000"/>
        </w:rPr>
        <w:t>ntravenous immunoglobulin</w:t>
      </w:r>
      <w:r>
        <w:rPr>
          <w:rStyle w:val="16"/>
          <w:rFonts w:ascii="Book Antiqua" w:eastAsia="宋体" w:hAnsi="Book Antiqua" w:cs="Book Antiqua"/>
          <w:color w:val="000000"/>
          <w:lang w:eastAsia="zh-CN"/>
        </w:rPr>
        <w:t>.</w:t>
      </w:r>
    </w:p>
    <w:p w14:paraId="7EF81AEC" w14:textId="77777777" w:rsidR="00E779C7" w:rsidRDefault="00E779C7">
      <w:pPr>
        <w:rPr>
          <w:rStyle w:val="16"/>
          <w:rFonts w:ascii="Book Antiqua" w:eastAsia="宋体" w:hAnsi="Book Antiqua" w:cs="Book Antiqua"/>
          <w:color w:val="000000"/>
          <w:lang w:eastAsia="zh-CN"/>
        </w:rPr>
      </w:pPr>
      <w:r>
        <w:rPr>
          <w:rStyle w:val="16"/>
          <w:rFonts w:ascii="Book Antiqua" w:eastAsia="宋体" w:hAnsi="Book Antiqua" w:cs="Book Antiqua"/>
          <w:color w:val="000000"/>
          <w:lang w:eastAsia="zh-CN"/>
        </w:rPr>
        <w:br w:type="page"/>
      </w:r>
    </w:p>
    <w:p w14:paraId="3F3545A0" w14:textId="77777777" w:rsidR="00E779C7" w:rsidRDefault="00E779C7" w:rsidP="00E779C7">
      <w:pPr>
        <w:jc w:val="center"/>
        <w:rPr>
          <w:rFonts w:ascii="Book Antiqua" w:hAnsi="Book Antiqua"/>
        </w:rPr>
      </w:pPr>
      <w:bookmarkStart w:id="5" w:name="_GoBack"/>
    </w:p>
    <w:p w14:paraId="79BCE8A2" w14:textId="77777777" w:rsidR="00E779C7" w:rsidRDefault="00E779C7" w:rsidP="00E779C7">
      <w:pPr>
        <w:jc w:val="center"/>
        <w:rPr>
          <w:rFonts w:ascii="Book Antiqua" w:hAnsi="Book Antiqua"/>
        </w:rPr>
      </w:pPr>
    </w:p>
    <w:p w14:paraId="5F358310" w14:textId="77777777" w:rsidR="00E779C7" w:rsidRDefault="00E779C7" w:rsidP="00E779C7">
      <w:pPr>
        <w:jc w:val="center"/>
        <w:rPr>
          <w:rFonts w:ascii="Book Antiqua" w:hAnsi="Book Antiqua"/>
        </w:rPr>
      </w:pPr>
    </w:p>
    <w:p w14:paraId="22F1F287" w14:textId="77777777" w:rsidR="00E779C7" w:rsidRDefault="00E779C7" w:rsidP="00E779C7">
      <w:pPr>
        <w:jc w:val="center"/>
        <w:rPr>
          <w:rFonts w:ascii="Book Antiqua" w:hAnsi="Book Antiqua"/>
        </w:rPr>
      </w:pPr>
    </w:p>
    <w:p w14:paraId="36F1E63B" w14:textId="77777777" w:rsidR="00E779C7" w:rsidRDefault="00E779C7" w:rsidP="00E779C7">
      <w:pPr>
        <w:jc w:val="center"/>
        <w:rPr>
          <w:rFonts w:ascii="Book Antiqua" w:hAnsi="Book Antiqua"/>
        </w:rPr>
      </w:pPr>
    </w:p>
    <w:p w14:paraId="791A4052" w14:textId="3E593B57" w:rsidR="00E779C7" w:rsidRDefault="00E779C7" w:rsidP="00E779C7">
      <w:pPr>
        <w:jc w:val="center"/>
        <w:rPr>
          <w:rFonts w:ascii="Book Antiqua" w:hAnsi="Book Antiqua"/>
        </w:rPr>
      </w:pPr>
      <w:r>
        <w:rPr>
          <w:rFonts w:ascii="Book Antiqua" w:hAnsi="Book Antiqua"/>
          <w:noProof/>
          <w:lang w:eastAsia="zh-CN"/>
        </w:rPr>
        <w:drawing>
          <wp:inline distT="0" distB="0" distL="0" distR="0" wp14:anchorId="6BDD0CF7" wp14:editId="65851A92">
            <wp:extent cx="2499995" cy="1438910"/>
            <wp:effectExtent l="0" t="0" r="0" b="889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9995" cy="1438910"/>
                    </a:xfrm>
                    <a:prstGeom prst="rect">
                      <a:avLst/>
                    </a:prstGeom>
                    <a:noFill/>
                    <a:ln>
                      <a:noFill/>
                    </a:ln>
                  </pic:spPr>
                </pic:pic>
              </a:graphicData>
            </a:graphic>
          </wp:inline>
        </w:drawing>
      </w:r>
    </w:p>
    <w:p w14:paraId="7F22704A" w14:textId="77777777" w:rsidR="00E779C7" w:rsidRDefault="00E779C7" w:rsidP="00E779C7">
      <w:pPr>
        <w:jc w:val="center"/>
        <w:rPr>
          <w:rFonts w:ascii="Book Antiqua" w:hAnsi="Book Antiqua"/>
        </w:rPr>
      </w:pPr>
    </w:p>
    <w:p w14:paraId="673AB34D" w14:textId="77777777" w:rsidR="00E779C7" w:rsidRDefault="00E779C7" w:rsidP="00E779C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1FD8AE1" w14:textId="77777777" w:rsidR="00E779C7" w:rsidRDefault="00E779C7" w:rsidP="00E779C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6C5C7E3" w14:textId="77777777" w:rsidR="00E779C7" w:rsidRDefault="00E779C7" w:rsidP="00E779C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C920363" w14:textId="77777777" w:rsidR="00E779C7" w:rsidRDefault="00E779C7" w:rsidP="00E779C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898E873" w14:textId="77777777" w:rsidR="00E779C7" w:rsidRDefault="00E779C7" w:rsidP="00E779C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D1A4470" w14:textId="77777777" w:rsidR="00E779C7" w:rsidRDefault="00E779C7" w:rsidP="00E779C7">
      <w:pPr>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14:paraId="53C07386" w14:textId="77777777" w:rsidR="00E779C7" w:rsidRDefault="00E779C7" w:rsidP="00E779C7">
      <w:pPr>
        <w:jc w:val="center"/>
        <w:rPr>
          <w:rFonts w:ascii="Book Antiqua" w:hAnsi="Book Antiqua"/>
        </w:rPr>
      </w:pPr>
    </w:p>
    <w:p w14:paraId="191CB8AB" w14:textId="77777777" w:rsidR="00E779C7" w:rsidRDefault="00E779C7" w:rsidP="00E779C7">
      <w:pPr>
        <w:jc w:val="center"/>
        <w:rPr>
          <w:rFonts w:ascii="Book Antiqua" w:hAnsi="Book Antiqua"/>
        </w:rPr>
      </w:pPr>
    </w:p>
    <w:p w14:paraId="7DE53B8E" w14:textId="77777777" w:rsidR="00E779C7" w:rsidRDefault="00E779C7" w:rsidP="00E779C7">
      <w:pPr>
        <w:jc w:val="center"/>
        <w:rPr>
          <w:rFonts w:ascii="Book Antiqua" w:hAnsi="Book Antiqua"/>
        </w:rPr>
      </w:pPr>
    </w:p>
    <w:p w14:paraId="5E2AA2B5" w14:textId="10E35948" w:rsidR="00E779C7" w:rsidRDefault="00E779C7" w:rsidP="00E779C7">
      <w:pPr>
        <w:jc w:val="center"/>
        <w:rPr>
          <w:rFonts w:ascii="Book Antiqua" w:hAnsi="Book Antiqua"/>
        </w:rPr>
      </w:pPr>
      <w:r>
        <w:rPr>
          <w:rFonts w:ascii="Book Antiqua" w:hAnsi="Book Antiqua"/>
          <w:noProof/>
          <w:lang w:eastAsia="zh-CN"/>
        </w:rPr>
        <w:drawing>
          <wp:inline distT="0" distB="0" distL="0" distR="0" wp14:anchorId="1A475FDC" wp14:editId="2CF367D6">
            <wp:extent cx="1445260" cy="1438910"/>
            <wp:effectExtent l="0" t="0" r="2540" b="8890"/>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5260" cy="1438910"/>
                    </a:xfrm>
                    <a:prstGeom prst="rect">
                      <a:avLst/>
                    </a:prstGeom>
                    <a:noFill/>
                    <a:ln>
                      <a:noFill/>
                    </a:ln>
                  </pic:spPr>
                </pic:pic>
              </a:graphicData>
            </a:graphic>
          </wp:inline>
        </w:drawing>
      </w:r>
    </w:p>
    <w:p w14:paraId="24B0D7CA" w14:textId="77777777" w:rsidR="00E779C7" w:rsidRDefault="00E779C7" w:rsidP="00E779C7">
      <w:pPr>
        <w:jc w:val="center"/>
        <w:rPr>
          <w:rFonts w:ascii="Book Antiqua" w:hAnsi="Book Antiqua"/>
        </w:rPr>
      </w:pPr>
    </w:p>
    <w:p w14:paraId="2F5338A6" w14:textId="77777777" w:rsidR="00E779C7" w:rsidRDefault="00E779C7" w:rsidP="00E779C7">
      <w:pPr>
        <w:jc w:val="center"/>
        <w:rPr>
          <w:rFonts w:ascii="Book Antiqua" w:hAnsi="Book Antiqua"/>
        </w:rPr>
      </w:pPr>
    </w:p>
    <w:p w14:paraId="26B11119" w14:textId="77777777" w:rsidR="00E779C7" w:rsidRDefault="00E779C7" w:rsidP="00E779C7">
      <w:pPr>
        <w:jc w:val="center"/>
        <w:rPr>
          <w:rFonts w:ascii="Book Antiqua" w:hAnsi="Book Antiqua"/>
        </w:rPr>
      </w:pPr>
    </w:p>
    <w:p w14:paraId="71E9A8EC" w14:textId="77777777" w:rsidR="00E779C7" w:rsidRDefault="00E779C7" w:rsidP="00E779C7">
      <w:pPr>
        <w:jc w:val="center"/>
        <w:rPr>
          <w:rFonts w:ascii="Book Antiqua" w:hAnsi="Book Antiqua"/>
        </w:rPr>
      </w:pPr>
    </w:p>
    <w:p w14:paraId="165577E4" w14:textId="77777777" w:rsidR="00E779C7" w:rsidRDefault="00E779C7" w:rsidP="00E779C7">
      <w:pPr>
        <w:jc w:val="right"/>
        <w:rPr>
          <w:rFonts w:ascii="Book Antiqua" w:hAnsi="Book Antiqua"/>
          <w:color w:val="000000" w:themeColor="text1"/>
        </w:rPr>
      </w:pPr>
    </w:p>
    <w:p w14:paraId="67E5176E" w14:textId="77777777" w:rsidR="00E779C7" w:rsidRDefault="00E779C7" w:rsidP="00E779C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AC0D13E" w14:textId="77777777" w:rsidR="00E779C7" w:rsidRDefault="00E779C7" w:rsidP="00E779C7">
      <w:pPr>
        <w:snapToGrid w:val="0"/>
        <w:spacing w:line="360" w:lineRule="auto"/>
        <w:rPr>
          <w:rFonts w:asciiTheme="minorEastAsia" w:hAnsiTheme="minorEastAsia"/>
          <w:b/>
        </w:rPr>
      </w:pPr>
    </w:p>
    <w:bookmarkEnd w:id="5"/>
    <w:p w14:paraId="2E9434AD" w14:textId="77777777" w:rsidR="00DC7063" w:rsidRPr="00E779C7" w:rsidRDefault="00DC7063">
      <w:pPr>
        <w:spacing w:line="360" w:lineRule="auto"/>
        <w:jc w:val="both"/>
        <w:rPr>
          <w:rStyle w:val="15"/>
          <w:rFonts w:ascii="Book Antiqua" w:eastAsia="宋体" w:hAnsi="Book Antiqua" w:cs="Book Antiqua"/>
          <w:color w:val="000000"/>
          <w:lang w:eastAsia="zh-CN"/>
        </w:rPr>
      </w:pPr>
    </w:p>
    <w:sectPr w:rsidR="00DC7063" w:rsidRPr="00E779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03F08" w14:textId="77777777" w:rsidR="00264850" w:rsidRDefault="00264850">
      <w:r>
        <w:separator/>
      </w:r>
    </w:p>
  </w:endnote>
  <w:endnote w:type="continuationSeparator" w:id="0">
    <w:p w14:paraId="1C377F17" w14:textId="77777777" w:rsidR="00264850" w:rsidRDefault="00264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2293"/>
    </w:sdtPr>
    <w:sdtEndPr>
      <w:rPr>
        <w:rFonts w:ascii="Book Antiqua" w:hAnsi="Book Antiqua"/>
        <w:sz w:val="24"/>
        <w:szCs w:val="24"/>
      </w:rPr>
    </w:sdtEndPr>
    <w:sdtContent>
      <w:sdt>
        <w:sdtPr>
          <w:id w:val="-1286336940"/>
        </w:sdtPr>
        <w:sdtEndPr>
          <w:rPr>
            <w:rFonts w:ascii="Book Antiqua" w:hAnsi="Book Antiqua"/>
            <w:sz w:val="24"/>
            <w:szCs w:val="24"/>
          </w:rPr>
        </w:sdtEndPr>
        <w:sdtContent>
          <w:p w14:paraId="505AB246" w14:textId="77777777" w:rsidR="00DC7063" w:rsidRDefault="00B62DEE">
            <w:pPr>
              <w:pStyle w:val="a5"/>
              <w:jc w:val="right"/>
              <w:rPr>
                <w:rFonts w:ascii="Book Antiqua" w:hAnsi="Book Antiqua"/>
                <w:sz w:val="24"/>
                <w:szCs w:val="24"/>
              </w:rPr>
            </w:pPr>
            <w:r>
              <w:rPr>
                <w:rFonts w:ascii="Book Antiqua" w:hAnsi="Book Antiqua"/>
                <w:sz w:val="24"/>
                <w:szCs w:val="24"/>
                <w:lang w:val="zh-CN" w:eastAsia="zh-CN"/>
              </w:rPr>
              <w:t xml:space="preserve"> </w:t>
            </w:r>
            <w:r w:rsidRPr="00282B37">
              <w:rPr>
                <w:rFonts w:ascii="Book Antiqua" w:hAnsi="Book Antiqua"/>
                <w:sz w:val="24"/>
                <w:szCs w:val="24"/>
              </w:rPr>
              <w:fldChar w:fldCharType="begin"/>
            </w:r>
            <w:r w:rsidRPr="00282B37">
              <w:rPr>
                <w:rFonts w:ascii="Book Antiqua" w:hAnsi="Book Antiqua"/>
                <w:sz w:val="24"/>
                <w:szCs w:val="24"/>
              </w:rPr>
              <w:instrText>PAGE</w:instrText>
            </w:r>
            <w:r w:rsidRPr="00282B37">
              <w:rPr>
                <w:rFonts w:ascii="Book Antiqua" w:hAnsi="Book Antiqua"/>
                <w:sz w:val="24"/>
                <w:szCs w:val="24"/>
              </w:rPr>
              <w:fldChar w:fldCharType="separate"/>
            </w:r>
            <w:r w:rsidR="00E779C7">
              <w:rPr>
                <w:rFonts w:ascii="Book Antiqua" w:hAnsi="Book Antiqua"/>
                <w:noProof/>
                <w:sz w:val="24"/>
                <w:szCs w:val="24"/>
              </w:rPr>
              <w:t>22</w:t>
            </w:r>
            <w:r w:rsidRPr="00282B37">
              <w:rPr>
                <w:rFonts w:ascii="Book Antiqua" w:hAnsi="Book Antiqua"/>
                <w:sz w:val="24"/>
                <w:szCs w:val="24"/>
              </w:rPr>
              <w:fldChar w:fldCharType="end"/>
            </w:r>
            <w:r>
              <w:rPr>
                <w:rFonts w:ascii="Book Antiqua" w:hAnsi="Book Antiqua"/>
                <w:sz w:val="24"/>
                <w:szCs w:val="24"/>
                <w:lang w:val="zh-CN" w:eastAsia="zh-CN"/>
              </w:rPr>
              <w:t xml:space="preserve"> / </w:t>
            </w:r>
            <w:r w:rsidRPr="00282B37">
              <w:rPr>
                <w:rFonts w:ascii="Book Antiqua" w:hAnsi="Book Antiqua"/>
                <w:sz w:val="24"/>
                <w:szCs w:val="24"/>
              </w:rPr>
              <w:fldChar w:fldCharType="begin"/>
            </w:r>
            <w:r w:rsidRPr="00282B37">
              <w:rPr>
                <w:rFonts w:ascii="Book Antiqua" w:hAnsi="Book Antiqua"/>
                <w:sz w:val="24"/>
                <w:szCs w:val="24"/>
              </w:rPr>
              <w:instrText>NUMPAGES</w:instrText>
            </w:r>
            <w:r w:rsidRPr="00282B37">
              <w:rPr>
                <w:rFonts w:ascii="Book Antiqua" w:hAnsi="Book Antiqua"/>
                <w:sz w:val="24"/>
                <w:szCs w:val="24"/>
              </w:rPr>
              <w:fldChar w:fldCharType="separate"/>
            </w:r>
            <w:r w:rsidR="00E779C7">
              <w:rPr>
                <w:rFonts w:ascii="Book Antiqua" w:hAnsi="Book Antiqua"/>
                <w:noProof/>
                <w:sz w:val="24"/>
                <w:szCs w:val="24"/>
              </w:rPr>
              <w:t>22</w:t>
            </w:r>
            <w:r w:rsidRPr="00282B37">
              <w:rPr>
                <w:rFonts w:ascii="Book Antiqua" w:hAnsi="Book Antiqua"/>
                <w:sz w:val="24"/>
                <w:szCs w:val="24"/>
              </w:rPr>
              <w:fldChar w:fldCharType="end"/>
            </w:r>
          </w:p>
        </w:sdtContent>
      </w:sdt>
    </w:sdtContent>
  </w:sdt>
  <w:p w14:paraId="427613B4" w14:textId="77777777" w:rsidR="00DC7063" w:rsidRDefault="00DC706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6BD76" w14:textId="77777777" w:rsidR="00264850" w:rsidRDefault="00264850">
      <w:r>
        <w:separator/>
      </w:r>
    </w:p>
  </w:footnote>
  <w:footnote w:type="continuationSeparator" w:id="0">
    <w:p w14:paraId="52C43DF7" w14:textId="77777777" w:rsidR="00264850" w:rsidRDefault="002648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bordersDoNotSurroundHeader/>
  <w:bordersDoNotSurroundFooter/>
  <w:proofState w:spelling="clean" w:grammar="clean"/>
  <w:defaultTabStop w:val="7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FFB32989"/>
    <w:rsid w:val="00024722"/>
    <w:rsid w:val="00071B05"/>
    <w:rsid w:val="000812C3"/>
    <w:rsid w:val="00116194"/>
    <w:rsid w:val="00173060"/>
    <w:rsid w:val="0018163E"/>
    <w:rsid w:val="001F5F76"/>
    <w:rsid w:val="00264850"/>
    <w:rsid w:val="00282B37"/>
    <w:rsid w:val="00295E1B"/>
    <w:rsid w:val="00356D46"/>
    <w:rsid w:val="00394BB9"/>
    <w:rsid w:val="0040284C"/>
    <w:rsid w:val="00430ACF"/>
    <w:rsid w:val="00481E50"/>
    <w:rsid w:val="00491556"/>
    <w:rsid w:val="00501B68"/>
    <w:rsid w:val="005C56FA"/>
    <w:rsid w:val="006F3533"/>
    <w:rsid w:val="00851532"/>
    <w:rsid w:val="00860186"/>
    <w:rsid w:val="008744A4"/>
    <w:rsid w:val="008863D6"/>
    <w:rsid w:val="008B480C"/>
    <w:rsid w:val="008F5354"/>
    <w:rsid w:val="00942887"/>
    <w:rsid w:val="00A65E81"/>
    <w:rsid w:val="00A77B3E"/>
    <w:rsid w:val="00AB0186"/>
    <w:rsid w:val="00AB154E"/>
    <w:rsid w:val="00AB62B8"/>
    <w:rsid w:val="00B62DEE"/>
    <w:rsid w:val="00B73F66"/>
    <w:rsid w:val="00B81EAA"/>
    <w:rsid w:val="00B84B8D"/>
    <w:rsid w:val="00CA25A0"/>
    <w:rsid w:val="00CA2A55"/>
    <w:rsid w:val="00D55AA8"/>
    <w:rsid w:val="00DA1845"/>
    <w:rsid w:val="00DC7063"/>
    <w:rsid w:val="00E05F72"/>
    <w:rsid w:val="00E24B03"/>
    <w:rsid w:val="00E526C4"/>
    <w:rsid w:val="00E779C7"/>
    <w:rsid w:val="00EE03EB"/>
    <w:rsid w:val="00EF155B"/>
    <w:rsid w:val="00F55283"/>
    <w:rsid w:val="00FF5C8A"/>
    <w:rsid w:val="1E43351C"/>
    <w:rsid w:val="3868683F"/>
    <w:rsid w:val="5BFC9D9F"/>
    <w:rsid w:val="76B44B4B"/>
    <w:rsid w:val="775C169B"/>
    <w:rsid w:val="7C79A5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DD0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Pr>
      <w:b/>
      <w:bCs/>
      <w:sz w:val="20"/>
      <w:szCs w:val="20"/>
    </w:rPr>
  </w:style>
  <w:style w:type="paragraph" w:styleId="a4">
    <w:name w:val="annotation text"/>
    <w:basedOn w:val="a"/>
    <w:link w:val="Char0"/>
    <w:qFormat/>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character" w:styleId="a7">
    <w:name w:val="annotation reference"/>
    <w:basedOn w:val="a0"/>
    <w:qFormat/>
    <w:rPr>
      <w:sz w:val="16"/>
      <w:szCs w:val="16"/>
    </w:rPr>
  </w:style>
  <w:style w:type="character" w:customStyle="1" w:styleId="15">
    <w:name w:val="15"/>
    <w:basedOn w:val="a0"/>
    <w:qFormat/>
  </w:style>
  <w:style w:type="character" w:customStyle="1" w:styleId="17">
    <w:name w:val="17"/>
    <w:basedOn w:val="a0"/>
    <w:qFormat/>
  </w:style>
  <w:style w:type="character" w:customStyle="1" w:styleId="16">
    <w:name w:val="16"/>
    <w:basedOn w:val="a0"/>
    <w:qFormat/>
  </w:style>
  <w:style w:type="character" w:customStyle="1" w:styleId="10">
    <w:name w:val="10"/>
    <w:basedOn w:val="a0"/>
    <w:qFormat/>
    <w:rPr>
      <w:rFonts w:ascii="Times New Roman" w:hAnsi="Times New Roman" w:cs="Times New Roman" w:hint="default"/>
    </w:rPr>
  </w:style>
  <w:style w:type="character" w:customStyle="1" w:styleId="None">
    <w:name w:val="None"/>
    <w:basedOn w:val="a0"/>
    <w:qFormat/>
  </w:style>
  <w:style w:type="character" w:customStyle="1" w:styleId="Hyperlink0">
    <w:name w:val="Hyperlink.0"/>
    <w:basedOn w:val="None"/>
    <w:qFormat/>
    <w:rPr>
      <w:rFonts w:ascii="Times New Roman" w:eastAsia="Times New Roman" w:hAnsi="Times New Roman" w:cs="Times New Roman"/>
      <w:color w:val="000000"/>
      <w:sz w:val="22"/>
      <w:szCs w:val="22"/>
      <w:u w:color="000000"/>
    </w:rPr>
  </w:style>
  <w:style w:type="table" w:customStyle="1" w:styleId="TableNormal1">
    <w:name w:val="Table Normal1"/>
    <w:qFormat/>
    <w:tblPr>
      <w:tblCellMar>
        <w:top w:w="0" w:type="dxa"/>
        <w:left w:w="0" w:type="dxa"/>
        <w:bottom w:w="0" w:type="dxa"/>
        <w:right w:w="0" w:type="dxa"/>
      </w:tblCellMar>
    </w:tblPr>
  </w:style>
  <w:style w:type="character" w:customStyle="1" w:styleId="Char2">
    <w:name w:val="页眉 Char"/>
    <w:basedOn w:val="a0"/>
    <w:link w:val="a6"/>
    <w:qFormat/>
    <w:rPr>
      <w:rFonts w:ascii="Times New Roman" w:eastAsia="Times New Roman" w:hAnsi="Times New Roman" w:cs="Times New Roman"/>
      <w:sz w:val="18"/>
      <w:szCs w:val="18"/>
      <w:lang w:eastAsia="en-US"/>
    </w:rPr>
  </w:style>
  <w:style w:type="character" w:customStyle="1" w:styleId="Char1">
    <w:name w:val="页脚 Char"/>
    <w:basedOn w:val="a0"/>
    <w:link w:val="a5"/>
    <w:uiPriority w:val="99"/>
    <w:qFormat/>
    <w:rPr>
      <w:rFonts w:ascii="Times New Roman" w:eastAsia="Times New Roman" w:hAnsi="Times New Roman" w:cs="Times New Roman"/>
      <w:sz w:val="18"/>
      <w:szCs w:val="18"/>
      <w:lang w:eastAsia="en-US"/>
    </w:rPr>
  </w:style>
  <w:style w:type="character" w:customStyle="1" w:styleId="Char0">
    <w:name w:val="批注文字 Char"/>
    <w:basedOn w:val="a0"/>
    <w:link w:val="a4"/>
    <w:qFormat/>
    <w:rPr>
      <w:rFonts w:ascii="Times New Roman" w:eastAsia="Times New Roman" w:hAnsi="Times New Roman" w:cs="Times New Roman"/>
      <w:sz w:val="24"/>
      <w:szCs w:val="24"/>
      <w:lang w:eastAsia="en-US"/>
    </w:rPr>
  </w:style>
  <w:style w:type="character" w:customStyle="1" w:styleId="Char">
    <w:name w:val="批注主题 Char"/>
    <w:basedOn w:val="Char0"/>
    <w:link w:val="a3"/>
    <w:semiHidden/>
    <w:qFormat/>
    <w:rPr>
      <w:rFonts w:ascii="Times New Roman" w:eastAsia="Times New Roman" w:hAnsi="Times New Roman" w:cs="Times New Roman"/>
      <w:b/>
      <w:bCs/>
      <w:sz w:val="24"/>
      <w:szCs w:val="24"/>
      <w:lang w:eastAsia="en-US"/>
    </w:rPr>
  </w:style>
  <w:style w:type="paragraph" w:styleId="a8">
    <w:name w:val="Balloon Text"/>
    <w:basedOn w:val="a"/>
    <w:link w:val="Char3"/>
    <w:semiHidden/>
    <w:unhideWhenUsed/>
    <w:rsid w:val="00F55283"/>
    <w:rPr>
      <w:sz w:val="18"/>
      <w:szCs w:val="18"/>
    </w:rPr>
  </w:style>
  <w:style w:type="character" w:customStyle="1" w:styleId="Char3">
    <w:name w:val="批注框文本 Char"/>
    <w:basedOn w:val="a0"/>
    <w:link w:val="a8"/>
    <w:semiHidden/>
    <w:rsid w:val="00F55283"/>
    <w:rPr>
      <w:rFonts w:ascii="Times New Roman" w:eastAsia="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Pr>
      <w:b/>
      <w:bCs/>
      <w:sz w:val="20"/>
      <w:szCs w:val="20"/>
    </w:rPr>
  </w:style>
  <w:style w:type="paragraph" w:styleId="a4">
    <w:name w:val="annotation text"/>
    <w:basedOn w:val="a"/>
    <w:link w:val="Char0"/>
    <w:qFormat/>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character" w:styleId="a7">
    <w:name w:val="annotation reference"/>
    <w:basedOn w:val="a0"/>
    <w:qFormat/>
    <w:rPr>
      <w:sz w:val="16"/>
      <w:szCs w:val="16"/>
    </w:rPr>
  </w:style>
  <w:style w:type="character" w:customStyle="1" w:styleId="15">
    <w:name w:val="15"/>
    <w:basedOn w:val="a0"/>
    <w:qFormat/>
  </w:style>
  <w:style w:type="character" w:customStyle="1" w:styleId="17">
    <w:name w:val="17"/>
    <w:basedOn w:val="a0"/>
    <w:qFormat/>
  </w:style>
  <w:style w:type="character" w:customStyle="1" w:styleId="16">
    <w:name w:val="16"/>
    <w:basedOn w:val="a0"/>
    <w:qFormat/>
  </w:style>
  <w:style w:type="character" w:customStyle="1" w:styleId="10">
    <w:name w:val="10"/>
    <w:basedOn w:val="a0"/>
    <w:qFormat/>
    <w:rPr>
      <w:rFonts w:ascii="Times New Roman" w:hAnsi="Times New Roman" w:cs="Times New Roman" w:hint="default"/>
    </w:rPr>
  </w:style>
  <w:style w:type="character" w:customStyle="1" w:styleId="None">
    <w:name w:val="None"/>
    <w:basedOn w:val="a0"/>
    <w:qFormat/>
  </w:style>
  <w:style w:type="character" w:customStyle="1" w:styleId="Hyperlink0">
    <w:name w:val="Hyperlink.0"/>
    <w:basedOn w:val="None"/>
    <w:qFormat/>
    <w:rPr>
      <w:rFonts w:ascii="Times New Roman" w:eastAsia="Times New Roman" w:hAnsi="Times New Roman" w:cs="Times New Roman"/>
      <w:color w:val="000000"/>
      <w:sz w:val="22"/>
      <w:szCs w:val="22"/>
      <w:u w:color="000000"/>
    </w:rPr>
  </w:style>
  <w:style w:type="table" w:customStyle="1" w:styleId="TableNormal1">
    <w:name w:val="Table Normal1"/>
    <w:qFormat/>
    <w:tblPr>
      <w:tblCellMar>
        <w:top w:w="0" w:type="dxa"/>
        <w:left w:w="0" w:type="dxa"/>
        <w:bottom w:w="0" w:type="dxa"/>
        <w:right w:w="0" w:type="dxa"/>
      </w:tblCellMar>
    </w:tblPr>
  </w:style>
  <w:style w:type="character" w:customStyle="1" w:styleId="Char2">
    <w:name w:val="页眉 Char"/>
    <w:basedOn w:val="a0"/>
    <w:link w:val="a6"/>
    <w:qFormat/>
    <w:rPr>
      <w:rFonts w:ascii="Times New Roman" w:eastAsia="Times New Roman" w:hAnsi="Times New Roman" w:cs="Times New Roman"/>
      <w:sz w:val="18"/>
      <w:szCs w:val="18"/>
      <w:lang w:eastAsia="en-US"/>
    </w:rPr>
  </w:style>
  <w:style w:type="character" w:customStyle="1" w:styleId="Char1">
    <w:name w:val="页脚 Char"/>
    <w:basedOn w:val="a0"/>
    <w:link w:val="a5"/>
    <w:uiPriority w:val="99"/>
    <w:qFormat/>
    <w:rPr>
      <w:rFonts w:ascii="Times New Roman" w:eastAsia="Times New Roman" w:hAnsi="Times New Roman" w:cs="Times New Roman"/>
      <w:sz w:val="18"/>
      <w:szCs w:val="18"/>
      <w:lang w:eastAsia="en-US"/>
    </w:rPr>
  </w:style>
  <w:style w:type="character" w:customStyle="1" w:styleId="Char0">
    <w:name w:val="批注文字 Char"/>
    <w:basedOn w:val="a0"/>
    <w:link w:val="a4"/>
    <w:qFormat/>
    <w:rPr>
      <w:rFonts w:ascii="Times New Roman" w:eastAsia="Times New Roman" w:hAnsi="Times New Roman" w:cs="Times New Roman"/>
      <w:sz w:val="24"/>
      <w:szCs w:val="24"/>
      <w:lang w:eastAsia="en-US"/>
    </w:rPr>
  </w:style>
  <w:style w:type="character" w:customStyle="1" w:styleId="Char">
    <w:name w:val="批注主题 Char"/>
    <w:basedOn w:val="Char0"/>
    <w:link w:val="a3"/>
    <w:semiHidden/>
    <w:qFormat/>
    <w:rPr>
      <w:rFonts w:ascii="Times New Roman" w:eastAsia="Times New Roman" w:hAnsi="Times New Roman" w:cs="Times New Roman"/>
      <w:b/>
      <w:bCs/>
      <w:sz w:val="24"/>
      <w:szCs w:val="24"/>
      <w:lang w:eastAsia="en-US"/>
    </w:rPr>
  </w:style>
  <w:style w:type="paragraph" w:styleId="a8">
    <w:name w:val="Balloon Text"/>
    <w:basedOn w:val="a"/>
    <w:link w:val="Char3"/>
    <w:semiHidden/>
    <w:unhideWhenUsed/>
    <w:rsid w:val="00F55283"/>
    <w:rPr>
      <w:sz w:val="18"/>
      <w:szCs w:val="18"/>
    </w:rPr>
  </w:style>
  <w:style w:type="character" w:customStyle="1" w:styleId="Char3">
    <w:name w:val="批注框文本 Char"/>
    <w:basedOn w:val="a0"/>
    <w:link w:val="a8"/>
    <w:semiHidden/>
    <w:rsid w:val="00F55283"/>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2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ict.cnki.net/dict_result.aspx?searchword=%25e8%2587%25aa%25e8%25ba%25ab%25e6%258a%2597%25e4%25bd%2593&amp;tjType=sentence&amp;style=&amp;t=autoantibodies" TargetMode="External"/><Relationship Id="rId18"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dict.cnki.net/dict_result.aspx?searchword=%25e4%25b9%2599%25e8%2583%25ba%25e4%25b8%2581%25e9%2586%2587&amp;tjType=sentence&amp;style=&amp;t=ethambutol"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dict.cnki.net/dict_result.aspx?searchword=%25e7%258e%25af%25e7%25a3%25b7%25e9%2585%25b0%25e8%2583%25ba&amp;tjType=sentence&amp;style=&amp;t=cyclophosphamid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ct.cnki.net/dict_result.aspx?searchword=%25e8%2587%25aa%25e8%25ba%25ab%25e6%258a%2597%25e4%25bd%2593&amp;tjType=sentence&amp;style=&amp;t=autoantibodi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ubmed.ncbi.nlm.nih.gov/?sort=date&amp;term=Crickx+E&amp;cauthor_id=26473632" TargetMode="External"/><Relationship Id="rId23" Type="http://schemas.openxmlformats.org/officeDocument/2006/relationships/fontTable" Target="fontTable.xml"/><Relationship Id="rId10" Type="http://schemas.openxmlformats.org/officeDocument/2006/relationships/hyperlink" Target="http://dict.cnki.net/dict_result.aspx?searchword=%25e5%25b0%25bf%25e8%2583%2586%25e7%25ba%25a2%25e7%25b4%25a0&amp;tjType=sentence&amp;style=&amp;t=urine+bilirubin"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dict.cnki.net/dict_result.aspx?searchword=%25e8%2587%25aa%25e8%25ba%25ab%25e6%258a%2597%25e4%25bd%2593&amp;tjType=sentence&amp;style=&amp;t=autoantibodies" TargetMode="External"/><Relationship Id="rId14" Type="http://schemas.openxmlformats.org/officeDocument/2006/relationships/hyperlink" Target="http://dict.cnki.net/dict_result.aspx?searchword=%25e5%2588%2586%25e6%25b3%258c%25e7%2589%25a9&amp;tjType=sentence&amp;style=&amp;t=secretion"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3831</Words>
  <Characters>21841</Characters>
  <Application>Microsoft Office Word</Application>
  <DocSecurity>0</DocSecurity>
  <Lines>182</Lines>
  <Paragraphs>51</Paragraphs>
  <ScaleCrop>false</ScaleCrop>
  <Company/>
  <LinksUpToDate>false</LinksUpToDate>
  <CharactersWithSpaces>25621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manman</dc:creator>
  <cp:lastModifiedBy>邢燕霞</cp:lastModifiedBy>
  <cp:revision>11</cp:revision>
  <dcterms:created xsi:type="dcterms:W3CDTF">2021-02-17T22:07:00Z</dcterms:created>
  <dcterms:modified xsi:type="dcterms:W3CDTF">2021-03-27T17:48:00Z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2052-3.3.0.5120</vt:lpwstr>
  </property>
</Properties>
</file>