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Name of Journal: </w:t>
      </w:r>
      <w:r w:rsidRPr="00216D7E">
        <w:rPr>
          <w:rFonts w:ascii="Book Antiqua" w:eastAsia="Book Antiqua" w:hAnsi="Book Antiqua" w:cs="Book Antiqua"/>
          <w:i/>
          <w:color w:val="000000"/>
        </w:rPr>
        <w:t>World Journal of Clinical Cases</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Manuscript NO: </w:t>
      </w:r>
      <w:r w:rsidRPr="00216D7E">
        <w:rPr>
          <w:rFonts w:ascii="Book Antiqua" w:eastAsia="Book Antiqua" w:hAnsi="Book Antiqua" w:cs="Book Antiqua"/>
          <w:color w:val="000000"/>
        </w:rPr>
        <w:t>60462</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Manuscript Type: </w:t>
      </w:r>
      <w:r w:rsidRPr="00216D7E">
        <w:rPr>
          <w:rFonts w:ascii="Book Antiqua" w:eastAsia="Book Antiqua" w:hAnsi="Book Antiqua" w:cs="Book Antiqua"/>
          <w:color w:val="000000"/>
        </w:rPr>
        <w:t>CASE REPORT</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lang w:eastAsia="zh-CN"/>
        </w:rPr>
      </w:pPr>
      <w:bookmarkStart w:id="0" w:name="OLE_LINK5"/>
      <w:bookmarkStart w:id="1" w:name="OLE_LINK6"/>
      <w:r w:rsidRPr="00216D7E">
        <w:rPr>
          <w:rFonts w:ascii="Book Antiqua" w:eastAsia="Book Antiqua" w:hAnsi="Book Antiqua" w:cs="Book Antiqua"/>
          <w:b/>
          <w:color w:val="000000"/>
        </w:rPr>
        <w:t xml:space="preserve">Nonalcoholic </w:t>
      </w:r>
      <w:r w:rsidR="0020574B" w:rsidRPr="00216D7E">
        <w:rPr>
          <w:rFonts w:ascii="Book Antiqua" w:eastAsia="Book Antiqua" w:hAnsi="Book Antiqua" w:cs="Book Antiqua"/>
          <w:b/>
          <w:color w:val="000000"/>
        </w:rPr>
        <w:t xml:space="preserve">fatty liver disease as a risk factor for </w:t>
      </w:r>
      <w:r w:rsidR="0020574B" w:rsidRPr="00216D7E">
        <w:rPr>
          <w:rFonts w:ascii="Book Antiqua" w:eastAsia="Book Antiqua" w:hAnsi="Book Antiqua" w:cs="Book Antiqua"/>
          <w:b/>
          <w:bCs/>
          <w:color w:val="000000"/>
        </w:rPr>
        <w:t>cytomegalovirus</w:t>
      </w:r>
      <w:r w:rsidR="0020574B" w:rsidRPr="00216D7E">
        <w:rPr>
          <w:rFonts w:ascii="Book Antiqua" w:eastAsia="Book Antiqua" w:hAnsi="Book Antiqua" w:cs="Book Antiqua"/>
          <w:b/>
          <w:color w:val="000000"/>
        </w:rPr>
        <w:t xml:space="preserve"> hepatitis in an immunocompetent patient</w:t>
      </w:r>
      <w:r w:rsidR="0020574B" w:rsidRPr="00216D7E">
        <w:rPr>
          <w:rFonts w:ascii="Book Antiqua" w:hAnsi="Book Antiqua" w:cs="Book Antiqua"/>
          <w:b/>
          <w:color w:val="000000"/>
          <w:lang w:eastAsia="zh-CN"/>
        </w:rPr>
        <w:t>: A case report</w:t>
      </w:r>
    </w:p>
    <w:bookmarkEnd w:id="0"/>
    <w:bookmarkEnd w:id="1"/>
    <w:p w:rsidR="00A77B3E" w:rsidRPr="00216D7E" w:rsidRDefault="00A77B3E" w:rsidP="00216D7E">
      <w:pPr>
        <w:snapToGrid w:val="0"/>
        <w:spacing w:line="360" w:lineRule="auto"/>
        <w:jc w:val="both"/>
        <w:rPr>
          <w:rFonts w:ascii="Book Antiqua" w:hAnsi="Book Antiqua"/>
        </w:rPr>
      </w:pPr>
    </w:p>
    <w:p w:rsidR="00A77B3E" w:rsidRPr="00216D7E" w:rsidRDefault="0020574B" w:rsidP="00216D7E">
      <w:pPr>
        <w:snapToGrid w:val="0"/>
        <w:spacing w:line="360" w:lineRule="auto"/>
        <w:jc w:val="both"/>
        <w:rPr>
          <w:rFonts w:ascii="Book Antiqua" w:hAnsi="Book Antiqua"/>
        </w:rPr>
      </w:pPr>
      <w:r w:rsidRPr="00216D7E">
        <w:rPr>
          <w:rFonts w:ascii="Book Antiqua" w:eastAsia="Book Antiqua" w:hAnsi="Book Antiqua" w:cs="Book Antiqua"/>
          <w:color w:val="000000"/>
        </w:rPr>
        <w:t xml:space="preserve">Khiatah B </w:t>
      </w:r>
      <w:r w:rsidRPr="00216D7E">
        <w:rPr>
          <w:rFonts w:ascii="Book Antiqua" w:eastAsia="Book Antiqua" w:hAnsi="Book Antiqua" w:cs="Book Antiqua"/>
          <w:i/>
          <w:color w:val="000000"/>
        </w:rPr>
        <w:t>et al</w:t>
      </w:r>
      <w:r w:rsidRPr="00216D7E">
        <w:rPr>
          <w:rFonts w:ascii="Book Antiqua" w:eastAsia="Book Antiqua" w:hAnsi="Book Antiqua" w:cs="Book Antiqua"/>
          <w:color w:val="000000"/>
        </w:rPr>
        <w:t xml:space="preserve">. </w:t>
      </w:r>
      <w:bookmarkStart w:id="2" w:name="OLE_LINK7"/>
      <w:bookmarkStart w:id="3" w:name="OLE_LINK8"/>
      <w:r w:rsidR="009D737D" w:rsidRPr="00216D7E">
        <w:rPr>
          <w:rFonts w:ascii="Book Antiqua" w:eastAsia="Book Antiqua" w:hAnsi="Book Antiqua" w:cs="Book Antiqua"/>
          <w:color w:val="000000"/>
        </w:rPr>
        <w:t>NAFLD as a risk for CMV hepatitis</w:t>
      </w:r>
      <w:bookmarkEnd w:id="2"/>
      <w:bookmarkEnd w:id="3"/>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Bashar Khiatah, Laya Nasrollah, Stephen Covington, Deborah Carlson</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Bashar Khiatah, </w:t>
      </w:r>
      <w:r w:rsidR="0020574B" w:rsidRPr="00216D7E">
        <w:rPr>
          <w:rFonts w:ascii="Book Antiqua" w:eastAsia="Book Antiqua" w:hAnsi="Book Antiqua" w:cs="Book Antiqua"/>
          <w:b/>
          <w:bCs/>
          <w:color w:val="000000"/>
        </w:rPr>
        <w:t xml:space="preserve">Deborah Carlson, </w:t>
      </w:r>
      <w:r w:rsidRPr="00216D7E">
        <w:rPr>
          <w:rFonts w:ascii="Book Antiqua" w:eastAsia="Book Antiqua" w:hAnsi="Book Antiqua" w:cs="Book Antiqua"/>
          <w:color w:val="000000"/>
        </w:rPr>
        <w:t xml:space="preserve">Internal Medicine, Community Memorial Hospital, </w:t>
      </w:r>
      <w:bookmarkStart w:id="4" w:name="OLE_LINK1"/>
      <w:bookmarkStart w:id="5" w:name="OLE_LINK2"/>
      <w:r w:rsidRPr="00216D7E">
        <w:rPr>
          <w:rFonts w:ascii="Book Antiqua" w:eastAsia="Book Antiqua" w:hAnsi="Book Antiqua" w:cs="Book Antiqua"/>
          <w:color w:val="000000"/>
        </w:rPr>
        <w:t>Ventura,</w:t>
      </w:r>
      <w:bookmarkEnd w:id="4"/>
      <w:bookmarkEnd w:id="5"/>
      <w:r w:rsidRPr="00216D7E">
        <w:rPr>
          <w:rFonts w:ascii="Book Antiqua" w:eastAsia="Book Antiqua" w:hAnsi="Book Antiqua" w:cs="Book Antiqua"/>
          <w:color w:val="000000"/>
        </w:rPr>
        <w:t xml:space="preserve"> CA 93003, United States</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Laya Nasrollah, </w:t>
      </w:r>
      <w:r w:rsidR="0020574B" w:rsidRPr="00216D7E">
        <w:rPr>
          <w:rFonts w:ascii="Book Antiqua" w:eastAsia="Book Antiqua" w:hAnsi="Book Antiqua" w:cs="Book Antiqua"/>
          <w:b/>
          <w:bCs/>
          <w:color w:val="000000"/>
        </w:rPr>
        <w:t xml:space="preserve">Stephen Covington, </w:t>
      </w:r>
      <w:r w:rsidRPr="00216D7E">
        <w:rPr>
          <w:rFonts w:ascii="Book Antiqua" w:eastAsia="Book Antiqua" w:hAnsi="Book Antiqua" w:cs="Book Antiqua"/>
          <w:color w:val="000000"/>
        </w:rPr>
        <w:t>Department of Gastroenterolog</w:t>
      </w:r>
      <w:r w:rsidR="0020574B" w:rsidRPr="00216D7E">
        <w:rPr>
          <w:rFonts w:ascii="Book Antiqua" w:eastAsia="Book Antiqua" w:hAnsi="Book Antiqua" w:cs="Book Antiqua"/>
          <w:color w:val="000000"/>
        </w:rPr>
        <w:t>y, Community Memorial Hospital</w:t>
      </w:r>
      <w:r w:rsidRPr="00216D7E">
        <w:rPr>
          <w:rFonts w:ascii="Book Antiqua" w:eastAsia="Book Antiqua" w:hAnsi="Book Antiqua" w:cs="Book Antiqua"/>
          <w:color w:val="000000"/>
        </w:rPr>
        <w:t xml:space="preserve">, </w:t>
      </w:r>
      <w:r w:rsidR="00CE2C21" w:rsidRPr="00216D7E">
        <w:rPr>
          <w:rFonts w:ascii="Book Antiqua" w:eastAsia="Book Antiqua" w:hAnsi="Book Antiqua" w:cs="Book Antiqua"/>
          <w:color w:val="000000"/>
        </w:rPr>
        <w:t xml:space="preserve">Ventura, </w:t>
      </w:r>
      <w:r w:rsidRPr="00216D7E">
        <w:rPr>
          <w:rFonts w:ascii="Book Antiqua" w:eastAsia="Book Antiqua" w:hAnsi="Book Antiqua" w:cs="Book Antiqua"/>
          <w:color w:val="000000"/>
        </w:rPr>
        <w:t>CA 93003, United States</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Author contributions: </w:t>
      </w:r>
      <w:bookmarkStart w:id="6" w:name="OLE_LINK9"/>
      <w:bookmarkStart w:id="7" w:name="OLE_LINK10"/>
      <w:r w:rsidRPr="00216D7E">
        <w:rPr>
          <w:rFonts w:ascii="Book Antiqua" w:eastAsia="Book Antiqua" w:hAnsi="Book Antiqua" w:cs="Book Antiqua"/>
          <w:color w:val="000000"/>
        </w:rPr>
        <w:t>Khiatah</w:t>
      </w:r>
      <w:r w:rsidR="00CE2C21" w:rsidRPr="00216D7E">
        <w:rPr>
          <w:rFonts w:ascii="Book Antiqua" w:eastAsia="Book Antiqua" w:hAnsi="Book Antiqua" w:cs="Book Antiqua"/>
          <w:color w:val="000000"/>
        </w:rPr>
        <w:t xml:space="preserve"> B wrote the main manuscript;</w:t>
      </w:r>
      <w:r w:rsidRPr="00216D7E">
        <w:rPr>
          <w:rFonts w:ascii="Book Antiqua" w:eastAsia="Book Antiqua" w:hAnsi="Book Antiqua" w:cs="Book Antiqua"/>
          <w:color w:val="000000"/>
        </w:rPr>
        <w:t xml:space="preserve"> Nasrollah</w:t>
      </w:r>
      <w:r w:rsidR="00CE2C21" w:rsidRPr="00216D7E">
        <w:rPr>
          <w:rFonts w:ascii="Book Antiqua" w:eastAsia="Book Antiqua" w:hAnsi="Book Antiqua" w:cs="Book Antiqua"/>
          <w:color w:val="000000"/>
        </w:rPr>
        <w:t xml:space="preserve"> L</w:t>
      </w:r>
      <w:r w:rsidRPr="00216D7E">
        <w:rPr>
          <w:rFonts w:ascii="Book Antiqua" w:eastAsia="Book Antiqua" w:hAnsi="Book Antiqua" w:cs="Book Antiqua"/>
          <w:color w:val="000000"/>
        </w:rPr>
        <w:t>, Covington</w:t>
      </w:r>
      <w:r w:rsidR="00CE2C21" w:rsidRPr="00216D7E">
        <w:rPr>
          <w:rFonts w:ascii="Book Antiqua" w:eastAsia="Book Antiqua" w:hAnsi="Book Antiqua" w:cs="Book Antiqua"/>
          <w:color w:val="000000"/>
        </w:rPr>
        <w:t xml:space="preserve"> S</w:t>
      </w:r>
      <w:r w:rsidRPr="00216D7E">
        <w:rPr>
          <w:rFonts w:ascii="Book Antiqua" w:eastAsia="Book Antiqua" w:hAnsi="Book Antiqua" w:cs="Book Antiqua"/>
          <w:color w:val="000000"/>
        </w:rPr>
        <w:t xml:space="preserve"> and Carlson</w:t>
      </w:r>
      <w:r w:rsidR="00CE2C21" w:rsidRPr="00216D7E">
        <w:rPr>
          <w:rFonts w:ascii="Book Antiqua" w:eastAsia="Book Antiqua" w:hAnsi="Book Antiqua" w:cs="Book Antiqua"/>
          <w:color w:val="000000"/>
        </w:rPr>
        <w:t xml:space="preserve"> D</w:t>
      </w:r>
      <w:r w:rsidRPr="00216D7E">
        <w:rPr>
          <w:rFonts w:ascii="Book Antiqua" w:eastAsia="Book Antiqua" w:hAnsi="Book Antiqua" w:cs="Book Antiqua"/>
          <w:color w:val="000000"/>
        </w:rPr>
        <w:t xml:space="preserve"> provided expert input and editing</w:t>
      </w:r>
      <w:r w:rsidR="00D078B6">
        <w:rPr>
          <w:rFonts w:ascii="Book Antiqua" w:eastAsia="Book Antiqua" w:hAnsi="Book Antiqua" w:cs="Book Antiqua"/>
          <w:color w:val="000000"/>
        </w:rPr>
        <w:t>;</w:t>
      </w:r>
      <w:r w:rsidRPr="00216D7E">
        <w:rPr>
          <w:rFonts w:ascii="Book Antiqua" w:eastAsia="Book Antiqua" w:hAnsi="Book Antiqua" w:cs="Book Antiqua"/>
          <w:color w:val="000000"/>
        </w:rPr>
        <w:t xml:space="preserve"> </w:t>
      </w:r>
      <w:r w:rsidR="00D078B6" w:rsidRPr="00216D7E">
        <w:rPr>
          <w:rFonts w:ascii="Book Antiqua" w:eastAsia="Book Antiqua" w:hAnsi="Book Antiqua" w:cs="Book Antiqua"/>
          <w:color w:val="000000"/>
        </w:rPr>
        <w:t>a</w:t>
      </w:r>
      <w:r w:rsidRPr="00216D7E">
        <w:rPr>
          <w:rFonts w:ascii="Book Antiqua" w:eastAsia="Book Antiqua" w:hAnsi="Book Antiqua" w:cs="Book Antiqua"/>
          <w:color w:val="000000"/>
        </w:rPr>
        <w:t>ll of the authors provided direct care to the patient</w:t>
      </w:r>
      <w:r w:rsidR="00CE2C21" w:rsidRPr="00216D7E">
        <w:rPr>
          <w:rFonts w:ascii="Book Antiqua" w:eastAsia="Book Antiqua" w:hAnsi="Book Antiqua" w:cs="Book Antiqua"/>
          <w:color w:val="000000"/>
        </w:rPr>
        <w:t>.</w:t>
      </w:r>
    </w:p>
    <w:bookmarkEnd w:id="6"/>
    <w:bookmarkEnd w:id="7"/>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Corresponding author: Bashar Khiatah, MD, Doctor, </w:t>
      </w:r>
      <w:r w:rsidRPr="00216D7E">
        <w:rPr>
          <w:rFonts w:ascii="Book Antiqua" w:eastAsia="Book Antiqua" w:hAnsi="Book Antiqua" w:cs="Book Antiqua"/>
          <w:color w:val="000000"/>
        </w:rPr>
        <w:t>Internal Medicine, Community Memorial Hospital, 147 N Brent St</w:t>
      </w:r>
      <w:r w:rsidR="00CE2C21" w:rsidRPr="00216D7E">
        <w:rPr>
          <w:rFonts w:ascii="Book Antiqua" w:eastAsia="Book Antiqua" w:hAnsi="Book Antiqua" w:cs="Book Antiqua"/>
          <w:color w:val="000000"/>
        </w:rPr>
        <w:t>reet</w:t>
      </w:r>
      <w:r w:rsidRPr="00216D7E">
        <w:rPr>
          <w:rFonts w:ascii="Book Antiqua" w:eastAsia="Book Antiqua" w:hAnsi="Book Antiqua" w:cs="Book Antiqua"/>
          <w:color w:val="000000"/>
        </w:rPr>
        <w:t>, Ventura, CA 93003, United States. bkhiatah@gmail.com</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Received: </w:t>
      </w:r>
      <w:r w:rsidRPr="00216D7E">
        <w:rPr>
          <w:rFonts w:ascii="Book Antiqua" w:eastAsia="Book Antiqua" w:hAnsi="Book Antiqua" w:cs="Book Antiqua"/>
          <w:color w:val="000000"/>
        </w:rPr>
        <w:t>November 4, 2020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Revised: </w:t>
      </w:r>
      <w:r w:rsidRPr="00216D7E">
        <w:rPr>
          <w:rFonts w:ascii="Book Antiqua" w:eastAsia="Book Antiqua" w:hAnsi="Book Antiqua" w:cs="Book Antiqua"/>
          <w:color w:val="000000"/>
        </w:rPr>
        <w:t>December 13, 2020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Accepted: </w:t>
      </w:r>
      <w:r w:rsidR="006B1D2C" w:rsidRPr="006B1D2C">
        <w:rPr>
          <w:rFonts w:ascii="Book Antiqua" w:eastAsia="Book Antiqua" w:hAnsi="Book Antiqua" w:cs="Book Antiqua"/>
          <w:color w:val="000000"/>
        </w:rPr>
        <w:t>December 27, 2020</w:t>
      </w:r>
    </w:p>
    <w:p w:rsidR="00F76033" w:rsidRDefault="009D737D" w:rsidP="00F76033">
      <w:pPr>
        <w:adjustRightInd w:val="0"/>
        <w:snapToGrid w:val="0"/>
        <w:spacing w:line="360" w:lineRule="auto"/>
        <w:jc w:val="both"/>
        <w:rPr>
          <w:rFonts w:ascii="Book Antiqua" w:hAnsi="Book Antiqua" w:hint="eastAsia"/>
          <w:lang w:eastAsia="zh-CN"/>
        </w:rPr>
      </w:pPr>
      <w:r w:rsidRPr="00216D7E">
        <w:rPr>
          <w:rFonts w:ascii="Book Antiqua" w:eastAsia="Book Antiqua" w:hAnsi="Book Antiqua" w:cs="Book Antiqua"/>
          <w:b/>
          <w:bCs/>
          <w:color w:val="000000"/>
        </w:rPr>
        <w:t xml:space="preserve">Published online: </w:t>
      </w:r>
      <w:r w:rsidR="00F76033" w:rsidRPr="00A928BC">
        <w:rPr>
          <w:rFonts w:ascii="Book Antiqua" w:eastAsia="Book Antiqua" w:hAnsi="Book Antiqua" w:cs="Book Antiqua"/>
          <w:bCs/>
          <w:color w:val="000000"/>
        </w:rPr>
        <w:t>February 26, 2021</w:t>
      </w:r>
    </w:p>
    <w:p w:rsidR="00A77B3E" w:rsidRPr="00216D7E" w:rsidRDefault="00A77B3E" w:rsidP="00216D7E">
      <w:pPr>
        <w:snapToGrid w:val="0"/>
        <w:spacing w:line="360" w:lineRule="auto"/>
        <w:jc w:val="both"/>
        <w:rPr>
          <w:rFonts w:ascii="Book Antiqua" w:hAnsi="Book Antiqua"/>
        </w:rPr>
      </w:pPr>
    </w:p>
    <w:p w:rsidR="00A77B3E" w:rsidRPr="00216D7E" w:rsidRDefault="00A77B3E" w:rsidP="00216D7E">
      <w:pPr>
        <w:snapToGrid w:val="0"/>
        <w:spacing w:line="360" w:lineRule="auto"/>
        <w:jc w:val="both"/>
        <w:rPr>
          <w:rFonts w:ascii="Book Antiqua" w:hAnsi="Book Antiqua"/>
        </w:rPr>
        <w:sectPr w:rsidR="00A77B3E" w:rsidRPr="00216D7E" w:rsidSect="00C9577C">
          <w:footerReference w:type="default" r:id="rId7"/>
          <w:pgSz w:w="12240" w:h="15840"/>
          <w:pgMar w:top="1440" w:right="1800" w:bottom="1440" w:left="1800" w:header="720" w:footer="720" w:gutter="0"/>
          <w:cols w:space="720"/>
          <w:docGrid w:linePitch="360"/>
        </w:sect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Abstract</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BACKGROUND</w:t>
      </w:r>
    </w:p>
    <w:p w:rsidR="00A77B3E" w:rsidRPr="00216D7E" w:rsidRDefault="009D737D" w:rsidP="00216D7E">
      <w:pPr>
        <w:snapToGrid w:val="0"/>
        <w:spacing w:line="360" w:lineRule="auto"/>
        <w:jc w:val="both"/>
        <w:rPr>
          <w:rFonts w:ascii="Book Antiqua" w:hAnsi="Book Antiqua"/>
        </w:rPr>
      </w:pPr>
      <w:bookmarkStart w:id="8" w:name="OLE_LINK15"/>
      <w:bookmarkStart w:id="9" w:name="OLE_LINK16"/>
      <w:r w:rsidRPr="00216D7E">
        <w:rPr>
          <w:rFonts w:ascii="Book Antiqua" w:eastAsia="Book Antiqua" w:hAnsi="Book Antiqua" w:cs="Book Antiqua"/>
          <w:bCs/>
          <w:color w:val="000000"/>
        </w:rPr>
        <w:t>Almost 80 percent of adults in the U</w:t>
      </w:r>
      <w:r w:rsidR="00767E02" w:rsidRPr="00216D7E">
        <w:rPr>
          <w:rFonts w:ascii="Book Antiqua" w:eastAsia="Book Antiqua" w:hAnsi="Book Antiqua" w:cs="Book Antiqua"/>
          <w:bCs/>
          <w:color w:val="000000"/>
        </w:rPr>
        <w:t xml:space="preserve">nited </w:t>
      </w:r>
      <w:r w:rsidRPr="00216D7E">
        <w:rPr>
          <w:rFonts w:ascii="Book Antiqua" w:eastAsia="Book Antiqua" w:hAnsi="Book Antiqua" w:cs="Book Antiqua"/>
          <w:bCs/>
          <w:color w:val="000000"/>
        </w:rPr>
        <w:t>S</w:t>
      </w:r>
      <w:r w:rsidR="00767E02" w:rsidRPr="00216D7E">
        <w:rPr>
          <w:rFonts w:ascii="Book Antiqua" w:eastAsia="Book Antiqua" w:hAnsi="Book Antiqua" w:cs="Book Antiqua"/>
          <w:bCs/>
          <w:color w:val="000000"/>
        </w:rPr>
        <w:t>tates</w:t>
      </w:r>
      <w:r w:rsidRPr="00216D7E">
        <w:rPr>
          <w:rFonts w:ascii="Book Antiqua" w:eastAsia="Book Antiqua" w:hAnsi="Book Antiqua" w:cs="Book Antiqua"/>
          <w:bCs/>
          <w:color w:val="000000"/>
        </w:rPr>
        <w:t xml:space="preserve"> have had </w:t>
      </w:r>
      <w:r w:rsidR="00767E02" w:rsidRPr="00216D7E">
        <w:rPr>
          <w:rFonts w:ascii="Book Antiqua" w:eastAsia="Book Antiqua" w:hAnsi="Book Antiqua" w:cs="Book Antiqua"/>
          <w:bCs/>
          <w:color w:val="000000"/>
        </w:rPr>
        <w:t>cytomegalovirus (CMV)</w:t>
      </w:r>
      <w:r w:rsidRPr="00216D7E">
        <w:rPr>
          <w:rFonts w:ascii="Book Antiqua" w:eastAsia="Book Antiqua" w:hAnsi="Book Antiqua" w:cs="Book Antiqua"/>
          <w:bCs/>
          <w:color w:val="000000"/>
        </w:rPr>
        <w:t xml:space="preserve"> infection by age 40. The number of symptomatic CMV hepatitis cases has been increasing along with </w:t>
      </w:r>
      <w:r w:rsidR="00767E02" w:rsidRPr="00216D7E">
        <w:rPr>
          <w:rFonts w:ascii="Book Antiqua" w:eastAsia="Book Antiqua" w:hAnsi="Book Antiqua" w:cs="Book Antiqua"/>
          <w:bCs/>
          <w:color w:val="000000"/>
        </w:rPr>
        <w:t>non-alcoholic fatty liver disease (NAFLD)</w:t>
      </w:r>
      <w:r w:rsidRPr="00216D7E">
        <w:rPr>
          <w:rFonts w:ascii="Book Antiqua" w:eastAsia="Book Antiqua" w:hAnsi="Book Antiqua" w:cs="Book Antiqua"/>
          <w:bCs/>
          <w:color w:val="000000"/>
        </w:rPr>
        <w:t xml:space="preserve"> cases in the U</w:t>
      </w:r>
      <w:r w:rsidR="00767E02" w:rsidRPr="00216D7E">
        <w:rPr>
          <w:rFonts w:ascii="Book Antiqua" w:eastAsia="Book Antiqua" w:hAnsi="Book Antiqua" w:cs="Book Antiqua"/>
          <w:bCs/>
          <w:color w:val="000000"/>
        </w:rPr>
        <w:t xml:space="preserve">nited </w:t>
      </w:r>
      <w:r w:rsidRPr="00216D7E">
        <w:rPr>
          <w:rFonts w:ascii="Book Antiqua" w:eastAsia="Book Antiqua" w:hAnsi="Book Antiqua" w:cs="Book Antiqua"/>
          <w:bCs/>
          <w:color w:val="000000"/>
        </w:rPr>
        <w:t>S</w:t>
      </w:r>
      <w:r w:rsidR="00767E02" w:rsidRPr="00216D7E">
        <w:rPr>
          <w:rFonts w:ascii="Book Antiqua" w:eastAsia="Book Antiqua" w:hAnsi="Book Antiqua" w:cs="Book Antiqua"/>
          <w:bCs/>
          <w:color w:val="000000"/>
        </w:rPr>
        <w:t>tates</w:t>
      </w:r>
      <w:r w:rsidRPr="00216D7E">
        <w:rPr>
          <w:rFonts w:ascii="Book Antiqua" w:eastAsia="Book Antiqua" w:hAnsi="Book Antiqua" w:cs="Book Antiqua"/>
          <w:bCs/>
          <w:color w:val="000000"/>
        </w:rPr>
        <w:t xml:space="preserve"> that is estimated to be 25 percent of the population. In this paper, we try to link these two entities together.</w:t>
      </w:r>
    </w:p>
    <w:bookmarkEnd w:id="8"/>
    <w:bookmarkEnd w:id="9"/>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CASE SUMMARY</w:t>
      </w:r>
    </w:p>
    <w:p w:rsidR="00A77B3E" w:rsidRPr="00216D7E" w:rsidRDefault="009D737D" w:rsidP="00216D7E">
      <w:pPr>
        <w:snapToGrid w:val="0"/>
        <w:spacing w:line="360" w:lineRule="auto"/>
        <w:jc w:val="both"/>
        <w:rPr>
          <w:rFonts w:ascii="Book Antiqua" w:hAnsi="Book Antiqua"/>
        </w:rPr>
      </w:pPr>
      <w:bookmarkStart w:id="10" w:name="OLE_LINK17"/>
      <w:bookmarkStart w:id="11" w:name="OLE_LINK18"/>
      <w:r w:rsidRPr="00216D7E">
        <w:rPr>
          <w:rFonts w:ascii="Book Antiqua" w:eastAsia="Book Antiqua" w:hAnsi="Book Antiqua" w:cs="Book Antiqua"/>
          <w:bCs/>
          <w:color w:val="000000"/>
        </w:rPr>
        <w:t>In this case report, we describe a young female who presented with fever, nausea, and vomiting who was found to have NAFLD and CMV hepatitis that was treated supportively.</w:t>
      </w:r>
    </w:p>
    <w:bookmarkEnd w:id="10"/>
    <w:bookmarkEnd w:id="11"/>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CONCLUSION</w:t>
      </w:r>
    </w:p>
    <w:p w:rsidR="00A77B3E" w:rsidRPr="00216D7E" w:rsidRDefault="009D737D" w:rsidP="00216D7E">
      <w:pPr>
        <w:snapToGrid w:val="0"/>
        <w:spacing w:line="360" w:lineRule="auto"/>
        <w:jc w:val="both"/>
        <w:rPr>
          <w:rFonts w:ascii="Book Antiqua" w:hAnsi="Book Antiqua"/>
        </w:rPr>
      </w:pPr>
      <w:bookmarkStart w:id="12" w:name="OLE_LINK19"/>
      <w:r w:rsidRPr="00216D7E">
        <w:rPr>
          <w:rFonts w:ascii="Book Antiqua" w:eastAsia="Book Antiqua" w:hAnsi="Book Antiqua" w:cs="Book Antiqua"/>
          <w:bCs/>
          <w:color w:val="000000"/>
        </w:rPr>
        <w:t>In this case report, we describe NAFLD as a risk factor for CMV hepatitis and discuss the possible impact on clinical practice. We believe, it is ess</w:t>
      </w:r>
      <w:r w:rsidR="00767E02" w:rsidRPr="00216D7E">
        <w:rPr>
          <w:rFonts w:ascii="Book Antiqua" w:eastAsia="Book Antiqua" w:hAnsi="Book Antiqua" w:cs="Book Antiqua"/>
          <w:bCs/>
          <w:color w:val="000000"/>
        </w:rPr>
        <w:t>ential to consider NAFLD and it’</w:t>
      </w:r>
      <w:r w:rsidRPr="00216D7E">
        <w:rPr>
          <w:rFonts w:ascii="Book Antiqua" w:eastAsia="Book Antiqua" w:hAnsi="Book Antiqua" w:cs="Book Antiqua"/>
          <w:bCs/>
          <w:color w:val="000000"/>
        </w:rPr>
        <w:t xml:space="preserve">s disease mechanisms’ localized immunosuppression, as a risk factor of CMV hepatitis and severe </w:t>
      </w:r>
      <w:r w:rsidR="00767E02" w:rsidRPr="00216D7E">
        <w:rPr>
          <w:rFonts w:ascii="Book Antiqua" w:eastAsia="Book Antiqua" w:hAnsi="Book Antiqua" w:cs="Book Antiqua"/>
          <w:bCs/>
          <w:color w:val="000000"/>
        </w:rPr>
        <w:t>coronavirus disease 2019</w:t>
      </w:r>
      <w:r w:rsidRPr="00216D7E">
        <w:rPr>
          <w:rFonts w:ascii="Book Antiqua" w:eastAsia="Book Antiqua" w:hAnsi="Book Antiqua" w:cs="Book Antiqua"/>
          <w:bCs/>
          <w:color w:val="000000"/>
        </w:rPr>
        <w:t xml:space="preserve"> infection.</w:t>
      </w:r>
    </w:p>
    <w:bookmarkEnd w:id="12"/>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Key Words: </w:t>
      </w:r>
      <w:bookmarkStart w:id="13" w:name="OLE_LINK11"/>
      <w:bookmarkStart w:id="14" w:name="OLE_LINK12"/>
      <w:r w:rsidR="00767E02" w:rsidRPr="00216D7E">
        <w:rPr>
          <w:rFonts w:ascii="Book Antiqua" w:eastAsia="Book Antiqua" w:hAnsi="Book Antiqua" w:cs="Book Antiqua"/>
          <w:bCs/>
          <w:color w:val="000000"/>
        </w:rPr>
        <w:t>Non-alcoholic fatty liver disease</w:t>
      </w:r>
      <w:r w:rsidRPr="00216D7E">
        <w:rPr>
          <w:rFonts w:ascii="Book Antiqua" w:eastAsia="Book Antiqua" w:hAnsi="Book Antiqua" w:cs="Book Antiqua"/>
          <w:color w:val="000000"/>
        </w:rPr>
        <w:t xml:space="preserve">; </w:t>
      </w:r>
      <w:r w:rsidR="00767E02" w:rsidRPr="00216D7E">
        <w:rPr>
          <w:rFonts w:ascii="Book Antiqua" w:eastAsia="Book Antiqua" w:hAnsi="Book Antiqua" w:cs="Book Antiqua"/>
          <w:bCs/>
          <w:color w:val="000000"/>
        </w:rPr>
        <w:t>Cytomegalovirus</w:t>
      </w:r>
      <w:r w:rsidR="00767E02" w:rsidRPr="00216D7E">
        <w:rPr>
          <w:rFonts w:ascii="Book Antiqua" w:eastAsia="Book Antiqua" w:hAnsi="Book Antiqua" w:cs="Book Antiqua"/>
          <w:color w:val="000000"/>
        </w:rPr>
        <w:t xml:space="preserve"> </w:t>
      </w:r>
      <w:r w:rsidRPr="00216D7E">
        <w:rPr>
          <w:rFonts w:ascii="Book Antiqua" w:eastAsia="Book Antiqua" w:hAnsi="Book Antiqua" w:cs="Book Antiqua"/>
          <w:color w:val="000000"/>
        </w:rPr>
        <w:t>hepatitis; Immunocompetent; Female health; Global impact; Hepatology</w:t>
      </w:r>
      <w:r w:rsidR="007B443A">
        <w:rPr>
          <w:rFonts w:ascii="Book Antiqua" w:eastAsia="Book Antiqua" w:hAnsi="Book Antiqua" w:cs="Book Antiqua"/>
          <w:color w:val="000000"/>
        </w:rPr>
        <w:t>; Case report</w:t>
      </w:r>
      <w:bookmarkEnd w:id="13"/>
      <w:bookmarkEnd w:id="14"/>
    </w:p>
    <w:p w:rsidR="00D11F95" w:rsidRDefault="00D11F95" w:rsidP="00D11F95">
      <w:pPr>
        <w:spacing w:line="360" w:lineRule="auto"/>
        <w:jc w:val="both"/>
        <w:rPr>
          <w:lang w:eastAsia="zh-CN"/>
        </w:rPr>
      </w:pPr>
    </w:p>
    <w:p w:rsidR="00D11F95" w:rsidRPr="00026CB8" w:rsidRDefault="00D11F95" w:rsidP="00D11F9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rsidR="00A77B3E" w:rsidRPr="00216D7E" w:rsidRDefault="00A77B3E" w:rsidP="00216D7E">
      <w:pPr>
        <w:snapToGrid w:val="0"/>
        <w:spacing w:line="360" w:lineRule="auto"/>
        <w:jc w:val="both"/>
        <w:rPr>
          <w:rFonts w:ascii="Book Antiqua" w:hAnsi="Book Antiqua"/>
        </w:rPr>
      </w:pPr>
    </w:p>
    <w:p w:rsidR="00E95CAA" w:rsidRDefault="00C82C54" w:rsidP="00E95CAA">
      <w:pPr>
        <w:spacing w:line="360" w:lineRule="auto"/>
        <w:jc w:val="both"/>
        <w:rPr>
          <w:rFonts w:ascii="Book Antiqua" w:hAnsi="Book Antiqua" w:cs="Book Antiqua"/>
          <w:color w:val="000000"/>
          <w:lang w:eastAsia="zh-CN"/>
        </w:rPr>
      </w:pPr>
      <w:r w:rsidRPr="00C82C54">
        <w:rPr>
          <w:rFonts w:ascii="Book Antiqua" w:hAnsi="Book Antiqua" w:cs="Book Antiqua" w:hint="eastAsia"/>
          <w:b/>
          <w:color w:val="000000"/>
          <w:lang w:eastAsia="zh-CN"/>
        </w:rPr>
        <w:t xml:space="preserve">Citation: </w:t>
      </w:r>
      <w:r w:rsidR="009D737D" w:rsidRPr="00216D7E">
        <w:rPr>
          <w:rFonts w:ascii="Book Antiqua" w:eastAsia="Book Antiqua" w:hAnsi="Book Antiqua" w:cs="Book Antiqua"/>
          <w:color w:val="000000"/>
        </w:rPr>
        <w:t xml:space="preserve">Khiatah B, Nasrollah L, Covington S, Carlson D. </w:t>
      </w:r>
      <w:r w:rsidR="00767E02" w:rsidRPr="00216D7E">
        <w:rPr>
          <w:rFonts w:ascii="Book Antiqua" w:eastAsia="Book Antiqua" w:hAnsi="Book Antiqua" w:cs="Book Antiqua"/>
          <w:color w:val="000000"/>
        </w:rPr>
        <w:t xml:space="preserve">Nonalcoholic fatty liver disease as a risk factor for </w:t>
      </w:r>
      <w:r w:rsidR="00767E02" w:rsidRPr="00216D7E">
        <w:rPr>
          <w:rFonts w:ascii="Book Antiqua" w:eastAsia="Book Antiqua" w:hAnsi="Book Antiqua" w:cs="Book Antiqua"/>
          <w:bCs/>
          <w:color w:val="000000"/>
        </w:rPr>
        <w:t>cytomegalovirus</w:t>
      </w:r>
      <w:r w:rsidR="00767E02" w:rsidRPr="00216D7E">
        <w:rPr>
          <w:rFonts w:ascii="Book Antiqua" w:eastAsia="Book Antiqua" w:hAnsi="Book Antiqua" w:cs="Book Antiqua"/>
          <w:color w:val="000000"/>
        </w:rPr>
        <w:t xml:space="preserve"> hepatitis in an immunocompetent patient</w:t>
      </w:r>
      <w:r w:rsidR="00767E02" w:rsidRPr="00216D7E">
        <w:rPr>
          <w:rFonts w:ascii="Book Antiqua" w:hAnsi="Book Antiqua" w:cs="Book Antiqua"/>
          <w:color w:val="000000"/>
          <w:lang w:eastAsia="zh-CN"/>
        </w:rPr>
        <w:t>: A case report</w:t>
      </w:r>
      <w:r w:rsidR="009D737D" w:rsidRPr="00216D7E">
        <w:rPr>
          <w:rFonts w:ascii="Book Antiqua" w:eastAsia="Book Antiqua" w:hAnsi="Book Antiqua" w:cs="Book Antiqua"/>
          <w:color w:val="000000"/>
        </w:rPr>
        <w:t xml:space="preserve">. </w:t>
      </w:r>
      <w:r w:rsidR="009D737D" w:rsidRPr="00216D7E">
        <w:rPr>
          <w:rFonts w:ascii="Book Antiqua" w:eastAsia="Book Antiqua" w:hAnsi="Book Antiqua" w:cs="Book Antiqua"/>
          <w:i/>
          <w:iCs/>
          <w:color w:val="000000"/>
        </w:rPr>
        <w:t>World J Clin Cases</w:t>
      </w:r>
      <w:r w:rsidR="009D737D" w:rsidRPr="00216D7E">
        <w:rPr>
          <w:rFonts w:ascii="Book Antiqua" w:eastAsia="Book Antiqua" w:hAnsi="Book Antiqua" w:cs="Book Antiqua"/>
          <w:color w:val="000000"/>
        </w:rPr>
        <w:t xml:space="preserve"> </w:t>
      </w:r>
      <w:bookmarkStart w:id="15" w:name="OLE_LINK138"/>
      <w:r w:rsidR="00E95CAA" w:rsidRPr="00E03888">
        <w:rPr>
          <w:rFonts w:ascii="Book Antiqua" w:eastAsia="Book Antiqua" w:hAnsi="Book Antiqua" w:cs="Book Antiqua"/>
          <w:color w:val="000000"/>
        </w:rPr>
        <w:t>202</w:t>
      </w:r>
      <w:r w:rsidR="00E95CAA">
        <w:rPr>
          <w:rFonts w:ascii="Book Antiqua" w:hAnsi="Book Antiqua" w:cs="Book Antiqua" w:hint="eastAsia"/>
          <w:color w:val="000000"/>
          <w:lang w:eastAsia="zh-CN"/>
        </w:rPr>
        <w:t>1</w:t>
      </w:r>
      <w:r w:rsidR="00E95CAA" w:rsidRPr="00E03888">
        <w:rPr>
          <w:rFonts w:ascii="Book Antiqua" w:eastAsia="Book Antiqua" w:hAnsi="Book Antiqua" w:cs="Book Antiqua"/>
          <w:color w:val="000000"/>
        </w:rPr>
        <w:t xml:space="preserve">; </w:t>
      </w:r>
      <w:r w:rsidR="00E95CAA" w:rsidRPr="00DD2DF8">
        <w:rPr>
          <w:rFonts w:ascii="Book Antiqua" w:eastAsia="Book Antiqua" w:hAnsi="Book Antiqua" w:cs="Book Antiqua"/>
          <w:color w:val="000000"/>
        </w:rPr>
        <w:t xml:space="preserve">9(6): </w:t>
      </w:r>
      <w:bookmarkEnd w:id="15"/>
      <w:r w:rsidR="003E3B37" w:rsidRPr="003E3B37">
        <w:rPr>
          <w:rFonts w:ascii="Book Antiqua" w:eastAsia="Book Antiqua" w:hAnsi="Book Antiqua" w:cs="Book Antiqua"/>
          <w:color w:val="000000"/>
        </w:rPr>
        <w:t>1455-1460</w:t>
      </w:r>
      <w:r w:rsidR="00E95CAA" w:rsidRPr="00DD2DF8">
        <w:rPr>
          <w:rFonts w:ascii="Book Antiqua" w:eastAsia="Book Antiqua" w:hAnsi="Book Antiqua" w:cs="Book Antiqua"/>
          <w:color w:val="000000"/>
        </w:rPr>
        <w:t xml:space="preserve"> </w:t>
      </w:r>
    </w:p>
    <w:p w:rsidR="00E95CAA" w:rsidRDefault="00E95CAA" w:rsidP="00E95CAA">
      <w:pPr>
        <w:spacing w:line="360" w:lineRule="auto"/>
        <w:jc w:val="both"/>
        <w:rPr>
          <w:rFonts w:ascii="Book Antiqua" w:hAnsi="Book Antiqua" w:cs="Book Antiqua"/>
          <w:color w:val="000000"/>
          <w:lang w:eastAsia="zh-CN"/>
        </w:rPr>
      </w:pPr>
      <w:r w:rsidRPr="0009439F">
        <w:rPr>
          <w:rFonts w:ascii="Book Antiqua" w:eastAsia="Book Antiqua" w:hAnsi="Book Antiqua" w:cs="Book Antiqua"/>
          <w:b/>
          <w:color w:val="000000"/>
        </w:rPr>
        <w:t>URL:</w:t>
      </w:r>
      <w:r w:rsidRPr="00DD2DF8">
        <w:rPr>
          <w:rFonts w:ascii="Book Antiqua" w:eastAsia="Book Antiqua" w:hAnsi="Book Antiqua" w:cs="Book Antiqua"/>
          <w:color w:val="000000"/>
        </w:rPr>
        <w:t xml:space="preserve"> https://www.wjgnet.com/2307-8960/full/v9/i6/</w:t>
      </w:r>
      <w:r w:rsidR="00CE60B3">
        <w:rPr>
          <w:rFonts w:ascii="Book Antiqua" w:hAnsi="Book Antiqua" w:cs="Book Antiqua" w:hint="eastAsia"/>
          <w:color w:val="000000"/>
          <w:lang w:eastAsia="zh-CN"/>
        </w:rPr>
        <w:t>1455</w:t>
      </w:r>
      <w:r w:rsidRPr="00DD2DF8">
        <w:rPr>
          <w:rFonts w:ascii="Book Antiqua" w:eastAsia="Book Antiqua" w:hAnsi="Book Antiqua" w:cs="Book Antiqua"/>
          <w:color w:val="000000"/>
        </w:rPr>
        <w:t xml:space="preserve">.htm </w:t>
      </w:r>
    </w:p>
    <w:p w:rsidR="00E95CAA" w:rsidRPr="00162ED8" w:rsidRDefault="00E95CAA" w:rsidP="00E95CAA">
      <w:pPr>
        <w:spacing w:line="360" w:lineRule="auto"/>
        <w:jc w:val="both"/>
        <w:rPr>
          <w:rFonts w:ascii="Book Antiqua" w:hAnsi="Book Antiqua"/>
          <w:lang w:eastAsia="zh-CN"/>
        </w:rPr>
      </w:pPr>
      <w:r w:rsidRPr="0009439F">
        <w:rPr>
          <w:rFonts w:ascii="Book Antiqua" w:eastAsia="Book Antiqua" w:hAnsi="Book Antiqua" w:cs="Book Antiqua"/>
          <w:b/>
          <w:color w:val="000000"/>
        </w:rPr>
        <w:t xml:space="preserve">DOI: </w:t>
      </w:r>
      <w:bookmarkStart w:id="16" w:name="OLE_LINK139"/>
      <w:r w:rsidRPr="00DD2DF8">
        <w:rPr>
          <w:rFonts w:ascii="Book Antiqua" w:eastAsia="Book Antiqua" w:hAnsi="Book Antiqua" w:cs="Book Antiqua"/>
          <w:color w:val="000000"/>
        </w:rPr>
        <w:t>https://dx.doi.org/10.12998/wjcc.v9.i6.</w:t>
      </w:r>
      <w:bookmarkEnd w:id="16"/>
      <w:r w:rsidR="006B604F">
        <w:rPr>
          <w:rFonts w:ascii="Book Antiqua" w:hAnsi="Book Antiqua" w:cs="Book Antiqua" w:hint="eastAsia"/>
          <w:color w:val="000000"/>
          <w:lang w:eastAsia="zh-CN"/>
        </w:rPr>
        <w:t>1455</w:t>
      </w:r>
    </w:p>
    <w:p w:rsidR="00A77B3E" w:rsidRPr="00216D7E" w:rsidRDefault="00A77B3E" w:rsidP="00216D7E">
      <w:pPr>
        <w:snapToGrid w:val="0"/>
        <w:spacing w:line="360" w:lineRule="auto"/>
        <w:jc w:val="both"/>
        <w:rPr>
          <w:rFonts w:ascii="Book Antiqua" w:hAnsi="Book Antiqua"/>
        </w:rPr>
      </w:pP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Core Tip: </w:t>
      </w:r>
      <w:bookmarkStart w:id="17" w:name="OLE_LINK13"/>
      <w:bookmarkStart w:id="18" w:name="OLE_LINK14"/>
      <w:r w:rsidRPr="00216D7E">
        <w:rPr>
          <w:rFonts w:ascii="Book Antiqua" w:eastAsia="Book Antiqua" w:hAnsi="Book Antiqua" w:cs="Book Antiqua"/>
          <w:color w:val="000000"/>
        </w:rPr>
        <w:t xml:space="preserve">It is essential to consider </w:t>
      </w:r>
      <w:r w:rsidR="00767E02" w:rsidRPr="00216D7E">
        <w:rPr>
          <w:rFonts w:ascii="Book Antiqua" w:eastAsia="Book Antiqua" w:hAnsi="Book Antiqua" w:cs="Book Antiqua"/>
          <w:bCs/>
          <w:color w:val="000000"/>
        </w:rPr>
        <w:t>non-alcoholic fatty liver disease</w:t>
      </w:r>
      <w:r w:rsidRPr="00216D7E">
        <w:rPr>
          <w:rFonts w:ascii="Book Antiqua" w:eastAsia="Book Antiqua" w:hAnsi="Book Antiqua" w:cs="Book Antiqua"/>
          <w:color w:val="000000"/>
        </w:rPr>
        <w:t xml:space="preserve"> and it’s disease mechanisms’ localized immunosuppression, as a risk factor of </w:t>
      </w:r>
      <w:r w:rsidR="00767E02" w:rsidRPr="00216D7E">
        <w:rPr>
          <w:rFonts w:ascii="Book Antiqua" w:eastAsia="Book Antiqua" w:hAnsi="Book Antiqua" w:cs="Book Antiqua"/>
          <w:bCs/>
          <w:color w:val="000000"/>
        </w:rPr>
        <w:t>cytomegalovirus</w:t>
      </w:r>
      <w:r w:rsidRPr="00216D7E">
        <w:rPr>
          <w:rFonts w:ascii="Book Antiqua" w:eastAsia="Book Antiqua" w:hAnsi="Book Antiqua" w:cs="Book Antiqua"/>
          <w:color w:val="000000"/>
        </w:rPr>
        <w:t xml:space="preserve"> hepatitis and possible other viral diseases. Also, with </w:t>
      </w:r>
      <w:r w:rsidR="00767E02" w:rsidRPr="00216D7E">
        <w:rPr>
          <w:rFonts w:ascii="Book Antiqua" w:eastAsia="Book Antiqua" w:hAnsi="Book Antiqua" w:cs="Book Antiqua"/>
          <w:bCs/>
          <w:color w:val="000000"/>
        </w:rPr>
        <w:t>non-alcoholic fatty liver disease</w:t>
      </w:r>
      <w:r w:rsidRPr="00216D7E">
        <w:rPr>
          <w:rFonts w:ascii="Book Antiqua" w:eastAsia="Book Antiqua" w:hAnsi="Book Antiqua" w:cs="Book Antiqua"/>
          <w:color w:val="000000"/>
        </w:rPr>
        <w:t xml:space="preserve"> raising numbers it is worthwhile to screen for it in high risk population to prevent from it's complications and risks to develop severe viral diseases in case of infection that could be life threatening.</w:t>
      </w:r>
    </w:p>
    <w:bookmarkEnd w:id="17"/>
    <w:bookmarkEnd w:id="18"/>
    <w:p w:rsidR="00A77B3E" w:rsidRPr="00216D7E" w:rsidRDefault="00767E02" w:rsidP="00216D7E">
      <w:pPr>
        <w:snapToGrid w:val="0"/>
        <w:spacing w:line="360" w:lineRule="auto"/>
        <w:jc w:val="both"/>
        <w:rPr>
          <w:rFonts w:ascii="Book Antiqua" w:hAnsi="Book Antiqua"/>
        </w:rPr>
      </w:pPr>
      <w:r w:rsidRPr="00216D7E">
        <w:rPr>
          <w:rFonts w:ascii="Book Antiqua" w:hAnsi="Book Antiqua"/>
        </w:rPr>
        <w:br w:type="page"/>
      </w:r>
      <w:r w:rsidR="009D737D" w:rsidRPr="00216D7E">
        <w:rPr>
          <w:rFonts w:ascii="Book Antiqua" w:eastAsia="Book Antiqua" w:hAnsi="Book Antiqua" w:cs="Book Antiqua"/>
          <w:b/>
          <w:caps/>
          <w:color w:val="000000"/>
          <w:u w:val="single"/>
        </w:rPr>
        <w:t>INTRODUCTION</w:t>
      </w:r>
    </w:p>
    <w:p w:rsidR="00A77B3E" w:rsidRPr="00216D7E" w:rsidRDefault="009D737D" w:rsidP="00216D7E">
      <w:pPr>
        <w:snapToGrid w:val="0"/>
        <w:spacing w:line="360" w:lineRule="auto"/>
        <w:jc w:val="both"/>
        <w:rPr>
          <w:rFonts w:ascii="Book Antiqua" w:hAnsi="Book Antiqua"/>
        </w:rPr>
      </w:pPr>
      <w:bookmarkStart w:id="19" w:name="OLE_LINK20"/>
      <w:bookmarkStart w:id="20" w:name="OLE_LINK21"/>
      <w:r w:rsidRPr="00216D7E">
        <w:rPr>
          <w:rFonts w:ascii="Book Antiqua" w:eastAsia="Book Antiqua" w:hAnsi="Book Antiqua" w:cs="Book Antiqua"/>
          <w:bCs/>
          <w:color w:val="000000"/>
        </w:rPr>
        <w:t xml:space="preserve">Cytomegalovirus (CMV) is a </w:t>
      </w:r>
      <w:r w:rsidR="00767E02" w:rsidRPr="00216D7E">
        <w:rPr>
          <w:rFonts w:ascii="Book Antiqua" w:eastAsia="Book Antiqua" w:hAnsi="Book Antiqua" w:cs="Book Antiqua"/>
          <w:bCs/>
          <w:color w:val="000000"/>
        </w:rPr>
        <w:t xml:space="preserve">herpesviridae </w:t>
      </w:r>
      <w:r w:rsidRPr="00216D7E">
        <w:rPr>
          <w:rFonts w:ascii="Book Antiqua" w:eastAsia="Book Antiqua" w:hAnsi="Book Antiqua" w:cs="Book Antiqua"/>
          <w:bCs/>
          <w:color w:val="000000"/>
        </w:rPr>
        <w:t>family member that causes a spectrum of human illness that is mostly dependent on the host. Infection in an immunocompetent patient is usually asymptomatic or might present as a mononucleosis syndrome. Occasionally, primary CMV infection can lead to severe organ-specific complications with significant morbidity and mortality</w:t>
      </w:r>
      <w:r w:rsidRPr="00216D7E">
        <w:rPr>
          <w:rFonts w:ascii="Book Antiqua" w:eastAsia="Book Antiqua" w:hAnsi="Book Antiqua" w:cs="Book Antiqua"/>
          <w:color w:val="000000"/>
          <w:vertAlign w:val="superscript"/>
        </w:rPr>
        <w:t>[1,2]</w:t>
      </w:r>
      <w:r w:rsidR="00767E02" w:rsidRPr="00216D7E">
        <w:rPr>
          <w:rFonts w:ascii="Book Antiqua" w:eastAsia="Book Antiqua" w:hAnsi="Book Antiqua" w:cs="Book Antiqua"/>
          <w:bCs/>
          <w:color w:val="000000"/>
        </w:rPr>
        <w:t xml:space="preserve">. </w:t>
      </w:r>
      <w:r w:rsidRPr="00216D7E">
        <w:rPr>
          <w:rFonts w:ascii="Book Antiqua" w:eastAsia="Book Antiqua" w:hAnsi="Book Antiqua" w:cs="Book Antiqua"/>
          <w:bCs/>
          <w:color w:val="000000"/>
        </w:rPr>
        <w:t>CMV hepatitis in immunocompetent patients has been reported frequently in the literature, increasing the awareness of this disease</w:t>
      </w:r>
      <w:r w:rsidRPr="00216D7E">
        <w:rPr>
          <w:rFonts w:ascii="Book Antiqua" w:eastAsia="Book Antiqua" w:hAnsi="Book Antiqua" w:cs="Book Antiqua"/>
          <w:color w:val="000000"/>
          <w:vertAlign w:val="superscript"/>
        </w:rPr>
        <w:t>[3]</w:t>
      </w:r>
      <w:r w:rsidR="00767E02" w:rsidRPr="00216D7E">
        <w:rPr>
          <w:rFonts w:ascii="Book Antiqua" w:eastAsia="Book Antiqua" w:hAnsi="Book Antiqua" w:cs="Book Antiqua"/>
          <w:color w:val="000000"/>
        </w:rPr>
        <w:t>.</w:t>
      </w:r>
      <w:r w:rsidRPr="00216D7E">
        <w:rPr>
          <w:rFonts w:ascii="Book Antiqua" w:eastAsia="Book Antiqua" w:hAnsi="Book Antiqua" w:cs="Book Antiqua"/>
          <w:bCs/>
          <w:color w:val="000000"/>
        </w:rPr>
        <w:t xml:space="preserve"> Reports over the last decade have informed us that non-alcoholic fatty liver disease (NAFLD) is a multisystem disease affecting multiple extrahepatic organs and regulatory pathways, proving that NAFLD's clinical burden is not limited to liver-related morbidity and mortality</w:t>
      </w:r>
      <w:r w:rsidRPr="00216D7E">
        <w:rPr>
          <w:rFonts w:ascii="Book Antiqua" w:eastAsia="Book Antiqua" w:hAnsi="Book Antiqua" w:cs="Book Antiqua"/>
          <w:color w:val="000000"/>
          <w:vertAlign w:val="superscript"/>
        </w:rPr>
        <w:t>[4]</w:t>
      </w:r>
      <w:r w:rsidR="00767E02" w:rsidRPr="00216D7E">
        <w:rPr>
          <w:rFonts w:ascii="Book Antiqua" w:eastAsia="Book Antiqua" w:hAnsi="Book Antiqua" w:cs="Book Antiqua"/>
          <w:color w:val="000000"/>
        </w:rPr>
        <w:t>.</w:t>
      </w:r>
      <w:r w:rsidRPr="00216D7E">
        <w:rPr>
          <w:rFonts w:ascii="Book Antiqua" w:eastAsia="Book Antiqua" w:hAnsi="Book Antiqua" w:cs="Book Antiqua"/>
          <w:bCs/>
          <w:color w:val="000000"/>
        </w:rPr>
        <w:t xml:space="preserve"> NAFLD is an excessive infiltration of fat in the liver in individuals not consuming or consuming in small amounts of alcohol defined as ≤ 20 g per day for women and ≤ 30 g per day for men. Diagnosis usually requires the elimination of secondary causes of fatty infiltration of the liver, including </w:t>
      </w:r>
      <w:r w:rsidR="00767E02" w:rsidRPr="00216D7E">
        <w:rPr>
          <w:rFonts w:ascii="Book Antiqua" w:eastAsia="Book Antiqua" w:hAnsi="Book Antiqua" w:cs="Book Antiqua"/>
          <w:bCs/>
          <w:color w:val="000000"/>
        </w:rPr>
        <w:t>hepatitis C virus</w:t>
      </w:r>
      <w:r w:rsidRPr="00216D7E">
        <w:rPr>
          <w:rFonts w:ascii="Book Antiqua" w:eastAsia="Book Antiqua" w:hAnsi="Book Antiqua" w:cs="Book Antiqua"/>
          <w:bCs/>
          <w:color w:val="000000"/>
        </w:rPr>
        <w:t xml:space="preserve"> infection, the use of glucocorticoids, celiac disease, Wilson disease, familial hypobetalipoproteinemia, and autoimmune disorders</w:t>
      </w:r>
      <w:r w:rsidRPr="00216D7E">
        <w:rPr>
          <w:rFonts w:ascii="Book Antiqua" w:eastAsia="Book Antiqua" w:hAnsi="Book Antiqua" w:cs="Book Antiqua"/>
          <w:color w:val="000000"/>
          <w:vertAlign w:val="superscript"/>
        </w:rPr>
        <w:t>[5]</w:t>
      </w:r>
      <w:r w:rsidR="00767E02" w:rsidRPr="00216D7E">
        <w:rPr>
          <w:rFonts w:ascii="Book Antiqua" w:eastAsia="Book Antiqua" w:hAnsi="Book Antiqua" w:cs="Book Antiqua"/>
          <w:color w:val="000000"/>
        </w:rPr>
        <w:t>.</w:t>
      </w:r>
    </w:p>
    <w:bookmarkEnd w:id="19"/>
    <w:bookmarkEnd w:id="20"/>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CASE PRESENTATION</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Chief complaints</w:t>
      </w:r>
    </w:p>
    <w:p w:rsidR="00A77B3E" w:rsidRPr="00216D7E" w:rsidRDefault="009D737D" w:rsidP="00216D7E">
      <w:pPr>
        <w:snapToGrid w:val="0"/>
        <w:spacing w:line="360" w:lineRule="auto"/>
        <w:jc w:val="both"/>
        <w:rPr>
          <w:rFonts w:ascii="Book Antiqua" w:hAnsi="Book Antiqua"/>
        </w:rPr>
      </w:pPr>
      <w:bookmarkStart w:id="21" w:name="OLE_LINK22"/>
      <w:bookmarkStart w:id="22" w:name="OLE_LINK23"/>
      <w:r w:rsidRPr="00216D7E">
        <w:rPr>
          <w:rFonts w:ascii="Book Antiqua" w:eastAsia="Book Antiqua" w:hAnsi="Book Antiqua" w:cs="Book Antiqua"/>
          <w:bCs/>
          <w:color w:val="000000"/>
        </w:rPr>
        <w:t>Six-day history of fever, night sweats, myalgia, nausea, and vomiting.</w:t>
      </w:r>
    </w:p>
    <w:bookmarkEnd w:id="21"/>
    <w:bookmarkEnd w:id="22"/>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History of present illness</w:t>
      </w:r>
    </w:p>
    <w:p w:rsidR="00A77B3E" w:rsidRPr="00216D7E" w:rsidRDefault="009D737D" w:rsidP="00216D7E">
      <w:pPr>
        <w:snapToGrid w:val="0"/>
        <w:spacing w:line="360" w:lineRule="auto"/>
        <w:jc w:val="both"/>
        <w:rPr>
          <w:rFonts w:ascii="Book Antiqua" w:hAnsi="Book Antiqua"/>
        </w:rPr>
      </w:pPr>
      <w:bookmarkStart w:id="23" w:name="OLE_LINK24"/>
      <w:bookmarkStart w:id="24" w:name="OLE_LINK25"/>
      <w:r w:rsidRPr="00216D7E">
        <w:rPr>
          <w:rFonts w:ascii="Book Antiqua" w:eastAsia="Book Antiqua" w:hAnsi="Book Antiqua" w:cs="Book Antiqua"/>
          <w:bCs/>
          <w:color w:val="000000"/>
        </w:rPr>
        <w:t xml:space="preserve">A 34-year-old Hispanic female presents to the emergency room (ER) with a six-day history of fever, night sweats, myalgia, nausea, and vomiting. </w:t>
      </w:r>
      <w:r w:rsidR="00767E02" w:rsidRPr="00216D7E">
        <w:rPr>
          <w:rFonts w:ascii="Book Antiqua" w:eastAsia="Book Antiqua" w:hAnsi="Book Antiqua" w:cs="Book Antiqua"/>
          <w:bCs/>
          <w:color w:val="000000"/>
        </w:rPr>
        <w:t>Coronavirus disease 2019</w:t>
      </w:r>
      <w:r w:rsidRPr="00216D7E">
        <w:rPr>
          <w:rFonts w:ascii="Book Antiqua" w:eastAsia="Book Antiqua" w:hAnsi="Book Antiqua" w:cs="Book Antiqua"/>
          <w:bCs/>
          <w:color w:val="000000"/>
        </w:rPr>
        <w:t xml:space="preserve"> testing was negative, and she was sent home on antiemetics. She developed intermittent abdominal pain in the right upper quadrant of 5/10 intensity, sharp, non-radiating associated with mild headache and lightheadedness that prompted her to return to the ER. She has no sick contacts. She is up to date on</w:t>
      </w:r>
      <w:r w:rsidRPr="00216D7E">
        <w:rPr>
          <w:rFonts w:ascii="Book Antiqua" w:eastAsia="Book Antiqua" w:hAnsi="Book Antiqua" w:cs="Book Antiqua"/>
          <w:b/>
          <w:bCs/>
          <w:color w:val="000000"/>
        </w:rPr>
        <w:t xml:space="preserve"> </w:t>
      </w:r>
      <w:r w:rsidRPr="00216D7E">
        <w:rPr>
          <w:rFonts w:ascii="Book Antiqua" w:eastAsia="Book Antiqua" w:hAnsi="Book Antiqua" w:cs="Book Antiqua"/>
          <w:bCs/>
          <w:color w:val="000000"/>
        </w:rPr>
        <w:t>her vaccinations, monogamous, practices all social distancing precautions, and is a housewife and a mother of 3 healthy children. She denies having pain with any specific foods, including fatty foods, recent travel, IV drug abuse, alcohol, smoking, and all other symptoms. Her only medications were Ondansetron and Acetaminophen.</w:t>
      </w:r>
    </w:p>
    <w:bookmarkEnd w:id="23"/>
    <w:bookmarkEnd w:id="24"/>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History of past illness</w:t>
      </w:r>
    </w:p>
    <w:p w:rsidR="00A77B3E" w:rsidRPr="00216D7E" w:rsidRDefault="009D737D" w:rsidP="00216D7E">
      <w:pPr>
        <w:snapToGrid w:val="0"/>
        <w:spacing w:line="360" w:lineRule="auto"/>
        <w:jc w:val="both"/>
        <w:rPr>
          <w:rFonts w:ascii="Book Antiqua" w:hAnsi="Book Antiqua"/>
        </w:rPr>
      </w:pPr>
      <w:bookmarkStart w:id="25" w:name="OLE_LINK26"/>
      <w:bookmarkStart w:id="26" w:name="OLE_LINK27"/>
      <w:r w:rsidRPr="00216D7E">
        <w:rPr>
          <w:rFonts w:ascii="Book Antiqua" w:eastAsia="Book Antiqua" w:hAnsi="Book Antiqua" w:cs="Book Antiqua"/>
          <w:bCs/>
          <w:color w:val="000000"/>
        </w:rPr>
        <w:t>Remote history of intermittent asthma.</w:t>
      </w:r>
    </w:p>
    <w:bookmarkEnd w:id="25"/>
    <w:bookmarkEnd w:id="26"/>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Personal and family history</w:t>
      </w:r>
    </w:p>
    <w:p w:rsidR="00A77B3E" w:rsidRPr="00216D7E" w:rsidRDefault="009D737D" w:rsidP="00216D7E">
      <w:pPr>
        <w:snapToGrid w:val="0"/>
        <w:spacing w:line="360" w:lineRule="auto"/>
        <w:jc w:val="both"/>
        <w:rPr>
          <w:rFonts w:ascii="Book Antiqua" w:hAnsi="Book Antiqua"/>
        </w:rPr>
      </w:pPr>
      <w:bookmarkStart w:id="27" w:name="OLE_LINK28"/>
      <w:bookmarkStart w:id="28" w:name="OLE_LINK29"/>
      <w:r w:rsidRPr="00216D7E">
        <w:rPr>
          <w:rFonts w:ascii="Book Antiqua" w:eastAsia="Book Antiqua" w:hAnsi="Book Antiqua" w:cs="Book Antiqua"/>
          <w:bCs/>
          <w:color w:val="000000"/>
        </w:rPr>
        <w:t>Family history is remarkable for diabetes.</w:t>
      </w:r>
    </w:p>
    <w:bookmarkEnd w:id="27"/>
    <w:bookmarkEnd w:id="28"/>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Physical examination</w:t>
      </w:r>
    </w:p>
    <w:p w:rsidR="00A77B3E" w:rsidRPr="00216D7E" w:rsidRDefault="009D737D" w:rsidP="00216D7E">
      <w:pPr>
        <w:snapToGrid w:val="0"/>
        <w:spacing w:line="360" w:lineRule="auto"/>
        <w:jc w:val="both"/>
        <w:rPr>
          <w:rFonts w:ascii="Book Antiqua" w:hAnsi="Book Antiqua"/>
        </w:rPr>
      </w:pPr>
      <w:bookmarkStart w:id="29" w:name="OLE_LINK30"/>
      <w:bookmarkStart w:id="30" w:name="OLE_LINK31"/>
      <w:r w:rsidRPr="00216D7E">
        <w:rPr>
          <w:rFonts w:ascii="Book Antiqua" w:eastAsia="Book Antiqua" w:hAnsi="Book Antiqua" w:cs="Book Antiqua"/>
          <w:bCs/>
          <w:color w:val="000000"/>
        </w:rPr>
        <w:t>On physical exam, her body mass index is 33.1</w:t>
      </w:r>
      <w:r w:rsidR="006D55B7" w:rsidRPr="00216D7E">
        <w:rPr>
          <w:rFonts w:ascii="Book Antiqua" w:eastAsia="Book Antiqua" w:hAnsi="Book Antiqua" w:cs="Book Antiqua"/>
          <w:bCs/>
          <w:color w:val="000000"/>
        </w:rPr>
        <w:t xml:space="preserve"> </w:t>
      </w:r>
      <w:r w:rsidRPr="00216D7E">
        <w:rPr>
          <w:rFonts w:ascii="Book Antiqua" w:eastAsia="Book Antiqua" w:hAnsi="Book Antiqua" w:cs="Book Antiqua"/>
          <w:bCs/>
          <w:color w:val="000000"/>
        </w:rPr>
        <w:t>kg/m</w:t>
      </w:r>
      <w:r w:rsidR="006D55B7" w:rsidRPr="00216D7E">
        <w:rPr>
          <w:rFonts w:ascii="Book Antiqua" w:eastAsia="Book Antiqua" w:hAnsi="Book Antiqua" w:cs="Book Antiqua"/>
          <w:bCs/>
          <w:color w:val="000000"/>
        </w:rPr>
        <w:t>²; she has a temperature of 101.</w:t>
      </w:r>
      <w:r w:rsidRPr="00216D7E">
        <w:rPr>
          <w:rFonts w:ascii="Book Antiqua" w:eastAsia="Book Antiqua" w:hAnsi="Book Antiqua" w:cs="Book Antiqua"/>
          <w:bCs/>
          <w:color w:val="000000"/>
        </w:rPr>
        <w:t>2 F and is mildly tender to palpation in the epigastric area. Otherwise, her physical exam is benign.</w:t>
      </w:r>
    </w:p>
    <w:bookmarkEnd w:id="29"/>
    <w:bookmarkEnd w:id="30"/>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Laboratory examinations</w:t>
      </w:r>
    </w:p>
    <w:p w:rsidR="00A77B3E" w:rsidRPr="00216D7E" w:rsidRDefault="009D737D" w:rsidP="00216D7E">
      <w:pPr>
        <w:snapToGrid w:val="0"/>
        <w:spacing w:line="360" w:lineRule="auto"/>
        <w:jc w:val="both"/>
        <w:rPr>
          <w:rFonts w:ascii="Book Antiqua" w:hAnsi="Book Antiqua"/>
        </w:rPr>
      </w:pPr>
      <w:bookmarkStart w:id="31" w:name="OLE_LINK32"/>
      <w:bookmarkStart w:id="32" w:name="OLE_LINK33"/>
      <w:r w:rsidRPr="00216D7E">
        <w:rPr>
          <w:rFonts w:ascii="Book Antiqua" w:eastAsia="Book Antiqua" w:hAnsi="Book Antiqua" w:cs="Book Antiqua"/>
          <w:bCs/>
          <w:color w:val="000000"/>
        </w:rPr>
        <w:t>Labora</w:t>
      </w:r>
      <w:r w:rsidR="006D55B7" w:rsidRPr="00216D7E">
        <w:rPr>
          <w:rFonts w:ascii="Book Antiqua" w:eastAsia="Book Antiqua" w:hAnsi="Book Antiqua" w:cs="Book Antiqua"/>
          <w:bCs/>
          <w:color w:val="000000"/>
        </w:rPr>
        <w:t>tory studies are shown in Table</w:t>
      </w:r>
      <w:r w:rsidR="00216D7E">
        <w:rPr>
          <w:rFonts w:ascii="Book Antiqua" w:eastAsia="Book Antiqua" w:hAnsi="Book Antiqua" w:cs="Book Antiqua"/>
          <w:bCs/>
          <w:color w:val="000000"/>
        </w:rPr>
        <w:t>s</w:t>
      </w:r>
      <w:r w:rsidR="006D55B7" w:rsidRPr="00216D7E">
        <w:rPr>
          <w:rFonts w:ascii="Book Antiqua" w:eastAsia="Book Antiqua" w:hAnsi="Book Antiqua" w:cs="Book Antiqua"/>
          <w:bCs/>
          <w:color w:val="000000"/>
        </w:rPr>
        <w:t xml:space="preserve"> </w:t>
      </w:r>
      <w:r w:rsidRPr="00216D7E">
        <w:rPr>
          <w:rFonts w:ascii="Book Antiqua" w:eastAsia="Book Antiqua" w:hAnsi="Book Antiqua" w:cs="Book Antiqua"/>
          <w:bCs/>
          <w:color w:val="000000"/>
        </w:rPr>
        <w:t>1</w:t>
      </w:r>
      <w:r w:rsidR="00216D7E">
        <w:rPr>
          <w:rFonts w:ascii="Book Antiqua" w:eastAsia="Book Antiqua" w:hAnsi="Book Antiqua" w:cs="Book Antiqua"/>
          <w:bCs/>
          <w:color w:val="000000"/>
        </w:rPr>
        <w:t xml:space="preserve"> and 2</w:t>
      </w:r>
      <w:r w:rsidRPr="00216D7E">
        <w:rPr>
          <w:rFonts w:ascii="Book Antiqua" w:eastAsia="Book Antiqua" w:hAnsi="Book Antiqua" w:cs="Book Antiqua"/>
          <w:bCs/>
          <w:color w:val="000000"/>
        </w:rPr>
        <w:t>.</w:t>
      </w:r>
    </w:p>
    <w:bookmarkEnd w:id="31"/>
    <w:bookmarkEnd w:id="32"/>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i/>
          <w:color w:val="000000"/>
        </w:rPr>
        <w:t>Imaging examinations</w:t>
      </w:r>
    </w:p>
    <w:p w:rsidR="00A77B3E" w:rsidRPr="00216D7E" w:rsidRDefault="009D737D" w:rsidP="00216D7E">
      <w:pPr>
        <w:snapToGrid w:val="0"/>
        <w:spacing w:line="360" w:lineRule="auto"/>
        <w:jc w:val="both"/>
        <w:rPr>
          <w:rFonts w:ascii="Book Antiqua" w:hAnsi="Book Antiqua"/>
        </w:rPr>
      </w:pPr>
      <w:bookmarkStart w:id="33" w:name="OLE_LINK34"/>
      <w:bookmarkStart w:id="34" w:name="OLE_LINK35"/>
      <w:r w:rsidRPr="00216D7E">
        <w:rPr>
          <w:rFonts w:ascii="Book Antiqua" w:eastAsia="Book Antiqua" w:hAnsi="Book Antiqua" w:cs="Book Antiqua"/>
          <w:bCs/>
          <w:color w:val="000000"/>
        </w:rPr>
        <w:t xml:space="preserve">Radiologic studies revealed </w:t>
      </w:r>
      <w:r w:rsidR="006D55B7" w:rsidRPr="00216D7E">
        <w:rPr>
          <w:rFonts w:ascii="Book Antiqua" w:eastAsia="Book Antiqua" w:hAnsi="Book Antiqua" w:cs="Book Antiqua"/>
          <w:bCs/>
          <w:color w:val="000000"/>
        </w:rPr>
        <w:t>fatty liver, as shown in Figure</w:t>
      </w:r>
      <w:r w:rsidR="001126DD" w:rsidRPr="00216D7E">
        <w:rPr>
          <w:rFonts w:ascii="Book Antiqua" w:eastAsia="Book Antiqua" w:hAnsi="Book Antiqua" w:cs="Book Antiqua"/>
          <w:bCs/>
          <w:color w:val="000000"/>
        </w:rPr>
        <w:t>s</w:t>
      </w:r>
      <w:r w:rsidR="006D55B7" w:rsidRPr="00216D7E">
        <w:rPr>
          <w:rFonts w:ascii="Book Antiqua" w:eastAsia="Book Antiqua" w:hAnsi="Book Antiqua" w:cs="Book Antiqua"/>
          <w:bCs/>
          <w:color w:val="000000"/>
        </w:rPr>
        <w:t xml:space="preserve"> </w:t>
      </w:r>
      <w:r w:rsidRPr="00216D7E">
        <w:rPr>
          <w:rFonts w:ascii="Book Antiqua" w:eastAsia="Book Antiqua" w:hAnsi="Book Antiqua" w:cs="Book Antiqua"/>
          <w:bCs/>
          <w:color w:val="000000"/>
        </w:rPr>
        <w:t>1</w:t>
      </w:r>
      <w:r w:rsidR="001126DD" w:rsidRPr="00216D7E">
        <w:rPr>
          <w:rFonts w:ascii="Book Antiqua" w:eastAsia="Book Antiqua" w:hAnsi="Book Antiqua" w:cs="Book Antiqua"/>
          <w:bCs/>
          <w:color w:val="000000"/>
        </w:rPr>
        <w:t xml:space="preserve"> and 2</w:t>
      </w:r>
      <w:r w:rsidRPr="00216D7E">
        <w:rPr>
          <w:rFonts w:ascii="Book Antiqua" w:eastAsia="Book Antiqua" w:hAnsi="Book Antiqua" w:cs="Book Antiqua"/>
          <w:bCs/>
          <w:color w:val="000000"/>
        </w:rPr>
        <w:t>, compared to normal liver imaging in 2015.</w:t>
      </w:r>
    </w:p>
    <w:bookmarkEnd w:id="33"/>
    <w:bookmarkEnd w:id="34"/>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FINAL DIAGNOSIS</w:t>
      </w:r>
    </w:p>
    <w:p w:rsidR="00A77B3E" w:rsidRPr="00216D7E" w:rsidRDefault="009D737D" w:rsidP="00216D7E">
      <w:pPr>
        <w:snapToGrid w:val="0"/>
        <w:spacing w:line="360" w:lineRule="auto"/>
        <w:jc w:val="both"/>
        <w:rPr>
          <w:rFonts w:ascii="Book Antiqua" w:hAnsi="Book Antiqua"/>
        </w:rPr>
      </w:pPr>
      <w:bookmarkStart w:id="35" w:name="OLE_LINK36"/>
      <w:bookmarkStart w:id="36" w:name="OLE_LINK37"/>
      <w:r w:rsidRPr="00216D7E">
        <w:rPr>
          <w:rFonts w:ascii="Book Antiqua" w:eastAsia="Book Antiqua" w:hAnsi="Book Antiqua" w:cs="Book Antiqua"/>
          <w:bCs/>
          <w:color w:val="000000"/>
        </w:rPr>
        <w:t>CMV Hepatitis in the setting of NAFLD. She is admitted for observation and found to have CM</w:t>
      </w:r>
      <w:r w:rsidR="006D55B7" w:rsidRPr="00216D7E">
        <w:rPr>
          <w:rFonts w:ascii="Book Antiqua" w:eastAsia="Book Antiqua" w:hAnsi="Book Antiqua" w:cs="Book Antiqua"/>
          <w:bCs/>
          <w:color w:val="000000"/>
        </w:rPr>
        <w:t>V hepatitis, as shown in Table</w:t>
      </w:r>
      <w:r w:rsidR="00216D7E">
        <w:rPr>
          <w:rFonts w:ascii="Book Antiqua" w:eastAsia="Book Antiqua" w:hAnsi="Book Antiqua" w:cs="Book Antiqua"/>
          <w:bCs/>
          <w:color w:val="000000"/>
        </w:rPr>
        <w:t>s</w:t>
      </w:r>
      <w:r w:rsidR="006D55B7" w:rsidRPr="00216D7E">
        <w:rPr>
          <w:rFonts w:ascii="Book Antiqua" w:eastAsia="Book Antiqua" w:hAnsi="Book Antiqua" w:cs="Book Antiqua"/>
          <w:bCs/>
          <w:color w:val="000000"/>
        </w:rPr>
        <w:t xml:space="preserve"> 1</w:t>
      </w:r>
      <w:r w:rsidR="00216D7E">
        <w:rPr>
          <w:rFonts w:ascii="Book Antiqua" w:eastAsia="Book Antiqua" w:hAnsi="Book Antiqua" w:cs="Book Antiqua"/>
          <w:bCs/>
          <w:color w:val="000000"/>
        </w:rPr>
        <w:t xml:space="preserve"> and 2</w:t>
      </w:r>
      <w:r w:rsidRPr="00216D7E">
        <w:rPr>
          <w:rFonts w:ascii="Book Antiqua" w:eastAsia="Book Antiqua" w:hAnsi="Book Antiqua" w:cs="Book Antiqua"/>
          <w:bCs/>
          <w:color w:val="000000"/>
        </w:rPr>
        <w:t>.</w:t>
      </w:r>
    </w:p>
    <w:bookmarkEnd w:id="35"/>
    <w:bookmarkEnd w:id="36"/>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TREATMENT</w:t>
      </w:r>
    </w:p>
    <w:p w:rsidR="00A77B3E" w:rsidRPr="00216D7E" w:rsidRDefault="009D737D" w:rsidP="00216D7E">
      <w:pPr>
        <w:snapToGrid w:val="0"/>
        <w:spacing w:line="360" w:lineRule="auto"/>
        <w:jc w:val="both"/>
        <w:rPr>
          <w:rFonts w:ascii="Book Antiqua" w:hAnsi="Book Antiqua"/>
        </w:rPr>
      </w:pPr>
      <w:bookmarkStart w:id="37" w:name="OLE_LINK38"/>
      <w:bookmarkStart w:id="38" w:name="OLE_LINK39"/>
      <w:r w:rsidRPr="00216D7E">
        <w:rPr>
          <w:rFonts w:ascii="Book Antiqua" w:eastAsia="Book Antiqua" w:hAnsi="Book Antiqua" w:cs="Book Antiqua"/>
          <w:bCs/>
          <w:color w:val="000000"/>
        </w:rPr>
        <w:t>Supportive treatment with Ibuprofen 400 mg every 6 h for fever.</w:t>
      </w:r>
    </w:p>
    <w:bookmarkEnd w:id="37"/>
    <w:bookmarkEnd w:id="38"/>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OUTCOME AND FOLLOW-UP</w:t>
      </w:r>
    </w:p>
    <w:p w:rsidR="00A77B3E" w:rsidRPr="00216D7E" w:rsidRDefault="009D737D" w:rsidP="00216D7E">
      <w:pPr>
        <w:snapToGrid w:val="0"/>
        <w:spacing w:line="360" w:lineRule="auto"/>
        <w:jc w:val="both"/>
        <w:rPr>
          <w:rFonts w:ascii="Book Antiqua" w:hAnsi="Book Antiqua"/>
        </w:rPr>
      </w:pPr>
      <w:bookmarkStart w:id="39" w:name="OLE_LINK40"/>
      <w:bookmarkStart w:id="40" w:name="OLE_LINK41"/>
      <w:r w:rsidRPr="00216D7E">
        <w:rPr>
          <w:rFonts w:ascii="Book Antiqua" w:eastAsia="Book Antiqua" w:hAnsi="Book Antiqua" w:cs="Book Antiqua"/>
          <w:bCs/>
          <w:color w:val="000000"/>
        </w:rPr>
        <w:t>She was discharged home and instructed to follow up with both her primary care doctor and the Gastroenterologist. Education was provided on a low-fat diet, exercise, and the importance of weight loss. One week after discharge, she was seen in the primary clinic for follow up. She reported continuous yet less frequent symptoms of fever, myalgias, and night sweats controlled with Acetaminophen, Ibuprofen, and Ondansetron. Her liver enzymes were trending down. Two weeks after discharge, she was symptom-free with normalized liver enzymes.</w:t>
      </w:r>
    </w:p>
    <w:bookmarkEnd w:id="39"/>
    <w:bookmarkEnd w:id="40"/>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DISCUSSION</w:t>
      </w:r>
    </w:p>
    <w:p w:rsidR="00A77B3E" w:rsidRPr="00216D7E" w:rsidRDefault="009D737D" w:rsidP="00216D7E">
      <w:pPr>
        <w:snapToGrid w:val="0"/>
        <w:spacing w:line="360" w:lineRule="auto"/>
        <w:jc w:val="both"/>
        <w:rPr>
          <w:rFonts w:ascii="Book Antiqua" w:hAnsi="Book Antiqua"/>
        </w:rPr>
      </w:pPr>
      <w:bookmarkStart w:id="41" w:name="OLE_LINK42"/>
      <w:bookmarkStart w:id="42" w:name="OLE_LINK43"/>
      <w:r w:rsidRPr="00216D7E">
        <w:rPr>
          <w:rFonts w:ascii="Book Antiqua" w:eastAsia="Book Antiqua" w:hAnsi="Book Antiqua" w:cs="Book Antiqua"/>
          <w:color w:val="000000"/>
        </w:rPr>
        <w:t>The liver is a unique immune environment containing lymphocytes, monocytes, Kupffer cells, Natural-killers, astrocytes dendritic, and many other immigrant cells associated with the immune system. It is responsible for synthesizing various proteins such as acute-phase proteins, complements, cytokines, chemokines, lipid messengers, and reactive oxygen species. Insulin resistance, oxidative stress, endoplasmic reticulum stress, endotoxins from the intestinal flora, and genetic predispositions are all involved in developing NAFLD, causing an imbalance of the immune system in the liver</w:t>
      </w:r>
      <w:r w:rsidRPr="00216D7E">
        <w:rPr>
          <w:rFonts w:ascii="Book Antiqua" w:eastAsia="Book Antiqua" w:hAnsi="Book Antiqua" w:cs="Book Antiqua"/>
          <w:color w:val="000000"/>
          <w:vertAlign w:val="superscript"/>
        </w:rPr>
        <w:t>[4,5]</w:t>
      </w:r>
      <w:r w:rsidR="006D55B7" w:rsidRPr="00216D7E">
        <w:rPr>
          <w:rFonts w:ascii="Book Antiqua" w:eastAsia="Book Antiqua" w:hAnsi="Book Antiqua" w:cs="Book Antiqua"/>
          <w:color w:val="000000"/>
        </w:rPr>
        <w:t>.</w:t>
      </w:r>
      <w:r w:rsidRPr="00216D7E">
        <w:rPr>
          <w:rFonts w:ascii="Book Antiqua" w:eastAsia="Book Antiqua" w:hAnsi="Book Antiqua" w:cs="Book Antiqua"/>
          <w:color w:val="000000"/>
        </w:rPr>
        <w:t xml:space="preserve"> This imbalance translates as an elevation of Interleukin-6 (IL-6), IL-15,</w:t>
      </w:r>
      <w:r w:rsidR="00F305FF" w:rsidRPr="00216D7E">
        <w:rPr>
          <w:rFonts w:ascii="Book Antiqua" w:eastAsia="Book Antiqua" w:hAnsi="Book Antiqua" w:cs="Book Antiqua"/>
          <w:color w:val="000000"/>
        </w:rPr>
        <w:t xml:space="preserve"> </w:t>
      </w:r>
      <w:r w:rsidRPr="00216D7E">
        <w:rPr>
          <w:rFonts w:ascii="Book Antiqua" w:eastAsia="Book Antiqua" w:hAnsi="Book Antiqua" w:cs="Book Antiqua"/>
          <w:color w:val="000000"/>
        </w:rPr>
        <w:t>IL-17, IL18, Tumor Necrosis Factor-alpha, Interferon gamma-induced protein 10, and Transforming growth factor beta-3</w:t>
      </w:r>
      <w:r w:rsidRPr="00216D7E">
        <w:rPr>
          <w:rFonts w:ascii="Book Antiqua" w:eastAsia="Book Antiqua" w:hAnsi="Book Antiqua" w:cs="Book Antiqua"/>
          <w:color w:val="000000"/>
          <w:vertAlign w:val="superscript"/>
        </w:rPr>
        <w:t>[5]</w:t>
      </w:r>
      <w:r w:rsidR="006D55B7" w:rsidRPr="00216D7E">
        <w:rPr>
          <w:rFonts w:ascii="Book Antiqua" w:eastAsia="Book Antiqua" w:hAnsi="Book Antiqua" w:cs="Book Antiqua"/>
          <w:color w:val="000000"/>
        </w:rPr>
        <w:t>.</w:t>
      </w:r>
      <w:r w:rsidRPr="00216D7E">
        <w:rPr>
          <w:rFonts w:ascii="Book Antiqua" w:eastAsia="Book Antiqua" w:hAnsi="Book Antiqua" w:cs="Book Antiqua"/>
          <w:color w:val="000000"/>
        </w:rPr>
        <w:t xml:space="preserve"> A recently published study where authors reported NAFLD's significance as a significant risk factor affecting the severity of </w:t>
      </w:r>
      <w:r w:rsidR="00767E02" w:rsidRPr="00216D7E">
        <w:rPr>
          <w:rFonts w:ascii="Book Antiqua" w:eastAsia="Book Antiqua" w:hAnsi="Book Antiqua" w:cs="Book Antiqua"/>
          <w:color w:val="000000"/>
        </w:rPr>
        <w:t>coronavirus disease 2019</w:t>
      </w:r>
      <w:r w:rsidRPr="00216D7E">
        <w:rPr>
          <w:rFonts w:ascii="Book Antiqua" w:eastAsia="Book Antiqua" w:hAnsi="Book Antiqua" w:cs="Book Antiqua"/>
          <w:color w:val="000000"/>
        </w:rPr>
        <w:t xml:space="preserve"> emphasizes the importance of this imbalance</w:t>
      </w:r>
      <w:r w:rsidRPr="00216D7E">
        <w:rPr>
          <w:rFonts w:ascii="Book Antiqua" w:eastAsia="Book Antiqua" w:hAnsi="Book Antiqua" w:cs="Book Antiqua"/>
          <w:color w:val="000000"/>
          <w:vertAlign w:val="superscript"/>
        </w:rPr>
        <w:t>[6]</w:t>
      </w:r>
      <w:r w:rsidR="006D55B7" w:rsidRPr="00216D7E">
        <w:rPr>
          <w:rFonts w:ascii="Book Antiqua" w:eastAsia="Book Antiqua" w:hAnsi="Book Antiqua" w:cs="Book Antiqua"/>
          <w:color w:val="000000"/>
        </w:rPr>
        <w:t>.</w:t>
      </w:r>
    </w:p>
    <w:bookmarkEnd w:id="41"/>
    <w:bookmarkEnd w:id="42"/>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aps/>
          <w:color w:val="000000"/>
          <w:u w:val="single"/>
        </w:rPr>
        <w:t>CONCLUSION</w:t>
      </w:r>
    </w:p>
    <w:p w:rsidR="00A77B3E" w:rsidRPr="00216D7E" w:rsidRDefault="009D737D" w:rsidP="00216D7E">
      <w:pPr>
        <w:snapToGrid w:val="0"/>
        <w:spacing w:line="360" w:lineRule="auto"/>
        <w:jc w:val="both"/>
        <w:rPr>
          <w:rFonts w:ascii="Book Antiqua" w:hAnsi="Book Antiqua"/>
        </w:rPr>
      </w:pPr>
      <w:bookmarkStart w:id="43" w:name="OLE_LINK44"/>
      <w:bookmarkStart w:id="44" w:name="OLE_LINK45"/>
      <w:r w:rsidRPr="00216D7E">
        <w:rPr>
          <w:rFonts w:ascii="Book Antiqua" w:eastAsia="Book Antiqua" w:hAnsi="Book Antiqua" w:cs="Book Antiqua"/>
          <w:bCs/>
          <w:color w:val="000000"/>
        </w:rPr>
        <w:t>Finally, in the U</w:t>
      </w:r>
      <w:r w:rsidR="006D55B7" w:rsidRPr="00216D7E">
        <w:rPr>
          <w:rFonts w:ascii="Book Antiqua" w:eastAsia="Book Antiqua" w:hAnsi="Book Antiqua" w:cs="Book Antiqua"/>
          <w:bCs/>
          <w:color w:val="000000"/>
        </w:rPr>
        <w:t xml:space="preserve">nited </w:t>
      </w:r>
      <w:r w:rsidRPr="00216D7E">
        <w:rPr>
          <w:rFonts w:ascii="Book Antiqua" w:eastAsia="Book Antiqua" w:hAnsi="Book Antiqua" w:cs="Book Antiqua"/>
          <w:bCs/>
          <w:color w:val="000000"/>
        </w:rPr>
        <w:t>S</w:t>
      </w:r>
      <w:r w:rsidR="006D55B7" w:rsidRPr="00216D7E">
        <w:rPr>
          <w:rFonts w:ascii="Book Antiqua" w:eastAsia="Book Antiqua" w:hAnsi="Book Antiqua" w:cs="Book Antiqua"/>
          <w:bCs/>
          <w:color w:val="000000"/>
        </w:rPr>
        <w:t>tates</w:t>
      </w:r>
      <w:r w:rsidRPr="00216D7E">
        <w:rPr>
          <w:rFonts w:ascii="Book Antiqua" w:eastAsia="Book Antiqua" w:hAnsi="Book Antiqua" w:cs="Book Antiqua"/>
          <w:bCs/>
          <w:color w:val="000000"/>
        </w:rPr>
        <w:t>, with an estimated 25 percent of the population with NAFLD, and almost 80 percent of adults having CMV infection by age 40, it is essential to consider NAFLD and it’s disease mechanisms’ localized immunosuppression, as a risk factor of CMV hepatitis. Further studies and research are required to understand NAFLD as a risk for viral diseases.</w:t>
      </w:r>
    </w:p>
    <w:bookmarkEnd w:id="43"/>
    <w:bookmarkEnd w:id="44"/>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REFERENCES</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1 </w:t>
      </w:r>
      <w:r w:rsidRPr="00216D7E">
        <w:rPr>
          <w:rFonts w:ascii="Book Antiqua" w:hAnsi="Book Antiqua"/>
          <w:b/>
          <w:bCs/>
        </w:rPr>
        <w:t>Horwitz CA</w:t>
      </w:r>
      <w:r w:rsidRPr="00216D7E">
        <w:rPr>
          <w:rFonts w:ascii="Book Antiqua" w:hAnsi="Book Antiqua"/>
        </w:rPr>
        <w:t xml:space="preserve">, Henle W, Henle G, Snover D, Rudnick H, Balfour HH Jr, Mazur MH, Watson R, Schwartz B, Muller N. Clinical and laboratory evaluation of cytomegalovirus-induced mononucleosis in previously healthy individuals. Report of 82 cases. </w:t>
      </w:r>
      <w:r w:rsidRPr="00216D7E">
        <w:rPr>
          <w:rFonts w:ascii="Book Antiqua" w:hAnsi="Book Antiqua"/>
          <w:i/>
          <w:iCs/>
        </w:rPr>
        <w:t>Medicine (Baltimore)</w:t>
      </w:r>
      <w:r w:rsidRPr="00216D7E">
        <w:rPr>
          <w:rFonts w:ascii="Book Antiqua" w:hAnsi="Book Antiqua"/>
        </w:rPr>
        <w:t xml:space="preserve"> 1986; </w:t>
      </w:r>
      <w:r w:rsidRPr="00216D7E">
        <w:rPr>
          <w:rFonts w:ascii="Book Antiqua" w:hAnsi="Book Antiqua"/>
          <w:b/>
          <w:bCs/>
        </w:rPr>
        <w:t>65</w:t>
      </w:r>
      <w:r w:rsidRPr="00216D7E">
        <w:rPr>
          <w:rFonts w:ascii="Book Antiqua" w:hAnsi="Book Antiqua"/>
        </w:rPr>
        <w:t>: 124-134 [PMID: 3005799 DOI: 10.1097/00005792-198603000-00005]</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2 </w:t>
      </w:r>
      <w:r w:rsidRPr="00216D7E">
        <w:rPr>
          <w:rFonts w:ascii="Book Antiqua" w:hAnsi="Book Antiqua"/>
          <w:b/>
          <w:bCs/>
        </w:rPr>
        <w:t>Cohen JI</w:t>
      </w:r>
      <w:r w:rsidRPr="00216D7E">
        <w:rPr>
          <w:rFonts w:ascii="Book Antiqua" w:hAnsi="Book Antiqua"/>
        </w:rPr>
        <w:t xml:space="preserve">, Corey GR. Cytomegalovirus infection in the normal host. </w:t>
      </w:r>
      <w:r w:rsidRPr="00216D7E">
        <w:rPr>
          <w:rFonts w:ascii="Book Antiqua" w:hAnsi="Book Antiqua"/>
          <w:i/>
          <w:iCs/>
        </w:rPr>
        <w:t>Medicine (Baltimore)</w:t>
      </w:r>
      <w:r w:rsidRPr="00216D7E">
        <w:rPr>
          <w:rFonts w:ascii="Book Antiqua" w:hAnsi="Book Antiqua"/>
        </w:rPr>
        <w:t xml:space="preserve"> 1985; </w:t>
      </w:r>
      <w:r w:rsidRPr="00216D7E">
        <w:rPr>
          <w:rFonts w:ascii="Book Antiqua" w:hAnsi="Book Antiqua"/>
          <w:b/>
          <w:bCs/>
        </w:rPr>
        <w:t>64</w:t>
      </w:r>
      <w:r w:rsidRPr="00216D7E">
        <w:rPr>
          <w:rFonts w:ascii="Book Antiqua" w:hAnsi="Book Antiqua"/>
        </w:rPr>
        <w:t>: 100-114 [PMID: 2983175 DOI: 10.1097/00005792-198503000-00003]</w:t>
      </w:r>
    </w:p>
    <w:p w:rsidR="00367CB6" w:rsidRPr="00216D7E" w:rsidRDefault="001D575B" w:rsidP="00216D7E">
      <w:pPr>
        <w:snapToGrid w:val="0"/>
        <w:spacing w:line="360" w:lineRule="auto"/>
        <w:jc w:val="both"/>
        <w:rPr>
          <w:rFonts w:ascii="Book Antiqua" w:hAnsi="Book Antiqua"/>
          <w:bCs/>
        </w:rPr>
      </w:pPr>
      <w:r w:rsidRPr="00216D7E">
        <w:rPr>
          <w:rFonts w:ascii="Book Antiqua" w:hAnsi="Book Antiqua"/>
        </w:rPr>
        <w:t xml:space="preserve">3 </w:t>
      </w:r>
      <w:r w:rsidR="00367CB6" w:rsidRPr="00216D7E">
        <w:rPr>
          <w:rFonts w:ascii="Book Antiqua" w:hAnsi="Book Antiqua"/>
          <w:b/>
          <w:bCs/>
        </w:rPr>
        <w:t>Wreghitt TG,</w:t>
      </w:r>
      <w:r w:rsidR="00367CB6" w:rsidRPr="00216D7E">
        <w:rPr>
          <w:rFonts w:ascii="Book Antiqua" w:hAnsi="Book Antiqua"/>
          <w:bCs/>
        </w:rPr>
        <w:t xml:space="preserve"> Teare EL, Sule O, Devi R, Rice P. Cytomegalovirus infection in immunocompetent patients. </w:t>
      </w:r>
      <w:r w:rsidR="00367CB6" w:rsidRPr="00216D7E">
        <w:rPr>
          <w:rFonts w:ascii="Book Antiqua" w:hAnsi="Book Antiqua"/>
          <w:bCs/>
          <w:i/>
        </w:rPr>
        <w:t>Clin Infect Dis</w:t>
      </w:r>
      <w:r w:rsidR="00367CB6" w:rsidRPr="00216D7E">
        <w:rPr>
          <w:rFonts w:ascii="Book Antiqua" w:hAnsi="Book Antiqua"/>
          <w:bCs/>
        </w:rPr>
        <w:t xml:space="preserve"> 2003; </w:t>
      </w:r>
      <w:r w:rsidR="00367CB6" w:rsidRPr="00216D7E">
        <w:rPr>
          <w:rFonts w:ascii="Book Antiqua" w:hAnsi="Book Antiqua"/>
          <w:b/>
          <w:bCs/>
        </w:rPr>
        <w:t xml:space="preserve">37: </w:t>
      </w:r>
      <w:r w:rsidR="00367CB6" w:rsidRPr="00216D7E">
        <w:rPr>
          <w:rFonts w:ascii="Book Antiqua" w:hAnsi="Book Antiqua"/>
          <w:bCs/>
        </w:rPr>
        <w:t>1603-1606 [PMID: 14689339 DOI: 10.1086/379711]</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4 </w:t>
      </w:r>
      <w:r w:rsidRPr="00216D7E">
        <w:rPr>
          <w:rFonts w:ascii="Book Antiqua" w:hAnsi="Book Antiqua"/>
          <w:b/>
          <w:bCs/>
        </w:rPr>
        <w:t>Byrne CD</w:t>
      </w:r>
      <w:r w:rsidRPr="00216D7E">
        <w:rPr>
          <w:rFonts w:ascii="Book Antiqua" w:hAnsi="Book Antiqua"/>
        </w:rPr>
        <w:t xml:space="preserve">, Targher G. NAFLD: a multisystem disease. </w:t>
      </w:r>
      <w:r w:rsidRPr="00216D7E">
        <w:rPr>
          <w:rFonts w:ascii="Book Antiqua" w:hAnsi="Book Antiqua"/>
          <w:i/>
          <w:iCs/>
        </w:rPr>
        <w:t>J Hepatol</w:t>
      </w:r>
      <w:r w:rsidRPr="00216D7E">
        <w:rPr>
          <w:rFonts w:ascii="Book Antiqua" w:hAnsi="Book Antiqua"/>
        </w:rPr>
        <w:t xml:space="preserve"> 2015; </w:t>
      </w:r>
      <w:r w:rsidRPr="00216D7E">
        <w:rPr>
          <w:rFonts w:ascii="Book Antiqua" w:hAnsi="Book Antiqua"/>
          <w:b/>
          <w:bCs/>
        </w:rPr>
        <w:t>62</w:t>
      </w:r>
      <w:r w:rsidRPr="00216D7E">
        <w:rPr>
          <w:rFonts w:ascii="Book Antiqua" w:hAnsi="Book Antiqua"/>
        </w:rPr>
        <w:t>: S47-S64 [PMID: 25920090 DOI: 10.1016/j.jhep.2014.12.012]</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5 </w:t>
      </w:r>
      <w:r w:rsidRPr="00216D7E">
        <w:rPr>
          <w:rFonts w:ascii="Book Antiqua" w:hAnsi="Book Antiqua"/>
          <w:b/>
          <w:bCs/>
        </w:rPr>
        <w:t>Kosmalski M</w:t>
      </w:r>
      <w:r w:rsidRPr="00216D7E">
        <w:rPr>
          <w:rFonts w:ascii="Book Antiqua" w:hAnsi="Book Antiqua"/>
        </w:rPr>
        <w:t xml:space="preserve">, Mokros Ł, Kuna P, Witusik A, Pietras T. Changes in the immune system - the key to diagnostics and therapy of patients with non-alcoholic fatty liver disease. </w:t>
      </w:r>
      <w:r w:rsidRPr="00216D7E">
        <w:rPr>
          <w:rFonts w:ascii="Book Antiqua" w:hAnsi="Book Antiqua"/>
          <w:i/>
          <w:iCs/>
        </w:rPr>
        <w:t>Cent Eur J Immunol</w:t>
      </w:r>
      <w:r w:rsidRPr="00216D7E">
        <w:rPr>
          <w:rFonts w:ascii="Book Antiqua" w:hAnsi="Book Antiqua"/>
        </w:rPr>
        <w:t xml:space="preserve"> 2018; </w:t>
      </w:r>
      <w:r w:rsidRPr="00216D7E">
        <w:rPr>
          <w:rFonts w:ascii="Book Antiqua" w:hAnsi="Book Antiqua"/>
          <w:b/>
          <w:bCs/>
        </w:rPr>
        <w:t>43</w:t>
      </w:r>
      <w:r w:rsidRPr="00216D7E">
        <w:rPr>
          <w:rFonts w:ascii="Book Antiqua" w:hAnsi="Book Antiqua"/>
        </w:rPr>
        <w:t>: 231-239 [PMID: 30135638 DOI: 10.5114/ceji.2018.77395]</w:t>
      </w:r>
    </w:p>
    <w:p w:rsidR="001D575B" w:rsidRPr="00216D7E" w:rsidRDefault="001D575B" w:rsidP="00216D7E">
      <w:pPr>
        <w:snapToGrid w:val="0"/>
        <w:spacing w:line="360" w:lineRule="auto"/>
        <w:jc w:val="both"/>
        <w:rPr>
          <w:rFonts w:ascii="Book Antiqua" w:hAnsi="Book Antiqua"/>
        </w:rPr>
      </w:pPr>
      <w:r w:rsidRPr="00216D7E">
        <w:rPr>
          <w:rFonts w:ascii="Book Antiqua" w:hAnsi="Book Antiqua"/>
        </w:rPr>
        <w:t xml:space="preserve">6 </w:t>
      </w:r>
      <w:r w:rsidRPr="00216D7E">
        <w:rPr>
          <w:rFonts w:ascii="Book Antiqua" w:hAnsi="Book Antiqua"/>
          <w:b/>
          <w:bCs/>
        </w:rPr>
        <w:t>Boettler T</w:t>
      </w:r>
      <w:r w:rsidRPr="00216D7E">
        <w:rPr>
          <w:rFonts w:ascii="Book Antiqua" w:hAnsi="Book Antiqua"/>
        </w:rPr>
        <w:t xml:space="preserve">, Marjot T, Newsome PN, Mondelli MU, Maticic M, Cordero E, Jalan R, Moreau R, Cornberg M, Berg T. Impact of COVID-19 on the care of patients with liver disease: EASL-ESCMID position paper after 6 months of the pandemic. </w:t>
      </w:r>
      <w:r w:rsidRPr="00216D7E">
        <w:rPr>
          <w:rFonts w:ascii="Book Antiqua" w:hAnsi="Book Antiqua"/>
          <w:i/>
          <w:iCs/>
        </w:rPr>
        <w:t>JHEP Rep</w:t>
      </w:r>
      <w:r w:rsidRPr="00216D7E">
        <w:rPr>
          <w:rFonts w:ascii="Book Antiqua" w:hAnsi="Book Antiqua"/>
        </w:rPr>
        <w:t xml:space="preserve"> 2020; </w:t>
      </w:r>
      <w:r w:rsidRPr="00216D7E">
        <w:rPr>
          <w:rFonts w:ascii="Book Antiqua" w:hAnsi="Book Antiqua"/>
          <w:b/>
          <w:bCs/>
        </w:rPr>
        <w:t>2</w:t>
      </w:r>
      <w:r w:rsidRPr="00216D7E">
        <w:rPr>
          <w:rFonts w:ascii="Book Antiqua" w:hAnsi="Book Antiqua"/>
        </w:rPr>
        <w:t>: 100169 [PMID: 32835190 DOI: 10.1016/j.jhepr.2020.100169]</w:t>
      </w:r>
    </w:p>
    <w:p w:rsidR="001D575B" w:rsidRPr="00216D7E" w:rsidRDefault="001D575B" w:rsidP="00216D7E">
      <w:pPr>
        <w:snapToGrid w:val="0"/>
        <w:spacing w:line="360" w:lineRule="auto"/>
        <w:jc w:val="both"/>
        <w:rPr>
          <w:rFonts w:ascii="Book Antiqua" w:hAnsi="Book Antiqua"/>
        </w:rPr>
        <w:sectPr w:rsidR="001D575B" w:rsidRPr="00216D7E" w:rsidSect="00C9577C">
          <w:pgSz w:w="12240" w:h="15840"/>
          <w:pgMar w:top="1440" w:right="1800" w:bottom="1440" w:left="1800" w:header="720" w:footer="720" w:gutter="0"/>
          <w:cols w:space="720"/>
          <w:docGrid w:linePitch="360"/>
        </w:sect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Footnotes</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Informed consent statement: </w:t>
      </w:r>
      <w:bookmarkStart w:id="45" w:name="OLE_LINK46"/>
      <w:bookmarkStart w:id="46" w:name="OLE_LINK47"/>
      <w:r w:rsidRPr="00216D7E">
        <w:rPr>
          <w:rFonts w:ascii="Book Antiqua" w:eastAsia="Book Antiqua" w:hAnsi="Book Antiqua" w:cs="Book Antiqua"/>
          <w:color w:val="000000"/>
        </w:rPr>
        <w:t>Informed consent was taken from the patient.</w:t>
      </w:r>
      <w:bookmarkEnd w:id="45"/>
      <w:bookmarkEnd w:id="46"/>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Conflict-of-interest statement: </w:t>
      </w:r>
      <w:bookmarkStart w:id="47" w:name="OLE_LINK48"/>
      <w:bookmarkStart w:id="48" w:name="OLE_LINK49"/>
      <w:r w:rsidRPr="00216D7E">
        <w:rPr>
          <w:rFonts w:ascii="Book Antiqua" w:eastAsia="Book Antiqua" w:hAnsi="Book Antiqua" w:cs="Book Antiqua"/>
          <w:color w:val="000000"/>
        </w:rPr>
        <w:t>All authors declare no conflict of interest</w:t>
      </w:r>
      <w:r w:rsidR="007B443A">
        <w:rPr>
          <w:rFonts w:ascii="Book Antiqua" w:eastAsia="Book Antiqua" w:hAnsi="Book Antiqua" w:cs="Book Antiqua"/>
          <w:color w:val="000000"/>
        </w:rPr>
        <w:t>.</w:t>
      </w:r>
    </w:p>
    <w:bookmarkEnd w:id="47"/>
    <w:bookmarkEnd w:id="48"/>
    <w:p w:rsidR="00A77B3E" w:rsidRPr="00216D7E" w:rsidRDefault="00A77B3E" w:rsidP="00216D7E">
      <w:pPr>
        <w:snapToGrid w:val="0"/>
        <w:spacing w:line="360" w:lineRule="auto"/>
        <w:jc w:val="both"/>
        <w:rPr>
          <w:rFonts w:ascii="Book Antiqua" w:hAnsi="Book Antiqua"/>
        </w:rPr>
      </w:pPr>
    </w:p>
    <w:p w:rsidR="00846FF1" w:rsidRPr="00216D7E" w:rsidRDefault="00846FF1" w:rsidP="00216D7E">
      <w:pPr>
        <w:autoSpaceDE w:val="0"/>
        <w:autoSpaceDN w:val="0"/>
        <w:adjustRightInd w:val="0"/>
        <w:snapToGrid w:val="0"/>
        <w:spacing w:line="360" w:lineRule="auto"/>
        <w:jc w:val="both"/>
        <w:rPr>
          <w:rFonts w:ascii="Book Antiqua" w:eastAsia="宋体" w:hAnsi="Book Antiqua"/>
          <w:kern w:val="2"/>
          <w:lang w:eastAsia="zh-CN"/>
        </w:rPr>
      </w:pPr>
      <w:r w:rsidRPr="00216D7E">
        <w:rPr>
          <w:rFonts w:ascii="Book Antiqua" w:hAnsi="Book Antiqua" w:cs="Tahoma"/>
          <w:b/>
          <w:lang w:val="en-GB"/>
        </w:rPr>
        <w:t>CARE Checklist (2016) statement:</w:t>
      </w:r>
      <w:r w:rsidRPr="00216D7E">
        <w:rPr>
          <w:rFonts w:ascii="Book Antiqua" w:hAnsi="Book Antiqua" w:cs="Tahoma"/>
          <w:lang w:val="en-GB"/>
        </w:rPr>
        <w:t xml:space="preserve"> </w:t>
      </w:r>
      <w:bookmarkStart w:id="49" w:name="OLE_LINK50"/>
      <w:bookmarkStart w:id="50" w:name="OLE_LINK51"/>
      <w:r w:rsidRPr="00216D7E">
        <w:rPr>
          <w:rFonts w:ascii="Book Antiqua" w:hAnsi="Book Antiqua" w:cs="TimesNewRomanPSMT"/>
          <w:lang w:val="en-GB"/>
        </w:rPr>
        <w:t>The authors have read the CARE Checklist (2016), and the manuscript was prepared and revised according to the CARE Checklist (2016).</w:t>
      </w:r>
    </w:p>
    <w:bookmarkEnd w:id="49"/>
    <w:bookmarkEnd w:id="50"/>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bCs/>
          <w:color w:val="000000"/>
        </w:rPr>
        <w:t xml:space="preserve">Open-Access: </w:t>
      </w:r>
      <w:r w:rsidRPr="00216D7E">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Manuscript source: </w:t>
      </w:r>
      <w:r w:rsidRPr="00216D7E">
        <w:rPr>
          <w:rFonts w:ascii="Book Antiqua" w:eastAsia="Book Antiqua" w:hAnsi="Book Antiqua" w:cs="Book Antiqua"/>
          <w:color w:val="000000"/>
        </w:rPr>
        <w:t xml:space="preserve">Unsolicited </w:t>
      </w:r>
      <w:r w:rsidR="001D575B" w:rsidRPr="00216D7E">
        <w:rPr>
          <w:rFonts w:ascii="Book Antiqua" w:eastAsia="Book Antiqua" w:hAnsi="Book Antiqua" w:cs="Book Antiqua"/>
          <w:color w:val="000000"/>
        </w:rPr>
        <w:t>manuscript</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Peer-review started: </w:t>
      </w:r>
      <w:r w:rsidRPr="00216D7E">
        <w:rPr>
          <w:rFonts w:ascii="Book Antiqua" w:eastAsia="Book Antiqua" w:hAnsi="Book Antiqua" w:cs="Book Antiqua"/>
          <w:color w:val="000000"/>
        </w:rPr>
        <w:t>November 4, 2020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First decision: </w:t>
      </w:r>
      <w:r w:rsidRPr="00216D7E">
        <w:rPr>
          <w:rFonts w:ascii="Book Antiqua" w:eastAsia="Book Antiqua" w:hAnsi="Book Antiqua" w:cs="Book Antiqua"/>
          <w:color w:val="000000"/>
        </w:rPr>
        <w:t>December 13, 2020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Article in press: </w:t>
      </w:r>
      <w:r w:rsidR="008B4323" w:rsidRPr="006B1D2C">
        <w:rPr>
          <w:rFonts w:ascii="Book Antiqua" w:eastAsia="Book Antiqua" w:hAnsi="Book Antiqua" w:cs="Book Antiqua"/>
          <w:color w:val="000000"/>
        </w:rPr>
        <w:t>December 27, 2020</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Specialty type: </w:t>
      </w:r>
      <w:r w:rsidR="001D575B" w:rsidRPr="00216D7E">
        <w:rPr>
          <w:rFonts w:ascii="Book Antiqua" w:eastAsia="Book Antiqua" w:hAnsi="Book Antiqua" w:cs="Book Antiqua"/>
          <w:color w:val="000000"/>
        </w:rPr>
        <w:t>Medicine, research and experimental</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Country/Territory of origin: </w:t>
      </w:r>
      <w:r w:rsidRPr="00216D7E">
        <w:rPr>
          <w:rFonts w:ascii="Book Antiqua" w:eastAsia="Book Antiqua" w:hAnsi="Book Antiqua" w:cs="Book Antiqua"/>
          <w:color w:val="000000"/>
        </w:rPr>
        <w:t>United States</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Peer-review report’s scientific quality classification</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Grade A (Excellent): 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Grade B (Very good): B</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Grade C (Good): 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Grade D (Fair): 0</w:t>
      </w: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color w:val="000000"/>
        </w:rPr>
        <w:t>Grade E (Poor): 0</w:t>
      </w:r>
    </w:p>
    <w:p w:rsidR="00A77B3E" w:rsidRPr="00216D7E" w:rsidRDefault="00A77B3E" w:rsidP="00216D7E">
      <w:pPr>
        <w:snapToGrid w:val="0"/>
        <w:spacing w:line="360" w:lineRule="auto"/>
        <w:jc w:val="both"/>
        <w:rPr>
          <w:rFonts w:ascii="Book Antiqua" w:hAnsi="Book Antiqua"/>
        </w:rPr>
      </w:pPr>
    </w:p>
    <w:p w:rsidR="00A77B3E" w:rsidRPr="00216D7E" w:rsidRDefault="009D737D" w:rsidP="00216D7E">
      <w:pPr>
        <w:snapToGrid w:val="0"/>
        <w:spacing w:line="360" w:lineRule="auto"/>
        <w:jc w:val="both"/>
        <w:rPr>
          <w:rFonts w:ascii="Book Antiqua" w:hAnsi="Book Antiqua"/>
        </w:rPr>
      </w:pPr>
      <w:r w:rsidRPr="00216D7E">
        <w:rPr>
          <w:rFonts w:ascii="Book Antiqua" w:eastAsia="Book Antiqua" w:hAnsi="Book Antiqua" w:cs="Book Antiqua"/>
          <w:b/>
          <w:color w:val="000000"/>
        </w:rPr>
        <w:t xml:space="preserve">P-Reviewer: </w:t>
      </w:r>
      <w:r w:rsidRPr="00216D7E">
        <w:rPr>
          <w:rFonts w:ascii="Book Antiqua" w:eastAsia="Book Antiqua" w:hAnsi="Book Antiqua" w:cs="Book Antiqua"/>
          <w:color w:val="000000"/>
        </w:rPr>
        <w:t>Schmitz SMT</w:t>
      </w:r>
      <w:r w:rsidRPr="00216D7E">
        <w:rPr>
          <w:rFonts w:ascii="Book Antiqua" w:eastAsia="Book Antiqua" w:hAnsi="Book Antiqua" w:cs="Book Antiqua"/>
          <w:b/>
          <w:color w:val="000000"/>
        </w:rPr>
        <w:t xml:space="preserve"> S-Editor: </w:t>
      </w:r>
      <w:r w:rsidRPr="00216D7E">
        <w:rPr>
          <w:rFonts w:ascii="Book Antiqua" w:eastAsia="Book Antiqua" w:hAnsi="Book Antiqua" w:cs="Book Antiqua"/>
          <w:color w:val="000000"/>
        </w:rPr>
        <w:t>Zhang L</w:t>
      </w:r>
      <w:r w:rsidRPr="00216D7E">
        <w:rPr>
          <w:rFonts w:ascii="Book Antiqua" w:eastAsia="Book Antiqua" w:hAnsi="Book Antiqua" w:cs="Book Antiqua"/>
          <w:b/>
          <w:color w:val="000000"/>
        </w:rPr>
        <w:t xml:space="preserve"> L-Editor: </w:t>
      </w:r>
      <w:r w:rsidR="00852268" w:rsidRPr="00852268">
        <w:rPr>
          <w:rFonts w:ascii="Book Antiqua" w:hAnsi="Book Antiqua" w:cs="Book Antiqua" w:hint="eastAsia"/>
          <w:color w:val="000000"/>
          <w:lang w:eastAsia="zh-CN"/>
        </w:rPr>
        <w:t>A</w:t>
      </w:r>
      <w:r w:rsidRPr="00216D7E">
        <w:rPr>
          <w:rFonts w:ascii="Book Antiqua" w:eastAsia="Book Antiqua" w:hAnsi="Book Antiqua" w:cs="Book Antiqua"/>
          <w:b/>
          <w:color w:val="000000"/>
        </w:rPr>
        <w:t xml:space="preserve"> P-Editor: </w:t>
      </w:r>
      <w:r w:rsidR="00852268" w:rsidRPr="00852268">
        <w:rPr>
          <w:rFonts w:ascii="Book Antiqua" w:eastAsia="Book Antiqua" w:hAnsi="Book Antiqua" w:cs="Book Antiqua"/>
          <w:color w:val="000000"/>
        </w:rPr>
        <w:t>Zhang YL</w:t>
      </w:r>
    </w:p>
    <w:p w:rsidR="001D575B" w:rsidRPr="00216D7E" w:rsidRDefault="001126DD" w:rsidP="00216D7E">
      <w:pPr>
        <w:snapToGrid w:val="0"/>
        <w:spacing w:line="360" w:lineRule="auto"/>
        <w:jc w:val="both"/>
        <w:rPr>
          <w:rFonts w:ascii="Book Antiqua" w:hAnsi="Book Antiqua"/>
          <w:b/>
        </w:rPr>
      </w:pPr>
      <w:r w:rsidRPr="00216D7E">
        <w:rPr>
          <w:rFonts w:ascii="Book Antiqua" w:hAnsi="Book Antiqua"/>
        </w:rPr>
        <w:br w:type="page"/>
      </w:r>
      <w:r w:rsidRPr="00216D7E">
        <w:rPr>
          <w:rFonts w:ascii="Book Antiqua" w:hAnsi="Book Antiqua"/>
          <w:b/>
        </w:rPr>
        <w:t>Figure Legends</w:t>
      </w:r>
    </w:p>
    <w:p w:rsidR="001126DD" w:rsidRPr="00216D7E" w:rsidRDefault="001126DD" w:rsidP="00216D7E">
      <w:pPr>
        <w:snapToGrid w:val="0"/>
        <w:spacing w:line="360" w:lineRule="auto"/>
        <w:jc w:val="both"/>
        <w:rPr>
          <w:rFonts w:ascii="Book Antiqua" w:hAnsi="Book Antiqua"/>
          <w:b/>
        </w:rPr>
      </w:pPr>
      <w:r w:rsidRPr="00216D7E">
        <w:rPr>
          <w:rFonts w:ascii="Book Antiqua" w:hAnsi="Book Antiqua"/>
          <w:b/>
          <w:noProof/>
          <w:lang w:eastAsia="zh-CN"/>
        </w:rPr>
        <w:drawing>
          <wp:inline distT="0" distB="0" distL="0" distR="0">
            <wp:extent cx="5486400" cy="38658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3865880"/>
                    </a:xfrm>
                    <a:prstGeom prst="rect">
                      <a:avLst/>
                    </a:prstGeom>
                  </pic:spPr>
                </pic:pic>
              </a:graphicData>
            </a:graphic>
          </wp:inline>
        </w:drawing>
      </w:r>
    </w:p>
    <w:p w:rsidR="001126DD" w:rsidRPr="00216D7E" w:rsidRDefault="001126DD" w:rsidP="00216D7E">
      <w:pPr>
        <w:snapToGrid w:val="0"/>
        <w:spacing w:line="360" w:lineRule="auto"/>
        <w:jc w:val="both"/>
        <w:rPr>
          <w:rFonts w:ascii="Book Antiqua" w:hAnsi="Book Antiqua"/>
        </w:rPr>
      </w:pPr>
      <w:r w:rsidRPr="00216D7E">
        <w:rPr>
          <w:rFonts w:ascii="Book Antiqua" w:hAnsi="Book Antiqua"/>
          <w:b/>
        </w:rPr>
        <w:t xml:space="preserve">Figure 1 Intrahepatic vessels appear unremarkable including the hepatic veins. </w:t>
      </w:r>
      <w:r w:rsidRPr="00216D7E">
        <w:rPr>
          <w:rFonts w:ascii="Book Antiqua" w:hAnsi="Book Antiqua"/>
        </w:rPr>
        <w:t>Increased liver echogenicity with moderately enlarged liver most consistent with fatty infiltration. Mild heterogeneous liver around the gallbladder fossa likely related parenchymal sparing in an otherwise fatty liver.</w:t>
      </w:r>
    </w:p>
    <w:p w:rsidR="001126DD" w:rsidRPr="00216D7E" w:rsidRDefault="001126DD" w:rsidP="00216D7E">
      <w:pPr>
        <w:snapToGrid w:val="0"/>
        <w:spacing w:line="360" w:lineRule="auto"/>
        <w:jc w:val="both"/>
        <w:rPr>
          <w:rFonts w:ascii="Book Antiqua" w:hAnsi="Book Antiqua"/>
        </w:rPr>
      </w:pPr>
      <w:r w:rsidRPr="00216D7E">
        <w:rPr>
          <w:rFonts w:ascii="Book Antiqua" w:hAnsi="Book Antiqua"/>
        </w:rPr>
        <w:br w:type="page"/>
      </w:r>
      <w:r w:rsidRPr="00216D7E">
        <w:rPr>
          <w:rFonts w:ascii="Book Antiqua" w:hAnsi="Book Antiqua"/>
          <w:noProof/>
          <w:lang w:eastAsia="zh-CN"/>
        </w:rPr>
        <w:drawing>
          <wp:inline distT="0" distB="0" distL="0" distR="0">
            <wp:extent cx="3721643" cy="4960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2.png"/>
                    <pic:cNvPicPr/>
                  </pic:nvPicPr>
                  <pic:blipFill>
                    <a:blip r:embed="rId9">
                      <a:extLst>
                        <a:ext uri="{28A0092B-C50C-407E-A947-70E740481C1C}">
                          <a14:useLocalDpi xmlns:a14="http://schemas.microsoft.com/office/drawing/2010/main" val="0"/>
                        </a:ext>
                      </a:extLst>
                    </a:blip>
                    <a:stretch>
                      <a:fillRect/>
                    </a:stretch>
                  </pic:blipFill>
                  <pic:spPr>
                    <a:xfrm>
                      <a:off x="0" y="0"/>
                      <a:ext cx="3724596" cy="4964557"/>
                    </a:xfrm>
                    <a:prstGeom prst="rect">
                      <a:avLst/>
                    </a:prstGeom>
                  </pic:spPr>
                </pic:pic>
              </a:graphicData>
            </a:graphic>
          </wp:inline>
        </w:drawing>
      </w:r>
    </w:p>
    <w:p w:rsidR="00C9577C" w:rsidRPr="00216D7E" w:rsidRDefault="001126DD" w:rsidP="00216D7E">
      <w:pPr>
        <w:snapToGrid w:val="0"/>
        <w:spacing w:line="360" w:lineRule="auto"/>
        <w:jc w:val="both"/>
        <w:rPr>
          <w:rFonts w:ascii="Book Antiqua" w:hAnsi="Book Antiqua"/>
        </w:rPr>
      </w:pPr>
      <w:r w:rsidRPr="00216D7E">
        <w:rPr>
          <w:rFonts w:ascii="Book Antiqua" w:hAnsi="Book Antiqua"/>
          <w:b/>
        </w:rPr>
        <w:t>Figure 2 Magnetic resonance cholangiopancreatography results.</w:t>
      </w:r>
      <w:r w:rsidRPr="00216D7E">
        <w:rPr>
          <w:rFonts w:ascii="Book Antiqua" w:hAnsi="Book Antiqua"/>
        </w:rPr>
        <w:t xml:space="preserve"> Mild hepatosplenomegaly and hepatic steatosis.</w:t>
      </w:r>
    </w:p>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hAnsi="Book Antiqua"/>
        </w:rPr>
        <w:br w:type="page"/>
      </w:r>
      <w:r w:rsidRPr="00216D7E">
        <w:rPr>
          <w:rFonts w:ascii="Book Antiqua" w:eastAsia="Times New Roman" w:hAnsi="Book Antiqua"/>
          <w:b/>
        </w:rPr>
        <w:t>Table 1 Laboratory trend</w:t>
      </w:r>
    </w:p>
    <w:tbl>
      <w:tblPr>
        <w:tblW w:w="9420" w:type="dxa"/>
        <w:tblBorders>
          <w:top w:val="single" w:sz="8" w:space="0" w:color="BFBFBF"/>
          <w:bottom w:val="single" w:sz="8" w:space="0" w:color="BFBFBF"/>
        </w:tblBorders>
        <w:tblLayout w:type="fixed"/>
        <w:tblLook w:val="0600" w:firstRow="0" w:lastRow="0" w:firstColumn="0" w:lastColumn="0" w:noHBand="1" w:noVBand="1"/>
      </w:tblPr>
      <w:tblGrid>
        <w:gridCol w:w="5667"/>
        <w:gridCol w:w="1142"/>
        <w:gridCol w:w="1142"/>
        <w:gridCol w:w="1469"/>
      </w:tblGrid>
      <w:tr w:rsidR="00C9577C" w:rsidRPr="00216D7E" w:rsidTr="00416F3D">
        <w:trPr>
          <w:trHeight w:val="878"/>
        </w:trPr>
        <w:tc>
          <w:tcPr>
            <w:tcW w:w="5667"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widowControl w:val="0"/>
              <w:pBdr>
                <w:top w:val="nil"/>
                <w:left w:val="nil"/>
                <w:bottom w:val="nil"/>
                <w:right w:val="nil"/>
                <w:between w:val="nil"/>
              </w:pBdr>
              <w:snapToGrid w:val="0"/>
              <w:spacing w:line="360" w:lineRule="auto"/>
              <w:jc w:val="both"/>
              <w:rPr>
                <w:rFonts w:ascii="Book Antiqua" w:eastAsia="Times New Roman" w:hAnsi="Book Antiqua"/>
              </w:rPr>
            </w:pPr>
          </w:p>
        </w:tc>
        <w:tc>
          <w:tcPr>
            <w:tcW w:w="1142"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Day 1</w:t>
            </w:r>
          </w:p>
        </w:tc>
        <w:tc>
          <w:tcPr>
            <w:tcW w:w="1142"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Day 2</w:t>
            </w:r>
          </w:p>
        </w:tc>
        <w:tc>
          <w:tcPr>
            <w:tcW w:w="1469"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Day 3 (discharge day)</w:t>
            </w:r>
          </w:p>
        </w:tc>
      </w:tr>
      <w:tr w:rsidR="00C9577C" w:rsidRPr="00216D7E" w:rsidTr="00416F3D">
        <w:trPr>
          <w:trHeight w:val="449"/>
        </w:trPr>
        <w:tc>
          <w:tcPr>
            <w:tcW w:w="5667"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Hemoglobin (range 12.0</w:t>
            </w:r>
            <w:r w:rsidR="00913DEA">
              <w:rPr>
                <w:rFonts w:ascii="Book Antiqua" w:eastAsia="Times New Roman" w:hAnsi="Book Antiqua"/>
              </w:rPr>
              <w:t>-</w:t>
            </w:r>
            <w:r w:rsidRPr="00216D7E">
              <w:rPr>
                <w:rFonts w:ascii="Book Antiqua" w:eastAsia="Times New Roman" w:hAnsi="Book Antiqua"/>
              </w:rPr>
              <w:t>16.0 g/dL)</w:t>
            </w:r>
          </w:p>
        </w:tc>
        <w:tc>
          <w:tcPr>
            <w:tcW w:w="1142"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14.6</w:t>
            </w:r>
          </w:p>
        </w:tc>
        <w:tc>
          <w:tcPr>
            <w:tcW w:w="1142"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12.8</w:t>
            </w:r>
          </w:p>
        </w:tc>
        <w:tc>
          <w:tcPr>
            <w:tcW w:w="1469"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12.6</w:t>
            </w:r>
          </w:p>
        </w:tc>
      </w:tr>
      <w:tr w:rsidR="00C9577C" w:rsidRPr="00216D7E" w:rsidTr="00416F3D">
        <w:trPr>
          <w:trHeight w:val="486"/>
        </w:trPr>
        <w:tc>
          <w:tcPr>
            <w:tcW w:w="5667" w:type="dxa"/>
            <w:shd w:val="clear" w:color="auto" w:fill="auto"/>
            <w:tcMar>
              <w:top w:w="100" w:type="dxa"/>
              <w:left w:w="100" w:type="dxa"/>
              <w:bottom w:w="100" w:type="dxa"/>
              <w:right w:w="100" w:type="dxa"/>
            </w:tcMar>
          </w:tcPr>
          <w:p w:rsidR="00C9577C" w:rsidRPr="00216D7E" w:rsidRDefault="00C9577C" w:rsidP="00913DEA">
            <w:pPr>
              <w:snapToGrid w:val="0"/>
              <w:spacing w:line="360" w:lineRule="auto"/>
              <w:jc w:val="both"/>
              <w:rPr>
                <w:rFonts w:ascii="Book Antiqua" w:eastAsia="Times New Roman" w:hAnsi="Book Antiqua"/>
              </w:rPr>
            </w:pPr>
            <w:r w:rsidRPr="00216D7E">
              <w:rPr>
                <w:rFonts w:ascii="Book Antiqua" w:eastAsia="Times New Roman" w:hAnsi="Book Antiqua"/>
              </w:rPr>
              <w:t>White blood count (range 4.8</w:t>
            </w:r>
            <w:r w:rsidR="00913DEA">
              <w:rPr>
                <w:rFonts w:ascii="Book Antiqua" w:eastAsia="Times New Roman" w:hAnsi="Book Antiqua"/>
              </w:rPr>
              <w:t>-</w:t>
            </w:r>
            <w:r w:rsidRPr="00216D7E">
              <w:rPr>
                <w:rFonts w:ascii="Book Antiqua" w:eastAsia="Times New Roman" w:hAnsi="Book Antiqua"/>
              </w:rPr>
              <w:t>10/8 k/</w:t>
            </w:r>
            <w:r w:rsidR="00913DEA">
              <w:rPr>
                <w:rFonts w:ascii="Book Antiqua" w:eastAsia="Times New Roman" w:hAnsi="Book Antiqua"/>
              </w:rPr>
              <w:t>µ</w:t>
            </w:r>
            <w:r w:rsidRPr="00216D7E">
              <w:rPr>
                <w:rFonts w:ascii="Book Antiqua" w:eastAsia="Times New Roman" w:hAnsi="Book Antiqua"/>
              </w:rPr>
              <w: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11.4</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8.9</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9.0</w:t>
            </w:r>
          </w:p>
        </w:tc>
      </w:tr>
      <w:tr w:rsidR="00C9577C" w:rsidRPr="00216D7E" w:rsidTr="00416F3D">
        <w:trPr>
          <w:trHeight w:val="495"/>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Platelet count (range 150</w:t>
            </w:r>
            <w:r w:rsidR="00913DEA">
              <w:rPr>
                <w:rFonts w:ascii="Book Antiqua" w:eastAsia="Times New Roman" w:hAnsi="Book Antiqua"/>
              </w:rPr>
              <w:t>-</w:t>
            </w:r>
            <w:r w:rsidRPr="00216D7E">
              <w:rPr>
                <w:rFonts w:ascii="Book Antiqua" w:eastAsia="Times New Roman" w:hAnsi="Book Antiqua"/>
              </w:rPr>
              <w:t>400 k/</w:t>
            </w:r>
            <w:r w:rsidR="00913DEA">
              <w:rPr>
                <w:rFonts w:ascii="Book Antiqua" w:eastAsia="Times New Roman" w:hAnsi="Book Antiqua"/>
              </w:rPr>
              <w:t>µ</w:t>
            </w:r>
            <w:r w:rsidR="00913DEA" w:rsidRPr="00216D7E">
              <w:rPr>
                <w:rFonts w:ascii="Book Antiqua" w:eastAsia="Times New Roman" w:hAnsi="Book Antiqua"/>
              </w:rPr>
              <w:t>L</w:t>
            </w:r>
            <w:r w:rsidRPr="00216D7E">
              <w:rPr>
                <w:rFonts w:ascii="Book Antiqua" w:eastAsia="Times New Roman" w:hAnsi="Book Antiqua"/>
              </w:rPr>
              <w:t>)</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173</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156</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162</w:t>
            </w:r>
          </w:p>
        </w:tc>
      </w:tr>
      <w:tr w:rsidR="00C9577C" w:rsidRPr="00216D7E" w:rsidTr="00416F3D">
        <w:trPr>
          <w:trHeight w:val="323"/>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Serum sodium (range 135</w:t>
            </w:r>
            <w:r w:rsidR="00913DEA">
              <w:rPr>
                <w:rFonts w:ascii="Book Antiqua" w:eastAsia="Times New Roman" w:hAnsi="Book Antiqua"/>
              </w:rPr>
              <w:t>-</w:t>
            </w:r>
            <w:r w:rsidRPr="00216D7E">
              <w:rPr>
                <w:rFonts w:ascii="Book Antiqua" w:eastAsia="Times New Roman" w:hAnsi="Book Antiqua"/>
              </w:rPr>
              <w:t>145 mEq/L)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133</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133</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133</w:t>
            </w:r>
          </w:p>
        </w:tc>
      </w:tr>
      <w:tr w:rsidR="00C9577C" w:rsidRPr="00216D7E" w:rsidTr="00416F3D">
        <w:trPr>
          <w:trHeight w:val="376"/>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Serum bicarbonate (Range 24</w:t>
            </w:r>
            <w:r w:rsidR="00913DEA">
              <w:rPr>
                <w:rFonts w:ascii="Book Antiqua" w:eastAsia="Times New Roman" w:hAnsi="Book Antiqua"/>
              </w:rPr>
              <w:t>-</w:t>
            </w:r>
            <w:r w:rsidRPr="00216D7E">
              <w:rPr>
                <w:rFonts w:ascii="Book Antiqua" w:eastAsia="Times New Roman" w:hAnsi="Book Antiqua"/>
              </w:rPr>
              <w:t>30 mEq/L)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25</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22</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22</w:t>
            </w:r>
          </w:p>
        </w:tc>
      </w:tr>
      <w:tr w:rsidR="00C9577C" w:rsidRPr="00216D7E" w:rsidTr="00416F3D">
        <w:trPr>
          <w:trHeight w:val="413"/>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Blood urea nitrogen (range 8</w:t>
            </w:r>
            <w:r w:rsidR="00913DEA">
              <w:rPr>
                <w:rFonts w:ascii="Book Antiqua" w:eastAsia="Times New Roman" w:hAnsi="Book Antiqua"/>
              </w:rPr>
              <w:t>-</w:t>
            </w:r>
            <w:r w:rsidRPr="00216D7E">
              <w:rPr>
                <w:rFonts w:ascii="Book Antiqua" w:eastAsia="Times New Roman" w:hAnsi="Book Antiqua"/>
              </w:rPr>
              <w:t>26 mg/dL)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6</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5</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4</w:t>
            </w:r>
          </w:p>
        </w:tc>
      </w:tr>
      <w:tr w:rsidR="00C9577C" w:rsidRPr="00216D7E" w:rsidTr="00416F3D">
        <w:trPr>
          <w:trHeight w:val="464"/>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Creatinine, serum (range 0.5</w:t>
            </w:r>
            <w:r w:rsidR="00913DEA">
              <w:rPr>
                <w:rFonts w:ascii="Book Antiqua" w:eastAsia="Times New Roman" w:hAnsi="Book Antiqua"/>
              </w:rPr>
              <w:t>-</w:t>
            </w:r>
            <w:r w:rsidRPr="00216D7E">
              <w:rPr>
                <w:rFonts w:ascii="Book Antiqua" w:eastAsia="Times New Roman" w:hAnsi="Book Antiqua"/>
              </w:rPr>
              <w:t>1.5 mg/dL)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0.91</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0.73</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0.81</w:t>
            </w:r>
          </w:p>
        </w:tc>
      </w:tr>
      <w:tr w:rsidR="00C9577C" w:rsidRPr="00216D7E" w:rsidTr="00416F3D">
        <w:trPr>
          <w:trHeight w:val="474"/>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Protein, serum (g/dL) (range 6.0</w:t>
            </w:r>
            <w:r w:rsidR="00913DEA">
              <w:rPr>
                <w:rFonts w:ascii="Book Antiqua" w:eastAsia="Times New Roman" w:hAnsi="Book Antiqua"/>
              </w:rPr>
              <w:t>-</w:t>
            </w:r>
            <w:r w:rsidRPr="00216D7E">
              <w:rPr>
                <w:rFonts w:ascii="Book Antiqua" w:eastAsia="Times New Roman" w:hAnsi="Book Antiqua"/>
              </w:rPr>
              <w:t>8.5 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6.7</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5.8</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5.8</w:t>
            </w:r>
          </w:p>
        </w:tc>
      </w:tr>
      <w:tr w:rsidR="00C9577C" w:rsidRPr="00216D7E" w:rsidTr="00416F3D">
        <w:trPr>
          <w:trHeight w:val="343"/>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Albumin, serum (g/dL) (range 3.4</w:t>
            </w:r>
            <w:r w:rsidR="00913DEA">
              <w:rPr>
                <w:rFonts w:ascii="Book Antiqua" w:eastAsia="Times New Roman" w:hAnsi="Book Antiqua"/>
              </w:rPr>
              <w:t>-</w:t>
            </w:r>
            <w:r w:rsidRPr="00216D7E">
              <w:rPr>
                <w:rFonts w:ascii="Book Antiqua" w:eastAsia="Times New Roman" w:hAnsi="Book Antiqua"/>
              </w:rPr>
              <w:t>4.8 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3.1</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2.6</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2.6</w:t>
            </w:r>
          </w:p>
        </w:tc>
      </w:tr>
      <w:tr w:rsidR="00C9577C" w:rsidRPr="00216D7E" w:rsidTr="00416F3D">
        <w:trPr>
          <w:trHeight w:val="325"/>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Alanine aminotransferases (range 5</w:t>
            </w:r>
            <w:r w:rsidR="00913DEA">
              <w:rPr>
                <w:rFonts w:ascii="Book Antiqua" w:eastAsia="Times New Roman" w:hAnsi="Book Antiqua"/>
              </w:rPr>
              <w:t>-</w:t>
            </w:r>
            <w:r w:rsidRPr="00216D7E">
              <w:rPr>
                <w:rFonts w:ascii="Book Antiqua" w:eastAsia="Times New Roman" w:hAnsi="Book Antiqua"/>
              </w:rPr>
              <w:t>40 unit/L)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319</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234</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200</w:t>
            </w:r>
          </w:p>
        </w:tc>
      </w:tr>
      <w:tr w:rsidR="00C9577C" w:rsidRPr="00216D7E" w:rsidTr="00416F3D">
        <w:trPr>
          <w:trHeight w:val="249"/>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Aspartate aminotransferase (range 9</w:t>
            </w:r>
            <w:r w:rsidR="00913DEA">
              <w:rPr>
                <w:rFonts w:ascii="Book Antiqua" w:eastAsia="Times New Roman" w:hAnsi="Book Antiqua"/>
              </w:rPr>
              <w:t>-</w:t>
            </w:r>
            <w:r w:rsidRPr="00216D7E">
              <w:rPr>
                <w:rFonts w:ascii="Book Antiqua" w:eastAsia="Times New Roman" w:hAnsi="Book Antiqua"/>
              </w:rPr>
              <w:t>48 unit/L)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210</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130</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118</w:t>
            </w:r>
          </w:p>
        </w:tc>
      </w:tr>
      <w:tr w:rsidR="00C9577C" w:rsidRPr="00216D7E" w:rsidTr="00416F3D">
        <w:trPr>
          <w:trHeight w:val="391"/>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Alkaline phosphatase (range 53</w:t>
            </w:r>
            <w:r w:rsidR="00913DEA">
              <w:rPr>
                <w:rFonts w:ascii="Book Antiqua" w:eastAsia="Times New Roman" w:hAnsi="Book Antiqua"/>
              </w:rPr>
              <w:t>-</w:t>
            </w:r>
            <w:r w:rsidRPr="00216D7E">
              <w:rPr>
                <w:rFonts w:ascii="Book Antiqua" w:eastAsia="Times New Roman" w:hAnsi="Book Antiqua"/>
              </w:rPr>
              <w:t>128 unit/L)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372</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302</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314</w:t>
            </w:r>
          </w:p>
        </w:tc>
      </w:tr>
      <w:tr w:rsidR="00C9577C" w:rsidRPr="00216D7E" w:rsidTr="00416F3D">
        <w:trPr>
          <w:trHeight w:val="371"/>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Total bilirubin (range 0.2</w:t>
            </w:r>
            <w:r w:rsidR="00913DEA">
              <w:rPr>
                <w:rFonts w:ascii="Book Antiqua" w:eastAsia="Times New Roman" w:hAnsi="Book Antiqua"/>
              </w:rPr>
              <w:t>-</w:t>
            </w:r>
            <w:r w:rsidRPr="00216D7E">
              <w:rPr>
                <w:rFonts w:ascii="Book Antiqua" w:eastAsia="Times New Roman" w:hAnsi="Book Antiqua"/>
              </w:rPr>
              <w:t>1.2 mg/dL)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1.2</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1.1</w:t>
            </w:r>
          </w:p>
        </w:tc>
      </w:tr>
      <w:tr w:rsidR="00C9577C" w:rsidRPr="00216D7E" w:rsidTr="00416F3D">
        <w:trPr>
          <w:trHeight w:val="422"/>
        </w:trPr>
        <w:tc>
          <w:tcPr>
            <w:tcW w:w="5667"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Direct bilirubin (range 0</w:t>
            </w:r>
            <w:r w:rsidR="00913DEA">
              <w:rPr>
                <w:rFonts w:ascii="Book Antiqua" w:eastAsia="Times New Roman" w:hAnsi="Book Antiqua"/>
              </w:rPr>
              <w:t>-</w:t>
            </w:r>
            <w:r w:rsidRPr="00216D7E">
              <w:rPr>
                <w:rFonts w:ascii="Book Antiqua" w:eastAsia="Times New Roman" w:hAnsi="Book Antiqua"/>
              </w:rPr>
              <w:t>0.3 mg/dL)</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0.4</w:t>
            </w:r>
          </w:p>
        </w:tc>
        <w:tc>
          <w:tcPr>
            <w:tcW w:w="1142"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0.4</w:t>
            </w:r>
          </w:p>
        </w:tc>
        <w:tc>
          <w:tcPr>
            <w:tcW w:w="1469"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0.4</w:t>
            </w:r>
          </w:p>
        </w:tc>
      </w:tr>
    </w:tbl>
    <w:p w:rsidR="00C9577C" w:rsidRPr="00216D7E" w:rsidRDefault="00C9577C" w:rsidP="00216D7E">
      <w:pPr>
        <w:snapToGrid w:val="0"/>
        <w:spacing w:line="360" w:lineRule="auto"/>
        <w:jc w:val="both"/>
        <w:rPr>
          <w:rFonts w:ascii="Book Antiqua" w:eastAsia="Times New Roman" w:hAnsi="Book Antiqua"/>
          <w:b/>
        </w:rPr>
      </w:pPr>
    </w:p>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br w:type="page"/>
        <w:t>Table 2 Hepatitis workup</w:t>
      </w:r>
    </w:p>
    <w:tbl>
      <w:tblPr>
        <w:tblW w:w="8605" w:type="dxa"/>
        <w:tblBorders>
          <w:top w:val="single" w:sz="8" w:space="0" w:color="BFBFBF"/>
          <w:bottom w:val="single" w:sz="8" w:space="0" w:color="BFBFBF"/>
        </w:tblBorders>
        <w:tblLayout w:type="fixed"/>
        <w:tblLook w:val="0600" w:firstRow="0" w:lastRow="0" w:firstColumn="0" w:lastColumn="0" w:noHBand="1" w:noVBand="1"/>
      </w:tblPr>
      <w:tblGrid>
        <w:gridCol w:w="6300"/>
        <w:gridCol w:w="2305"/>
      </w:tblGrid>
      <w:tr w:rsidR="00C9577C" w:rsidRPr="00216D7E" w:rsidTr="00216D7E">
        <w:trPr>
          <w:trHeight w:val="440"/>
        </w:trPr>
        <w:tc>
          <w:tcPr>
            <w:tcW w:w="6300"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Test</w:t>
            </w:r>
          </w:p>
        </w:tc>
        <w:tc>
          <w:tcPr>
            <w:tcW w:w="2305" w:type="dxa"/>
            <w:tcBorders>
              <w:top w:val="single" w:sz="8" w:space="0" w:color="BFBFBF"/>
              <w:bottom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b/>
              </w:rPr>
            </w:pPr>
            <w:r w:rsidRPr="00216D7E">
              <w:rPr>
                <w:rFonts w:ascii="Book Antiqua" w:eastAsia="Times New Roman" w:hAnsi="Book Antiqua"/>
                <w:b/>
              </w:rPr>
              <w:t>Result</w:t>
            </w:r>
          </w:p>
        </w:tc>
      </w:tr>
      <w:tr w:rsidR="00C9577C" w:rsidRPr="00216D7E" w:rsidTr="00216D7E">
        <w:trPr>
          <w:trHeight w:val="437"/>
        </w:trPr>
        <w:tc>
          <w:tcPr>
            <w:tcW w:w="6300"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A IgM</w:t>
            </w:r>
          </w:p>
        </w:tc>
        <w:tc>
          <w:tcPr>
            <w:tcW w:w="2305" w:type="dxa"/>
            <w:tcBorders>
              <w:top w:val="single" w:sz="8" w:space="0" w:color="BFBFBF"/>
            </w:tcBorders>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1"/>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Be Antigen</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18"/>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Be antibody</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17"/>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C</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8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E antibody IGG</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Detected</w:t>
            </w:r>
          </w:p>
        </w:tc>
      </w:tr>
      <w:tr w:rsidR="00C9577C" w:rsidRPr="00216D7E" w:rsidTr="00216D7E">
        <w:trPr>
          <w:trHeight w:val="42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Hepatitis E antibody IGM</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1"/>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HIV antibody</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13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Blood culture</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17"/>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Urine culture</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00"/>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Pregnancy test, Urine</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399"/>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Serum CMV DNA PCR (normal range &lt; 200.00 IU/mL)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13700 IU/mL</w:t>
            </w:r>
          </w:p>
        </w:tc>
      </w:tr>
      <w:tr w:rsidR="00C9577C" w:rsidRPr="00216D7E" w:rsidTr="00216D7E">
        <w:trPr>
          <w:trHeight w:val="396"/>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Cytomegalovirus IgM (normal range &lt; 29.9 U/mL)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47.7AU/mL</w:t>
            </w:r>
          </w:p>
        </w:tc>
      </w:tr>
      <w:tr w:rsidR="00C9577C" w:rsidRPr="00216D7E" w:rsidTr="00216D7E">
        <w:trPr>
          <w:trHeight w:val="39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Influenza A and B rapid test</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48"/>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Epstein-Barr virus DNA PCR (Negative)</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45"/>
        </w:trPr>
        <w:tc>
          <w:tcPr>
            <w:tcW w:w="6300" w:type="dxa"/>
            <w:shd w:val="clear" w:color="auto" w:fill="auto"/>
            <w:tcMar>
              <w:top w:w="100" w:type="dxa"/>
              <w:left w:w="100" w:type="dxa"/>
              <w:bottom w:w="100" w:type="dxa"/>
              <w:right w:w="100" w:type="dxa"/>
            </w:tcMar>
          </w:tcPr>
          <w:p w:rsidR="00C9577C" w:rsidRPr="00216D7E" w:rsidRDefault="00694C4E" w:rsidP="00216D7E">
            <w:pPr>
              <w:snapToGrid w:val="0"/>
              <w:spacing w:line="360" w:lineRule="auto"/>
              <w:jc w:val="both"/>
              <w:rPr>
                <w:rFonts w:ascii="Book Antiqua" w:eastAsia="Times New Roman" w:hAnsi="Book Antiqua"/>
              </w:rPr>
            </w:pPr>
            <w:r>
              <w:rPr>
                <w:rFonts w:ascii="Book Antiqua" w:eastAsia="Times New Roman" w:hAnsi="Book Antiqua"/>
              </w:rPr>
              <w:t>HIV-1/2 antibody/</w:t>
            </w:r>
            <w:r w:rsidRPr="00216D7E">
              <w:rPr>
                <w:rFonts w:ascii="Book Antiqua" w:eastAsia="Times New Roman" w:hAnsi="Book Antiqua"/>
              </w:rPr>
              <w:t>a</w:t>
            </w:r>
            <w:r w:rsidR="00C9577C" w:rsidRPr="00216D7E">
              <w:rPr>
                <w:rFonts w:ascii="Book Antiqua" w:eastAsia="Times New Roman" w:hAnsi="Book Antiqua"/>
              </w:rPr>
              <w:t>ntigen</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43"/>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SARS-COV-2 IGM/IGG</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6"/>
        </w:trPr>
        <w:tc>
          <w:tcPr>
            <w:tcW w:w="6300" w:type="dxa"/>
            <w:shd w:val="clear" w:color="auto" w:fill="auto"/>
            <w:tcMar>
              <w:top w:w="100" w:type="dxa"/>
              <w:left w:w="100" w:type="dxa"/>
              <w:bottom w:w="100" w:type="dxa"/>
              <w:right w:w="100" w:type="dxa"/>
            </w:tcMar>
          </w:tcPr>
          <w:p w:rsidR="00C9577C" w:rsidRPr="00216D7E" w:rsidRDefault="00C9577C" w:rsidP="00722425">
            <w:pPr>
              <w:snapToGrid w:val="0"/>
              <w:spacing w:line="360" w:lineRule="auto"/>
              <w:jc w:val="both"/>
              <w:rPr>
                <w:rFonts w:ascii="Book Antiqua" w:eastAsia="Times New Roman" w:hAnsi="Book Antiqua"/>
              </w:rPr>
            </w:pPr>
            <w:r w:rsidRPr="00216D7E">
              <w:rPr>
                <w:rFonts w:ascii="Book Antiqua" w:eastAsia="Times New Roman" w:hAnsi="Book Antiqua"/>
              </w:rPr>
              <w:t>Acetaminophen (range 10</w:t>
            </w:r>
            <w:r w:rsidR="00913DEA">
              <w:rPr>
                <w:rFonts w:ascii="Book Antiqua" w:eastAsia="Times New Roman" w:hAnsi="Book Antiqua"/>
              </w:rPr>
              <w:t>-</w:t>
            </w:r>
            <w:r w:rsidRPr="00216D7E">
              <w:rPr>
                <w:rFonts w:ascii="Book Antiqua" w:eastAsia="Times New Roman" w:hAnsi="Book Antiqua"/>
              </w:rPr>
              <w:t xml:space="preserve">30 </w:t>
            </w:r>
            <w:r w:rsidR="00722425">
              <w:rPr>
                <w:rFonts w:ascii="Book Antiqua" w:eastAsia="Times New Roman" w:hAnsi="Book Antiqua"/>
              </w:rPr>
              <w:t>µ</w:t>
            </w:r>
            <w:r w:rsidRPr="00216D7E">
              <w:rPr>
                <w:rFonts w:ascii="Book Antiqua" w:eastAsia="Times New Roman" w:hAnsi="Book Antiqua"/>
              </w:rPr>
              <w:t>g/mL)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&lt; 10 µg/mL</w:t>
            </w:r>
          </w:p>
        </w:tc>
      </w:tr>
      <w:tr w:rsidR="00C9577C" w:rsidRPr="00216D7E" w:rsidTr="00216D7E">
        <w:trPr>
          <w:trHeight w:val="424"/>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Antinuclear antibodies</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2"/>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Anti-smooth muscle antibody</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21"/>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Anti-mitochondrial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419"/>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Tissue transglutaminase antibody</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Negative</w:t>
            </w:r>
          </w:p>
        </w:tc>
      </w:tr>
      <w:tr w:rsidR="00C9577C" w:rsidRPr="00216D7E" w:rsidTr="00216D7E">
        <w:trPr>
          <w:trHeight w:val="842"/>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Gungsuh" w:hAnsi="Book Antiqua" w:cs="Gungsuh"/>
              </w:rPr>
              <w:t>Liver kidney microsomal assay (negative range ≤ 20.0 units)</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&lt; 20.0 units</w:t>
            </w:r>
          </w:p>
        </w:tc>
      </w:tr>
      <w:tr w:rsidR="00C9577C" w:rsidRPr="00216D7E" w:rsidTr="00216D7E">
        <w:trPr>
          <w:trHeight w:val="432"/>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Ferritin</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384 ng/mL</w:t>
            </w:r>
          </w:p>
        </w:tc>
      </w:tr>
      <w:tr w:rsidR="00C9577C" w:rsidRPr="00216D7E" w:rsidTr="00216D7E">
        <w:trPr>
          <w:trHeight w:val="524"/>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Erythrocyte sedimentation rate (range 0</w:t>
            </w:r>
            <w:r w:rsidR="00913DEA">
              <w:rPr>
                <w:rFonts w:ascii="Book Antiqua" w:eastAsia="Times New Roman" w:hAnsi="Book Antiqua"/>
              </w:rPr>
              <w:t>-</w:t>
            </w:r>
            <w:r w:rsidRPr="00216D7E">
              <w:rPr>
                <w:rFonts w:ascii="Book Antiqua" w:eastAsia="Times New Roman" w:hAnsi="Book Antiqua"/>
              </w:rPr>
              <w:t>30.0 mm/h)</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16 mm/h</w:t>
            </w:r>
          </w:p>
        </w:tc>
      </w:tr>
      <w:tr w:rsidR="00C9577C" w:rsidRPr="00216D7E" w:rsidTr="00216D7E">
        <w:trPr>
          <w:trHeight w:val="536"/>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24 h Urine Copper (3.0-45.0 µg/d)</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48 µg/d</w:t>
            </w:r>
          </w:p>
        </w:tc>
      </w:tr>
      <w:tr w:rsidR="00C9577C" w:rsidRPr="00216D7E" w:rsidTr="00216D7E">
        <w:trPr>
          <w:trHeight w:val="485"/>
        </w:trPr>
        <w:tc>
          <w:tcPr>
            <w:tcW w:w="6300"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C-reactive protein (0.00-0.80 mg/dL)</w:t>
            </w:r>
          </w:p>
        </w:tc>
        <w:tc>
          <w:tcPr>
            <w:tcW w:w="2305" w:type="dxa"/>
            <w:shd w:val="clear" w:color="auto" w:fill="auto"/>
            <w:tcMar>
              <w:top w:w="100" w:type="dxa"/>
              <w:left w:w="100" w:type="dxa"/>
              <w:bottom w:w="100" w:type="dxa"/>
              <w:right w:w="100" w:type="dxa"/>
            </w:tcMar>
          </w:tcPr>
          <w:p w:rsidR="00C9577C" w:rsidRPr="00216D7E"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5.8 mg/dL</w:t>
            </w:r>
          </w:p>
        </w:tc>
      </w:tr>
    </w:tbl>
    <w:p w:rsidR="00885BE4" w:rsidRDefault="00C9577C" w:rsidP="00216D7E">
      <w:pPr>
        <w:snapToGrid w:val="0"/>
        <w:spacing w:line="360" w:lineRule="auto"/>
        <w:jc w:val="both"/>
        <w:rPr>
          <w:rFonts w:ascii="Book Antiqua" w:eastAsia="Times New Roman" w:hAnsi="Book Antiqua"/>
        </w:rPr>
      </w:pPr>
      <w:r w:rsidRPr="00216D7E">
        <w:rPr>
          <w:rFonts w:ascii="Book Antiqua" w:eastAsia="Times New Roman" w:hAnsi="Book Antiqua"/>
        </w:rPr>
        <w:t xml:space="preserve">CMV: </w:t>
      </w:r>
      <w:r w:rsidRPr="00216D7E">
        <w:rPr>
          <w:rFonts w:ascii="Book Antiqua" w:eastAsia="Book Antiqua" w:hAnsi="Book Antiqua" w:cs="Book Antiqua"/>
          <w:bCs/>
          <w:color w:val="000000"/>
        </w:rPr>
        <w:t xml:space="preserve">Cytomegalovirus; </w:t>
      </w:r>
      <w:r w:rsidRPr="00216D7E">
        <w:rPr>
          <w:rFonts w:ascii="Book Antiqua" w:eastAsia="Times New Roman" w:hAnsi="Book Antiqua"/>
        </w:rPr>
        <w:t xml:space="preserve">PCR: Polymerase chain reaction; </w:t>
      </w:r>
      <w:bookmarkStart w:id="51" w:name="OLE_LINK3"/>
      <w:bookmarkStart w:id="52" w:name="OLE_LINK4"/>
      <w:r w:rsidRPr="00216D7E">
        <w:rPr>
          <w:rFonts w:ascii="Book Antiqua" w:eastAsia="Times New Roman" w:hAnsi="Book Antiqua"/>
        </w:rPr>
        <w:t>SARS-COV</w:t>
      </w:r>
      <w:bookmarkEnd w:id="51"/>
      <w:bookmarkEnd w:id="52"/>
      <w:r w:rsidRPr="00216D7E">
        <w:rPr>
          <w:rFonts w:ascii="Book Antiqua" w:eastAsia="Times New Roman" w:hAnsi="Book Antiqua"/>
        </w:rPr>
        <w:t>-2: Severe acute respiratory syndrome coronavirus;</w:t>
      </w:r>
      <w:r w:rsidR="00216D7E" w:rsidRPr="00216D7E">
        <w:rPr>
          <w:rFonts w:ascii="Book Antiqua" w:eastAsia="Times New Roman" w:hAnsi="Book Antiqua"/>
        </w:rPr>
        <w:t xml:space="preserve"> IGG: Immunoglobulin G.</w:t>
      </w:r>
    </w:p>
    <w:p w:rsidR="00885BE4" w:rsidRDefault="00885BE4">
      <w:pPr>
        <w:rPr>
          <w:rFonts w:ascii="Book Antiqua" w:eastAsia="Times New Roman" w:hAnsi="Book Antiqua"/>
        </w:rPr>
      </w:pPr>
      <w:r>
        <w:rPr>
          <w:rFonts w:ascii="Book Antiqua" w:eastAsia="Times New Roman" w:hAnsi="Book Antiqua"/>
        </w:rPr>
        <w:br w:type="page"/>
      </w: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r>
        <w:rPr>
          <w:rFonts w:ascii="Book Antiqua" w:hAnsi="Book Antiqua"/>
          <w:noProof/>
          <w:lang w:eastAsia="zh-CN"/>
        </w:rPr>
        <w:drawing>
          <wp:inline distT="0" distB="0" distL="0" distR="0" wp14:anchorId="0C4AE609" wp14:editId="3067AAC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885BE4" w:rsidRDefault="00885BE4" w:rsidP="00885BE4">
      <w:pPr>
        <w:jc w:val="center"/>
        <w:rPr>
          <w:rFonts w:ascii="Book Antiqua" w:hAnsi="Book Antiqua"/>
          <w:lang w:eastAsia="zh-CN"/>
        </w:rPr>
      </w:pPr>
    </w:p>
    <w:p w:rsidR="00885BE4" w:rsidRPr="00763D22" w:rsidRDefault="00885BE4" w:rsidP="00885BE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rsidR="00885BE4" w:rsidRPr="00763D22" w:rsidRDefault="00885BE4" w:rsidP="00885BE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885BE4" w:rsidRPr="00763D22" w:rsidRDefault="00885BE4" w:rsidP="00885BE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885BE4" w:rsidRPr="00763D22" w:rsidRDefault="00885BE4" w:rsidP="00885BE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885BE4" w:rsidRPr="00763D22" w:rsidRDefault="00885BE4" w:rsidP="00885BE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885BE4" w:rsidRPr="00763D22" w:rsidRDefault="00885BE4" w:rsidP="00885BE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r>
        <w:rPr>
          <w:rFonts w:ascii="Book Antiqua" w:hAnsi="Book Antiqua"/>
          <w:noProof/>
          <w:lang w:eastAsia="zh-CN"/>
        </w:rPr>
        <w:drawing>
          <wp:inline distT="0" distB="0" distL="0" distR="0" wp14:anchorId="140F8763" wp14:editId="32C99471">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Default="00885BE4" w:rsidP="00885BE4">
      <w:pPr>
        <w:jc w:val="center"/>
        <w:rPr>
          <w:rFonts w:ascii="Book Antiqua" w:hAnsi="Book Antiqua"/>
          <w:lang w:eastAsia="zh-CN"/>
        </w:rPr>
      </w:pPr>
    </w:p>
    <w:p w:rsidR="00885BE4" w:rsidRPr="00763D22" w:rsidRDefault="00885BE4" w:rsidP="00885BE4">
      <w:pPr>
        <w:jc w:val="right"/>
        <w:rPr>
          <w:rFonts w:ascii="Book Antiqua" w:hAnsi="Book Antiqua"/>
          <w:color w:val="000000" w:themeColor="text1"/>
          <w:lang w:eastAsia="zh-CN"/>
        </w:rPr>
      </w:pPr>
    </w:p>
    <w:p w:rsidR="00885BE4" w:rsidRPr="00763D22" w:rsidRDefault="00885BE4" w:rsidP="00885BE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rsidR="001126DD" w:rsidRPr="00216D7E" w:rsidRDefault="001126DD" w:rsidP="00216D7E">
      <w:pPr>
        <w:snapToGrid w:val="0"/>
        <w:spacing w:line="360" w:lineRule="auto"/>
        <w:jc w:val="both"/>
        <w:rPr>
          <w:rFonts w:ascii="Book Antiqua" w:eastAsia="Times New Roman" w:hAnsi="Book Antiqua"/>
        </w:rPr>
      </w:pPr>
      <w:bookmarkStart w:id="53" w:name="_GoBack"/>
      <w:bookmarkEnd w:id="53"/>
    </w:p>
    <w:sectPr w:rsidR="001126DD" w:rsidRPr="00216D7E" w:rsidSect="00C9577C">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7DFF" w:rsidRDefault="004F7DFF" w:rsidP="001126DD">
      <w:r>
        <w:separator/>
      </w:r>
    </w:p>
  </w:endnote>
  <w:endnote w:type="continuationSeparator" w:id="0">
    <w:p w:rsidR="004F7DFF" w:rsidRDefault="004F7DFF" w:rsidP="00112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5" w:usb1="080F0000" w:usb2="00000010" w:usb3="00000000" w:csb0="00060002" w:csb1="00000000"/>
  </w:font>
  <w:font w:name="Gungsuh">
    <w:panose1 w:val="02030600000101010101"/>
    <w:charset w:val="81"/>
    <w:family w:val="roman"/>
    <w:pitch w:val="variable"/>
    <w:sig w:usb0="B00002AF" w:usb1="69D77CFB" w:usb2="00000030" w:usb3="00000000" w:csb0="000800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722299"/>
      <w:docPartObj>
        <w:docPartGallery w:val="Page Numbers (Bottom of Page)"/>
        <w:docPartUnique/>
      </w:docPartObj>
    </w:sdtPr>
    <w:sdtEndPr/>
    <w:sdtContent>
      <w:sdt>
        <w:sdtPr>
          <w:id w:val="-1769616900"/>
          <w:docPartObj>
            <w:docPartGallery w:val="Page Numbers (Top of Page)"/>
            <w:docPartUnique/>
          </w:docPartObj>
        </w:sdtPr>
        <w:sdtEndPr/>
        <w:sdtContent>
          <w:p w:rsidR="001126DD" w:rsidRDefault="001126DD">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F7DFF">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F7DFF">
              <w:rPr>
                <w:b/>
                <w:bCs/>
                <w:noProof/>
              </w:rPr>
              <w:t>1</w:t>
            </w:r>
            <w:r>
              <w:rPr>
                <w:b/>
                <w:bCs/>
                <w:sz w:val="24"/>
                <w:szCs w:val="24"/>
              </w:rPr>
              <w:fldChar w:fldCharType="end"/>
            </w:r>
          </w:p>
        </w:sdtContent>
      </w:sdt>
    </w:sdtContent>
  </w:sdt>
  <w:p w:rsidR="001126DD" w:rsidRDefault="001126D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7DFF" w:rsidRDefault="004F7DFF" w:rsidP="001126DD">
      <w:r>
        <w:separator/>
      </w:r>
    </w:p>
  </w:footnote>
  <w:footnote w:type="continuationSeparator" w:id="0">
    <w:p w:rsidR="004F7DFF" w:rsidRDefault="004F7DFF" w:rsidP="001126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2AFA"/>
    <w:rsid w:val="000A42F2"/>
    <w:rsid w:val="000D0E75"/>
    <w:rsid w:val="001126DD"/>
    <w:rsid w:val="001D575B"/>
    <w:rsid w:val="0020574B"/>
    <w:rsid w:val="00216D7E"/>
    <w:rsid w:val="00355A06"/>
    <w:rsid w:val="00367CB6"/>
    <w:rsid w:val="003E3B37"/>
    <w:rsid w:val="003E5626"/>
    <w:rsid w:val="00416F3D"/>
    <w:rsid w:val="00482DE8"/>
    <w:rsid w:val="004F7DFF"/>
    <w:rsid w:val="00615950"/>
    <w:rsid w:val="00694C4E"/>
    <w:rsid w:val="006B1D2C"/>
    <w:rsid w:val="006B604F"/>
    <w:rsid w:val="006D55B7"/>
    <w:rsid w:val="00722425"/>
    <w:rsid w:val="00767E02"/>
    <w:rsid w:val="007B443A"/>
    <w:rsid w:val="007E5140"/>
    <w:rsid w:val="00846FF1"/>
    <w:rsid w:val="00852268"/>
    <w:rsid w:val="00885BE4"/>
    <w:rsid w:val="008B4323"/>
    <w:rsid w:val="0090519E"/>
    <w:rsid w:val="00913DEA"/>
    <w:rsid w:val="00971CA4"/>
    <w:rsid w:val="009D737D"/>
    <w:rsid w:val="00A53A4F"/>
    <w:rsid w:val="00A77B3E"/>
    <w:rsid w:val="00B265D8"/>
    <w:rsid w:val="00B3463C"/>
    <w:rsid w:val="00C078C3"/>
    <w:rsid w:val="00C82C54"/>
    <w:rsid w:val="00C9577C"/>
    <w:rsid w:val="00CA2A55"/>
    <w:rsid w:val="00CE2C21"/>
    <w:rsid w:val="00CE60B3"/>
    <w:rsid w:val="00D078B6"/>
    <w:rsid w:val="00D11F95"/>
    <w:rsid w:val="00D93D43"/>
    <w:rsid w:val="00DA313E"/>
    <w:rsid w:val="00E958CD"/>
    <w:rsid w:val="00E95CAA"/>
    <w:rsid w:val="00F305FF"/>
    <w:rsid w:val="00F760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126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126DD"/>
    <w:rPr>
      <w:sz w:val="18"/>
      <w:szCs w:val="18"/>
    </w:rPr>
  </w:style>
  <w:style w:type="paragraph" w:styleId="a4">
    <w:name w:val="footer"/>
    <w:basedOn w:val="a"/>
    <w:link w:val="Char0"/>
    <w:uiPriority w:val="99"/>
    <w:unhideWhenUsed/>
    <w:rsid w:val="001126DD"/>
    <w:pPr>
      <w:tabs>
        <w:tab w:val="center" w:pos="4153"/>
        <w:tab w:val="right" w:pos="8306"/>
      </w:tabs>
      <w:snapToGrid w:val="0"/>
    </w:pPr>
    <w:rPr>
      <w:sz w:val="18"/>
      <w:szCs w:val="18"/>
    </w:rPr>
  </w:style>
  <w:style w:type="character" w:customStyle="1" w:styleId="Char0">
    <w:name w:val="页脚 Char"/>
    <w:basedOn w:val="a0"/>
    <w:link w:val="a4"/>
    <w:uiPriority w:val="99"/>
    <w:rsid w:val="001126DD"/>
    <w:rPr>
      <w:sz w:val="18"/>
      <w:szCs w:val="18"/>
    </w:rPr>
  </w:style>
  <w:style w:type="paragraph" w:styleId="a5">
    <w:name w:val="Balloon Text"/>
    <w:basedOn w:val="a"/>
    <w:link w:val="Char1"/>
    <w:semiHidden/>
    <w:unhideWhenUsed/>
    <w:rsid w:val="008B4323"/>
    <w:rPr>
      <w:sz w:val="18"/>
      <w:szCs w:val="18"/>
    </w:rPr>
  </w:style>
  <w:style w:type="character" w:customStyle="1" w:styleId="Char1">
    <w:name w:val="批注框文本 Char"/>
    <w:basedOn w:val="a0"/>
    <w:link w:val="a5"/>
    <w:semiHidden/>
    <w:rsid w:val="008B432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126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1126DD"/>
    <w:rPr>
      <w:sz w:val="18"/>
      <w:szCs w:val="18"/>
    </w:rPr>
  </w:style>
  <w:style w:type="paragraph" w:styleId="a4">
    <w:name w:val="footer"/>
    <w:basedOn w:val="a"/>
    <w:link w:val="Char0"/>
    <w:uiPriority w:val="99"/>
    <w:unhideWhenUsed/>
    <w:rsid w:val="001126DD"/>
    <w:pPr>
      <w:tabs>
        <w:tab w:val="center" w:pos="4153"/>
        <w:tab w:val="right" w:pos="8306"/>
      </w:tabs>
      <w:snapToGrid w:val="0"/>
    </w:pPr>
    <w:rPr>
      <w:sz w:val="18"/>
      <w:szCs w:val="18"/>
    </w:rPr>
  </w:style>
  <w:style w:type="character" w:customStyle="1" w:styleId="Char0">
    <w:name w:val="页脚 Char"/>
    <w:basedOn w:val="a0"/>
    <w:link w:val="a4"/>
    <w:uiPriority w:val="99"/>
    <w:rsid w:val="001126DD"/>
    <w:rPr>
      <w:sz w:val="18"/>
      <w:szCs w:val="18"/>
    </w:rPr>
  </w:style>
  <w:style w:type="paragraph" w:styleId="a5">
    <w:name w:val="Balloon Text"/>
    <w:basedOn w:val="a"/>
    <w:link w:val="Char1"/>
    <w:semiHidden/>
    <w:unhideWhenUsed/>
    <w:rsid w:val="008B4323"/>
    <w:rPr>
      <w:sz w:val="18"/>
      <w:szCs w:val="18"/>
    </w:rPr>
  </w:style>
  <w:style w:type="character" w:customStyle="1" w:styleId="Char1">
    <w:name w:val="批注框文本 Char"/>
    <w:basedOn w:val="a0"/>
    <w:link w:val="a5"/>
    <w:semiHidden/>
    <w:rsid w:val="008B432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16</Pages>
  <Words>1992</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13</cp:revision>
  <dcterms:created xsi:type="dcterms:W3CDTF">2020-12-28T04:39:00Z</dcterms:created>
  <dcterms:modified xsi:type="dcterms:W3CDTF">2021-02-04T13:17:00Z</dcterms:modified>
</cp:coreProperties>
</file>