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1CF5" w14:textId="2653FA7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Name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Journal: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World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Journal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of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Gastrointestinal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Oncology</w:t>
      </w:r>
    </w:p>
    <w:p w14:paraId="6B93C2FC" w14:textId="2B2AE48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Manuscript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NO: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60539</w:t>
      </w:r>
    </w:p>
    <w:p w14:paraId="1EAC318A" w14:textId="5C2ADE7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Manuscript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Type: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ORIGINAL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</w:t>
      </w:r>
    </w:p>
    <w:p w14:paraId="4EF5358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0125C72" w14:textId="3608CC1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61D74D" w14:textId="1B74637F" w:rsidR="00A77B3E" w:rsidRPr="00DA2C5D" w:rsidRDefault="00E7311E" w:rsidP="00DA2C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0" w:name="OLE_LINK13"/>
      <w:r w:rsidRPr="00DA2C5D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ield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solid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pseudopapillary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neoplasms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pancreas: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series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review</w:t>
      </w:r>
    </w:p>
    <w:bookmarkEnd w:id="0"/>
    <w:p w14:paraId="77C07338" w14:textId="77777777" w:rsidR="00E7311E" w:rsidRPr="00DA2C5D" w:rsidRDefault="00E7311E" w:rsidP="00DA2C5D">
      <w:pPr>
        <w:spacing w:line="360" w:lineRule="auto"/>
        <w:jc w:val="both"/>
        <w:rPr>
          <w:rFonts w:ascii="Book Antiqua" w:hAnsi="Book Antiqua"/>
        </w:rPr>
      </w:pPr>
    </w:p>
    <w:p w14:paraId="5F8D8601" w14:textId="084A6417" w:rsidR="00A77B3E" w:rsidRPr="00DA2C5D" w:rsidRDefault="00E454F9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Silano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4"/>
      <w:r w:rsidR="00D01EB0" w:rsidRPr="00DA2C5D">
        <w:rPr>
          <w:rFonts w:ascii="Book Antiqua" w:eastAsia="Book Antiqua" w:hAnsi="Book Antiqua" w:cs="Book Antiqua"/>
          <w:color w:val="000000"/>
        </w:rPr>
        <w:t>Yield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</w:t>
      </w:r>
      <w:r w:rsidR="00D01EB0" w:rsidRPr="00DA2C5D">
        <w:rPr>
          <w:rFonts w:ascii="Book Antiqua" w:eastAsia="Book Antiqua" w:hAnsi="Book Antiqua" w:cs="Book Antiqua"/>
          <w:color w:val="000000"/>
        </w:rPr>
        <w:t>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SPN</w:t>
      </w:r>
      <w:bookmarkEnd w:id="1"/>
    </w:p>
    <w:p w14:paraId="535AB6D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A2463B0" w14:textId="7247755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2C5D">
        <w:rPr>
          <w:rFonts w:ascii="Book Antiqua" w:eastAsia="Book Antiqua" w:hAnsi="Book Antiqua" w:cs="Book Antiqua"/>
          <w:color w:val="000000"/>
        </w:rPr>
        <w:t>Flávio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Silano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Ricardo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Bandeira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Rodolfo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Carvalho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Santana,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Vanessa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Costa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Neves,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José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Celso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Ardengh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Cézar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Galvão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</w:t>
      </w:r>
    </w:p>
    <w:p w14:paraId="4111492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F2F49EF" w14:textId="3E9F101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Flávio</w:t>
      </w:r>
      <w:proofErr w:type="spellEnd"/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Silano</w:t>
      </w:r>
      <w:proofErr w:type="spellEnd"/>
      <w:r w:rsidRPr="00DA2C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Rede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Do'r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40285000,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64343295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1857963" w14:textId="26EE3D9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Ricardo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Bandeira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Melo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Amaral,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Rodolfo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Carvalho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Santana,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Vanessa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Neves,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Paulo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Cézar</w:t>
      </w:r>
      <w:proofErr w:type="spellEnd"/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Galvão</w:t>
      </w:r>
      <w:proofErr w:type="spellEnd"/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do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Amaral</w:t>
      </w:r>
      <w:proofErr w:type="spellEnd"/>
      <w:r w:rsidRPr="00DA2C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Department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Hospital/D’Or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Group,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41253-190,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388E9D16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22D31D4" w14:textId="064B721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Celso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Ardengh</w:t>
      </w:r>
      <w:proofErr w:type="spellEnd"/>
      <w:r w:rsidRPr="00DA2C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Clinicas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Faculdade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Ribeirão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Preto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04611-000,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2ADD6DE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0BCD1EBE" w14:textId="5DCB76A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Celso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Ardengh</w:t>
      </w:r>
      <w:proofErr w:type="spellEnd"/>
      <w:r w:rsidRPr="00DA2C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Endoscopy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Julho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04611-000,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572115D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B50E45B" w14:textId="3BCB378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Celso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Ardengh</w:t>
      </w:r>
      <w:proofErr w:type="spellEnd"/>
      <w:r w:rsidRPr="00DA2C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Escola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Paulista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Federal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University,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04611-000,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5955307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B0BC4CD" w14:textId="1822DD7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5"/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contributed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writing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manuscript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equally</w:t>
      </w:r>
      <w:r w:rsidR="00E454F9" w:rsidRPr="00DA2C5D">
        <w:rPr>
          <w:rFonts w:ascii="Book Antiqua" w:eastAsia="Book Antiqua" w:hAnsi="Book Antiqua" w:cs="Book Antiqua"/>
          <w:color w:val="000000"/>
        </w:rPr>
        <w:t>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Silano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Melo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RB,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Santana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Neves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Ardengh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Amaral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PCG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approved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final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version.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bookmarkEnd w:id="2"/>
    </w:p>
    <w:p w14:paraId="261D9773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847CBD3" w14:textId="2626BAA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Flávio</w:t>
      </w:r>
      <w:proofErr w:type="spellEnd"/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b/>
          <w:bCs/>
          <w:color w:val="000000"/>
        </w:rPr>
        <w:t>Silano</w:t>
      </w:r>
      <w:proofErr w:type="spellEnd"/>
      <w:r w:rsidRPr="00DA2C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Rede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Do'r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2152,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Marcos,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40285000,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sdesilano@gmail.com</w:t>
      </w:r>
    </w:p>
    <w:p w14:paraId="55634E9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DCA069D" w14:textId="701230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November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2020</w:t>
      </w:r>
    </w:p>
    <w:p w14:paraId="2A6C8B21" w14:textId="511484B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24,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2021</w:t>
      </w:r>
    </w:p>
    <w:p w14:paraId="21223F84" w14:textId="190FCBE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274F" w:rsidRPr="00B3274F">
        <w:rPr>
          <w:rFonts w:ascii="Book Antiqua" w:eastAsia="Book Antiqua" w:hAnsi="Book Antiqua" w:cs="Book Antiqua"/>
          <w:bCs/>
          <w:color w:val="000000"/>
        </w:rPr>
        <w:t>May 7, 2021</w:t>
      </w:r>
    </w:p>
    <w:p w14:paraId="39EB6C37" w14:textId="418C33F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7A35BD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  <w:sectPr w:rsidR="00A77B3E" w:rsidRPr="00DA2C5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07031F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0FA90F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BACKGROUND</w:t>
      </w:r>
    </w:p>
    <w:p w14:paraId="34D57466" w14:textId="3962B45E" w:rsidR="00A77B3E" w:rsidRPr="00DA2C5D" w:rsidRDefault="00E7311E" w:rsidP="00DA2C5D">
      <w:pPr>
        <w:spacing w:line="360" w:lineRule="auto"/>
        <w:jc w:val="both"/>
        <w:rPr>
          <w:rFonts w:ascii="Book Antiqua" w:hAnsi="Book Antiqua"/>
        </w:rPr>
      </w:pPr>
      <w:bookmarkStart w:id="3" w:name="OLE_LINK18"/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(SPN)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represents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2%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non-endocrine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rare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predominant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women.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</w:p>
    <w:bookmarkEnd w:id="3"/>
    <w:p w14:paraId="7BDF3F9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E98BD69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AIM</w:t>
      </w:r>
    </w:p>
    <w:p w14:paraId="04A7285C" w14:textId="1290E2BF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4" w:name="OLE_LINK19"/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anatomopathological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</w:p>
    <w:bookmarkEnd w:id="4"/>
    <w:p w14:paraId="1BC4024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99821C1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METHODS</w:t>
      </w:r>
    </w:p>
    <w:p w14:paraId="6C53B949" w14:textId="4DCA3F5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5" w:name="OLE_LINK20"/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undergoing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1998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2018,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standardized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prospectively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completed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Rafael/Rede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D'Or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MEDLINE</w:t>
      </w:r>
      <w:r w:rsidRPr="00DA2C5D">
        <w:rPr>
          <w:rFonts w:ascii="Book Antiqua" w:eastAsia="Book Antiqua" w:hAnsi="Book Antiqua" w:cs="Book Antiqua"/>
          <w:color w:val="000000"/>
        </w:rPr>
        <w:t>/Pub</w:t>
      </w:r>
      <w:r w:rsidR="00E7311E" w:rsidRPr="00DA2C5D">
        <w:rPr>
          <w:rFonts w:ascii="Book Antiqua" w:eastAsia="Book Antiqua" w:hAnsi="Book Antiqua" w:cs="Book Antiqua"/>
          <w:color w:val="000000"/>
        </w:rPr>
        <w:t>M</w:t>
      </w:r>
      <w:r w:rsidRPr="00DA2C5D">
        <w:rPr>
          <w:rFonts w:ascii="Book Antiqua" w:eastAsia="Book Antiqua" w:hAnsi="Book Antiqua" w:cs="Book Antiqua"/>
          <w:color w:val="000000"/>
        </w:rPr>
        <w:t>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</w:p>
    <w:bookmarkEnd w:id="5"/>
    <w:p w14:paraId="62F80CF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11766A1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RESULTS</w:t>
      </w:r>
    </w:p>
    <w:p w14:paraId="59C92014" w14:textId="1B97234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6" w:name="OLE_LINK21"/>
      <w:r w:rsidRPr="00DA2C5D">
        <w:rPr>
          <w:rFonts w:ascii="Book Antiqua" w:eastAsia="Book Antiqua" w:hAnsi="Book Antiqua" w:cs="Book Antiqua"/>
          <w:color w:val="000000"/>
        </w:rPr>
        <w:t>Fourteen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average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31.6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min-max)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selected.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Twelve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(85.7%)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reasons.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14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computerized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tomography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magnetic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resonance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metastasis.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(57.1%),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tail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average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6.7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min-18).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type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involvement.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prosthesis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reconstruction.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free.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immunohistochemistry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confirmed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pseudo-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</w:p>
    <w:bookmarkEnd w:id="6"/>
    <w:p w14:paraId="13E08732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7AF3A2B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CONCLUSION</w:t>
      </w:r>
    </w:p>
    <w:p w14:paraId="08575585" w14:textId="3FCE36D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7" w:name="OLE_LINK22"/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benign,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histopathological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compatible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recommended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cases.</w:t>
      </w:r>
    </w:p>
    <w:bookmarkEnd w:id="7"/>
    <w:p w14:paraId="1978974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24F341D" w14:textId="0F26687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6"/>
      <w:r w:rsidRPr="00DA2C5D">
        <w:rPr>
          <w:rFonts w:ascii="Book Antiqua" w:eastAsia="Book Antiqua" w:hAnsi="Book Antiqua" w:cs="Book Antiqua"/>
          <w:color w:val="000000"/>
        </w:rPr>
        <w:t>Frantz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Malignancy;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pseudo-papillary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bookmarkEnd w:id="8"/>
    </w:p>
    <w:p w14:paraId="738F0969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168E8EB" w14:textId="69EBDDF8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2C5D">
        <w:rPr>
          <w:rFonts w:ascii="Book Antiqua" w:eastAsia="Book Antiqua" w:hAnsi="Book Antiqua" w:cs="Book Antiqua"/>
          <w:color w:val="000000"/>
        </w:rPr>
        <w:t>Silano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Melo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RB,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Santana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Neves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Ardengh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Amaral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PCG.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Yield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neoplasms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pancreas</w:t>
      </w:r>
      <w:r w:rsidRPr="00DA2C5D">
        <w:rPr>
          <w:rFonts w:ascii="Book Antiqua" w:eastAsia="Book Antiqua" w:hAnsi="Book Antiqua" w:cs="Book Antiqua"/>
          <w:color w:val="000000"/>
        </w:rPr>
        <w:t>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review.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2021;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press</w:t>
      </w:r>
    </w:p>
    <w:p w14:paraId="40BC6F3D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8045845" w14:textId="656808A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7"/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wherein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absolute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requirement,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maintaining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type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considered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discovered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examinations,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2012.</w:t>
      </w:r>
    </w:p>
    <w:bookmarkEnd w:id="9"/>
    <w:p w14:paraId="663244DB" w14:textId="77777777" w:rsidR="00E7311E" w:rsidRPr="00DA2C5D" w:rsidRDefault="00E7311E" w:rsidP="00DA2C5D">
      <w:pPr>
        <w:spacing w:line="360" w:lineRule="auto"/>
        <w:jc w:val="both"/>
        <w:rPr>
          <w:rFonts w:ascii="Book Antiqua" w:hAnsi="Book Antiqua"/>
        </w:rPr>
        <w:sectPr w:rsidR="00E7311E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34545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75346B" w14:textId="7A16DE0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0" w:name="OLE_LINK23"/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(SPN)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first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1959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represents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higher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years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natural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unknown,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exhibits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potentially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particularly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nearby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3,5,6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imperative,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long-term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5,7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1B68CA3C" w14:textId="49BC3B1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herein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single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experience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results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long-term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intent.</w:t>
      </w:r>
    </w:p>
    <w:bookmarkEnd w:id="10"/>
    <w:p w14:paraId="1E231FB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48460A2" w14:textId="3AAB562E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A2C5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A2C5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7C06B0" w14:textId="6A33DE1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1" w:name="OLE_LINK24"/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Human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Ethics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Committee.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Rafael/Rede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d'Or,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collection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subsequent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identified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undergoing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1998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2018.</w:t>
      </w:r>
    </w:p>
    <w:p w14:paraId="22194DA1" w14:textId="5638C4A1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perioperative,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anatomopathological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long-term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adverse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(AE)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conducted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MEDLINE</w:t>
      </w:r>
      <w:r w:rsidRPr="00DA2C5D">
        <w:rPr>
          <w:rFonts w:ascii="Book Antiqua" w:eastAsia="Book Antiqua" w:hAnsi="Book Antiqua" w:cs="Book Antiqua"/>
          <w:color w:val="000000"/>
        </w:rPr>
        <w:t>/Pub</w:t>
      </w:r>
      <w:r w:rsidR="0009696C" w:rsidRPr="00DA2C5D">
        <w:rPr>
          <w:rFonts w:ascii="Book Antiqua" w:eastAsia="Book Antiqua" w:hAnsi="Book Antiqua" w:cs="Book Antiqua"/>
          <w:color w:val="000000"/>
        </w:rPr>
        <w:t>M</w:t>
      </w:r>
      <w:r w:rsidRPr="00DA2C5D">
        <w:rPr>
          <w:rFonts w:ascii="Book Antiqua" w:eastAsia="Book Antiqua" w:hAnsi="Book Antiqua" w:cs="Book Antiqua"/>
          <w:color w:val="000000"/>
        </w:rPr>
        <w:t>ed.</w:t>
      </w:r>
    </w:p>
    <w:p w14:paraId="3FC3DC1A" w14:textId="2BF58CE9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Status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initial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evaluation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physical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impairment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self-care,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09696C" w:rsidRPr="00DA2C5D">
        <w:rPr>
          <w:rFonts w:ascii="Book Antiqua" w:eastAsia="Book Antiqua" w:hAnsi="Book Antiqua" w:cs="Book Antiqua"/>
          <w:color w:val="000000"/>
        </w:rPr>
        <w:t>%-</w:t>
      </w:r>
      <w:r w:rsidRPr="00DA2C5D">
        <w:rPr>
          <w:rFonts w:ascii="Book Antiqua" w:eastAsia="Book Antiqua" w:hAnsi="Book Antiqua" w:cs="Book Antiqua"/>
          <w:color w:val="000000"/>
        </w:rPr>
        <w:t>100%.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indicates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ability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daily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activities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despite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experienced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Pylorus-preserving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pancreaticoduodenectomy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(PPD)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technique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choice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(DP)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tail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vaccinated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against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encapsulated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bacteria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before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spleen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preserved.</w:t>
      </w:r>
    </w:p>
    <w:p w14:paraId="57DF9747" w14:textId="5B916DE6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Enhanced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Recovery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protocol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except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systematically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reliable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predictors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lacking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third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amylase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≤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5000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U/L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fluid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amount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determined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diabetes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mellitus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(DM).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collected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criteria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International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defined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amylase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level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fluid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times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normal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limit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serum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amylase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persisting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beyond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wk.</w:t>
      </w:r>
    </w:p>
    <w:p w14:paraId="37BB63B9" w14:textId="2FF16630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classification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AE</w:t>
      </w:r>
      <w:r w:rsidRPr="00DA2C5D">
        <w:rPr>
          <w:rFonts w:ascii="Book Antiqua" w:eastAsia="Book Antiqua" w:hAnsi="Book Antiqua" w:cs="Book Antiqua"/>
          <w:color w:val="000000"/>
        </w:rPr>
        <w:t>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aim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categorizing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analgesics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prokinetics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transfusion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parenteral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nutrition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major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intervention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ranging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endoscopy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III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)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Surgery-related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mortality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considered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procedure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2AED7D63" w14:textId="21D3F453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microscopic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criterion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malignancy,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defined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Health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Organization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(WHO),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perineural,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angiolymphatic,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capsular,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adipose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tissues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73EFF5E2" w14:textId="6CD96F0D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outpatient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least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except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parameters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analyzed: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DM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perceived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score).</w:t>
      </w:r>
    </w:p>
    <w:bookmarkEnd w:id="11"/>
    <w:p w14:paraId="57B8E4C6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B2D5B91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461EA922" w14:textId="762FA71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2" w:name="OLE_LINK25"/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14B6714" w14:textId="77AF0A2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Fourteen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20-year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identified,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31.5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55);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(78.6%)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younger.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Twelve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(85.7%)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ultrasound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(US),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requested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nausea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vomiting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11</w:t>
      </w:r>
      <w:r w:rsidRPr="00DA2C5D">
        <w:rPr>
          <w:rFonts w:ascii="Book Antiqua" w:eastAsia="Book Antiqua" w:hAnsi="Book Antiqua" w:cs="Book Antiqua"/>
          <w:color w:val="000000"/>
        </w:rPr>
        <w:noBreakHyphen/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affected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1A).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weight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Pr="00DA2C5D">
        <w:rPr>
          <w:rFonts w:ascii="Book Antiqua" w:eastAsia="Book Antiqua" w:hAnsi="Book Antiqua" w:cs="Book Antiqua"/>
          <w:color w:val="000000"/>
        </w:rPr>
        <w:noBreakHyphen/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1B).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80%.</w:t>
      </w:r>
    </w:p>
    <w:p w14:paraId="64BE290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E39E02A" w14:textId="32681EB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examinations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3D59A28B" w14:textId="7C71856E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either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tomography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(CT)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magnetic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resonance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(MRI).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peritoneum,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Endosonography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confirmed.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identified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examinations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6.72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1.5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tail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1).</w:t>
      </w:r>
    </w:p>
    <w:p w14:paraId="32BD8EE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D211189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68AA7CC6" w14:textId="5E93E76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Nine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(64.3%)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(35.7%)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laparoscopic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Splenectomy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(50%),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transverse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57%),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(43%).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intraoperative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346.6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minutes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228.12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minutes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2).</w:t>
      </w:r>
    </w:p>
    <w:p w14:paraId="6F81A71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BF53F61" w14:textId="6F8985EC" w:rsidR="00A77B3E" w:rsidRPr="00DA2C5D" w:rsidRDefault="0009696C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AE</w:t>
      </w:r>
      <w:r w:rsidR="00D01EB0"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A8D5476" w14:textId="311F188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lastRenderedPageBreak/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intraoperative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2A),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transfusion.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ascites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failure,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hypoperfusion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ischemia.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patient’s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conservative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segmental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2B)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necessary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transfusion.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satisfactory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evolution.</w:t>
      </w:r>
    </w:p>
    <w:p w14:paraId="4AEE261B" w14:textId="5169E1F9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AE</w:t>
      </w:r>
      <w:r w:rsidRPr="00DA2C5D">
        <w:rPr>
          <w:rFonts w:ascii="Book Antiqua" w:eastAsia="Book Antiqua" w:hAnsi="Book Antiqua" w:cs="Book Antiqua"/>
          <w:color w:val="000000"/>
        </w:rPr>
        <w:t>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(urinary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infections,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antibiotic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therapy).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grade</w:t>
      </w:r>
      <w:r w:rsidRPr="00DA2C5D">
        <w:rPr>
          <w:rFonts w:ascii="Book Antiqua" w:eastAsia="Book Antiqua" w:hAnsi="Book Antiqua" w:cs="Book Antiqua"/>
          <w:color w:val="000000"/>
        </w:rPr>
        <w:noBreakHyphen/>
        <w:t>B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grade</w:t>
      </w:r>
      <w:r w:rsidRPr="00DA2C5D">
        <w:rPr>
          <w:rFonts w:ascii="Book Antiqua" w:eastAsia="Book Antiqua" w:hAnsi="Book Antiqua" w:cs="Book Antiqua"/>
          <w:color w:val="000000"/>
        </w:rPr>
        <w:noBreakHyphen/>
        <w:t>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III)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3).</w:t>
      </w:r>
    </w:p>
    <w:p w14:paraId="756760EB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9FE17E0" w14:textId="4345199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specimen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43E6B3A2" w14:textId="3BB9FA06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measured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85.7%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measured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range.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respectively.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comorbid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conditions,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obesity.</w:t>
      </w:r>
    </w:p>
    <w:p w14:paraId="5ED61AFA" w14:textId="77777777" w:rsidR="0009696C" w:rsidRPr="00DA2C5D" w:rsidRDefault="0009696C" w:rsidP="00DA2C5D">
      <w:pPr>
        <w:spacing w:line="360" w:lineRule="auto"/>
        <w:jc w:val="both"/>
        <w:rPr>
          <w:rFonts w:ascii="Book Antiqua" w:hAnsi="Book Antiqua"/>
        </w:rPr>
      </w:pPr>
    </w:p>
    <w:p w14:paraId="04861DBB" w14:textId="33B3298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82F342D" w14:textId="0FDC5EB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evaluation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criterion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features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predictive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except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adipose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operated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subsequent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(R0)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achieved.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immunohistochemical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confirmed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4).</w:t>
      </w:r>
    </w:p>
    <w:p w14:paraId="35F1606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080B9F18" w14:textId="583D616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Follow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</w:p>
    <w:p w14:paraId="60E1ED4F" w14:textId="2A01C84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56.6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(12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156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still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Pr="00DA2C5D">
        <w:rPr>
          <w:rFonts w:ascii="Book Antiqua" w:eastAsia="Book Antiqua" w:hAnsi="Book Antiqua" w:cs="Book Antiqua"/>
          <w:color w:val="000000"/>
        </w:rPr>
        <w:noBreakHyphen/>
        <w:t>year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5)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mortality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group.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death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bronchopneumonia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postoperatively.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worsened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&lt;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80%.</w:t>
      </w:r>
    </w:p>
    <w:p w14:paraId="5659E3FD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18C3727" w14:textId="4DC2F9B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0B2CAFA2" w14:textId="0F09EF8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several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</w:p>
    <w:bookmarkEnd w:id="12"/>
    <w:p w14:paraId="4C5A92D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9C1579E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4B23BD" w14:textId="2751FF4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3" w:name="OLE_LINK26"/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prevalence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ratio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9.7:1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men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15-25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21.9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41.2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years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6,15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similar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observed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(31.5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older,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finding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corroborates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statement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exclusively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individuals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reproductive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β-estrogen</w:t>
      </w:r>
      <w:proofErr w:type="gram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progesterone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receptors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predominance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growth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favorable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hormonal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environment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pregnancy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26,27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20-year-old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week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pregnancy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evaluation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urinary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infection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pregnancy.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suggests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exclusively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hormone-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dependent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27,28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72A6CD3E" w14:textId="662D4454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adjacent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jaundice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15,17,20,21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epigastric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nausea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weight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former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patient’s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resulted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stomach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11</w:t>
      </w:r>
      <w:r w:rsidRPr="00DA2C5D">
        <w:rPr>
          <w:rFonts w:ascii="Book Antiqua" w:eastAsia="Book Antiqua" w:hAnsi="Book Antiqua" w:cs="Book Antiqua"/>
          <w:color w:val="000000"/>
        </w:rPr>
        <w:noBreakHyphen/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latter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9.5</w:t>
      </w:r>
      <w:r w:rsidRPr="00DA2C5D">
        <w:rPr>
          <w:rFonts w:ascii="Book Antiqua" w:eastAsia="Book Antiqua" w:hAnsi="Book Antiqua" w:cs="Book Antiqua"/>
          <w:color w:val="000000"/>
        </w:rPr>
        <w:noBreakHyphen/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similar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85.7%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)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Torres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multicenter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observe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diameter.</w:t>
      </w:r>
    </w:p>
    <w:p w14:paraId="041CBD96" w14:textId="3740BA69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compared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aggressiveness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09696C" w:rsidRPr="00DA2C5D">
        <w:rPr>
          <w:rFonts w:ascii="Book Antiqua" w:eastAsia="Book Antiqua" w:hAnsi="Book Antiqua" w:cs="Book Antiqua"/>
          <w:color w:val="000000"/>
        </w:rPr>
        <w:t>%-</w:t>
      </w:r>
      <w:r w:rsidRPr="00DA2C5D">
        <w:rPr>
          <w:rFonts w:ascii="Book Antiqua" w:eastAsia="Book Antiqua" w:hAnsi="Book Antiqua" w:cs="Book Antiqua"/>
          <w:color w:val="000000"/>
        </w:rPr>
        <w:t>15%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detected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either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progression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16,25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aggressiveness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nearby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5,15,16,20,21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incomplete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capsule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components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cystic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components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aggressiveness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25,29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stronger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suggest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7.8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malignancy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r w:rsidR="0009696C" w:rsidRPr="00DA2C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&lt;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0.005).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Kang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351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multivariate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&gt;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r w:rsidR="0009696C" w:rsidRPr="00DA2C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&lt;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0.0018).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42.8%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invasion.</w:t>
      </w:r>
    </w:p>
    <w:p w14:paraId="5DA1D2EC" w14:textId="0D79249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choice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(R0).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Despite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nearby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primary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(common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transverse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colon,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stomach,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spleen,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effective.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meta-analysis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highly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heterogeneous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Yepuri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observed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Additionally,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positive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gender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risks.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71%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first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&gt;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attributed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compromised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affected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perineural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involvement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particularly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thorough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staging,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possible,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vessels.</w:t>
      </w:r>
    </w:p>
    <w:p w14:paraId="242580C0" w14:textId="2B479592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debatable.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4.8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%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risk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40</w:t>
      </w:r>
      <w:r w:rsidR="0009696C" w:rsidRPr="00DA2C5D">
        <w:rPr>
          <w:rFonts w:ascii="Book Antiqua" w:eastAsia="Book Antiqua" w:hAnsi="Book Antiqua" w:cs="Book Antiqua"/>
          <w:color w:val="000000"/>
        </w:rPr>
        <w:t>%-</w:t>
      </w:r>
      <w:r w:rsidRPr="00DA2C5D">
        <w:rPr>
          <w:rFonts w:ascii="Book Antiqua" w:eastAsia="Book Antiqua" w:hAnsi="Book Antiqua" w:cs="Book Antiqua"/>
          <w:color w:val="000000"/>
        </w:rPr>
        <w:t>50%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amount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tissue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obesity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also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influence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risk.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known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remaining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normal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glucose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metabolism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maintained.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their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obese.</w:t>
      </w:r>
    </w:p>
    <w:p w14:paraId="4DC9177F" w14:textId="427897C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representing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tumors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2.5%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5.1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%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16,21,32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6.3%,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DA2C5D">
        <w:rPr>
          <w:rFonts w:ascii="Book Antiqua" w:eastAsia="Book Antiqua" w:hAnsi="Book Antiqua" w:cs="Book Antiqua"/>
          <w:color w:val="000000"/>
        </w:rPr>
        <w:t>.,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significant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1988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2008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Johns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Hopkins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series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indicate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2C5D">
        <w:rPr>
          <w:rFonts w:ascii="Book Antiqua" w:eastAsia="Book Antiqua" w:hAnsi="Book Antiqua" w:cs="Book Antiqua"/>
          <w:color w:val="000000"/>
        </w:rPr>
        <w:t>decade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2C5D">
        <w:rPr>
          <w:rFonts w:ascii="Book Antiqua" w:eastAsia="Book Antiqua" w:hAnsi="Book Antiqua" w:cs="Book Antiqua"/>
          <w:color w:val="000000"/>
          <w:vertAlign w:val="superscript"/>
        </w:rPr>
        <w:t>15,22,23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before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1998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indicate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contribute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physicians,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radiologists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advances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methods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MRI,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endosonography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Social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women’s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health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—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US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—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explain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finding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patients.</w:t>
      </w:r>
    </w:p>
    <w:bookmarkEnd w:id="13"/>
    <w:p w14:paraId="3697437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405293D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0BFBA7" w14:textId="04751F2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4" w:name="OLE_LINK27"/>
      <w:r w:rsidRPr="00DA2C5D">
        <w:rPr>
          <w:rFonts w:ascii="Book Antiqua" w:eastAsia="Book Antiqua" w:hAnsi="Book Antiqua" w:cs="Book Antiqua"/>
          <w:color w:val="000000"/>
        </w:rPr>
        <w:lastRenderedPageBreak/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exhibited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cases.</w:t>
      </w:r>
    </w:p>
    <w:bookmarkEnd w:id="14"/>
    <w:p w14:paraId="27C1FE2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83EDDE7" w14:textId="4440A7F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A2C5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ED3BD4F" w14:textId="508EBE8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C126A1A" w14:textId="78A253A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5" w:name="OLE_LINK28"/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14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operated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single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regardless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obtained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5"/>
    <w:p w14:paraId="097D183A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F172610" w14:textId="74AB53C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61C081B" w14:textId="4E728FE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6" w:name="OLE_LINK29"/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pillar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challenge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improve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importance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early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consequently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6"/>
    <w:p w14:paraId="0C6FDAEA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A2DF416" w14:textId="4981F29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FF9C8DC" w14:textId="7FB8B22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7" w:name="OLE_LINK30"/>
      <w:r w:rsidRPr="00DA2C5D">
        <w:rPr>
          <w:rFonts w:ascii="Book Antiqua" w:eastAsia="Book Antiqua" w:hAnsi="Book Antiqua" w:cs="Book Antiqua"/>
          <w:color w:val="000000"/>
        </w:rPr>
        <w:t>Show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neoplasms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volumes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possibility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demonstrate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evidencing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deonca</w:t>
      </w:r>
      <w:proofErr w:type="spellEnd"/>
      <w:r w:rsidRPr="00DA2C5D">
        <w:rPr>
          <w:rFonts w:ascii="Book Antiqua" w:eastAsia="Book Antiqua" w:hAnsi="Book Antiqua" w:cs="Book Antiqua"/>
          <w:color w:val="000000"/>
        </w:rPr>
        <w:t>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7"/>
    <w:p w14:paraId="7C9B63BB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704DE588" w14:textId="2305EBD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76B821F" w14:textId="6C5AC3B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8" w:name="OLE_LINK31"/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prospectively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filled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8"/>
    <w:p w14:paraId="726BD8D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E6BB55C" w14:textId="03F4349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51955DF" w14:textId="1B2B231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9" w:name="OLE_LINK32"/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entirety,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corroborating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frequent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discovery.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Perhaps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accessibility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methods.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specific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programs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women's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health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examinations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contribute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discovery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affirm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9"/>
    <w:p w14:paraId="680048D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DF7519F" w14:textId="39B787A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40321B8" w14:textId="6CF4529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20" w:name="OLE_LINK33"/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would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20"/>
    <w:p w14:paraId="47316B7B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DF52D24" w14:textId="4E02290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1D1A7A7" w14:textId="112E678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21" w:name="OLE_LINK34"/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operated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natural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disease.</w:t>
      </w:r>
    </w:p>
    <w:bookmarkEnd w:id="21"/>
    <w:p w14:paraId="731988E2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F51DAA1" w14:textId="0D73A328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REFERENCES</w:t>
      </w:r>
    </w:p>
    <w:p w14:paraId="5A98D53D" w14:textId="15B814DC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  <w:highlight w:val="yellow"/>
        </w:rPr>
        <w:t>1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b/>
          <w:bCs/>
          <w:highlight w:val="yellow"/>
        </w:rPr>
        <w:t>Frantz</w:t>
      </w:r>
      <w:r w:rsidR="00DA2C5D">
        <w:rPr>
          <w:rFonts w:ascii="Book Antiqua" w:hAnsi="Book Antiqua"/>
          <w:b/>
          <w:bCs/>
          <w:highlight w:val="yellow"/>
        </w:rPr>
        <w:t xml:space="preserve"> </w:t>
      </w:r>
      <w:r w:rsidRPr="00DA2C5D">
        <w:rPr>
          <w:rFonts w:ascii="Book Antiqua" w:hAnsi="Book Antiqua"/>
          <w:b/>
          <w:bCs/>
          <w:highlight w:val="yellow"/>
        </w:rPr>
        <w:t>VK</w:t>
      </w:r>
      <w:r w:rsidRPr="00DA2C5D">
        <w:rPr>
          <w:rFonts w:ascii="Book Antiqua" w:hAnsi="Book Antiqua"/>
          <w:highlight w:val="yellow"/>
        </w:rPr>
        <w:t>.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Atlas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of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tumor</w:t>
      </w:r>
      <w:r w:rsidR="00DA2C5D">
        <w:rPr>
          <w:rFonts w:ascii="Book Antiqua" w:hAnsi="Book Antiqua"/>
          <w:highlight w:val="yellow"/>
        </w:rPr>
        <w:t xml:space="preserve"> </w:t>
      </w:r>
      <w:proofErr w:type="spellStart"/>
      <w:r w:rsidRPr="00DA2C5D">
        <w:rPr>
          <w:rFonts w:ascii="Book Antiqua" w:hAnsi="Book Antiqua"/>
          <w:highlight w:val="yellow"/>
        </w:rPr>
        <w:t>patology</w:t>
      </w:r>
      <w:proofErr w:type="spellEnd"/>
      <w:r w:rsidRPr="00DA2C5D">
        <w:rPr>
          <w:rFonts w:ascii="Book Antiqua" w:hAnsi="Book Antiqua"/>
          <w:highlight w:val="yellow"/>
        </w:rPr>
        <w:t>.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Tumor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of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the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pancreas.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Washington,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DC: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US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force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Armed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Force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institute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of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pathology,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1959:</w:t>
      </w:r>
      <w:r w:rsidR="00DA2C5D">
        <w:rPr>
          <w:rFonts w:ascii="Book Antiqua" w:hAnsi="Book Antiqua"/>
          <w:highlight w:val="yellow"/>
        </w:rPr>
        <w:t xml:space="preserve"> </w:t>
      </w:r>
      <w:r w:rsidRPr="00DA2C5D">
        <w:rPr>
          <w:rFonts w:ascii="Book Antiqua" w:hAnsi="Book Antiqua"/>
          <w:highlight w:val="yellow"/>
        </w:rPr>
        <w:t>32-33</w:t>
      </w:r>
    </w:p>
    <w:p w14:paraId="34397986" w14:textId="4CD57C6E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Kosmahl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Seada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LS,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Jänig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Harms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Klöppel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origin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revisited.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Virchows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Arch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436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473-480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10881741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10.1007/s004280050475]</w:t>
      </w:r>
    </w:p>
    <w:p w14:paraId="1BF7E6E5" w14:textId="0B829EA4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de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Castro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SM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Singhal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Aronson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Busch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van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Gulik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Obertop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Gouma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comparison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standard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World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31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1130-1135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17429567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10.1007/s00268-006-0214-2]</w:t>
      </w:r>
    </w:p>
    <w:p w14:paraId="1061912C" w14:textId="5B1F07D4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4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Scholten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L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van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Huijgevoort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NCM,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van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Hooft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JE,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Besselink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Del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Chiaro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Different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Types,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Different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Guidelines.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Visc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Med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34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173-177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30182024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10.1159/000489641]</w:t>
      </w:r>
    </w:p>
    <w:p w14:paraId="0A0AFE62" w14:textId="5DCDD42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Butte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Brennan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MF,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Gönen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LH,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D'Angelica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Dematteo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RP,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Jarnagin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Clinical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features,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long-term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survival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consecutive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center.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Gastrointest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Surg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2011;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15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350-357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20824369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10.1007/s11605-010-1337-1]</w:t>
      </w:r>
    </w:p>
    <w:p w14:paraId="62CDAE52" w14:textId="069F4F6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lastRenderedPageBreak/>
        <w:t>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Wright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MJ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Javed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Saunders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Burkhart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Cameron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JL,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Makary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Weiss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Resection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78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30-Year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Institutional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Experience.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Gastrointest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Surg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24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874-881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31073801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10.1007/s11605-019-04252-7]</w:t>
      </w:r>
    </w:p>
    <w:p w14:paraId="07A56CE3" w14:textId="0BDB0F58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Guo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N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Zhou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QB,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Zou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treatment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Can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2011;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54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368-374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21939604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10.1503/cjs.011810]</w:t>
      </w:r>
    </w:p>
    <w:p w14:paraId="704F05EC" w14:textId="1278E5B1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Mao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Guvendi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Domenico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Thomford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Howard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embryonic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tumor?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Studies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three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cumulative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world's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1995;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118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821-828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7482268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10.1016/s0039-6060(05)80271-5]</w:t>
      </w:r>
    </w:p>
    <w:p w14:paraId="22A31730" w14:textId="4D2125E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Reddy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S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Cameron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JL,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Scudiere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Hruban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Fishman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Ahuja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Pawlik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Edil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BH,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Schulick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(Franz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or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Hamoudi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tumors):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large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single-institutional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series.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Am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Coll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208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950-7;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discussion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957-9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19476869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10.1016/j.jamcollsurg.2009.01.044]</w:t>
      </w:r>
    </w:p>
    <w:p w14:paraId="65BD4801" w14:textId="7E3FA870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McMillan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MT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Malleo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Bassi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Allegrini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Casetti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Drebin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Esposito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Landoni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MK,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Pulvirenti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Roses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Salvia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Vollmer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Multicenter,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Prospective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Trial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Selective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Drain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Pancreatoduodenectomy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Using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Risk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Stratification.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265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1209-1218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27280502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10.1097/SLA.0000000000001832]</w:t>
      </w:r>
    </w:p>
    <w:p w14:paraId="298037B7" w14:textId="58CDC9F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11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Bassi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Marchegiani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Dervenis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Sarr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Abu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Hilal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Adham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Andersson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Asbun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HJ,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Besselink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Conlon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Del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Chiaro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Falconi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Fernandez-Cruz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Fernandez-Del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Castillo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Fingerhut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Friess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Gouma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DJ,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Hackert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Izbicki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Lillemoe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KD,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Neoptolemos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JP,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Olah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Schulick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Shrikhande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SV,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Takada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Takaori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Traverso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Vollmer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Yeo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Salvia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Buchler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International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Group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(ISGPS).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update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International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Group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(ISGPS)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definition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grading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postoperative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fistula: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Years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After.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161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584-591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28040257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10.1016/j.surg.2016.11.014]</w:t>
      </w:r>
    </w:p>
    <w:p w14:paraId="36E629CB" w14:textId="0F93BE75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lastRenderedPageBreak/>
        <w:t>12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Dindo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D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Demartines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Clavien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Classification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complications: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proposal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evaluation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cohort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6336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results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survey.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2004;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240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205-213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15273542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10.1097/01.sla.0000133083.54934.ae]</w:t>
      </w:r>
    </w:p>
    <w:p w14:paraId="36DE2112" w14:textId="0A33E50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Vin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Y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Sima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CS,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Getrajdman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Brown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Covey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Brennan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postpancreatectomy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fistula,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leak,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abscess: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results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908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resected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institution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between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2005.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Am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Coll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490-498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18926450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10.1016/j.jamcollsurg.2008.05.003]</w:t>
      </w:r>
    </w:p>
    <w:p w14:paraId="02A77E98" w14:textId="1B08B9F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14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Tjaden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Hassenpflug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Hinz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Klaiber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Klauss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Büchler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MW,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Hackert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after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neoplasms.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Pancreatology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19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699-709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31227367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10.1016/j.pan.2019.06.008]</w:t>
      </w:r>
    </w:p>
    <w:p w14:paraId="6EB03288" w14:textId="3EB212D9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15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Papavramidis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T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Papavramidis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718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reported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English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Am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Coll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2005;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965-972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15922212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10.1016/j.jamcollsurg.2005.02.011]</w:t>
      </w:r>
    </w:p>
    <w:p w14:paraId="788F76C7" w14:textId="6DE5EE8B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16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Lubezky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N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Papoulas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Lessing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Gitstein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Brazowski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Nachmany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Lahat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Goykhman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Ben-Yehuda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Nakache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Klausner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long-term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Eur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Oncol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1056-1060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28238521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10.1016/j.ejso.2017.02.001]</w:t>
      </w:r>
    </w:p>
    <w:p w14:paraId="32CCAC4D" w14:textId="158C1325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Song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H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Zhou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Sheng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Gao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Clinicopathologic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Feature,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Risk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Factors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Malignancy,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Survival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Center.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Biomed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Res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Int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2017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5465261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29094047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10.1155/2017/5465261]</w:t>
      </w:r>
    </w:p>
    <w:p w14:paraId="70FAD120" w14:textId="2E0FA4E1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Lin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X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Huang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Single-Center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Experience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Dig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348-354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31958791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10.1159/000505062]</w:t>
      </w:r>
    </w:p>
    <w:p w14:paraId="61359995" w14:textId="6F19ABF0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Torres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OJM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Rezende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MB,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Waechter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Neiva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RF,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Moraes</w:t>
      </w:r>
      <w:proofErr w:type="spellEnd"/>
      <w:r w:rsidRPr="00DA2C5D">
        <w:rPr>
          <w:rFonts w:ascii="Book Antiqua" w:hAnsi="Book Antiqua"/>
        </w:rPr>
        <w:t>-Junior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Torres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CCS,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Fernandes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ESM.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Pancreatoduodenectomy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multi-institution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study.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Arq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Bras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Cir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Dig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32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e1442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31460602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10.1590/0102-672020190001e1442]</w:t>
      </w:r>
    </w:p>
    <w:p w14:paraId="6051C4C4" w14:textId="6226527E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lastRenderedPageBreak/>
        <w:t>20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Liu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center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experience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consecutive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patients.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Pancreatology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19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681-685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31281058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10.1016/j.pan.2019.07.001]</w:t>
      </w:r>
    </w:p>
    <w:p w14:paraId="3BF672AA" w14:textId="61E7D78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Farhat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W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Ammar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Amine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Mizouni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Bouazzi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Abdessaied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Ben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Mabrouk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report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ANZ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90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1683-1688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31989788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10.1111/ans.15701]</w:t>
      </w:r>
    </w:p>
    <w:p w14:paraId="7899A6F7" w14:textId="7DAFAC36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Gordon-</w:t>
      </w:r>
      <w:proofErr w:type="spellStart"/>
      <w:r w:rsidRPr="00DA2C5D">
        <w:rPr>
          <w:rFonts w:ascii="Book Antiqua" w:hAnsi="Book Antiqua"/>
          <w:b/>
          <w:bCs/>
        </w:rPr>
        <w:t>Dseagu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VL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Devesa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SS,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Goggins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Stolzenberg</w:t>
      </w:r>
      <w:proofErr w:type="spellEnd"/>
      <w:r w:rsidRPr="00DA2C5D">
        <w:rPr>
          <w:rFonts w:ascii="Book Antiqua" w:hAnsi="Book Antiqua"/>
        </w:rPr>
        <w:t>-Solomon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cancer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incidence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trends: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evidence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Surveillance,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Epidemiology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Results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(SEER)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population-based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data.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Int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Epidemiol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427-439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29149259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10.1093/</w:t>
      </w:r>
      <w:proofErr w:type="spellStart"/>
      <w:r w:rsidRPr="00DA2C5D">
        <w:rPr>
          <w:rFonts w:ascii="Book Antiqua" w:hAnsi="Book Antiqua"/>
        </w:rPr>
        <w:t>ije</w:t>
      </w:r>
      <w:proofErr w:type="spellEnd"/>
      <w:r w:rsidRPr="00DA2C5D">
        <w:rPr>
          <w:rFonts w:ascii="Book Antiqua" w:hAnsi="Book Antiqua"/>
        </w:rPr>
        <w:t>/dyx232]</w:t>
      </w:r>
    </w:p>
    <w:p w14:paraId="39A74F50" w14:textId="70B64469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Kang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Choi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Choi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SW;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Korean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Club.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Predicting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recurrence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after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resection: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multicenter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Korea.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2014;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260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348-355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24743622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10.1097/SLA.0000000000000583]</w:t>
      </w:r>
    </w:p>
    <w:p w14:paraId="629A7405" w14:textId="1ADE05C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Law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JK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Ahmed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VK,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Akshintala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Olson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SP,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SZ,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Fishman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Kamel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Canto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Molin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Moran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Khashab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Ahuja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Goggins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Hruban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Lennon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systematic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these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lesions?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Pancreas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2014;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331-337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24622060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10.1097/MPA.0000000000000061]</w:t>
      </w:r>
    </w:p>
    <w:p w14:paraId="5A61DA5A" w14:textId="61A4D268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You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L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DL.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Prediction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malignancy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adverse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World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Gastrointest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Oncol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184-193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30079144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10.4251/wjgo.v10.i7.184]</w:t>
      </w:r>
    </w:p>
    <w:p w14:paraId="7702962B" w14:textId="6A9D93D6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Farrell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JJ</w:t>
      </w:r>
      <w:r w:rsidRPr="00DA2C5D">
        <w:rPr>
          <w:rFonts w:ascii="Book Antiqua" w:hAnsi="Book Antiqua"/>
        </w:rPr>
        <w:t>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Prevalence,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Current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Status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Future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Directions.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Gut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Liver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2015;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9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571-589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26343068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10.5009/gnl15063]</w:t>
      </w:r>
    </w:p>
    <w:p w14:paraId="3947E9E8" w14:textId="1A3F4615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Morales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A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Duarte-</w:t>
      </w:r>
      <w:proofErr w:type="spellStart"/>
      <w:r w:rsidRPr="00DA2C5D">
        <w:rPr>
          <w:rFonts w:ascii="Book Antiqua" w:hAnsi="Book Antiqua"/>
        </w:rPr>
        <w:t>Rojo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Angeles-Angeles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Mery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CM,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Ruíz</w:t>
      </w:r>
      <w:proofErr w:type="spellEnd"/>
      <w:r w:rsidRPr="00DA2C5D">
        <w:rPr>
          <w:rFonts w:ascii="Book Antiqua" w:hAnsi="Book Antiqua"/>
        </w:rPr>
        <w:t>-Molina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Díaz-Sánchez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Robles-Díaz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beta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estrogen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receptor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predominantly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lastRenderedPageBreak/>
        <w:t>expressed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Pancreas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2003;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26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258-263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12657952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10.1097/00006676-200304000-00009]</w:t>
      </w:r>
    </w:p>
    <w:p w14:paraId="16E52D8B" w14:textId="597F2071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Machado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Machado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Bacchella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Jukemura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Almeida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Cunha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distinct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patterns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onset,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diagnosis,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versus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female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29-34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18154930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10.1016/j.surg.2007.07.030]</w:t>
      </w:r>
    </w:p>
    <w:p w14:paraId="7110F32D" w14:textId="7038A9EC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Reddy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S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Adv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269-282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19845185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10.1016/j.yasu.2009.02.011]</w:t>
      </w:r>
    </w:p>
    <w:p w14:paraId="324E02B4" w14:textId="7B1E7E33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30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  <w:b/>
          <w:bCs/>
        </w:rPr>
        <w:t>Yepuri</w:t>
      </w:r>
      <w:proofErr w:type="spellEnd"/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N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Naous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Meier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Cooney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RN,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Kittur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Jain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Dhir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systematic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meta-analysis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predictors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recurrence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HPB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(Oxford)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22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12-19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31350105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10.1016/j.hpb.2019.06.005]</w:t>
      </w:r>
    </w:p>
    <w:p w14:paraId="75CA88E1" w14:textId="5BC84B5B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King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Kazanjian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Matsumoto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Reber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Yeh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Hines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OJ,</w:t>
      </w:r>
      <w:r w:rsidR="00DA2C5D">
        <w:rPr>
          <w:rFonts w:ascii="Book Antiqua" w:hAnsi="Book Antiqua"/>
        </w:rPr>
        <w:t xml:space="preserve"> </w:t>
      </w:r>
      <w:proofErr w:type="spellStart"/>
      <w:r w:rsidRPr="00DA2C5D">
        <w:rPr>
          <w:rFonts w:ascii="Book Antiqua" w:hAnsi="Book Antiqua"/>
        </w:rPr>
        <w:t>Eibl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Distal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pancreatectomy: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incidence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postoperative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diabetes.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Gastrointest</w:t>
      </w:r>
      <w:proofErr w:type="spellEnd"/>
      <w:r w:rsidR="00DA2C5D">
        <w:rPr>
          <w:rFonts w:ascii="Book Antiqua" w:hAnsi="Book Antiqua"/>
          <w:i/>
          <w:iCs/>
        </w:rPr>
        <w:t xml:space="preserve"> </w:t>
      </w:r>
      <w:proofErr w:type="spellStart"/>
      <w:r w:rsidRPr="00DA2C5D">
        <w:rPr>
          <w:rFonts w:ascii="Book Antiqua" w:hAnsi="Book Antiqua"/>
          <w:i/>
          <w:iCs/>
        </w:rPr>
        <w:t>Surg</w:t>
      </w:r>
      <w:proofErr w:type="spellEnd"/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12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1548-1553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18543045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10.1007/s11605-008-0560-5]</w:t>
      </w:r>
    </w:p>
    <w:p w14:paraId="75F2299A" w14:textId="31C7016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Lam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KY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solid-cystic-papillary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clinicopathologic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features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eight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World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1999;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1045-1050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10512945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10.1007/s002689900621]</w:t>
      </w:r>
    </w:p>
    <w:p w14:paraId="5826B442" w14:textId="5713D7FD" w:rsidR="009D473D" w:rsidRPr="00DA2C5D" w:rsidRDefault="009D473D" w:rsidP="00DA2C5D">
      <w:pPr>
        <w:spacing w:line="360" w:lineRule="auto"/>
        <w:jc w:val="both"/>
        <w:rPr>
          <w:rFonts w:ascii="Book Antiqua" w:hAnsi="Book Antiqua"/>
        </w:rPr>
        <w:sectPr w:rsidR="009D473D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E3BE4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AC7397" w14:textId="337989C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35"/>
      <w:r w:rsidRPr="00DA2C5D">
        <w:rPr>
          <w:rFonts w:ascii="Book Antiqua" w:eastAsia="Book Antiqua" w:hAnsi="Book Antiqua" w:cs="Book Antiqua"/>
          <w:color w:val="000000"/>
        </w:rPr>
        <w:t>Approval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Obtained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Institutional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Reivew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Board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“Hospital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D’or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Ethics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Committee;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</w:t>
      </w:r>
      <w:r w:rsidR="00F632FB" w:rsidRPr="00DA2C5D">
        <w:rPr>
          <w:rFonts w:ascii="Book Antiqua" w:eastAsia="Book Antiqua" w:hAnsi="Book Antiqua" w:cs="Book Antiqua"/>
          <w:color w:val="000000"/>
        </w:rPr>
        <w:t>o.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35555820.0.0000.0048;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28/07/2020.”</w:t>
      </w:r>
      <w:bookmarkEnd w:id="22"/>
    </w:p>
    <w:p w14:paraId="51DB58EC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6EF3351" w14:textId="6D56C2A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36"/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applicable.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authors’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own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trial,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drug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test,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exposure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patients.</w:t>
      </w:r>
      <w:bookmarkEnd w:id="23"/>
    </w:p>
    <w:p w14:paraId="0190A59D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52E1CD4" w14:textId="7D0868F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37"/>
      <w:r w:rsidRPr="00DA2C5D">
        <w:rPr>
          <w:rFonts w:ascii="Book Antiqua" w:eastAsia="Book Antiqua" w:hAnsi="Book Antiqua" w:cs="Book Antiqua"/>
          <w:color w:val="000000"/>
        </w:rPr>
        <w:t>None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conflict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interest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manuscript.</w:t>
      </w:r>
    </w:p>
    <w:bookmarkEnd w:id="24"/>
    <w:p w14:paraId="7514AB9C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50866A9" w14:textId="4C31C5E8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38"/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additional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available</w:t>
      </w:r>
      <w:r w:rsidR="00F632FB" w:rsidRPr="00DA2C5D">
        <w:rPr>
          <w:rFonts w:ascii="Book Antiqua" w:eastAsia="Book Antiqua" w:hAnsi="Book Antiqua" w:cs="Book Antiqua"/>
          <w:color w:val="000000"/>
        </w:rPr>
        <w:t>.</w:t>
      </w:r>
      <w:bookmarkEnd w:id="25"/>
    </w:p>
    <w:p w14:paraId="1E5741A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47F735A" w14:textId="0F0F14E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open-access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selected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in-house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editor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fully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peer-reviewed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external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reviewers.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distributed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Creative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Attribution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BY-NC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4.0)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license,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permits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distribute,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remix,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adapt,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build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non-commercially,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license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their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derivative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works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different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terms,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provided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original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properly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cited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non-commercial.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878ED9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23F3536" w14:textId="416CBF8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Manuscript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source: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Unsolicited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m</w:t>
      </w:r>
      <w:r w:rsidRPr="00DA2C5D">
        <w:rPr>
          <w:rFonts w:ascii="Book Antiqua" w:eastAsia="Book Antiqua" w:hAnsi="Book Antiqua" w:cs="Book Antiqua"/>
          <w:color w:val="000000"/>
        </w:rPr>
        <w:t>anuscript</w:t>
      </w:r>
    </w:p>
    <w:p w14:paraId="5DE9289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4C6153F" w14:textId="3B3F5F2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Peer-review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started: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November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2020</w:t>
      </w:r>
    </w:p>
    <w:p w14:paraId="4E29F22B" w14:textId="23E752F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First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decision: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January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29,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2021</w:t>
      </w:r>
    </w:p>
    <w:p w14:paraId="3A3C451F" w14:textId="36033D6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Article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in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press: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348683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B1917AC" w14:textId="52E8F0F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Specialty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type: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</w:p>
    <w:p w14:paraId="4CADF148" w14:textId="647E199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Country/Territory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origin: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480E4227" w14:textId="59F3362F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Peer-review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report’s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scientific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quality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0CBAB1" w14:textId="7CEADC8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(Excellent):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</w:t>
      </w:r>
    </w:p>
    <w:p w14:paraId="1163010E" w14:textId="4733444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(Very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good):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</w:t>
      </w:r>
    </w:p>
    <w:p w14:paraId="1E2C2704" w14:textId="645C6EA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(Good):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</w:t>
      </w:r>
    </w:p>
    <w:p w14:paraId="1EE18F62" w14:textId="71C6023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(Fair):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</w:t>
      </w:r>
    </w:p>
    <w:p w14:paraId="4E466EA7" w14:textId="698DA89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(Poor):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</w:t>
      </w:r>
    </w:p>
    <w:p w14:paraId="7F0FE48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FBE92B7" w14:textId="1224837F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  <w:sectPr w:rsidR="00A77B3E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A2C5D">
        <w:rPr>
          <w:rFonts w:ascii="Book Antiqua" w:eastAsia="Book Antiqua" w:hAnsi="Book Antiqua" w:cs="Book Antiqua"/>
          <w:b/>
          <w:color w:val="000000"/>
        </w:rPr>
        <w:t>P-Reviewer: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Anastasiou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2C5D">
        <w:rPr>
          <w:rFonts w:ascii="Book Antiqua" w:eastAsia="Book Antiqua" w:hAnsi="Book Antiqua" w:cs="Book Antiqua"/>
          <w:color w:val="000000"/>
        </w:rPr>
        <w:t>Eysselein</w:t>
      </w:r>
      <w:proofErr w:type="spellEnd"/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S-Editor: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JP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L-Editor: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DA2C5D">
        <w:rPr>
          <w:rFonts w:ascii="Book Antiqua" w:eastAsia="Book Antiqua" w:hAnsi="Book Antiqua" w:cs="Book Antiqua"/>
          <w:b/>
          <w:color w:val="000000"/>
        </w:rPr>
        <w:t>P-Editor: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0F4C92" w14:textId="1D61909B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Legends</w:t>
      </w:r>
    </w:p>
    <w:p w14:paraId="756FADDE" w14:textId="6AED3951" w:rsidR="00F632FB" w:rsidRPr="00DA2C5D" w:rsidRDefault="00F632FB" w:rsidP="00DA2C5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A2C5D">
        <w:rPr>
          <w:rFonts w:ascii="Book Antiqua" w:hAnsi="Book Antiqua" w:cs="Calibri Light"/>
          <w:b/>
          <w:bCs/>
          <w:noProof/>
          <w:lang w:eastAsia="zh-CN"/>
        </w:rPr>
        <w:drawing>
          <wp:inline distT="0" distB="0" distL="0" distR="0" wp14:anchorId="29BCCA8B" wp14:editId="255FC00F">
            <wp:extent cx="5134149" cy="2216505"/>
            <wp:effectExtent l="0" t="0" r="0" b="0"/>
            <wp:docPr id="1" name="Picture 1" descr="\\Crimson-2\EC-Support\PublicationSupport_ConfirmedClients\2020\PSUlatus_Non-Japan\September\4thSeptember\FLVSAB-1\FLVSAB-1_CP_MSA1-1\Stage 2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imson-2\EC-Support\PublicationSupport_ConfirmedClients\2020\PSUlatus_Non-Japan\September\4thSeptember\FLVSAB-1\FLVSAB-1_CP_MSA1-1\Stage 2\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10" cy="22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" w:name="_GoBack"/>
      <w:bookmarkEnd w:id="26"/>
    </w:p>
    <w:p w14:paraId="7EF971EC" w14:textId="45162BC5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27" w:name="OLE_LINK39"/>
      <w:r w:rsidRPr="00DA2C5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Heterogeneous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massive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head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pancreas.</w:t>
      </w:r>
      <w:r w:rsidR="00DA2C5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Heterogeneous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cystic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components,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rejecting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upwards</w:t>
      </w:r>
      <w:r w:rsidR="00F632FB" w:rsidRPr="00DA2C5D">
        <w:rPr>
          <w:rFonts w:ascii="Book Antiqua" w:eastAsia="Book Antiqua" w:hAnsi="Book Antiqua" w:cs="Book Antiqua"/>
          <w:color w:val="000000"/>
        </w:rPr>
        <w:t>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</w:p>
    <w:bookmarkEnd w:id="27"/>
    <w:p w14:paraId="1EA5486B" w14:textId="7777777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  <w:sectPr w:rsidR="00F632FB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B8F39" w14:textId="5FD44574" w:rsidR="00F632FB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lang w:eastAsia="zh-CN"/>
        </w:rPr>
        <w:lastRenderedPageBreak/>
        <w:t>A</w:t>
      </w:r>
    </w:p>
    <w:p w14:paraId="6D79543F" w14:textId="4B9118D4" w:rsidR="00DA2C5D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noProof/>
          <w:lang w:eastAsia="zh-CN"/>
        </w:rPr>
        <w:drawing>
          <wp:inline distT="0" distB="0" distL="0" distR="0" wp14:anchorId="73A8F6E3" wp14:editId="379A1F82">
            <wp:extent cx="3128069" cy="3328416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58" cy="33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4CE4" w14:textId="257CEB8C" w:rsidR="00DA2C5D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lang w:eastAsia="zh-CN"/>
        </w:rPr>
        <w:t>B</w:t>
      </w:r>
    </w:p>
    <w:p w14:paraId="6133F319" w14:textId="78561017" w:rsidR="00F632FB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noProof/>
          <w:lang w:eastAsia="zh-CN"/>
        </w:rPr>
        <w:drawing>
          <wp:inline distT="0" distB="0" distL="0" distR="0" wp14:anchorId="68D4F596" wp14:editId="3BC464A6">
            <wp:extent cx="3431969" cy="250327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21" cy="25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3323" w14:textId="55768A3C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partial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superior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mesenteric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vein.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placement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polytetrafluoroethylene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(</w:t>
      </w:r>
      <w:r w:rsidRPr="00DA2C5D">
        <w:rPr>
          <w:rFonts w:ascii="Book Antiqua" w:eastAsia="Book Antiqua" w:hAnsi="Book Antiqua" w:cs="Book Antiqua"/>
          <w:color w:val="000000"/>
        </w:rPr>
        <w:t>PTFE</w:t>
      </w:r>
      <w:r w:rsidR="00F632FB" w:rsidRPr="00DA2C5D">
        <w:rPr>
          <w:rFonts w:ascii="Book Antiqua" w:eastAsia="Book Antiqua" w:hAnsi="Book Antiqua" w:cs="Book Antiqua"/>
          <w:color w:val="000000"/>
        </w:rPr>
        <w:t>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prosthesis</w:t>
      </w:r>
      <w:r w:rsidR="00F632FB" w:rsidRPr="00DA2C5D">
        <w:rPr>
          <w:rFonts w:ascii="Book Antiqua" w:eastAsia="Book Antiqua" w:hAnsi="Book Antiqua" w:cs="Book Antiqua"/>
          <w:color w:val="000000"/>
        </w:rPr>
        <w:t>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PTFE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prosthesis.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HA: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artery;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PV: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Portal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vein;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SMV: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vein;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IVC: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Inferior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vena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cava.</w:t>
      </w:r>
    </w:p>
    <w:p w14:paraId="3ECA246E" w14:textId="24158D89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/>
          <w:bCs/>
          <w:noProof/>
        </w:rPr>
      </w:pPr>
      <w:r w:rsidRPr="00DA2C5D">
        <w:rPr>
          <w:rFonts w:ascii="Book Antiqua" w:hAnsi="Book Antiqua"/>
        </w:rPr>
        <w:br w:type="page"/>
      </w:r>
      <w:r w:rsidRPr="00DA2C5D">
        <w:rPr>
          <w:rFonts w:ascii="Book Antiqua" w:hAnsi="Book Antiqua" w:cs="Calibri Light"/>
          <w:b/>
          <w:bCs/>
          <w:noProof/>
        </w:rPr>
        <w:lastRenderedPageBreak/>
        <w:t>Table 1 Preoperative demographic data and clinical radiological characteristics</w:t>
      </w:r>
    </w:p>
    <w:tbl>
      <w:tblPr>
        <w:tblStyle w:val="a5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3"/>
        <w:gridCol w:w="3350"/>
      </w:tblGrid>
      <w:tr w:rsidR="00DA2C5D" w:rsidRPr="00DA2C5D" w14:paraId="503C9ADC" w14:textId="77777777" w:rsidTr="00F55BC1">
        <w:trPr>
          <w:trHeight w:val="20"/>
          <w:jc w:val="center"/>
        </w:trPr>
        <w:tc>
          <w:tcPr>
            <w:tcW w:w="5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472CA" w14:textId="4C4948C3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Demographic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data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</w:t>
            </w:r>
            <w:r w:rsidR="005B422E" w:rsidRPr="005B422E">
              <w:rPr>
                <w:rFonts w:ascii="Book Antiqua" w:hAnsi="Book Antiqua" w:cs="Calibri Light"/>
                <w:b/>
                <w:i/>
                <w:noProof/>
                <w:lang w:val="en-US"/>
              </w:rPr>
              <w:t>n</w:t>
            </w:r>
            <w:r w:rsidR="005B422E">
              <w:rPr>
                <w:rFonts w:ascii="Book Antiqua" w:hAnsi="Book Antiqua" w:cs="Calibri Light"/>
                <w:b/>
                <w:noProof/>
                <w:lang w:val="en-US"/>
              </w:rPr>
              <w:t xml:space="preserve"> =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14)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49FA0" w14:textId="0D08B12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(%)</w:t>
            </w:r>
          </w:p>
        </w:tc>
      </w:tr>
      <w:tr w:rsidR="00DA2C5D" w:rsidRPr="00DA2C5D" w14:paraId="6A6270F7" w14:textId="77777777" w:rsidTr="00F55BC1">
        <w:trPr>
          <w:trHeight w:val="20"/>
          <w:jc w:val="center"/>
        </w:trPr>
        <w:tc>
          <w:tcPr>
            <w:tcW w:w="5863" w:type="dxa"/>
            <w:tcBorders>
              <w:top w:val="single" w:sz="4" w:space="0" w:color="auto"/>
            </w:tcBorders>
          </w:tcPr>
          <w:p w14:paraId="400DCCA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Gender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6C71F21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7EF07E65" w14:textId="77777777" w:rsidTr="00F55BC1">
        <w:trPr>
          <w:trHeight w:val="20"/>
          <w:jc w:val="center"/>
        </w:trPr>
        <w:tc>
          <w:tcPr>
            <w:tcW w:w="5863" w:type="dxa"/>
          </w:tcPr>
          <w:p w14:paraId="5D94AE89" w14:textId="2BCFDBC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Female/male</w:t>
            </w:r>
          </w:p>
        </w:tc>
        <w:tc>
          <w:tcPr>
            <w:tcW w:w="3350" w:type="dxa"/>
          </w:tcPr>
          <w:p w14:paraId="2BF8B2CF" w14:textId="4215A51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 (100)/0 (0)</w:t>
            </w:r>
          </w:p>
        </w:tc>
      </w:tr>
      <w:tr w:rsidR="00DA2C5D" w:rsidRPr="00DA2C5D" w14:paraId="52D93C14" w14:textId="77777777" w:rsidTr="00F55BC1">
        <w:trPr>
          <w:trHeight w:val="20"/>
          <w:jc w:val="center"/>
        </w:trPr>
        <w:tc>
          <w:tcPr>
            <w:tcW w:w="5863" w:type="dxa"/>
          </w:tcPr>
          <w:p w14:paraId="6B2DE8AB" w14:textId="4E695C5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Mean age (yr)</w:t>
            </w:r>
            <w:r>
              <w:rPr>
                <w:rFonts w:ascii="Book Antiqua" w:hAnsi="Book Antiqua" w:cs="Calibri Light"/>
                <w:noProof/>
                <w:lang w:val="en-US"/>
              </w:rPr>
              <w:t>;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 xml:space="preserve"> (range)</w:t>
            </w:r>
          </w:p>
        </w:tc>
        <w:tc>
          <w:tcPr>
            <w:tcW w:w="3350" w:type="dxa"/>
          </w:tcPr>
          <w:p w14:paraId="5B43CB40" w14:textId="01C829D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31.6 (20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>-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55)</w:t>
            </w:r>
          </w:p>
        </w:tc>
      </w:tr>
      <w:tr w:rsidR="00DA2C5D" w:rsidRPr="00DA2C5D" w14:paraId="68A44491" w14:textId="77777777" w:rsidTr="00F55BC1">
        <w:trPr>
          <w:trHeight w:val="20"/>
          <w:jc w:val="center"/>
        </w:trPr>
        <w:tc>
          <w:tcPr>
            <w:tcW w:w="5863" w:type="dxa"/>
          </w:tcPr>
          <w:p w14:paraId="72E29F55" w14:textId="497C6D03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sym w:font="Symbol" w:char="F0A3"/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 xml:space="preserve"> 35 y</w:t>
            </w:r>
            <w:r>
              <w:rPr>
                <w:rFonts w:ascii="Book Antiqua" w:hAnsi="Book Antiqua" w:cs="Calibri Light"/>
                <w:noProof/>
                <w:lang w:val="en-US"/>
              </w:rPr>
              <w:t>r</w:t>
            </w:r>
          </w:p>
        </w:tc>
        <w:tc>
          <w:tcPr>
            <w:tcW w:w="3350" w:type="dxa"/>
          </w:tcPr>
          <w:p w14:paraId="7B07786F" w14:textId="2BDFE9B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11 (78.6)</w:t>
            </w:r>
          </w:p>
        </w:tc>
      </w:tr>
      <w:tr w:rsidR="00DA2C5D" w:rsidRPr="00DA2C5D" w14:paraId="68993D4C" w14:textId="77777777" w:rsidTr="00F55BC1">
        <w:trPr>
          <w:trHeight w:val="20"/>
          <w:jc w:val="center"/>
        </w:trPr>
        <w:tc>
          <w:tcPr>
            <w:tcW w:w="5863" w:type="dxa"/>
          </w:tcPr>
          <w:p w14:paraId="00E74D7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Symptoms</w:t>
            </w:r>
          </w:p>
        </w:tc>
        <w:tc>
          <w:tcPr>
            <w:tcW w:w="3350" w:type="dxa"/>
          </w:tcPr>
          <w:p w14:paraId="44937917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6CE5904D" w14:textId="77777777" w:rsidTr="00F55BC1">
        <w:trPr>
          <w:trHeight w:val="20"/>
          <w:jc w:val="center"/>
        </w:trPr>
        <w:tc>
          <w:tcPr>
            <w:tcW w:w="5863" w:type="dxa"/>
          </w:tcPr>
          <w:p w14:paraId="59D17F06" w14:textId="456EE195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Asymptomatic</w:t>
            </w:r>
          </w:p>
        </w:tc>
        <w:tc>
          <w:tcPr>
            <w:tcW w:w="3350" w:type="dxa"/>
          </w:tcPr>
          <w:p w14:paraId="5502F108" w14:textId="76FD6E81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12 (85.7)</w:t>
            </w:r>
          </w:p>
        </w:tc>
      </w:tr>
      <w:tr w:rsidR="00DA2C5D" w:rsidRPr="00DA2C5D" w14:paraId="63A3FAC8" w14:textId="77777777" w:rsidTr="00F55BC1">
        <w:trPr>
          <w:trHeight w:val="20"/>
          <w:jc w:val="center"/>
        </w:trPr>
        <w:tc>
          <w:tcPr>
            <w:tcW w:w="5863" w:type="dxa"/>
          </w:tcPr>
          <w:p w14:paraId="3DDDD65B" w14:textId="33629E10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Abdominal pain and vomiting</w:t>
            </w:r>
          </w:p>
        </w:tc>
        <w:tc>
          <w:tcPr>
            <w:tcW w:w="3350" w:type="dxa"/>
          </w:tcPr>
          <w:p w14:paraId="0275289F" w14:textId="2540AA32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 (7.1)</w:t>
            </w:r>
          </w:p>
        </w:tc>
      </w:tr>
      <w:tr w:rsidR="00DA2C5D" w:rsidRPr="00DA2C5D" w14:paraId="5EA120BB" w14:textId="77777777" w:rsidTr="00F55BC1">
        <w:trPr>
          <w:trHeight w:val="20"/>
          <w:jc w:val="center"/>
        </w:trPr>
        <w:tc>
          <w:tcPr>
            <w:tcW w:w="5863" w:type="dxa"/>
          </w:tcPr>
          <w:p w14:paraId="24D8AC24" w14:textId="53DF9CD8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Jaundice/weight loss</w:t>
            </w:r>
          </w:p>
        </w:tc>
        <w:tc>
          <w:tcPr>
            <w:tcW w:w="3350" w:type="dxa"/>
          </w:tcPr>
          <w:p w14:paraId="2750B79F" w14:textId="0319AA89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 (7.1)</w:t>
            </w:r>
          </w:p>
        </w:tc>
      </w:tr>
      <w:tr w:rsidR="00DA2C5D" w:rsidRPr="00DA2C5D" w14:paraId="6BAC7151" w14:textId="77777777" w:rsidTr="00F55BC1">
        <w:trPr>
          <w:trHeight w:val="20"/>
          <w:jc w:val="center"/>
        </w:trPr>
        <w:tc>
          <w:tcPr>
            <w:tcW w:w="5863" w:type="dxa"/>
          </w:tcPr>
          <w:p w14:paraId="66719B32" w14:textId="1B4E5A2D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Radiological characteristics</w:t>
            </w:r>
          </w:p>
        </w:tc>
        <w:tc>
          <w:tcPr>
            <w:tcW w:w="3350" w:type="dxa"/>
          </w:tcPr>
          <w:p w14:paraId="2F5BB145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</w:p>
        </w:tc>
      </w:tr>
      <w:tr w:rsidR="00DA2C5D" w:rsidRPr="00DA2C5D" w14:paraId="2F120ECF" w14:textId="77777777" w:rsidTr="00F55BC1">
        <w:trPr>
          <w:trHeight w:val="20"/>
          <w:jc w:val="center"/>
        </w:trPr>
        <w:tc>
          <w:tcPr>
            <w:tcW w:w="5863" w:type="dxa"/>
          </w:tcPr>
          <w:p w14:paraId="518414AE" w14:textId="059EEEF3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Largest injury (cm)</w:t>
            </w:r>
          </w:p>
        </w:tc>
        <w:tc>
          <w:tcPr>
            <w:tcW w:w="3350" w:type="dxa"/>
          </w:tcPr>
          <w:p w14:paraId="531A328C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18</w:t>
            </w:r>
          </w:p>
        </w:tc>
      </w:tr>
      <w:tr w:rsidR="00DA2C5D" w:rsidRPr="00DA2C5D" w14:paraId="672368B0" w14:textId="77777777" w:rsidTr="00F55BC1">
        <w:trPr>
          <w:trHeight w:val="20"/>
          <w:jc w:val="center"/>
        </w:trPr>
        <w:tc>
          <w:tcPr>
            <w:tcW w:w="5863" w:type="dxa"/>
          </w:tcPr>
          <w:p w14:paraId="62CEEEE4" w14:textId="5DC41214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Minor injury (cm)</w:t>
            </w:r>
          </w:p>
        </w:tc>
        <w:tc>
          <w:tcPr>
            <w:tcW w:w="3350" w:type="dxa"/>
          </w:tcPr>
          <w:p w14:paraId="37AF9CE9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1.5</w:t>
            </w:r>
          </w:p>
        </w:tc>
      </w:tr>
      <w:tr w:rsidR="00DA2C5D" w:rsidRPr="00DA2C5D" w14:paraId="38F2B8EF" w14:textId="77777777" w:rsidTr="00F55BC1">
        <w:trPr>
          <w:trHeight w:val="20"/>
          <w:jc w:val="center"/>
        </w:trPr>
        <w:tc>
          <w:tcPr>
            <w:tcW w:w="5863" w:type="dxa"/>
          </w:tcPr>
          <w:p w14:paraId="5474242B" w14:textId="09397F5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Average lesion size (cm); (range)</w:t>
            </w:r>
          </w:p>
        </w:tc>
        <w:tc>
          <w:tcPr>
            <w:tcW w:w="3350" w:type="dxa"/>
          </w:tcPr>
          <w:p w14:paraId="069C659C" w14:textId="4E1653DC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color w:val="000000" w:themeColor="text1"/>
                <w:lang w:val="en-US"/>
              </w:rPr>
              <w:t>6.7 (1</w:t>
            </w:r>
            <w:r>
              <w:rPr>
                <w:rFonts w:ascii="Book Antiqua" w:hAnsi="Book Antiqua" w:cs="Calibri Light"/>
                <w:bCs/>
                <w:noProof/>
                <w:color w:val="000000" w:themeColor="text1"/>
                <w:lang w:val="en-US"/>
              </w:rPr>
              <w:t>.</w:t>
            </w:r>
            <w:r w:rsidRPr="00DA2C5D">
              <w:rPr>
                <w:rFonts w:ascii="Book Antiqua" w:hAnsi="Book Antiqua" w:cs="Calibri Light"/>
                <w:bCs/>
                <w:noProof/>
                <w:color w:val="000000" w:themeColor="text1"/>
                <w:lang w:val="en-US"/>
              </w:rPr>
              <w:t>5-18)</w:t>
            </w:r>
          </w:p>
        </w:tc>
      </w:tr>
      <w:tr w:rsidR="00DA2C5D" w:rsidRPr="00DA2C5D" w14:paraId="49ABB44B" w14:textId="77777777" w:rsidTr="00F55BC1">
        <w:trPr>
          <w:trHeight w:val="20"/>
          <w:jc w:val="center"/>
        </w:trPr>
        <w:tc>
          <w:tcPr>
            <w:tcW w:w="5863" w:type="dxa"/>
          </w:tcPr>
          <w:p w14:paraId="52AD898E" w14:textId="410AA292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Tumor location</w:t>
            </w:r>
          </w:p>
        </w:tc>
        <w:tc>
          <w:tcPr>
            <w:tcW w:w="3350" w:type="dxa"/>
          </w:tcPr>
          <w:p w14:paraId="6682F988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523ECFC7" w14:textId="77777777" w:rsidTr="00F55BC1">
        <w:trPr>
          <w:trHeight w:val="20"/>
          <w:jc w:val="center"/>
        </w:trPr>
        <w:tc>
          <w:tcPr>
            <w:tcW w:w="5863" w:type="dxa"/>
          </w:tcPr>
          <w:p w14:paraId="5B306B93" w14:textId="3B081766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Head</w:t>
            </w:r>
          </w:p>
        </w:tc>
        <w:tc>
          <w:tcPr>
            <w:tcW w:w="3350" w:type="dxa"/>
          </w:tcPr>
          <w:p w14:paraId="6B9BC76F" w14:textId="750AF8E5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6 (42.8)</w:t>
            </w:r>
          </w:p>
        </w:tc>
      </w:tr>
      <w:tr w:rsidR="00DA2C5D" w:rsidRPr="00DA2C5D" w14:paraId="7472CA84" w14:textId="77777777" w:rsidTr="00F55BC1">
        <w:trPr>
          <w:trHeight w:val="20"/>
          <w:jc w:val="center"/>
        </w:trPr>
        <w:tc>
          <w:tcPr>
            <w:tcW w:w="5863" w:type="dxa"/>
          </w:tcPr>
          <w:p w14:paraId="4EB5F935" w14:textId="218EED6E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Body/tail</w:t>
            </w:r>
          </w:p>
        </w:tc>
        <w:tc>
          <w:tcPr>
            <w:tcW w:w="3350" w:type="dxa"/>
          </w:tcPr>
          <w:p w14:paraId="36264005" w14:textId="72C4275E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8 (57.1)</w:t>
            </w:r>
          </w:p>
        </w:tc>
      </w:tr>
      <w:tr w:rsidR="00DA2C5D" w:rsidRPr="00DA2C5D" w14:paraId="01B77300" w14:textId="77777777" w:rsidTr="00F55BC1">
        <w:trPr>
          <w:trHeight w:val="20"/>
          <w:jc w:val="center"/>
        </w:trPr>
        <w:tc>
          <w:tcPr>
            <w:tcW w:w="5863" w:type="dxa"/>
          </w:tcPr>
          <w:p w14:paraId="72D02DD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Metastasis</w:t>
            </w:r>
          </w:p>
        </w:tc>
        <w:tc>
          <w:tcPr>
            <w:tcW w:w="3350" w:type="dxa"/>
          </w:tcPr>
          <w:p w14:paraId="377AEBDE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351791A9" w14:textId="77777777" w:rsidTr="00F55BC1">
        <w:trPr>
          <w:trHeight w:val="20"/>
          <w:jc w:val="center"/>
        </w:trPr>
        <w:tc>
          <w:tcPr>
            <w:tcW w:w="5863" w:type="dxa"/>
          </w:tcPr>
          <w:p w14:paraId="75C3882F" w14:textId="602E5507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Yes</w:t>
            </w:r>
          </w:p>
        </w:tc>
        <w:tc>
          <w:tcPr>
            <w:tcW w:w="3350" w:type="dxa"/>
          </w:tcPr>
          <w:p w14:paraId="694C7453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5FCFF214" w14:textId="77777777" w:rsidTr="00F55BC1">
        <w:trPr>
          <w:trHeight w:val="20"/>
          <w:jc w:val="center"/>
        </w:trPr>
        <w:tc>
          <w:tcPr>
            <w:tcW w:w="5863" w:type="dxa"/>
          </w:tcPr>
          <w:p w14:paraId="643BBD62" w14:textId="61DBD4B7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No</w:t>
            </w:r>
          </w:p>
        </w:tc>
        <w:tc>
          <w:tcPr>
            <w:tcW w:w="3350" w:type="dxa"/>
          </w:tcPr>
          <w:p w14:paraId="62DD5342" w14:textId="668595F2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 (100)</w:t>
            </w:r>
          </w:p>
        </w:tc>
      </w:tr>
      <w:tr w:rsidR="00DA2C5D" w:rsidRPr="00DA2C5D" w14:paraId="4C066F92" w14:textId="77777777" w:rsidTr="00F55BC1">
        <w:trPr>
          <w:trHeight w:val="20"/>
          <w:jc w:val="center"/>
        </w:trPr>
        <w:tc>
          <w:tcPr>
            <w:tcW w:w="5863" w:type="dxa"/>
          </w:tcPr>
          <w:p w14:paraId="4786C0B5" w14:textId="11580F4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Lymph node enlargement</w:t>
            </w:r>
          </w:p>
        </w:tc>
        <w:tc>
          <w:tcPr>
            <w:tcW w:w="3350" w:type="dxa"/>
          </w:tcPr>
          <w:p w14:paraId="179BB89F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76F80BFE" w14:textId="77777777" w:rsidTr="00F55BC1">
        <w:trPr>
          <w:trHeight w:val="20"/>
          <w:jc w:val="center"/>
        </w:trPr>
        <w:tc>
          <w:tcPr>
            <w:tcW w:w="5863" w:type="dxa"/>
            <w:tcBorders>
              <w:bottom w:val="single" w:sz="4" w:space="0" w:color="auto"/>
            </w:tcBorders>
          </w:tcPr>
          <w:p w14:paraId="2DF31CA4" w14:textId="34CABA4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Vascular invasion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629E88EE" w14:textId="4E4A4A1E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(14.3)</w:t>
            </w:r>
          </w:p>
        </w:tc>
      </w:tr>
    </w:tbl>
    <w:p w14:paraId="24F100F1" w14:textId="77777777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/>
          <w:bCs/>
          <w:noProof/>
          <w:color w:val="000000" w:themeColor="text1"/>
        </w:rPr>
      </w:pPr>
    </w:p>
    <w:p w14:paraId="40D72F2F" w14:textId="77777777" w:rsidR="00DA2C5D" w:rsidRDefault="00DA2C5D" w:rsidP="00DA2C5D">
      <w:pPr>
        <w:spacing w:line="360" w:lineRule="auto"/>
        <w:jc w:val="both"/>
        <w:rPr>
          <w:rFonts w:ascii="Book Antiqua" w:hAnsi="Book Antiqua" w:cs="Calibri Light"/>
          <w:b/>
          <w:bCs/>
          <w:noProof/>
          <w:color w:val="000000" w:themeColor="text1"/>
        </w:rPr>
        <w:sectPr w:rsid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0CD7D" w14:textId="5A835502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b/>
          <w:bCs/>
          <w:noProof/>
          <w:color w:val="000000" w:themeColor="text1"/>
        </w:rPr>
        <w:lastRenderedPageBreak/>
        <w:t>Table</w:t>
      </w:r>
      <w:r>
        <w:rPr>
          <w:rFonts w:ascii="Book Antiqua" w:hAnsi="Book Antiqua" w:cs="Calibri Light"/>
          <w:b/>
          <w:bCs/>
          <w:noProof/>
          <w:color w:val="000000" w:themeColor="text1"/>
        </w:rPr>
        <w:t xml:space="preserve"> </w:t>
      </w:r>
      <w:r w:rsidRPr="00DA2C5D">
        <w:rPr>
          <w:rFonts w:ascii="Book Antiqua" w:hAnsi="Book Antiqua" w:cs="Calibri Light"/>
          <w:b/>
          <w:bCs/>
          <w:noProof/>
          <w:color w:val="000000" w:themeColor="text1"/>
        </w:rPr>
        <w:t>2</w:t>
      </w:r>
      <w:r>
        <w:rPr>
          <w:rFonts w:ascii="Book Antiqua" w:hAnsi="Book Antiqua" w:cs="Calibri Light"/>
          <w:b/>
          <w:bCs/>
          <w:noProof/>
          <w:color w:val="000000" w:themeColor="text1"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Intraoperative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surgical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data</w:t>
      </w:r>
    </w:p>
    <w:tbl>
      <w:tblPr>
        <w:tblStyle w:val="a5"/>
        <w:tblW w:w="9162" w:type="dxa"/>
        <w:jc w:val="center"/>
        <w:tblLook w:val="04A0" w:firstRow="1" w:lastRow="0" w:firstColumn="1" w:lastColumn="0" w:noHBand="0" w:noVBand="1"/>
      </w:tblPr>
      <w:tblGrid>
        <w:gridCol w:w="7337"/>
        <w:gridCol w:w="1825"/>
      </w:tblGrid>
      <w:tr w:rsidR="00DA2C5D" w:rsidRPr="00DA2C5D" w14:paraId="2A95CB29" w14:textId="77777777" w:rsidTr="00F55BC1">
        <w:trPr>
          <w:trHeight w:val="237"/>
          <w:jc w:val="center"/>
        </w:trPr>
        <w:tc>
          <w:tcPr>
            <w:tcW w:w="7337" w:type="dxa"/>
            <w:tcBorders>
              <w:left w:val="nil"/>
              <w:bottom w:val="single" w:sz="4" w:space="0" w:color="auto"/>
              <w:right w:val="nil"/>
            </w:tcBorders>
          </w:tcPr>
          <w:p w14:paraId="0AC7F84C" w14:textId="23E5EC9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Intraoperative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characteristics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</w:t>
            </w:r>
            <w:r w:rsidR="00F55BC1" w:rsidRPr="005B422E">
              <w:rPr>
                <w:rFonts w:ascii="Book Antiqua" w:hAnsi="Book Antiqua" w:cs="Calibri Light"/>
                <w:b/>
                <w:i/>
                <w:noProof/>
                <w:lang w:val="en-US"/>
              </w:rPr>
              <w:t>n</w:t>
            </w:r>
            <w:r w:rsidR="00F55BC1">
              <w:rPr>
                <w:rFonts w:ascii="Book Antiqua" w:hAnsi="Book Antiqua" w:cs="Calibri Light"/>
                <w:b/>
                <w:noProof/>
                <w:lang w:val="en-US"/>
              </w:rPr>
              <w:t xml:space="preserve"> =</w:t>
            </w:r>
            <w:r w:rsidR="00F55BC1"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14)</w:t>
            </w:r>
          </w:p>
        </w:tc>
        <w:tc>
          <w:tcPr>
            <w:tcW w:w="1825" w:type="dxa"/>
            <w:tcBorders>
              <w:left w:val="nil"/>
              <w:bottom w:val="single" w:sz="4" w:space="0" w:color="auto"/>
              <w:right w:val="nil"/>
            </w:tcBorders>
          </w:tcPr>
          <w:p w14:paraId="348D44D1" w14:textId="0D2B0C3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(%)</w:t>
            </w:r>
          </w:p>
        </w:tc>
      </w:tr>
      <w:tr w:rsidR="00DA2C5D" w:rsidRPr="00DA2C5D" w14:paraId="557D92AB" w14:textId="77777777" w:rsidTr="00F55BC1">
        <w:trPr>
          <w:trHeight w:val="237"/>
          <w:jc w:val="center"/>
        </w:trPr>
        <w:tc>
          <w:tcPr>
            <w:tcW w:w="7337" w:type="dxa"/>
            <w:tcBorders>
              <w:left w:val="nil"/>
              <w:bottom w:val="nil"/>
              <w:right w:val="nil"/>
            </w:tcBorders>
          </w:tcPr>
          <w:p w14:paraId="4F9FB770" w14:textId="13B76279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Access way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14:paraId="3D4D31D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53CEB7E9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4D707F3D" w14:textId="2E39D8AF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Laproscopic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FCE2E2F" w14:textId="47F201F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5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(38.4)</w:t>
            </w:r>
          </w:p>
        </w:tc>
      </w:tr>
      <w:tr w:rsidR="00DA2C5D" w:rsidRPr="00DA2C5D" w14:paraId="6205246C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3C7242C8" w14:textId="1AC41B75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Open Laparotomy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678C408" w14:textId="604F70B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9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(64.2)</w:t>
            </w:r>
          </w:p>
        </w:tc>
      </w:tr>
      <w:tr w:rsidR="00DA2C5D" w:rsidRPr="00DA2C5D" w14:paraId="4D9B4AC2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7A5321F1" w14:textId="0F0DEAF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Type of surgery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24A0B2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20D520B8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98FE205" w14:textId="6C0C548F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Duodenopancreatectomy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FDEC915" w14:textId="62CD48C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(42.8)</w:t>
            </w:r>
          </w:p>
        </w:tc>
      </w:tr>
      <w:tr w:rsidR="00DA2C5D" w:rsidRPr="00DA2C5D" w14:paraId="101E2E64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B54F083" w14:textId="405FF334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Distal pancreatectomy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49B97DF" w14:textId="3FEC033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8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(57.1)</w:t>
            </w:r>
          </w:p>
        </w:tc>
      </w:tr>
      <w:tr w:rsidR="00DA2C5D" w:rsidRPr="00DA2C5D" w14:paraId="166F5C17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70E666DA" w14:textId="2A30F32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 xml:space="preserve">Vascular 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>r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esection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52049FB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0B072569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492C8B76" w14:textId="32EC749C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CEF150B" w14:textId="4A90081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(14.2)</w:t>
            </w:r>
          </w:p>
        </w:tc>
      </w:tr>
      <w:tr w:rsidR="00DA2C5D" w:rsidRPr="00DA2C5D" w14:paraId="00892C27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C32DB87" w14:textId="3CCFFB52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61C8E3B" w14:textId="3A112DC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(85.7)</w:t>
            </w:r>
          </w:p>
        </w:tc>
      </w:tr>
      <w:tr w:rsidR="00DA2C5D" w:rsidRPr="00DA2C5D" w14:paraId="7552F210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96F88EB" w14:textId="1D8FCCA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Resection of other organs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6E4746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0A49085A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0A1D5962" w14:textId="4B6AA824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2FACAF6" w14:textId="25FFBE3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8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(57.1)</w:t>
            </w:r>
          </w:p>
        </w:tc>
      </w:tr>
      <w:tr w:rsidR="00DA2C5D" w:rsidRPr="00DA2C5D" w14:paraId="01E8A404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ED21507" w14:textId="5B2FF95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 xml:space="preserve"> Spleen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C7D671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(7)</w:t>
            </w:r>
          </w:p>
        </w:tc>
      </w:tr>
      <w:tr w:rsidR="00DA2C5D" w:rsidRPr="00DA2C5D" w14:paraId="38BDC2AC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4E8EBF1" w14:textId="0FE05D81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Transverse colon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6B0692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(1)</w:t>
            </w:r>
          </w:p>
        </w:tc>
      </w:tr>
      <w:tr w:rsidR="00DA2C5D" w:rsidRPr="00DA2C5D" w14:paraId="552392D6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62E2165A" w14:textId="1AE7B11F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Stomach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6805AA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(1)</w:t>
            </w:r>
          </w:p>
        </w:tc>
      </w:tr>
      <w:tr w:rsidR="00DA2C5D" w:rsidRPr="00DA2C5D" w14:paraId="6E416DCD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0C4FC79" w14:textId="72478C2B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0169AE7" w14:textId="71B90F3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(42.8)</w:t>
            </w:r>
          </w:p>
        </w:tc>
      </w:tr>
      <w:tr w:rsidR="00DA2C5D" w:rsidRPr="00DA2C5D" w14:paraId="0D12C758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F1E422A" w14:textId="60DBE96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Blood transfusion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6DD264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164E8489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4762202" w14:textId="6807125E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303728D" w14:textId="0430B41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(14.2)</w:t>
            </w:r>
          </w:p>
        </w:tc>
      </w:tr>
      <w:tr w:rsidR="00DA2C5D" w:rsidRPr="00DA2C5D" w14:paraId="7A0D4A12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322B" w14:textId="11A7C71E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7083" w14:textId="59507CE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(85.7)</w:t>
            </w:r>
          </w:p>
        </w:tc>
      </w:tr>
    </w:tbl>
    <w:p w14:paraId="6ADF97BC" w14:textId="77777777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</w:p>
    <w:p w14:paraId="39890C9C" w14:textId="77777777" w:rsid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</w:rPr>
        <w:sectPr w:rsid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EC0765" w14:textId="1545A084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b/>
          <w:noProof/>
        </w:rPr>
        <w:lastRenderedPageBreak/>
        <w:t>Table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3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Postoperative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characteristics,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adverse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events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(classification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and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treatment),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readmission,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and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deaths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1800"/>
        <w:gridCol w:w="2693"/>
      </w:tblGrid>
      <w:tr w:rsidR="00DA2C5D" w:rsidRPr="00DA2C5D" w14:paraId="7F82999F" w14:textId="77777777" w:rsidTr="005F7446">
        <w:trPr>
          <w:trHeight w:val="442"/>
        </w:trPr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14:paraId="6DE4557A" w14:textId="7F421732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Postoperative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characteristics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</w:t>
            </w:r>
            <w:r w:rsidR="00CE47B7" w:rsidRPr="005B422E">
              <w:rPr>
                <w:rFonts w:ascii="Book Antiqua" w:hAnsi="Book Antiqua" w:cs="Calibri Light"/>
                <w:b/>
                <w:i/>
                <w:noProof/>
                <w:lang w:val="en-US"/>
              </w:rPr>
              <w:t>n</w:t>
            </w:r>
            <w:r w:rsidR="00CE47B7">
              <w:rPr>
                <w:rFonts w:ascii="Book Antiqua" w:hAnsi="Book Antiqua" w:cs="Calibri Light"/>
                <w:b/>
                <w:noProof/>
                <w:lang w:val="en-US"/>
              </w:rPr>
              <w:t xml:space="preserve"> =</w:t>
            </w:r>
            <w:r w:rsidR="00CE47B7"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14)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B01477" w14:textId="46DEEFA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0E0FD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Clavien-Dindo</w:t>
            </w:r>
          </w:p>
        </w:tc>
      </w:tr>
      <w:tr w:rsidR="00DA2C5D" w:rsidRPr="00DA2C5D" w14:paraId="06953BE5" w14:textId="77777777" w:rsidTr="005F7446">
        <w:trPr>
          <w:trHeight w:val="452"/>
        </w:trPr>
        <w:tc>
          <w:tcPr>
            <w:tcW w:w="4863" w:type="dxa"/>
            <w:tcBorders>
              <w:top w:val="single" w:sz="4" w:space="0" w:color="auto"/>
            </w:tcBorders>
          </w:tcPr>
          <w:p w14:paraId="504C65E4" w14:textId="1899FE0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Abdominal drain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EDC2DB" w14:textId="2B0CCCD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(100)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591C08" w14:textId="592E9D7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-</w:t>
            </w:r>
          </w:p>
        </w:tc>
      </w:tr>
      <w:tr w:rsidR="00DA2C5D" w:rsidRPr="00DA2C5D" w14:paraId="7FBFD120" w14:textId="77777777" w:rsidTr="005F7446">
        <w:trPr>
          <w:trHeight w:val="452"/>
        </w:trPr>
        <w:tc>
          <w:tcPr>
            <w:tcW w:w="4863" w:type="dxa"/>
          </w:tcPr>
          <w:p w14:paraId="262783A1" w14:textId="5D3A962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 site (adverse events)</w:t>
            </w:r>
          </w:p>
        </w:tc>
        <w:tc>
          <w:tcPr>
            <w:tcW w:w="1800" w:type="dxa"/>
          </w:tcPr>
          <w:p w14:paraId="54F17D3F" w14:textId="28EA8EC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(28.5)</w:t>
            </w:r>
          </w:p>
        </w:tc>
        <w:tc>
          <w:tcPr>
            <w:tcW w:w="2693" w:type="dxa"/>
          </w:tcPr>
          <w:p w14:paraId="4F5EB7D9" w14:textId="6C5BAFF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-</w:t>
            </w:r>
          </w:p>
        </w:tc>
      </w:tr>
      <w:tr w:rsidR="00DA2C5D" w:rsidRPr="00DA2C5D" w14:paraId="546C3000" w14:textId="77777777" w:rsidTr="005F7446">
        <w:trPr>
          <w:trHeight w:val="442"/>
        </w:trPr>
        <w:tc>
          <w:tcPr>
            <w:tcW w:w="4863" w:type="dxa"/>
          </w:tcPr>
          <w:p w14:paraId="7CC6BBE5" w14:textId="0DE5B559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 wound infection (PD)</w:t>
            </w:r>
          </w:p>
        </w:tc>
        <w:tc>
          <w:tcPr>
            <w:tcW w:w="1800" w:type="dxa"/>
          </w:tcPr>
          <w:p w14:paraId="6F234962" w14:textId="4974D31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37C324EB" w14:textId="3E49EF4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Antibiotic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)</w:t>
            </w:r>
          </w:p>
        </w:tc>
      </w:tr>
      <w:tr w:rsidR="00DA2C5D" w:rsidRPr="00DA2C5D" w14:paraId="1BD08EEC" w14:textId="77777777" w:rsidTr="005F7446">
        <w:trPr>
          <w:trHeight w:val="435"/>
        </w:trPr>
        <w:tc>
          <w:tcPr>
            <w:tcW w:w="4863" w:type="dxa"/>
          </w:tcPr>
          <w:p w14:paraId="557A47AA" w14:textId="671ACE96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Transient liver failure/ascites (PD)</w:t>
            </w:r>
          </w:p>
        </w:tc>
        <w:tc>
          <w:tcPr>
            <w:tcW w:w="1800" w:type="dxa"/>
          </w:tcPr>
          <w:p w14:paraId="4F1C3287" w14:textId="21D409C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07CB42D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</w:t>
            </w:r>
          </w:p>
        </w:tc>
      </w:tr>
      <w:tr w:rsidR="00DA2C5D" w:rsidRPr="00DA2C5D" w14:paraId="17BF5396" w14:textId="77777777" w:rsidTr="005F7446">
        <w:trPr>
          <w:trHeight w:val="905"/>
        </w:trPr>
        <w:tc>
          <w:tcPr>
            <w:tcW w:w="4863" w:type="dxa"/>
          </w:tcPr>
          <w:p w14:paraId="6DAD1CCE" w14:textId="77777777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 w:eastAsia="zh-CN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Grade C pancreatic fistula (CCP)</w:t>
            </w:r>
            <w:r w:rsidRPr="00DA2C5D">
              <w:rPr>
                <w:rFonts w:ascii="Book Antiqua" w:hAnsi="Book Antiqua" w:cs="Calibri Light" w:hint="eastAsia"/>
                <w:bCs/>
                <w:noProof/>
                <w:lang w:val="en-US" w:eastAsia="zh-CN"/>
              </w:rPr>
              <w:t xml:space="preserve"> </w:t>
            </w:r>
          </w:p>
          <w:p w14:paraId="6158A0C2" w14:textId="36C2E3E2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 xml:space="preserve">Grade B pancreatic fistula (CCP) </w:t>
            </w:r>
          </w:p>
        </w:tc>
        <w:tc>
          <w:tcPr>
            <w:tcW w:w="1800" w:type="dxa"/>
          </w:tcPr>
          <w:p w14:paraId="201C29C4" w14:textId="5E87F600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  <w:p w14:paraId="737AFE4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1(7.1)</w:t>
            </w:r>
          </w:p>
        </w:tc>
        <w:tc>
          <w:tcPr>
            <w:tcW w:w="2693" w:type="dxa"/>
          </w:tcPr>
          <w:p w14:paraId="50799480" w14:textId="759ABB13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(EL)</w:t>
            </w:r>
          </w:p>
          <w:p w14:paraId="6342E104" w14:textId="761747D0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(abdominal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drain)</w:t>
            </w:r>
          </w:p>
        </w:tc>
      </w:tr>
      <w:tr w:rsidR="00DA2C5D" w:rsidRPr="00DA2C5D" w14:paraId="58A527B9" w14:textId="77777777" w:rsidTr="005F7446">
        <w:trPr>
          <w:trHeight w:val="497"/>
        </w:trPr>
        <w:tc>
          <w:tcPr>
            <w:tcW w:w="4863" w:type="dxa"/>
          </w:tcPr>
          <w:p w14:paraId="21F66202" w14:textId="3547288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 site (adverse events outside)</w:t>
            </w:r>
          </w:p>
        </w:tc>
        <w:tc>
          <w:tcPr>
            <w:tcW w:w="1800" w:type="dxa"/>
          </w:tcPr>
          <w:p w14:paraId="041AA944" w14:textId="2EDD6CE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0DDC549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</w:p>
        </w:tc>
      </w:tr>
      <w:tr w:rsidR="00DA2C5D" w:rsidRPr="00DA2C5D" w14:paraId="6005365E" w14:textId="77777777" w:rsidTr="005F7446">
        <w:trPr>
          <w:trHeight w:val="452"/>
        </w:trPr>
        <w:tc>
          <w:tcPr>
            <w:tcW w:w="4863" w:type="dxa"/>
          </w:tcPr>
          <w:p w14:paraId="52F1D75F" w14:textId="31209E7A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Urinary infection (PD)</w:t>
            </w:r>
          </w:p>
        </w:tc>
        <w:tc>
          <w:tcPr>
            <w:tcW w:w="1800" w:type="dxa"/>
          </w:tcPr>
          <w:p w14:paraId="22E03852" w14:textId="23ECB02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0EDD6F58" w14:textId="6B20A42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(A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ntibiotic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)</w:t>
            </w:r>
          </w:p>
        </w:tc>
      </w:tr>
      <w:tr w:rsidR="00DA2C5D" w:rsidRPr="00DA2C5D" w14:paraId="4E1CC879" w14:textId="77777777" w:rsidTr="005F7446">
        <w:trPr>
          <w:trHeight w:val="442"/>
        </w:trPr>
        <w:tc>
          <w:tcPr>
            <w:tcW w:w="4863" w:type="dxa"/>
          </w:tcPr>
          <w:p w14:paraId="4303A5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Readmission</w:t>
            </w:r>
          </w:p>
        </w:tc>
        <w:tc>
          <w:tcPr>
            <w:tcW w:w="1800" w:type="dxa"/>
          </w:tcPr>
          <w:p w14:paraId="7DE60C7D" w14:textId="3B6DE87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7D7A0B9F" w14:textId="35FBA4E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Grade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fistula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(EL)</w:t>
            </w:r>
          </w:p>
        </w:tc>
      </w:tr>
      <w:tr w:rsidR="00DA2C5D" w:rsidRPr="00DA2C5D" w14:paraId="647473E4" w14:textId="77777777" w:rsidTr="005F7446">
        <w:trPr>
          <w:trHeight w:val="452"/>
        </w:trPr>
        <w:tc>
          <w:tcPr>
            <w:tcW w:w="4863" w:type="dxa"/>
            <w:tcBorders>
              <w:bottom w:val="single" w:sz="4" w:space="0" w:color="auto"/>
            </w:tcBorders>
          </w:tcPr>
          <w:p w14:paraId="4143B195" w14:textId="466FCDC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Death up to 90 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0082F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ADDFE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</w:p>
        </w:tc>
      </w:tr>
    </w:tbl>
    <w:p w14:paraId="628EE823" w14:textId="533A4C9C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bCs/>
          <w:noProof/>
        </w:rPr>
        <w:t>EL</w:t>
      </w:r>
      <w:r>
        <w:rPr>
          <w:rFonts w:ascii="Book Antiqua" w:hAnsi="Book Antiqua" w:cs="Calibri Light"/>
          <w:bCs/>
          <w:noProof/>
        </w:rPr>
        <w:t xml:space="preserve">: </w:t>
      </w:r>
      <w:r w:rsidRPr="00DA2C5D">
        <w:rPr>
          <w:rFonts w:ascii="Book Antiqua" w:hAnsi="Book Antiqua" w:cs="Calibri Light"/>
          <w:bCs/>
          <w:noProof/>
        </w:rPr>
        <w:t>Exploratory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laparotomy</w:t>
      </w:r>
      <w:r>
        <w:rPr>
          <w:rFonts w:ascii="Book Antiqua" w:hAnsi="Book Antiqua" w:cs="Calibri Light"/>
          <w:bCs/>
          <w:noProof/>
        </w:rPr>
        <w:t xml:space="preserve">; PD: </w:t>
      </w:r>
      <w:r w:rsidRPr="00DA2C5D">
        <w:rPr>
          <w:rFonts w:ascii="Book Antiqua" w:eastAsia="Book Antiqua" w:hAnsi="Book Antiqua" w:cs="Book Antiqua"/>
          <w:color w:val="000000"/>
        </w:rPr>
        <w:t>Pancreaticoduodenectomy</w:t>
      </w:r>
      <w:r w:rsidR="00721A06">
        <w:rPr>
          <w:rFonts w:ascii="Book Antiqua" w:eastAsia="Book Antiqua" w:hAnsi="Book Antiqua" w:cs="Book Antiqua"/>
          <w:color w:val="000000"/>
        </w:rPr>
        <w:t>.</w:t>
      </w:r>
    </w:p>
    <w:p w14:paraId="10ACCCC3" w14:textId="77777777" w:rsidR="00B67B2A" w:rsidRDefault="00B67B2A" w:rsidP="00DA2C5D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  <w:sectPr w:rsidR="00B67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809FD" w14:textId="670CD059" w:rsidR="00DA2C5D" w:rsidRPr="00B67B2A" w:rsidRDefault="00DA2C5D" w:rsidP="00DA2C5D">
      <w:pPr>
        <w:spacing w:line="360" w:lineRule="auto"/>
        <w:jc w:val="both"/>
        <w:rPr>
          <w:rFonts w:ascii="Book Antiqua" w:hAnsi="Book Antiqua" w:cs="Calibri Light"/>
          <w:b/>
          <w:noProof/>
        </w:rPr>
      </w:pPr>
      <w:r w:rsidRPr="00DA2C5D">
        <w:rPr>
          <w:rFonts w:ascii="Book Antiqua" w:hAnsi="Book Antiqua" w:cs="Calibri Light"/>
          <w:b/>
          <w:noProof/>
        </w:rPr>
        <w:lastRenderedPageBreak/>
        <w:t>Table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4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Pathological</w:t>
      </w:r>
      <w:r>
        <w:rPr>
          <w:rFonts w:ascii="Book Antiqua" w:hAnsi="Book Antiqua" w:cs="Calibri Light"/>
          <w:b/>
          <w:noProof/>
        </w:rPr>
        <w:t xml:space="preserve"> </w:t>
      </w:r>
      <w:r w:rsidR="00B67B2A">
        <w:rPr>
          <w:rFonts w:ascii="Book Antiqua" w:hAnsi="Book Antiqua" w:cs="Calibri Light"/>
          <w:b/>
          <w:noProof/>
        </w:rPr>
        <w:t>c</w:t>
      </w:r>
      <w:r w:rsidRPr="00DA2C5D">
        <w:rPr>
          <w:rFonts w:ascii="Book Antiqua" w:hAnsi="Book Antiqua" w:cs="Calibri Light"/>
          <w:b/>
          <w:noProof/>
        </w:rPr>
        <w:t>haracteristics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(</w:t>
      </w:r>
      <w:r w:rsidR="00001877" w:rsidRPr="005B422E">
        <w:rPr>
          <w:rFonts w:ascii="Book Antiqua" w:hAnsi="Book Antiqua" w:cs="Calibri Light"/>
          <w:b/>
          <w:i/>
          <w:noProof/>
        </w:rPr>
        <w:t>n</w:t>
      </w:r>
      <w:r w:rsidR="00001877">
        <w:rPr>
          <w:rFonts w:ascii="Book Antiqua" w:hAnsi="Book Antiqua" w:cs="Calibri Light"/>
          <w:b/>
          <w:noProof/>
        </w:rPr>
        <w:t xml:space="preserve"> =</w:t>
      </w:r>
      <w:r w:rsidR="00001877"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14)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0"/>
        <w:gridCol w:w="2448"/>
      </w:tblGrid>
      <w:tr w:rsidR="00DA2C5D" w:rsidRPr="00DA2C5D" w14:paraId="371A41D1" w14:textId="77777777" w:rsidTr="00EC6367">
        <w:trPr>
          <w:trHeight w:val="447"/>
        </w:trPr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3EFF3" w14:textId="7A049A6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Pathological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="00B67B2A">
              <w:rPr>
                <w:rFonts w:ascii="Book Antiqua" w:hAnsi="Book Antiqua" w:cs="Calibri Light"/>
                <w:b/>
                <w:noProof/>
                <w:lang w:val="en-US"/>
              </w:rPr>
              <w:t>c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haracteristics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90A3B" w14:textId="17723C1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B67B2A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(%)</w:t>
            </w:r>
          </w:p>
        </w:tc>
      </w:tr>
      <w:tr w:rsidR="00DA2C5D" w:rsidRPr="00DA2C5D" w14:paraId="64FC8CB9" w14:textId="77777777" w:rsidTr="00EC6367">
        <w:trPr>
          <w:trHeight w:val="459"/>
        </w:trPr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BB43D" w14:textId="2825F333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Free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margins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E3C50" w14:textId="50151F9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(100)</w:t>
            </w:r>
          </w:p>
        </w:tc>
      </w:tr>
      <w:tr w:rsidR="00DA2C5D" w:rsidRPr="00DA2C5D" w14:paraId="76892617" w14:textId="77777777" w:rsidTr="00EC6367">
        <w:trPr>
          <w:trHeight w:val="447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7AF6FDF" w14:textId="7AF8BC5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Average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resected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lymph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nodes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638F9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6.5</w:t>
            </w:r>
          </w:p>
        </w:tc>
      </w:tr>
      <w:tr w:rsidR="00DA2C5D" w:rsidRPr="00DA2C5D" w14:paraId="32E252F5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6873912" w14:textId="60D0EFA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Lymph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node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metastasis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A50CA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2ADC721E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954C02" w14:textId="22F0A382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Perineural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invasion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91BBC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310FEF80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612B9AB" w14:textId="74EFEE2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Angiolymphatic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invasion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69CDF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44DD6A4C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B63C8C2" w14:textId="66874A4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Microscopic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extension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the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tumor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E198A5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</w:tr>
      <w:tr w:rsidR="00DA2C5D" w:rsidRPr="00DA2C5D" w14:paraId="06F317D4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D43CA03" w14:textId="5B4D08FD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Peripancreatic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adipose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tissue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A9BE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</w:t>
            </w:r>
          </w:p>
        </w:tc>
      </w:tr>
      <w:tr w:rsidR="00DA2C5D" w:rsidRPr="00DA2C5D" w14:paraId="4C75D07B" w14:textId="77777777" w:rsidTr="00EC6367">
        <w:trPr>
          <w:trHeight w:val="447"/>
        </w:trPr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36E5DD4F" w14:textId="487597D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Invasion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the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capsule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14:paraId="2B67E98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</w:tbl>
    <w:p w14:paraId="5ECBD79F" w14:textId="77777777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</w:p>
    <w:p w14:paraId="3BA29CDA" w14:textId="77777777" w:rsidR="00B67B2A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  <w:sectPr w:rsidR="00B67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8E3A6" w14:textId="57D1E96E" w:rsidR="00DA2C5D" w:rsidRPr="00B67B2A" w:rsidRDefault="00DA2C5D" w:rsidP="00DA2C5D">
      <w:pPr>
        <w:spacing w:line="360" w:lineRule="auto"/>
        <w:jc w:val="both"/>
        <w:rPr>
          <w:rFonts w:ascii="Book Antiqua" w:hAnsi="Book Antiqua" w:cs="Calibri Light"/>
          <w:b/>
        </w:rPr>
      </w:pPr>
      <w:r w:rsidRPr="00DA2C5D">
        <w:rPr>
          <w:rFonts w:ascii="Book Antiqua" w:hAnsi="Book Antiqua" w:cs="Calibri Light"/>
          <w:b/>
        </w:rPr>
        <w:lastRenderedPageBreak/>
        <w:t>Table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5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Follow-up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of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patients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with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solid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pseudopapillary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neoplasm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of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the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pancreas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996"/>
        <w:gridCol w:w="2402"/>
        <w:gridCol w:w="1699"/>
        <w:gridCol w:w="1699"/>
      </w:tblGrid>
      <w:tr w:rsidR="00DA2C5D" w:rsidRPr="00DA2C5D" w14:paraId="351DE016" w14:textId="77777777" w:rsidTr="009A0879">
        <w:trPr>
          <w:jc w:val="center"/>
        </w:trPr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</w:tcPr>
          <w:p w14:paraId="0BA23618" w14:textId="4A07949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Year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surgery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6901E193" w14:textId="0EA3BFA9" w:rsidR="00DA2C5D" w:rsidRPr="00B67B2A" w:rsidRDefault="00B67B2A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</w:pPr>
            <w:r w:rsidRPr="00B67B2A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</w:p>
        </w:tc>
        <w:tc>
          <w:tcPr>
            <w:tcW w:w="2402" w:type="dxa"/>
            <w:tcBorders>
              <w:left w:val="nil"/>
              <w:right w:val="nil"/>
            </w:tcBorders>
          </w:tcPr>
          <w:p w14:paraId="0837C0B6" w14:textId="239FC7D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Follow-up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(yr)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</w:tcPr>
          <w:p w14:paraId="5DE8C6B4" w14:textId="3C671C4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Disease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free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</w:tcPr>
          <w:p w14:paraId="461BD74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Conduct</w:t>
            </w:r>
          </w:p>
        </w:tc>
      </w:tr>
      <w:tr w:rsidR="00DA2C5D" w:rsidRPr="00DA2C5D" w14:paraId="6F58D3A3" w14:textId="77777777" w:rsidTr="009A0879">
        <w:trPr>
          <w:jc w:val="center"/>
        </w:trPr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14:paraId="562A6F0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1998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34F3355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14:paraId="7153235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13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1D80031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5304846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1ECFF10F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BBFB1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F9C8A54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373A4B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82BF0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0E7FC89" w14:textId="43FF33D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Death</w:t>
            </w:r>
            <w:r w:rsidR="00B67B2A">
              <w:rPr>
                <w:rFonts w:ascii="Book Antiqua" w:hAnsi="Book Antiqua" w:cs="Calibri Light"/>
                <w:noProof/>
                <w:vertAlign w:val="superscript"/>
                <w:lang w:val="en-US"/>
              </w:rPr>
              <w:t>1</w:t>
            </w:r>
          </w:p>
        </w:tc>
      </w:tr>
      <w:tr w:rsidR="00DA2C5D" w:rsidRPr="00DA2C5D" w14:paraId="7EF68395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A5F856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8D4F5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12928F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15C20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C1842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27023681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222E1A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F381E6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6F2777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EDDA5E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31BBE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118990A1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AF1C58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832F37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5B374B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90C7A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48163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73E506E8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57E36F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610AB8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892350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097AE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2BDBC1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3B56F101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446E29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E6FEC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6C5AB4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48D6E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D6A1FE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SG</w:t>
            </w:r>
          </w:p>
        </w:tc>
      </w:tr>
      <w:tr w:rsidR="00DA2C5D" w:rsidRPr="00DA2C5D" w14:paraId="24825505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988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FE20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F443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EC3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8AD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SG</w:t>
            </w:r>
          </w:p>
        </w:tc>
      </w:tr>
    </w:tbl>
    <w:p w14:paraId="46B8C143" w14:textId="4C1261A6" w:rsidR="00DA2C5D" w:rsidRPr="00DA2C5D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B67B2A">
        <w:rPr>
          <w:rFonts w:ascii="Book Antiqua" w:hAnsi="Book Antiqua" w:cs="Calibri Light"/>
          <w:bCs/>
        </w:rPr>
        <w:t>Mean follow-up: 4.7 years (range 1-13 years). Medical discharge: 10 patients; 3 patients still under follow-up, and one died a year after surgery.</w:t>
      </w:r>
      <w:r>
        <w:rPr>
          <w:rFonts w:ascii="Book Antiqua" w:hAnsi="Book Antiqua" w:cs="Calibri Light" w:hint="eastAsia"/>
          <w:bCs/>
          <w:lang w:eastAsia="zh-CN"/>
        </w:rPr>
        <w:t xml:space="preserve"> </w:t>
      </w:r>
      <w:r>
        <w:rPr>
          <w:rFonts w:ascii="Book Antiqua" w:hAnsi="Book Antiqua" w:cs="Calibri Light"/>
          <w:noProof/>
          <w:vertAlign w:val="superscript"/>
        </w:rPr>
        <w:t>1</w:t>
      </w:r>
      <w:r w:rsidRPr="00DA2C5D">
        <w:rPr>
          <w:rFonts w:ascii="Book Antiqua" w:hAnsi="Book Antiqua" w:cs="Calibri Light"/>
          <w:bCs/>
          <w:noProof/>
        </w:rPr>
        <w:t>Patient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remained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free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of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disease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and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died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1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year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later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from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pneumonia,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unrelated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to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the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underlying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pathology</w:t>
      </w:r>
      <w:r>
        <w:rPr>
          <w:rFonts w:ascii="Book Antiqua" w:hAnsi="Book Antiqua" w:cs="Calibri Light"/>
          <w:bCs/>
          <w:noProof/>
        </w:rPr>
        <w:t>.</w:t>
      </w:r>
      <w:r>
        <w:rPr>
          <w:rFonts w:ascii="Book Antiqua" w:hAnsi="Book Antiqua" w:cs="Calibri Light" w:hint="eastAsia"/>
          <w:bCs/>
          <w:noProof/>
          <w:lang w:eastAsia="zh-CN"/>
        </w:rPr>
        <w:t xml:space="preserve"> </w:t>
      </w:r>
      <w:r w:rsidRPr="00DA2C5D">
        <w:rPr>
          <w:rFonts w:ascii="Book Antiqua" w:hAnsi="Book Antiqua" w:cs="Calibri Light"/>
          <w:noProof/>
        </w:rPr>
        <w:t>CD: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Conduct;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SG: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Follow-up;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MD: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M</w:t>
      </w:r>
      <w:r w:rsidRPr="00DA2C5D">
        <w:rPr>
          <w:rFonts w:ascii="Book Antiqua" w:hAnsi="Book Antiqua" w:cs="Calibri Light"/>
          <w:bCs/>
          <w:noProof/>
        </w:rPr>
        <w:t>edical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discharge</w:t>
      </w:r>
      <w:r>
        <w:rPr>
          <w:rFonts w:ascii="Book Antiqua" w:hAnsi="Book Antiqua" w:cs="Calibri Light"/>
          <w:bCs/>
          <w:noProof/>
        </w:rPr>
        <w:t>.</w:t>
      </w:r>
    </w:p>
    <w:p w14:paraId="22750A99" w14:textId="77777777" w:rsidR="00B67B2A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  <w:sectPr w:rsidR="00B67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140EF5" w14:textId="4FCB4053" w:rsidR="00DA2C5D" w:rsidRPr="00B67B2A" w:rsidRDefault="00DA2C5D" w:rsidP="00DA2C5D">
      <w:pPr>
        <w:spacing w:line="360" w:lineRule="auto"/>
        <w:jc w:val="both"/>
        <w:rPr>
          <w:rFonts w:ascii="Book Antiqua" w:hAnsi="Book Antiqua" w:cs="Calibri Light"/>
          <w:b/>
          <w:noProof/>
        </w:rPr>
      </w:pPr>
      <w:r w:rsidRPr="00B67B2A">
        <w:rPr>
          <w:rFonts w:ascii="Book Antiqua" w:hAnsi="Book Antiqua" w:cs="Calibri Light"/>
          <w:b/>
          <w:noProof/>
        </w:rPr>
        <w:lastRenderedPageBreak/>
        <w:t xml:space="preserve">Table 6 Incidental and symptoms in patients with </w:t>
      </w:r>
      <w:r w:rsidR="00B67B2A" w:rsidRPr="00B67B2A">
        <w:rPr>
          <w:rFonts w:ascii="Book Antiqua" w:eastAsia="Book Antiqua" w:hAnsi="Book Antiqua" w:cs="Book Antiqua"/>
          <w:b/>
          <w:color w:val="000000"/>
        </w:rPr>
        <w:t>solid pseudopapillary neoplasms</w:t>
      </w:r>
      <w:r w:rsidR="00B67B2A" w:rsidRPr="00B67B2A">
        <w:rPr>
          <w:rFonts w:ascii="Book Antiqua" w:hAnsi="Book Antiqua" w:cs="Calibri Light"/>
          <w:b/>
          <w:noProof/>
        </w:rPr>
        <w:t xml:space="preserve"> </w:t>
      </w:r>
      <w:r w:rsidRPr="00B67B2A">
        <w:rPr>
          <w:rFonts w:ascii="Book Antiqua" w:hAnsi="Book Antiqua" w:cs="Calibri Light"/>
          <w:b/>
          <w:noProof/>
        </w:rPr>
        <w:t>(literature data)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992"/>
        <w:gridCol w:w="1788"/>
        <w:gridCol w:w="1047"/>
        <w:gridCol w:w="2410"/>
      </w:tblGrid>
      <w:tr w:rsidR="00DA2C5D" w:rsidRPr="00DA2C5D" w14:paraId="609CBDB9" w14:textId="77777777" w:rsidTr="00B541A5">
        <w:trPr>
          <w:trHeight w:val="116"/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D8E7B63" w14:textId="30C6E554" w:rsidR="00DA2C5D" w:rsidRPr="00DA2C5D" w:rsidRDefault="00B67B2A" w:rsidP="008C2E05">
            <w:pPr>
              <w:spacing w:line="360" w:lineRule="auto"/>
              <w:rPr>
                <w:rFonts w:ascii="Book Antiqua" w:hAnsi="Book Antiqua" w:cs="Calibri Light"/>
                <w:b/>
                <w:noProof/>
                <w:lang w:val="en-US"/>
              </w:rPr>
            </w:pPr>
            <w:r>
              <w:rPr>
                <w:rFonts w:ascii="Book Antiqua" w:hAnsi="Book Antiqua" w:cs="Calibri Light"/>
                <w:b/>
                <w:noProof/>
                <w:lang w:val="en-US"/>
              </w:rPr>
              <w:t>Ref.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E20492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Year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7A31BE2" w14:textId="37781A23" w:rsidR="00DA2C5D" w:rsidRPr="00B67B2A" w:rsidRDefault="00B67B2A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i/>
                <w:iCs/>
                <w:noProof/>
                <w:lang w:val="en-US"/>
              </w:rPr>
            </w:pPr>
            <w:r w:rsidRPr="00B67B2A">
              <w:rPr>
                <w:rFonts w:ascii="Book Antiqua" w:hAnsi="Book Antiqua" w:cs="Calibri Light"/>
                <w:b/>
                <w:i/>
                <w:iCs/>
                <w:noProof/>
                <w:lang w:val="en-US"/>
              </w:rPr>
              <w:t>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77188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Study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</w:tcPr>
          <w:p w14:paraId="49837B06" w14:textId="1EE3E40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Incidental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14:paraId="5413753D" w14:textId="2FD8499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Ap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98579C2" w14:textId="4259BDA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Other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findings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</w:tr>
      <w:tr w:rsidR="00DA2C5D" w:rsidRPr="00DA2C5D" w14:paraId="0F67F437" w14:textId="77777777" w:rsidTr="00B541A5">
        <w:trPr>
          <w:trHeight w:val="907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4F86" w14:textId="566CC5A7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Papavramidis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15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2C86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F1A0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5FC4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CB8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15.5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F03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46.5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27C51" w14:textId="6FADD65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34.8</w:t>
            </w:r>
          </w:p>
        </w:tc>
      </w:tr>
      <w:tr w:rsidR="00DA2C5D" w:rsidRPr="00DA2C5D" w14:paraId="00236628" w14:textId="77777777" w:rsidTr="00B541A5">
        <w:trPr>
          <w:trHeight w:val="8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108BB8" w14:textId="47BDC5A7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Lubezky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16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CCCBF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BA80F4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1D49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F75E81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956AE8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722C89" w14:textId="00FCC1B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Unspecific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24</w:t>
            </w:r>
          </w:p>
        </w:tc>
      </w:tr>
      <w:tr w:rsidR="00DA2C5D" w:rsidRPr="00DA2C5D" w14:paraId="7090C685" w14:textId="77777777" w:rsidTr="00B541A5">
        <w:trPr>
          <w:trHeight w:val="90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12AC99" w14:textId="67BD5BA5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Song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17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745FE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FB52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54E4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3964C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39.6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5DBA50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37.7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568748" w14:textId="6F7460CD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30.2</w:t>
            </w:r>
          </w:p>
        </w:tc>
      </w:tr>
      <w:tr w:rsidR="00DA2C5D" w:rsidRPr="00DA2C5D" w14:paraId="74D3874B" w14:textId="77777777" w:rsidTr="00B541A5">
        <w:trPr>
          <w:trHeight w:val="90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1CD5C6" w14:textId="2332A4C9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Wright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6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41F7B4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C8881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989B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9C4DD2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656A2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52D9B" w14:textId="2074E48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>Nauseas</w:t>
            </w:r>
            <w:r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14.1</w:t>
            </w:r>
          </w:p>
        </w:tc>
      </w:tr>
      <w:tr w:rsidR="00DA2C5D" w:rsidRPr="00DA2C5D" w14:paraId="5170C3D3" w14:textId="77777777" w:rsidTr="00B541A5">
        <w:trPr>
          <w:trHeight w:val="453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FA4F57" w14:textId="3230D40D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Lin</w:t>
            </w:r>
            <w:r w:rsid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18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C2A9A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F2440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299A4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40FD9A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F1CAE6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31.7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5CB3F5" w14:textId="41708D6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>Strain</w:t>
            </w:r>
            <w:r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2.2</w:t>
            </w:r>
          </w:p>
        </w:tc>
      </w:tr>
      <w:tr w:rsidR="00DA2C5D" w:rsidRPr="00DA2C5D" w14:paraId="1BFF4E54" w14:textId="77777777" w:rsidTr="00B541A5">
        <w:trPr>
          <w:trHeight w:val="8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155F60" w14:textId="49D94B78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Torres</w:t>
            </w:r>
            <w:r w:rsid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19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F8CB0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91ADC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C463C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B351492" w14:textId="081D833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E631D3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87.5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64FB08" w14:textId="21D7067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12.5</w:t>
            </w:r>
          </w:p>
        </w:tc>
      </w:tr>
      <w:tr w:rsidR="00DA2C5D" w:rsidRPr="00DA2C5D" w14:paraId="2F738A13" w14:textId="77777777" w:rsidTr="00B541A5">
        <w:trPr>
          <w:trHeight w:val="453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6CC010" w14:textId="0CF3CFD4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Liu</w:t>
            </w:r>
            <w:r w:rsid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20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0ED9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77BA8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3AE25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D0A30F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63.4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B06771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144A5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Unspecific</w:t>
            </w:r>
          </w:p>
        </w:tc>
      </w:tr>
      <w:tr w:rsidR="00DA2C5D" w:rsidRPr="00DA2C5D" w14:paraId="1E9D57F4" w14:textId="77777777" w:rsidTr="00B541A5">
        <w:trPr>
          <w:trHeight w:val="576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E84B86A" w14:textId="6AD95F6B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Farhat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21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4A3BF9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8F9816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6E566A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</w:tcPr>
          <w:p w14:paraId="59A06E5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7AB5A65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5BB544A" w14:textId="53BA2A3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40</w:t>
            </w:r>
          </w:p>
        </w:tc>
      </w:tr>
    </w:tbl>
    <w:p w14:paraId="4D0817CF" w14:textId="26BA2FDF" w:rsidR="00F632FB" w:rsidRPr="00B67B2A" w:rsidRDefault="00DA2C5D" w:rsidP="00B67B2A">
      <w:pPr>
        <w:spacing w:line="360" w:lineRule="auto"/>
        <w:jc w:val="both"/>
        <w:textAlignment w:val="baseline"/>
        <w:rPr>
          <w:rFonts w:ascii="Book Antiqua" w:eastAsia="Times New Roman" w:hAnsi="Book Antiqua" w:cs="Calibri Light"/>
          <w:bCs/>
          <w:noProof/>
          <w:color w:val="000000"/>
          <w:lang w:eastAsia="pt-BR"/>
        </w:rPr>
      </w:pP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R</w:t>
      </w:r>
      <w:r w:rsidR="00B67B2A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: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="00B67B2A"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R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etrospective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study</w:t>
      </w:r>
      <w:r w:rsidR="00B67B2A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;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Ap</w:t>
      </w:r>
      <w:r w:rsidR="00B67B2A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: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="00B67B2A"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A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bdominal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pain.</w:t>
      </w:r>
    </w:p>
    <w:sectPr w:rsidR="00F632FB" w:rsidRPr="00B6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12BF9" w14:textId="77777777" w:rsidR="00DE725E" w:rsidRDefault="00DE725E" w:rsidP="00AB6A63">
      <w:r>
        <w:separator/>
      </w:r>
    </w:p>
  </w:endnote>
  <w:endnote w:type="continuationSeparator" w:id="0">
    <w:p w14:paraId="75C0A2E3" w14:textId="77777777" w:rsidR="00DE725E" w:rsidRDefault="00DE725E" w:rsidP="00A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214B" w14:textId="66627056" w:rsidR="00DA2C5D" w:rsidRPr="00AB6A63" w:rsidRDefault="00DA2C5D" w:rsidP="00AB6A63">
    <w:pPr>
      <w:pStyle w:val="a4"/>
      <w:jc w:val="right"/>
      <w:rPr>
        <w:rFonts w:ascii="Book Antiqua" w:hAnsi="Book Antiqua"/>
        <w:sz w:val="21"/>
        <w:szCs w:val="21"/>
      </w:rPr>
    </w:pPr>
    <w:r w:rsidRPr="00AB6A63">
      <w:rPr>
        <w:rFonts w:ascii="Book Antiqua" w:hAnsi="Book Antiqua"/>
        <w:sz w:val="21"/>
        <w:szCs w:val="21"/>
        <w:lang w:val="zh-CN" w:eastAsia="zh-CN"/>
      </w:rPr>
      <w:t xml:space="preserve"> </w:t>
    </w:r>
    <w:r w:rsidRPr="00AB6A63">
      <w:rPr>
        <w:rFonts w:ascii="Book Antiqua" w:hAnsi="Book Antiqua"/>
        <w:sz w:val="21"/>
        <w:szCs w:val="21"/>
      </w:rPr>
      <w:fldChar w:fldCharType="begin"/>
    </w:r>
    <w:r w:rsidRPr="00AB6A63">
      <w:rPr>
        <w:rFonts w:ascii="Book Antiqua" w:hAnsi="Book Antiqua"/>
        <w:sz w:val="21"/>
        <w:szCs w:val="21"/>
      </w:rPr>
      <w:instrText>PAGE  \* Arabic  \* MERGEFORMAT</w:instrText>
    </w:r>
    <w:r w:rsidRPr="00AB6A63">
      <w:rPr>
        <w:rFonts w:ascii="Book Antiqua" w:hAnsi="Book Antiqua"/>
        <w:sz w:val="21"/>
        <w:szCs w:val="21"/>
      </w:rPr>
      <w:fldChar w:fldCharType="separate"/>
    </w:r>
    <w:r w:rsidR="00AE486F" w:rsidRPr="00AE486F">
      <w:rPr>
        <w:rFonts w:ascii="Book Antiqua" w:hAnsi="Book Antiqua"/>
        <w:noProof/>
        <w:sz w:val="21"/>
        <w:szCs w:val="21"/>
        <w:lang w:val="zh-CN" w:eastAsia="zh-CN"/>
      </w:rPr>
      <w:t>20</w:t>
    </w:r>
    <w:r w:rsidRPr="00AB6A63">
      <w:rPr>
        <w:rFonts w:ascii="Book Antiqua" w:hAnsi="Book Antiqua"/>
        <w:sz w:val="21"/>
        <w:szCs w:val="21"/>
      </w:rPr>
      <w:fldChar w:fldCharType="end"/>
    </w:r>
    <w:r w:rsidRPr="00AB6A63">
      <w:rPr>
        <w:rFonts w:ascii="Book Antiqua" w:hAnsi="Book Antiqua"/>
        <w:sz w:val="21"/>
        <w:szCs w:val="21"/>
        <w:lang w:val="zh-CN" w:eastAsia="zh-CN"/>
      </w:rPr>
      <w:t xml:space="preserve"> / </w:t>
    </w:r>
    <w:r w:rsidRPr="00AB6A63">
      <w:rPr>
        <w:rFonts w:ascii="Book Antiqua" w:hAnsi="Book Antiqua"/>
        <w:sz w:val="21"/>
        <w:szCs w:val="21"/>
      </w:rPr>
      <w:fldChar w:fldCharType="begin"/>
    </w:r>
    <w:r w:rsidRPr="00AB6A63">
      <w:rPr>
        <w:rFonts w:ascii="Book Antiqua" w:hAnsi="Book Antiqua"/>
        <w:sz w:val="21"/>
        <w:szCs w:val="21"/>
      </w:rPr>
      <w:instrText>NUMPAGES  \* Arabic  \* MERGEFORMAT</w:instrText>
    </w:r>
    <w:r w:rsidRPr="00AB6A63">
      <w:rPr>
        <w:rFonts w:ascii="Book Antiqua" w:hAnsi="Book Antiqua"/>
        <w:sz w:val="21"/>
        <w:szCs w:val="21"/>
      </w:rPr>
      <w:fldChar w:fldCharType="separate"/>
    </w:r>
    <w:r w:rsidR="00AE486F" w:rsidRPr="00AE486F">
      <w:rPr>
        <w:rFonts w:ascii="Book Antiqua" w:hAnsi="Book Antiqua"/>
        <w:noProof/>
        <w:sz w:val="21"/>
        <w:szCs w:val="21"/>
        <w:lang w:val="zh-CN" w:eastAsia="zh-CN"/>
      </w:rPr>
      <w:t>27</w:t>
    </w:r>
    <w:r w:rsidRPr="00AB6A63">
      <w:rPr>
        <w:rFonts w:ascii="Book Antiqua" w:hAnsi="Book Antiqua"/>
        <w:sz w:val="21"/>
        <w:szCs w:val="21"/>
      </w:rPr>
      <w:fldChar w:fldCharType="end"/>
    </w:r>
  </w:p>
  <w:p w14:paraId="652F31D4" w14:textId="77777777" w:rsidR="00DA2C5D" w:rsidRDefault="00DA2C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87E5" w14:textId="77777777" w:rsidR="00DE725E" w:rsidRDefault="00DE725E" w:rsidP="00AB6A63">
      <w:r>
        <w:separator/>
      </w:r>
    </w:p>
  </w:footnote>
  <w:footnote w:type="continuationSeparator" w:id="0">
    <w:p w14:paraId="72F9E3FB" w14:textId="77777777" w:rsidR="00DE725E" w:rsidRDefault="00DE725E" w:rsidP="00A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877"/>
    <w:rsid w:val="0009696C"/>
    <w:rsid w:val="0020621A"/>
    <w:rsid w:val="00565CE4"/>
    <w:rsid w:val="00583936"/>
    <w:rsid w:val="005B422E"/>
    <w:rsid w:val="005F7446"/>
    <w:rsid w:val="00644D71"/>
    <w:rsid w:val="00721A06"/>
    <w:rsid w:val="008C2E05"/>
    <w:rsid w:val="009254B4"/>
    <w:rsid w:val="009A0879"/>
    <w:rsid w:val="009D473D"/>
    <w:rsid w:val="00A71248"/>
    <w:rsid w:val="00A77B3E"/>
    <w:rsid w:val="00AB6A63"/>
    <w:rsid w:val="00AE486F"/>
    <w:rsid w:val="00B3274F"/>
    <w:rsid w:val="00B541A5"/>
    <w:rsid w:val="00B67B2A"/>
    <w:rsid w:val="00C72E0B"/>
    <w:rsid w:val="00CA2A55"/>
    <w:rsid w:val="00CE47B7"/>
    <w:rsid w:val="00D01EB0"/>
    <w:rsid w:val="00D119C4"/>
    <w:rsid w:val="00D1211B"/>
    <w:rsid w:val="00DA2C5D"/>
    <w:rsid w:val="00DE725E"/>
    <w:rsid w:val="00E300B4"/>
    <w:rsid w:val="00E454F9"/>
    <w:rsid w:val="00E7311E"/>
    <w:rsid w:val="00EC6367"/>
    <w:rsid w:val="00F37492"/>
    <w:rsid w:val="00F55BC1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EE17D"/>
  <w15:docId w15:val="{95632BF2-BB90-4CFA-94EF-332AB2D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A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63"/>
    <w:rPr>
      <w:sz w:val="18"/>
      <w:szCs w:val="18"/>
    </w:rPr>
  </w:style>
  <w:style w:type="table" w:styleId="a5">
    <w:name w:val="Table Grid"/>
    <w:basedOn w:val="a1"/>
    <w:uiPriority w:val="39"/>
    <w:rsid w:val="00DA2C5D"/>
    <w:rPr>
      <w:rFonts w:asciiTheme="minorHAnsi" w:eastAsia="宋体" w:hAnsiTheme="minorHAnsi" w:cstheme="minorBidi"/>
      <w:sz w:val="22"/>
      <w:szCs w:val="22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">
    <w:name w:val="EndNote Bibliography"/>
    <w:basedOn w:val="a"/>
    <w:link w:val="EndNoteBibliographyChar"/>
    <w:rsid w:val="00DA2C5D"/>
    <w:pPr>
      <w:spacing w:after="200"/>
      <w:jc w:val="both"/>
    </w:pPr>
    <w:rPr>
      <w:rFonts w:ascii="Calibri" w:eastAsia="宋体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DA2C5D"/>
    <w:rPr>
      <w:rFonts w:ascii="Calibri" w:eastAsia="宋体" w:hAnsi="Calibri" w:cs="Calibri"/>
      <w:noProof/>
      <w:sz w:val="22"/>
      <w:szCs w:val="22"/>
    </w:rPr>
  </w:style>
  <w:style w:type="character" w:styleId="a6">
    <w:name w:val="annotation reference"/>
    <w:basedOn w:val="a0"/>
    <w:semiHidden/>
    <w:unhideWhenUsed/>
    <w:rsid w:val="00B67B2A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B67B2A"/>
  </w:style>
  <w:style w:type="character" w:customStyle="1" w:styleId="Char1">
    <w:name w:val="批注文字 Char"/>
    <w:basedOn w:val="a0"/>
    <w:link w:val="a7"/>
    <w:semiHidden/>
    <w:rsid w:val="00B67B2A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B67B2A"/>
    <w:rPr>
      <w:b/>
      <w:bCs/>
    </w:rPr>
  </w:style>
  <w:style w:type="character" w:customStyle="1" w:styleId="Char2">
    <w:name w:val="批注主题 Char"/>
    <w:basedOn w:val="Char1"/>
    <w:link w:val="a8"/>
    <w:semiHidden/>
    <w:rsid w:val="00B67B2A"/>
    <w:rPr>
      <w:b/>
      <w:bCs/>
      <w:sz w:val="24"/>
      <w:szCs w:val="24"/>
    </w:rPr>
  </w:style>
  <w:style w:type="paragraph" w:styleId="a9">
    <w:name w:val="Revision"/>
    <w:hidden/>
    <w:uiPriority w:val="99"/>
    <w:semiHidden/>
    <w:rsid w:val="00721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Deepti Sawant</dc:creator>
  <cp:lastModifiedBy>Admin</cp:lastModifiedBy>
  <cp:revision>21</cp:revision>
  <dcterms:created xsi:type="dcterms:W3CDTF">2021-04-29T05:59:00Z</dcterms:created>
  <dcterms:modified xsi:type="dcterms:W3CDTF">2021-05-07T07:14:00Z</dcterms:modified>
</cp:coreProperties>
</file>