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F55A"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Name of Journal: </w:t>
      </w:r>
      <w:r w:rsidRPr="00AE0331">
        <w:rPr>
          <w:rFonts w:ascii="Book Antiqua" w:eastAsia="Book Antiqua" w:hAnsi="Book Antiqua" w:cs="Book Antiqua"/>
          <w:i/>
          <w:color w:val="000000"/>
        </w:rPr>
        <w:t>World Journal of Clinical Cases</w:t>
      </w:r>
    </w:p>
    <w:p w14:paraId="376E3495"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NO: </w:t>
      </w:r>
      <w:r w:rsidRPr="00AE0331">
        <w:rPr>
          <w:rFonts w:ascii="Book Antiqua" w:eastAsia="Book Antiqua" w:hAnsi="Book Antiqua" w:cs="Book Antiqua"/>
          <w:color w:val="000000"/>
        </w:rPr>
        <w:t>60689</w:t>
      </w:r>
    </w:p>
    <w:p w14:paraId="19E400C7"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Type: </w:t>
      </w:r>
      <w:r w:rsidRPr="00AE0331">
        <w:rPr>
          <w:rFonts w:ascii="Book Antiqua" w:eastAsia="Book Antiqua" w:hAnsi="Book Antiqua" w:cs="Book Antiqua"/>
          <w:color w:val="000000"/>
        </w:rPr>
        <w:t>ORIGINAL ARTICLE</w:t>
      </w:r>
    </w:p>
    <w:p w14:paraId="5AFE8D69" w14:textId="77777777" w:rsidR="00A77B3E" w:rsidRPr="00AE0331" w:rsidRDefault="00A77B3E" w:rsidP="00592FA5">
      <w:pPr>
        <w:spacing w:line="360" w:lineRule="auto"/>
        <w:jc w:val="both"/>
        <w:rPr>
          <w:rFonts w:ascii="Book Antiqua" w:hAnsi="Book Antiqua"/>
        </w:rPr>
      </w:pPr>
    </w:p>
    <w:p w14:paraId="7283DB0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Clinical Trials Study</w:t>
      </w:r>
    </w:p>
    <w:p w14:paraId="47773666" w14:textId="7FA757B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Etomidate </w:t>
      </w:r>
      <w:r w:rsidRPr="00AE0331">
        <w:rPr>
          <w:rFonts w:ascii="Book Antiqua" w:eastAsia="Book Antiqua" w:hAnsi="Book Antiqua" w:cs="Book Antiqua"/>
          <w:b/>
          <w:i/>
          <w:iCs/>
          <w:color w:val="000000"/>
        </w:rPr>
        <w:t>vs</w:t>
      </w:r>
      <w:r w:rsidRPr="00AE0331">
        <w:rPr>
          <w:rFonts w:ascii="Book Antiqua" w:eastAsia="Book Antiqua" w:hAnsi="Book Antiqua" w:cs="Book Antiqua"/>
          <w:b/>
          <w:color w:val="000000"/>
        </w:rPr>
        <w:t xml:space="preserve"> propofol in coronary heart disease patients undergoing major noncardiac surgery: </w:t>
      </w:r>
      <w:r w:rsidR="00665E42">
        <w:rPr>
          <w:rFonts w:ascii="Book Antiqua" w:eastAsia="Book Antiqua" w:hAnsi="Book Antiqua" w:cs="Book Antiqua"/>
          <w:b/>
          <w:color w:val="000000"/>
        </w:rPr>
        <w:t>A r</w:t>
      </w:r>
      <w:r w:rsidR="00665E42" w:rsidRPr="00AE0331">
        <w:rPr>
          <w:rFonts w:ascii="Book Antiqua" w:eastAsia="Book Antiqua" w:hAnsi="Book Antiqua" w:cs="Book Antiqua"/>
          <w:b/>
          <w:color w:val="000000"/>
        </w:rPr>
        <w:t xml:space="preserve">andomized </w:t>
      </w:r>
      <w:r w:rsidRPr="00AE0331">
        <w:rPr>
          <w:rFonts w:ascii="Book Antiqua" w:eastAsia="Book Antiqua" w:hAnsi="Book Antiqua" w:cs="Book Antiqua"/>
          <w:b/>
          <w:color w:val="000000"/>
        </w:rPr>
        <w:t>clinical trial</w:t>
      </w:r>
    </w:p>
    <w:p w14:paraId="436EB534" w14:textId="77777777" w:rsidR="00A77B3E" w:rsidRPr="00AE0331" w:rsidRDefault="00A77B3E" w:rsidP="00592FA5">
      <w:pPr>
        <w:spacing w:line="360" w:lineRule="auto"/>
        <w:jc w:val="both"/>
        <w:rPr>
          <w:rFonts w:ascii="Book Antiqua" w:hAnsi="Book Antiqua"/>
        </w:rPr>
      </w:pPr>
    </w:p>
    <w:p w14:paraId="092A770B" w14:textId="220203D1" w:rsidR="00A77B3E" w:rsidRPr="00AE0331" w:rsidRDefault="00DD31DD" w:rsidP="00592FA5">
      <w:pPr>
        <w:spacing w:line="360" w:lineRule="auto"/>
        <w:jc w:val="both"/>
        <w:rPr>
          <w:rFonts w:ascii="Book Antiqua" w:hAnsi="Book Antiqua"/>
        </w:rPr>
      </w:pPr>
      <w:r w:rsidRPr="00AE0331">
        <w:rPr>
          <w:rFonts w:ascii="Book Antiqua" w:eastAsia="Book Antiqua" w:hAnsi="Book Antiqua" w:cs="Book Antiqua"/>
          <w:color w:val="000000"/>
        </w:rPr>
        <w:t xml:space="preserve">Dai ZL </w:t>
      </w:r>
      <w:r w:rsidRPr="00AE0331">
        <w:rPr>
          <w:rFonts w:ascii="Book Antiqua" w:eastAsia="Book Antiqua" w:hAnsi="Book Antiqua" w:cs="Book Antiqua"/>
          <w:i/>
          <w:iCs/>
          <w:color w:val="000000"/>
        </w:rPr>
        <w:t>et al</w:t>
      </w:r>
      <w:r w:rsidRPr="00AE0331">
        <w:rPr>
          <w:rFonts w:ascii="Book Antiqua" w:eastAsia="Book Antiqua" w:hAnsi="Book Antiqua" w:cs="Book Antiqua"/>
          <w:color w:val="000000"/>
        </w:rPr>
        <w:t xml:space="preserve">. </w:t>
      </w:r>
      <w:r w:rsidR="00682851" w:rsidRPr="00AE0331">
        <w:rPr>
          <w:rFonts w:ascii="Book Antiqua" w:eastAsia="Book Antiqua" w:hAnsi="Book Antiqua" w:cs="Book Antiqua"/>
          <w:color w:val="000000"/>
        </w:rPr>
        <w:t xml:space="preserve">Etomidate </w:t>
      </w:r>
      <w:r w:rsidR="00682851" w:rsidRPr="00AE0331">
        <w:rPr>
          <w:rFonts w:ascii="Book Antiqua" w:eastAsia="Book Antiqua" w:hAnsi="Book Antiqua" w:cs="Book Antiqua"/>
          <w:i/>
          <w:iCs/>
          <w:color w:val="000000"/>
        </w:rPr>
        <w:t xml:space="preserve">vs </w:t>
      </w:r>
      <w:r w:rsidR="00682851" w:rsidRPr="00AE0331">
        <w:rPr>
          <w:rFonts w:ascii="Book Antiqua" w:eastAsia="Book Antiqua" w:hAnsi="Book Antiqua" w:cs="Book Antiqua"/>
          <w:color w:val="000000"/>
        </w:rPr>
        <w:t>propofol in CHD</w:t>
      </w:r>
    </w:p>
    <w:p w14:paraId="3D258ABB" w14:textId="77777777" w:rsidR="00A77B3E" w:rsidRPr="00AE0331" w:rsidRDefault="00A77B3E" w:rsidP="00592FA5">
      <w:pPr>
        <w:spacing w:line="360" w:lineRule="auto"/>
        <w:jc w:val="both"/>
        <w:rPr>
          <w:rFonts w:ascii="Book Antiqua" w:hAnsi="Book Antiqua"/>
        </w:rPr>
      </w:pPr>
    </w:p>
    <w:p w14:paraId="64480870" w14:textId="2134371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Zhong</w:t>
      </w:r>
      <w:r w:rsidR="00DD31DD" w:rsidRPr="00AE0331">
        <w:rPr>
          <w:rFonts w:ascii="Book Antiqua" w:eastAsia="Book Antiqua" w:hAnsi="Book Antiqua" w:cs="Book Antiqua"/>
          <w:color w:val="000000"/>
        </w:rPr>
        <w:t>-L</w:t>
      </w:r>
      <w:r w:rsidRPr="00AE0331">
        <w:rPr>
          <w:rFonts w:ascii="Book Antiqua" w:eastAsia="Book Antiqua" w:hAnsi="Book Antiqua" w:cs="Book Antiqua"/>
          <w:color w:val="000000"/>
        </w:rPr>
        <w:t>iang Dai, Xing</w:t>
      </w:r>
      <w:r w:rsidR="00DD31DD" w:rsidRPr="00AE0331">
        <w:rPr>
          <w:rFonts w:ascii="Book Antiqua" w:eastAsia="Book Antiqua" w:hAnsi="Book Antiqua" w:cs="Book Antiqua"/>
          <w:color w:val="000000"/>
        </w:rPr>
        <w:t>-T</w:t>
      </w:r>
      <w:r w:rsidRPr="00AE0331">
        <w:rPr>
          <w:rFonts w:ascii="Book Antiqua" w:eastAsia="Book Antiqua" w:hAnsi="Book Antiqua" w:cs="Book Antiqua"/>
          <w:color w:val="000000"/>
        </w:rPr>
        <w:t>ao Cai, Wen</w:t>
      </w:r>
      <w:r w:rsidR="00DD31DD" w:rsidRPr="00AE0331">
        <w:rPr>
          <w:rFonts w:ascii="Book Antiqua" w:eastAsia="Book Antiqua" w:hAnsi="Book Antiqua" w:cs="Book Antiqua"/>
          <w:color w:val="000000"/>
        </w:rPr>
        <w:t>-L</w:t>
      </w:r>
      <w:r w:rsidRPr="00AE0331">
        <w:rPr>
          <w:rFonts w:ascii="Book Antiqua" w:eastAsia="Book Antiqua" w:hAnsi="Book Antiqua" w:cs="Book Antiqua"/>
          <w:color w:val="000000"/>
        </w:rPr>
        <w:t>i Gao, Miao Lin, Juan Lin, Yuan</w:t>
      </w:r>
      <w:r w:rsidR="00DD31DD" w:rsidRPr="00AE0331">
        <w:rPr>
          <w:rFonts w:ascii="Book Antiqua" w:eastAsia="Book Antiqua" w:hAnsi="Book Antiqua" w:cs="Book Antiqua"/>
          <w:color w:val="000000"/>
        </w:rPr>
        <w:t>-X</w:t>
      </w:r>
      <w:r w:rsidRPr="00AE0331">
        <w:rPr>
          <w:rFonts w:ascii="Book Antiqua" w:eastAsia="Book Antiqua" w:hAnsi="Book Antiqua" w:cs="Book Antiqua"/>
          <w:color w:val="000000"/>
        </w:rPr>
        <w:t>u Jiang, Xin Jiang</w:t>
      </w:r>
    </w:p>
    <w:p w14:paraId="3A78AF18" w14:textId="77777777" w:rsidR="00A77B3E" w:rsidRPr="00AE0331" w:rsidRDefault="00A77B3E" w:rsidP="00592FA5">
      <w:pPr>
        <w:spacing w:line="360" w:lineRule="auto"/>
        <w:jc w:val="both"/>
        <w:rPr>
          <w:rFonts w:ascii="Book Antiqua" w:hAnsi="Book Antiqua"/>
        </w:rPr>
      </w:pPr>
    </w:p>
    <w:p w14:paraId="42E1EF9B" w14:textId="6CEDE120" w:rsidR="00A77B3E" w:rsidRPr="00AE0331" w:rsidRDefault="00A80C69" w:rsidP="00592FA5">
      <w:pPr>
        <w:spacing w:line="360" w:lineRule="auto"/>
        <w:jc w:val="both"/>
        <w:rPr>
          <w:rFonts w:ascii="Book Antiqua" w:hAnsi="Book Antiqua"/>
        </w:rPr>
      </w:pPr>
      <w:r w:rsidRPr="00AE0331">
        <w:rPr>
          <w:rFonts w:ascii="Book Antiqua" w:eastAsia="Book Antiqua" w:hAnsi="Book Antiqua" w:cs="Book Antiqua"/>
          <w:b/>
          <w:bCs/>
          <w:color w:val="000000"/>
        </w:rPr>
        <w:t>Zhong-Liang Dai, Xing-Tao Cai, Wen-Li Gao,</w:t>
      </w:r>
      <w:r w:rsidR="00682851" w:rsidRPr="00AE0331">
        <w:rPr>
          <w:rFonts w:ascii="Book Antiqua" w:eastAsia="Book Antiqua" w:hAnsi="Book Antiqua" w:cs="Book Antiqua"/>
          <w:b/>
          <w:bCs/>
          <w:color w:val="000000"/>
        </w:rPr>
        <w:t xml:space="preserve"> Miao Lin, Juan Lin, Yuan</w:t>
      </w:r>
      <w:r w:rsidRPr="00AE0331">
        <w:rPr>
          <w:rFonts w:ascii="Book Antiqua" w:eastAsia="Book Antiqua" w:hAnsi="Book Antiqua" w:cs="Book Antiqua"/>
          <w:b/>
          <w:bCs/>
          <w:color w:val="000000"/>
        </w:rPr>
        <w:t>-X</w:t>
      </w:r>
      <w:r w:rsidR="00682851" w:rsidRPr="00AE0331">
        <w:rPr>
          <w:rFonts w:ascii="Book Antiqua" w:eastAsia="Book Antiqua" w:hAnsi="Book Antiqua" w:cs="Book Antiqua"/>
          <w:b/>
          <w:bCs/>
          <w:color w:val="000000"/>
        </w:rPr>
        <w:t xml:space="preserve">u Jiang, </w:t>
      </w:r>
      <w:r w:rsidR="006D31BB" w:rsidRPr="00AE0331">
        <w:rPr>
          <w:rFonts w:ascii="Book Antiqua" w:eastAsia="Book Antiqua" w:hAnsi="Book Antiqua" w:cs="Book Antiqua"/>
          <w:color w:val="000000"/>
        </w:rPr>
        <w:t>D</w:t>
      </w:r>
      <w:r w:rsidR="00682851" w:rsidRPr="00AE0331">
        <w:rPr>
          <w:rFonts w:ascii="Book Antiqua" w:eastAsia="Book Antiqua" w:hAnsi="Book Antiqua" w:cs="Book Antiqua"/>
          <w:color w:val="000000"/>
        </w:rPr>
        <w:t xml:space="preserve">epartment of Anesthesiology, </w:t>
      </w:r>
      <w:r w:rsidR="007061D3" w:rsidRPr="00AE0331">
        <w:rPr>
          <w:rFonts w:ascii="Book Antiqua" w:eastAsia="Book Antiqua" w:hAnsi="Book Antiqua" w:cs="Book Antiqua"/>
          <w:color w:val="000000"/>
        </w:rPr>
        <w:t>T</w:t>
      </w:r>
      <w:r w:rsidR="00682851" w:rsidRPr="00AE0331">
        <w:rPr>
          <w:rFonts w:ascii="Book Antiqua" w:eastAsia="Book Antiqua" w:hAnsi="Book Antiqua" w:cs="Book Antiqua"/>
          <w:color w:val="000000"/>
        </w:rPr>
        <w:t xml:space="preserve">he First Affiliated Hospital of Southern University, </w:t>
      </w:r>
      <w:r w:rsidR="00475941" w:rsidRPr="00AE0331">
        <w:rPr>
          <w:rFonts w:ascii="Book Antiqua" w:eastAsia="Book Antiqua" w:hAnsi="Book Antiqua" w:cs="Book Antiqua"/>
          <w:color w:val="000000"/>
        </w:rPr>
        <w:t>T</w:t>
      </w:r>
      <w:r w:rsidR="00682851" w:rsidRPr="00AE0331">
        <w:rPr>
          <w:rFonts w:ascii="Book Antiqua" w:eastAsia="Book Antiqua" w:hAnsi="Book Antiqua" w:cs="Book Antiqua"/>
          <w:color w:val="000000"/>
        </w:rPr>
        <w:t xml:space="preserve">he Second Clinical Medical College of Jinan University, Shenzhen People’s Hospital, Shenzhen 518020, </w:t>
      </w:r>
      <w:r w:rsidR="007061D3" w:rsidRPr="00AE0331">
        <w:rPr>
          <w:rFonts w:ascii="Book Antiqua" w:eastAsia="Book Antiqua" w:hAnsi="Book Antiqua" w:cs="Book Antiqua"/>
          <w:color w:val="000000"/>
        </w:rPr>
        <w:t xml:space="preserve">Guangdong Province, </w:t>
      </w:r>
      <w:r w:rsidR="00682851" w:rsidRPr="00AE0331">
        <w:rPr>
          <w:rFonts w:ascii="Book Antiqua" w:eastAsia="Book Antiqua" w:hAnsi="Book Antiqua" w:cs="Book Antiqua"/>
          <w:color w:val="000000"/>
        </w:rPr>
        <w:t>China</w:t>
      </w:r>
    </w:p>
    <w:p w14:paraId="70B1D683" w14:textId="77777777" w:rsidR="00A77B3E" w:rsidRPr="00AE0331" w:rsidRDefault="00A77B3E" w:rsidP="00592FA5">
      <w:pPr>
        <w:spacing w:line="360" w:lineRule="auto"/>
        <w:jc w:val="both"/>
        <w:rPr>
          <w:rFonts w:ascii="Book Antiqua" w:hAnsi="Book Antiqua"/>
        </w:rPr>
      </w:pPr>
    </w:p>
    <w:p w14:paraId="717F4B2F" w14:textId="79C7DEE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Xin Jiang, </w:t>
      </w:r>
      <w:r w:rsidR="007061D3" w:rsidRPr="00AE0331">
        <w:rPr>
          <w:rFonts w:ascii="Book Antiqua" w:eastAsia="Book Antiqua" w:hAnsi="Book Antiqua" w:cs="Book Antiqua"/>
          <w:color w:val="000000"/>
        </w:rPr>
        <w:t>D</w:t>
      </w:r>
      <w:r w:rsidRPr="00AE0331">
        <w:rPr>
          <w:rFonts w:ascii="Book Antiqua" w:eastAsia="Book Antiqua" w:hAnsi="Book Antiqua" w:cs="Book Antiqua"/>
          <w:color w:val="000000"/>
        </w:rPr>
        <w:t xml:space="preserve">epartment of Geriatrics, </w:t>
      </w:r>
      <w:r w:rsidR="00475941" w:rsidRPr="00AE0331">
        <w:rPr>
          <w:rFonts w:ascii="Book Antiqua" w:eastAsia="Book Antiqua" w:hAnsi="Book Antiqua" w:cs="Book Antiqua"/>
          <w:color w:val="000000"/>
        </w:rPr>
        <w:t>T</w:t>
      </w:r>
      <w:r w:rsidRPr="00AE0331">
        <w:rPr>
          <w:rFonts w:ascii="Book Antiqua" w:eastAsia="Book Antiqua" w:hAnsi="Book Antiqua" w:cs="Book Antiqua"/>
          <w:color w:val="000000"/>
        </w:rPr>
        <w:t xml:space="preserve">he First Affiliated Hospital of Southern University, </w:t>
      </w:r>
      <w:r w:rsidR="00475941" w:rsidRPr="00AE0331">
        <w:rPr>
          <w:rFonts w:ascii="Book Antiqua" w:eastAsia="Book Antiqua" w:hAnsi="Book Antiqua" w:cs="Book Antiqua"/>
          <w:color w:val="000000"/>
        </w:rPr>
        <w:t>T</w:t>
      </w:r>
      <w:r w:rsidRPr="00AE0331">
        <w:rPr>
          <w:rFonts w:ascii="Book Antiqua" w:eastAsia="Book Antiqua" w:hAnsi="Book Antiqua" w:cs="Book Antiqua"/>
          <w:color w:val="000000"/>
        </w:rPr>
        <w:t xml:space="preserve">he Second Clinical Medical College of Jinan University, Shenzhen People’s Hospital, Shenzhen 518020, </w:t>
      </w:r>
      <w:r w:rsidR="007061D3" w:rsidRPr="00AE0331">
        <w:rPr>
          <w:rFonts w:ascii="Book Antiqua" w:eastAsia="Book Antiqua" w:hAnsi="Book Antiqua" w:cs="Book Antiqua"/>
          <w:color w:val="000000"/>
        </w:rPr>
        <w:t xml:space="preserve">Guangdong Province, </w:t>
      </w:r>
      <w:r w:rsidRPr="00AE0331">
        <w:rPr>
          <w:rFonts w:ascii="Book Antiqua" w:eastAsia="Book Antiqua" w:hAnsi="Book Antiqua" w:cs="Book Antiqua"/>
          <w:color w:val="000000"/>
        </w:rPr>
        <w:t>China</w:t>
      </w:r>
    </w:p>
    <w:p w14:paraId="3B7443FC" w14:textId="77777777" w:rsidR="00A77B3E" w:rsidRPr="00AE0331" w:rsidRDefault="00A77B3E" w:rsidP="00592FA5">
      <w:pPr>
        <w:spacing w:line="360" w:lineRule="auto"/>
        <w:jc w:val="both"/>
        <w:rPr>
          <w:rFonts w:ascii="Book Antiqua" w:hAnsi="Book Antiqua"/>
        </w:rPr>
      </w:pPr>
    </w:p>
    <w:p w14:paraId="7BE13967" w14:textId="2F8C2261"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Author contributions: </w:t>
      </w:r>
      <w:r w:rsidR="00706656" w:rsidRPr="00AE0331">
        <w:rPr>
          <w:rFonts w:ascii="Book Antiqua" w:eastAsia="Book Antiqua" w:hAnsi="Book Antiqua" w:cs="Book Antiqua"/>
          <w:color w:val="000000"/>
        </w:rPr>
        <w:t>Dai ZL, Jiang YX</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Jiang X</w:t>
      </w:r>
      <w:r w:rsidR="00665E42">
        <w:rPr>
          <w:rFonts w:ascii="Book Antiqua" w:eastAsia="Book Antiqua" w:hAnsi="Book Antiqua" w:cs="Book Antiqua"/>
          <w:color w:val="000000"/>
        </w:rPr>
        <w:t xml:space="preserve"> designed the study and analyzed the data</w:t>
      </w:r>
      <w:r w:rsidR="00706656" w:rsidRPr="00AE0331">
        <w:rPr>
          <w:rFonts w:ascii="Book Antiqua" w:eastAsia="Book Antiqua" w:hAnsi="Book Antiqua" w:cs="Book Antiqua"/>
          <w:color w:val="000000"/>
        </w:rPr>
        <w:t>; Cai XT, Gao WL and Lin M collect</w:t>
      </w:r>
      <w:r w:rsidR="00DE5470" w:rsidRPr="00AE0331">
        <w:rPr>
          <w:rFonts w:ascii="Book Antiqua" w:eastAsia="Book Antiqua" w:hAnsi="Book Antiqua" w:cs="Book Antiqua"/>
          <w:color w:val="000000"/>
        </w:rPr>
        <w:t>ed</w:t>
      </w:r>
      <w:r w:rsidR="00706656" w:rsidRPr="00AE0331">
        <w:rPr>
          <w:rFonts w:ascii="Book Antiqua" w:eastAsia="Book Antiqua" w:hAnsi="Book Antiqua" w:cs="Book Antiqua"/>
          <w:color w:val="000000"/>
        </w:rPr>
        <w:t xml:space="preserve"> </w:t>
      </w:r>
      <w:r w:rsidR="00665E42">
        <w:rPr>
          <w:rFonts w:ascii="Book Antiqua" w:eastAsia="Book Antiqua" w:hAnsi="Book Antiqua" w:cs="Book Antiqua"/>
          <w:color w:val="000000"/>
        </w:rPr>
        <w:t xml:space="preserve">the </w:t>
      </w:r>
      <w:r w:rsidR="00706656" w:rsidRPr="00AE0331">
        <w:rPr>
          <w:rFonts w:ascii="Book Antiqua" w:eastAsia="Book Antiqua" w:hAnsi="Book Antiqua" w:cs="Book Antiqua"/>
          <w:color w:val="000000"/>
        </w:rPr>
        <w:t>d</w:t>
      </w:r>
      <w:r w:rsidRPr="00AE0331">
        <w:rPr>
          <w:rFonts w:ascii="Book Antiqua" w:eastAsia="Book Antiqua" w:hAnsi="Book Antiqua" w:cs="Book Antiqua"/>
          <w:color w:val="000000"/>
        </w:rPr>
        <w:t>ata</w:t>
      </w:r>
      <w:r w:rsidR="00706656" w:rsidRPr="00AE0331">
        <w:rPr>
          <w:rFonts w:ascii="Book Antiqua" w:eastAsia="Book Antiqua" w:hAnsi="Book Antiqua" w:cs="Book Antiqua"/>
          <w:color w:val="000000"/>
        </w:rPr>
        <w:t>; Dai ZL, Lin J</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Cai XT </w:t>
      </w:r>
      <w:r w:rsidR="00665E42">
        <w:rPr>
          <w:rFonts w:ascii="Book Antiqua" w:eastAsia="Book Antiqua" w:hAnsi="Book Antiqua" w:cs="Book Antiqua"/>
          <w:color w:val="000000"/>
        </w:rPr>
        <w:t>interpreted</w:t>
      </w:r>
      <w:r w:rsidR="00665E42" w:rsidRPr="00AE0331">
        <w:rPr>
          <w:rFonts w:ascii="Book Antiqua" w:eastAsia="Book Antiqua" w:hAnsi="Book Antiqua" w:cs="Book Antiqua"/>
          <w:color w:val="000000"/>
        </w:rPr>
        <w:t xml:space="preserve"> </w:t>
      </w:r>
      <w:r w:rsidR="00DE5470" w:rsidRPr="00AE0331">
        <w:rPr>
          <w:rFonts w:ascii="Book Antiqua" w:eastAsia="Book Antiqua" w:hAnsi="Book Antiqua" w:cs="Book Antiqua"/>
          <w:color w:val="000000"/>
        </w:rPr>
        <w:t>the data</w:t>
      </w:r>
      <w:r w:rsidR="00706656" w:rsidRPr="00AE0331">
        <w:rPr>
          <w:rFonts w:ascii="Book Antiqua" w:eastAsia="Book Antiqua" w:hAnsi="Book Antiqua" w:cs="Book Antiqua"/>
          <w:color w:val="000000"/>
        </w:rPr>
        <w:t>; Dai ZL, Jiang YX</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Jiang X </w:t>
      </w:r>
      <w:r w:rsidR="00665E42" w:rsidRPr="00AE0331">
        <w:rPr>
          <w:rFonts w:ascii="Book Antiqua" w:eastAsia="Book Antiqua" w:hAnsi="Book Antiqua" w:cs="Book Antiqua"/>
          <w:color w:val="000000"/>
        </w:rPr>
        <w:t>prepar</w:t>
      </w:r>
      <w:r w:rsidR="00665E42">
        <w:rPr>
          <w:rFonts w:ascii="Book Antiqua" w:eastAsia="Book Antiqua" w:hAnsi="Book Antiqua" w:cs="Book Antiqua"/>
          <w:color w:val="000000"/>
        </w:rPr>
        <w:t>ed the</w:t>
      </w:r>
      <w:r w:rsidR="00665E42"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m</w:t>
      </w:r>
      <w:r w:rsidRPr="00AE0331">
        <w:rPr>
          <w:rFonts w:ascii="Book Antiqua" w:eastAsia="Book Antiqua" w:hAnsi="Book Antiqua" w:cs="Book Antiqua"/>
          <w:color w:val="000000"/>
        </w:rPr>
        <w:t>anuscript</w:t>
      </w:r>
      <w:r w:rsidR="00706656" w:rsidRPr="00AE0331">
        <w:rPr>
          <w:rFonts w:ascii="Book Antiqua" w:eastAsia="Book Antiqua" w:hAnsi="Book Antiqua" w:cs="Book Antiqua"/>
          <w:color w:val="000000"/>
        </w:rPr>
        <w:t>;</w:t>
      </w:r>
      <w:r w:rsidR="00706656" w:rsidRPr="00AE0331">
        <w:rPr>
          <w:rFonts w:ascii="Book Antiqua" w:hAnsi="Book Antiqua" w:hint="eastAsia"/>
          <w:lang w:eastAsia="zh-CN"/>
        </w:rPr>
        <w:t xml:space="preserve"> </w:t>
      </w:r>
      <w:r w:rsidR="00706656" w:rsidRPr="00AE0331">
        <w:rPr>
          <w:rFonts w:ascii="Book Antiqua" w:eastAsia="Book Antiqua" w:hAnsi="Book Antiqua" w:cs="Book Antiqua"/>
          <w:color w:val="000000"/>
        </w:rPr>
        <w:t>a</w:t>
      </w:r>
      <w:r w:rsidRPr="00AE0331">
        <w:rPr>
          <w:rFonts w:ascii="Book Antiqua" w:eastAsia="Book Antiqua" w:hAnsi="Book Antiqua" w:cs="Book Antiqua"/>
          <w:color w:val="000000"/>
        </w:rPr>
        <w:t>ll authors have read and approved the manuscript.</w:t>
      </w:r>
    </w:p>
    <w:p w14:paraId="0A642FDD" w14:textId="77777777" w:rsidR="00A77B3E" w:rsidRPr="00AE0331" w:rsidRDefault="00A77B3E" w:rsidP="00592FA5">
      <w:pPr>
        <w:spacing w:line="360" w:lineRule="auto"/>
        <w:jc w:val="both"/>
        <w:rPr>
          <w:rFonts w:ascii="Book Antiqua" w:hAnsi="Book Antiqua"/>
        </w:rPr>
      </w:pPr>
    </w:p>
    <w:p w14:paraId="408CE61C" w14:textId="318BBBE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Supported by</w:t>
      </w:r>
      <w:r w:rsidR="00665E42">
        <w:rPr>
          <w:rFonts w:ascii="Book Antiqua" w:eastAsia="Book Antiqua" w:hAnsi="Book Antiqua" w:cs="Book Antiqua"/>
          <w:b/>
          <w:bCs/>
          <w:color w:val="000000"/>
        </w:rPr>
        <w:t xml:space="preserve"> </w:t>
      </w:r>
      <w:r w:rsidRPr="00AE0331">
        <w:rPr>
          <w:rFonts w:ascii="Book Antiqua" w:eastAsia="Book Antiqua" w:hAnsi="Book Antiqua" w:cs="Book Antiqua"/>
          <w:color w:val="000000"/>
        </w:rPr>
        <w:t>Shenzhen Municipal Science and Technology Foundation</w:t>
      </w:r>
      <w:r w:rsidR="00706656"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 xml:space="preserve">No. </w:t>
      </w:r>
      <w:r w:rsidRPr="00AE0331">
        <w:rPr>
          <w:rFonts w:ascii="Book Antiqua" w:eastAsia="Book Antiqua" w:hAnsi="Book Antiqua" w:cs="Book Antiqua"/>
          <w:color w:val="000000"/>
        </w:rPr>
        <w:t>JCYJ20170307100314152; Shenzhen Health Research Fund</w:t>
      </w:r>
      <w:r w:rsidR="00706656"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 xml:space="preserve">No. </w:t>
      </w:r>
      <w:r w:rsidRPr="00AE0331">
        <w:rPr>
          <w:rFonts w:ascii="Book Antiqua" w:eastAsia="Book Antiqua" w:hAnsi="Book Antiqua" w:cs="Book Antiqua"/>
          <w:color w:val="000000"/>
        </w:rPr>
        <w:t>SZLY2018011</w:t>
      </w:r>
      <w:r w:rsidR="00665E42">
        <w:rPr>
          <w:rFonts w:ascii="Book Antiqua" w:eastAsia="Book Antiqua" w:hAnsi="Book Antiqua" w:cs="Book Antiqua"/>
          <w:color w:val="000000"/>
        </w:rPr>
        <w:t xml:space="preserve"> and No.</w:t>
      </w:r>
      <w:r w:rsidR="00665E42"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lastRenderedPageBreak/>
        <w:t>SZXJ2017029; Guangdong Medical Research Fund</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A2018008</w:t>
      </w:r>
      <w:r w:rsidR="00785F96">
        <w:rPr>
          <w:rFonts w:ascii="Book Antiqua" w:eastAsia="Book Antiqua" w:hAnsi="Book Antiqua" w:cs="Book Antiqua"/>
          <w:color w:val="000000"/>
        </w:rPr>
        <w:t xml:space="preserve"> and </w:t>
      </w:r>
      <w:r w:rsidR="00785F96" w:rsidRPr="00AE0331">
        <w:rPr>
          <w:rFonts w:ascii="Book Antiqua" w:eastAsia="Book Antiqua" w:hAnsi="Book Antiqua" w:cs="Book Antiqua"/>
          <w:color w:val="000000"/>
        </w:rPr>
        <w:t>No.</w:t>
      </w:r>
      <w:r w:rsidR="00F941FB">
        <w:rPr>
          <w:rFonts w:ascii="Book Antiqua" w:eastAsia="Book Antiqua" w:hAnsi="Book Antiqua" w:cs="Book Antiqua"/>
          <w:color w:val="000000"/>
        </w:rPr>
        <w:t xml:space="preserve"> </w:t>
      </w:r>
      <w:r w:rsidRPr="00AE0331">
        <w:rPr>
          <w:rFonts w:ascii="Book Antiqua" w:eastAsia="Book Antiqua" w:hAnsi="Book Antiqua" w:cs="Book Antiqua"/>
          <w:color w:val="000000"/>
        </w:rPr>
        <w:t>A2019382; Scientific Research Fund of Shenzhen People’s Hospital</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 xml:space="preserve">SYLY201706; </w:t>
      </w:r>
      <w:r w:rsidR="00F941FB">
        <w:rPr>
          <w:rFonts w:ascii="Book Antiqua" w:eastAsia="Book Antiqua" w:hAnsi="Book Antiqua" w:cs="Book Antiqua"/>
          <w:color w:val="000000"/>
        </w:rPr>
        <w:t xml:space="preserve">and </w:t>
      </w:r>
      <w:r w:rsidRPr="00AE0331">
        <w:rPr>
          <w:rFonts w:ascii="Book Antiqua" w:eastAsia="Book Antiqua" w:hAnsi="Book Antiqua" w:cs="Book Antiqua"/>
          <w:color w:val="000000"/>
        </w:rPr>
        <w:t>Shenzhen Key Medical Discipline Construction Fund</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 xml:space="preserve">SZXK012. </w:t>
      </w:r>
    </w:p>
    <w:p w14:paraId="78649C2E" w14:textId="77777777" w:rsidR="00A77B3E" w:rsidRPr="00AE0331" w:rsidRDefault="00A77B3E" w:rsidP="00592FA5">
      <w:pPr>
        <w:spacing w:line="360" w:lineRule="auto"/>
        <w:jc w:val="both"/>
        <w:rPr>
          <w:rFonts w:ascii="Book Antiqua" w:hAnsi="Book Antiqua"/>
        </w:rPr>
      </w:pPr>
    </w:p>
    <w:p w14:paraId="46C89303" w14:textId="3405A51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Corresponding author: Xin Jiang, MD, Doctor, </w:t>
      </w:r>
      <w:r w:rsidR="000B0CDB" w:rsidRPr="00AE0331">
        <w:rPr>
          <w:rFonts w:ascii="Book Antiqua" w:eastAsia="Book Antiqua" w:hAnsi="Book Antiqua" w:cs="Book Antiqua"/>
          <w:color w:val="000000"/>
        </w:rPr>
        <w:t>D</w:t>
      </w:r>
      <w:r w:rsidRPr="00AE0331">
        <w:rPr>
          <w:rFonts w:ascii="Book Antiqua" w:eastAsia="Book Antiqua" w:hAnsi="Book Antiqua" w:cs="Book Antiqua"/>
          <w:color w:val="000000"/>
        </w:rPr>
        <w:t xml:space="preserve">epartment of Geriatrics, the First Affiliated Hospital of Southern University, the Second Clinical Medical College of Jinan University, Shenzhen People’s Hospital, No. 1017 Dongmen North Road, Luohu District, Shenzhen 518020, </w:t>
      </w:r>
      <w:bookmarkStart w:id="0" w:name="OLE_LINK1"/>
      <w:bookmarkStart w:id="1" w:name="OLE_LINK2"/>
      <w:r w:rsidR="000B0CDB" w:rsidRPr="00AE0331">
        <w:rPr>
          <w:rFonts w:ascii="Book Antiqua" w:eastAsia="Book Antiqua" w:hAnsi="Book Antiqua" w:cs="Book Antiqua"/>
          <w:color w:val="000000"/>
        </w:rPr>
        <w:t>Guangdong Province</w:t>
      </w:r>
      <w:bookmarkEnd w:id="0"/>
      <w:bookmarkEnd w:id="1"/>
      <w:r w:rsidR="000B0CD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China. jiangxinsz@163.com</w:t>
      </w:r>
    </w:p>
    <w:p w14:paraId="17BCAF23" w14:textId="77777777" w:rsidR="00A77B3E" w:rsidRPr="00AE0331" w:rsidRDefault="00A77B3E" w:rsidP="00592FA5">
      <w:pPr>
        <w:spacing w:line="360" w:lineRule="auto"/>
        <w:jc w:val="both"/>
        <w:rPr>
          <w:rFonts w:ascii="Book Antiqua" w:hAnsi="Book Antiqua"/>
        </w:rPr>
      </w:pPr>
    </w:p>
    <w:p w14:paraId="3C978B6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Received: </w:t>
      </w:r>
      <w:r w:rsidRPr="00AE0331">
        <w:rPr>
          <w:rFonts w:ascii="Book Antiqua" w:eastAsia="Book Antiqua" w:hAnsi="Book Antiqua" w:cs="Book Antiqua"/>
          <w:color w:val="000000"/>
        </w:rPr>
        <w:t>November 10, 2020</w:t>
      </w:r>
    </w:p>
    <w:p w14:paraId="1CCC0FB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Revised: </w:t>
      </w:r>
      <w:r w:rsidRPr="00AE0331">
        <w:rPr>
          <w:rFonts w:ascii="Book Antiqua" w:eastAsia="Book Antiqua" w:hAnsi="Book Antiqua" w:cs="Book Antiqua"/>
          <w:color w:val="000000"/>
        </w:rPr>
        <w:t>December 17, 2020</w:t>
      </w:r>
    </w:p>
    <w:p w14:paraId="5B84A245" w14:textId="3095F44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Accepted: </w:t>
      </w:r>
      <w:r w:rsidR="00C8302F" w:rsidRPr="00C8302F">
        <w:rPr>
          <w:rFonts w:ascii="Book Antiqua" w:eastAsia="Book Antiqua" w:hAnsi="Book Antiqua" w:cs="Book Antiqua"/>
          <w:color w:val="000000"/>
        </w:rPr>
        <w:t>December 27, 2020</w:t>
      </w:r>
    </w:p>
    <w:p w14:paraId="0A521E6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Published online: </w:t>
      </w:r>
    </w:p>
    <w:p w14:paraId="0B649655" w14:textId="77777777" w:rsidR="00A77B3E" w:rsidRPr="00AE0331" w:rsidRDefault="00A77B3E" w:rsidP="00592FA5">
      <w:pPr>
        <w:spacing w:line="360" w:lineRule="auto"/>
        <w:jc w:val="both"/>
        <w:rPr>
          <w:rFonts w:ascii="Book Antiqua" w:hAnsi="Book Antiqua"/>
        </w:rPr>
        <w:sectPr w:rsidR="00A77B3E" w:rsidRPr="00AE0331">
          <w:footerReference w:type="default" r:id="rId6"/>
          <w:pgSz w:w="12240" w:h="15840"/>
          <w:pgMar w:top="1440" w:right="1440" w:bottom="1440" w:left="1440" w:header="720" w:footer="720" w:gutter="0"/>
          <w:cols w:space="720"/>
          <w:docGrid w:linePitch="360"/>
        </w:sectPr>
      </w:pPr>
    </w:p>
    <w:p w14:paraId="2CE7F09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lastRenderedPageBreak/>
        <w:t>Abstract</w:t>
      </w:r>
    </w:p>
    <w:p w14:paraId="590626D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BACKGROUND</w:t>
      </w:r>
    </w:p>
    <w:p w14:paraId="5C0D4A0B" w14:textId="58B520B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The ideal depth of general anesthesia </w:t>
      </w:r>
      <w:r w:rsidR="00665E42">
        <w:rPr>
          <w:rFonts w:ascii="Book Antiqua" w:eastAsia="Book Antiqua" w:hAnsi="Book Antiqua" w:cs="Book Antiqua"/>
          <w:color w:val="000000"/>
        </w:rPr>
        <w:t xml:space="preserve">should </w:t>
      </w:r>
      <w:r w:rsidRPr="00AE0331">
        <w:rPr>
          <w:rFonts w:ascii="Book Antiqua" w:eastAsia="Book Antiqua" w:hAnsi="Book Antiqua" w:cs="Book Antiqua"/>
          <w:color w:val="000000"/>
        </w:rPr>
        <w:t>achieve the required levels of hypnosis, analgesia</w:t>
      </w:r>
      <w:r w:rsidR="00665E42">
        <w:rPr>
          <w:rFonts w:ascii="Book Antiqua" w:eastAsia="Book Antiqua" w:hAnsi="Book Antiqua" w:cs="Book Antiqua"/>
          <w:color w:val="000000"/>
        </w:rPr>
        <w:t>,</w:t>
      </w:r>
      <w:r w:rsidRPr="00AE0331">
        <w:rPr>
          <w:rFonts w:ascii="Book Antiqua" w:eastAsia="Book Antiqua" w:hAnsi="Book Antiqua" w:cs="Book Antiqua"/>
          <w:color w:val="000000"/>
        </w:rPr>
        <w:t xml:space="preserve"> and muscle relaxation while minimizing physiologic responses to awareness. The choice of anesthetic strategy in patients with coronary heart disease (CHD) undergoing major noncardiac surgery is becoming an increasingly important issue as the population ages. This is because general anesthesia is associated with a risk of perioperative cardiac complications and death, and this risk is much higher in people with CHD. </w:t>
      </w:r>
    </w:p>
    <w:p w14:paraId="04DE6177" w14:textId="77777777" w:rsidR="00A77B3E" w:rsidRPr="00AE0331" w:rsidRDefault="00A77B3E" w:rsidP="00592FA5">
      <w:pPr>
        <w:spacing w:line="360" w:lineRule="auto"/>
        <w:jc w:val="both"/>
        <w:rPr>
          <w:rFonts w:ascii="Book Antiqua" w:hAnsi="Book Antiqua"/>
        </w:rPr>
      </w:pPr>
    </w:p>
    <w:p w14:paraId="624DC10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AIM</w:t>
      </w:r>
    </w:p>
    <w:p w14:paraId="5BF44A7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To compare hemodynamic function and cardiovascular event rate between etomidate- and propofol-based anesthesia in patients with CHD.</w:t>
      </w:r>
      <w:r w:rsidRPr="00AE0331">
        <w:rPr>
          <w:rFonts w:ascii="Book Antiqua" w:eastAsia="Book Antiqua" w:hAnsi="Book Antiqua" w:cs="Book Antiqua"/>
          <w:color w:val="000000"/>
          <w:shd w:val="clear" w:color="auto" w:fill="FFFFFF"/>
        </w:rPr>
        <w:t xml:space="preserve"> </w:t>
      </w:r>
    </w:p>
    <w:p w14:paraId="45D8C3C4" w14:textId="77777777" w:rsidR="00A77B3E" w:rsidRPr="00AE0331" w:rsidRDefault="00A77B3E" w:rsidP="00592FA5">
      <w:pPr>
        <w:spacing w:line="360" w:lineRule="auto"/>
        <w:jc w:val="both"/>
        <w:rPr>
          <w:rFonts w:ascii="Book Antiqua" w:hAnsi="Book Antiqua"/>
        </w:rPr>
      </w:pPr>
    </w:p>
    <w:p w14:paraId="27DB139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METHODS</w:t>
      </w:r>
    </w:p>
    <w:p w14:paraId="1A8A6198" w14:textId="37B5712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study enrolled consecutive patients (</w:t>
      </w:r>
      <w:r w:rsidR="00E13F4B" w:rsidRPr="00AE0331">
        <w:rPr>
          <w:rFonts w:ascii="Book Antiqua" w:eastAsia="Book Antiqua" w:hAnsi="Book Antiqua" w:cs="Book Antiqua"/>
          <w:color w:val="000000"/>
          <w:shd w:val="clear" w:color="auto" w:fill="FFFFFF"/>
        </w:rPr>
        <w:t>American Society of Anesthesiologists</w:t>
      </w:r>
      <w:r w:rsidRPr="00AE0331">
        <w:rPr>
          <w:rFonts w:ascii="Book Antiqua" w:eastAsia="Book Antiqua" w:hAnsi="Book Antiqua" w:cs="Book Antiqua"/>
          <w:color w:val="000000"/>
          <w:shd w:val="clear" w:color="auto" w:fill="FFFFFF"/>
        </w:rPr>
        <w:t xml:space="preserve"> </w:t>
      </w:r>
      <w:r w:rsidR="00ED6409">
        <w:rPr>
          <w:rFonts w:ascii="Book Antiqua" w:eastAsia="Book Antiqua" w:hAnsi="Book Antiqua" w:cs="Book Antiqua"/>
          <w:color w:val="000000"/>
          <w:shd w:val="clear" w:color="auto" w:fill="FFFFFF"/>
        </w:rPr>
        <w:t>grade</w:t>
      </w:r>
      <w:r w:rsidR="00665E42">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II/III) with stable CHD (</w:t>
      </w:r>
      <w:r w:rsidR="00E13F4B" w:rsidRPr="00AE0331">
        <w:rPr>
          <w:rFonts w:ascii="Book Antiqua" w:eastAsia="Book Antiqua" w:hAnsi="Book Antiqua" w:cs="Book Antiqua"/>
          <w:color w:val="000000"/>
          <w:shd w:val="clear" w:color="auto" w:fill="FFFFFF"/>
        </w:rPr>
        <w:t>New York Heart Association</w:t>
      </w:r>
      <w:r w:rsidR="00665E42">
        <w:rPr>
          <w:rFonts w:ascii="Book Antiqua" w:eastAsia="Book Antiqua" w:hAnsi="Book Antiqua" w:cs="Book Antiqua"/>
          <w:color w:val="000000"/>
          <w:shd w:val="clear" w:color="auto" w:fill="FFFFFF"/>
        </w:rPr>
        <w:t xml:space="preserve"> class</w:t>
      </w:r>
      <w:r w:rsidRPr="00AE0331">
        <w:rPr>
          <w:rFonts w:ascii="Book Antiqua" w:eastAsia="Book Antiqua" w:hAnsi="Book Antiqua" w:cs="Book Antiqua"/>
          <w:color w:val="000000"/>
          <w:shd w:val="clear" w:color="auto" w:fill="FFFFFF"/>
        </w:rPr>
        <w:t xml:space="preserve"> I/II) undergoing major noncardiac surgery. </w:t>
      </w:r>
      <w:r w:rsidR="00ED6409">
        <w:rPr>
          <w:rFonts w:ascii="Book Antiqua" w:eastAsia="Book Antiqua" w:hAnsi="Book Antiqua" w:cs="Book Antiqua"/>
          <w:color w:val="000000"/>
          <w:shd w:val="clear" w:color="auto" w:fill="FFFFFF"/>
        </w:rPr>
        <w:t>The p</w:t>
      </w:r>
      <w:r w:rsidR="00ED6409" w:rsidRPr="00AE0331">
        <w:rPr>
          <w:rFonts w:ascii="Book Antiqua" w:eastAsia="Book Antiqua" w:hAnsi="Book Antiqua" w:cs="Book Antiqua"/>
          <w:color w:val="000000"/>
          <w:shd w:val="clear" w:color="auto" w:fill="FFFFFF"/>
        </w:rPr>
        <w:t xml:space="preserve">atients </w:t>
      </w:r>
      <w:r w:rsidRPr="00AE0331">
        <w:rPr>
          <w:rFonts w:ascii="Book Antiqua" w:eastAsia="Book Antiqua" w:hAnsi="Book Antiqua" w:cs="Book Antiqua"/>
          <w:color w:val="000000"/>
          <w:shd w:val="clear" w:color="auto" w:fill="FFFFFF"/>
        </w:rPr>
        <w:t>were randomly allocated to receive either etomidate/remifentanil-based or propofol/remifentanil-based general anesthesia. Randomization was performed using a computer-generated random number table and sequentially numbered, opaque, sealed envelopes. Concealment was maintained until the patient had arrived in the operating theater, at which point the consulting anesthetist opened the envelope. All patients, data collectors</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data analyzers were blinded to the type of anesthesia used. The primary endpoints were the occurrence of cardiovascular events (bradycardia, tachycardia, hypotension, ST-T segment changes</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ventricular premature beats) during anesthesia and </w:t>
      </w:r>
      <w:r w:rsidR="00C640ED" w:rsidRPr="00AE0331">
        <w:rPr>
          <w:rFonts w:ascii="Book Antiqua" w:eastAsia="Book Antiqua" w:hAnsi="Book Antiqua" w:cs="Book Antiqua"/>
          <w:color w:val="000000"/>
          <w:shd w:val="clear" w:color="auto" w:fill="FFFFFF"/>
        </w:rPr>
        <w:t>cardiac troponin I</w:t>
      </w:r>
      <w:r w:rsidRPr="00AE0331">
        <w:rPr>
          <w:rFonts w:ascii="Book Antiqua" w:eastAsia="Book Antiqua" w:hAnsi="Book Antiqua" w:cs="Book Antiqua"/>
          <w:color w:val="000000"/>
          <w:shd w:val="clear" w:color="auto" w:fill="FFFFFF"/>
        </w:rPr>
        <w:t xml:space="preserve"> level at 24 h. The secondary endpoints were hemodynamic parameters, </w:t>
      </w:r>
      <w:r w:rsidR="00520861" w:rsidRPr="00AE0331">
        <w:rPr>
          <w:rFonts w:ascii="Book Antiqua" w:eastAsia="Book Antiqua" w:hAnsi="Book Antiqua" w:cs="Book Antiqua"/>
          <w:color w:val="000000"/>
        </w:rPr>
        <w:t>bispectral index</w:t>
      </w:r>
      <w:r w:rsidR="00ED6409">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 xml:space="preserve"> and use of vasopressors during anesthesia.</w:t>
      </w:r>
    </w:p>
    <w:p w14:paraId="49CEB55F" w14:textId="77777777" w:rsidR="00A77B3E" w:rsidRPr="00AE0331" w:rsidRDefault="00A77B3E" w:rsidP="00592FA5">
      <w:pPr>
        <w:spacing w:line="360" w:lineRule="auto"/>
        <w:jc w:val="both"/>
        <w:rPr>
          <w:rFonts w:ascii="Book Antiqua" w:hAnsi="Book Antiqua"/>
        </w:rPr>
      </w:pPr>
    </w:p>
    <w:p w14:paraId="1A10DD5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lastRenderedPageBreak/>
        <w:t>RESULTS</w:t>
      </w:r>
    </w:p>
    <w:p w14:paraId="14085F06" w14:textId="01263C65" w:rsidR="00A77B3E" w:rsidRPr="00AE0331" w:rsidRDefault="00682851" w:rsidP="00592FA5">
      <w:pPr>
        <w:spacing w:line="360" w:lineRule="auto"/>
        <w:jc w:val="both"/>
        <w:rPr>
          <w:rFonts w:ascii="Book Antiqua" w:eastAsia="Book Antiqua" w:hAnsi="Book Antiqua" w:cs="Book Antiqua"/>
          <w:color w:val="000000"/>
        </w:rPr>
      </w:pPr>
      <w:r w:rsidRPr="00AE0331">
        <w:rPr>
          <w:rFonts w:ascii="Book Antiqua" w:eastAsia="Book Antiqua" w:hAnsi="Book Antiqua" w:cs="Book Antiqua"/>
          <w:color w:val="000000"/>
        </w:rPr>
        <w:t>The final analysis included 40 patients in each of the propofol and etomidate groups. The incidences of bradycardia, hypotension, ST-T segment changes</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00D70DCB"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D70DC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ED6409">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The incidence of tachycardia was similar between </w:t>
      </w:r>
      <w:r w:rsidR="00ED6409">
        <w:rPr>
          <w:rFonts w:ascii="Book Antiqua" w:eastAsia="Book Antiqua" w:hAnsi="Book Antiqua" w:cs="Book Antiqua"/>
          <w:color w:val="000000"/>
        </w:rPr>
        <w:t xml:space="preserve">the two </w:t>
      </w:r>
      <w:r w:rsidRPr="00AE0331">
        <w:rPr>
          <w:rFonts w:ascii="Book Antiqua" w:eastAsia="Book Antiqua" w:hAnsi="Book Antiqua" w:cs="Book Antiqua"/>
          <w:color w:val="000000"/>
        </w:rPr>
        <w:t xml:space="preserve">groups. </w:t>
      </w:r>
      <w:r w:rsidRPr="00AE0331">
        <w:rPr>
          <w:rFonts w:ascii="Book Antiqua" w:eastAsia="Book Antiqua" w:hAnsi="Book Antiqua" w:cs="Book Antiqua"/>
          <w:color w:val="000000"/>
          <w:shd w:val="clear" w:color="auto" w:fill="FFFFFF"/>
        </w:rPr>
        <w:t xml:space="preserve">Cardiac troponin I </w:t>
      </w:r>
      <w:r w:rsidRPr="00AE0331">
        <w:rPr>
          <w:rFonts w:ascii="Book Antiqua" w:eastAsia="Book Antiqua" w:hAnsi="Book Antiqua" w:cs="Book Antiqua"/>
          <w:color w:val="000000"/>
        </w:rPr>
        <w:t xml:space="preserve">levels were comparable between </w:t>
      </w:r>
      <w:r w:rsidR="00ED6409">
        <w:rPr>
          <w:rFonts w:ascii="Book Antiqua" w:eastAsia="Book Antiqua" w:hAnsi="Book Antiqua" w:cs="Book Antiqua"/>
          <w:color w:val="000000"/>
        </w:rPr>
        <w:t xml:space="preserve">the two </w:t>
      </w:r>
      <w:r w:rsidRPr="00AE0331">
        <w:rPr>
          <w:rFonts w:ascii="Book Antiqua" w:eastAsia="Book Antiqua" w:hAnsi="Book Antiqua" w:cs="Book Antiqua"/>
          <w:color w:val="000000"/>
        </w:rPr>
        <w:t xml:space="preserve">groups both before the induction of anesthesia and at 24 h after surgery. When compared with the etomidate group, the propofol group had significantly lower </w:t>
      </w:r>
      <w:r w:rsidRPr="00AE0331">
        <w:rPr>
          <w:rFonts w:ascii="Book Antiqua" w:eastAsia="Book Antiqua" w:hAnsi="Book Antiqua" w:cs="Book Antiqua"/>
          <w:color w:val="000000"/>
          <w:shd w:val="clear" w:color="auto" w:fill="FFFFFF"/>
        </w:rPr>
        <w:t>heart rate</w:t>
      </w:r>
      <w:r w:rsidR="00ED6409">
        <w:rPr>
          <w:rFonts w:ascii="Book Antiqua" w:eastAsia="Book Antiqua" w:hAnsi="Book Antiqua" w:cs="Book Antiqua"/>
          <w:color w:val="000000"/>
          <w:shd w:val="clear" w:color="auto" w:fill="FFFFFF"/>
        </w:rPr>
        <w:t>s</w:t>
      </w:r>
      <w:r w:rsidRPr="00AE0331">
        <w:rPr>
          <w:rFonts w:ascii="Book Antiqua" w:eastAsia="Book Antiqua" w:hAnsi="Book Antiqua" w:cs="Book Antiqua"/>
          <w:color w:val="000000"/>
        </w:rPr>
        <w:t xml:space="preserve"> at </w:t>
      </w:r>
      <w:r w:rsidR="000D2671" w:rsidRPr="00AE0331">
        <w:rPr>
          <w:rFonts w:ascii="Book Antiqua" w:eastAsia="Book Antiqua" w:hAnsi="Book Antiqua" w:cs="Book Antiqua"/>
          <w:color w:val="000000"/>
          <w:shd w:val="clear" w:color="auto" w:fill="FFFFFF"/>
        </w:rPr>
        <w:t>3 min after the anesthetic was injected (T</w:t>
      </w:r>
      <w:r w:rsidR="000D2671" w:rsidRPr="00AE0331">
        <w:rPr>
          <w:rFonts w:ascii="Book Antiqua" w:eastAsia="Book Antiqua" w:hAnsi="Book Antiqua" w:cs="Book Antiqua"/>
          <w:color w:val="000000"/>
          <w:shd w:val="clear" w:color="auto" w:fill="FFFFFF"/>
          <w:vertAlign w:val="subscript"/>
        </w:rPr>
        <w:t>1</w:t>
      </w:r>
      <w:r w:rsidR="000D2671"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and </w:t>
      </w:r>
      <w:r w:rsidR="00536780" w:rsidRPr="00AE0331">
        <w:rPr>
          <w:rFonts w:ascii="Book Antiqua" w:eastAsia="Book Antiqua" w:hAnsi="Book Antiqua" w:cs="Book Antiqua"/>
          <w:color w:val="000000"/>
          <w:shd w:val="clear" w:color="auto" w:fill="FFFFFF"/>
        </w:rPr>
        <w:t>immediately after tracheal intubation (T</w:t>
      </w:r>
      <w:r w:rsidR="00536780" w:rsidRPr="00AE0331">
        <w:rPr>
          <w:rFonts w:ascii="Book Antiqua" w:eastAsia="Book Antiqua" w:hAnsi="Book Antiqua" w:cs="Book Antiqua"/>
          <w:color w:val="000000"/>
          <w:shd w:val="clear" w:color="auto" w:fill="FFFFFF"/>
          <w:vertAlign w:val="subscript"/>
        </w:rPr>
        <w:t>2</w:t>
      </w:r>
      <w:r w:rsidR="00536780"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lower </w:t>
      </w:r>
      <w:r w:rsidR="00D70DCB" w:rsidRPr="00AE0331">
        <w:rPr>
          <w:rFonts w:ascii="Book Antiqua" w:eastAsia="Book Antiqua" w:hAnsi="Book Antiqua" w:cs="Book Antiqua"/>
          <w:color w:val="000000"/>
        </w:rPr>
        <w:t>systolic blood pressure</w:t>
      </w:r>
      <w:r w:rsidRPr="00AE0331">
        <w:rPr>
          <w:rFonts w:ascii="Book Antiqua" w:eastAsia="Book Antiqua" w:hAnsi="Book Antiqua" w:cs="Book Antiqua"/>
          <w:color w:val="000000"/>
        </w:rPr>
        <w:t xml:space="preserve"> at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rPr>
        <w:t xml:space="preserve">, and lower </w:t>
      </w:r>
      <w:r w:rsidR="00D70DCB" w:rsidRPr="00AE0331">
        <w:rPr>
          <w:rFonts w:ascii="Book Antiqua" w:eastAsia="Book Antiqua" w:hAnsi="Book Antiqua" w:cs="Book Antiqua"/>
          <w:color w:val="000000"/>
        </w:rPr>
        <w:t>diastolic blood pressure</w:t>
      </w:r>
      <w:r w:rsidRPr="00AE0331">
        <w:rPr>
          <w:rFonts w:ascii="Book Antiqua" w:eastAsia="Book Antiqua" w:hAnsi="Book Antiqua" w:cs="Book Antiqua"/>
          <w:color w:val="000000"/>
        </w:rPr>
        <w:t xml:space="preserve"> and </w:t>
      </w:r>
      <w:r w:rsidR="00D70DCB" w:rsidRPr="00AE0331">
        <w:rPr>
          <w:rFonts w:ascii="Book Antiqua" w:eastAsia="Book Antiqua" w:hAnsi="Book Antiqua" w:cs="Book Antiqua"/>
          <w:color w:val="000000"/>
        </w:rPr>
        <w:t>mean arterial pressure</w:t>
      </w:r>
      <w:r w:rsidRPr="00AE0331">
        <w:rPr>
          <w:rFonts w:ascii="Book Antiqua" w:eastAsia="Book Antiqua" w:hAnsi="Book Antiqua" w:cs="Book Antiqua"/>
          <w:color w:val="000000"/>
        </w:rPr>
        <w:t xml:space="preserve"> at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2</w:t>
      </w:r>
      <w:r w:rsidRPr="00AE0331">
        <w:rPr>
          <w:rFonts w:ascii="Book Antiqua" w:eastAsia="Book Antiqua" w:hAnsi="Book Antiqua" w:cs="Book Antiqua"/>
          <w:color w:val="000000"/>
        </w:rPr>
        <w:t xml:space="preserve">, </w:t>
      </w:r>
      <w:r w:rsidR="00536780" w:rsidRPr="00AE0331">
        <w:rPr>
          <w:rFonts w:ascii="Book Antiqua" w:eastAsia="Book Antiqua" w:hAnsi="Book Antiqua" w:cs="Book Antiqua"/>
          <w:color w:val="000000"/>
          <w:shd w:val="clear" w:color="auto" w:fill="FFFFFF"/>
        </w:rPr>
        <w:t>3 min after tracheal intubation</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and</w:t>
      </w:r>
      <w:r w:rsidRPr="00AE0331">
        <w:rPr>
          <w:rFonts w:ascii="Book Antiqua" w:eastAsia="Book Antiqua" w:hAnsi="Book Antiqua" w:cs="Book Antiqua"/>
          <w:color w:val="000000"/>
          <w:shd w:val="clear" w:color="auto" w:fill="FFFFFF"/>
        </w:rPr>
        <w:t xml:space="preserve"> </w:t>
      </w:r>
      <w:r w:rsidR="00536780" w:rsidRPr="00AE0331">
        <w:rPr>
          <w:rFonts w:ascii="Book Antiqua" w:eastAsia="Book Antiqua" w:hAnsi="Book Antiqua" w:cs="Book Antiqua"/>
          <w:color w:val="000000"/>
          <w:shd w:val="clear" w:color="auto" w:fill="FFFFFF"/>
        </w:rPr>
        <w:t>5 min after tracheal intubation</w:t>
      </w:r>
      <w:r w:rsidRPr="00AE0331">
        <w:rPr>
          <w:rFonts w:ascii="Book Antiqua" w:eastAsia="Book Antiqua" w:hAnsi="Book Antiqua" w:cs="Book Antiqua"/>
          <w:color w:val="000000"/>
        </w:rPr>
        <w:t xml:space="preserve"> (</w:t>
      </w:r>
      <w:r w:rsidRPr="00AE0331">
        <w:rPr>
          <w:rFonts w:ascii="Book Antiqua" w:eastAsia="Book Antiqua" w:hAnsi="Book Antiqua" w:cs="Book Antiqua"/>
          <w:i/>
          <w:iCs/>
          <w:color w:val="000000"/>
        </w:rPr>
        <w:t>P</w:t>
      </w:r>
      <w:r w:rsidR="00D70DCB"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D70DC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ED6409">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Vasopressor use was significantly </w:t>
      </w:r>
      <w:r w:rsidR="00ED6409">
        <w:rPr>
          <w:rFonts w:ascii="Book Antiqua" w:eastAsia="Book Antiqua" w:hAnsi="Book Antiqua" w:cs="Book Antiqua"/>
          <w:color w:val="000000"/>
        </w:rPr>
        <w:t>more</w:t>
      </w:r>
      <w:r w:rsidR="00ED6409"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in the propofol group than in the etomidate group during the induction and maintenance periods (</w:t>
      </w:r>
      <w:r w:rsidRPr="00AE0331">
        <w:rPr>
          <w:rFonts w:ascii="Book Antiqua" w:eastAsia="Book Antiqua" w:hAnsi="Book Antiqua" w:cs="Book Antiqua"/>
          <w:i/>
          <w:iCs/>
          <w:color w:val="000000"/>
        </w:rPr>
        <w:t>P</w:t>
      </w:r>
      <w:r w:rsidR="00520861"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52086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0.001). </w:t>
      </w:r>
    </w:p>
    <w:p w14:paraId="3FDBE94C" w14:textId="77777777" w:rsidR="00520861" w:rsidRPr="00AE0331" w:rsidRDefault="00520861" w:rsidP="00592FA5">
      <w:pPr>
        <w:spacing w:line="360" w:lineRule="auto"/>
        <w:jc w:val="both"/>
        <w:rPr>
          <w:rFonts w:ascii="Book Antiqua" w:hAnsi="Book Antiqua"/>
        </w:rPr>
      </w:pPr>
    </w:p>
    <w:p w14:paraId="3FC6D09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CONCLUSION</w:t>
      </w:r>
    </w:p>
    <w:p w14:paraId="493CA2B2" w14:textId="32E7B08E"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In patients with CHD undergoing noncardiac major surgery, etomidate-based anesthesia </w:t>
      </w:r>
      <w:r w:rsidR="00ED6409">
        <w:rPr>
          <w:rFonts w:ascii="Book Antiqua" w:eastAsia="Book Antiqua" w:hAnsi="Book Antiqua" w:cs="Book Antiqua"/>
          <w:color w:val="000000"/>
        </w:rPr>
        <w:t>i</w:t>
      </w:r>
      <w:r w:rsidR="00ED6409" w:rsidRPr="00AE0331">
        <w:rPr>
          <w:rFonts w:ascii="Book Antiqua" w:eastAsia="Book Antiqua" w:hAnsi="Book Antiqua" w:cs="Book Antiqua"/>
          <w:color w:val="000000"/>
        </w:rPr>
        <w:t xml:space="preserve">s </w:t>
      </w:r>
      <w:r w:rsidRPr="00AE0331">
        <w:rPr>
          <w:rFonts w:ascii="Book Antiqua" w:eastAsia="Book Antiqua" w:hAnsi="Book Antiqua" w:cs="Book Antiqua"/>
          <w:color w:val="000000"/>
        </w:rPr>
        <w:t>associated with fewer cardiovascular events and smaller hemodynamic changes than propofol-based anesthesia.</w:t>
      </w:r>
    </w:p>
    <w:p w14:paraId="363A53D7" w14:textId="77777777" w:rsidR="00A77B3E" w:rsidRPr="00AE0331" w:rsidRDefault="00A77B3E" w:rsidP="00592FA5">
      <w:pPr>
        <w:spacing w:line="360" w:lineRule="auto"/>
        <w:jc w:val="both"/>
        <w:rPr>
          <w:rFonts w:ascii="Book Antiqua" w:hAnsi="Book Antiqua"/>
        </w:rPr>
      </w:pPr>
    </w:p>
    <w:p w14:paraId="76AF3C63"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Key Words: </w:t>
      </w:r>
      <w:r w:rsidRPr="00AE0331">
        <w:rPr>
          <w:rFonts w:ascii="Book Antiqua" w:eastAsia="Book Antiqua" w:hAnsi="Book Antiqua" w:cs="Book Antiqua"/>
          <w:color w:val="000000"/>
        </w:rPr>
        <w:t>Etomidate; Propofol; General anesthesia; Coronary heart disease; Hemodynamic; Cardiovascular events</w:t>
      </w:r>
    </w:p>
    <w:p w14:paraId="3BACA7A3" w14:textId="77777777" w:rsidR="00A77B3E" w:rsidRPr="00AE0331" w:rsidRDefault="00A77B3E" w:rsidP="00592FA5">
      <w:pPr>
        <w:spacing w:line="360" w:lineRule="auto"/>
        <w:jc w:val="both"/>
        <w:rPr>
          <w:rFonts w:ascii="Book Antiqua" w:hAnsi="Book Antiqua"/>
        </w:rPr>
      </w:pPr>
    </w:p>
    <w:p w14:paraId="69A7F3DA" w14:textId="5A511625"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Dai Z</w:t>
      </w:r>
      <w:r w:rsidR="00520861" w:rsidRPr="00AE0331">
        <w:rPr>
          <w:rFonts w:ascii="Book Antiqua" w:eastAsia="Book Antiqua" w:hAnsi="Book Antiqua" w:cs="Book Antiqua"/>
          <w:color w:val="000000"/>
        </w:rPr>
        <w:t>L</w:t>
      </w:r>
      <w:r w:rsidRPr="00AE0331">
        <w:rPr>
          <w:rFonts w:ascii="Book Antiqua" w:eastAsia="Book Antiqua" w:hAnsi="Book Antiqua" w:cs="Book Antiqua"/>
          <w:color w:val="000000"/>
        </w:rPr>
        <w:t>, Cai X</w:t>
      </w:r>
      <w:r w:rsidR="00520861" w:rsidRPr="00AE0331">
        <w:rPr>
          <w:rFonts w:ascii="Book Antiqua" w:eastAsia="Book Antiqua" w:hAnsi="Book Antiqua" w:cs="Book Antiqua"/>
          <w:color w:val="000000"/>
        </w:rPr>
        <w:t>T</w:t>
      </w:r>
      <w:r w:rsidRPr="00AE0331">
        <w:rPr>
          <w:rFonts w:ascii="Book Antiqua" w:eastAsia="Book Antiqua" w:hAnsi="Book Antiqua" w:cs="Book Antiqua"/>
          <w:color w:val="000000"/>
        </w:rPr>
        <w:t>, Gao W</w:t>
      </w:r>
      <w:r w:rsidR="00520861" w:rsidRPr="00AE0331">
        <w:rPr>
          <w:rFonts w:ascii="Book Antiqua" w:eastAsia="Book Antiqua" w:hAnsi="Book Antiqua" w:cs="Book Antiqua"/>
          <w:color w:val="000000"/>
        </w:rPr>
        <w:t>L</w:t>
      </w:r>
      <w:r w:rsidRPr="00AE0331">
        <w:rPr>
          <w:rFonts w:ascii="Book Antiqua" w:eastAsia="Book Antiqua" w:hAnsi="Book Antiqua" w:cs="Book Antiqua"/>
          <w:color w:val="000000"/>
        </w:rPr>
        <w:t>, Lin M, Lin J, Jiang Y</w:t>
      </w:r>
      <w:r w:rsidR="00520861" w:rsidRPr="00AE0331">
        <w:rPr>
          <w:rFonts w:ascii="Book Antiqua" w:eastAsia="Book Antiqua" w:hAnsi="Book Antiqua" w:cs="Book Antiqua"/>
          <w:color w:val="000000"/>
        </w:rPr>
        <w:t>X</w:t>
      </w:r>
      <w:r w:rsidRPr="00AE0331">
        <w:rPr>
          <w:rFonts w:ascii="Book Antiqua" w:eastAsia="Book Antiqua" w:hAnsi="Book Antiqua" w:cs="Book Antiqua"/>
          <w:color w:val="000000"/>
        </w:rPr>
        <w:t xml:space="preserve">, Jiang X. Etomidate </w:t>
      </w:r>
      <w:r w:rsidRPr="00AE0331">
        <w:rPr>
          <w:rFonts w:ascii="Book Antiqua" w:eastAsia="Book Antiqua" w:hAnsi="Book Antiqua" w:cs="Book Antiqua"/>
          <w:i/>
          <w:iCs/>
          <w:color w:val="000000"/>
        </w:rPr>
        <w:t>vs</w:t>
      </w:r>
      <w:r w:rsidRPr="00AE0331">
        <w:rPr>
          <w:rFonts w:ascii="Book Antiqua" w:eastAsia="Book Antiqua" w:hAnsi="Book Antiqua" w:cs="Book Antiqua"/>
          <w:color w:val="000000"/>
        </w:rPr>
        <w:t xml:space="preserve"> propofol in coronary heart disease patients undergoing major noncardiac surgery: </w:t>
      </w:r>
      <w:r w:rsidR="00ED6409">
        <w:rPr>
          <w:rFonts w:ascii="Book Antiqua" w:eastAsia="Book Antiqua" w:hAnsi="Book Antiqua" w:cs="Book Antiqua"/>
          <w:color w:val="000000"/>
        </w:rPr>
        <w:t>A r</w:t>
      </w:r>
      <w:r w:rsidR="00ED6409" w:rsidRPr="00AE0331">
        <w:rPr>
          <w:rFonts w:ascii="Book Antiqua" w:eastAsia="Book Antiqua" w:hAnsi="Book Antiqua" w:cs="Book Antiqua"/>
          <w:color w:val="000000"/>
        </w:rPr>
        <w:t xml:space="preserve">andomized </w:t>
      </w:r>
      <w:r w:rsidRPr="00AE0331">
        <w:rPr>
          <w:rFonts w:ascii="Book Antiqua" w:eastAsia="Book Antiqua" w:hAnsi="Book Antiqua" w:cs="Book Antiqua"/>
          <w:color w:val="000000"/>
        </w:rPr>
        <w:t xml:space="preserve">clinical trial. </w:t>
      </w:r>
      <w:r w:rsidRPr="00AE0331">
        <w:rPr>
          <w:rFonts w:ascii="Book Antiqua" w:eastAsia="Book Antiqua" w:hAnsi="Book Antiqua" w:cs="Book Antiqua"/>
          <w:i/>
          <w:iCs/>
          <w:color w:val="000000"/>
        </w:rPr>
        <w:t>World J Clin Cases</w:t>
      </w:r>
      <w:r w:rsidRPr="00AE0331">
        <w:rPr>
          <w:rFonts w:ascii="Book Antiqua" w:eastAsia="Book Antiqua" w:hAnsi="Book Antiqua" w:cs="Book Antiqua"/>
          <w:color w:val="000000"/>
        </w:rPr>
        <w:t xml:space="preserve"> 2020; In press</w:t>
      </w:r>
    </w:p>
    <w:p w14:paraId="6B42D1A7" w14:textId="77777777" w:rsidR="00A77B3E" w:rsidRPr="00AE0331" w:rsidRDefault="00A77B3E" w:rsidP="00592FA5">
      <w:pPr>
        <w:spacing w:line="360" w:lineRule="auto"/>
        <w:jc w:val="both"/>
        <w:rPr>
          <w:rFonts w:ascii="Book Antiqua" w:hAnsi="Book Antiqua"/>
        </w:rPr>
      </w:pPr>
    </w:p>
    <w:p w14:paraId="2CAB9EEE" w14:textId="73CB61A1" w:rsidR="00A77B3E" w:rsidRPr="00536780" w:rsidRDefault="00682851" w:rsidP="00592FA5">
      <w:pPr>
        <w:spacing w:line="360" w:lineRule="auto"/>
        <w:jc w:val="both"/>
        <w:rPr>
          <w:rFonts w:ascii="Book Antiqua" w:hAnsi="Book Antiqua"/>
          <w:u w:val="single"/>
        </w:rPr>
      </w:pPr>
      <w:r w:rsidRPr="00AE0331">
        <w:rPr>
          <w:rFonts w:ascii="Book Antiqua" w:eastAsia="Book Antiqua" w:hAnsi="Book Antiqua" w:cs="Book Antiqua"/>
          <w:b/>
          <w:bCs/>
          <w:color w:val="000000"/>
        </w:rPr>
        <w:t xml:space="preserve">Core Tip: </w:t>
      </w:r>
      <w:r w:rsidRPr="00AE0331">
        <w:rPr>
          <w:rFonts w:ascii="Book Antiqua" w:eastAsia="Book Antiqua" w:hAnsi="Book Antiqua" w:cs="Book Antiqua"/>
          <w:color w:val="000000"/>
        </w:rPr>
        <w:t>The result</w:t>
      </w:r>
      <w:r w:rsidR="00ED6409">
        <w:rPr>
          <w:rFonts w:ascii="Book Antiqua" w:eastAsia="Book Antiqua" w:hAnsi="Book Antiqua" w:cs="Book Antiqua"/>
          <w:color w:val="000000"/>
        </w:rPr>
        <w:t>s</w:t>
      </w:r>
      <w:r w:rsidRPr="00AE0331">
        <w:rPr>
          <w:rFonts w:ascii="Book Antiqua" w:eastAsia="Book Antiqua" w:hAnsi="Book Antiqua" w:cs="Book Antiqua"/>
          <w:color w:val="000000"/>
        </w:rPr>
        <w:t xml:space="preserve"> show that in patients with </w:t>
      </w:r>
      <w:r w:rsidR="004B5F1D" w:rsidRPr="00AE0331">
        <w:rPr>
          <w:rFonts w:ascii="Book Antiqua" w:eastAsia="Book Antiqua" w:hAnsi="Book Antiqua" w:cs="Book Antiqua"/>
          <w:color w:val="000000"/>
        </w:rPr>
        <w:t>coronary heart disease</w:t>
      </w:r>
      <w:r w:rsidRPr="00AE0331">
        <w:rPr>
          <w:rFonts w:ascii="Book Antiqua" w:eastAsia="Book Antiqua" w:hAnsi="Book Antiqua" w:cs="Book Antiqua"/>
          <w:color w:val="000000"/>
        </w:rPr>
        <w:t xml:space="preserve"> undergoing noncardiac major surgery, etomidate-based anesthesia was associated with fewer </w:t>
      </w:r>
      <w:r w:rsidRPr="00AE0331">
        <w:rPr>
          <w:rFonts w:ascii="Book Antiqua" w:eastAsia="Book Antiqua" w:hAnsi="Book Antiqua" w:cs="Book Antiqua"/>
          <w:color w:val="000000"/>
        </w:rPr>
        <w:lastRenderedPageBreak/>
        <w:t>cardiovascular events and smaller hemodynamic changes than propofol-based anesthesia.</w:t>
      </w:r>
      <w:r w:rsidR="00DE1DD9" w:rsidRPr="00AE0331">
        <w:rPr>
          <w:rFonts w:ascii="Book Antiqua" w:eastAsia="Book Antiqua" w:hAnsi="Book Antiqua" w:cs="Book Antiqua"/>
          <w:b/>
          <w:caps/>
          <w:color w:val="000000"/>
        </w:rPr>
        <w:br w:type="page"/>
      </w:r>
      <w:r w:rsidRPr="00536780">
        <w:rPr>
          <w:rFonts w:ascii="Book Antiqua" w:eastAsia="Book Antiqua" w:hAnsi="Book Antiqua" w:cs="Book Antiqua"/>
          <w:b/>
          <w:caps/>
          <w:color w:val="000000"/>
          <w:u w:val="single"/>
        </w:rPr>
        <w:lastRenderedPageBreak/>
        <w:t>INTRODUCTION</w:t>
      </w:r>
    </w:p>
    <w:p w14:paraId="4EFCE37B" w14:textId="5C6D55A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The ideal depth of general anesthesia </w:t>
      </w:r>
      <w:r w:rsidR="00ED6409">
        <w:rPr>
          <w:rFonts w:ascii="Book Antiqua" w:eastAsia="Book Antiqua" w:hAnsi="Book Antiqua" w:cs="Book Antiqua"/>
          <w:color w:val="000000"/>
        </w:rPr>
        <w:t xml:space="preserve">should </w:t>
      </w:r>
      <w:r w:rsidRPr="00AE0331">
        <w:rPr>
          <w:rFonts w:ascii="Book Antiqua" w:eastAsia="Book Antiqua" w:hAnsi="Book Antiqua" w:cs="Book Antiqua"/>
          <w:color w:val="000000"/>
        </w:rPr>
        <w:t>achieve the required levels of hypnosis, analgesia and muscle relaxation while minimizing physiologic responses to awareness such as tachycardia, hypertension, sweating, lacrimation, increased skeletal muscle tone</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spontaneous movement</w:t>
      </w:r>
      <w:r w:rsidRPr="00AE0331">
        <w:rPr>
          <w:rFonts w:ascii="Book Antiqua" w:eastAsia="Book Antiqua" w:hAnsi="Book Antiqua" w:cs="Book Antiqua"/>
          <w:color w:val="000000"/>
          <w:vertAlign w:val="superscript"/>
        </w:rPr>
        <w:t>[</w:t>
      </w:r>
      <w:hyperlink w:anchor="_ENREF_1" w:tooltip="Brown, 2018 #1" w:history="1">
        <w:r w:rsidRPr="00AE0331">
          <w:rPr>
            <w:rFonts w:ascii="Book Antiqua" w:eastAsia="Book Antiqua" w:hAnsi="Book Antiqua" w:cs="Book Antiqua"/>
            <w:color w:val="000000"/>
            <w:vertAlign w:val="superscript"/>
          </w:rPr>
          <w:t>1</w:t>
        </w:r>
      </w:hyperlink>
      <w:r w:rsidRPr="00AE0331">
        <w:rPr>
          <w:rFonts w:ascii="Book Antiqua" w:eastAsia="Book Antiqua" w:hAnsi="Book Antiqua" w:cs="Book Antiqua"/>
          <w:color w:val="000000"/>
          <w:vertAlign w:val="superscript"/>
        </w:rPr>
        <w:t>,</w:t>
      </w:r>
      <w:hyperlink w:anchor="_ENREF_2" w:tooltip="Rani, 2012 #2" w:history="1">
        <w:r w:rsidRPr="00AE0331">
          <w:rPr>
            <w:rFonts w:ascii="Book Antiqua" w:eastAsia="Book Antiqua" w:hAnsi="Book Antiqua" w:cs="Book Antiqua"/>
            <w:color w:val="000000"/>
            <w:vertAlign w:val="superscript"/>
          </w:rPr>
          <w:t>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The choice of anesthetic strategy in patients with coronary heart disease (CHD) undergoing major noncardiac surgery is becoming an increasingly important issue as the population ages. This is because general anesthesia is associated with a risk of perioperative cardiac complications and death, and this risk is much higher in people with CHD. Perioperative cardiac complications including myocardial infarction (MI) have been reported in around 15% of patients with CHD who undergo noncardiac surgery</w:t>
      </w:r>
      <w:r w:rsidRPr="00AE0331">
        <w:rPr>
          <w:rFonts w:ascii="Book Antiqua" w:eastAsia="Book Antiqua" w:hAnsi="Book Antiqua" w:cs="Book Antiqua"/>
          <w:color w:val="000000"/>
          <w:shd w:val="clear" w:color="auto" w:fill="FFFFFF"/>
          <w:vertAlign w:val="superscript"/>
        </w:rPr>
        <w:t>[</w:t>
      </w:r>
      <w:hyperlink w:anchor="_ENREF_3" w:tooltip="Seki, 2005 #3" w:history="1">
        <w:r w:rsidRPr="00AE0331">
          <w:rPr>
            <w:rFonts w:ascii="Book Antiqua" w:eastAsia="Book Antiqua" w:hAnsi="Book Antiqua" w:cs="Book Antiqua"/>
            <w:color w:val="000000"/>
            <w:shd w:val="clear" w:color="auto" w:fill="FFFFFF"/>
            <w:vertAlign w:val="superscript"/>
          </w:rPr>
          <w:t>3</w:t>
        </w:r>
      </w:hyperlink>
      <w:r w:rsidRPr="00AE0331">
        <w:rPr>
          <w:rFonts w:ascii="Book Antiqua" w:eastAsia="Book Antiqua" w:hAnsi="Book Antiqua" w:cs="Book Antiqua"/>
          <w:color w:val="000000"/>
          <w:shd w:val="clear" w:color="auto" w:fill="FFFFFF"/>
          <w:vertAlign w:val="superscript"/>
        </w:rPr>
        <w:t>,</w:t>
      </w:r>
      <w:hyperlink w:anchor="_ENREF_4" w:tooltip="Yamada, 2000 #4" w:history="1">
        <w:r w:rsidRPr="00AE0331">
          <w:rPr>
            <w:rFonts w:ascii="Book Antiqua" w:eastAsia="Book Antiqua" w:hAnsi="Book Antiqua" w:cs="Book Antiqua"/>
            <w:color w:val="000000"/>
            <w:shd w:val="clear" w:color="auto" w:fill="FFFFFF"/>
            <w:vertAlign w:val="superscript"/>
          </w:rPr>
          <w:t>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although even higher rates have been described in some studies</w:t>
      </w:r>
      <w:r w:rsidRPr="00AE0331">
        <w:rPr>
          <w:rFonts w:ascii="Book Antiqua" w:eastAsia="Book Antiqua" w:hAnsi="Book Antiqua" w:cs="Book Antiqua"/>
          <w:color w:val="000000"/>
          <w:shd w:val="clear" w:color="auto" w:fill="FFFFFF"/>
          <w:vertAlign w:val="superscript"/>
        </w:rPr>
        <w:t>[</w:t>
      </w:r>
      <w:hyperlink w:anchor="_ENREF_5" w:tooltip="Varma, 1996 #5" w:history="1">
        <w:r w:rsidRPr="00AE0331">
          <w:rPr>
            <w:rFonts w:ascii="Book Antiqua" w:eastAsia="Book Antiqua" w:hAnsi="Book Antiqua" w:cs="Book Antiqua"/>
            <w:color w:val="000000"/>
            <w:shd w:val="clear" w:color="auto" w:fill="FFFFFF"/>
            <w:vertAlign w:val="superscript"/>
          </w:rPr>
          <w:t>5</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Furthermore, preoperative CHD is associated with </w:t>
      </w:r>
      <w:r w:rsidR="00ED6409">
        <w:rPr>
          <w:rFonts w:ascii="Book Antiqua" w:eastAsia="Book Antiqua" w:hAnsi="Book Antiqua" w:cs="Book Antiqua"/>
          <w:color w:val="000000"/>
          <w:shd w:val="clear" w:color="auto" w:fill="FFFFFF"/>
        </w:rPr>
        <w:t xml:space="preserve">an </w:t>
      </w:r>
      <w:r w:rsidRPr="00AE0331">
        <w:rPr>
          <w:rFonts w:ascii="Book Antiqua" w:eastAsia="Book Antiqua" w:hAnsi="Book Antiqua" w:cs="Book Antiqua"/>
          <w:color w:val="000000"/>
          <w:shd w:val="clear" w:color="auto" w:fill="FFFFFF"/>
        </w:rPr>
        <w:t>approximately 6-fold increased odds of reintubation following surgery under general anesthesia</w:t>
      </w:r>
      <w:r w:rsidRPr="00AE0331">
        <w:rPr>
          <w:rFonts w:ascii="Book Antiqua" w:eastAsia="Book Antiqua" w:hAnsi="Book Antiqua" w:cs="Book Antiqua"/>
          <w:color w:val="000000"/>
          <w:shd w:val="clear" w:color="auto" w:fill="FFFFFF"/>
          <w:vertAlign w:val="superscript"/>
        </w:rPr>
        <w:t>[</w:t>
      </w:r>
      <w:hyperlink w:anchor="_ENREF_6" w:tooltip="Wang, 2017 #6" w:history="1">
        <w:r w:rsidRPr="00AE0331">
          <w:rPr>
            <w:rFonts w:ascii="Book Antiqua" w:eastAsia="Book Antiqua" w:hAnsi="Book Antiqua" w:cs="Book Antiqua"/>
            <w:color w:val="000000"/>
            <w:shd w:val="clear" w:color="auto" w:fill="FFFFFF"/>
            <w:vertAlign w:val="superscript"/>
          </w:rPr>
          <w:t>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It is thus essential to utilize strategies that maintain hemodynamic stability, adequate oxygenation and a good analgesic effect while minimizing the risk of perioperative ischemia, and this requires a multidisciplinary approach</w:t>
      </w:r>
      <w:r w:rsidRPr="00AE0331">
        <w:rPr>
          <w:rFonts w:ascii="Book Antiqua" w:eastAsia="Book Antiqua" w:hAnsi="Book Antiqua" w:cs="Book Antiqua"/>
          <w:color w:val="000000"/>
          <w:shd w:val="clear" w:color="auto" w:fill="FFFFFF"/>
          <w:vertAlign w:val="superscript"/>
        </w:rPr>
        <w:t>[</w:t>
      </w:r>
      <w:hyperlink w:anchor="_ENREF_7" w:tooltip="Fellahi, 2018 #7" w:history="1">
        <w:r w:rsidRPr="00AE0331">
          <w:rPr>
            <w:rFonts w:ascii="Book Antiqua" w:eastAsia="Book Antiqua" w:hAnsi="Book Antiqua" w:cs="Book Antiqua"/>
            <w:color w:val="000000"/>
            <w:shd w:val="clear" w:color="auto" w:fill="FFFFFF"/>
            <w:vertAlign w:val="superscript"/>
          </w:rPr>
          <w:t>7-9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w:t>
      </w:r>
      <w:r w:rsidRPr="00AE0331">
        <w:rPr>
          <w:rStyle w:val="apple-converted-space"/>
          <w:rFonts w:ascii="Book Antiqua" w:eastAsia="Book Antiqua" w:hAnsi="Book Antiqua" w:cs="Book Antiqua"/>
          <w:color w:val="000000"/>
          <w:shd w:val="clear" w:color="auto" w:fill="FFFFFF"/>
        </w:rPr>
        <w:t xml:space="preserve"> Recommendations have been made regarding the perioperative medical management of CHD in patients undergoing noncardiac surgery</w:t>
      </w:r>
      <w:r w:rsidRPr="00AE0331">
        <w:rPr>
          <w:rStyle w:val="apple-converted-space"/>
          <w:rFonts w:ascii="Book Antiqua" w:eastAsia="Book Antiqua" w:hAnsi="Book Antiqua" w:cs="Book Antiqua"/>
          <w:color w:val="000000"/>
          <w:shd w:val="clear" w:color="auto" w:fill="FFFFFF"/>
          <w:vertAlign w:val="superscript"/>
        </w:rPr>
        <w:t>[</w:t>
      </w:r>
      <w:hyperlink w:anchor="_ENREF_10" w:tooltip="Feringa, 2007 #10" w:history="1">
        <w:r w:rsidRPr="00AE0331">
          <w:rPr>
            <w:rStyle w:val="apple-converted-space"/>
            <w:rFonts w:ascii="Book Antiqua" w:eastAsia="Book Antiqua" w:hAnsi="Book Antiqua" w:cs="Book Antiqua"/>
            <w:color w:val="000000"/>
            <w:shd w:val="clear" w:color="auto" w:fill="FFFFFF"/>
            <w:vertAlign w:val="superscript"/>
          </w:rPr>
          <w:t>10</w:t>
        </w:r>
      </w:hyperlink>
      <w:r w:rsidRPr="00AE0331">
        <w:rPr>
          <w:rStyle w:val="apple-converted-space"/>
          <w:rFonts w:ascii="Book Antiqua" w:eastAsia="Book Antiqua" w:hAnsi="Book Antiqua" w:cs="Book Antiqua"/>
          <w:color w:val="000000"/>
          <w:shd w:val="clear" w:color="auto" w:fill="FFFFFF"/>
          <w:vertAlign w:val="superscript"/>
        </w:rPr>
        <w:t>]</w:t>
      </w:r>
      <w:r w:rsidRPr="00AE0331">
        <w:rPr>
          <w:rStyle w:val="apple-converted-space"/>
          <w:rFonts w:ascii="Book Antiqua" w:eastAsia="Book Antiqua" w:hAnsi="Book Antiqua" w:cs="Book Antiqua"/>
          <w:color w:val="000000"/>
          <w:shd w:val="clear" w:color="auto" w:fill="FFFFFF"/>
        </w:rPr>
        <w:t>. The type of anesthesia used may also affect perioperative cardiac outcomes in patients</w:t>
      </w:r>
      <w:r w:rsidRPr="00AE0331">
        <w:rPr>
          <w:rStyle w:val="apple-converted-space"/>
          <w:rFonts w:ascii="Book Antiqua" w:eastAsia="Book Antiqua" w:hAnsi="Book Antiqua" w:cs="Book Antiqua"/>
          <w:color w:val="000000"/>
          <w:shd w:val="clear" w:color="auto" w:fill="FFFFFF"/>
          <w:vertAlign w:val="superscript"/>
        </w:rPr>
        <w:t>[</w:t>
      </w:r>
      <w:hyperlink w:anchor="_ENREF_11" w:tooltip="Gal, 2006 #11" w:history="1">
        <w:r w:rsidRPr="00AE0331">
          <w:rPr>
            <w:rStyle w:val="apple-converted-space"/>
            <w:rFonts w:ascii="Book Antiqua" w:eastAsia="Book Antiqua" w:hAnsi="Book Antiqua" w:cs="Book Antiqua"/>
            <w:color w:val="000000"/>
            <w:shd w:val="clear" w:color="auto" w:fill="FFFFFF"/>
            <w:vertAlign w:val="superscript"/>
          </w:rPr>
          <w:t>11</w:t>
        </w:r>
      </w:hyperlink>
      <w:r w:rsidRPr="00AE0331">
        <w:rPr>
          <w:rStyle w:val="apple-converted-space"/>
          <w:rFonts w:ascii="Book Antiqua" w:eastAsia="Book Antiqua" w:hAnsi="Book Antiqua" w:cs="Book Antiqua"/>
          <w:color w:val="000000"/>
          <w:shd w:val="clear" w:color="auto" w:fill="FFFFFF"/>
          <w:vertAlign w:val="superscript"/>
        </w:rPr>
        <w:t>]</w:t>
      </w:r>
      <w:r w:rsidRPr="00AE0331">
        <w:rPr>
          <w:rStyle w:val="apple-converted-space"/>
          <w:rFonts w:ascii="Book Antiqua" w:eastAsia="Book Antiqua" w:hAnsi="Book Antiqua" w:cs="Book Antiqua"/>
          <w:color w:val="000000"/>
          <w:shd w:val="clear" w:color="auto" w:fill="FFFFFF"/>
        </w:rPr>
        <w:t>.</w:t>
      </w:r>
    </w:p>
    <w:p w14:paraId="56AFC969" w14:textId="397FD25D"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Propofol is an intravenous anesthetic agent that is widely used for the induction and maintenance of general anesthesia. However, propofol has various effects on the cardiovascular system including a decrease in blood pressure</w:t>
      </w:r>
      <w:r w:rsidRPr="00AE0331">
        <w:rPr>
          <w:rFonts w:ascii="Book Antiqua" w:eastAsia="Book Antiqua" w:hAnsi="Book Antiqua" w:cs="Book Antiqua"/>
          <w:color w:val="000000"/>
          <w:shd w:val="clear" w:color="auto" w:fill="FFFFFF"/>
          <w:vertAlign w:val="superscript"/>
        </w:rPr>
        <w:t>[</w:t>
      </w:r>
      <w:hyperlink w:anchor="_ENREF_12" w:tooltip="Farhan, 2015 #12" w:history="1">
        <w:r w:rsidRPr="00AE0331">
          <w:rPr>
            <w:rFonts w:ascii="Book Antiqua" w:eastAsia="Book Antiqua" w:hAnsi="Book Antiqua" w:cs="Book Antiqua"/>
            <w:color w:val="000000"/>
            <w:shd w:val="clear" w:color="auto" w:fill="FFFFFF"/>
            <w:vertAlign w:val="superscript"/>
          </w:rPr>
          <w:t>12-14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impaired cardiac contraction</w:t>
      </w:r>
      <w:r w:rsidRPr="00AE0331">
        <w:rPr>
          <w:rFonts w:ascii="Book Antiqua" w:eastAsia="Book Antiqua" w:hAnsi="Book Antiqua" w:cs="Book Antiqua"/>
          <w:color w:val="000000"/>
          <w:shd w:val="clear" w:color="auto" w:fill="FFFFFF"/>
          <w:vertAlign w:val="superscript"/>
        </w:rPr>
        <w:t>[</w:t>
      </w:r>
      <w:hyperlink w:anchor="_ENREF_15" w:tooltip="Yang, 2013 #16" w:history="1">
        <w:r w:rsidRPr="00AE0331">
          <w:rPr>
            <w:rFonts w:ascii="Book Antiqua" w:eastAsia="Book Antiqua" w:hAnsi="Book Antiqua" w:cs="Book Antiqua"/>
            <w:color w:val="000000"/>
            <w:shd w:val="clear" w:color="auto" w:fill="FFFFFF"/>
            <w:vertAlign w:val="superscript"/>
          </w:rPr>
          <w:t>15</w:t>
        </w:r>
      </w:hyperlink>
      <w:r w:rsidR="00ED6409" w:rsidRPr="00AE0331">
        <w:rPr>
          <w:rFonts w:ascii="Book Antiqua" w:eastAsia="Book Antiqua" w:hAnsi="Book Antiqua" w:cs="Book Antiqua"/>
          <w:color w:val="000000"/>
          <w:shd w:val="clear" w:color="auto" w:fill="FFFFFF"/>
          <w:vertAlign w:val="superscript"/>
        </w:rPr>
        <w:t>]</w:t>
      </w:r>
      <w:r w:rsidR="00ED6409">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and (rarely) the induction of arrhythmia</w:t>
      </w:r>
      <w:r w:rsidRPr="00AE0331">
        <w:rPr>
          <w:rFonts w:ascii="Book Antiqua" w:eastAsia="Book Antiqua" w:hAnsi="Book Antiqua" w:cs="Book Antiqua"/>
          <w:color w:val="000000"/>
          <w:shd w:val="clear" w:color="auto" w:fill="FFFFFF"/>
          <w:vertAlign w:val="superscript"/>
        </w:rPr>
        <w:t>[</w:t>
      </w:r>
      <w:hyperlink w:anchor="_ENREF_16" w:tooltip="Wutzler, 2018 #17" w:history="1">
        <w:r w:rsidRPr="00AE0331">
          <w:rPr>
            <w:rFonts w:ascii="Book Antiqua" w:eastAsia="Book Antiqua" w:hAnsi="Book Antiqua" w:cs="Book Antiqua"/>
            <w:color w:val="000000"/>
            <w:shd w:val="clear" w:color="auto" w:fill="FFFFFF"/>
            <w:vertAlign w:val="superscript"/>
          </w:rPr>
          <w:t>16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Propofol has also been reported to compromise cardiovascular function in patients with CHD</w:t>
      </w:r>
      <w:r w:rsidRPr="00AE0331">
        <w:rPr>
          <w:rFonts w:ascii="Book Antiqua" w:eastAsia="Book Antiqua" w:hAnsi="Book Antiqua" w:cs="Book Antiqua"/>
          <w:color w:val="000000"/>
          <w:shd w:val="clear" w:color="auto" w:fill="FFFFFF"/>
          <w:vertAlign w:val="superscript"/>
        </w:rPr>
        <w:t>[</w:t>
      </w:r>
      <w:hyperlink w:anchor="_ENREF_17" w:tooltip="Baumert, 2008 #18" w:history="1">
        <w:r w:rsidRPr="00AE0331">
          <w:rPr>
            <w:rFonts w:ascii="Book Antiqua" w:eastAsia="Book Antiqua" w:hAnsi="Book Antiqua" w:cs="Book Antiqua"/>
            <w:color w:val="000000"/>
            <w:shd w:val="clear" w:color="auto" w:fill="FFFFFF"/>
            <w:vertAlign w:val="superscript"/>
          </w:rPr>
          <w:t>17</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A study of 12 patients with CHD found that propofol anesthesia was associated with an increase in heart rate, reductions in arterial blood pressure, myocardial blood flow</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myocardial oxygen consumption, and in one patient an elevation in myocardial lactate production</w:t>
      </w:r>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This latter finding and the observation of ischemic </w:t>
      </w:r>
      <w:r w:rsidR="00BC48DA" w:rsidRPr="00BC48DA">
        <w:rPr>
          <w:rFonts w:ascii="Book Antiqua" w:eastAsia="Book Antiqua" w:hAnsi="Book Antiqua" w:cs="Book Antiqua"/>
          <w:color w:val="000000"/>
          <w:shd w:val="clear" w:color="auto" w:fill="FFFFFF"/>
        </w:rPr>
        <w:t>electrocardiogram</w:t>
      </w:r>
      <w:r w:rsidR="00BC48DA" w:rsidRPr="00AE0331">
        <w:rPr>
          <w:rFonts w:ascii="Book Antiqua" w:eastAsia="Book Antiqua" w:hAnsi="Book Antiqua" w:cs="Book Antiqua"/>
          <w:color w:val="000000"/>
          <w:shd w:val="clear" w:color="auto" w:fill="FFFFFF"/>
        </w:rPr>
        <w:t xml:space="preserve"> </w:t>
      </w:r>
      <w:r w:rsidR="00BC48DA">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ECG</w:t>
      </w:r>
      <w:r w:rsidR="00BC48DA">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changes </w:t>
      </w:r>
      <w:r w:rsidRPr="00AE0331">
        <w:rPr>
          <w:rFonts w:ascii="Book Antiqua" w:eastAsia="Book Antiqua" w:hAnsi="Book Antiqua" w:cs="Book Antiqua"/>
          <w:color w:val="000000"/>
          <w:shd w:val="clear" w:color="auto" w:fill="FFFFFF"/>
        </w:rPr>
        <w:lastRenderedPageBreak/>
        <w:t>during propofol anesthesia</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suggest that propofol can induce myocardial ischemia in at-risk patients. </w:t>
      </w:r>
    </w:p>
    <w:p w14:paraId="30CEB848" w14:textId="781922AC"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Etomidate is an alternative intravenous anesthetic agent that has a rapid onset and a short duration of action. There is published evidence that etomidate may have smaller effects on the cardiovascular system than propofol. For example, when compared with propofol, etomidate has been reported to cause smaller reductions in blood pressure, heart rate, arterial elastance</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systemic vascular resistance during the induction of anesthesia</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0" w:tooltip="Haessler, 1992 #20" w:history="1">
        <w:r w:rsidRPr="00AE0331">
          <w:rPr>
            <w:rFonts w:ascii="Book Antiqua" w:eastAsia="Book Antiqua" w:hAnsi="Book Antiqua" w:cs="Book Antiqua"/>
            <w:color w:val="000000"/>
            <w:vertAlign w:val="superscript"/>
          </w:rPr>
          <w:t>20</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However, some studies have concluded that propofol may have advantages over etomidate with regard to minimizing the stress response and alleviating ischemic ECG changes</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1" w:tooltip="Singh, 2010 #22" w:history="1">
        <w:r w:rsidRPr="00AE0331">
          <w:rPr>
            <w:rFonts w:ascii="Book Antiqua" w:eastAsia="Book Antiqua" w:hAnsi="Book Antiqua" w:cs="Book Antiqua"/>
            <w:color w:val="000000"/>
            <w:vertAlign w:val="superscript"/>
          </w:rPr>
          <w:t>21</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Thus, further research is needed to establish which of these agents is preferable in patients with CHD.</w:t>
      </w:r>
    </w:p>
    <w:p w14:paraId="058074A8" w14:textId="7777777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The aim of the present study was to compare hemodynamic function and cardiovascular event rate between etomidate- and propofol-based anesthesia in patients with CHD undergoing major noncardiac surgery.</w:t>
      </w:r>
    </w:p>
    <w:p w14:paraId="2C0803FC" w14:textId="77777777" w:rsidR="00A77B3E" w:rsidRPr="00AE0331" w:rsidRDefault="00A77B3E" w:rsidP="00592FA5">
      <w:pPr>
        <w:spacing w:line="360" w:lineRule="auto"/>
        <w:ind w:firstLine="480"/>
        <w:jc w:val="both"/>
        <w:rPr>
          <w:rFonts w:ascii="Book Antiqua" w:hAnsi="Book Antiqua"/>
        </w:rPr>
      </w:pPr>
    </w:p>
    <w:p w14:paraId="4A8DA1CE" w14:textId="77777777" w:rsidR="00A77B3E" w:rsidRPr="00536780" w:rsidRDefault="00682851" w:rsidP="00592FA5">
      <w:pPr>
        <w:spacing w:line="360" w:lineRule="auto"/>
        <w:jc w:val="both"/>
        <w:rPr>
          <w:rFonts w:ascii="Book Antiqua" w:hAnsi="Book Antiqua"/>
          <w:u w:val="single"/>
        </w:rPr>
      </w:pPr>
      <w:r w:rsidRPr="00536780">
        <w:rPr>
          <w:rFonts w:ascii="Book Antiqua" w:eastAsia="Book Antiqua" w:hAnsi="Book Antiqua" w:cs="Book Antiqua"/>
          <w:b/>
          <w:caps/>
          <w:color w:val="000000"/>
          <w:u w:val="single"/>
        </w:rPr>
        <w:t>MATERIALS AND METHODS</w:t>
      </w:r>
    </w:p>
    <w:p w14:paraId="36852BB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shd w:val="clear" w:color="auto" w:fill="FFFFFF"/>
        </w:rPr>
        <w:t>Study design and patients</w:t>
      </w:r>
    </w:p>
    <w:p w14:paraId="2DEAB0B9" w14:textId="17CF38A3"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randomized clinical trial enrolled consecutive patients with stable CHD undergoing major noncardiac surgery at the Department of Anesthesiology, Shenzhen People’s Hospital, Guangdong</w:t>
      </w:r>
      <w:r w:rsidR="00E13F4B" w:rsidRPr="00AE0331">
        <w:rPr>
          <w:rFonts w:ascii="Book Antiqua" w:eastAsia="Book Antiqua" w:hAnsi="Book Antiqua" w:cs="Book Antiqua"/>
          <w:color w:val="000000"/>
          <w:shd w:val="clear" w:color="auto" w:fill="FFFFFF"/>
        </w:rPr>
        <w:t xml:space="preserve"> Province</w:t>
      </w:r>
      <w:r w:rsidRPr="00AE0331">
        <w:rPr>
          <w:rFonts w:ascii="Book Antiqua" w:eastAsia="Book Antiqua" w:hAnsi="Book Antiqua" w:cs="Book Antiqua"/>
          <w:color w:val="000000"/>
          <w:shd w:val="clear" w:color="auto" w:fill="FFFFFF"/>
        </w:rPr>
        <w:t>, China between</w:t>
      </w:r>
      <w:r w:rsidRPr="00AE0331">
        <w:rPr>
          <w:rFonts w:ascii="Book Antiqua" w:eastAsia="Book Antiqua" w:hAnsi="Book Antiqua" w:cs="Book Antiqua"/>
          <w:color w:val="000000"/>
        </w:rPr>
        <w:t xml:space="preserve"> July 2014 and December 2015. The inclusion criteria were: </w:t>
      </w:r>
      <w:r w:rsidR="00E13F4B"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1) </w:t>
      </w:r>
      <w:r w:rsidR="00ED6409">
        <w:rPr>
          <w:rFonts w:ascii="Book Antiqua" w:eastAsia="Book Antiqua" w:hAnsi="Book Antiqua" w:cs="Book Antiqua"/>
          <w:color w:val="000000"/>
          <w:shd w:val="clear" w:color="auto" w:fill="FFFFFF"/>
        </w:rPr>
        <w:t>A</w:t>
      </w:r>
      <w:r w:rsidR="00ED6409" w:rsidRPr="00AE0331">
        <w:rPr>
          <w:rFonts w:ascii="Book Antiqua" w:eastAsia="Book Antiqua" w:hAnsi="Book Antiqua" w:cs="Book Antiqua"/>
          <w:color w:val="000000"/>
          <w:shd w:val="clear" w:color="auto" w:fill="FFFFFF"/>
        </w:rPr>
        <w:t xml:space="preserve">ge </w:t>
      </w:r>
      <w:r w:rsidRPr="00AE0331">
        <w:rPr>
          <w:rFonts w:ascii="Book Antiqua" w:eastAsia="Book Antiqua" w:hAnsi="Book Antiqua" w:cs="Book Antiqua"/>
          <w:color w:val="000000"/>
          <w:shd w:val="clear" w:color="auto" w:fill="FFFFFF"/>
        </w:rPr>
        <w:t>52</w:t>
      </w:r>
      <w:r w:rsidR="00B54AC7">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88 years;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2) American Society of Anesthesiologists grade II or III;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3) a clinical history of stable angina pectoris or myocardial infarction;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4) angiographically-confirmed stenosis of &gt;</w:t>
      </w:r>
      <w:r w:rsidR="00E13F4B"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50% in at least one coronary artery;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5) cardiac function graded as New York Heart Association</w:t>
      </w:r>
      <w:r w:rsidR="00E13F4B"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class I or II;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6) scheduled for major gastrointestinal, hepatobiliary</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thyroid surgery; and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7) expected duration of hospitalization ≥ 24 h. The exclusion criteria were: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1) </w:t>
      </w:r>
      <w:r w:rsidR="00ED6409">
        <w:rPr>
          <w:rFonts w:ascii="Book Antiqua" w:eastAsia="Book Antiqua" w:hAnsi="Book Antiqua" w:cs="Book Antiqua"/>
          <w:color w:val="000000"/>
          <w:shd w:val="clear" w:color="auto" w:fill="FFFFFF"/>
        </w:rPr>
        <w:t>S</w:t>
      </w:r>
      <w:r w:rsidR="00ED6409" w:rsidRPr="00AE0331">
        <w:rPr>
          <w:rFonts w:ascii="Book Antiqua" w:eastAsia="Book Antiqua" w:hAnsi="Book Antiqua" w:cs="Book Antiqua"/>
          <w:color w:val="000000"/>
          <w:shd w:val="clear" w:color="auto" w:fill="FFFFFF"/>
        </w:rPr>
        <w:t xml:space="preserve">cheduled </w:t>
      </w:r>
      <w:r w:rsidRPr="00AE0331">
        <w:rPr>
          <w:rFonts w:ascii="Book Antiqua" w:eastAsia="Book Antiqua" w:hAnsi="Book Antiqua" w:cs="Book Antiqua"/>
          <w:color w:val="000000"/>
          <w:shd w:val="clear" w:color="auto" w:fill="FFFFFF"/>
        </w:rPr>
        <w:t xml:space="preserve">for emergency surgery or cardiac surgery;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2) congenital heart disease, rheumatic heart disease, cardiomyopathy, valvular disease</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significant left ventricular hypertrophy;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3) myocardial infarction, percutaneous coronary intervention</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other serious cardiopulmonary dysfunction in </w:t>
      </w:r>
      <w:r w:rsidRPr="00AE0331">
        <w:rPr>
          <w:rFonts w:ascii="Book Antiqua" w:eastAsia="Book Antiqua" w:hAnsi="Book Antiqua" w:cs="Book Antiqua"/>
          <w:color w:val="000000"/>
          <w:shd w:val="clear" w:color="auto" w:fill="FFFFFF"/>
        </w:rPr>
        <w:lastRenderedPageBreak/>
        <w:t xml:space="preserve">the previous </w:t>
      </w:r>
      <w:r w:rsidR="00ED6409">
        <w:rPr>
          <w:rFonts w:ascii="Book Antiqua" w:eastAsia="Book Antiqua" w:hAnsi="Book Antiqua" w:cs="Book Antiqua"/>
          <w:color w:val="000000"/>
          <w:shd w:val="clear" w:color="auto" w:fill="FFFFFF"/>
        </w:rPr>
        <w:t>3</w:t>
      </w:r>
      <w:r w:rsidR="00ED6409"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mo;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4) dysfunction of the liver, kidney</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adrenal cortex;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5) history of abnormal bleeding;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6) adverse reactions to propofol or etomidate;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7) implanted cardiac pacemaker;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8) hypertension of grade 3 or above;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9) hypotension or shock;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10) body mass index &gt; 30 kg/m</w:t>
      </w:r>
      <w:r w:rsidRPr="00AE0331">
        <w:rPr>
          <w:rFonts w:ascii="Book Antiqua" w:eastAsia="Book Antiqua" w:hAnsi="Book Antiqua" w:cs="Book Antiqua"/>
          <w:color w:val="000000"/>
          <w:shd w:val="clear" w:color="auto" w:fill="FFFFFF"/>
          <w:vertAlign w:val="superscript"/>
        </w:rPr>
        <w:t>2</w:t>
      </w:r>
      <w:r w:rsidRPr="00AE0331">
        <w:rPr>
          <w:rFonts w:ascii="Book Antiqua" w:eastAsia="Book Antiqua" w:hAnsi="Book Antiqua" w:cs="Book Antiqua"/>
          <w:color w:val="000000"/>
          <w:shd w:val="clear" w:color="auto" w:fill="FFFFFF"/>
        </w:rPr>
        <w:t xml:space="preserve">; and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11)</w:t>
      </w:r>
      <w:r w:rsidRPr="00AE0331">
        <w:rPr>
          <w:rFonts w:ascii="Book Antiqua" w:eastAsia="Book Antiqua" w:hAnsi="Book Antiqua" w:cs="Book Antiqua"/>
          <w:color w:val="000000"/>
        </w:rPr>
        <w:t xml:space="preserve"> participation in another study that might interfere with the endpoints of the current trial.</w:t>
      </w:r>
      <w:r w:rsidRPr="00AE0331">
        <w:rPr>
          <w:rFonts w:ascii="Book Antiqua" w:eastAsia="Book Antiqua" w:hAnsi="Book Antiqua" w:cs="Book Antiqua"/>
          <w:color w:val="000000"/>
          <w:shd w:val="clear" w:color="auto" w:fill="FFFFFF"/>
        </w:rPr>
        <w:t xml:space="preserve"> </w:t>
      </w:r>
    </w:p>
    <w:p w14:paraId="1F8A6740" w14:textId="08676BBA"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 xml:space="preserve">The study was approved by the Ethics Committee of Shenzhen People’s Hospital (LL-KT-2014211) and conducted according to the Declaration of Helsinki. </w:t>
      </w:r>
      <w:r w:rsidRPr="00AE0331">
        <w:rPr>
          <w:rFonts w:ascii="Book Antiqua" w:eastAsia="Book Antiqua" w:hAnsi="Book Antiqua" w:cs="Book Antiqua"/>
          <w:color w:val="000000"/>
        </w:rPr>
        <w:t>All patients provided written informed consent after having been provided with detailed information about the study aims, procedu</w:t>
      </w:r>
      <w:r w:rsidRPr="00AE0331">
        <w:rPr>
          <w:rFonts w:ascii="Book Antiqua" w:eastAsia="Book Antiqua" w:hAnsi="Book Antiqua" w:cs="Book Antiqua"/>
          <w:color w:val="000000"/>
        </w:rPr>
        <w:t>res</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w:t>
      </w:r>
      <w:r w:rsidRPr="00AE0331">
        <w:rPr>
          <w:rFonts w:ascii="Book Antiqua" w:eastAsia="Book Antiqua" w:hAnsi="Book Antiqua" w:cs="Book Antiqua"/>
          <w:color w:val="000000"/>
        </w:rPr>
        <w:t xml:space="preserve">risks. ChiCTR1900025174. </w:t>
      </w:r>
      <w:r w:rsidR="003C5A65" w:rsidRPr="003C5A65">
        <w:rPr>
          <w:rFonts w:ascii="Book Antiqua" w:eastAsia="Book Antiqua" w:hAnsi="Book Antiqua" w:cs="Book Antiqua"/>
          <w:color w:val="000000"/>
        </w:rPr>
        <w:t>The trial was registered in Chinese Clinical Trial Registry</w:t>
      </w:r>
      <w:r w:rsidR="003C5A65">
        <w:rPr>
          <w:rFonts w:ascii="Book Antiqua" w:eastAsia="Book Antiqua" w:hAnsi="Book Antiqua" w:cs="Book Antiqua"/>
          <w:color w:val="000000"/>
        </w:rPr>
        <w:t xml:space="preserve"> on </w:t>
      </w:r>
      <w:r w:rsidRPr="00AE0331">
        <w:rPr>
          <w:rFonts w:ascii="Book Antiqua" w:eastAsia="Book Antiqua" w:hAnsi="Book Antiqua" w:cs="Book Antiqua"/>
          <w:color w:val="000000"/>
        </w:rPr>
        <w:t>August</w:t>
      </w:r>
      <w:r w:rsidR="003C5A65">
        <w:rPr>
          <w:rFonts w:ascii="Book Antiqua" w:eastAsia="Book Antiqua" w:hAnsi="Book Antiqua" w:cs="Book Antiqua"/>
          <w:color w:val="000000"/>
        </w:rPr>
        <w:t xml:space="preserve"> 15,</w:t>
      </w:r>
      <w:r w:rsidRPr="00AE0331">
        <w:rPr>
          <w:rFonts w:ascii="Book Antiqua" w:eastAsia="Book Antiqua" w:hAnsi="Book Antiqua" w:cs="Book Antiqua"/>
          <w:color w:val="000000"/>
        </w:rPr>
        <w:t xml:space="preserve"> 2019</w:t>
      </w:r>
      <w:r w:rsidR="003C5A65">
        <w:rPr>
          <w:rFonts w:ascii="Book Antiqua" w:eastAsia="Book Antiqua" w:hAnsi="Book Antiqua" w:cs="Book Antiqua"/>
          <w:color w:val="000000"/>
        </w:rPr>
        <w:t xml:space="preserve"> (</w:t>
      </w:r>
      <w:r w:rsidR="003C5A65" w:rsidRPr="00AE0331">
        <w:rPr>
          <w:rFonts w:ascii="Book Antiqua" w:eastAsia="Book Antiqua" w:hAnsi="Book Antiqua" w:cs="Book Antiqua"/>
          <w:color w:val="000000"/>
        </w:rPr>
        <w:t>ChiCTR1900025174</w:t>
      </w:r>
      <w:r w:rsidR="003C5A65">
        <w:rPr>
          <w:rFonts w:ascii="Book Antiqua" w:eastAsia="Book Antiqua" w:hAnsi="Book Antiqua" w:cs="Book Antiqua"/>
          <w:color w:val="000000"/>
        </w:rPr>
        <w:t>) and is available at</w:t>
      </w:r>
      <w:r w:rsidRPr="00AE0331">
        <w:rPr>
          <w:rFonts w:ascii="Book Antiqua" w:eastAsia="Book Antiqua" w:hAnsi="Book Antiqua" w:cs="Book Antiqua"/>
          <w:color w:val="000000"/>
        </w:rPr>
        <w:t xml:space="preserve"> http://www.chictr.org.cn/showproj.aspx?proj=42063</w:t>
      </w:r>
      <w:r w:rsidR="009B46A2" w:rsidRPr="00AE0331">
        <w:rPr>
          <w:rFonts w:ascii="Book Antiqua" w:eastAsia="Book Antiqua" w:hAnsi="Book Antiqua" w:cs="Book Antiqua"/>
          <w:color w:val="000000"/>
        </w:rPr>
        <w:t>.</w:t>
      </w:r>
    </w:p>
    <w:p w14:paraId="1BA7C503" w14:textId="77777777" w:rsidR="00A77B3E" w:rsidRPr="00AE0331" w:rsidRDefault="00A77B3E" w:rsidP="00592FA5">
      <w:pPr>
        <w:spacing w:line="360" w:lineRule="auto"/>
        <w:ind w:firstLine="480"/>
        <w:jc w:val="both"/>
        <w:rPr>
          <w:rFonts w:ascii="Book Antiqua" w:hAnsi="Book Antiqua"/>
        </w:rPr>
      </w:pPr>
    </w:p>
    <w:p w14:paraId="0E3DD7D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Randomization and grouping</w:t>
      </w:r>
    </w:p>
    <w:p w14:paraId="758EEF9B" w14:textId="03BC740D" w:rsidR="00A77B3E" w:rsidRPr="00AE0331" w:rsidRDefault="00ED6409" w:rsidP="00592FA5">
      <w:pPr>
        <w:spacing w:line="360" w:lineRule="auto"/>
        <w:jc w:val="both"/>
        <w:rPr>
          <w:rFonts w:ascii="Book Antiqua" w:hAnsi="Book Antiqua"/>
        </w:rPr>
      </w:pPr>
      <w:r>
        <w:rPr>
          <w:rFonts w:ascii="Book Antiqua" w:eastAsia="Book Antiqua" w:hAnsi="Book Antiqua" w:cs="Book Antiqua"/>
          <w:color w:val="000000"/>
        </w:rPr>
        <w:t>The p</w:t>
      </w:r>
      <w:r w:rsidRPr="00AE0331">
        <w:rPr>
          <w:rFonts w:ascii="Book Antiqua" w:eastAsia="Book Antiqua" w:hAnsi="Book Antiqua" w:cs="Book Antiqua"/>
          <w:color w:val="000000"/>
        </w:rPr>
        <w:t xml:space="preserve">atients </w:t>
      </w:r>
      <w:r w:rsidR="00682851" w:rsidRPr="00AE0331">
        <w:rPr>
          <w:rFonts w:ascii="Book Antiqua" w:eastAsia="Book Antiqua" w:hAnsi="Book Antiqua" w:cs="Book Antiqua"/>
          <w:color w:val="000000"/>
        </w:rPr>
        <w:t>were randomly allocated to receive either etomidate/remifentanil-based or propofol/remifentanil-based general anesthesia. Randomization was performed using a computer-generated random number table and sequentially numbered, opaque, sealed envelopes. Concealment was maintained until the patient had arrived in the operating theater, at which point the consulting anesthetist opened the envelope. All patients, data collectors</w:t>
      </w:r>
      <w:r>
        <w:rPr>
          <w:rFonts w:ascii="Book Antiqua" w:eastAsia="Book Antiqua" w:hAnsi="Book Antiqua" w:cs="Book Antiqua"/>
          <w:color w:val="000000"/>
        </w:rPr>
        <w:t>,</w:t>
      </w:r>
      <w:r w:rsidR="00682851" w:rsidRPr="00AE0331">
        <w:rPr>
          <w:rFonts w:ascii="Book Antiqua" w:eastAsia="Book Antiqua" w:hAnsi="Book Antiqua" w:cs="Book Antiqua"/>
          <w:color w:val="000000"/>
        </w:rPr>
        <w:t xml:space="preserve"> and data analyzers were blinded to the type of anesthesia used.</w:t>
      </w:r>
    </w:p>
    <w:p w14:paraId="078B019A" w14:textId="77777777" w:rsidR="00A77B3E" w:rsidRPr="00AE0331" w:rsidRDefault="00A77B3E" w:rsidP="00592FA5">
      <w:pPr>
        <w:spacing w:line="360" w:lineRule="auto"/>
        <w:jc w:val="both"/>
        <w:rPr>
          <w:rFonts w:ascii="Book Antiqua" w:hAnsi="Book Antiqua"/>
        </w:rPr>
      </w:pPr>
    </w:p>
    <w:p w14:paraId="7AC920D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Calculation of sample size</w:t>
      </w:r>
    </w:p>
    <w:p w14:paraId="10FD1B1E" w14:textId="4CCF6F36"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For this superiority trial, a 10% difference in the rate of myocardial ischemia between groups was regarded as clinically relevant based on previous studies</w:t>
      </w:r>
      <w:r w:rsidRPr="00AE0331">
        <w:rPr>
          <w:rFonts w:ascii="Book Antiqua" w:eastAsia="Book Antiqua" w:hAnsi="Book Antiqua" w:cs="Book Antiqua"/>
          <w:color w:val="000000"/>
          <w:vertAlign w:val="superscript"/>
        </w:rPr>
        <w:t>[</w:t>
      </w:r>
      <w:hyperlink w:anchor="_ENREF_9" w:tooltip="Sear, 2002 #9" w:history="1">
        <w:r w:rsidRPr="00AE0331">
          <w:rPr>
            <w:rFonts w:ascii="Book Antiqua" w:eastAsia="Book Antiqua" w:hAnsi="Book Antiqua" w:cs="Book Antiqua"/>
            <w:color w:val="000000"/>
            <w:vertAlign w:val="superscript"/>
          </w:rPr>
          <w:t>9</w:t>
        </w:r>
      </w:hyperlink>
      <w:r w:rsidRPr="00AE0331">
        <w:rPr>
          <w:rFonts w:ascii="Book Antiqua" w:eastAsia="Book Antiqua" w:hAnsi="Book Antiqua" w:cs="Book Antiqua"/>
          <w:color w:val="000000"/>
          <w:vertAlign w:val="superscript"/>
        </w:rPr>
        <w:t>,</w:t>
      </w:r>
      <w:hyperlink w:anchor="_ENREF_13" w:tooltip="Pensado, 1994 #14" w:history="1">
        <w:r w:rsidRPr="00AE0331">
          <w:rPr>
            <w:rFonts w:ascii="Book Antiqua" w:eastAsia="Book Antiqua" w:hAnsi="Book Antiqua" w:cs="Book Antiqua"/>
            <w:color w:val="000000"/>
            <w:vertAlign w:val="superscript"/>
          </w:rPr>
          <w:t>13</w:t>
        </w:r>
      </w:hyperlink>
      <w:r w:rsidRPr="00AE0331">
        <w:rPr>
          <w:rFonts w:ascii="Book Antiqua" w:eastAsia="Book Antiqua" w:hAnsi="Book Antiqua" w:cs="Book Antiqua"/>
          <w:color w:val="000000"/>
          <w:vertAlign w:val="superscript"/>
        </w:rPr>
        <w:t>,</w:t>
      </w:r>
      <w:hyperlink w:anchor="_ENREF_14" w:tooltip="Galletly, 1988 #15" w:history="1">
        <w:r w:rsidRPr="00AE0331">
          <w:rPr>
            <w:rFonts w:ascii="Book Antiqua" w:eastAsia="Book Antiqua" w:hAnsi="Book Antiqua" w:cs="Book Antiqua"/>
            <w:color w:val="000000"/>
            <w:vertAlign w:val="superscript"/>
          </w:rPr>
          <w:t>14</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Assuming an alpha of 5% and a test power of 0.8, power analysis indicated that a difference of 10% would be detected with a total sample size of 160 (or 80 </w:t>
      </w:r>
      <w:r w:rsidRPr="00356A6B">
        <w:rPr>
          <w:rFonts w:ascii="Book Antiqua" w:eastAsia="Book Antiqua" w:hAnsi="Book Antiqua" w:cs="Book Antiqua"/>
          <w:iCs/>
          <w:color w:val="000000"/>
        </w:rPr>
        <w:t>per</w:t>
      </w:r>
      <w:r w:rsidRPr="00AE0331">
        <w:rPr>
          <w:rFonts w:ascii="Book Antiqua" w:eastAsia="Book Antiqua" w:hAnsi="Book Antiqua" w:cs="Book Antiqua"/>
          <w:color w:val="000000"/>
        </w:rPr>
        <w:t xml:space="preserve"> group). Assuming a loss to follow-up of 20%, each group would need to include 100 patients at enrolment.</w:t>
      </w:r>
    </w:p>
    <w:p w14:paraId="59060711" w14:textId="77777777" w:rsidR="00A77B3E" w:rsidRPr="00AE0331" w:rsidRDefault="00A77B3E" w:rsidP="00592FA5">
      <w:pPr>
        <w:spacing w:line="360" w:lineRule="auto"/>
        <w:jc w:val="both"/>
        <w:rPr>
          <w:rFonts w:ascii="Book Antiqua" w:hAnsi="Book Antiqua"/>
        </w:rPr>
      </w:pPr>
    </w:p>
    <w:p w14:paraId="574A07B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Anesthesia and monitoring</w:t>
      </w:r>
    </w:p>
    <w:p w14:paraId="4E16F0F0" w14:textId="1CE1792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lastRenderedPageBreak/>
        <w:t>The same main anesthetist (Dr Li) was present at all the operations, and</w:t>
      </w:r>
      <w:r w:rsidRPr="00AE0331">
        <w:rPr>
          <w:rFonts w:ascii="Book Antiqua" w:eastAsia="Book Antiqua" w:hAnsi="Book Antiqua" w:cs="Book Antiqua"/>
          <w:color w:val="000000"/>
          <w:shd w:val="clear" w:color="auto" w:fill="FFFFFF"/>
        </w:rPr>
        <w:t xml:space="preserve"> all procedures were performed by the same surgical team</w:t>
      </w:r>
      <w:r w:rsidRPr="00AE0331">
        <w:rPr>
          <w:rFonts w:ascii="Book Antiqua" w:eastAsia="Book Antiqua" w:hAnsi="Book Antiqua" w:cs="Book Antiqua"/>
          <w:color w:val="000000"/>
        </w:rPr>
        <w:t>. The patients were admitted the day before surgery and fasted for at least 8 h before the operation. Some patients continued to receive an antihypertensive agent (captopril) until the morning of surgery. On arrival in the operating theater, an intravenous catheter was inserted into a large forearm vein, and standard monitoring was initiated including non-invasive arterial blood pressure (Datex-Ohmeda, Helsinki, Finland) and bispectral index (BIS; Aspect Medical Systems, Newton, MA, U</w:t>
      </w:r>
      <w:r w:rsidR="009B46A2" w:rsidRPr="00AE0331">
        <w:rPr>
          <w:rFonts w:ascii="Book Antiqua" w:eastAsia="Book Antiqua" w:hAnsi="Book Antiqua" w:cs="Book Antiqua"/>
          <w:color w:val="000000"/>
        </w:rPr>
        <w:t>nited States</w:t>
      </w:r>
      <w:r w:rsidRPr="00AE0331">
        <w:rPr>
          <w:rFonts w:ascii="Book Antiqua" w:eastAsia="Book Antiqua" w:hAnsi="Book Antiqua" w:cs="Book Antiqua"/>
          <w:color w:val="000000"/>
        </w:rPr>
        <w:t>) monitoring. Vital parameters such as heart rate (HR), systolic blood pressure (SBP), diastolic blood pressure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mean arterial pressure (MAP) were assessed at regular intervals. </w:t>
      </w:r>
    </w:p>
    <w:p w14:paraId="612611E2" w14:textId="049879E2"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Patients in both groups received oral midazolam (0.04 mg</w:t>
      </w:r>
      <w:r w:rsidR="00FA4111" w:rsidRPr="00AE0331">
        <w:rPr>
          <w:rFonts w:ascii="Book Antiqua" w:eastAsia="Book Antiqua" w:hAnsi="Book Antiqua" w:cs="Book Antiqua"/>
          <w:color w:val="000000"/>
        </w:rPr>
        <w:t>/</w:t>
      </w:r>
      <w:r w:rsidRPr="00AE0331">
        <w:rPr>
          <w:rFonts w:ascii="Book Antiqua" w:eastAsia="Book Antiqua" w:hAnsi="Book Antiqua" w:cs="Book Antiqua"/>
          <w:color w:val="000000"/>
        </w:rPr>
        <w:t>kg; Enhua Pharmaceutical Co. Ltd., Xuzhou, China) at least 1 h before induction of anesthesia. An infusion of remifentanil (4 μg</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kg; Renfu Pharmaceutical Group Co. Ltd., Yichang, China) was started during pre-oxygenation </w:t>
      </w:r>
      <w:r w:rsidRPr="00AE0331">
        <w:rPr>
          <w:rFonts w:ascii="Book Antiqua" w:eastAsia="Book Antiqua" w:hAnsi="Book Antiqua" w:cs="Book Antiqua"/>
          <w:i/>
          <w:iCs/>
          <w:color w:val="000000"/>
        </w:rPr>
        <w:t>via</w:t>
      </w:r>
      <w:r w:rsidRPr="00AE0331">
        <w:rPr>
          <w:rFonts w:ascii="Book Antiqua" w:eastAsia="Book Antiqua" w:hAnsi="Book Antiqua" w:cs="Book Antiqua"/>
          <w:color w:val="000000"/>
        </w:rPr>
        <w:t xml:space="preserve"> a face mask, and anesthesia was induced 3 min later by the administration of cisatracurium (0.2 mg</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kg; Jiangsu Hengrui Pharmaceutical Co. Ltd., Lianyungang, China) with either etomidate (0.3 mg</w:t>
      </w:r>
      <w:r w:rsidR="00316F0B"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kg; Enhua Pharmaceutical Co. Ltd.; etomidate group) or propofol (2.0 </w:t>
      </w:r>
      <w:r w:rsidR="000C4201" w:rsidRPr="00AE0331">
        <w:rPr>
          <w:rFonts w:ascii="Book Antiqua" w:eastAsia="Book Antiqua" w:hAnsi="Book Antiqua" w:cs="Book Antiqua"/>
          <w:color w:val="000000"/>
        </w:rPr>
        <w:t>mg/kg</w:t>
      </w:r>
      <w:r w:rsidRPr="00AE0331">
        <w:rPr>
          <w:rFonts w:ascii="Book Antiqua" w:eastAsia="Book Antiqua" w:hAnsi="Book Antiqua" w:cs="Book Antiqua"/>
          <w:color w:val="000000"/>
        </w:rPr>
        <w:t>; Fresenius Kabi, Uppsala, Sweden; propofol group). The trachea was intubated, and mechanical ventilation was started with a tidal volume of 8 mL</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kg, a ventilatory frequency that maintained end-tidal Pco</w:t>
      </w:r>
      <w:r w:rsidRPr="00AE0331">
        <w:rPr>
          <w:rFonts w:ascii="Book Antiqua" w:eastAsia="Book Antiqua" w:hAnsi="Book Antiqua" w:cs="Book Antiqua"/>
          <w:color w:val="000000"/>
          <w:vertAlign w:val="subscript"/>
        </w:rPr>
        <w:t>2</w:t>
      </w:r>
      <w:r w:rsidRPr="00AE0331">
        <w:rPr>
          <w:rFonts w:ascii="Book Antiqua" w:eastAsia="Book Antiqua" w:hAnsi="Book Antiqua" w:cs="Book Antiqua"/>
          <w:color w:val="000000"/>
        </w:rPr>
        <w:t xml:space="preserve"> between 35 and 45 mmHg, and a fraction of inspired oxygen (FIO</w:t>
      </w:r>
      <w:r w:rsidRPr="00AE0331">
        <w:rPr>
          <w:rFonts w:ascii="Book Antiqua" w:eastAsia="Book Antiqua" w:hAnsi="Book Antiqua" w:cs="Book Antiqua"/>
          <w:color w:val="000000"/>
          <w:vertAlign w:val="subscript"/>
        </w:rPr>
        <w:t>2</w:t>
      </w:r>
      <w:r w:rsidRPr="00AE0331">
        <w:rPr>
          <w:rFonts w:ascii="Book Antiqua" w:eastAsia="Book Antiqua" w:hAnsi="Book Antiqua" w:cs="Book Antiqua"/>
          <w:color w:val="000000"/>
        </w:rPr>
        <w:t xml:space="preserve">) of 1.0 (PhysioFlex closed-circuit anesthesia machine, Dräger, Lübeck, Germany). </w:t>
      </w:r>
    </w:p>
    <w:p w14:paraId="0C88FE1F" w14:textId="6FBCB7FD" w:rsidR="00A77B3E" w:rsidRPr="00AE0331" w:rsidRDefault="00682851" w:rsidP="00DC445A">
      <w:pPr>
        <w:spacing w:line="360" w:lineRule="auto"/>
        <w:ind w:firstLineChars="200" w:firstLine="480"/>
        <w:jc w:val="both"/>
        <w:rPr>
          <w:rFonts w:ascii="Book Antiqua" w:hAnsi="Book Antiqua"/>
        </w:rPr>
      </w:pPr>
      <w:r w:rsidRPr="00AE0331">
        <w:rPr>
          <w:rFonts w:ascii="Book Antiqua" w:eastAsia="Book Antiqua" w:hAnsi="Book Antiqua" w:cs="Book Antiqua"/>
          <w:color w:val="000000"/>
        </w:rPr>
        <w:t>Baseline hemodynamic data were recorded after at least 5 min without further changes in HR or arterial pressure. The BIS was maintained at a value of 45</w:t>
      </w:r>
      <w:r w:rsidR="00B54AC7">
        <w:rPr>
          <w:rFonts w:ascii="Book Antiqua" w:eastAsia="Book Antiqua" w:hAnsi="Book Antiqua" w:cs="Book Antiqua"/>
          <w:color w:val="000000"/>
        </w:rPr>
        <w:t>-</w:t>
      </w:r>
      <w:r w:rsidRPr="00AE0331">
        <w:rPr>
          <w:rFonts w:ascii="Book Antiqua" w:eastAsia="Book Antiqua" w:hAnsi="Book Antiqua" w:cs="Book Antiqua"/>
          <w:color w:val="000000"/>
        </w:rPr>
        <w:t>60 to achieve a suitable depth of anesthesia with very low awareness possibility. The remifentanil infusion was continued and increased in increments of 0.05 mg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kg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min if one of the following occurred: </w:t>
      </w:r>
      <w:r w:rsidR="00FF7534">
        <w:rPr>
          <w:rFonts w:ascii="Book Antiqua" w:eastAsia="Book Antiqua" w:hAnsi="Book Antiqua" w:cs="Book Antiqua"/>
          <w:color w:val="000000"/>
        </w:rPr>
        <w:t>S</w:t>
      </w:r>
      <w:r w:rsidR="00FF7534" w:rsidRPr="00AE0331">
        <w:rPr>
          <w:rFonts w:ascii="Book Antiqua" w:eastAsia="Book Antiqua" w:hAnsi="Book Antiqua" w:cs="Book Antiqua"/>
          <w:color w:val="000000"/>
        </w:rPr>
        <w:t xml:space="preserve">udden </w:t>
      </w:r>
      <w:r w:rsidRPr="00AE0331">
        <w:rPr>
          <w:rFonts w:ascii="Book Antiqua" w:eastAsia="Book Antiqua" w:hAnsi="Book Antiqua" w:cs="Book Antiqua"/>
          <w:color w:val="000000"/>
        </w:rPr>
        <w:t>increase in HR or arterial pressure by &gt;</w:t>
      </w:r>
      <w:r w:rsidR="00DC445A"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20%, sweating</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spontaneous movements. </w:t>
      </w:r>
    </w:p>
    <w:p w14:paraId="7E8997C4" w14:textId="30D9DAF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For maintenance of anesthesia in the propofol group, 1% propofol (1.5</w:t>
      </w:r>
      <w:r w:rsidR="00B54AC7">
        <w:rPr>
          <w:rFonts w:ascii="Book Antiqua" w:eastAsia="Book Antiqua" w:hAnsi="Book Antiqua" w:cs="Book Antiqua"/>
          <w:color w:val="000000"/>
        </w:rPr>
        <w:t>-</w:t>
      </w:r>
      <w:r w:rsidRPr="00AE0331">
        <w:rPr>
          <w:rFonts w:ascii="Book Antiqua" w:eastAsia="Book Antiqua" w:hAnsi="Book Antiqua" w:cs="Book Antiqua"/>
          <w:color w:val="000000"/>
        </w:rPr>
        <w:t>3.0 μg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mL) was administered by target-controlled infusion (Alaris Pk syringe pump, Cardinal Health, </w:t>
      </w:r>
      <w:r w:rsidRPr="00AE0331">
        <w:rPr>
          <w:rFonts w:ascii="Book Antiqua" w:eastAsia="Book Antiqua" w:hAnsi="Book Antiqua" w:cs="Book Antiqua"/>
          <w:color w:val="000000"/>
        </w:rPr>
        <w:lastRenderedPageBreak/>
        <w:t>Rolle, Switzerland) according to a modified Marsh pharmacokinetic model (k</w:t>
      </w:r>
      <w:r w:rsidRPr="00AE0331">
        <w:rPr>
          <w:rFonts w:ascii="Book Antiqua" w:eastAsia="Book Antiqua" w:hAnsi="Book Antiqua" w:cs="Book Antiqua"/>
          <w:color w:val="000000"/>
          <w:vertAlign w:val="subscript"/>
        </w:rPr>
        <w:t>e0</w:t>
      </w:r>
      <w:r w:rsidRPr="00AE0331">
        <w:rPr>
          <w:rFonts w:ascii="Book Antiqua" w:eastAsia="Book Antiqua" w:hAnsi="Book Antiqua" w:cs="Book Antiqua"/>
          <w:color w:val="000000"/>
        </w:rPr>
        <w:t xml:space="preserve"> of 1.21 min</w:t>
      </w:r>
      <w:r w:rsidRPr="00AE0331">
        <w:rPr>
          <w:rFonts w:ascii="Book Antiqua" w:eastAsia="Book Antiqua" w:hAnsi="Book Antiqua" w:cs="Book Antiqua"/>
          <w:color w:val="000000"/>
          <w:vertAlign w:val="superscript"/>
        </w:rPr>
        <w:t>-1</w:t>
      </w:r>
      <w:r w:rsidRPr="00AE0331">
        <w:rPr>
          <w:rFonts w:ascii="Book Antiqua" w:eastAsia="Book Antiqua" w:hAnsi="Book Antiqua" w:cs="Book Antiqua"/>
          <w:color w:val="000000"/>
        </w:rPr>
        <w:t>; plasma mode using real weight) starting at an initial target concentration of 1.0 μg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mL and increasing at a rate of 0.5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mL each minute until a plasma concentration (Cp) of 2.5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mL was attained. In the etomidate group, anesthesia was maintained by the continuous infusion of etomidate emulsion at a constant rate (</w:t>
      </w:r>
      <w:r w:rsidRPr="00AE0331">
        <w:rPr>
          <w:rFonts w:ascii="Book Antiqua" w:eastAsia="Book Antiqua" w:hAnsi="Book Antiqua" w:cs="Book Antiqua"/>
          <w:color w:val="000000"/>
          <w:shd w:val="clear" w:color="auto" w:fill="FFFFFF"/>
        </w:rPr>
        <w:t>10</w:t>
      </w:r>
      <w:r w:rsidR="00B54AC7">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20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kg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min</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 xml:space="preserve">Intermittent bolus injections of cisatracurium were used to maintain full muscle relaxation. </w:t>
      </w:r>
      <w:r w:rsidRPr="00AE0331">
        <w:rPr>
          <w:rFonts w:ascii="Book Antiqua" w:eastAsia="Book Antiqua" w:hAnsi="Book Antiqua" w:cs="Book Antiqua"/>
          <w:color w:val="000000"/>
        </w:rPr>
        <w:t xml:space="preserve">No other anesthetic agents were administered until 30 min before the operation finished. </w:t>
      </w:r>
    </w:p>
    <w:p w14:paraId="7F90365B" w14:textId="35EB57A0"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 xml:space="preserve">Thirty minutes before the end of surgery, 0.1 mg fentanyl and 50 mg flurbiprofen were administrated intravenously, and the cisatracurium infusion was stopped. Five minutes before the end of the operation, 3 mg granisetron was administrated by intravenous injection. The infusion of remifentanil and etomidate/propofol was stopped at the end of surgery. Neostigmine was used to reverse residual muscle relaxation after spontaneous respiration had recovered. Awakening was considered as the moment when the patient opened their eyes after being called by their name. Extubation was performed when the following conditions were met: </w:t>
      </w:r>
      <w:r w:rsidR="00CE1E7B" w:rsidRPr="00AE0331">
        <w:rPr>
          <w:rFonts w:ascii="Book Antiqua" w:eastAsia="Book Antiqua" w:hAnsi="Book Antiqua" w:cs="Book Antiqua"/>
          <w:color w:val="000000"/>
        </w:rPr>
        <w:t>R</w:t>
      </w:r>
      <w:r w:rsidRPr="00AE0331">
        <w:rPr>
          <w:rFonts w:ascii="Book Antiqua" w:eastAsia="Book Antiqua" w:hAnsi="Book Antiqua" w:cs="Book Antiqua"/>
          <w:color w:val="000000"/>
        </w:rPr>
        <w:t>ecovery of the cough and swallowing reflexes; recovery of consciousness and awakening; tidal volume &gt; 6 mL</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kg</w:t>
      </w:r>
      <w:r w:rsidR="00FF7534">
        <w:rPr>
          <w:rFonts w:ascii="Book Antiqua" w:eastAsia="Book Antiqua" w:hAnsi="Book Antiqua" w:cs="Book Antiqua"/>
          <w:color w:val="000000"/>
        </w:rPr>
        <w:t>;</w:t>
      </w:r>
      <w:r w:rsidR="00FF7534"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respiratory rate 12</w:t>
      </w:r>
      <w:r w:rsidR="00B54AC7">
        <w:rPr>
          <w:rFonts w:ascii="Book Antiqua" w:eastAsia="Book Antiqua" w:hAnsi="Book Antiqua" w:cs="Book Antiqua"/>
          <w:color w:val="000000"/>
        </w:rPr>
        <w:t>-</w:t>
      </w:r>
      <w:r w:rsidRPr="00AE0331">
        <w:rPr>
          <w:rFonts w:ascii="Book Antiqua" w:eastAsia="Book Antiqua" w:hAnsi="Book Antiqua" w:cs="Book Antiqua"/>
          <w:color w:val="000000"/>
        </w:rPr>
        <w:t>30 times</w:t>
      </w:r>
      <w:r w:rsidR="00B54AC7">
        <w:rPr>
          <w:rFonts w:ascii="Book Antiqua" w:eastAsia="Book Antiqua" w:hAnsi="Book Antiqua" w:cs="Book Antiqua"/>
          <w:color w:val="000000"/>
        </w:rPr>
        <w:t>/min; head elevation for &gt; 2 s</w:t>
      </w:r>
      <w:r w:rsidRPr="00AE0331">
        <w:rPr>
          <w:rFonts w:ascii="Book Antiqua" w:eastAsia="Book Antiqua" w:hAnsi="Book Antiqua" w:cs="Book Antiqua"/>
          <w:color w:val="000000"/>
        </w:rPr>
        <w:t>; and normal BP, HR</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ECG findings. </w:t>
      </w:r>
    </w:p>
    <w:p w14:paraId="5A824083" w14:textId="77777777" w:rsidR="00A77B3E" w:rsidRPr="00AE0331" w:rsidRDefault="00A77B3E" w:rsidP="00592FA5">
      <w:pPr>
        <w:spacing w:line="360" w:lineRule="auto"/>
        <w:ind w:firstLine="480"/>
        <w:jc w:val="both"/>
        <w:rPr>
          <w:rFonts w:ascii="Book Antiqua" w:hAnsi="Book Antiqua"/>
        </w:rPr>
      </w:pPr>
    </w:p>
    <w:p w14:paraId="51F1BA6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Measurement of clinical variables</w:t>
      </w:r>
    </w:p>
    <w:p w14:paraId="4187FE72" w14:textId="208D7290"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SBP, DBP, HR, ST-T interval</w:t>
      </w:r>
      <w:r w:rsidR="00FF7534">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w:t>
      </w:r>
      <w:r w:rsidRPr="00AE0331">
        <w:rPr>
          <w:rFonts w:ascii="Book Antiqua" w:eastAsia="Book Antiqua" w:hAnsi="Book Antiqua" w:cs="Book Antiqua"/>
          <w:color w:val="000000"/>
        </w:rPr>
        <w:t>BIS</w:t>
      </w:r>
      <w:r w:rsidRPr="00AE0331">
        <w:rPr>
          <w:rFonts w:ascii="Book Antiqua" w:eastAsia="Book Antiqua" w:hAnsi="Book Antiqua" w:cs="Book Antiqua"/>
          <w:color w:val="000000"/>
          <w:shd w:val="clear" w:color="auto" w:fill="FFFFFF"/>
        </w:rPr>
        <w:t xml:space="preserve"> were recorded immediately before the induction of anesthesia (T</w:t>
      </w:r>
      <w:r w:rsidRPr="00AE0331">
        <w:rPr>
          <w:rFonts w:ascii="Book Antiqua" w:eastAsia="Book Antiqua" w:hAnsi="Book Antiqua" w:cs="Book Antiqua"/>
          <w:color w:val="000000"/>
          <w:shd w:val="clear" w:color="auto" w:fill="FFFFFF"/>
          <w:vertAlign w:val="subscript"/>
        </w:rPr>
        <w:t>0</w:t>
      </w:r>
      <w:r w:rsidRPr="00AE0331">
        <w:rPr>
          <w:rFonts w:ascii="Book Antiqua" w:eastAsia="Book Antiqua" w:hAnsi="Book Antiqua" w:cs="Book Antiqua"/>
          <w:color w:val="000000"/>
          <w:shd w:val="clear" w:color="auto" w:fill="FFFFFF"/>
        </w:rPr>
        <w:t>), 3 min after the anesthetic was injected (T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shd w:val="clear" w:color="auto" w:fill="FFFFFF"/>
        </w:rPr>
        <w:t>), immediately after tracheal intubation (T</w:t>
      </w:r>
      <w:r w:rsidRPr="00AE0331">
        <w:rPr>
          <w:rFonts w:ascii="Book Antiqua" w:eastAsia="Book Antiqua" w:hAnsi="Book Antiqua" w:cs="Book Antiqua"/>
          <w:color w:val="000000"/>
          <w:shd w:val="clear" w:color="auto" w:fill="FFFFFF"/>
          <w:vertAlign w:val="subscript"/>
        </w:rPr>
        <w:t>2</w:t>
      </w:r>
      <w:r w:rsidRPr="00AE0331">
        <w:rPr>
          <w:rFonts w:ascii="Book Antiqua" w:eastAsia="Book Antiqua" w:hAnsi="Book Antiqua" w:cs="Book Antiqua"/>
          <w:color w:val="000000"/>
          <w:shd w:val="clear" w:color="auto" w:fill="FFFFFF"/>
        </w:rPr>
        <w:t>), 3 min after tracheal intubation (T</w:t>
      </w:r>
      <w:r w:rsidRPr="00AE0331">
        <w:rPr>
          <w:rFonts w:ascii="Book Antiqua" w:eastAsia="Book Antiqua" w:hAnsi="Book Antiqua" w:cs="Book Antiqua"/>
          <w:color w:val="000000"/>
          <w:shd w:val="clear" w:color="auto" w:fill="FFFFFF"/>
          <w:vertAlign w:val="subscript"/>
        </w:rPr>
        <w:t>3</w:t>
      </w:r>
      <w:r w:rsidRPr="00AE0331">
        <w:rPr>
          <w:rFonts w:ascii="Book Antiqua" w:eastAsia="Book Antiqua" w:hAnsi="Book Antiqua" w:cs="Book Antiqua"/>
          <w:color w:val="000000"/>
          <w:shd w:val="clear" w:color="auto" w:fill="FFFFFF"/>
        </w:rPr>
        <w:t>), and 5 min after tracheal intubation (T</w:t>
      </w:r>
      <w:r w:rsidRPr="00AE0331">
        <w:rPr>
          <w:rFonts w:ascii="Book Antiqua" w:eastAsia="Book Antiqua" w:hAnsi="Book Antiqua" w:cs="Book Antiqua"/>
          <w:color w:val="000000"/>
          <w:shd w:val="clear" w:color="auto" w:fill="FFFFFF"/>
          <w:vertAlign w:val="subscript"/>
        </w:rPr>
        <w:t>4</w:t>
      </w:r>
      <w:r w:rsidRPr="00AE0331">
        <w:rPr>
          <w:rFonts w:ascii="Book Antiqua" w:eastAsia="Book Antiqua" w:hAnsi="Book Antiqua" w:cs="Book Antiqua"/>
          <w:color w:val="000000"/>
          <w:shd w:val="clear" w:color="auto" w:fill="FFFFFF"/>
        </w:rPr>
        <w:t>). The levels of cardiac troponin I (cTnI) were measured before the induction of anesthesia and</w:t>
      </w:r>
      <w:r w:rsidR="00FF7534">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24 h after surgery to determine the extent of any myocardial injury. </w:t>
      </w:r>
    </w:p>
    <w:p w14:paraId="193921C6" w14:textId="1A49E290" w:rsidR="00A77B3E" w:rsidRPr="00AE0331" w:rsidRDefault="00FF7534" w:rsidP="00592FA5">
      <w:pPr>
        <w:spacing w:line="360" w:lineRule="auto"/>
        <w:ind w:firstLine="480"/>
        <w:jc w:val="both"/>
        <w:rPr>
          <w:rFonts w:ascii="Book Antiqua" w:hAnsi="Book Antiqua"/>
        </w:rPr>
      </w:pPr>
      <w:r>
        <w:rPr>
          <w:rFonts w:ascii="Book Antiqua" w:eastAsia="Book Antiqua" w:hAnsi="Book Antiqua" w:cs="Book Antiqua"/>
          <w:color w:val="000000"/>
        </w:rPr>
        <w:t>The p</w:t>
      </w:r>
      <w:r w:rsidRPr="00AE0331">
        <w:rPr>
          <w:rFonts w:ascii="Book Antiqua" w:eastAsia="Book Antiqua" w:hAnsi="Book Antiqua" w:cs="Book Antiqua"/>
          <w:color w:val="000000"/>
        </w:rPr>
        <w:t xml:space="preserve">atients </w:t>
      </w:r>
      <w:r w:rsidR="00682851" w:rsidRPr="00AE0331">
        <w:rPr>
          <w:rFonts w:ascii="Book Antiqua" w:eastAsia="Book Antiqua" w:hAnsi="Book Antiqua" w:cs="Book Antiqua"/>
          <w:color w:val="000000"/>
        </w:rPr>
        <w:t>were followed</w:t>
      </w:r>
      <w:r>
        <w:rPr>
          <w:rFonts w:ascii="Book Antiqua" w:eastAsia="Book Antiqua" w:hAnsi="Book Antiqua" w:cs="Book Antiqua"/>
          <w:color w:val="000000"/>
        </w:rPr>
        <w:t xml:space="preserve"> </w:t>
      </w:r>
      <w:r w:rsidR="00682851" w:rsidRPr="00AE0331">
        <w:rPr>
          <w:rFonts w:ascii="Book Antiqua" w:eastAsia="Book Antiqua" w:hAnsi="Book Antiqua" w:cs="Book Antiqua"/>
          <w:color w:val="000000"/>
        </w:rPr>
        <w:t xml:space="preserve">for 24 h. </w:t>
      </w:r>
      <w:r w:rsidR="00682851" w:rsidRPr="00AE0331">
        <w:rPr>
          <w:rFonts w:ascii="Book Antiqua" w:eastAsia="Book Antiqua" w:hAnsi="Book Antiqua" w:cs="Book Antiqua"/>
          <w:color w:val="000000"/>
          <w:shd w:val="clear" w:color="auto" w:fill="FFFFFF"/>
        </w:rPr>
        <w:t>The primary endpoints were the occurrence of cardiovascular events (bradycardia, tachycardia, hypotension, ST-T segment changes</w:t>
      </w:r>
      <w:r>
        <w:rPr>
          <w:rFonts w:ascii="Book Antiqua" w:eastAsia="Book Antiqua" w:hAnsi="Book Antiqua" w:cs="Book Antiqua"/>
          <w:color w:val="000000"/>
          <w:shd w:val="clear" w:color="auto" w:fill="FFFFFF"/>
        </w:rPr>
        <w:t>,</w:t>
      </w:r>
      <w:r w:rsidR="00682851" w:rsidRPr="00AE0331">
        <w:rPr>
          <w:rFonts w:ascii="Book Antiqua" w:eastAsia="Book Antiqua" w:hAnsi="Book Antiqua" w:cs="Book Antiqua"/>
          <w:color w:val="000000"/>
          <w:shd w:val="clear" w:color="auto" w:fill="FFFFFF"/>
        </w:rPr>
        <w:t xml:space="preserve"> and ventricular premature beats) during anesthesia and cTnI level at 24 h. The secondary </w:t>
      </w:r>
      <w:r w:rsidR="00682851" w:rsidRPr="00AE0331">
        <w:rPr>
          <w:rFonts w:ascii="Book Antiqua" w:eastAsia="Book Antiqua" w:hAnsi="Book Antiqua" w:cs="Book Antiqua"/>
          <w:color w:val="000000"/>
          <w:shd w:val="clear" w:color="auto" w:fill="FFFFFF"/>
        </w:rPr>
        <w:lastRenderedPageBreak/>
        <w:t>endpoints were hemodynamic parameters (SBP, DBP, MAP</w:t>
      </w:r>
      <w:r>
        <w:rPr>
          <w:rFonts w:ascii="Book Antiqua" w:eastAsia="Book Antiqua" w:hAnsi="Book Antiqua" w:cs="Book Antiqua"/>
          <w:color w:val="000000"/>
          <w:shd w:val="clear" w:color="auto" w:fill="FFFFFF"/>
        </w:rPr>
        <w:t>,</w:t>
      </w:r>
      <w:r w:rsidR="00682851" w:rsidRPr="00AE0331">
        <w:rPr>
          <w:rFonts w:ascii="Book Antiqua" w:eastAsia="Book Antiqua" w:hAnsi="Book Antiqua" w:cs="Book Antiqua"/>
          <w:color w:val="000000"/>
          <w:shd w:val="clear" w:color="auto" w:fill="FFFFFF"/>
        </w:rPr>
        <w:t xml:space="preserve"> and HR), BIS and use of vasopressors during anesthesia.</w:t>
      </w:r>
    </w:p>
    <w:p w14:paraId="3FD171E9" w14:textId="77777777" w:rsidR="00A77B3E" w:rsidRPr="00AE0331" w:rsidRDefault="00A77B3E" w:rsidP="00592FA5">
      <w:pPr>
        <w:spacing w:line="360" w:lineRule="auto"/>
        <w:ind w:firstLine="480"/>
        <w:jc w:val="both"/>
        <w:rPr>
          <w:rFonts w:ascii="Book Antiqua" w:hAnsi="Book Antiqua"/>
        </w:rPr>
      </w:pPr>
    </w:p>
    <w:p w14:paraId="610BCE5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Statistical analysis</w:t>
      </w:r>
    </w:p>
    <w:p w14:paraId="1CF79927" w14:textId="1F85683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SPSS 15.0 (SPSS Inc., Chicago, IL, U</w:t>
      </w:r>
      <w:r w:rsidR="00E304B1" w:rsidRPr="00AE0331">
        <w:rPr>
          <w:rFonts w:ascii="Book Antiqua" w:eastAsia="Book Antiqua" w:hAnsi="Book Antiqua" w:cs="Book Antiqua"/>
          <w:color w:val="000000"/>
        </w:rPr>
        <w:t>nited States</w:t>
      </w:r>
      <w:r w:rsidRPr="00AE0331">
        <w:rPr>
          <w:rFonts w:ascii="Book Antiqua" w:eastAsia="Book Antiqua" w:hAnsi="Book Antiqua" w:cs="Book Antiqua"/>
          <w:color w:val="000000"/>
        </w:rPr>
        <w:t xml:space="preserve">) was used for data </w:t>
      </w:r>
      <w:r w:rsidR="00FF7534" w:rsidRPr="00AE0331">
        <w:rPr>
          <w:rFonts w:ascii="Book Antiqua" w:eastAsia="Book Antiqua" w:hAnsi="Book Antiqua" w:cs="Book Antiqua"/>
          <w:color w:val="000000"/>
        </w:rPr>
        <w:t>analys</w:t>
      </w:r>
      <w:r w:rsidR="00FF7534">
        <w:rPr>
          <w:rFonts w:ascii="Book Antiqua" w:eastAsia="Book Antiqua" w:hAnsi="Book Antiqua" w:cs="Book Antiqua"/>
          <w:color w:val="000000"/>
        </w:rPr>
        <w:t>e</w:t>
      </w:r>
      <w:r w:rsidR="00FF7534" w:rsidRPr="00AE0331">
        <w:rPr>
          <w:rFonts w:ascii="Book Antiqua" w:eastAsia="Book Antiqua" w:hAnsi="Book Antiqua" w:cs="Book Antiqua"/>
          <w:color w:val="000000"/>
        </w:rPr>
        <w:t>s</w:t>
      </w:r>
      <w:r w:rsidRPr="00AE0331">
        <w:rPr>
          <w:rFonts w:ascii="Book Antiqua" w:eastAsia="Book Antiqua" w:hAnsi="Book Antiqua" w:cs="Book Antiqua"/>
          <w:color w:val="000000"/>
        </w:rPr>
        <w:t xml:space="preserve">, and Microsoft Excel and Word (Microsoft Corp., Redmond, WA, </w:t>
      </w:r>
      <w:r w:rsidR="00E304B1" w:rsidRPr="00AE0331">
        <w:rPr>
          <w:rFonts w:ascii="Book Antiqua" w:eastAsia="Book Antiqua" w:hAnsi="Book Antiqua" w:cs="Book Antiqua"/>
          <w:color w:val="000000"/>
        </w:rPr>
        <w:t>United States</w:t>
      </w:r>
      <w:r w:rsidRPr="00AE0331">
        <w:rPr>
          <w:rFonts w:ascii="Book Antiqua" w:eastAsia="Book Antiqua" w:hAnsi="Book Antiqua" w:cs="Book Antiqua"/>
          <w:color w:val="000000"/>
        </w:rPr>
        <w:t xml:space="preserve">) were used to generate graphs and tables. Measurement data were tested for normality using the Kolmogorov-Smirnov test. Quantitative data are expressed as </w:t>
      </w:r>
      <w:r w:rsidR="00FF7534">
        <w:rPr>
          <w:rFonts w:ascii="Book Antiqua" w:eastAsia="Book Antiqua" w:hAnsi="Book Antiqua" w:cs="Book Antiqua"/>
          <w:color w:val="000000"/>
        </w:rPr>
        <w:t xml:space="preserve">the </w:t>
      </w:r>
      <w:r w:rsidRPr="00AE0331">
        <w:rPr>
          <w:rFonts w:ascii="Book Antiqua" w:eastAsia="Book Antiqua" w:hAnsi="Book Antiqua" w:cs="Book Antiqua"/>
          <w:color w:val="000000"/>
        </w:rPr>
        <w:t>mean ± standard deviation and were compared between groups using Student’s</w:t>
      </w:r>
      <w:r w:rsidR="009D22B2">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t-test with Bonferroni correction. Categorical data are presented as </w:t>
      </w:r>
      <w:r w:rsidRPr="00AE0331">
        <w:rPr>
          <w:rFonts w:ascii="Book Antiqua" w:eastAsia="Book Antiqua" w:hAnsi="Book Antiqua" w:cs="Book Antiqua"/>
          <w:i/>
          <w:iCs/>
          <w:color w:val="000000"/>
        </w:rPr>
        <w:t>n</w:t>
      </w:r>
      <w:r w:rsidRPr="00AE0331">
        <w:rPr>
          <w:rFonts w:ascii="Book Antiqua" w:eastAsia="Book Antiqua" w:hAnsi="Book Antiqua" w:cs="Book Antiqua"/>
          <w:color w:val="000000"/>
        </w:rPr>
        <w:t xml:space="preserve"> (%) and were compared between groups using the chi-squared test or Fisher’s exact test.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 was taken to indicate statistical significance.</w:t>
      </w:r>
    </w:p>
    <w:p w14:paraId="61BB33D3" w14:textId="77777777" w:rsidR="00A77B3E" w:rsidRPr="00AE0331" w:rsidRDefault="00A77B3E" w:rsidP="00592FA5">
      <w:pPr>
        <w:spacing w:line="360" w:lineRule="auto"/>
        <w:jc w:val="both"/>
        <w:rPr>
          <w:rFonts w:ascii="Book Antiqua" w:hAnsi="Book Antiqua"/>
        </w:rPr>
      </w:pPr>
    </w:p>
    <w:p w14:paraId="65C00A81"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RESULTS</w:t>
      </w:r>
    </w:p>
    <w:p w14:paraId="135FE37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shd w:val="clear" w:color="auto" w:fill="FFFFFF"/>
        </w:rPr>
        <w:t>Baseline clinical characteristics of the study participants</w:t>
      </w:r>
    </w:p>
    <w:p w14:paraId="60A4FABB" w14:textId="021E0914"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Among 100 patients screened for eligibility, 15 were excluded because they did not meet the inclusion criteria, and 5 were excluded because they refused to participate (Figure 1). Therefore, a total of 80 patients were included in the final analysis, with 40 patients in each</w:t>
      </w:r>
      <w:r w:rsidR="00FF7534">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group. There were no significant differences between groups in </w:t>
      </w:r>
      <w:r w:rsidRPr="00AE0331">
        <w:rPr>
          <w:rFonts w:ascii="Book Antiqua" w:eastAsia="Book Antiqua" w:hAnsi="Book Antiqua" w:cs="Book Antiqua"/>
          <w:color w:val="000000"/>
        </w:rPr>
        <w:t>sex, age, height, weight</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type of surgery (Table 1).</w:t>
      </w:r>
    </w:p>
    <w:p w14:paraId="3433B6DE" w14:textId="77777777" w:rsidR="00A77B3E" w:rsidRPr="00AE0331" w:rsidRDefault="00A77B3E" w:rsidP="00592FA5">
      <w:pPr>
        <w:spacing w:line="360" w:lineRule="auto"/>
        <w:jc w:val="both"/>
        <w:rPr>
          <w:rFonts w:ascii="Book Antiqua" w:hAnsi="Book Antiqua"/>
        </w:rPr>
      </w:pPr>
    </w:p>
    <w:p w14:paraId="3EFB41C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Primary endpoints</w:t>
      </w:r>
    </w:p>
    <w:p w14:paraId="48186FE6" w14:textId="4ED9C45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incidences of bradycardia, hypotension, ST-T segment changes</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w:t>
      </w:r>
      <w:r w:rsidR="00FF7534">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Table 2). The incidence of tachycardia did not differ significantly between groups (Table 2). cTnI levels in the propofol and etomidate groups were comparable both before the induction of anesthesia (0.009 ± 0.003 ng</w:t>
      </w:r>
      <w:r w:rsidR="00E304B1"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mL and 0.010 ± 0.001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respectively) and</w:t>
      </w:r>
      <w:r w:rsidR="00FF7534">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24 h after surgery (0.012 ± 0.005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xml:space="preserve"> and 0.011 ± 0.002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respectively).</w:t>
      </w:r>
    </w:p>
    <w:p w14:paraId="6C89B241" w14:textId="77777777" w:rsidR="00A77B3E" w:rsidRPr="00AE0331" w:rsidRDefault="00A77B3E" w:rsidP="00592FA5">
      <w:pPr>
        <w:spacing w:line="360" w:lineRule="auto"/>
        <w:jc w:val="both"/>
        <w:rPr>
          <w:rFonts w:ascii="Book Antiqua" w:hAnsi="Book Antiqua"/>
        </w:rPr>
      </w:pPr>
    </w:p>
    <w:p w14:paraId="7988506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Secondary endpoints</w:t>
      </w:r>
    </w:p>
    <w:p w14:paraId="7D82B705" w14:textId="134E65F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There were no significant differences between the propofol and etomidate groups in HR, SBP,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MAP immediately before the induction of anesthesia (Table 3). Both groups exhibited reductions in HR, SBP,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MAP following the induction of anesthesia, but these changes were more prominent in the propofol group (Table 3). When compared with the etomidate group, the propofol group had significantly lower HR at 3 min after anesthetic injection and</w:t>
      </w:r>
      <w:r w:rsidRPr="00AE0331">
        <w:rPr>
          <w:rFonts w:ascii="Book Antiqua" w:eastAsia="Book Antiqua" w:hAnsi="Book Antiqua" w:cs="Book Antiqua"/>
          <w:color w:val="000000"/>
          <w:shd w:val="clear" w:color="auto" w:fill="FFFFFF"/>
        </w:rPr>
        <w:t xml:space="preserve"> immediately after tracheal intubation, lower SBP at</w:t>
      </w:r>
      <w:r w:rsidRPr="00AE0331">
        <w:rPr>
          <w:rFonts w:ascii="Book Antiqua" w:eastAsia="Book Antiqua" w:hAnsi="Book Antiqua" w:cs="Book Antiqua"/>
          <w:color w:val="000000"/>
        </w:rPr>
        <w:t xml:space="preserve"> 3 min after anesthetic injection, and lower DBP and MAP at all four time points after the induction of anesthesia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w:t>
      </w:r>
      <w:r w:rsidR="00FF7534">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Table 3).</w:t>
      </w:r>
    </w:p>
    <w:p w14:paraId="1AB42F08" w14:textId="0B3AD654"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None of the observed changes in HR required intervention. All cases of hypotension (a decrease in MAP to ≤</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70% of the baseline value) were successfully treated with single injections of phenylephrine or ephedrine. Notably, vasopressor use was significantly higher in the propofol group than in the etomidate group during the induction and maintenance periods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0.001 for both ephedrine and phenylephrine use; Table 4).</w:t>
      </w:r>
    </w:p>
    <w:p w14:paraId="0D7D1542" w14:textId="7777777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The BIS values were not significantly different between the propofol and etomidate groups at all time points (Table 5).</w:t>
      </w:r>
    </w:p>
    <w:p w14:paraId="12A5462B" w14:textId="77777777" w:rsidR="00A77B3E" w:rsidRPr="00AE0331" w:rsidRDefault="00A77B3E" w:rsidP="00592FA5">
      <w:pPr>
        <w:spacing w:line="360" w:lineRule="auto"/>
        <w:ind w:firstLine="480"/>
        <w:jc w:val="both"/>
        <w:rPr>
          <w:rFonts w:ascii="Book Antiqua" w:hAnsi="Book Antiqua"/>
        </w:rPr>
      </w:pPr>
    </w:p>
    <w:p w14:paraId="69819425"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DISCUSSION</w:t>
      </w:r>
    </w:p>
    <w:p w14:paraId="2B1D35F2" w14:textId="41AABA8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An important finding of the present study was that the incidences of bradycardia, hypotension, ST-T segment changes</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in patients with CHD undergoing noncardiac major surgery were significantly higher for propofol-based general anesthesia than for etomidate-based anesthesia. Furthermore, in comparison with the etomidate group, the propofol group had significantly lower HR, SBP, DBP</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MAP at </w:t>
      </w:r>
      <w:r w:rsidRPr="00AE0331">
        <w:rPr>
          <w:rFonts w:ascii="Book Antiqua" w:eastAsia="Book Antiqua" w:hAnsi="Book Antiqua" w:cs="Book Antiqua"/>
          <w:color w:val="000000"/>
          <w:shd w:val="clear" w:color="auto" w:fill="FFFFFF"/>
        </w:rPr>
        <w:t>various time points after the induction of anesthesia</w:t>
      </w:r>
      <w:r w:rsidRPr="00AE0331">
        <w:rPr>
          <w:rFonts w:ascii="Book Antiqua" w:eastAsia="Book Antiqua" w:hAnsi="Book Antiqua" w:cs="Book Antiqua"/>
          <w:color w:val="000000"/>
        </w:rPr>
        <w:t xml:space="preserve">. Additionally, vasopressor use was significantly </w:t>
      </w:r>
      <w:r w:rsidR="00D85B66">
        <w:rPr>
          <w:rFonts w:ascii="Book Antiqua" w:eastAsia="Book Antiqua" w:hAnsi="Book Antiqua" w:cs="Book Antiqua"/>
          <w:color w:val="000000"/>
        </w:rPr>
        <w:t>more</w:t>
      </w:r>
      <w:r w:rsidR="00D85B66"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in the propofol group than in the etomidate group during the induction and maintenance periods. The above data suggest that etomidate-based anesthesia may be preferable to propofol-based anesthesia in patients with CHD undergoing noncardiac major surgery.</w:t>
      </w:r>
    </w:p>
    <w:p w14:paraId="1AAB4AFA" w14:textId="64631553"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lastRenderedPageBreak/>
        <w:t>Monitored anesthesia care is frequently considered</w:t>
      </w:r>
      <w:r w:rsidR="00D85B66">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a means to </w:t>
      </w:r>
      <w:r w:rsidR="00D85B66" w:rsidRPr="00AE0331">
        <w:rPr>
          <w:rFonts w:ascii="Book Antiqua" w:eastAsia="Book Antiqua" w:hAnsi="Book Antiqua" w:cs="Book Antiqua"/>
          <w:color w:val="000000"/>
        </w:rPr>
        <w:t>increas</w:t>
      </w:r>
      <w:r w:rsidR="00D85B66">
        <w:rPr>
          <w:rFonts w:ascii="Book Antiqua" w:eastAsia="Book Antiqua" w:hAnsi="Book Antiqua" w:cs="Book Antiqua"/>
          <w:color w:val="000000"/>
        </w:rPr>
        <w:t>e</w:t>
      </w:r>
      <w:r w:rsidR="00D85B66"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safety when anesthetists are confronted with a patient who has complex cardiac physiology.</w:t>
      </w:r>
      <w:r w:rsidRPr="00AE0331">
        <w:rPr>
          <w:rFonts w:ascii="Book Antiqua" w:eastAsia="Book Antiqua" w:hAnsi="Book Antiqua" w:cs="Book Antiqua"/>
          <w:color w:val="000000"/>
          <w:shd w:val="clear" w:color="auto" w:fill="FFFFFF"/>
        </w:rPr>
        <w:t xml:space="preserve"> This is understandable because general anesthesia is known to be associated with a risk of perioperative cardiac complications, and this risk is particularly high in patients with CHD</w:t>
      </w:r>
      <w:r w:rsidRPr="00AE0331">
        <w:rPr>
          <w:rFonts w:ascii="Book Antiqua" w:eastAsia="Book Antiqua" w:hAnsi="Book Antiqua" w:cs="Book Antiqua"/>
          <w:color w:val="000000"/>
          <w:shd w:val="clear" w:color="auto" w:fill="FFFFFF"/>
          <w:vertAlign w:val="superscript"/>
        </w:rPr>
        <w:t>[</w:t>
      </w:r>
      <w:hyperlink w:anchor="_ENREF_3" w:tooltip="Seki, 2005 #3" w:history="1">
        <w:r w:rsidRPr="00AE0331">
          <w:rPr>
            <w:rFonts w:ascii="Book Antiqua" w:eastAsia="Book Antiqua" w:hAnsi="Book Antiqua" w:cs="Book Antiqua"/>
            <w:color w:val="000000"/>
            <w:shd w:val="clear" w:color="auto" w:fill="FFFFFF"/>
            <w:vertAlign w:val="superscript"/>
          </w:rPr>
          <w:t>3-5</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In part, the risks of general anesthesia in patients with CHD may be related to their hemodynamic effects. In the present study, the reductions in HR, SBP, DBP</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MAP during the induction of anesthesia were significantly greater for propofol (supplemented by remifentanil) than for etomidate (supplemented by remifentanil). Our findings are in good agreement with previous research indicating that propofol decreases blood pressure</w:t>
      </w:r>
      <w:r w:rsidRPr="00AE0331">
        <w:rPr>
          <w:rFonts w:ascii="Book Antiqua" w:eastAsia="Book Antiqua" w:hAnsi="Book Antiqua" w:cs="Book Antiqua"/>
          <w:color w:val="000000"/>
          <w:shd w:val="clear" w:color="auto" w:fill="FFFFFF"/>
          <w:vertAlign w:val="superscript"/>
        </w:rPr>
        <w:t>[</w:t>
      </w:r>
      <w:hyperlink w:anchor="_ENREF_12" w:tooltip="Farhan, 2015 #12" w:history="1">
        <w:r w:rsidRPr="00AE0331">
          <w:rPr>
            <w:rFonts w:ascii="Book Antiqua" w:eastAsia="Book Antiqua" w:hAnsi="Book Antiqua" w:cs="Book Antiqua"/>
            <w:color w:val="000000"/>
            <w:shd w:val="clear" w:color="auto" w:fill="FFFFFF"/>
            <w:vertAlign w:val="superscript"/>
          </w:rPr>
          <w:t>12-14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and impairs cardiovascular function in patients with CHD</w:t>
      </w:r>
      <w:r w:rsidRPr="00AE0331">
        <w:rPr>
          <w:rFonts w:ascii="Book Antiqua" w:eastAsia="Book Antiqua" w:hAnsi="Book Antiqua" w:cs="Book Antiqua"/>
          <w:color w:val="000000"/>
          <w:shd w:val="clear" w:color="auto" w:fill="FFFFFF"/>
          <w:vertAlign w:val="superscript"/>
        </w:rPr>
        <w:t>[</w:t>
      </w:r>
      <w:hyperlink w:anchor="_ENREF_17" w:tooltip="Baumert, 2008 #18" w:history="1">
        <w:r w:rsidRPr="00AE0331">
          <w:rPr>
            <w:rFonts w:ascii="Book Antiqua" w:eastAsia="Book Antiqua" w:hAnsi="Book Antiqua" w:cs="Book Antiqua"/>
            <w:color w:val="000000"/>
            <w:shd w:val="clear" w:color="auto" w:fill="FFFFFF"/>
            <w:vertAlign w:val="superscript"/>
          </w:rPr>
          <w:t>17</w:t>
        </w:r>
      </w:hyperlink>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whereas etomidate is associated with smaller inhibitory effects on hemodynamics in patients with CHD</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hyperlink w:anchor="_ENREF_20" w:tooltip="Haessler, 1992 #20" w:history="1">
        <w:r w:rsidRPr="00AE0331">
          <w:rPr>
            <w:rFonts w:ascii="Book Antiqua" w:eastAsia="Book Antiqua" w:hAnsi="Book Antiqua" w:cs="Book Antiqua"/>
            <w:color w:val="000000"/>
            <w:shd w:val="clear" w:color="auto" w:fill="FFFFFF"/>
            <w:vertAlign w:val="superscript"/>
          </w:rPr>
          <w:t>20</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Notably, etomidate has also been reported to cause less hemodynamic instability than propofol in the setting of congenital heart disease and impaired cardiac function</w:t>
      </w:r>
      <w:r w:rsidRPr="00AE0331">
        <w:rPr>
          <w:rFonts w:ascii="Book Antiqua" w:eastAsia="Book Antiqua" w:hAnsi="Book Antiqua" w:cs="Book Antiqua"/>
          <w:color w:val="000000"/>
          <w:vertAlign w:val="superscript"/>
        </w:rPr>
        <w:t>[</w:t>
      </w:r>
      <w:hyperlink w:anchor="_ENREF_22" w:tooltip="Andropoulos, 2002 #23" w:history="1">
        <w:r w:rsidRPr="00AE0331">
          <w:rPr>
            <w:rFonts w:ascii="Book Antiqua" w:eastAsia="Book Antiqua" w:hAnsi="Book Antiqua" w:cs="Book Antiqua"/>
            <w:color w:val="000000"/>
            <w:vertAlign w:val="superscript"/>
          </w:rPr>
          <w:t>22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t>
      </w:r>
    </w:p>
    <w:p w14:paraId="386805EE" w14:textId="38C39BD0"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Adult patients with CHD are now surviving longer than ever before, and it is becoming increasingly apparent that even the simplest coronary lesions can be associated with long-term complications. A previous study concluded that propofol anesthesia was associated with decreases in arterial blood pressure, myocardial blood flow</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myocardial oxygen consumption and (in one case) an increase in myocardial lactate production</w:t>
      </w:r>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while another described ischemic ECG changes during propofol anesthesia</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These previous findings suggest that propofol-based general anesthesia might induce myocardial ischemia in certain patients with CHD. In the present analysis, propofol-based anesthesia was associated with significantly higher incidences of bradycardia, hypotension, ST-T segment abnormalities</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ventricular premature beats than etomidate-based anesthesia, implying that etomidate may be associated with a lower risk of these cardiovascular events than propofol, perhaps because etomidate is associated with better </w:t>
      </w:r>
      <w:r w:rsidRPr="00AE0331">
        <w:rPr>
          <w:rFonts w:ascii="Book Antiqua" w:eastAsia="Book Antiqua" w:hAnsi="Book Antiqua" w:cs="Book Antiqua"/>
          <w:color w:val="000000"/>
        </w:rPr>
        <w:t>hemodynamic stability than propofol</w:t>
      </w:r>
      <w:r w:rsidRPr="00AE0331">
        <w:rPr>
          <w:rFonts w:ascii="Book Antiqua" w:eastAsia="Book Antiqua" w:hAnsi="Book Antiqua" w:cs="Book Antiqua"/>
          <w:color w:val="000000"/>
          <w:vertAlign w:val="superscript"/>
        </w:rPr>
        <w:t>[</w:t>
      </w:r>
      <w:hyperlink w:anchor="_ENREF_23" w:tooltip="Aggarwal, 2016 #24" w:history="1">
        <w:r w:rsidRPr="00AE0331">
          <w:rPr>
            <w:rFonts w:ascii="Book Antiqua" w:eastAsia="Book Antiqua" w:hAnsi="Book Antiqua" w:cs="Book Antiqua"/>
            <w:color w:val="000000"/>
            <w:vertAlign w:val="superscript"/>
          </w:rPr>
          <w:t>23</w:t>
        </w:r>
      </w:hyperlink>
      <w:r w:rsidRPr="00AE0331">
        <w:rPr>
          <w:rFonts w:ascii="Book Antiqua" w:eastAsia="Book Antiqua" w:hAnsi="Book Antiqua" w:cs="Book Antiqua"/>
          <w:color w:val="000000"/>
          <w:vertAlign w:val="superscript"/>
        </w:rPr>
        <w:t>,</w:t>
      </w:r>
      <w:hyperlink w:anchor="_ENREF_24" w:tooltip="Kaushal, 2015 #25" w:history="1">
        <w:r w:rsidRPr="00AE0331">
          <w:rPr>
            <w:rFonts w:ascii="Book Antiqua" w:eastAsia="Book Antiqua" w:hAnsi="Book Antiqua" w:cs="Book Antiqua"/>
            <w:color w:val="000000"/>
            <w:vertAlign w:val="superscript"/>
          </w:rPr>
          <w:t>24</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Although there is some evidence that propofol may have advantages over etomidate with regard to reducing the stress response and minimizing ischemic ECG changes</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1" w:tooltip="Singh, 2010 #22" w:history="1">
        <w:r w:rsidRPr="00AE0331">
          <w:rPr>
            <w:rFonts w:ascii="Book Antiqua" w:eastAsia="Book Antiqua" w:hAnsi="Book Antiqua" w:cs="Book Antiqua"/>
            <w:color w:val="000000"/>
            <w:vertAlign w:val="superscript"/>
          </w:rPr>
          <w:t>21</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our results suggest that ST-</w:t>
      </w:r>
      <w:r w:rsidRPr="00AE0331">
        <w:rPr>
          <w:rFonts w:ascii="Book Antiqua" w:eastAsia="Book Antiqua" w:hAnsi="Book Antiqua" w:cs="Book Antiqua"/>
          <w:color w:val="000000"/>
        </w:rPr>
        <w:lastRenderedPageBreak/>
        <w:t>T segment abnormalities and other cardiovascular events occur less frequently for etomidate than for propofol during the induction of anesthesia.</w:t>
      </w:r>
    </w:p>
    <w:p w14:paraId="09B83C47" w14:textId="2074AE8E"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Etomidate, an imidazole-derived ultrashort-acting nonbarbiturate hypnotic, is frequently used to induce anesthesia in critically ill patients because of its hemodynamic safety, rapid onset</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short duration of action</w:t>
      </w:r>
      <w:r w:rsidRPr="00AE0331">
        <w:rPr>
          <w:rFonts w:ascii="Book Antiqua" w:eastAsia="Book Antiqua" w:hAnsi="Book Antiqua" w:cs="Book Antiqua"/>
          <w:color w:val="000000"/>
          <w:vertAlign w:val="superscript"/>
        </w:rPr>
        <w:t>[</w:t>
      </w:r>
      <w:hyperlink w:anchor="_ENREF_25" w:tooltip="Cherfan, 2012 #26" w:history="1">
        <w:r w:rsidRPr="00AE0331">
          <w:rPr>
            <w:rFonts w:ascii="Book Antiqua" w:eastAsia="Book Antiqua" w:hAnsi="Book Antiqua" w:cs="Book Antiqua"/>
            <w:color w:val="000000"/>
            <w:vertAlign w:val="superscript"/>
          </w:rPr>
          <w:t>25</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However, </w:t>
      </w:r>
      <w:r w:rsidRPr="00AE0331">
        <w:rPr>
          <w:rFonts w:ascii="Book Antiqua" w:eastAsia="Book Antiqua" w:hAnsi="Book Antiqua" w:cs="Book Antiqua"/>
          <w:color w:val="000000"/>
          <w:shd w:val="clear" w:color="auto" w:fill="FFFFFF"/>
        </w:rPr>
        <w:t>although etomidate offers the advantage of minimizing hypotension that can cause coronary hypoperfusion, dysrhythmia</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cardiac arrest, a </w:t>
      </w:r>
      <w:r w:rsidRPr="00AE0331">
        <w:rPr>
          <w:rFonts w:ascii="Book Antiqua" w:eastAsia="Book Antiqua" w:hAnsi="Book Antiqua" w:cs="Book Antiqua"/>
          <w:color w:val="000000"/>
        </w:rPr>
        <w:t>previous</w:t>
      </w:r>
      <w:r w:rsidRPr="00AE0331">
        <w:rPr>
          <w:rFonts w:ascii="Book Antiqua" w:eastAsia="Book Antiqua" w:hAnsi="Book Antiqua" w:cs="Book Antiqua"/>
          <w:color w:val="000000"/>
          <w:shd w:val="clear" w:color="auto" w:fill="FFFFFF"/>
        </w:rPr>
        <w:t xml:space="preserve"> clinical study reported that induction of anesthesia with etomidate rather than propofol was associated with increased 30</w:t>
      </w:r>
      <w:r w:rsidR="00AE0331" w:rsidRPr="00AE0331">
        <w:rPr>
          <w:rFonts w:ascii="Book Antiqua" w:eastAsia="Book Antiqua" w:hAnsi="Book Antiqua" w:cs="Book Antiqua"/>
          <w:color w:val="000000"/>
          <w:shd w:val="clear" w:color="auto" w:fill="FFFFFF"/>
        </w:rPr>
        <w:t xml:space="preserve"> d</w:t>
      </w:r>
      <w:r w:rsidRPr="00AE0331">
        <w:rPr>
          <w:rFonts w:ascii="Book Antiqua" w:eastAsia="Book Antiqua" w:hAnsi="Book Antiqua" w:cs="Book Antiqua"/>
          <w:color w:val="000000"/>
          <w:shd w:val="clear" w:color="auto" w:fill="FFFFFF"/>
        </w:rPr>
        <w:t xml:space="preserve"> mortality and cardiovascular morbidity after noncardiac surgery as well as a prolonged duration of hospitalization</w:t>
      </w:r>
      <w:r w:rsidRPr="00AE0331">
        <w:rPr>
          <w:rFonts w:ascii="Book Antiqua" w:eastAsia="Book Antiqua" w:hAnsi="Book Antiqua" w:cs="Book Antiqua"/>
          <w:color w:val="000000"/>
          <w:shd w:val="clear" w:color="auto" w:fill="FFFFFF"/>
          <w:vertAlign w:val="superscript"/>
        </w:rPr>
        <w:t>[</w:t>
      </w:r>
      <w:hyperlink w:anchor="_ENREF_26" w:tooltip="Komatsu, 2013 #27" w:history="1">
        <w:r w:rsidRPr="00AE0331">
          <w:rPr>
            <w:rFonts w:ascii="Book Antiqua" w:eastAsia="Book Antiqua" w:hAnsi="Book Antiqua" w:cs="Book Antiqua"/>
            <w:color w:val="000000"/>
            <w:shd w:val="clear" w:color="auto" w:fill="FFFFFF"/>
            <w:vertAlign w:val="superscript"/>
          </w:rPr>
          <w:t>26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It is possible that some of the effects reported in this earlier study resulted from a suppression of adrenocortical function by etomidate</w:t>
      </w:r>
      <w:r w:rsidRPr="00AE0331">
        <w:rPr>
          <w:rFonts w:ascii="Book Antiqua" w:eastAsia="Book Antiqua" w:hAnsi="Book Antiqua" w:cs="Book Antiqua"/>
          <w:color w:val="000000"/>
          <w:shd w:val="clear" w:color="auto" w:fill="FFFFFF"/>
          <w:vertAlign w:val="superscript"/>
        </w:rPr>
        <w:t>[</w:t>
      </w:r>
      <w:hyperlink w:anchor="_ENREF_27" w:tooltip="Albert, 2011 #28" w:history="1">
        <w:r w:rsidRPr="00AE0331">
          <w:rPr>
            <w:rFonts w:ascii="Book Antiqua" w:eastAsia="Book Antiqua" w:hAnsi="Book Antiqua" w:cs="Book Antiqua"/>
            <w:color w:val="000000"/>
            <w:shd w:val="clear" w:color="auto" w:fill="FFFFFF"/>
            <w:vertAlign w:val="superscript"/>
          </w:rPr>
          <w:t>27</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However, this prior study was retrospective and the patients were not randomized to etomidate- or propofol-based anesthesia, so the results may have been influenced by confounding factors. Indeed, other investigations did not find a longer duration of hospital stay or increased mortality for etomidate-based anesthesia than for propofol-based anesthesia</w:t>
      </w:r>
      <w:r w:rsidRPr="00AE0331">
        <w:rPr>
          <w:rFonts w:ascii="Book Antiqua" w:eastAsia="Book Antiqua" w:hAnsi="Book Antiqua" w:cs="Book Antiqua"/>
          <w:color w:val="000000"/>
          <w:shd w:val="clear" w:color="auto" w:fill="FFFFFF"/>
          <w:vertAlign w:val="superscript"/>
        </w:rPr>
        <w:t>[</w:t>
      </w:r>
      <w:hyperlink w:anchor="_ENREF_28" w:tooltip="Basciani, 2016 #29" w:history="1">
        <w:r w:rsidRPr="00AE0331">
          <w:rPr>
            <w:rFonts w:ascii="Book Antiqua" w:eastAsia="Book Antiqua" w:hAnsi="Book Antiqua" w:cs="Book Antiqua"/>
            <w:color w:val="000000"/>
            <w:shd w:val="clear" w:color="auto" w:fill="FFFFFF"/>
            <w:vertAlign w:val="superscript"/>
          </w:rPr>
          <w:t>28</w:t>
        </w:r>
      </w:hyperlink>
      <w:r w:rsidRPr="00AE0331">
        <w:rPr>
          <w:rFonts w:ascii="Book Antiqua" w:eastAsia="Book Antiqua" w:hAnsi="Book Antiqua" w:cs="Book Antiqua"/>
          <w:color w:val="000000"/>
          <w:shd w:val="clear" w:color="auto" w:fill="FFFFFF"/>
          <w:vertAlign w:val="superscript"/>
        </w:rPr>
        <w:t>,</w:t>
      </w:r>
      <w:hyperlink w:anchor="_ENREF_29" w:tooltip="Romito, 2015 #30" w:history="1">
        <w:r w:rsidRPr="00AE0331">
          <w:rPr>
            <w:rFonts w:ascii="Book Antiqua" w:eastAsia="Book Antiqua" w:hAnsi="Book Antiqua" w:cs="Book Antiqua"/>
            <w:color w:val="000000"/>
            <w:shd w:val="clear" w:color="auto" w:fill="FFFFFF"/>
            <w:vertAlign w:val="superscript"/>
          </w:rPr>
          <w:t>29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w:t>
      </w:r>
    </w:p>
    <w:p w14:paraId="7BED27D6" w14:textId="4835FB7A" w:rsidR="00A77B3E" w:rsidRPr="00AE0331" w:rsidRDefault="00682851" w:rsidP="00592FA5">
      <w:pPr>
        <w:spacing w:line="360" w:lineRule="auto"/>
        <w:ind w:firstLine="420"/>
        <w:jc w:val="both"/>
        <w:rPr>
          <w:rFonts w:ascii="Book Antiqua" w:hAnsi="Book Antiqua"/>
        </w:rPr>
      </w:pPr>
      <w:r w:rsidRPr="00AE0331">
        <w:rPr>
          <w:rFonts w:ascii="Book Antiqua" w:eastAsia="Book Antiqua" w:hAnsi="Book Antiqua" w:cs="Book Antiqua"/>
          <w:color w:val="000000"/>
        </w:rPr>
        <w:t>The present study did not detect any notable increase in cTnI level at 24 h after surgery in either the propofol or etomidate group. Nevertheless, we would recommend postoperative troponin monitoring in all patients with known cardiovascular risk who are undergoing major surgery, as suggested by others</w:t>
      </w:r>
      <w:r w:rsidRPr="00AE0331">
        <w:rPr>
          <w:rFonts w:ascii="Book Antiqua" w:eastAsia="Book Antiqua" w:hAnsi="Book Antiqua" w:cs="Book Antiqua"/>
          <w:color w:val="000000"/>
          <w:vertAlign w:val="superscript"/>
        </w:rPr>
        <w:t>[</w:t>
      </w:r>
      <w:hyperlink w:anchor="_ENREF_30" w:tooltip="Biccard, 2014 #31" w:history="1">
        <w:r w:rsidRPr="00AE0331">
          <w:rPr>
            <w:rFonts w:ascii="Book Antiqua" w:eastAsia="Book Antiqua" w:hAnsi="Book Antiqua" w:cs="Book Antiqua"/>
            <w:color w:val="000000"/>
            <w:vertAlign w:val="superscript"/>
          </w:rPr>
          <w:t>30-33</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Without early postoperative monitoring of troponin, physicians would be likely to miss </w:t>
      </w:r>
      <w:r w:rsidR="00D85B66">
        <w:rPr>
          <w:rFonts w:ascii="Book Antiqua" w:eastAsia="Book Antiqua" w:hAnsi="Book Antiqua" w:cs="Book Antiqua"/>
          <w:color w:val="000000"/>
        </w:rPr>
        <w:t>2/3</w:t>
      </w:r>
      <w:r w:rsidRPr="00AE0331">
        <w:rPr>
          <w:rFonts w:ascii="Book Antiqua" w:eastAsia="Book Antiqua" w:hAnsi="Book Antiqua" w:cs="Book Antiqua"/>
          <w:color w:val="000000"/>
        </w:rPr>
        <w:t xml:space="preserve"> of the MIs that occur, and asymptomatic MIs carry the same high risk of 30</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d mortality as symptomatic MIs</w:t>
      </w:r>
      <w:r w:rsidRPr="00AE0331">
        <w:rPr>
          <w:rFonts w:ascii="Book Antiqua" w:eastAsia="Book Antiqua" w:hAnsi="Book Antiqua" w:cs="Book Antiqua"/>
          <w:color w:val="000000"/>
          <w:vertAlign w:val="superscript"/>
        </w:rPr>
        <w:t>[</w:t>
      </w:r>
      <w:hyperlink w:anchor="_ENREF_32" w:tooltip="Devereaux, 2011 #33" w:history="1">
        <w:r w:rsidRPr="00AE0331">
          <w:rPr>
            <w:rFonts w:ascii="Book Antiqua" w:eastAsia="Book Antiqua" w:hAnsi="Book Antiqua" w:cs="Book Antiqua"/>
            <w:color w:val="000000"/>
            <w:vertAlign w:val="superscript"/>
          </w:rPr>
          <w:t>32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w:t>
      </w:r>
    </w:p>
    <w:p w14:paraId="541E37D9" w14:textId="6A3F9A5A"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Our study has several limitations. First, the sample size was small, so the study may have been underpowered to detect some real differences between groups. Second, this was a single-center study, so the generalizability of the findings is not known. Third, the follow-up period was only 24 h, so longer-term outcomes such as duration of hospital stay, cardiovascular morbidity</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30</w:t>
      </w:r>
      <w:r w:rsidR="00AE0331" w:rsidRPr="00AE0331">
        <w:rPr>
          <w:rFonts w:ascii="Book Antiqua" w:eastAsia="Book Antiqua" w:hAnsi="Book Antiqua" w:cs="Book Antiqua"/>
          <w:color w:val="000000"/>
        </w:rPr>
        <w:t xml:space="preserve"> d</w:t>
      </w:r>
      <w:r w:rsidRPr="00AE0331">
        <w:rPr>
          <w:rFonts w:ascii="Book Antiqua" w:eastAsia="Book Antiqua" w:hAnsi="Book Antiqua" w:cs="Book Antiqua"/>
          <w:color w:val="000000"/>
        </w:rPr>
        <w:t xml:space="preserve"> mortality were not evaluated. Fourth, as with any observational study, unknown confounding factors may have influenced the results. </w:t>
      </w:r>
    </w:p>
    <w:p w14:paraId="26516A75" w14:textId="77777777" w:rsidR="00A77B3E" w:rsidRPr="00AE0331" w:rsidRDefault="00A77B3E" w:rsidP="00592FA5">
      <w:pPr>
        <w:spacing w:line="360" w:lineRule="auto"/>
        <w:ind w:firstLine="480"/>
        <w:jc w:val="both"/>
        <w:rPr>
          <w:rFonts w:ascii="Book Antiqua" w:hAnsi="Book Antiqua"/>
        </w:rPr>
      </w:pPr>
    </w:p>
    <w:p w14:paraId="1C6DD031"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lastRenderedPageBreak/>
        <w:t>CONCLUSION</w:t>
      </w:r>
    </w:p>
    <w:p w14:paraId="3BD8986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For patients with CHD undergoing noncardiac major surgery, etomidate-based anesthesia may be preferable to propofol-based anesthesia due to a lower incidence of cardiovascular events and smaller hemodynamic changes.</w:t>
      </w:r>
    </w:p>
    <w:p w14:paraId="7F5C8960" w14:textId="77777777" w:rsidR="00A77B3E" w:rsidRPr="00AE0331" w:rsidRDefault="00A77B3E" w:rsidP="00592FA5">
      <w:pPr>
        <w:spacing w:line="360" w:lineRule="auto"/>
        <w:jc w:val="both"/>
        <w:rPr>
          <w:rFonts w:ascii="Book Antiqua" w:hAnsi="Book Antiqua"/>
        </w:rPr>
      </w:pPr>
    </w:p>
    <w:p w14:paraId="1C0F2AC7"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ARTICLE HIGHLIGHTS</w:t>
      </w:r>
    </w:p>
    <w:p w14:paraId="0CE8D45C"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background</w:t>
      </w:r>
    </w:p>
    <w:p w14:paraId="5B278C83" w14:textId="26E65C53"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choice of anesthetic strategy in patients with coronary heart disease (CHD) undergoing major noncardiac surgery is becoming an increasingly important issue as the population ages.</w:t>
      </w:r>
    </w:p>
    <w:p w14:paraId="1746552F" w14:textId="77777777" w:rsidR="00A77B3E" w:rsidRPr="00AE0331" w:rsidRDefault="00A77B3E" w:rsidP="00592FA5">
      <w:pPr>
        <w:spacing w:line="360" w:lineRule="auto"/>
        <w:jc w:val="both"/>
        <w:rPr>
          <w:rFonts w:ascii="Book Antiqua" w:hAnsi="Book Antiqua"/>
        </w:rPr>
      </w:pPr>
    </w:p>
    <w:p w14:paraId="003EAC8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motivation</w:t>
      </w:r>
    </w:p>
    <w:p w14:paraId="7F6CFF84" w14:textId="25114BF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Perioperative cardiac complications including myocardial infarction have been reported in around 15% of patients with CHD who undergo noncardiac surgery. It is thus essential to utilize strategies that maintain hemodynamic stability, adequate oxygenation</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a good analgesic effect while minimizing the risk of perioperative ischemia, and this requires a multidisciplinary approach. </w:t>
      </w:r>
    </w:p>
    <w:p w14:paraId="13937AAC" w14:textId="77777777" w:rsidR="00A77B3E" w:rsidRPr="00AE0331" w:rsidRDefault="00A77B3E" w:rsidP="00592FA5">
      <w:pPr>
        <w:spacing w:line="360" w:lineRule="auto"/>
        <w:jc w:val="both"/>
        <w:rPr>
          <w:rFonts w:ascii="Book Antiqua" w:hAnsi="Book Antiqua"/>
        </w:rPr>
      </w:pPr>
    </w:p>
    <w:p w14:paraId="1BD5C2D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objectives</w:t>
      </w:r>
    </w:p>
    <w:p w14:paraId="729FBDD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To compare hemodynamic function and cardiovascular event rate between etomidate- and propofol-based anesthesia in patients with CHD.</w:t>
      </w:r>
      <w:r w:rsidRPr="00AE0331">
        <w:rPr>
          <w:rFonts w:ascii="Book Antiqua" w:eastAsia="Book Antiqua" w:hAnsi="Book Antiqua" w:cs="Book Antiqua"/>
          <w:color w:val="000000"/>
          <w:shd w:val="clear" w:color="auto" w:fill="FFFFFF"/>
        </w:rPr>
        <w:t xml:space="preserve"> </w:t>
      </w:r>
    </w:p>
    <w:p w14:paraId="7541D85C" w14:textId="77777777" w:rsidR="00A77B3E" w:rsidRPr="00AE0331" w:rsidRDefault="00A77B3E" w:rsidP="00592FA5">
      <w:pPr>
        <w:spacing w:line="360" w:lineRule="auto"/>
        <w:jc w:val="both"/>
        <w:rPr>
          <w:rFonts w:ascii="Book Antiqua" w:hAnsi="Book Antiqua"/>
        </w:rPr>
      </w:pPr>
    </w:p>
    <w:p w14:paraId="7A162EB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methods</w:t>
      </w:r>
    </w:p>
    <w:p w14:paraId="400C0976" w14:textId="59FD477E"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randomized clinical trial enrolled consecutive patients with stable CHD undergoing major noncardiac surgery.</w:t>
      </w:r>
      <w:r w:rsidR="00AE0331" w:rsidRPr="00AE0331">
        <w:rPr>
          <w:rFonts w:ascii="Book Antiqua" w:eastAsia="Book Antiqua" w:hAnsi="Book Antiqua" w:cs="Book Antiqua"/>
          <w:color w:val="000000"/>
          <w:shd w:val="clear" w:color="auto" w:fill="FFFFFF"/>
        </w:rPr>
        <w:t xml:space="preserve"> </w:t>
      </w:r>
      <w:r w:rsidR="00D85B66">
        <w:rPr>
          <w:rFonts w:ascii="Book Antiqua" w:eastAsia="Book Antiqua" w:hAnsi="Book Antiqua" w:cs="Book Antiqua"/>
          <w:color w:val="000000"/>
          <w:shd w:val="clear" w:color="auto" w:fill="FFFFFF"/>
        </w:rPr>
        <w:t>The p</w:t>
      </w:r>
      <w:r w:rsidR="00D85B66" w:rsidRPr="00AE0331">
        <w:rPr>
          <w:rFonts w:ascii="Book Antiqua" w:eastAsia="Book Antiqua" w:hAnsi="Book Antiqua" w:cs="Book Antiqua"/>
          <w:color w:val="000000"/>
          <w:shd w:val="clear" w:color="auto" w:fill="FFFFFF"/>
        </w:rPr>
        <w:t xml:space="preserve">atients </w:t>
      </w:r>
      <w:r w:rsidRPr="00AE0331">
        <w:rPr>
          <w:rFonts w:ascii="Book Antiqua" w:eastAsia="Book Antiqua" w:hAnsi="Book Antiqua" w:cs="Book Antiqua"/>
          <w:color w:val="000000"/>
          <w:shd w:val="clear" w:color="auto" w:fill="FFFFFF"/>
        </w:rPr>
        <w:t xml:space="preserve">were randomly allocated to receive either etomidate/remifentanil-based or propofol/remifentanil-based general anesthesia. </w:t>
      </w:r>
    </w:p>
    <w:p w14:paraId="28D3D700" w14:textId="77777777" w:rsidR="00A77B3E" w:rsidRPr="00AE0331" w:rsidRDefault="00A77B3E" w:rsidP="00592FA5">
      <w:pPr>
        <w:spacing w:line="360" w:lineRule="auto"/>
        <w:jc w:val="both"/>
        <w:rPr>
          <w:rFonts w:ascii="Book Antiqua" w:hAnsi="Book Antiqua"/>
        </w:rPr>
      </w:pPr>
    </w:p>
    <w:p w14:paraId="61EBDA63"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results</w:t>
      </w:r>
    </w:p>
    <w:p w14:paraId="3025FB6E" w14:textId="26DE6F3F"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lastRenderedPageBreak/>
        <w:t>The final analysis included 40 patients in each</w:t>
      </w:r>
      <w:r w:rsidR="00A62A9E">
        <w:rPr>
          <w:rFonts w:ascii="Book Antiqua" w:eastAsia="Book Antiqua" w:hAnsi="Book Antiqua" w:cs="Book Antiqua"/>
          <w:color w:val="000000"/>
        </w:rPr>
        <w:t xml:space="preserve"> </w:t>
      </w:r>
      <w:r w:rsidRPr="00AE0331">
        <w:rPr>
          <w:rFonts w:ascii="Book Antiqua" w:eastAsia="Book Antiqua" w:hAnsi="Book Antiqua" w:cs="Book Antiqua"/>
          <w:color w:val="000000"/>
        </w:rPr>
        <w:t>group. The incidences of bradycardia, hypotension, ST-T segment changes</w:t>
      </w:r>
      <w:r w:rsidR="00A62A9E">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00AE0331"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A62A9E">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w:t>
      </w:r>
    </w:p>
    <w:p w14:paraId="3C2B8147" w14:textId="77777777" w:rsidR="00A77B3E" w:rsidRPr="00AE0331" w:rsidRDefault="00A77B3E" w:rsidP="00592FA5">
      <w:pPr>
        <w:spacing w:line="360" w:lineRule="auto"/>
        <w:jc w:val="both"/>
        <w:rPr>
          <w:rFonts w:ascii="Book Antiqua" w:hAnsi="Book Antiqua"/>
        </w:rPr>
      </w:pPr>
    </w:p>
    <w:p w14:paraId="6C0B643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conclusions</w:t>
      </w:r>
    </w:p>
    <w:p w14:paraId="0C10B9F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In patients with CHD undergoing noncardiac major surgery, etomidate-based anesthesia was associated with fewer cardiovascular events and smaller hemodynamic changes than propofol-based anesthesia.</w:t>
      </w:r>
    </w:p>
    <w:p w14:paraId="78BB4239" w14:textId="77777777" w:rsidR="00A77B3E" w:rsidRPr="00AE0331" w:rsidRDefault="00A77B3E" w:rsidP="00592FA5">
      <w:pPr>
        <w:spacing w:line="360" w:lineRule="auto"/>
        <w:jc w:val="both"/>
        <w:rPr>
          <w:rFonts w:ascii="Book Antiqua" w:hAnsi="Book Antiqua"/>
        </w:rPr>
      </w:pPr>
    </w:p>
    <w:p w14:paraId="42E86A7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perspectives</w:t>
      </w:r>
    </w:p>
    <w:p w14:paraId="6948FE1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In the future, a large prospective randomized study will definitively address the effect of etomidate on postoperative outcomes in patients with coronary heart disease undergoing major noncardiac surgery.</w:t>
      </w:r>
    </w:p>
    <w:p w14:paraId="3049A927" w14:textId="77777777" w:rsidR="00A77B3E" w:rsidRPr="00AE0331" w:rsidRDefault="00A77B3E" w:rsidP="00592FA5">
      <w:pPr>
        <w:spacing w:line="360" w:lineRule="auto"/>
        <w:jc w:val="both"/>
        <w:rPr>
          <w:rFonts w:ascii="Book Antiqua" w:hAnsi="Book Antiqua"/>
        </w:rPr>
      </w:pPr>
    </w:p>
    <w:p w14:paraId="14EB185C" w14:textId="77777777" w:rsidR="00A77B3E" w:rsidRPr="009B5B4B" w:rsidRDefault="00682851" w:rsidP="00592FA5">
      <w:pPr>
        <w:spacing w:line="360" w:lineRule="auto"/>
        <w:jc w:val="both"/>
        <w:rPr>
          <w:rFonts w:ascii="Book Antiqua" w:hAnsi="Book Antiqua"/>
          <w:u w:val="single"/>
        </w:rPr>
      </w:pPr>
      <w:r w:rsidRPr="009B5B4B">
        <w:rPr>
          <w:rFonts w:ascii="Book Antiqua" w:eastAsia="Book Antiqua" w:hAnsi="Book Antiqua" w:cs="Book Antiqua"/>
          <w:b/>
          <w:caps/>
          <w:color w:val="000000"/>
          <w:u w:val="single"/>
        </w:rPr>
        <w:t>ACKNOWLEDGEMENTS</w:t>
      </w:r>
    </w:p>
    <w:p w14:paraId="1A123713" w14:textId="1AEE4D3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We thank Hai</w:t>
      </w:r>
      <w:r w:rsidR="00A62A9E">
        <w:rPr>
          <w:rFonts w:ascii="Book Antiqua" w:eastAsia="Book Antiqua" w:hAnsi="Book Antiqua" w:cs="Book Antiqua"/>
          <w:color w:val="000000"/>
        </w:rPr>
        <w:t>-B</w:t>
      </w:r>
      <w:r w:rsidR="00A62A9E" w:rsidRPr="00AE0331">
        <w:rPr>
          <w:rFonts w:ascii="Book Antiqua" w:eastAsia="Book Antiqua" w:hAnsi="Book Antiqua" w:cs="Book Antiqua"/>
          <w:color w:val="000000"/>
        </w:rPr>
        <w:t xml:space="preserve">o </w:t>
      </w:r>
      <w:r w:rsidRPr="00AE0331">
        <w:rPr>
          <w:rFonts w:ascii="Book Antiqua" w:eastAsia="Book Antiqua" w:hAnsi="Book Antiqua" w:cs="Book Antiqua"/>
          <w:color w:val="000000"/>
        </w:rPr>
        <w:t>Wang PhD from Peking University for statistical data preparation. We also thank Professor Zheng</w:t>
      </w:r>
      <w:r w:rsidR="00A62A9E">
        <w:rPr>
          <w:rFonts w:ascii="Book Antiqua" w:eastAsia="Book Antiqua" w:hAnsi="Book Antiqua" w:cs="Book Antiqua"/>
          <w:color w:val="000000"/>
        </w:rPr>
        <w:t>-Y</w:t>
      </w:r>
      <w:r w:rsidR="00A62A9E" w:rsidRPr="00AE0331">
        <w:rPr>
          <w:rFonts w:ascii="Book Antiqua" w:eastAsia="Book Antiqua" w:hAnsi="Book Antiqua" w:cs="Book Antiqua"/>
          <w:color w:val="000000"/>
        </w:rPr>
        <w:t xml:space="preserve">uan </w:t>
      </w:r>
      <w:r w:rsidRPr="00AE0331">
        <w:rPr>
          <w:rFonts w:ascii="Book Antiqua" w:eastAsia="Book Antiqua" w:hAnsi="Book Antiqua" w:cs="Book Antiqua"/>
          <w:color w:val="000000"/>
        </w:rPr>
        <w:t>Xia from Hong Kong University for assistance in manuscript preparation. We are grateful to Zhong</w:t>
      </w:r>
      <w:r w:rsidR="00356A6B">
        <w:rPr>
          <w:rFonts w:ascii="Book Antiqua" w:eastAsia="Book Antiqua" w:hAnsi="Book Antiqua" w:cs="Book Antiqua"/>
          <w:color w:val="000000"/>
        </w:rPr>
        <w:t>-J</w:t>
      </w:r>
      <w:r w:rsidRPr="00AE0331">
        <w:rPr>
          <w:rFonts w:ascii="Book Antiqua" w:eastAsia="Book Antiqua" w:hAnsi="Book Antiqua" w:cs="Book Antiqua"/>
          <w:color w:val="000000"/>
        </w:rPr>
        <w:t>un Zhang, Xue</w:t>
      </w:r>
      <w:r w:rsidR="00356A6B">
        <w:rPr>
          <w:rFonts w:ascii="Book Antiqua" w:eastAsia="Book Antiqua" w:hAnsi="Book Antiqua" w:cs="Book Antiqua"/>
          <w:color w:val="000000"/>
        </w:rPr>
        <w:t>-P</w:t>
      </w:r>
      <w:r w:rsidRPr="00AE0331">
        <w:rPr>
          <w:rFonts w:ascii="Book Antiqua" w:eastAsia="Book Antiqua" w:hAnsi="Book Antiqua" w:cs="Book Antiqua"/>
          <w:color w:val="000000"/>
        </w:rPr>
        <w:t>ing Zhang</w:t>
      </w:r>
      <w:r w:rsidR="00A62A9E">
        <w:rPr>
          <w:rFonts w:ascii="Book Antiqua" w:eastAsia="Book Antiqua" w:hAnsi="Book Antiqua" w:cs="Book Antiqua"/>
          <w:color w:val="000000"/>
        </w:rPr>
        <w:t>,</w:t>
      </w:r>
      <w:r w:rsidRPr="00AE0331">
        <w:rPr>
          <w:rFonts w:ascii="Book Antiqua" w:eastAsia="Book Antiqua" w:hAnsi="Book Antiqua" w:cs="Book Antiqua"/>
          <w:color w:val="000000"/>
        </w:rPr>
        <w:t xml:space="preserve"> and Ya</w:t>
      </w:r>
      <w:r w:rsidR="00356A6B">
        <w:rPr>
          <w:rFonts w:ascii="Book Antiqua" w:eastAsia="Book Antiqua" w:hAnsi="Book Antiqua" w:cs="Book Antiqua"/>
          <w:color w:val="000000"/>
        </w:rPr>
        <w:t>-L</w:t>
      </w:r>
      <w:r w:rsidRPr="00AE0331">
        <w:rPr>
          <w:rFonts w:ascii="Book Antiqua" w:eastAsia="Book Antiqua" w:hAnsi="Book Antiqua" w:cs="Book Antiqua"/>
          <w:color w:val="000000"/>
        </w:rPr>
        <w:t>i Li for their crucial role in patient recruitment and data collection.</w:t>
      </w:r>
    </w:p>
    <w:p w14:paraId="47D7897A" w14:textId="77777777" w:rsidR="00A77B3E" w:rsidRPr="00AE0331" w:rsidRDefault="00A77B3E" w:rsidP="00592FA5">
      <w:pPr>
        <w:spacing w:line="360" w:lineRule="auto"/>
        <w:jc w:val="both"/>
        <w:rPr>
          <w:rFonts w:ascii="Book Antiqua" w:hAnsi="Book Antiqua"/>
        </w:rPr>
      </w:pPr>
    </w:p>
    <w:p w14:paraId="32C1E24A"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REFERENCES</w:t>
      </w:r>
    </w:p>
    <w:p w14:paraId="120BA007"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 </w:t>
      </w:r>
      <w:r w:rsidRPr="00AE0331">
        <w:rPr>
          <w:rFonts w:ascii="Book Antiqua" w:hAnsi="Book Antiqua"/>
          <w:b/>
          <w:bCs/>
        </w:rPr>
        <w:t>Brown EN</w:t>
      </w:r>
      <w:r w:rsidRPr="00AE0331">
        <w:rPr>
          <w:rFonts w:ascii="Book Antiqua" w:hAnsi="Book Antiqua"/>
        </w:rPr>
        <w:t xml:space="preserve">, Pavone KJ, Naranjo M. Multimodal General Anesthesia: Theory and Practice. </w:t>
      </w:r>
      <w:r w:rsidRPr="00AE0331">
        <w:rPr>
          <w:rFonts w:ascii="Book Antiqua" w:hAnsi="Book Antiqua"/>
          <w:i/>
          <w:iCs/>
        </w:rPr>
        <w:t>Anesth Analg</w:t>
      </w:r>
      <w:r w:rsidRPr="00AE0331">
        <w:rPr>
          <w:rFonts w:ascii="Book Antiqua" w:hAnsi="Book Antiqua"/>
        </w:rPr>
        <w:t xml:space="preserve"> 2018; </w:t>
      </w:r>
      <w:r w:rsidRPr="00AE0331">
        <w:rPr>
          <w:rFonts w:ascii="Book Antiqua" w:hAnsi="Book Antiqua"/>
          <w:b/>
          <w:bCs/>
        </w:rPr>
        <w:t>127</w:t>
      </w:r>
      <w:r w:rsidRPr="00AE0331">
        <w:rPr>
          <w:rFonts w:ascii="Book Antiqua" w:hAnsi="Book Antiqua"/>
        </w:rPr>
        <w:t>: 1246-1258 [PMID: 30252709 DOI: 10.1213/ANE.0000000000003668]</w:t>
      </w:r>
    </w:p>
    <w:p w14:paraId="6306E53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 </w:t>
      </w:r>
      <w:r w:rsidRPr="00AE0331">
        <w:rPr>
          <w:rFonts w:ascii="Book Antiqua" w:hAnsi="Book Antiqua"/>
          <w:b/>
          <w:bCs/>
        </w:rPr>
        <w:t>Rani DD</w:t>
      </w:r>
      <w:r w:rsidRPr="00AE0331">
        <w:rPr>
          <w:rFonts w:ascii="Book Antiqua" w:hAnsi="Book Antiqua"/>
        </w:rPr>
        <w:t xml:space="preserve">, Harsoor S. Depth of general anaesthesia monitors. </w:t>
      </w:r>
      <w:r w:rsidRPr="00AE0331">
        <w:rPr>
          <w:rFonts w:ascii="Book Antiqua" w:hAnsi="Book Antiqua"/>
          <w:i/>
          <w:iCs/>
        </w:rPr>
        <w:t>Indian J Anaesth</w:t>
      </w:r>
      <w:r w:rsidRPr="00AE0331">
        <w:rPr>
          <w:rFonts w:ascii="Book Antiqua" w:hAnsi="Book Antiqua"/>
        </w:rPr>
        <w:t xml:space="preserve"> 2012; </w:t>
      </w:r>
      <w:r w:rsidRPr="00AE0331">
        <w:rPr>
          <w:rFonts w:ascii="Book Antiqua" w:hAnsi="Book Antiqua"/>
          <w:b/>
          <w:bCs/>
        </w:rPr>
        <w:t>56</w:t>
      </w:r>
      <w:r w:rsidRPr="00AE0331">
        <w:rPr>
          <w:rFonts w:ascii="Book Antiqua" w:hAnsi="Book Antiqua"/>
        </w:rPr>
        <w:t>: 437-441 [PMID: 23293381 DOI: 10.4103/0019-5049.103956]</w:t>
      </w:r>
    </w:p>
    <w:p w14:paraId="1A934891"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 </w:t>
      </w:r>
      <w:r w:rsidRPr="00AE0331">
        <w:rPr>
          <w:rFonts w:ascii="Book Antiqua" w:hAnsi="Book Antiqua"/>
          <w:b/>
          <w:bCs/>
        </w:rPr>
        <w:t>Seki M</w:t>
      </w:r>
      <w:r w:rsidRPr="00AE0331">
        <w:rPr>
          <w:rFonts w:ascii="Book Antiqua" w:hAnsi="Book Antiqua"/>
        </w:rPr>
        <w:t xml:space="preserve">, Kashimoto S, Nagata O, Yoshioka H, Ishiguro T, Nishimura K, Honda O, Sakamoto A, Omi A, Ogihara Y, Fujimoto K, Iwade M, Yamada T, Nomura M, Takeda J. </w:t>
      </w:r>
      <w:r w:rsidRPr="00AE0331">
        <w:rPr>
          <w:rFonts w:ascii="Book Antiqua" w:hAnsi="Book Antiqua"/>
        </w:rPr>
        <w:lastRenderedPageBreak/>
        <w:t xml:space="preserve">Are the incidences of cardiac events during noncardiac surgery in Japan the same as in the United States and Europe? </w:t>
      </w:r>
      <w:r w:rsidRPr="00AE0331">
        <w:rPr>
          <w:rFonts w:ascii="Book Antiqua" w:hAnsi="Book Antiqua"/>
          <w:i/>
          <w:iCs/>
        </w:rPr>
        <w:t>Anesth Analg</w:t>
      </w:r>
      <w:r w:rsidRPr="00AE0331">
        <w:rPr>
          <w:rFonts w:ascii="Book Antiqua" w:hAnsi="Book Antiqua"/>
        </w:rPr>
        <w:t xml:space="preserve"> 2005; </w:t>
      </w:r>
      <w:r w:rsidRPr="00AE0331">
        <w:rPr>
          <w:rFonts w:ascii="Book Antiqua" w:hAnsi="Book Antiqua"/>
          <w:b/>
          <w:bCs/>
        </w:rPr>
        <w:t>100</w:t>
      </w:r>
      <w:r w:rsidRPr="00AE0331">
        <w:rPr>
          <w:rFonts w:ascii="Book Antiqua" w:hAnsi="Book Antiqua"/>
        </w:rPr>
        <w:t>: 1236-1240, table of contents [PMID: 15845660 DOI: 10.1213/01.ANE.0000152009.49024.F1]</w:t>
      </w:r>
    </w:p>
    <w:p w14:paraId="1F53AC4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4 </w:t>
      </w:r>
      <w:r w:rsidRPr="00AE0331">
        <w:rPr>
          <w:rFonts w:ascii="Book Antiqua" w:hAnsi="Book Antiqua"/>
          <w:b/>
          <w:bCs/>
        </w:rPr>
        <w:t>Yamada T</w:t>
      </w:r>
      <w:r w:rsidRPr="00AE0331">
        <w:rPr>
          <w:rFonts w:ascii="Book Antiqua" w:hAnsi="Book Antiqua"/>
        </w:rPr>
        <w:t xml:space="preserve">, Nomura M, Iwade M, Omi A, Kashimoto S, Yoshioka H, Kikuchi T, Fujimoto K, Honda O, Seki M, Ishiguro T, Takeda J. [Multicenter study of cardiac events and anesthetic management of patients with ischemic heart diseases undergoing noncardiac surgery]. </w:t>
      </w:r>
      <w:r w:rsidRPr="00AE0331">
        <w:rPr>
          <w:rFonts w:ascii="Book Antiqua" w:hAnsi="Book Antiqua"/>
          <w:i/>
          <w:iCs/>
        </w:rPr>
        <w:t>Masui</w:t>
      </w:r>
      <w:r w:rsidRPr="00AE0331">
        <w:rPr>
          <w:rFonts w:ascii="Book Antiqua" w:hAnsi="Book Antiqua"/>
        </w:rPr>
        <w:t xml:space="preserve"> 2000; </w:t>
      </w:r>
      <w:r w:rsidRPr="00AE0331">
        <w:rPr>
          <w:rFonts w:ascii="Book Antiqua" w:hAnsi="Book Antiqua"/>
          <w:b/>
          <w:bCs/>
        </w:rPr>
        <w:t>49</w:t>
      </w:r>
      <w:r w:rsidRPr="00AE0331">
        <w:rPr>
          <w:rFonts w:ascii="Book Antiqua" w:hAnsi="Book Antiqua"/>
        </w:rPr>
        <w:t>: 673-679 [PMID: 10885253]</w:t>
      </w:r>
    </w:p>
    <w:p w14:paraId="680421B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5 </w:t>
      </w:r>
      <w:r w:rsidRPr="00AE0331">
        <w:rPr>
          <w:rFonts w:ascii="Book Antiqua" w:hAnsi="Book Antiqua"/>
          <w:b/>
          <w:bCs/>
        </w:rPr>
        <w:t>Varma MK</w:t>
      </w:r>
      <w:r w:rsidRPr="00AE0331">
        <w:rPr>
          <w:rFonts w:ascii="Book Antiqua" w:hAnsi="Book Antiqua"/>
        </w:rPr>
        <w:t xml:space="preserve">, Puri GD, Chari P, Verma JS, Kohli KK. Perioperative myocardial infarction in coronary artery disease patients and 'at-risk' for coronary artery disease patients undergoing non-cardiac surgery. </w:t>
      </w:r>
      <w:r w:rsidRPr="00AE0331">
        <w:rPr>
          <w:rFonts w:ascii="Book Antiqua" w:hAnsi="Book Antiqua"/>
          <w:i/>
          <w:iCs/>
        </w:rPr>
        <w:t>Natl Med J India</w:t>
      </w:r>
      <w:r w:rsidRPr="00AE0331">
        <w:rPr>
          <w:rFonts w:ascii="Book Antiqua" w:hAnsi="Book Antiqua"/>
        </w:rPr>
        <w:t xml:space="preserve"> 1996; </w:t>
      </w:r>
      <w:r w:rsidRPr="00AE0331">
        <w:rPr>
          <w:rFonts w:ascii="Book Antiqua" w:hAnsi="Book Antiqua"/>
          <w:b/>
          <w:bCs/>
        </w:rPr>
        <w:t>9</w:t>
      </w:r>
      <w:r w:rsidRPr="00AE0331">
        <w:rPr>
          <w:rFonts w:ascii="Book Antiqua" w:hAnsi="Book Antiqua"/>
        </w:rPr>
        <w:t>: 214-217 [PMID: 8937059]</w:t>
      </w:r>
    </w:p>
    <w:p w14:paraId="018D423F"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6 </w:t>
      </w:r>
      <w:r w:rsidRPr="00AE0331">
        <w:rPr>
          <w:rFonts w:ascii="Book Antiqua" w:hAnsi="Book Antiqua"/>
          <w:b/>
          <w:bCs/>
        </w:rPr>
        <w:t>Wang K</w:t>
      </w:r>
      <w:r w:rsidRPr="00AE0331">
        <w:rPr>
          <w:rFonts w:ascii="Book Antiqua" w:hAnsi="Book Antiqua"/>
        </w:rPr>
        <w:t xml:space="preserve">, Yin Y. Risk Factors and Prognosis of Reintubation Following Surgeries under General Anesthesia. </w:t>
      </w:r>
      <w:r w:rsidRPr="00AE0331">
        <w:rPr>
          <w:rFonts w:ascii="Book Antiqua" w:hAnsi="Book Antiqua"/>
          <w:i/>
          <w:iCs/>
        </w:rPr>
        <w:t>Zhongguo Yi Xue Ke Xue Yuan Xue Bao</w:t>
      </w:r>
      <w:r w:rsidRPr="00AE0331">
        <w:rPr>
          <w:rFonts w:ascii="Book Antiqua" w:hAnsi="Book Antiqua"/>
        </w:rPr>
        <w:t xml:space="preserve"> 2017; </w:t>
      </w:r>
      <w:r w:rsidRPr="00AE0331">
        <w:rPr>
          <w:rFonts w:ascii="Book Antiqua" w:hAnsi="Book Antiqua"/>
          <w:b/>
          <w:bCs/>
        </w:rPr>
        <w:t>39</w:t>
      </w:r>
      <w:r w:rsidRPr="00AE0331">
        <w:rPr>
          <w:rFonts w:ascii="Book Antiqua" w:hAnsi="Book Antiqua"/>
        </w:rPr>
        <w:t>: 145-149 [PMID: 28270298 DOI: 10.3881/j.issn.1000-503X.2017.01.024]</w:t>
      </w:r>
    </w:p>
    <w:p w14:paraId="23330E2E"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7 </w:t>
      </w:r>
      <w:r w:rsidRPr="00AE0331">
        <w:rPr>
          <w:rFonts w:ascii="Book Antiqua" w:hAnsi="Book Antiqua"/>
          <w:b/>
          <w:bCs/>
        </w:rPr>
        <w:t>Fellahi JL</w:t>
      </w:r>
      <w:r w:rsidRPr="00AE0331">
        <w:rPr>
          <w:rFonts w:ascii="Book Antiqua" w:hAnsi="Book Antiqua"/>
        </w:rPr>
        <w:t xml:space="preserve">, Godier A, Benchetrit D, Berthier F, Besch G, Bochaton T, Bonnefoy-Cudraz E, Coriat P, Gayat E, Hong A, Jenck S, Le Gall A, Longrois D, Martin AC, Pili-Floury S, Piriou V, Provenchère S, Rozec B, Samain E, Schweizer R, Billard V. Perioperative management of patients with coronary artery disease undergoing non-cardiac surgery: Summary from the French Society of Anaesthesia and Intensive Care Medicine 2017 convention. </w:t>
      </w:r>
      <w:r w:rsidRPr="00AE0331">
        <w:rPr>
          <w:rFonts w:ascii="Book Antiqua" w:hAnsi="Book Antiqua"/>
          <w:i/>
          <w:iCs/>
        </w:rPr>
        <w:t>Anaesth Crit Care Pain Med</w:t>
      </w:r>
      <w:r w:rsidRPr="00AE0331">
        <w:rPr>
          <w:rFonts w:ascii="Book Antiqua" w:hAnsi="Book Antiqua"/>
        </w:rPr>
        <w:t xml:space="preserve"> 2018; </w:t>
      </w:r>
      <w:r w:rsidRPr="00AE0331">
        <w:rPr>
          <w:rFonts w:ascii="Book Antiqua" w:hAnsi="Book Antiqua"/>
          <w:b/>
          <w:bCs/>
        </w:rPr>
        <w:t>37</w:t>
      </w:r>
      <w:r w:rsidRPr="00AE0331">
        <w:rPr>
          <w:rFonts w:ascii="Book Antiqua" w:hAnsi="Book Antiqua"/>
        </w:rPr>
        <w:t>: 367-374 [PMID: 29567130 DOI: 10.1016/j.accpm.2018.02.021]</w:t>
      </w:r>
    </w:p>
    <w:p w14:paraId="78B3C36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8 </w:t>
      </w:r>
      <w:r w:rsidRPr="00AE0331">
        <w:rPr>
          <w:rFonts w:ascii="Book Antiqua" w:hAnsi="Book Antiqua"/>
          <w:b/>
          <w:bCs/>
        </w:rPr>
        <w:t>Sellevold OF</w:t>
      </w:r>
      <w:r w:rsidRPr="00AE0331">
        <w:rPr>
          <w:rFonts w:ascii="Book Antiqua" w:hAnsi="Book Antiqua"/>
        </w:rPr>
        <w:t xml:space="preserve">, Stenseth R. [Non-cardiac surgery in patients with cardiac disease]. </w:t>
      </w:r>
      <w:r w:rsidRPr="00AE0331">
        <w:rPr>
          <w:rFonts w:ascii="Book Antiqua" w:hAnsi="Book Antiqua"/>
          <w:i/>
          <w:iCs/>
        </w:rPr>
        <w:t>Tidsskr Nor Laegeforen</w:t>
      </w:r>
      <w:r w:rsidRPr="00AE0331">
        <w:rPr>
          <w:rFonts w:ascii="Book Antiqua" w:hAnsi="Book Antiqua"/>
        </w:rPr>
        <w:t xml:space="preserve"> 2010; </w:t>
      </w:r>
      <w:r w:rsidRPr="00AE0331">
        <w:rPr>
          <w:rFonts w:ascii="Book Antiqua" w:hAnsi="Book Antiqua"/>
          <w:b/>
          <w:bCs/>
        </w:rPr>
        <w:t>130</w:t>
      </w:r>
      <w:r w:rsidRPr="00AE0331">
        <w:rPr>
          <w:rFonts w:ascii="Book Antiqua" w:hAnsi="Book Antiqua"/>
        </w:rPr>
        <w:t>: 623-627 [PMID: 20349010 DOI: 10.4045/tidsskr.08.0309]</w:t>
      </w:r>
    </w:p>
    <w:p w14:paraId="235BC00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9 </w:t>
      </w:r>
      <w:r w:rsidRPr="00AE0331">
        <w:rPr>
          <w:rFonts w:ascii="Book Antiqua" w:hAnsi="Book Antiqua"/>
          <w:b/>
          <w:bCs/>
        </w:rPr>
        <w:t>Sear JW</w:t>
      </w:r>
      <w:r w:rsidRPr="00AE0331">
        <w:rPr>
          <w:rFonts w:ascii="Book Antiqua" w:hAnsi="Book Antiqua"/>
        </w:rPr>
        <w:t xml:space="preserve">, Higham H. Issues in the perioperative management of the elderly patient with cardiovascular disease. </w:t>
      </w:r>
      <w:r w:rsidRPr="00AE0331">
        <w:rPr>
          <w:rFonts w:ascii="Book Antiqua" w:hAnsi="Book Antiqua"/>
          <w:i/>
          <w:iCs/>
        </w:rPr>
        <w:t>Drugs Aging</w:t>
      </w:r>
      <w:r w:rsidRPr="00AE0331">
        <w:rPr>
          <w:rFonts w:ascii="Book Antiqua" w:hAnsi="Book Antiqua"/>
        </w:rPr>
        <w:t xml:space="preserve"> 2002; </w:t>
      </w:r>
      <w:r w:rsidRPr="00AE0331">
        <w:rPr>
          <w:rFonts w:ascii="Book Antiqua" w:hAnsi="Book Antiqua"/>
          <w:b/>
          <w:bCs/>
        </w:rPr>
        <w:t>19</w:t>
      </w:r>
      <w:r w:rsidRPr="00AE0331">
        <w:rPr>
          <w:rFonts w:ascii="Book Antiqua" w:hAnsi="Book Antiqua"/>
        </w:rPr>
        <w:t>: 429-451 [PMID: 12149050 DOI: 10.2165/00002512-200219060-00003]</w:t>
      </w:r>
    </w:p>
    <w:p w14:paraId="11E20BE2" w14:textId="77777777" w:rsidR="00592FA5" w:rsidRPr="004F7D3B" w:rsidRDefault="00592FA5" w:rsidP="00592FA5">
      <w:pPr>
        <w:spacing w:line="360" w:lineRule="auto"/>
        <w:jc w:val="both"/>
        <w:rPr>
          <w:rFonts w:ascii="Book Antiqua" w:hAnsi="Book Antiqua"/>
          <w:lang w:val="pt-BR"/>
        </w:rPr>
      </w:pPr>
      <w:r w:rsidRPr="00AE0331">
        <w:rPr>
          <w:rFonts w:ascii="Book Antiqua" w:hAnsi="Book Antiqua"/>
        </w:rPr>
        <w:t xml:space="preserve">10 </w:t>
      </w:r>
      <w:r w:rsidRPr="00AE0331">
        <w:rPr>
          <w:rFonts w:ascii="Book Antiqua" w:hAnsi="Book Antiqua"/>
          <w:b/>
          <w:bCs/>
        </w:rPr>
        <w:t>Feringa HH</w:t>
      </w:r>
      <w:r w:rsidRPr="00AE0331">
        <w:rPr>
          <w:rFonts w:ascii="Book Antiqua" w:hAnsi="Book Antiqua"/>
        </w:rPr>
        <w:t xml:space="preserve">, Bax JJ, Poldermans D. Perioperative medical management of ischemic heart disease in patients undergoing noncardiac surgery. </w:t>
      </w:r>
      <w:r w:rsidRPr="004F7D3B">
        <w:rPr>
          <w:rFonts w:ascii="Book Antiqua" w:hAnsi="Book Antiqua"/>
          <w:i/>
          <w:iCs/>
          <w:lang w:val="pt-BR"/>
        </w:rPr>
        <w:t>Curr Opin Anaesthesiol</w:t>
      </w:r>
      <w:r w:rsidRPr="004F7D3B">
        <w:rPr>
          <w:rFonts w:ascii="Book Antiqua" w:hAnsi="Book Antiqua"/>
          <w:lang w:val="pt-BR"/>
        </w:rPr>
        <w:t xml:space="preserve"> 2007; </w:t>
      </w:r>
      <w:r w:rsidRPr="004F7D3B">
        <w:rPr>
          <w:rFonts w:ascii="Book Antiqua" w:hAnsi="Book Antiqua"/>
          <w:b/>
          <w:bCs/>
          <w:lang w:val="pt-BR"/>
        </w:rPr>
        <w:t>20</w:t>
      </w:r>
      <w:r w:rsidRPr="004F7D3B">
        <w:rPr>
          <w:rFonts w:ascii="Book Antiqua" w:hAnsi="Book Antiqua"/>
          <w:lang w:val="pt-BR"/>
        </w:rPr>
        <w:t>: 254-260 [PMID: 17479031 DOI: 10.1097/ACO.0b013e3280c60c50]</w:t>
      </w:r>
    </w:p>
    <w:p w14:paraId="27EE99F2" w14:textId="77777777" w:rsidR="00592FA5" w:rsidRPr="00AE0331" w:rsidRDefault="00592FA5" w:rsidP="00592FA5">
      <w:pPr>
        <w:spacing w:line="360" w:lineRule="auto"/>
        <w:jc w:val="both"/>
        <w:rPr>
          <w:rFonts w:ascii="Book Antiqua" w:hAnsi="Book Antiqua"/>
        </w:rPr>
      </w:pPr>
      <w:r w:rsidRPr="004F7D3B">
        <w:rPr>
          <w:rFonts w:ascii="Book Antiqua" w:hAnsi="Book Antiqua"/>
          <w:lang w:val="pt-BR"/>
        </w:rPr>
        <w:lastRenderedPageBreak/>
        <w:t xml:space="preserve">11 </w:t>
      </w:r>
      <w:r w:rsidRPr="004F7D3B">
        <w:rPr>
          <w:rFonts w:ascii="Book Antiqua" w:hAnsi="Book Antiqua"/>
          <w:b/>
          <w:bCs/>
          <w:lang w:val="pt-BR"/>
        </w:rPr>
        <w:t>Gal J</w:t>
      </w:r>
      <w:r w:rsidRPr="004F7D3B">
        <w:rPr>
          <w:rFonts w:ascii="Book Antiqua" w:hAnsi="Book Antiqua"/>
          <w:lang w:val="pt-BR"/>
        </w:rPr>
        <w:t xml:space="preserve">, Bogar L, Acsady G, Kertai MD. </w:t>
      </w:r>
      <w:r w:rsidRPr="00AE0331">
        <w:rPr>
          <w:rFonts w:ascii="Book Antiqua" w:hAnsi="Book Antiqua"/>
        </w:rPr>
        <w:t xml:space="preserve">Cardiac risk reduction in non-cardiac surgery: the role of anaesthesia and monitoring techniques. </w:t>
      </w:r>
      <w:r w:rsidRPr="00AE0331">
        <w:rPr>
          <w:rFonts w:ascii="Book Antiqua" w:hAnsi="Book Antiqua"/>
          <w:i/>
          <w:iCs/>
        </w:rPr>
        <w:t>Eur J Anaesthesiol</w:t>
      </w:r>
      <w:r w:rsidRPr="00AE0331">
        <w:rPr>
          <w:rFonts w:ascii="Book Antiqua" w:hAnsi="Book Antiqua"/>
        </w:rPr>
        <w:t xml:space="preserve"> 2006; </w:t>
      </w:r>
      <w:r w:rsidRPr="00AE0331">
        <w:rPr>
          <w:rFonts w:ascii="Book Antiqua" w:hAnsi="Book Antiqua"/>
          <w:b/>
          <w:bCs/>
        </w:rPr>
        <w:t>23</w:t>
      </w:r>
      <w:r w:rsidRPr="00AE0331">
        <w:rPr>
          <w:rFonts w:ascii="Book Antiqua" w:hAnsi="Book Antiqua"/>
        </w:rPr>
        <w:t>: 641-648 [PMID: 16723061 DOI: 10.1017/S0265021506000640]</w:t>
      </w:r>
    </w:p>
    <w:p w14:paraId="07949F47"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12 </w:t>
      </w:r>
      <w:r w:rsidRPr="00AE0331">
        <w:rPr>
          <w:rFonts w:ascii="Book Antiqua" w:hAnsi="Book Antiqua"/>
          <w:b/>
          <w:bCs/>
        </w:rPr>
        <w:t>Farhan M</w:t>
      </w:r>
      <w:r w:rsidRPr="00AE0331">
        <w:rPr>
          <w:rFonts w:ascii="Book Antiqua" w:hAnsi="Book Antiqua"/>
        </w:rPr>
        <w:t xml:space="preserve">, Hoda MQ, Ullah H. Prevention of hypotension associated with the induction dose of propofol: A randomized controlled trial comparing equipotent doses of phenylephrine and ephedrine. </w:t>
      </w:r>
      <w:r w:rsidRPr="00AE0331">
        <w:rPr>
          <w:rFonts w:ascii="Book Antiqua" w:hAnsi="Book Antiqua"/>
          <w:i/>
          <w:iCs/>
        </w:rPr>
        <w:t>J Anaesthesiol Clin Pharmacol</w:t>
      </w:r>
      <w:r w:rsidRPr="00AE0331">
        <w:rPr>
          <w:rFonts w:ascii="Book Antiqua" w:hAnsi="Book Antiqua"/>
        </w:rPr>
        <w:t xml:space="preserve"> 2015; </w:t>
      </w:r>
      <w:r w:rsidRPr="00AE0331">
        <w:rPr>
          <w:rFonts w:ascii="Book Antiqua" w:hAnsi="Book Antiqua"/>
          <w:b/>
          <w:bCs/>
        </w:rPr>
        <w:t>31</w:t>
      </w:r>
      <w:r w:rsidRPr="00AE0331">
        <w:rPr>
          <w:rFonts w:ascii="Book Antiqua" w:hAnsi="Book Antiqua"/>
        </w:rPr>
        <w:t>: 526-530 [PMID: 26702213 DOI: 10.4103/0970-9185.169083]</w:t>
      </w:r>
    </w:p>
    <w:p w14:paraId="6BAF096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13 </w:t>
      </w:r>
      <w:r w:rsidRPr="00AE0331">
        <w:rPr>
          <w:rFonts w:ascii="Book Antiqua" w:hAnsi="Book Antiqua"/>
          <w:b/>
          <w:bCs/>
        </w:rPr>
        <w:t>Pensado A</w:t>
      </w:r>
      <w:r w:rsidRPr="00AE0331">
        <w:rPr>
          <w:rFonts w:ascii="Book Antiqua" w:hAnsi="Book Antiqua"/>
        </w:rPr>
        <w:t xml:space="preserve">, Molins N, Alvarez J. [Cardiovascular effects of a single dose of propofol in coronary patients with good ventricular function]. </w:t>
      </w:r>
      <w:r w:rsidRPr="00AE0331">
        <w:rPr>
          <w:rFonts w:ascii="Book Antiqua" w:hAnsi="Book Antiqua"/>
          <w:i/>
          <w:iCs/>
        </w:rPr>
        <w:t>Rev Esp Anestesiol Reanim</w:t>
      </w:r>
      <w:r w:rsidRPr="00AE0331">
        <w:rPr>
          <w:rFonts w:ascii="Book Antiqua" w:hAnsi="Book Antiqua"/>
        </w:rPr>
        <w:t xml:space="preserve"> 1994; </w:t>
      </w:r>
      <w:r w:rsidRPr="00AE0331">
        <w:rPr>
          <w:rFonts w:ascii="Book Antiqua" w:hAnsi="Book Antiqua"/>
          <w:b/>
          <w:bCs/>
        </w:rPr>
        <w:t>41</w:t>
      </w:r>
      <w:r w:rsidRPr="00AE0331">
        <w:rPr>
          <w:rFonts w:ascii="Book Antiqua" w:hAnsi="Book Antiqua"/>
        </w:rPr>
        <w:t>: 147-151 [PMID: 7914708]</w:t>
      </w:r>
    </w:p>
    <w:p w14:paraId="3508D7D6"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14 </w:t>
      </w:r>
      <w:r w:rsidRPr="00AE0331">
        <w:rPr>
          <w:rFonts w:ascii="Book Antiqua" w:hAnsi="Book Antiqua"/>
          <w:b/>
          <w:bCs/>
        </w:rPr>
        <w:t>Galletly DC</w:t>
      </w:r>
      <w:r w:rsidRPr="00AE0331">
        <w:rPr>
          <w:rFonts w:ascii="Book Antiqua" w:hAnsi="Book Antiqua"/>
        </w:rPr>
        <w:t xml:space="preserve">, Short TG. Total intravenous anaesthesia using propofol infusion--50 consecutive cases. </w:t>
      </w:r>
      <w:r w:rsidRPr="00AE0331">
        <w:rPr>
          <w:rFonts w:ascii="Book Antiqua" w:hAnsi="Book Antiqua"/>
          <w:i/>
          <w:iCs/>
        </w:rPr>
        <w:t>Anaesth Intensive Care</w:t>
      </w:r>
      <w:r w:rsidRPr="00AE0331">
        <w:rPr>
          <w:rFonts w:ascii="Book Antiqua" w:hAnsi="Book Antiqua"/>
        </w:rPr>
        <w:t xml:space="preserve"> 1988; </w:t>
      </w:r>
      <w:r w:rsidRPr="00AE0331">
        <w:rPr>
          <w:rFonts w:ascii="Book Antiqua" w:hAnsi="Book Antiqua"/>
          <w:b/>
          <w:bCs/>
        </w:rPr>
        <w:t>16</w:t>
      </w:r>
      <w:r w:rsidRPr="00AE0331">
        <w:rPr>
          <w:rFonts w:ascii="Book Antiqua" w:hAnsi="Book Antiqua"/>
        </w:rPr>
        <w:t>: 150-157 [PMID: 2899404 DOI: 10.1177/0310057X8801600204]</w:t>
      </w:r>
    </w:p>
    <w:p w14:paraId="2F4D0CBA"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15 </w:t>
      </w:r>
      <w:r w:rsidRPr="00AE0331">
        <w:rPr>
          <w:rFonts w:ascii="Book Antiqua" w:hAnsi="Book Antiqua"/>
          <w:b/>
          <w:bCs/>
        </w:rPr>
        <w:t>Yang HS</w:t>
      </w:r>
      <w:r w:rsidRPr="00AE0331">
        <w:rPr>
          <w:rFonts w:ascii="Book Antiqua" w:hAnsi="Book Antiqua"/>
        </w:rPr>
        <w:t xml:space="preserve">, Song BG, Kim JY, Kim SN, Kim TY. Impact of propofol anesthesia induction on cardiac function in low-risk patients as measured by intraoperative Doppler tissue imaging. </w:t>
      </w:r>
      <w:r w:rsidRPr="00AE0331">
        <w:rPr>
          <w:rFonts w:ascii="Book Antiqua" w:hAnsi="Book Antiqua"/>
          <w:i/>
          <w:iCs/>
        </w:rPr>
        <w:t>J Am Soc Echocardiogr</w:t>
      </w:r>
      <w:r w:rsidRPr="00AE0331">
        <w:rPr>
          <w:rFonts w:ascii="Book Antiqua" w:hAnsi="Book Antiqua"/>
        </w:rPr>
        <w:t xml:space="preserve"> 2013; </w:t>
      </w:r>
      <w:r w:rsidRPr="00AE0331">
        <w:rPr>
          <w:rFonts w:ascii="Book Antiqua" w:hAnsi="Book Antiqua"/>
          <w:b/>
          <w:bCs/>
        </w:rPr>
        <w:t>26</w:t>
      </w:r>
      <w:r w:rsidRPr="00AE0331">
        <w:rPr>
          <w:rFonts w:ascii="Book Antiqua" w:hAnsi="Book Antiqua"/>
        </w:rPr>
        <w:t>: 727-735 [PMID: 23622885 DOI: 10.1016/j.echo.2013.03.016]</w:t>
      </w:r>
    </w:p>
    <w:p w14:paraId="39EE093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16 </w:t>
      </w:r>
      <w:r w:rsidRPr="00AE0331">
        <w:rPr>
          <w:rFonts w:ascii="Book Antiqua" w:hAnsi="Book Antiqua"/>
          <w:b/>
          <w:bCs/>
        </w:rPr>
        <w:t>Wutzler A</w:t>
      </w:r>
      <w:r w:rsidRPr="00AE0331">
        <w:rPr>
          <w:rFonts w:ascii="Book Antiqua" w:hAnsi="Book Antiqua"/>
        </w:rPr>
        <w:t xml:space="preserve">, De Asmundis C, Matsuda H, Bannehr M, Loehr L, Voelk K, Jungmann J, Huemer M, Attanasio P, Parwani A, Boldt LH, Brugada P, Haverkamp W. Effects of propofol on ventricular repolarization and incidence of malignant arrhythmias in adults. </w:t>
      </w:r>
      <w:r w:rsidRPr="00AE0331">
        <w:rPr>
          <w:rFonts w:ascii="Book Antiqua" w:hAnsi="Book Antiqua"/>
          <w:i/>
          <w:iCs/>
        </w:rPr>
        <w:t>J Electrocardiol</w:t>
      </w:r>
      <w:r w:rsidRPr="00AE0331">
        <w:rPr>
          <w:rFonts w:ascii="Book Antiqua" w:hAnsi="Book Antiqua"/>
        </w:rPr>
        <w:t xml:space="preserve"> 2018; </w:t>
      </w:r>
      <w:r w:rsidRPr="00AE0331">
        <w:rPr>
          <w:rFonts w:ascii="Book Antiqua" w:hAnsi="Book Antiqua"/>
          <w:b/>
          <w:bCs/>
        </w:rPr>
        <w:t>51</w:t>
      </w:r>
      <w:r w:rsidRPr="00AE0331">
        <w:rPr>
          <w:rFonts w:ascii="Book Antiqua" w:hAnsi="Book Antiqua"/>
        </w:rPr>
        <w:t>: 170-174 [PMID: 29174097 DOI: 10.1016/j.jelectrocard.2017.11.003]</w:t>
      </w:r>
    </w:p>
    <w:p w14:paraId="7BE3A3E5"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17 </w:t>
      </w:r>
      <w:r w:rsidRPr="00AE0331">
        <w:rPr>
          <w:rFonts w:ascii="Book Antiqua" w:hAnsi="Book Antiqua"/>
          <w:b/>
          <w:bCs/>
        </w:rPr>
        <w:t>Baumert JH</w:t>
      </w:r>
      <w:r w:rsidRPr="00AE0331">
        <w:rPr>
          <w:rFonts w:ascii="Book Antiqua" w:hAnsi="Book Antiqua"/>
        </w:rPr>
        <w:t xml:space="preserve">, Hein M, Hecker KE, Satlow S, Neef P, Rossaint R. Xenon or propofol anaesthesia for patients at cardiovascular risk in non-cardiac surgery. </w:t>
      </w:r>
      <w:r w:rsidRPr="00AE0331">
        <w:rPr>
          <w:rFonts w:ascii="Book Antiqua" w:hAnsi="Book Antiqua"/>
          <w:i/>
          <w:iCs/>
        </w:rPr>
        <w:t>Br J Anaesth</w:t>
      </w:r>
      <w:r w:rsidRPr="00AE0331">
        <w:rPr>
          <w:rFonts w:ascii="Book Antiqua" w:hAnsi="Book Antiqua"/>
        </w:rPr>
        <w:t xml:space="preserve"> 2008; </w:t>
      </w:r>
      <w:r w:rsidRPr="00AE0331">
        <w:rPr>
          <w:rFonts w:ascii="Book Antiqua" w:hAnsi="Book Antiqua"/>
          <w:b/>
          <w:bCs/>
        </w:rPr>
        <w:t>100</w:t>
      </w:r>
      <w:r w:rsidRPr="00AE0331">
        <w:rPr>
          <w:rFonts w:ascii="Book Antiqua" w:hAnsi="Book Antiqua"/>
        </w:rPr>
        <w:t>: 605-611 [PMID: 18344556 DOI: 10.1093/bja/aen050]</w:t>
      </w:r>
    </w:p>
    <w:p w14:paraId="67137523"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18 </w:t>
      </w:r>
      <w:r w:rsidRPr="00AE0331">
        <w:rPr>
          <w:rFonts w:ascii="Book Antiqua" w:hAnsi="Book Antiqua"/>
          <w:b/>
          <w:bCs/>
        </w:rPr>
        <w:t>Stephan H</w:t>
      </w:r>
      <w:r w:rsidRPr="00AE0331">
        <w:rPr>
          <w:rFonts w:ascii="Book Antiqua" w:hAnsi="Book Antiqua"/>
        </w:rPr>
        <w:t xml:space="preserve">, Sonntag H, Schenk HD, Kettler D, Khambatta HJ. Effects of propofol on cardiovascular dynamics, myocardial blood flow and myocardial metabolism in patients with coronary artery disease. </w:t>
      </w:r>
      <w:r w:rsidRPr="00AE0331">
        <w:rPr>
          <w:rFonts w:ascii="Book Antiqua" w:hAnsi="Book Antiqua"/>
          <w:i/>
          <w:iCs/>
        </w:rPr>
        <w:t>Br J Anaesth</w:t>
      </w:r>
      <w:r w:rsidRPr="00AE0331">
        <w:rPr>
          <w:rFonts w:ascii="Book Antiqua" w:hAnsi="Book Antiqua"/>
        </w:rPr>
        <w:t xml:space="preserve"> 1986; </w:t>
      </w:r>
      <w:r w:rsidRPr="00AE0331">
        <w:rPr>
          <w:rFonts w:ascii="Book Antiqua" w:hAnsi="Book Antiqua"/>
          <w:b/>
          <w:bCs/>
        </w:rPr>
        <w:t>58</w:t>
      </w:r>
      <w:r w:rsidRPr="00AE0331">
        <w:rPr>
          <w:rFonts w:ascii="Book Antiqua" w:hAnsi="Book Antiqua"/>
        </w:rPr>
        <w:t>: 969-975 [PMID: 3489478 DOI: 10.1093/bja/58.9.969]</w:t>
      </w:r>
    </w:p>
    <w:p w14:paraId="70819DBF" w14:textId="77777777" w:rsidR="00592FA5" w:rsidRPr="00AE0331" w:rsidRDefault="00592FA5" w:rsidP="00592FA5">
      <w:pPr>
        <w:spacing w:line="360" w:lineRule="auto"/>
        <w:jc w:val="both"/>
        <w:rPr>
          <w:rFonts w:ascii="Book Antiqua" w:hAnsi="Book Antiqua"/>
        </w:rPr>
      </w:pPr>
      <w:r w:rsidRPr="00AE0331">
        <w:rPr>
          <w:rFonts w:ascii="Book Antiqua" w:hAnsi="Book Antiqua"/>
        </w:rPr>
        <w:lastRenderedPageBreak/>
        <w:t xml:space="preserve">19 </w:t>
      </w:r>
      <w:r w:rsidRPr="00AE0331">
        <w:rPr>
          <w:rFonts w:ascii="Book Antiqua" w:hAnsi="Book Antiqua"/>
          <w:b/>
          <w:bCs/>
        </w:rPr>
        <w:t>Lischke V</w:t>
      </w:r>
      <w:r w:rsidRPr="00AE0331">
        <w:rPr>
          <w:rFonts w:ascii="Book Antiqua" w:hAnsi="Book Antiqua"/>
        </w:rPr>
        <w:t xml:space="preserve">, Probst S, Behne M, Kessler P. [ST segment changes in the ECG. Anesthesia induction with propofol, etomidate or midazolam in patients with coronary heart disease]. </w:t>
      </w:r>
      <w:r w:rsidRPr="00AE0331">
        <w:rPr>
          <w:rFonts w:ascii="Book Antiqua" w:hAnsi="Book Antiqua"/>
          <w:i/>
          <w:iCs/>
        </w:rPr>
        <w:t>Anaesthesist</w:t>
      </w:r>
      <w:r w:rsidRPr="00AE0331">
        <w:rPr>
          <w:rFonts w:ascii="Book Antiqua" w:hAnsi="Book Antiqua"/>
        </w:rPr>
        <w:t xml:space="preserve"> 1993; </w:t>
      </w:r>
      <w:r w:rsidRPr="00AE0331">
        <w:rPr>
          <w:rFonts w:ascii="Book Antiqua" w:hAnsi="Book Antiqua"/>
          <w:b/>
          <w:bCs/>
        </w:rPr>
        <w:t>42</w:t>
      </w:r>
      <w:r w:rsidRPr="00AE0331">
        <w:rPr>
          <w:rFonts w:ascii="Book Antiqua" w:hAnsi="Book Antiqua"/>
        </w:rPr>
        <w:t>: 435-440 [PMID: 8363027]</w:t>
      </w:r>
    </w:p>
    <w:p w14:paraId="378DA70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20 </w:t>
      </w:r>
      <w:r w:rsidRPr="00AE0331">
        <w:rPr>
          <w:rFonts w:ascii="Book Antiqua" w:hAnsi="Book Antiqua"/>
          <w:b/>
          <w:bCs/>
        </w:rPr>
        <w:t>Haessler R</w:t>
      </w:r>
      <w:r w:rsidRPr="00AE0331">
        <w:rPr>
          <w:rFonts w:ascii="Book Antiqua" w:hAnsi="Book Antiqua"/>
        </w:rPr>
        <w:t xml:space="preserve">, Madler C, Klasing S, Schwender D, Peter K. Propofol/fentanyl versus etomidate/fentanyl for the induction of anesthesia in patients with aortic insufficiency and coronary artery disease. </w:t>
      </w:r>
      <w:r w:rsidRPr="00AE0331">
        <w:rPr>
          <w:rFonts w:ascii="Book Antiqua" w:hAnsi="Book Antiqua"/>
          <w:i/>
          <w:iCs/>
        </w:rPr>
        <w:t>J Cardiothorac Vasc Anesth</w:t>
      </w:r>
      <w:r w:rsidRPr="00AE0331">
        <w:rPr>
          <w:rFonts w:ascii="Book Antiqua" w:hAnsi="Book Antiqua"/>
        </w:rPr>
        <w:t xml:space="preserve"> 1992; </w:t>
      </w:r>
      <w:r w:rsidRPr="00AE0331">
        <w:rPr>
          <w:rFonts w:ascii="Book Antiqua" w:hAnsi="Book Antiqua"/>
          <w:b/>
          <w:bCs/>
        </w:rPr>
        <w:t>6</w:t>
      </w:r>
      <w:r w:rsidRPr="00AE0331">
        <w:rPr>
          <w:rFonts w:ascii="Book Antiqua" w:hAnsi="Book Antiqua"/>
        </w:rPr>
        <w:t>: 173-180 [PMID: 1568003 DOI: 10.1016/1053-0770(92)90193-b]</w:t>
      </w:r>
    </w:p>
    <w:p w14:paraId="504D1D6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21 </w:t>
      </w:r>
      <w:r w:rsidRPr="00AE0331">
        <w:rPr>
          <w:rFonts w:ascii="Book Antiqua" w:hAnsi="Book Antiqua"/>
          <w:b/>
          <w:bCs/>
        </w:rPr>
        <w:t>Singh R</w:t>
      </w:r>
      <w:r w:rsidRPr="00AE0331">
        <w:rPr>
          <w:rFonts w:ascii="Book Antiqua" w:hAnsi="Book Antiqua"/>
        </w:rPr>
        <w:t xml:space="preserve">, Choudhury M, Kapoor PM, Kiran U. A randomized trial of anesthetic induction agents in patients with coronary artery disease and left ventricular dysfunction. </w:t>
      </w:r>
      <w:r w:rsidRPr="00AE0331">
        <w:rPr>
          <w:rFonts w:ascii="Book Antiqua" w:hAnsi="Book Antiqua"/>
          <w:i/>
          <w:iCs/>
        </w:rPr>
        <w:t>Ann Card Anaesth</w:t>
      </w:r>
      <w:r w:rsidRPr="00AE0331">
        <w:rPr>
          <w:rFonts w:ascii="Book Antiqua" w:hAnsi="Book Antiqua"/>
        </w:rPr>
        <w:t xml:space="preserve"> 2010; </w:t>
      </w:r>
      <w:r w:rsidRPr="00AE0331">
        <w:rPr>
          <w:rFonts w:ascii="Book Antiqua" w:hAnsi="Book Antiqua"/>
          <w:b/>
          <w:bCs/>
        </w:rPr>
        <w:t>13</w:t>
      </w:r>
      <w:r w:rsidRPr="00AE0331">
        <w:rPr>
          <w:rFonts w:ascii="Book Antiqua" w:hAnsi="Book Antiqua"/>
        </w:rPr>
        <w:t>: 217-223 [PMID: 20826962 DOI: 10.4103/0971-9784.69057]</w:t>
      </w:r>
    </w:p>
    <w:p w14:paraId="396D767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22 </w:t>
      </w:r>
      <w:r w:rsidRPr="00AE0331">
        <w:rPr>
          <w:rFonts w:ascii="Book Antiqua" w:hAnsi="Book Antiqua"/>
          <w:b/>
          <w:bCs/>
        </w:rPr>
        <w:t>Andropoulos DB</w:t>
      </w:r>
      <w:r w:rsidRPr="00AE0331">
        <w:rPr>
          <w:rFonts w:ascii="Book Antiqua" w:hAnsi="Book Antiqua"/>
        </w:rPr>
        <w:t xml:space="preserve">, Stayer SA, Skjonsby BS, East DL, McKenzie ED, Fraser CD. Anesthetic and perioperative outcome of teenagers and adults with congenital heart disease. </w:t>
      </w:r>
      <w:r w:rsidRPr="00AE0331">
        <w:rPr>
          <w:rFonts w:ascii="Book Antiqua" w:hAnsi="Book Antiqua"/>
          <w:i/>
          <w:iCs/>
        </w:rPr>
        <w:t>J Cardiothorac Vasc Anesth</w:t>
      </w:r>
      <w:r w:rsidRPr="00AE0331">
        <w:rPr>
          <w:rFonts w:ascii="Book Antiqua" w:hAnsi="Book Antiqua"/>
        </w:rPr>
        <w:t xml:space="preserve"> 2002; </w:t>
      </w:r>
      <w:r w:rsidRPr="00AE0331">
        <w:rPr>
          <w:rFonts w:ascii="Book Antiqua" w:hAnsi="Book Antiqua"/>
          <w:b/>
          <w:bCs/>
        </w:rPr>
        <w:t>16</w:t>
      </w:r>
      <w:r w:rsidRPr="00AE0331">
        <w:rPr>
          <w:rFonts w:ascii="Book Antiqua" w:hAnsi="Book Antiqua"/>
        </w:rPr>
        <w:t>: 731-736 [PMID: 12486655 DOI: 10.1053/jcan.2002.128410]</w:t>
      </w:r>
    </w:p>
    <w:p w14:paraId="3766BE13"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23 </w:t>
      </w:r>
      <w:r w:rsidRPr="00AE0331">
        <w:rPr>
          <w:rFonts w:ascii="Book Antiqua" w:hAnsi="Book Antiqua"/>
          <w:b/>
          <w:bCs/>
        </w:rPr>
        <w:t>Aggarwal S</w:t>
      </w:r>
      <w:r w:rsidRPr="00AE0331">
        <w:rPr>
          <w:rFonts w:ascii="Book Antiqua" w:hAnsi="Book Antiqua"/>
        </w:rPr>
        <w:t xml:space="preserve">, Goyal VK, Chaturvedi SK, Mathur V, Baj B, Kumar A. A comparative study between propofol and etomidate in patients under general anesthesia. </w:t>
      </w:r>
      <w:r w:rsidRPr="00AE0331">
        <w:rPr>
          <w:rFonts w:ascii="Book Antiqua" w:hAnsi="Book Antiqua"/>
          <w:i/>
          <w:iCs/>
        </w:rPr>
        <w:t>Braz J Anesthesiol</w:t>
      </w:r>
      <w:r w:rsidRPr="00AE0331">
        <w:rPr>
          <w:rFonts w:ascii="Book Antiqua" w:hAnsi="Book Antiqua"/>
        </w:rPr>
        <w:t xml:space="preserve"> 2016; </w:t>
      </w:r>
      <w:r w:rsidRPr="00AE0331">
        <w:rPr>
          <w:rFonts w:ascii="Book Antiqua" w:hAnsi="Book Antiqua"/>
          <w:b/>
          <w:bCs/>
        </w:rPr>
        <w:t>66</w:t>
      </w:r>
      <w:r w:rsidRPr="00AE0331">
        <w:rPr>
          <w:rFonts w:ascii="Book Antiqua" w:hAnsi="Book Antiqua"/>
        </w:rPr>
        <w:t>: 237-241 [PMID: 27108818 DOI: 10.1016/j.bjane.2014.10.005]</w:t>
      </w:r>
    </w:p>
    <w:p w14:paraId="7B96A8A1"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24 </w:t>
      </w:r>
      <w:r w:rsidRPr="00AE0331">
        <w:rPr>
          <w:rFonts w:ascii="Book Antiqua" w:hAnsi="Book Antiqua"/>
          <w:b/>
          <w:bCs/>
        </w:rPr>
        <w:t>Kaushal RP</w:t>
      </w:r>
      <w:r w:rsidRPr="00AE0331">
        <w:rPr>
          <w:rFonts w:ascii="Book Antiqua" w:hAnsi="Book Antiqua"/>
        </w:rPr>
        <w:t xml:space="preserve">, Vatal A, Pathak R. Effect of etomidate and propofol induction on hemodynamic and endocrine response in patients undergoing coronary artery bypass grafting/mitral valve and aortic valve replacement surgery on cardiopulmonary bypass. </w:t>
      </w:r>
      <w:r w:rsidRPr="00AE0331">
        <w:rPr>
          <w:rFonts w:ascii="Book Antiqua" w:hAnsi="Book Antiqua"/>
          <w:i/>
          <w:iCs/>
        </w:rPr>
        <w:t>Ann Card Anaesth</w:t>
      </w:r>
      <w:r w:rsidRPr="00AE0331">
        <w:rPr>
          <w:rFonts w:ascii="Book Antiqua" w:hAnsi="Book Antiqua"/>
        </w:rPr>
        <w:t xml:space="preserve"> 2015; </w:t>
      </w:r>
      <w:r w:rsidRPr="00AE0331">
        <w:rPr>
          <w:rFonts w:ascii="Book Antiqua" w:hAnsi="Book Antiqua"/>
          <w:b/>
          <w:bCs/>
        </w:rPr>
        <w:t>18</w:t>
      </w:r>
      <w:r w:rsidRPr="00AE0331">
        <w:rPr>
          <w:rFonts w:ascii="Book Antiqua" w:hAnsi="Book Antiqua"/>
        </w:rPr>
        <w:t>: 172-178 [PMID: 25849685 DOI: 10.4103/0971-9784.154470]</w:t>
      </w:r>
    </w:p>
    <w:p w14:paraId="5DD01E8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25 </w:t>
      </w:r>
      <w:r w:rsidRPr="00AE0331">
        <w:rPr>
          <w:rFonts w:ascii="Book Antiqua" w:hAnsi="Book Antiqua"/>
          <w:b/>
          <w:bCs/>
        </w:rPr>
        <w:t>Cherfan AJ</w:t>
      </w:r>
      <w:r w:rsidRPr="00AE0331">
        <w:rPr>
          <w:rFonts w:ascii="Book Antiqua" w:hAnsi="Book Antiqua"/>
        </w:rPr>
        <w:t xml:space="preserve">, Arabi YM, Al-Dorzi HM, Kenny LP. Advantages and disadvantages of etomidate use for intubation of patients with sepsis. </w:t>
      </w:r>
      <w:r w:rsidRPr="00AE0331">
        <w:rPr>
          <w:rFonts w:ascii="Book Antiqua" w:hAnsi="Book Antiqua"/>
          <w:i/>
          <w:iCs/>
        </w:rPr>
        <w:t>Pharmacotherapy</w:t>
      </w:r>
      <w:r w:rsidRPr="00AE0331">
        <w:rPr>
          <w:rFonts w:ascii="Book Antiqua" w:hAnsi="Book Antiqua"/>
        </w:rPr>
        <w:t xml:space="preserve"> 2012; </w:t>
      </w:r>
      <w:r w:rsidRPr="00AE0331">
        <w:rPr>
          <w:rFonts w:ascii="Book Antiqua" w:hAnsi="Book Antiqua"/>
          <w:b/>
          <w:bCs/>
        </w:rPr>
        <w:t>32</w:t>
      </w:r>
      <w:r w:rsidRPr="00AE0331">
        <w:rPr>
          <w:rFonts w:ascii="Book Antiqua" w:hAnsi="Book Antiqua"/>
        </w:rPr>
        <w:t>: 475-482 [PMID: 22488264 DOI: 10.1002/j.1875-9114.2012.01027.x]</w:t>
      </w:r>
    </w:p>
    <w:p w14:paraId="142EF1A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26 </w:t>
      </w:r>
      <w:r w:rsidRPr="00AE0331">
        <w:rPr>
          <w:rFonts w:ascii="Book Antiqua" w:hAnsi="Book Antiqua"/>
          <w:b/>
          <w:bCs/>
        </w:rPr>
        <w:t>Komatsu R</w:t>
      </w:r>
      <w:r w:rsidRPr="00AE0331">
        <w:rPr>
          <w:rFonts w:ascii="Book Antiqua" w:hAnsi="Book Antiqua"/>
        </w:rPr>
        <w:t xml:space="preserve">, You J, Mascha EJ, Sessler DI, Kasuya Y, Turan A. Anesthetic induction with etomidate, rather than propofol, is associated with increased 30-day mortality and cardiovascular morbidity after noncardiac surgery. </w:t>
      </w:r>
      <w:r w:rsidRPr="00AE0331">
        <w:rPr>
          <w:rFonts w:ascii="Book Antiqua" w:hAnsi="Book Antiqua"/>
          <w:i/>
          <w:iCs/>
        </w:rPr>
        <w:t>Anesth Analg</w:t>
      </w:r>
      <w:r w:rsidRPr="00AE0331">
        <w:rPr>
          <w:rFonts w:ascii="Book Antiqua" w:hAnsi="Book Antiqua"/>
        </w:rPr>
        <w:t xml:space="preserve"> 2013; </w:t>
      </w:r>
      <w:r w:rsidRPr="00AE0331">
        <w:rPr>
          <w:rFonts w:ascii="Book Antiqua" w:hAnsi="Book Antiqua"/>
          <w:b/>
          <w:bCs/>
        </w:rPr>
        <w:t>117</w:t>
      </w:r>
      <w:r w:rsidRPr="00AE0331">
        <w:rPr>
          <w:rFonts w:ascii="Book Antiqua" w:hAnsi="Book Antiqua"/>
        </w:rPr>
        <w:t>: 1329-1337 [PMID: 24257383 DOI: 10.1213/ANE.0b013e318299a516]</w:t>
      </w:r>
    </w:p>
    <w:p w14:paraId="67F8CB96" w14:textId="77777777" w:rsidR="00592FA5" w:rsidRPr="00AE0331" w:rsidRDefault="00592FA5" w:rsidP="00592FA5">
      <w:pPr>
        <w:spacing w:line="360" w:lineRule="auto"/>
        <w:jc w:val="both"/>
        <w:rPr>
          <w:rFonts w:ascii="Book Antiqua" w:hAnsi="Book Antiqua"/>
        </w:rPr>
      </w:pPr>
      <w:r w:rsidRPr="00AE0331">
        <w:rPr>
          <w:rFonts w:ascii="Book Antiqua" w:hAnsi="Book Antiqua"/>
        </w:rPr>
        <w:lastRenderedPageBreak/>
        <w:t xml:space="preserve">27 </w:t>
      </w:r>
      <w:r w:rsidRPr="00AE0331">
        <w:rPr>
          <w:rFonts w:ascii="Book Antiqua" w:hAnsi="Book Antiqua"/>
          <w:b/>
          <w:bCs/>
        </w:rPr>
        <w:t>Albert SG</w:t>
      </w:r>
      <w:r w:rsidRPr="00AE0331">
        <w:rPr>
          <w:rFonts w:ascii="Book Antiqua" w:hAnsi="Book Antiqua"/>
        </w:rPr>
        <w:t xml:space="preserve">, Ariyan S, Rather A. The effect of etomidate on adrenal function in critical illness: a systematic review. </w:t>
      </w:r>
      <w:r w:rsidRPr="00AE0331">
        <w:rPr>
          <w:rFonts w:ascii="Book Antiqua" w:hAnsi="Book Antiqua"/>
          <w:i/>
          <w:iCs/>
        </w:rPr>
        <w:t>Intensive Care Med</w:t>
      </w:r>
      <w:r w:rsidRPr="00AE0331">
        <w:rPr>
          <w:rFonts w:ascii="Book Antiqua" w:hAnsi="Book Antiqua"/>
        </w:rPr>
        <w:t xml:space="preserve"> 2011; </w:t>
      </w:r>
      <w:r w:rsidRPr="00AE0331">
        <w:rPr>
          <w:rFonts w:ascii="Book Antiqua" w:hAnsi="Book Antiqua"/>
          <w:b/>
          <w:bCs/>
        </w:rPr>
        <w:t>37</w:t>
      </w:r>
      <w:r w:rsidRPr="00AE0331">
        <w:rPr>
          <w:rFonts w:ascii="Book Antiqua" w:hAnsi="Book Antiqua"/>
        </w:rPr>
        <w:t>: 901-910 [PMID: 21373823 DOI: 10.1007/s00134-011-2160-1]</w:t>
      </w:r>
    </w:p>
    <w:p w14:paraId="4EA71D5F"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28 </w:t>
      </w:r>
      <w:r w:rsidRPr="00AE0331">
        <w:rPr>
          <w:rFonts w:ascii="Book Antiqua" w:hAnsi="Book Antiqua"/>
          <w:b/>
          <w:bCs/>
        </w:rPr>
        <w:t>Basciani RM</w:t>
      </w:r>
      <w:r w:rsidRPr="00AE0331">
        <w:rPr>
          <w:rFonts w:ascii="Book Antiqua" w:hAnsi="Book Antiqua"/>
        </w:rPr>
        <w:t xml:space="preserve">, Rindlisbacher A, Begert E, Brander L, Jakob SM, Etter R, Carrel T, Eberle B. Anaesthetic induction with etomidate in cardiac surgery: A randomised controlled trial. </w:t>
      </w:r>
      <w:r w:rsidRPr="00AE0331">
        <w:rPr>
          <w:rFonts w:ascii="Book Antiqua" w:hAnsi="Book Antiqua"/>
          <w:i/>
          <w:iCs/>
        </w:rPr>
        <w:t>Eur J Anaesthesiol</w:t>
      </w:r>
      <w:r w:rsidRPr="00AE0331">
        <w:rPr>
          <w:rFonts w:ascii="Book Antiqua" w:hAnsi="Book Antiqua"/>
        </w:rPr>
        <w:t xml:space="preserve"> 2016; </w:t>
      </w:r>
      <w:r w:rsidRPr="00AE0331">
        <w:rPr>
          <w:rFonts w:ascii="Book Antiqua" w:hAnsi="Book Antiqua"/>
          <w:b/>
          <w:bCs/>
        </w:rPr>
        <w:t>33</w:t>
      </w:r>
      <w:r w:rsidRPr="00AE0331">
        <w:rPr>
          <w:rFonts w:ascii="Book Antiqua" w:hAnsi="Book Antiqua"/>
        </w:rPr>
        <w:t>: 417-424 [PMID: 26914224 DOI: 10.1097/EJA.0000000000000434]</w:t>
      </w:r>
    </w:p>
    <w:p w14:paraId="7C1EA43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29 </w:t>
      </w:r>
      <w:r w:rsidRPr="00AE0331">
        <w:rPr>
          <w:rFonts w:ascii="Book Antiqua" w:hAnsi="Book Antiqua"/>
          <w:b/>
          <w:bCs/>
        </w:rPr>
        <w:t>Romito B</w:t>
      </w:r>
      <w:r w:rsidRPr="00AE0331">
        <w:rPr>
          <w:rFonts w:ascii="Book Antiqua" w:hAnsi="Book Antiqua"/>
        </w:rPr>
        <w:t xml:space="preserve">, Stone J, Ning N, Yin C, Llano EM, Liu J, Somanath K, Lee CT, Matchett G. How Drug Shortages Affect Clinical Care: The Case of the Surgical Anesthetic Propofol. </w:t>
      </w:r>
      <w:r w:rsidRPr="00AE0331">
        <w:rPr>
          <w:rFonts w:ascii="Book Antiqua" w:hAnsi="Book Antiqua"/>
          <w:i/>
          <w:iCs/>
        </w:rPr>
        <w:t>Hosp Pharm</w:t>
      </w:r>
      <w:r w:rsidRPr="00AE0331">
        <w:rPr>
          <w:rFonts w:ascii="Book Antiqua" w:hAnsi="Book Antiqua"/>
        </w:rPr>
        <w:t xml:space="preserve"> 2015; </w:t>
      </w:r>
      <w:r w:rsidRPr="00AE0331">
        <w:rPr>
          <w:rFonts w:ascii="Book Antiqua" w:hAnsi="Book Antiqua"/>
          <w:b/>
          <w:bCs/>
        </w:rPr>
        <w:t>50</w:t>
      </w:r>
      <w:r w:rsidRPr="00AE0331">
        <w:rPr>
          <w:rFonts w:ascii="Book Antiqua" w:hAnsi="Book Antiqua"/>
        </w:rPr>
        <w:t>: 798-805 [PMID: 26912921 DOI: 10.1310/hpj5009-798]</w:t>
      </w:r>
    </w:p>
    <w:p w14:paraId="3E8EE8F6"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30 </w:t>
      </w:r>
      <w:r w:rsidRPr="00AE0331">
        <w:rPr>
          <w:rFonts w:ascii="Book Antiqua" w:hAnsi="Book Antiqua"/>
          <w:b/>
          <w:bCs/>
        </w:rPr>
        <w:t>Biccard BM</w:t>
      </w:r>
      <w:r w:rsidRPr="00AE0331">
        <w:rPr>
          <w:rFonts w:ascii="Book Antiqua" w:hAnsi="Book Antiqua"/>
        </w:rPr>
        <w:t xml:space="preserve">, Devereaux PJ, Rodseth RN. Cardiac biomarkers in the prediction of risk in the non-cardiac surgery setting. </w:t>
      </w:r>
      <w:r w:rsidRPr="00AE0331">
        <w:rPr>
          <w:rFonts w:ascii="Book Antiqua" w:hAnsi="Book Antiqua"/>
          <w:i/>
          <w:iCs/>
        </w:rPr>
        <w:t>Anaesthesia</w:t>
      </w:r>
      <w:r w:rsidRPr="00AE0331">
        <w:rPr>
          <w:rFonts w:ascii="Book Antiqua" w:hAnsi="Book Antiqua"/>
        </w:rPr>
        <w:t xml:space="preserve"> 2014; </w:t>
      </w:r>
      <w:r w:rsidRPr="00AE0331">
        <w:rPr>
          <w:rFonts w:ascii="Book Antiqua" w:hAnsi="Book Antiqua"/>
          <w:b/>
          <w:bCs/>
        </w:rPr>
        <w:t>69</w:t>
      </w:r>
      <w:r w:rsidRPr="00AE0331">
        <w:rPr>
          <w:rFonts w:ascii="Book Antiqua" w:hAnsi="Book Antiqua"/>
        </w:rPr>
        <w:t>: 484-493 [PMID: 24738805 DOI: 10.1111/anae.12635]</w:t>
      </w:r>
    </w:p>
    <w:p w14:paraId="0B8BFF8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31 </w:t>
      </w:r>
      <w:r w:rsidRPr="00AE0331">
        <w:rPr>
          <w:rFonts w:ascii="Book Antiqua" w:hAnsi="Book Antiqua"/>
          <w:b/>
          <w:bCs/>
        </w:rPr>
        <w:t>Vascular Events In Noncardiac Surgery Patients Cohort Evaluation (VISION) Study Investigators.</w:t>
      </w:r>
      <w:r w:rsidRPr="00AE0331">
        <w:rPr>
          <w:rFonts w:ascii="Book Antiqua" w:hAnsi="Book Antiqua"/>
        </w:rPr>
        <w:t xml:space="preserve">, Devereaux PJ, Chan MT, Alonso-Coello P, Walsh M, Berwanger O, Villar JC, Wang CY, Garutti RI, Jacka MJ, Sigamani A, Srinathan S, Biccard BM, Chow CK, Abraham V, Tiboni M, Pettit S, Szczeklik W, Lurati Buse G, Botto F, Guyatt G, Heels-Ansdell D, Sessler DI, Thorlund K, Garg AX, Mrkobrada M, Thomas S, Rodseth RN, Pearse RM, Thabane L, McQueen MJ, VanHelder T, Bhandari M, Bosch J, Kurz A, Polanczyk C, Malaga G, Nagele P, Le Manach Y, Leuwer M, Yusuf S. Association between postoperative troponin levels and 30-day mortality among patients undergoing noncardiac surgery. </w:t>
      </w:r>
      <w:r w:rsidRPr="00AE0331">
        <w:rPr>
          <w:rFonts w:ascii="Book Antiqua" w:hAnsi="Book Antiqua"/>
          <w:i/>
          <w:iCs/>
        </w:rPr>
        <w:t>JAMA</w:t>
      </w:r>
      <w:r w:rsidRPr="00AE0331">
        <w:rPr>
          <w:rFonts w:ascii="Book Antiqua" w:hAnsi="Book Antiqua"/>
        </w:rPr>
        <w:t xml:space="preserve"> 2012; </w:t>
      </w:r>
      <w:r w:rsidRPr="00AE0331">
        <w:rPr>
          <w:rFonts w:ascii="Book Antiqua" w:hAnsi="Book Antiqua"/>
          <w:b/>
          <w:bCs/>
        </w:rPr>
        <w:t>307</w:t>
      </w:r>
      <w:r w:rsidRPr="00AE0331">
        <w:rPr>
          <w:rFonts w:ascii="Book Antiqua" w:hAnsi="Book Antiqua"/>
        </w:rPr>
        <w:t>: 2295-2304 [PMID: 22706835 DOI: 10.1001/jama.2012.5502]</w:t>
      </w:r>
    </w:p>
    <w:p w14:paraId="14D5E569"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32 </w:t>
      </w:r>
      <w:r w:rsidRPr="00AE0331">
        <w:rPr>
          <w:rFonts w:ascii="Book Antiqua" w:hAnsi="Book Antiqua"/>
          <w:b/>
          <w:bCs/>
        </w:rPr>
        <w:t>Devereaux PJ</w:t>
      </w:r>
      <w:r w:rsidRPr="00AE0331">
        <w:rPr>
          <w:rFonts w:ascii="Book Antiqua" w:hAnsi="Book Antiqua"/>
        </w:rPr>
        <w:t xml:space="preserve">, Xavier D, Pogue J, Guyatt G, Sigamani A, Garutti I, Leslie K, Rao-Melacini P, Chrolavicius S, Yang H, Macdonald C, Avezum A, Lanthier L, Hu W, Yusuf S; POISE (PeriOperative ISchemic Evaluation) Investigators. Characteristics and short-term prognosis of perioperative myocardial infarction in patients undergoing noncardiac surgery: a cohort study. </w:t>
      </w:r>
      <w:r w:rsidRPr="00AE0331">
        <w:rPr>
          <w:rFonts w:ascii="Book Antiqua" w:hAnsi="Book Antiqua"/>
          <w:i/>
          <w:iCs/>
        </w:rPr>
        <w:t>Ann Intern Med</w:t>
      </w:r>
      <w:r w:rsidRPr="00AE0331">
        <w:rPr>
          <w:rFonts w:ascii="Book Antiqua" w:hAnsi="Book Antiqua"/>
        </w:rPr>
        <w:t xml:space="preserve"> 2011; </w:t>
      </w:r>
      <w:r w:rsidRPr="00AE0331">
        <w:rPr>
          <w:rFonts w:ascii="Book Antiqua" w:hAnsi="Book Antiqua"/>
          <w:b/>
          <w:bCs/>
        </w:rPr>
        <w:t>154</w:t>
      </w:r>
      <w:r w:rsidRPr="00AE0331">
        <w:rPr>
          <w:rFonts w:ascii="Book Antiqua" w:hAnsi="Book Antiqua"/>
        </w:rPr>
        <w:t>: 523-528 [PMID: 21502650 DOI: 10.7326/0003-4819-154-8-201104190-00003]</w:t>
      </w:r>
    </w:p>
    <w:p w14:paraId="6CCEB60C" w14:textId="77777777" w:rsidR="00592FA5" w:rsidRPr="00AE0331" w:rsidRDefault="00592FA5" w:rsidP="00592FA5">
      <w:pPr>
        <w:spacing w:line="360" w:lineRule="auto"/>
        <w:jc w:val="both"/>
        <w:rPr>
          <w:rFonts w:ascii="Book Antiqua" w:hAnsi="Book Antiqua"/>
        </w:rPr>
      </w:pPr>
      <w:r w:rsidRPr="00AE0331">
        <w:rPr>
          <w:rFonts w:ascii="Book Antiqua" w:hAnsi="Book Antiqua"/>
        </w:rPr>
        <w:lastRenderedPageBreak/>
        <w:t xml:space="preserve">33 </w:t>
      </w:r>
      <w:r w:rsidRPr="00AE0331">
        <w:rPr>
          <w:rFonts w:ascii="Book Antiqua" w:hAnsi="Book Antiqua"/>
          <w:b/>
          <w:bCs/>
        </w:rPr>
        <w:t>Thygesen K</w:t>
      </w:r>
      <w:r w:rsidRPr="00AE0331">
        <w:rPr>
          <w:rFonts w:ascii="Book Antiqua" w:hAnsi="Book Antiqua"/>
        </w:rPr>
        <w:t xml:space="preserve">, Alpert JS, Jaffe AS, Simoons ML, Chaitman BR, White HD; Joint ESC/ACCF/AHA/WHF Task Force for Universal Definition of Myocardial Infarction; Authors/Task Force Members Chairpersons, Thygesen K, Alpert JS, White HD; Biomarker Subcommittee, Jaffe AS, Katus HA, Apple FS, Lindahl B, Morrow DA; ECG Subcommittee, Chaitman BR, Clemmensen PM, Johanson P, Hod H; Imaging Subcommittee, Underwood R, Bax JJ, Bonow JJ, Pinto F, Gibbons RJ; Classification Subcommittee, Fox KA, Atar D, Newby LK, Galvani M, Hamm CW; Intervention Subcommittee, Uretsky BF, Steg PG, Wijns W, Bassand JP, Menasche P, Ravkilde J; Trials &amp; Registries Subcommittee, Ohman EM, Antman EM, Wallentin LC, Armstrong PW, Simoons ML; Trials &amp; Registries Subcommittee, Januzzi JL, Nieminen MS, Gheorghiade M, Filippatos G; Trials &amp; Registries Subcommittee, Luepker RV, Fortmann SP, Rosamond WD, Levy D, Wood D; Trials &amp; Registries Subcommittee, Smith SC, Hu D, Lopez-Sendon JL, Robertson RM, Weaver D, Tendera M, Bove AA, Parkhomenko AN, Vasilieva EJ, Mendis S; ESC Committee for Practice Guidelines (CPG), Bax JJ, Baumgartner H, Ceconi C, Dean V, Deaton C, Fagard R, Funck-Brentano C, Hasdai D, Hoes A, Kirchhof P, Knuuti J, Kolh P, McDonagh T, Moulin C, Popescu BA, Reiner Z, Sechtem U, Sirnes PA, Tendera M, Torbicki A, Vahanian A, Windecker S; Document Reviewers,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sidRPr="00AE0331">
        <w:rPr>
          <w:rFonts w:ascii="Book Antiqua" w:hAnsi="Book Antiqua"/>
          <w:i/>
          <w:iCs/>
        </w:rPr>
        <w:t>J Am Coll Cardiol</w:t>
      </w:r>
      <w:r w:rsidRPr="00AE0331">
        <w:rPr>
          <w:rFonts w:ascii="Book Antiqua" w:hAnsi="Book Antiqua"/>
        </w:rPr>
        <w:t xml:space="preserve"> 2012; </w:t>
      </w:r>
      <w:r w:rsidRPr="00AE0331">
        <w:rPr>
          <w:rFonts w:ascii="Book Antiqua" w:hAnsi="Book Antiqua"/>
          <w:b/>
          <w:bCs/>
        </w:rPr>
        <w:t>60</w:t>
      </w:r>
      <w:r w:rsidRPr="00AE0331">
        <w:rPr>
          <w:rFonts w:ascii="Book Antiqua" w:hAnsi="Book Antiqua"/>
        </w:rPr>
        <w:t>: 1581-1598 [PMID: 22958960 DOI: 10.1016/j.jacc.2012.08.001]</w:t>
      </w:r>
    </w:p>
    <w:p w14:paraId="266854FB" w14:textId="77777777" w:rsidR="00A77B3E" w:rsidRPr="00AE0331" w:rsidRDefault="00A77B3E" w:rsidP="00592FA5">
      <w:pPr>
        <w:spacing w:line="360" w:lineRule="auto"/>
        <w:jc w:val="both"/>
        <w:rPr>
          <w:rFonts w:ascii="Book Antiqua" w:hAnsi="Book Antiqua"/>
        </w:rPr>
        <w:sectPr w:rsidR="00A77B3E" w:rsidRPr="00AE0331">
          <w:pgSz w:w="12240" w:h="15840"/>
          <w:pgMar w:top="1440" w:right="1440" w:bottom="1440" w:left="1440" w:header="720" w:footer="720" w:gutter="0"/>
          <w:cols w:space="720"/>
          <w:docGrid w:linePitch="360"/>
        </w:sectPr>
      </w:pPr>
    </w:p>
    <w:p w14:paraId="0B90F85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lastRenderedPageBreak/>
        <w:t>Footnotes</w:t>
      </w:r>
    </w:p>
    <w:p w14:paraId="53936B82" w14:textId="4315D4FB"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Institutional review board statement: </w:t>
      </w:r>
      <w:r w:rsidRPr="00AE0331">
        <w:rPr>
          <w:rFonts w:ascii="Book Antiqua" w:eastAsia="Book Antiqua" w:hAnsi="Book Antiqua" w:cs="Book Antiqua"/>
          <w:color w:val="000000"/>
          <w:shd w:val="clear" w:color="auto" w:fill="FFFFFF"/>
        </w:rPr>
        <w:t>The study was approved by the Ethics Committee of Shenzhen People’s Hospital</w:t>
      </w:r>
      <w:r w:rsidR="00A62A9E">
        <w:rPr>
          <w:rFonts w:ascii="Book Antiqua" w:eastAsia="Book Antiqua" w:hAnsi="Book Antiqua" w:cs="Book Antiqua"/>
          <w:color w:val="000000"/>
          <w:shd w:val="clear" w:color="auto" w:fill="FFFFFF"/>
        </w:rPr>
        <w:t xml:space="preserve"> (</w:t>
      </w:r>
      <w:r w:rsidR="00241B2B">
        <w:rPr>
          <w:rFonts w:ascii="Book Antiqua" w:eastAsia="Book Antiqua" w:hAnsi="Book Antiqua" w:cs="Book Antiqua"/>
          <w:color w:val="000000"/>
          <w:shd w:val="clear" w:color="auto" w:fill="FFFFFF"/>
        </w:rPr>
        <w:t>No.</w:t>
      </w:r>
      <w:r w:rsidRPr="00AE0331">
        <w:rPr>
          <w:rFonts w:ascii="Book Antiqua" w:eastAsia="Book Antiqua" w:hAnsi="Book Antiqua" w:cs="Book Antiqua"/>
          <w:color w:val="000000"/>
          <w:shd w:val="clear" w:color="auto" w:fill="FFFFFF"/>
        </w:rPr>
        <w:t xml:space="preserve"> LL-KT-2014211</w:t>
      </w:r>
      <w:r w:rsidR="00A62A9E">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conducted according to the Declaration of Helsinki. </w:t>
      </w:r>
    </w:p>
    <w:p w14:paraId="59902E85" w14:textId="77777777" w:rsidR="00A77B3E" w:rsidRPr="00AE0331" w:rsidRDefault="00A77B3E" w:rsidP="00592FA5">
      <w:pPr>
        <w:spacing w:line="360" w:lineRule="auto"/>
        <w:jc w:val="both"/>
        <w:rPr>
          <w:rFonts w:ascii="Book Antiqua" w:hAnsi="Book Antiqua"/>
        </w:rPr>
      </w:pPr>
      <w:bookmarkStart w:id="2" w:name="_GoBack"/>
      <w:bookmarkEnd w:id="2"/>
    </w:p>
    <w:p w14:paraId="0B558B6C" w14:textId="5924DFD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Clinical trial registration statement: </w:t>
      </w:r>
      <w:r w:rsidR="003C5A65" w:rsidRPr="003C5A65">
        <w:rPr>
          <w:rFonts w:ascii="Book Antiqua" w:eastAsia="Book Antiqua" w:hAnsi="Book Antiqua" w:cs="Book Antiqua"/>
          <w:color w:val="000000"/>
        </w:rPr>
        <w:t>The trial was registered in Chinese Clinical Trial Registry</w:t>
      </w:r>
      <w:r w:rsidR="003C5A65">
        <w:rPr>
          <w:rFonts w:ascii="Book Antiqua" w:eastAsia="Book Antiqua" w:hAnsi="Book Antiqua" w:cs="Book Antiqua"/>
          <w:color w:val="000000"/>
        </w:rPr>
        <w:t xml:space="preserve"> on </w:t>
      </w:r>
      <w:r w:rsidR="003C5A65" w:rsidRPr="00AE0331">
        <w:rPr>
          <w:rFonts w:ascii="Book Antiqua" w:eastAsia="Book Antiqua" w:hAnsi="Book Antiqua" w:cs="Book Antiqua"/>
          <w:color w:val="000000"/>
        </w:rPr>
        <w:t>August</w:t>
      </w:r>
      <w:r w:rsidR="003C5A65">
        <w:rPr>
          <w:rFonts w:ascii="Book Antiqua" w:eastAsia="Book Antiqua" w:hAnsi="Book Antiqua" w:cs="Book Antiqua"/>
          <w:color w:val="000000"/>
        </w:rPr>
        <w:t xml:space="preserve"> 15,</w:t>
      </w:r>
      <w:r w:rsidR="003C5A65" w:rsidRPr="00AE0331">
        <w:rPr>
          <w:rFonts w:ascii="Book Antiqua" w:eastAsia="Book Antiqua" w:hAnsi="Book Antiqua" w:cs="Book Antiqua"/>
          <w:color w:val="000000"/>
        </w:rPr>
        <w:t xml:space="preserve"> 2019</w:t>
      </w:r>
      <w:r w:rsidR="003C5A65">
        <w:rPr>
          <w:rFonts w:ascii="Book Antiqua" w:eastAsia="Book Antiqua" w:hAnsi="Book Antiqua" w:cs="Book Antiqua"/>
          <w:color w:val="000000"/>
        </w:rPr>
        <w:t xml:space="preserve"> (</w:t>
      </w:r>
      <w:r w:rsidR="003C5A65" w:rsidRPr="00AE0331">
        <w:rPr>
          <w:rFonts w:ascii="Book Antiqua" w:eastAsia="Book Antiqua" w:hAnsi="Book Antiqua" w:cs="Book Antiqua"/>
          <w:color w:val="000000"/>
        </w:rPr>
        <w:t>ChiCTR1900025174</w:t>
      </w:r>
      <w:r w:rsidR="003C5A65">
        <w:rPr>
          <w:rFonts w:ascii="Book Antiqua" w:eastAsia="Book Antiqua" w:hAnsi="Book Antiqua" w:cs="Book Antiqua"/>
          <w:color w:val="000000"/>
        </w:rPr>
        <w:t>) and is available at</w:t>
      </w:r>
      <w:r w:rsidR="003C5A65" w:rsidRPr="00AE0331">
        <w:rPr>
          <w:rFonts w:ascii="Book Antiqua" w:eastAsia="Book Antiqua" w:hAnsi="Book Antiqua" w:cs="Book Antiqua"/>
          <w:color w:val="000000"/>
        </w:rPr>
        <w:t xml:space="preserve"> http://www.chictr.org.cn/showproj.aspx?proj=42063.</w:t>
      </w:r>
    </w:p>
    <w:p w14:paraId="6BD25F4F" w14:textId="77777777" w:rsidR="00A77B3E" w:rsidRPr="00AE0331" w:rsidRDefault="00A77B3E" w:rsidP="00592FA5">
      <w:pPr>
        <w:spacing w:line="360" w:lineRule="auto"/>
        <w:ind w:firstLine="480"/>
        <w:jc w:val="both"/>
        <w:rPr>
          <w:rFonts w:ascii="Book Antiqua" w:hAnsi="Book Antiqua"/>
        </w:rPr>
      </w:pPr>
    </w:p>
    <w:p w14:paraId="009F58E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Informed consent statement: </w:t>
      </w:r>
      <w:r w:rsidRPr="00AE0331">
        <w:rPr>
          <w:rFonts w:ascii="Book Antiqua" w:eastAsia="Book Antiqua" w:hAnsi="Book Antiqua" w:cs="Book Antiqua"/>
          <w:color w:val="000000"/>
        </w:rPr>
        <w:t>All study participants, or their legal guardian, provided informed written consent prior to study enrollment.</w:t>
      </w:r>
    </w:p>
    <w:p w14:paraId="7C23666B" w14:textId="77777777" w:rsidR="00A77B3E" w:rsidRPr="00AE0331" w:rsidRDefault="00A77B3E" w:rsidP="00592FA5">
      <w:pPr>
        <w:spacing w:line="360" w:lineRule="auto"/>
        <w:jc w:val="both"/>
        <w:rPr>
          <w:rFonts w:ascii="Book Antiqua" w:hAnsi="Book Antiqua"/>
        </w:rPr>
      </w:pPr>
    </w:p>
    <w:p w14:paraId="751D0D6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Conflict-of-interest statement: </w:t>
      </w:r>
      <w:r w:rsidRPr="00AE0331">
        <w:rPr>
          <w:rFonts w:ascii="Book Antiqua" w:eastAsia="Book Antiqua" w:hAnsi="Book Antiqua" w:cs="Book Antiqua"/>
          <w:color w:val="000000"/>
        </w:rPr>
        <w:t>The authors declare that they have no conflict of interest.</w:t>
      </w:r>
    </w:p>
    <w:p w14:paraId="769841CB" w14:textId="77777777" w:rsidR="00A77B3E" w:rsidRPr="00AE0331" w:rsidRDefault="00A77B3E" w:rsidP="00592FA5">
      <w:pPr>
        <w:spacing w:line="360" w:lineRule="auto"/>
        <w:jc w:val="both"/>
        <w:rPr>
          <w:rFonts w:ascii="Book Antiqua" w:hAnsi="Book Antiqua"/>
        </w:rPr>
      </w:pPr>
    </w:p>
    <w:p w14:paraId="4A21020E" w14:textId="1D26FA6D" w:rsidR="00A77B3E" w:rsidRPr="00AE0331" w:rsidRDefault="00027233" w:rsidP="00592FA5">
      <w:pPr>
        <w:spacing w:line="360" w:lineRule="auto"/>
        <w:jc w:val="both"/>
        <w:rPr>
          <w:rFonts w:ascii="Book Antiqua" w:hAnsi="Book Antiqua"/>
        </w:rPr>
      </w:pPr>
      <w:r w:rsidRPr="00AE0331">
        <w:rPr>
          <w:rFonts w:ascii="Book Antiqua" w:hAnsi="Book Antiqua" w:cs="Garamond"/>
          <w:b/>
          <w:bCs/>
          <w:color w:val="000000"/>
        </w:rPr>
        <w:t>CONSORT 2010 Statement</w:t>
      </w:r>
      <w:r w:rsidR="00682851" w:rsidRPr="00AE0331">
        <w:rPr>
          <w:rFonts w:ascii="Book Antiqua" w:eastAsia="Book Antiqua" w:hAnsi="Book Antiqua" w:cs="Book Antiqua"/>
          <w:b/>
          <w:bCs/>
          <w:color w:val="000000"/>
        </w:rPr>
        <w:t xml:space="preserve">: </w:t>
      </w:r>
      <w:r w:rsidRPr="00AE0331">
        <w:rPr>
          <w:rFonts w:ascii="Book Antiqua" w:hAnsi="Book Antiqua" w:cs="Garamond"/>
          <w:color w:val="000000"/>
        </w:rPr>
        <w:t>The authors have read the CONSORT 2010 Statement, and the manuscript was prepared and revised according to the CONSORT 2010 Statement.</w:t>
      </w:r>
    </w:p>
    <w:p w14:paraId="6F58AFEB" w14:textId="77777777" w:rsidR="00A77B3E" w:rsidRPr="00AE0331" w:rsidRDefault="00A77B3E" w:rsidP="00592FA5">
      <w:pPr>
        <w:spacing w:line="360" w:lineRule="auto"/>
        <w:jc w:val="both"/>
        <w:rPr>
          <w:rFonts w:ascii="Book Antiqua" w:hAnsi="Book Antiqua"/>
        </w:rPr>
      </w:pPr>
    </w:p>
    <w:p w14:paraId="3861CC9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Open-Access: </w:t>
      </w:r>
      <w:r w:rsidRPr="00AE03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2D7BC" w14:textId="77777777" w:rsidR="00A77B3E" w:rsidRPr="00AE0331" w:rsidRDefault="00A77B3E" w:rsidP="00592FA5">
      <w:pPr>
        <w:spacing w:line="360" w:lineRule="auto"/>
        <w:jc w:val="both"/>
        <w:rPr>
          <w:rFonts w:ascii="Book Antiqua" w:hAnsi="Book Antiqua"/>
        </w:rPr>
      </w:pPr>
    </w:p>
    <w:p w14:paraId="714B0C14" w14:textId="20239D3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source: </w:t>
      </w:r>
      <w:r w:rsidRPr="00AE0331">
        <w:rPr>
          <w:rFonts w:ascii="Book Antiqua" w:eastAsia="Book Antiqua" w:hAnsi="Book Antiqua" w:cs="Book Antiqua"/>
          <w:color w:val="000000"/>
        </w:rPr>
        <w:t xml:space="preserve">Unsolicited </w:t>
      </w:r>
      <w:r w:rsidR="00060C8B" w:rsidRPr="00AE0331">
        <w:rPr>
          <w:rFonts w:ascii="Book Antiqua" w:eastAsia="Book Antiqua" w:hAnsi="Book Antiqua" w:cs="Book Antiqua"/>
          <w:color w:val="000000"/>
        </w:rPr>
        <w:t>m</w:t>
      </w:r>
      <w:r w:rsidRPr="00AE0331">
        <w:rPr>
          <w:rFonts w:ascii="Book Antiqua" w:eastAsia="Book Antiqua" w:hAnsi="Book Antiqua" w:cs="Book Antiqua"/>
          <w:color w:val="000000"/>
        </w:rPr>
        <w:t>anuscript</w:t>
      </w:r>
    </w:p>
    <w:p w14:paraId="671B51BA" w14:textId="77777777" w:rsidR="00A77B3E" w:rsidRPr="00AE0331" w:rsidRDefault="00A77B3E" w:rsidP="00592FA5">
      <w:pPr>
        <w:spacing w:line="360" w:lineRule="auto"/>
        <w:jc w:val="both"/>
        <w:rPr>
          <w:rFonts w:ascii="Book Antiqua" w:hAnsi="Book Antiqua"/>
        </w:rPr>
      </w:pPr>
    </w:p>
    <w:p w14:paraId="1E1B2D2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Peer-review started: </w:t>
      </w:r>
      <w:r w:rsidRPr="00AE0331">
        <w:rPr>
          <w:rFonts w:ascii="Book Antiqua" w:eastAsia="Book Antiqua" w:hAnsi="Book Antiqua" w:cs="Book Antiqua"/>
          <w:color w:val="000000"/>
        </w:rPr>
        <w:t>November 10, 2020</w:t>
      </w:r>
    </w:p>
    <w:p w14:paraId="13A0102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First decision: </w:t>
      </w:r>
      <w:r w:rsidRPr="00AE0331">
        <w:rPr>
          <w:rFonts w:ascii="Book Antiqua" w:eastAsia="Book Antiqua" w:hAnsi="Book Antiqua" w:cs="Book Antiqua"/>
          <w:color w:val="000000"/>
        </w:rPr>
        <w:t>December 8, 2020</w:t>
      </w:r>
    </w:p>
    <w:p w14:paraId="7E99747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Article in press: </w:t>
      </w:r>
    </w:p>
    <w:p w14:paraId="601635E6" w14:textId="77777777" w:rsidR="00A77B3E" w:rsidRPr="00AE0331" w:rsidRDefault="00A77B3E" w:rsidP="00592FA5">
      <w:pPr>
        <w:spacing w:line="360" w:lineRule="auto"/>
        <w:jc w:val="both"/>
        <w:rPr>
          <w:rFonts w:ascii="Book Antiqua" w:hAnsi="Book Antiqua"/>
        </w:rPr>
      </w:pPr>
    </w:p>
    <w:p w14:paraId="4F1EA0C8" w14:textId="145ED64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9A57FB" w:rsidRPr="00AE0331">
        <w:rPr>
          <w:rFonts w:ascii="Book Antiqua" w:eastAsia="微软雅黑" w:hAnsi="Book Antiqua" w:cs="宋体"/>
        </w:rPr>
        <w:t>Medicine, research and experimental</w:t>
      </w:r>
      <w:bookmarkEnd w:id="3"/>
      <w:bookmarkEnd w:id="4"/>
      <w:bookmarkEnd w:id="5"/>
    </w:p>
    <w:p w14:paraId="650AE58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Country/Territory of origin: </w:t>
      </w:r>
      <w:r w:rsidRPr="00AE0331">
        <w:rPr>
          <w:rFonts w:ascii="Book Antiqua" w:eastAsia="Book Antiqua" w:hAnsi="Book Antiqua" w:cs="Book Antiqua"/>
          <w:color w:val="000000"/>
        </w:rPr>
        <w:t>China</w:t>
      </w:r>
    </w:p>
    <w:p w14:paraId="6E147A2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Peer-review report’s scientific quality classification</w:t>
      </w:r>
    </w:p>
    <w:p w14:paraId="22A0268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A (Excellent): A</w:t>
      </w:r>
    </w:p>
    <w:p w14:paraId="74F1FD0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B (Very good): B</w:t>
      </w:r>
    </w:p>
    <w:p w14:paraId="0283D68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C (Good): 0</w:t>
      </w:r>
    </w:p>
    <w:p w14:paraId="16CA81E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D (Fair): 0</w:t>
      </w:r>
    </w:p>
    <w:p w14:paraId="71E6CBA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E (Poor): 0</w:t>
      </w:r>
    </w:p>
    <w:p w14:paraId="3E2051E9" w14:textId="77777777" w:rsidR="00A77B3E" w:rsidRPr="00AE0331" w:rsidRDefault="00A77B3E" w:rsidP="00592FA5">
      <w:pPr>
        <w:spacing w:line="360" w:lineRule="auto"/>
        <w:jc w:val="both"/>
        <w:rPr>
          <w:rFonts w:ascii="Book Antiqua" w:hAnsi="Book Antiqua"/>
        </w:rPr>
      </w:pPr>
    </w:p>
    <w:p w14:paraId="78F33BF8" w14:textId="0C34652A" w:rsidR="00A77B3E" w:rsidRPr="00AE0331" w:rsidRDefault="00682851" w:rsidP="00592FA5">
      <w:pPr>
        <w:spacing w:line="360" w:lineRule="auto"/>
        <w:jc w:val="both"/>
        <w:rPr>
          <w:rFonts w:ascii="Book Antiqua" w:eastAsia="Book Antiqua" w:hAnsi="Book Antiqua" w:cs="Book Antiqua"/>
          <w:b/>
          <w:color w:val="000000"/>
        </w:rPr>
      </w:pPr>
      <w:r w:rsidRPr="00AE0331">
        <w:rPr>
          <w:rFonts w:ascii="Book Antiqua" w:eastAsia="Book Antiqua" w:hAnsi="Book Antiqua" w:cs="Book Antiqua"/>
          <w:b/>
          <w:color w:val="000000"/>
        </w:rPr>
        <w:t xml:space="preserve">P-Reviewer: </w:t>
      </w:r>
      <w:r w:rsidRPr="00AE0331">
        <w:rPr>
          <w:rFonts w:ascii="Book Antiqua" w:eastAsia="Book Antiqua" w:hAnsi="Book Antiqua" w:cs="Book Antiqua"/>
          <w:color w:val="000000"/>
        </w:rPr>
        <w:t>Găman MA</w:t>
      </w:r>
      <w:r w:rsidRPr="00AE0331">
        <w:rPr>
          <w:rFonts w:ascii="Book Antiqua" w:eastAsia="Book Antiqua" w:hAnsi="Book Antiqua" w:cs="Book Antiqua"/>
          <w:b/>
          <w:color w:val="000000"/>
        </w:rPr>
        <w:t xml:space="preserve"> S-Editor: </w:t>
      </w:r>
      <w:r w:rsidRPr="00AE0331">
        <w:rPr>
          <w:rFonts w:ascii="Book Antiqua" w:eastAsia="Book Antiqua" w:hAnsi="Book Antiqua" w:cs="Book Antiqua"/>
          <w:color w:val="000000"/>
        </w:rPr>
        <w:t>Fan JR</w:t>
      </w:r>
      <w:r w:rsidRPr="00AE0331">
        <w:rPr>
          <w:rFonts w:ascii="Book Antiqua" w:eastAsia="Book Antiqua" w:hAnsi="Book Antiqua" w:cs="Book Antiqua"/>
          <w:b/>
          <w:color w:val="000000"/>
        </w:rPr>
        <w:t xml:space="preserve"> L-Editor: </w:t>
      </w:r>
      <w:r w:rsidR="00A62A9E" w:rsidRPr="00356A6B">
        <w:rPr>
          <w:rFonts w:ascii="Book Antiqua" w:eastAsia="Book Antiqua" w:hAnsi="Book Antiqua" w:cs="Book Antiqua"/>
          <w:color w:val="000000"/>
        </w:rPr>
        <w:t>Wang TQ</w:t>
      </w:r>
      <w:r w:rsidRPr="00AE0331">
        <w:rPr>
          <w:rFonts w:ascii="Book Antiqua" w:eastAsia="Book Antiqua" w:hAnsi="Book Antiqua" w:cs="Book Antiqua"/>
          <w:b/>
          <w:color w:val="000000"/>
        </w:rPr>
        <w:t xml:space="preserve"> P-Editor: </w:t>
      </w:r>
    </w:p>
    <w:p w14:paraId="0254E5C3" w14:textId="05EEA99F" w:rsidR="00070BAF" w:rsidRPr="00AE0331" w:rsidRDefault="00070BAF" w:rsidP="00592FA5">
      <w:pPr>
        <w:snapToGrid w:val="0"/>
        <w:spacing w:line="360" w:lineRule="auto"/>
        <w:jc w:val="both"/>
        <w:rPr>
          <w:rFonts w:ascii="Book Antiqua" w:hAnsi="Book Antiqua"/>
          <w:b/>
        </w:rPr>
      </w:pPr>
      <w:r w:rsidRPr="00AE0331">
        <w:rPr>
          <w:rFonts w:ascii="Book Antiqua" w:eastAsia="Book Antiqua" w:hAnsi="Book Antiqua" w:cs="Book Antiqua"/>
          <w:b/>
          <w:color w:val="000000"/>
        </w:rPr>
        <w:br w:type="page"/>
      </w:r>
      <w:r w:rsidR="00BE5F17" w:rsidRPr="00AE0331">
        <w:rPr>
          <w:rFonts w:ascii="Book Antiqua" w:eastAsia="Book Antiqua" w:hAnsi="Book Antiqua" w:cs="Book Antiqua"/>
          <w:b/>
          <w:color w:val="000000"/>
        </w:rPr>
        <w:lastRenderedPageBreak/>
        <w:t>Figure Legends</w:t>
      </w:r>
    </w:p>
    <w:p w14:paraId="0DFF264F" w14:textId="31961F57" w:rsidR="00070BAF" w:rsidRPr="00AE0331" w:rsidRDefault="00934829" w:rsidP="00592FA5">
      <w:pPr>
        <w:snapToGrid w:val="0"/>
        <w:spacing w:line="360" w:lineRule="auto"/>
        <w:jc w:val="both"/>
        <w:rPr>
          <w:rFonts w:ascii="Book Antiqua" w:hAnsi="Book Antiqua"/>
          <w:b/>
          <w:bCs/>
        </w:rPr>
      </w:pPr>
      <w:r>
        <w:rPr>
          <w:noProof/>
          <w:lang w:eastAsia="zh-CN"/>
        </w:rPr>
        <w:drawing>
          <wp:inline distT="0" distB="0" distL="0" distR="0" wp14:anchorId="673D0BEB" wp14:editId="0C2ECA71">
            <wp:extent cx="5943600" cy="399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91610"/>
                    </a:xfrm>
                    <a:prstGeom prst="rect">
                      <a:avLst/>
                    </a:prstGeom>
                  </pic:spPr>
                </pic:pic>
              </a:graphicData>
            </a:graphic>
          </wp:inline>
        </w:drawing>
      </w:r>
    </w:p>
    <w:p w14:paraId="106D6E96" w14:textId="718EB183" w:rsidR="00070BAF" w:rsidRPr="00AE0331" w:rsidRDefault="00070BAF" w:rsidP="00592FA5">
      <w:pPr>
        <w:snapToGrid w:val="0"/>
        <w:spacing w:line="360" w:lineRule="auto"/>
        <w:jc w:val="both"/>
        <w:rPr>
          <w:rFonts w:ascii="Book Antiqua" w:hAnsi="Book Antiqua"/>
          <w:color w:val="000000"/>
          <w:shd w:val="clear" w:color="auto" w:fill="FFFFFF"/>
        </w:rPr>
      </w:pPr>
      <w:r w:rsidRPr="00AE0331">
        <w:rPr>
          <w:rFonts w:ascii="Book Antiqua" w:hAnsi="Book Antiqua"/>
          <w:b/>
          <w:bCs/>
        </w:rPr>
        <w:t>Figure 1</w:t>
      </w:r>
      <w:r w:rsidRPr="00AE0331">
        <w:rPr>
          <w:rFonts w:ascii="Book Antiqua" w:hAnsi="Book Antiqua"/>
          <w:bCs/>
        </w:rPr>
        <w:t xml:space="preserve"> </w:t>
      </w:r>
      <w:r w:rsidR="00A62A9E" w:rsidRPr="00356A6B">
        <w:rPr>
          <w:rFonts w:ascii="Book Antiqua" w:hAnsi="Book Antiqua"/>
          <w:b/>
          <w:bCs/>
        </w:rPr>
        <w:t xml:space="preserve">Flow chart of </w:t>
      </w:r>
      <w:r w:rsidR="00A62A9E">
        <w:rPr>
          <w:rFonts w:ascii="Book Antiqua" w:hAnsi="Book Antiqua"/>
          <w:b/>
        </w:rPr>
        <w:t>p</w:t>
      </w:r>
      <w:r w:rsidR="00A62A9E" w:rsidRPr="00AE0331">
        <w:rPr>
          <w:rFonts w:ascii="Book Antiqua" w:hAnsi="Book Antiqua"/>
          <w:b/>
        </w:rPr>
        <w:t xml:space="preserve">atient </w:t>
      </w:r>
      <w:r w:rsidR="00A62A9E">
        <w:rPr>
          <w:rFonts w:ascii="Book Antiqua" w:hAnsi="Book Antiqua"/>
          <w:b/>
        </w:rPr>
        <w:t>selection</w:t>
      </w:r>
      <w:r w:rsidRPr="00AE0331">
        <w:rPr>
          <w:rFonts w:ascii="Book Antiqua" w:hAnsi="Book Antiqua"/>
          <w:b/>
        </w:rPr>
        <w:t>.</w:t>
      </w:r>
    </w:p>
    <w:p w14:paraId="7E00DE16" w14:textId="5138185A" w:rsidR="00070BAF" w:rsidRPr="00AE0331" w:rsidRDefault="00070BAF" w:rsidP="00592FA5">
      <w:pPr>
        <w:autoSpaceDE w:val="0"/>
        <w:autoSpaceDN w:val="0"/>
        <w:adjustRightInd w:val="0"/>
        <w:snapToGrid w:val="0"/>
        <w:spacing w:line="360" w:lineRule="auto"/>
        <w:jc w:val="both"/>
        <w:rPr>
          <w:rFonts w:ascii="Book Antiqua" w:eastAsia="Book Antiqua" w:hAnsi="Book Antiqua" w:cs="Book Antiqua"/>
          <w:b/>
          <w:color w:val="000000"/>
        </w:rPr>
      </w:pPr>
    </w:p>
    <w:p w14:paraId="49D29457" w14:textId="5521D1B9" w:rsidR="00070BAF" w:rsidRPr="00AE0331" w:rsidRDefault="00070BAF" w:rsidP="00592FA5">
      <w:pPr>
        <w:autoSpaceDE w:val="0"/>
        <w:autoSpaceDN w:val="0"/>
        <w:adjustRightInd w:val="0"/>
        <w:snapToGrid w:val="0"/>
        <w:spacing w:line="360" w:lineRule="auto"/>
        <w:jc w:val="both"/>
        <w:rPr>
          <w:rFonts w:ascii="Book Antiqua" w:hAnsi="Book Antiqua"/>
          <w:b/>
          <w:bCs/>
          <w:color w:val="000000"/>
          <w:shd w:val="clear" w:color="auto" w:fill="FFFFFF"/>
        </w:rPr>
      </w:pPr>
      <w:r w:rsidRPr="00AE0331">
        <w:rPr>
          <w:rFonts w:ascii="Book Antiqua" w:hAnsi="Book Antiqua"/>
          <w:b/>
          <w:bCs/>
        </w:rPr>
        <w:br w:type="page"/>
      </w:r>
      <w:r w:rsidRPr="00AE0331">
        <w:rPr>
          <w:rFonts w:ascii="Book Antiqua" w:hAnsi="Book Antiqua"/>
          <w:b/>
          <w:bCs/>
        </w:rPr>
        <w:lastRenderedPageBreak/>
        <w:t>Table 1</w:t>
      </w:r>
      <w:r w:rsidRPr="00AE0331">
        <w:rPr>
          <w:rFonts w:ascii="Book Antiqua" w:hAnsi="Book Antiqua"/>
        </w:rPr>
        <w:t xml:space="preserve"> </w:t>
      </w:r>
      <w:r w:rsidRPr="00AE0331">
        <w:rPr>
          <w:rFonts w:ascii="Book Antiqua" w:hAnsi="Book Antiqua"/>
          <w:b/>
          <w:bCs/>
          <w:color w:val="000000"/>
          <w:shd w:val="clear" w:color="auto" w:fill="FFFFFF"/>
        </w:rPr>
        <w:t>Baseline clinical characteristics of the study participants</w:t>
      </w:r>
    </w:p>
    <w:tbl>
      <w:tblPr>
        <w:tblW w:w="5000" w:type="pct"/>
        <w:tblLook w:val="04A0" w:firstRow="1" w:lastRow="0" w:firstColumn="1" w:lastColumn="0" w:noHBand="0" w:noVBand="1"/>
      </w:tblPr>
      <w:tblGrid>
        <w:gridCol w:w="2940"/>
        <w:gridCol w:w="2584"/>
        <w:gridCol w:w="2584"/>
        <w:gridCol w:w="1252"/>
      </w:tblGrid>
      <w:tr w:rsidR="00070BAF" w:rsidRPr="00AE0331" w14:paraId="52A8E2DE" w14:textId="77777777" w:rsidTr="00BA0F0E">
        <w:trPr>
          <w:trHeight w:val="316"/>
        </w:trPr>
        <w:tc>
          <w:tcPr>
            <w:tcW w:w="1570" w:type="pct"/>
            <w:tcBorders>
              <w:top w:val="single" w:sz="4" w:space="0" w:color="auto"/>
              <w:bottom w:val="single" w:sz="4" w:space="0" w:color="auto"/>
            </w:tcBorders>
            <w:vAlign w:val="center"/>
          </w:tcPr>
          <w:p w14:paraId="2E91A7BF" w14:textId="77777777" w:rsidR="00070BAF" w:rsidRPr="00AE0331" w:rsidRDefault="00070BAF" w:rsidP="00592FA5">
            <w:pPr>
              <w:tabs>
                <w:tab w:val="left" w:pos="5220"/>
              </w:tabs>
              <w:snapToGrid w:val="0"/>
              <w:spacing w:line="360" w:lineRule="auto"/>
              <w:jc w:val="both"/>
              <w:rPr>
                <w:rFonts w:ascii="Book Antiqua" w:hAnsi="Book Antiqua"/>
                <w:b/>
                <w:bCs/>
              </w:rPr>
            </w:pPr>
          </w:p>
        </w:tc>
        <w:tc>
          <w:tcPr>
            <w:tcW w:w="1380" w:type="pct"/>
            <w:tcBorders>
              <w:top w:val="single" w:sz="4" w:space="0" w:color="auto"/>
              <w:bottom w:val="single" w:sz="4" w:space="0" w:color="auto"/>
            </w:tcBorders>
            <w:vAlign w:val="center"/>
          </w:tcPr>
          <w:p w14:paraId="4FF7D6F2" w14:textId="7870955D"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rPr>
              <w:t>Propofol group</w:t>
            </w:r>
            <w:r w:rsidR="00DC6C95" w:rsidRPr="00AE0331">
              <w:rPr>
                <w:rFonts w:ascii="Book Antiqua" w:hAnsi="Book Antiqua"/>
                <w:b/>
                <w:bCs/>
                <w:lang w:eastAsia="zh-CN"/>
              </w:rPr>
              <w:t xml:space="preserve"> </w:t>
            </w:r>
            <w:r w:rsidRPr="00AE0331">
              <w:rPr>
                <w:rFonts w:ascii="Book Antiqua" w:hAnsi="Book Antiqua"/>
                <w:b/>
                <w:bCs/>
              </w:rPr>
              <w:t>(</w:t>
            </w:r>
            <w:r w:rsidRPr="00AE0331">
              <w:rPr>
                <w:rFonts w:ascii="Book Antiqua" w:hAnsi="Book Antiqua"/>
                <w:b/>
                <w:bCs/>
                <w:i/>
                <w:iCs/>
              </w:rPr>
              <w:t>n</w:t>
            </w:r>
            <w:r w:rsidRPr="00AE0331">
              <w:rPr>
                <w:rFonts w:ascii="Book Antiqua" w:hAnsi="Book Antiqua"/>
                <w:b/>
                <w:bCs/>
              </w:rPr>
              <w:t xml:space="preserve"> = 40)</w:t>
            </w:r>
          </w:p>
        </w:tc>
        <w:tc>
          <w:tcPr>
            <w:tcW w:w="1380" w:type="pct"/>
            <w:tcBorders>
              <w:top w:val="single" w:sz="4" w:space="0" w:color="auto"/>
              <w:bottom w:val="single" w:sz="4" w:space="0" w:color="auto"/>
            </w:tcBorders>
            <w:vAlign w:val="center"/>
          </w:tcPr>
          <w:p w14:paraId="31603E3F" w14:textId="6E283A33"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rPr>
              <w:t>Etomidate group</w:t>
            </w:r>
            <w:r w:rsidR="00DC6C95" w:rsidRPr="00AE0331">
              <w:rPr>
                <w:rFonts w:ascii="Book Antiqua" w:hAnsi="Book Antiqua"/>
                <w:b/>
                <w:bCs/>
                <w:lang w:eastAsia="zh-CN"/>
              </w:rPr>
              <w:t xml:space="preserve"> </w:t>
            </w:r>
            <w:r w:rsidRPr="00AE0331">
              <w:rPr>
                <w:rFonts w:ascii="Book Antiqua" w:hAnsi="Book Antiqua"/>
                <w:b/>
                <w:bCs/>
              </w:rPr>
              <w:t>(</w:t>
            </w:r>
            <w:r w:rsidRPr="00AE0331">
              <w:rPr>
                <w:rFonts w:ascii="Book Antiqua" w:hAnsi="Book Antiqua"/>
                <w:b/>
                <w:bCs/>
                <w:i/>
                <w:iCs/>
              </w:rPr>
              <w:t>n</w:t>
            </w:r>
            <w:r w:rsidRPr="00AE0331">
              <w:rPr>
                <w:rFonts w:ascii="Book Antiqua" w:hAnsi="Book Antiqua"/>
                <w:b/>
                <w:bCs/>
              </w:rPr>
              <w:t xml:space="preserve"> = 40)</w:t>
            </w:r>
          </w:p>
        </w:tc>
        <w:tc>
          <w:tcPr>
            <w:tcW w:w="669" w:type="pct"/>
            <w:tcBorders>
              <w:top w:val="single" w:sz="4" w:space="0" w:color="auto"/>
              <w:bottom w:val="single" w:sz="4" w:space="0" w:color="auto"/>
            </w:tcBorders>
            <w:vAlign w:val="center"/>
          </w:tcPr>
          <w:p w14:paraId="5440BD3E" w14:textId="70865B79"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i/>
                <w:iCs/>
              </w:rPr>
              <w:t>P</w:t>
            </w:r>
            <w:r w:rsidR="00DC6C95" w:rsidRPr="00AE0331">
              <w:rPr>
                <w:rFonts w:ascii="Book Antiqua" w:hAnsi="Book Antiqua"/>
                <w:b/>
                <w:bCs/>
              </w:rPr>
              <w:t xml:space="preserve"> </w:t>
            </w:r>
            <w:r w:rsidRPr="00AE0331">
              <w:rPr>
                <w:rFonts w:ascii="Book Antiqua" w:hAnsi="Book Antiqua"/>
                <w:b/>
                <w:bCs/>
              </w:rPr>
              <w:t>value</w:t>
            </w:r>
          </w:p>
        </w:tc>
      </w:tr>
      <w:tr w:rsidR="00070BAF" w:rsidRPr="00AE0331" w14:paraId="374D6240" w14:textId="77777777" w:rsidTr="00BA0F0E">
        <w:trPr>
          <w:trHeight w:val="316"/>
        </w:trPr>
        <w:tc>
          <w:tcPr>
            <w:tcW w:w="1570" w:type="pct"/>
            <w:tcBorders>
              <w:top w:val="single" w:sz="4" w:space="0" w:color="auto"/>
            </w:tcBorders>
            <w:vAlign w:val="center"/>
          </w:tcPr>
          <w:p w14:paraId="34143557"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Male sex, </w:t>
            </w:r>
            <w:r w:rsidRPr="00AE0331">
              <w:rPr>
                <w:rFonts w:ascii="Book Antiqua" w:hAnsi="Book Antiqua"/>
                <w:i/>
                <w:iCs/>
              </w:rPr>
              <w:t>n</w:t>
            </w:r>
            <w:r w:rsidRPr="00AE0331">
              <w:rPr>
                <w:rFonts w:ascii="Book Antiqua" w:hAnsi="Book Antiqua"/>
              </w:rPr>
              <w:t xml:space="preserve"> (%)</w:t>
            </w:r>
          </w:p>
        </w:tc>
        <w:tc>
          <w:tcPr>
            <w:tcW w:w="1380" w:type="pct"/>
            <w:tcBorders>
              <w:top w:val="single" w:sz="4" w:space="0" w:color="auto"/>
            </w:tcBorders>
            <w:vAlign w:val="center"/>
          </w:tcPr>
          <w:p w14:paraId="064F2A84"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21 (52.5%)</w:t>
            </w:r>
          </w:p>
        </w:tc>
        <w:tc>
          <w:tcPr>
            <w:tcW w:w="1380" w:type="pct"/>
            <w:tcBorders>
              <w:top w:val="single" w:sz="4" w:space="0" w:color="auto"/>
            </w:tcBorders>
            <w:vAlign w:val="center"/>
          </w:tcPr>
          <w:p w14:paraId="261ED09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23 (57.5%)</w:t>
            </w:r>
          </w:p>
        </w:tc>
        <w:tc>
          <w:tcPr>
            <w:tcW w:w="669" w:type="pct"/>
            <w:tcBorders>
              <w:top w:val="single" w:sz="4" w:space="0" w:color="auto"/>
            </w:tcBorders>
            <w:vAlign w:val="center"/>
          </w:tcPr>
          <w:p w14:paraId="0735D587"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0.651</w:t>
            </w:r>
          </w:p>
        </w:tc>
      </w:tr>
      <w:tr w:rsidR="00070BAF" w:rsidRPr="00AE0331" w14:paraId="5B9D557C" w14:textId="77777777" w:rsidTr="00BA0F0E">
        <w:trPr>
          <w:trHeight w:val="316"/>
        </w:trPr>
        <w:tc>
          <w:tcPr>
            <w:tcW w:w="1570" w:type="pct"/>
            <w:vAlign w:val="center"/>
          </w:tcPr>
          <w:p w14:paraId="2EBF12A8"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Age (years), mean ± SD</w:t>
            </w:r>
          </w:p>
        </w:tc>
        <w:tc>
          <w:tcPr>
            <w:tcW w:w="1380" w:type="pct"/>
            <w:vAlign w:val="center"/>
          </w:tcPr>
          <w:p w14:paraId="733B95F6"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56.7 ± 6.6</w:t>
            </w:r>
          </w:p>
        </w:tc>
        <w:tc>
          <w:tcPr>
            <w:tcW w:w="1380" w:type="pct"/>
            <w:vAlign w:val="center"/>
          </w:tcPr>
          <w:p w14:paraId="4FF503E4"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53.6 ± 6.1</w:t>
            </w:r>
          </w:p>
        </w:tc>
        <w:tc>
          <w:tcPr>
            <w:tcW w:w="669" w:type="pct"/>
            <w:vAlign w:val="center"/>
          </w:tcPr>
          <w:p w14:paraId="05A30FAF"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0.452</w:t>
            </w:r>
          </w:p>
        </w:tc>
      </w:tr>
      <w:tr w:rsidR="00070BAF" w:rsidRPr="00AE0331" w14:paraId="761A933B" w14:textId="77777777" w:rsidTr="00BA0F0E">
        <w:trPr>
          <w:trHeight w:val="316"/>
        </w:trPr>
        <w:tc>
          <w:tcPr>
            <w:tcW w:w="1570" w:type="pct"/>
            <w:vAlign w:val="center"/>
          </w:tcPr>
          <w:p w14:paraId="3DE556A1"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Weight (kg), mean ± SD</w:t>
            </w:r>
          </w:p>
        </w:tc>
        <w:tc>
          <w:tcPr>
            <w:tcW w:w="1380" w:type="pct"/>
            <w:vAlign w:val="center"/>
          </w:tcPr>
          <w:p w14:paraId="22393D80"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64.6 ± 12.5</w:t>
            </w:r>
          </w:p>
        </w:tc>
        <w:tc>
          <w:tcPr>
            <w:tcW w:w="1380" w:type="pct"/>
            <w:vAlign w:val="center"/>
          </w:tcPr>
          <w:p w14:paraId="08F9174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66.4 ± 16.3</w:t>
            </w:r>
          </w:p>
        </w:tc>
        <w:tc>
          <w:tcPr>
            <w:tcW w:w="669" w:type="pct"/>
            <w:vAlign w:val="center"/>
          </w:tcPr>
          <w:p w14:paraId="56FE554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0.084</w:t>
            </w:r>
          </w:p>
        </w:tc>
      </w:tr>
      <w:tr w:rsidR="00070BAF" w:rsidRPr="00AE0331" w14:paraId="7C126B31" w14:textId="77777777" w:rsidTr="00BA0F0E">
        <w:trPr>
          <w:trHeight w:val="316"/>
        </w:trPr>
        <w:tc>
          <w:tcPr>
            <w:tcW w:w="1570" w:type="pct"/>
            <w:vAlign w:val="center"/>
          </w:tcPr>
          <w:p w14:paraId="748F23BC"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Height (cm), mean ± SD</w:t>
            </w:r>
          </w:p>
        </w:tc>
        <w:tc>
          <w:tcPr>
            <w:tcW w:w="1380" w:type="pct"/>
            <w:vAlign w:val="center"/>
          </w:tcPr>
          <w:p w14:paraId="325AD351"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165.7 ± 11.9</w:t>
            </w:r>
          </w:p>
        </w:tc>
        <w:tc>
          <w:tcPr>
            <w:tcW w:w="1380" w:type="pct"/>
            <w:vAlign w:val="center"/>
          </w:tcPr>
          <w:p w14:paraId="6169932E"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163.4 ± 13.3</w:t>
            </w:r>
          </w:p>
        </w:tc>
        <w:tc>
          <w:tcPr>
            <w:tcW w:w="669" w:type="pct"/>
            <w:vAlign w:val="center"/>
          </w:tcPr>
          <w:p w14:paraId="2A4033D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0.732</w:t>
            </w:r>
          </w:p>
        </w:tc>
      </w:tr>
      <w:tr w:rsidR="00070BAF" w:rsidRPr="00AE0331" w14:paraId="1D55A085" w14:textId="77777777" w:rsidTr="00BA0F0E">
        <w:trPr>
          <w:trHeight w:val="316"/>
        </w:trPr>
        <w:tc>
          <w:tcPr>
            <w:tcW w:w="1570" w:type="pct"/>
            <w:vAlign w:val="center"/>
          </w:tcPr>
          <w:p w14:paraId="69A722B2"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 xml:space="preserve">Type of surgery, </w:t>
            </w:r>
            <w:r w:rsidRPr="00AE0331">
              <w:rPr>
                <w:rFonts w:ascii="Book Antiqua" w:hAnsi="Book Antiqua"/>
                <w:i/>
                <w:iCs/>
              </w:rPr>
              <w:t>n</w:t>
            </w:r>
            <w:r w:rsidRPr="00AE0331">
              <w:rPr>
                <w:rFonts w:ascii="Book Antiqua" w:hAnsi="Book Antiqua"/>
              </w:rPr>
              <w:t xml:space="preserve"> (%)</w:t>
            </w:r>
          </w:p>
        </w:tc>
        <w:tc>
          <w:tcPr>
            <w:tcW w:w="1380" w:type="pct"/>
            <w:vAlign w:val="center"/>
          </w:tcPr>
          <w:p w14:paraId="4BEAF615" w14:textId="77777777" w:rsidR="00070BAF" w:rsidRPr="00AE0331" w:rsidRDefault="00070BAF" w:rsidP="00592FA5">
            <w:pPr>
              <w:tabs>
                <w:tab w:val="left" w:pos="5220"/>
              </w:tabs>
              <w:snapToGrid w:val="0"/>
              <w:spacing w:line="360" w:lineRule="auto"/>
              <w:jc w:val="both"/>
              <w:rPr>
                <w:rFonts w:ascii="Book Antiqua" w:hAnsi="Book Antiqua"/>
              </w:rPr>
            </w:pPr>
          </w:p>
        </w:tc>
        <w:tc>
          <w:tcPr>
            <w:tcW w:w="1380" w:type="pct"/>
            <w:vAlign w:val="center"/>
          </w:tcPr>
          <w:p w14:paraId="0FEF614B" w14:textId="77777777" w:rsidR="00070BAF" w:rsidRPr="00AE0331" w:rsidRDefault="00070BAF" w:rsidP="00592FA5">
            <w:pPr>
              <w:tabs>
                <w:tab w:val="left" w:pos="5220"/>
              </w:tabs>
              <w:snapToGrid w:val="0"/>
              <w:spacing w:line="360" w:lineRule="auto"/>
              <w:jc w:val="both"/>
              <w:rPr>
                <w:rFonts w:ascii="Book Antiqua" w:hAnsi="Book Antiqua"/>
              </w:rPr>
            </w:pPr>
          </w:p>
        </w:tc>
        <w:tc>
          <w:tcPr>
            <w:tcW w:w="669" w:type="pct"/>
            <w:vAlign w:val="center"/>
          </w:tcPr>
          <w:p w14:paraId="6D742FAB" w14:textId="77777777" w:rsidR="00070BAF" w:rsidRPr="00AE0331" w:rsidRDefault="00070BAF" w:rsidP="00592FA5">
            <w:pPr>
              <w:tabs>
                <w:tab w:val="left" w:pos="5220"/>
              </w:tabs>
              <w:snapToGrid w:val="0"/>
              <w:spacing w:line="360" w:lineRule="auto"/>
              <w:jc w:val="both"/>
              <w:rPr>
                <w:rFonts w:ascii="Book Antiqua" w:hAnsi="Book Antiqua"/>
              </w:rPr>
            </w:pPr>
          </w:p>
        </w:tc>
      </w:tr>
      <w:tr w:rsidR="00070BAF" w:rsidRPr="00AE0331" w14:paraId="4B1A06FB" w14:textId="77777777" w:rsidTr="00BA0F0E">
        <w:trPr>
          <w:trHeight w:val="316"/>
        </w:trPr>
        <w:tc>
          <w:tcPr>
            <w:tcW w:w="1570" w:type="pct"/>
            <w:vAlign w:val="center"/>
          </w:tcPr>
          <w:p w14:paraId="78FBC948" w14:textId="744CAFA1"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Gastrointestinal </w:t>
            </w:r>
          </w:p>
        </w:tc>
        <w:tc>
          <w:tcPr>
            <w:tcW w:w="1380" w:type="pct"/>
            <w:vAlign w:val="center"/>
          </w:tcPr>
          <w:p w14:paraId="6E65CD7C"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26 (65.0%)</w:t>
            </w:r>
          </w:p>
        </w:tc>
        <w:tc>
          <w:tcPr>
            <w:tcW w:w="1380" w:type="pct"/>
            <w:vAlign w:val="center"/>
          </w:tcPr>
          <w:p w14:paraId="5288F17A"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23 (57.5%)</w:t>
            </w:r>
          </w:p>
        </w:tc>
        <w:tc>
          <w:tcPr>
            <w:tcW w:w="669" w:type="pct"/>
            <w:vAlign w:val="center"/>
          </w:tcPr>
          <w:p w14:paraId="6AA4B0A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0.946</w:t>
            </w:r>
          </w:p>
        </w:tc>
      </w:tr>
      <w:tr w:rsidR="00070BAF" w:rsidRPr="00AE0331" w14:paraId="2E257657" w14:textId="77777777" w:rsidTr="00BA0F0E">
        <w:trPr>
          <w:trHeight w:val="304"/>
        </w:trPr>
        <w:tc>
          <w:tcPr>
            <w:tcW w:w="1570" w:type="pct"/>
            <w:vAlign w:val="center"/>
          </w:tcPr>
          <w:p w14:paraId="408A9EE1" w14:textId="3CFAA8C0"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Hepatobiliary </w:t>
            </w:r>
          </w:p>
        </w:tc>
        <w:tc>
          <w:tcPr>
            <w:tcW w:w="1380" w:type="pct"/>
            <w:vAlign w:val="center"/>
          </w:tcPr>
          <w:p w14:paraId="20FDF37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8 (20.0%)</w:t>
            </w:r>
          </w:p>
        </w:tc>
        <w:tc>
          <w:tcPr>
            <w:tcW w:w="1380" w:type="pct"/>
            <w:vAlign w:val="center"/>
          </w:tcPr>
          <w:p w14:paraId="4971A18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10 (25.0%)</w:t>
            </w:r>
          </w:p>
        </w:tc>
        <w:tc>
          <w:tcPr>
            <w:tcW w:w="669" w:type="pct"/>
            <w:vAlign w:val="center"/>
          </w:tcPr>
          <w:p w14:paraId="274F741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0.783</w:t>
            </w:r>
          </w:p>
        </w:tc>
      </w:tr>
      <w:tr w:rsidR="00070BAF" w:rsidRPr="00AE0331" w14:paraId="276D6384" w14:textId="77777777" w:rsidTr="00BA0F0E">
        <w:trPr>
          <w:trHeight w:val="329"/>
        </w:trPr>
        <w:tc>
          <w:tcPr>
            <w:tcW w:w="1570" w:type="pct"/>
            <w:tcBorders>
              <w:bottom w:val="single" w:sz="4" w:space="0" w:color="auto"/>
            </w:tcBorders>
            <w:vAlign w:val="center"/>
          </w:tcPr>
          <w:p w14:paraId="6E39B53B" w14:textId="7728B1ED"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Thyroid </w:t>
            </w:r>
          </w:p>
        </w:tc>
        <w:tc>
          <w:tcPr>
            <w:tcW w:w="1380" w:type="pct"/>
            <w:tcBorders>
              <w:bottom w:val="single" w:sz="4" w:space="0" w:color="auto"/>
            </w:tcBorders>
            <w:vAlign w:val="center"/>
          </w:tcPr>
          <w:p w14:paraId="36EA792B"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 (15.0%)</w:t>
            </w:r>
          </w:p>
        </w:tc>
        <w:tc>
          <w:tcPr>
            <w:tcW w:w="1380" w:type="pct"/>
            <w:tcBorders>
              <w:bottom w:val="single" w:sz="4" w:space="0" w:color="auto"/>
            </w:tcBorders>
            <w:vAlign w:val="center"/>
          </w:tcPr>
          <w:p w14:paraId="5C372D47"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7 (17.5%)</w:t>
            </w:r>
          </w:p>
        </w:tc>
        <w:tc>
          <w:tcPr>
            <w:tcW w:w="669" w:type="pct"/>
            <w:tcBorders>
              <w:bottom w:val="single" w:sz="4" w:space="0" w:color="auto"/>
            </w:tcBorders>
            <w:vAlign w:val="center"/>
          </w:tcPr>
          <w:p w14:paraId="4BD0E1A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0.562</w:t>
            </w:r>
          </w:p>
        </w:tc>
      </w:tr>
    </w:tbl>
    <w:p w14:paraId="2A8F7A00" w14:textId="5718B258" w:rsidR="00070BAF" w:rsidRPr="00AE0331" w:rsidRDefault="00070BAF" w:rsidP="00592FA5">
      <w:pPr>
        <w:snapToGrid w:val="0"/>
        <w:spacing w:line="360" w:lineRule="auto"/>
        <w:jc w:val="both"/>
        <w:rPr>
          <w:rFonts w:ascii="Book Antiqua" w:hAnsi="Book Antiqua"/>
        </w:rPr>
      </w:pPr>
      <w:r w:rsidRPr="00AE0331">
        <w:rPr>
          <w:rFonts w:ascii="Book Antiqua" w:hAnsi="Book Antiqua"/>
        </w:rPr>
        <w:t xml:space="preserve">SD: </w:t>
      </w:r>
      <w:r w:rsidR="009D2AE5" w:rsidRPr="00AE0331">
        <w:rPr>
          <w:rFonts w:ascii="Book Antiqua" w:hAnsi="Book Antiqua"/>
        </w:rPr>
        <w:t>S</w:t>
      </w:r>
      <w:r w:rsidRPr="00AE0331">
        <w:rPr>
          <w:rFonts w:ascii="Book Antiqua" w:hAnsi="Book Antiqua"/>
        </w:rPr>
        <w:t>tandard deviation.</w:t>
      </w:r>
    </w:p>
    <w:p w14:paraId="5D480A92" w14:textId="77777777" w:rsidR="00070BAF" w:rsidRPr="00AE0331" w:rsidRDefault="00070BAF" w:rsidP="00592FA5">
      <w:pPr>
        <w:snapToGrid w:val="0"/>
        <w:spacing w:line="360" w:lineRule="auto"/>
        <w:jc w:val="both"/>
        <w:rPr>
          <w:rFonts w:ascii="Book Antiqua" w:hAnsi="Book Antiqua"/>
        </w:rPr>
      </w:pPr>
    </w:p>
    <w:p w14:paraId="02260C3B" w14:textId="3325E9DB" w:rsidR="00070BAF" w:rsidRPr="00A0174E" w:rsidRDefault="00070BAF" w:rsidP="00A0174E">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color w:val="000000"/>
          <w:shd w:val="clear" w:color="auto" w:fill="FFFFFF"/>
        </w:rPr>
        <w:lastRenderedPageBreak/>
        <w:t>Table 2 Incidences of cardiovascular events during anesthesia</w:t>
      </w:r>
    </w:p>
    <w:tbl>
      <w:tblPr>
        <w:tblW w:w="9034" w:type="dxa"/>
        <w:jc w:val="center"/>
        <w:tblLayout w:type="fixed"/>
        <w:tblLook w:val="04A0" w:firstRow="1" w:lastRow="0" w:firstColumn="1" w:lastColumn="0" w:noHBand="0" w:noVBand="1"/>
      </w:tblPr>
      <w:tblGrid>
        <w:gridCol w:w="3627"/>
        <w:gridCol w:w="1886"/>
        <w:gridCol w:w="2245"/>
        <w:gridCol w:w="1276"/>
      </w:tblGrid>
      <w:tr w:rsidR="00070BAF" w:rsidRPr="00AE0331" w14:paraId="267B4EDC" w14:textId="77777777" w:rsidTr="003A5832">
        <w:trPr>
          <w:trHeight w:val="476"/>
          <w:jc w:val="center"/>
        </w:trPr>
        <w:tc>
          <w:tcPr>
            <w:tcW w:w="3627" w:type="dxa"/>
            <w:tcBorders>
              <w:top w:val="single" w:sz="4" w:space="0" w:color="auto"/>
              <w:bottom w:val="single" w:sz="4" w:space="0" w:color="auto"/>
            </w:tcBorders>
            <w:vAlign w:val="center"/>
          </w:tcPr>
          <w:p w14:paraId="08AFF4C6" w14:textId="77777777" w:rsidR="00070BAF" w:rsidRPr="00536780" w:rsidRDefault="00070BAF" w:rsidP="00592FA5">
            <w:pPr>
              <w:snapToGrid w:val="0"/>
              <w:spacing w:line="360" w:lineRule="auto"/>
              <w:jc w:val="both"/>
              <w:rPr>
                <w:rFonts w:ascii="Book Antiqua" w:hAnsi="Book Antiqua"/>
                <w:b/>
                <w:bCs/>
                <w:color w:val="000000"/>
              </w:rPr>
            </w:pPr>
          </w:p>
        </w:tc>
        <w:tc>
          <w:tcPr>
            <w:tcW w:w="1886" w:type="dxa"/>
            <w:tcBorders>
              <w:top w:val="single" w:sz="4" w:space="0" w:color="auto"/>
              <w:bottom w:val="single" w:sz="4" w:space="0" w:color="auto"/>
            </w:tcBorders>
            <w:vAlign w:val="center"/>
          </w:tcPr>
          <w:p w14:paraId="0B247B96" w14:textId="61E8963C" w:rsidR="00070BAF" w:rsidRPr="00536780" w:rsidRDefault="00070BAF" w:rsidP="00592FA5">
            <w:pPr>
              <w:snapToGrid w:val="0"/>
              <w:spacing w:line="360" w:lineRule="auto"/>
              <w:jc w:val="both"/>
              <w:rPr>
                <w:rFonts w:ascii="Book Antiqua" w:hAnsi="Book Antiqua"/>
                <w:b/>
                <w:bCs/>
                <w:color w:val="000000"/>
              </w:rPr>
            </w:pPr>
            <w:r w:rsidRPr="00536780">
              <w:rPr>
                <w:rFonts w:ascii="Book Antiqua" w:hAnsi="Book Antiqua"/>
                <w:b/>
                <w:bCs/>
                <w:color w:val="000000"/>
              </w:rPr>
              <w:t>Propofol group</w:t>
            </w:r>
            <w:r w:rsidR="003A5832" w:rsidRPr="00536780">
              <w:rPr>
                <w:rFonts w:ascii="Book Antiqua" w:hAnsi="Book Antiqua"/>
                <w:b/>
                <w:bCs/>
                <w:color w:val="000000"/>
                <w:lang w:eastAsia="zh-CN"/>
              </w:rPr>
              <w:t xml:space="preserve"> </w:t>
            </w:r>
            <w:r w:rsidRPr="00536780">
              <w:rPr>
                <w:rFonts w:ascii="Book Antiqua" w:hAnsi="Book Antiqua"/>
                <w:b/>
                <w:bCs/>
              </w:rPr>
              <w:t>(</w:t>
            </w:r>
            <w:r w:rsidRPr="00536780">
              <w:rPr>
                <w:rFonts w:ascii="Book Antiqua" w:hAnsi="Book Antiqua"/>
                <w:b/>
                <w:bCs/>
                <w:i/>
                <w:iCs/>
              </w:rPr>
              <w:t>n</w:t>
            </w:r>
            <w:r w:rsidRPr="00536780">
              <w:rPr>
                <w:rFonts w:ascii="Book Antiqua" w:hAnsi="Book Antiqua"/>
                <w:b/>
                <w:bCs/>
              </w:rPr>
              <w:t xml:space="preserve"> = 40)</w:t>
            </w:r>
          </w:p>
        </w:tc>
        <w:tc>
          <w:tcPr>
            <w:tcW w:w="2245" w:type="dxa"/>
            <w:tcBorders>
              <w:top w:val="single" w:sz="4" w:space="0" w:color="auto"/>
              <w:bottom w:val="single" w:sz="4" w:space="0" w:color="auto"/>
            </w:tcBorders>
            <w:vAlign w:val="center"/>
          </w:tcPr>
          <w:p w14:paraId="225A506F" w14:textId="3187F24F" w:rsidR="00070BAF" w:rsidRPr="00536780" w:rsidRDefault="00070BAF" w:rsidP="00592FA5">
            <w:pPr>
              <w:snapToGrid w:val="0"/>
              <w:spacing w:line="360" w:lineRule="auto"/>
              <w:jc w:val="both"/>
              <w:rPr>
                <w:rFonts w:ascii="Book Antiqua" w:hAnsi="Book Antiqua"/>
                <w:b/>
                <w:bCs/>
              </w:rPr>
            </w:pPr>
            <w:r w:rsidRPr="00536780">
              <w:rPr>
                <w:rFonts w:ascii="Book Antiqua" w:hAnsi="Book Antiqua"/>
                <w:b/>
                <w:bCs/>
              </w:rPr>
              <w:t>Etomidate group</w:t>
            </w:r>
            <w:r w:rsidR="003A5832" w:rsidRPr="00536780">
              <w:rPr>
                <w:rFonts w:ascii="Book Antiqua" w:hAnsi="Book Antiqua"/>
                <w:b/>
                <w:bCs/>
                <w:lang w:eastAsia="zh-CN"/>
              </w:rPr>
              <w:t xml:space="preserve"> </w:t>
            </w:r>
            <w:r w:rsidRPr="00536780">
              <w:rPr>
                <w:rFonts w:ascii="Book Antiqua" w:hAnsi="Book Antiqua"/>
                <w:b/>
                <w:bCs/>
              </w:rPr>
              <w:t>(</w:t>
            </w:r>
            <w:r w:rsidRPr="00536780">
              <w:rPr>
                <w:rFonts w:ascii="Book Antiqua" w:hAnsi="Book Antiqua"/>
                <w:b/>
                <w:bCs/>
                <w:i/>
                <w:iCs/>
              </w:rPr>
              <w:t>n</w:t>
            </w:r>
            <w:r w:rsidRPr="00536780">
              <w:rPr>
                <w:rFonts w:ascii="Book Antiqua" w:hAnsi="Book Antiqua"/>
                <w:b/>
                <w:bCs/>
              </w:rPr>
              <w:t xml:space="preserve"> = 40)</w:t>
            </w:r>
          </w:p>
        </w:tc>
        <w:tc>
          <w:tcPr>
            <w:tcW w:w="1276" w:type="dxa"/>
            <w:tcBorders>
              <w:top w:val="single" w:sz="4" w:space="0" w:color="auto"/>
              <w:bottom w:val="single" w:sz="4" w:space="0" w:color="auto"/>
            </w:tcBorders>
            <w:vAlign w:val="center"/>
          </w:tcPr>
          <w:p w14:paraId="7DCC6CEA" w14:textId="6256BDD4" w:rsidR="00070BAF" w:rsidRPr="00536780" w:rsidRDefault="00070BAF" w:rsidP="00592FA5">
            <w:pPr>
              <w:snapToGrid w:val="0"/>
              <w:spacing w:line="360" w:lineRule="auto"/>
              <w:jc w:val="both"/>
              <w:rPr>
                <w:rFonts w:ascii="Book Antiqua" w:hAnsi="Book Antiqua"/>
                <w:b/>
                <w:bCs/>
                <w:color w:val="000000"/>
              </w:rPr>
            </w:pPr>
            <w:r w:rsidRPr="00536780">
              <w:rPr>
                <w:rFonts w:ascii="Book Antiqua" w:hAnsi="Book Antiqua"/>
                <w:b/>
                <w:bCs/>
                <w:i/>
                <w:iCs/>
                <w:color w:val="000000"/>
              </w:rPr>
              <w:t>P</w:t>
            </w:r>
            <w:r w:rsidR="003A5832" w:rsidRPr="00536780">
              <w:rPr>
                <w:rFonts w:ascii="Book Antiqua" w:hAnsi="Book Antiqua"/>
                <w:b/>
                <w:bCs/>
                <w:color w:val="000000"/>
              </w:rPr>
              <w:t xml:space="preserve"> </w:t>
            </w:r>
            <w:r w:rsidRPr="00536780">
              <w:rPr>
                <w:rFonts w:ascii="Book Antiqua" w:hAnsi="Book Antiqua"/>
                <w:b/>
                <w:bCs/>
                <w:color w:val="000000"/>
              </w:rPr>
              <w:t>value</w:t>
            </w:r>
          </w:p>
        </w:tc>
      </w:tr>
      <w:tr w:rsidR="00070BAF" w:rsidRPr="00AE0331" w14:paraId="7A54AF4E" w14:textId="77777777" w:rsidTr="003A5832">
        <w:trPr>
          <w:trHeight w:val="461"/>
          <w:jc w:val="center"/>
        </w:trPr>
        <w:tc>
          <w:tcPr>
            <w:tcW w:w="3627" w:type="dxa"/>
            <w:tcBorders>
              <w:top w:val="single" w:sz="4" w:space="0" w:color="auto"/>
            </w:tcBorders>
            <w:vAlign w:val="center"/>
          </w:tcPr>
          <w:p w14:paraId="638D1F84"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Bradycardia,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tcBorders>
              <w:top w:val="single" w:sz="4" w:space="0" w:color="auto"/>
            </w:tcBorders>
            <w:vAlign w:val="center"/>
          </w:tcPr>
          <w:p w14:paraId="37FF03B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 (27.5%)</w:t>
            </w:r>
          </w:p>
        </w:tc>
        <w:tc>
          <w:tcPr>
            <w:tcW w:w="2245" w:type="dxa"/>
            <w:tcBorders>
              <w:top w:val="single" w:sz="4" w:space="0" w:color="auto"/>
            </w:tcBorders>
            <w:vAlign w:val="center"/>
          </w:tcPr>
          <w:p w14:paraId="4D3F3C02"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tcBorders>
              <w:top w:val="single" w:sz="4" w:space="0" w:color="auto"/>
            </w:tcBorders>
            <w:vAlign w:val="center"/>
          </w:tcPr>
          <w:p w14:paraId="0DEDE41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0.037</w:t>
            </w:r>
          </w:p>
        </w:tc>
      </w:tr>
      <w:tr w:rsidR="00070BAF" w:rsidRPr="00AE0331" w14:paraId="23D5AAAC" w14:textId="77777777" w:rsidTr="003A5832">
        <w:trPr>
          <w:trHeight w:val="461"/>
          <w:jc w:val="center"/>
        </w:trPr>
        <w:tc>
          <w:tcPr>
            <w:tcW w:w="3627" w:type="dxa"/>
            <w:vAlign w:val="center"/>
          </w:tcPr>
          <w:p w14:paraId="1DD638D3"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Tachycardia,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3E4EC94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 (2.5%)</w:t>
            </w:r>
          </w:p>
        </w:tc>
        <w:tc>
          <w:tcPr>
            <w:tcW w:w="2245" w:type="dxa"/>
            <w:vAlign w:val="center"/>
          </w:tcPr>
          <w:p w14:paraId="6F8D4FD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vAlign w:val="center"/>
          </w:tcPr>
          <w:p w14:paraId="1B3D904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0.615</w:t>
            </w:r>
          </w:p>
        </w:tc>
      </w:tr>
      <w:tr w:rsidR="00070BAF" w:rsidRPr="00AE0331" w14:paraId="00E449FC" w14:textId="77777777" w:rsidTr="003A5832">
        <w:trPr>
          <w:trHeight w:val="461"/>
          <w:jc w:val="center"/>
        </w:trPr>
        <w:tc>
          <w:tcPr>
            <w:tcW w:w="3627" w:type="dxa"/>
            <w:vAlign w:val="center"/>
          </w:tcPr>
          <w:p w14:paraId="57015403"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Hypotension,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6900D48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17 (42.5%)</w:t>
            </w:r>
          </w:p>
        </w:tc>
        <w:tc>
          <w:tcPr>
            <w:tcW w:w="2245" w:type="dxa"/>
            <w:vAlign w:val="center"/>
          </w:tcPr>
          <w:p w14:paraId="5FE605E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 (10.0%)</w:t>
            </w:r>
          </w:p>
        </w:tc>
        <w:tc>
          <w:tcPr>
            <w:tcW w:w="1276" w:type="dxa"/>
            <w:vAlign w:val="center"/>
          </w:tcPr>
          <w:p w14:paraId="167E287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0.027</w:t>
            </w:r>
          </w:p>
        </w:tc>
      </w:tr>
      <w:tr w:rsidR="00070BAF" w:rsidRPr="00AE0331" w14:paraId="161559AD" w14:textId="77777777" w:rsidTr="003A5832">
        <w:trPr>
          <w:trHeight w:val="476"/>
          <w:jc w:val="center"/>
        </w:trPr>
        <w:tc>
          <w:tcPr>
            <w:tcW w:w="3627" w:type="dxa"/>
            <w:vAlign w:val="center"/>
          </w:tcPr>
          <w:p w14:paraId="50F704B7"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ST-T segment changes,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2F7CB4D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 (20.0%)</w:t>
            </w:r>
          </w:p>
        </w:tc>
        <w:tc>
          <w:tcPr>
            <w:tcW w:w="2245" w:type="dxa"/>
            <w:vAlign w:val="center"/>
          </w:tcPr>
          <w:p w14:paraId="5E32E25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2 (5.0%)</w:t>
            </w:r>
          </w:p>
        </w:tc>
        <w:tc>
          <w:tcPr>
            <w:tcW w:w="1276" w:type="dxa"/>
            <w:vAlign w:val="center"/>
          </w:tcPr>
          <w:p w14:paraId="6122FB7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0.029</w:t>
            </w:r>
          </w:p>
        </w:tc>
      </w:tr>
      <w:tr w:rsidR="00070BAF" w:rsidRPr="00AE0331" w14:paraId="2713F3FD" w14:textId="77777777" w:rsidTr="003A5832">
        <w:trPr>
          <w:trHeight w:val="385"/>
          <w:jc w:val="center"/>
        </w:trPr>
        <w:tc>
          <w:tcPr>
            <w:tcW w:w="3627" w:type="dxa"/>
            <w:tcBorders>
              <w:bottom w:val="single" w:sz="4" w:space="0" w:color="auto"/>
            </w:tcBorders>
            <w:vAlign w:val="center"/>
          </w:tcPr>
          <w:p w14:paraId="4C1DEEBB"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Ventricular premature beats,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tcBorders>
              <w:bottom w:val="single" w:sz="4" w:space="0" w:color="auto"/>
            </w:tcBorders>
            <w:vAlign w:val="center"/>
          </w:tcPr>
          <w:p w14:paraId="335C4E3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 (27.5%)</w:t>
            </w:r>
          </w:p>
        </w:tc>
        <w:tc>
          <w:tcPr>
            <w:tcW w:w="2245" w:type="dxa"/>
            <w:tcBorders>
              <w:bottom w:val="single" w:sz="4" w:space="0" w:color="auto"/>
            </w:tcBorders>
            <w:vAlign w:val="center"/>
          </w:tcPr>
          <w:p w14:paraId="77310BA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tcBorders>
              <w:bottom w:val="single" w:sz="4" w:space="0" w:color="auto"/>
            </w:tcBorders>
            <w:vAlign w:val="center"/>
          </w:tcPr>
          <w:p w14:paraId="2F994C6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0.041</w:t>
            </w:r>
          </w:p>
        </w:tc>
      </w:tr>
    </w:tbl>
    <w:p w14:paraId="43840714" w14:textId="77777777" w:rsidR="00070BAF" w:rsidRPr="00AE0331" w:rsidRDefault="00070BAF" w:rsidP="00592FA5">
      <w:pPr>
        <w:autoSpaceDE w:val="0"/>
        <w:autoSpaceDN w:val="0"/>
        <w:adjustRightInd w:val="0"/>
        <w:snapToGrid w:val="0"/>
        <w:spacing w:line="360" w:lineRule="auto"/>
        <w:jc w:val="both"/>
        <w:rPr>
          <w:rFonts w:ascii="Book Antiqua" w:hAnsi="Book Antiqua"/>
          <w:color w:val="000000"/>
          <w:shd w:val="clear" w:color="auto" w:fill="FFFFFF"/>
        </w:rPr>
      </w:pPr>
    </w:p>
    <w:p w14:paraId="3B105FC2" w14:textId="77777777" w:rsidR="00070BAF" w:rsidRPr="00AE0331" w:rsidRDefault="00070BAF" w:rsidP="00592FA5">
      <w:pPr>
        <w:snapToGrid w:val="0"/>
        <w:spacing w:line="360" w:lineRule="auto"/>
        <w:jc w:val="both"/>
        <w:rPr>
          <w:rFonts w:ascii="Book Antiqua" w:hAnsi="Book Antiqua"/>
        </w:rPr>
      </w:pPr>
    </w:p>
    <w:p w14:paraId="0ACC176B" w14:textId="333F2385"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rPr>
        <w:lastRenderedPageBreak/>
        <w:t>Table 3 Comparison of hemodynamic parameters between groups</w:t>
      </w:r>
    </w:p>
    <w:tbl>
      <w:tblPr>
        <w:tblW w:w="10088" w:type="dxa"/>
        <w:tblInd w:w="-72" w:type="dxa"/>
        <w:tblLayout w:type="fixed"/>
        <w:tblLook w:val="04A0" w:firstRow="1" w:lastRow="0" w:firstColumn="1" w:lastColumn="0" w:noHBand="0" w:noVBand="1"/>
      </w:tblPr>
      <w:tblGrid>
        <w:gridCol w:w="2361"/>
        <w:gridCol w:w="1545"/>
        <w:gridCol w:w="1545"/>
        <w:gridCol w:w="1546"/>
        <w:gridCol w:w="1545"/>
        <w:gridCol w:w="1546"/>
      </w:tblGrid>
      <w:tr w:rsidR="00070BAF" w:rsidRPr="00AE0331" w14:paraId="01F876A8" w14:textId="77777777" w:rsidTr="005A7DA7">
        <w:trPr>
          <w:trHeight w:val="1424"/>
        </w:trPr>
        <w:tc>
          <w:tcPr>
            <w:tcW w:w="2361" w:type="dxa"/>
            <w:tcBorders>
              <w:top w:val="single" w:sz="4" w:space="0" w:color="auto"/>
              <w:bottom w:val="single" w:sz="4" w:space="0" w:color="auto"/>
            </w:tcBorders>
          </w:tcPr>
          <w:p w14:paraId="52AB1C71" w14:textId="77777777" w:rsidR="00070BAF" w:rsidRPr="00AE0331" w:rsidRDefault="00070BAF" w:rsidP="003C2665">
            <w:pPr>
              <w:snapToGrid w:val="0"/>
              <w:spacing w:line="360" w:lineRule="auto"/>
              <w:jc w:val="both"/>
              <w:rPr>
                <w:rFonts w:ascii="Book Antiqua" w:hAnsi="Book Antiqua"/>
                <w:b/>
                <w:bCs/>
                <w:color w:val="000000"/>
              </w:rPr>
            </w:pPr>
          </w:p>
        </w:tc>
        <w:tc>
          <w:tcPr>
            <w:tcW w:w="1545" w:type="dxa"/>
            <w:tcBorders>
              <w:top w:val="single" w:sz="4" w:space="0" w:color="auto"/>
              <w:bottom w:val="single" w:sz="4" w:space="0" w:color="auto"/>
            </w:tcBorders>
            <w:vAlign w:val="center"/>
          </w:tcPr>
          <w:p w14:paraId="096EFA37"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Before anesthesia induction</w:t>
            </w:r>
          </w:p>
        </w:tc>
        <w:tc>
          <w:tcPr>
            <w:tcW w:w="1545" w:type="dxa"/>
            <w:tcBorders>
              <w:top w:val="single" w:sz="4" w:space="0" w:color="auto"/>
              <w:bottom w:val="single" w:sz="4" w:space="0" w:color="auto"/>
            </w:tcBorders>
            <w:vAlign w:val="center"/>
          </w:tcPr>
          <w:p w14:paraId="0181B752"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3 min after anesthetic injection</w:t>
            </w:r>
          </w:p>
        </w:tc>
        <w:tc>
          <w:tcPr>
            <w:tcW w:w="1546" w:type="dxa"/>
            <w:tcBorders>
              <w:top w:val="single" w:sz="4" w:space="0" w:color="auto"/>
              <w:bottom w:val="single" w:sz="4" w:space="0" w:color="auto"/>
            </w:tcBorders>
            <w:vAlign w:val="center"/>
          </w:tcPr>
          <w:p w14:paraId="68628620"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shd w:val="clear" w:color="auto" w:fill="FFFFFF"/>
              </w:rPr>
              <w:t xml:space="preserve">Just after tracheal </w:t>
            </w:r>
            <w:r w:rsidRPr="00AE0331">
              <w:rPr>
                <w:rFonts w:ascii="Book Antiqua" w:hAnsi="Book Antiqua"/>
                <w:b/>
                <w:bCs/>
                <w:color w:val="000000"/>
              </w:rPr>
              <w:t>intubation</w:t>
            </w:r>
          </w:p>
        </w:tc>
        <w:tc>
          <w:tcPr>
            <w:tcW w:w="1545" w:type="dxa"/>
            <w:tcBorders>
              <w:top w:val="single" w:sz="4" w:space="0" w:color="auto"/>
              <w:bottom w:val="single" w:sz="4" w:space="0" w:color="auto"/>
            </w:tcBorders>
            <w:vAlign w:val="center"/>
          </w:tcPr>
          <w:p w14:paraId="26C06274"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3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c>
          <w:tcPr>
            <w:tcW w:w="1546" w:type="dxa"/>
            <w:tcBorders>
              <w:top w:val="single" w:sz="4" w:space="0" w:color="auto"/>
              <w:bottom w:val="single" w:sz="4" w:space="0" w:color="auto"/>
            </w:tcBorders>
            <w:vAlign w:val="center"/>
          </w:tcPr>
          <w:p w14:paraId="3D8DBF80"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5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r>
      <w:tr w:rsidR="00070BAF" w:rsidRPr="00AE0331" w14:paraId="6E58841A" w14:textId="77777777" w:rsidTr="005A7DA7">
        <w:trPr>
          <w:trHeight w:val="425"/>
        </w:trPr>
        <w:tc>
          <w:tcPr>
            <w:tcW w:w="2361" w:type="dxa"/>
            <w:tcBorders>
              <w:top w:val="single" w:sz="4" w:space="0" w:color="auto"/>
            </w:tcBorders>
          </w:tcPr>
          <w:p w14:paraId="33ECC6C0" w14:textId="7777777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Heart rate (beats/min)</w:t>
            </w:r>
          </w:p>
        </w:tc>
        <w:tc>
          <w:tcPr>
            <w:tcW w:w="1545" w:type="dxa"/>
            <w:tcBorders>
              <w:top w:val="single" w:sz="4" w:space="0" w:color="auto"/>
            </w:tcBorders>
            <w:vAlign w:val="center"/>
          </w:tcPr>
          <w:p w14:paraId="1D9184AD" w14:textId="77777777" w:rsidR="00070BAF" w:rsidRPr="00AE0331" w:rsidRDefault="00070BAF" w:rsidP="00592FA5">
            <w:pPr>
              <w:snapToGrid w:val="0"/>
              <w:spacing w:line="360" w:lineRule="auto"/>
              <w:jc w:val="both"/>
              <w:rPr>
                <w:rFonts w:ascii="Book Antiqua" w:hAnsi="Book Antiqua"/>
                <w:color w:val="000000"/>
              </w:rPr>
            </w:pPr>
          </w:p>
        </w:tc>
        <w:tc>
          <w:tcPr>
            <w:tcW w:w="1545" w:type="dxa"/>
            <w:tcBorders>
              <w:top w:val="single" w:sz="4" w:space="0" w:color="auto"/>
            </w:tcBorders>
            <w:vAlign w:val="center"/>
          </w:tcPr>
          <w:p w14:paraId="729BB1EB" w14:textId="77777777" w:rsidR="00070BAF" w:rsidRPr="00AE0331" w:rsidRDefault="00070BAF" w:rsidP="00592FA5">
            <w:pPr>
              <w:snapToGrid w:val="0"/>
              <w:spacing w:line="360" w:lineRule="auto"/>
              <w:jc w:val="both"/>
              <w:rPr>
                <w:rFonts w:ascii="Book Antiqua" w:hAnsi="Book Antiqua"/>
                <w:color w:val="000000"/>
              </w:rPr>
            </w:pPr>
          </w:p>
        </w:tc>
        <w:tc>
          <w:tcPr>
            <w:tcW w:w="1546" w:type="dxa"/>
            <w:tcBorders>
              <w:top w:val="single" w:sz="4" w:space="0" w:color="auto"/>
            </w:tcBorders>
            <w:vAlign w:val="center"/>
          </w:tcPr>
          <w:p w14:paraId="5A0572BD" w14:textId="77777777" w:rsidR="00070BAF" w:rsidRPr="00AE0331" w:rsidRDefault="00070BAF" w:rsidP="00592FA5">
            <w:pPr>
              <w:snapToGrid w:val="0"/>
              <w:spacing w:line="360" w:lineRule="auto"/>
              <w:jc w:val="both"/>
              <w:rPr>
                <w:rFonts w:ascii="Book Antiqua" w:hAnsi="Book Antiqua"/>
                <w:color w:val="000000"/>
              </w:rPr>
            </w:pPr>
          </w:p>
        </w:tc>
        <w:tc>
          <w:tcPr>
            <w:tcW w:w="1545" w:type="dxa"/>
            <w:tcBorders>
              <w:top w:val="single" w:sz="4" w:space="0" w:color="auto"/>
            </w:tcBorders>
            <w:vAlign w:val="center"/>
          </w:tcPr>
          <w:p w14:paraId="1E0FABEE" w14:textId="77777777" w:rsidR="00070BAF" w:rsidRPr="00AE0331" w:rsidRDefault="00070BAF" w:rsidP="00592FA5">
            <w:pPr>
              <w:snapToGrid w:val="0"/>
              <w:spacing w:line="360" w:lineRule="auto"/>
              <w:jc w:val="both"/>
              <w:rPr>
                <w:rFonts w:ascii="Book Antiqua" w:hAnsi="Book Antiqua"/>
                <w:color w:val="000000"/>
              </w:rPr>
            </w:pPr>
          </w:p>
        </w:tc>
        <w:tc>
          <w:tcPr>
            <w:tcW w:w="1546" w:type="dxa"/>
            <w:tcBorders>
              <w:top w:val="single" w:sz="4" w:space="0" w:color="auto"/>
            </w:tcBorders>
            <w:vAlign w:val="center"/>
          </w:tcPr>
          <w:p w14:paraId="5A43992F"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14F1C6F6" w14:textId="77777777" w:rsidTr="005A7DA7">
        <w:trPr>
          <w:trHeight w:val="425"/>
        </w:trPr>
        <w:tc>
          <w:tcPr>
            <w:tcW w:w="2361" w:type="dxa"/>
          </w:tcPr>
          <w:p w14:paraId="54D0C617" w14:textId="18426216"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1545" w:type="dxa"/>
            <w:vAlign w:val="center"/>
          </w:tcPr>
          <w:p w14:paraId="684C48E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82.6 ± 9.1</w:t>
            </w:r>
          </w:p>
        </w:tc>
        <w:tc>
          <w:tcPr>
            <w:tcW w:w="1545" w:type="dxa"/>
            <w:vAlign w:val="center"/>
          </w:tcPr>
          <w:p w14:paraId="5194C87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58.9 ± 7.1</w:t>
            </w:r>
          </w:p>
        </w:tc>
        <w:tc>
          <w:tcPr>
            <w:tcW w:w="1546" w:type="dxa"/>
            <w:vAlign w:val="center"/>
          </w:tcPr>
          <w:p w14:paraId="53DC3AB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66.5 ± 9.7</w:t>
            </w:r>
          </w:p>
        </w:tc>
        <w:tc>
          <w:tcPr>
            <w:tcW w:w="1545" w:type="dxa"/>
            <w:vAlign w:val="center"/>
          </w:tcPr>
          <w:p w14:paraId="42C4D652"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63.2 ± 6.7</w:t>
            </w:r>
          </w:p>
        </w:tc>
        <w:tc>
          <w:tcPr>
            <w:tcW w:w="1546" w:type="dxa"/>
            <w:vAlign w:val="center"/>
          </w:tcPr>
          <w:p w14:paraId="145ED3D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68.9 ± 8.8</w:t>
            </w:r>
          </w:p>
        </w:tc>
      </w:tr>
      <w:tr w:rsidR="00070BAF" w:rsidRPr="00AE0331" w14:paraId="215FA127" w14:textId="77777777" w:rsidTr="005A7DA7">
        <w:trPr>
          <w:trHeight w:val="425"/>
        </w:trPr>
        <w:tc>
          <w:tcPr>
            <w:tcW w:w="2361" w:type="dxa"/>
          </w:tcPr>
          <w:p w14:paraId="1A6A7568" w14:textId="45B9A562" w:rsidR="00070BAF" w:rsidRPr="00AE0331" w:rsidRDefault="00070BAF" w:rsidP="003C2665">
            <w:pPr>
              <w:snapToGrid w:val="0"/>
              <w:spacing w:line="360" w:lineRule="auto"/>
              <w:jc w:val="both"/>
              <w:rPr>
                <w:rFonts w:ascii="Book Antiqua" w:hAnsi="Book Antiqua"/>
              </w:rPr>
            </w:pPr>
            <w:r w:rsidRPr="00AE0331">
              <w:rPr>
                <w:rFonts w:ascii="Book Antiqua" w:hAnsi="Book Antiqua"/>
              </w:rPr>
              <w:t>Etomidate group</w:t>
            </w:r>
          </w:p>
        </w:tc>
        <w:tc>
          <w:tcPr>
            <w:tcW w:w="1545" w:type="dxa"/>
            <w:vAlign w:val="center"/>
          </w:tcPr>
          <w:p w14:paraId="0126C67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79.0 ± 7.3</w:t>
            </w:r>
          </w:p>
        </w:tc>
        <w:tc>
          <w:tcPr>
            <w:tcW w:w="1545" w:type="dxa"/>
            <w:vAlign w:val="center"/>
          </w:tcPr>
          <w:p w14:paraId="47977E3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71.3 ± 9.3</w:t>
            </w:r>
          </w:p>
        </w:tc>
        <w:tc>
          <w:tcPr>
            <w:tcW w:w="1546" w:type="dxa"/>
            <w:vAlign w:val="center"/>
          </w:tcPr>
          <w:p w14:paraId="19D2FC4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76.5 ± 6.9</w:t>
            </w:r>
          </w:p>
        </w:tc>
        <w:tc>
          <w:tcPr>
            <w:tcW w:w="1545" w:type="dxa"/>
            <w:vAlign w:val="center"/>
          </w:tcPr>
          <w:p w14:paraId="4E24D00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71.3 ± 6.4</w:t>
            </w:r>
          </w:p>
        </w:tc>
        <w:tc>
          <w:tcPr>
            <w:tcW w:w="1546" w:type="dxa"/>
            <w:vAlign w:val="center"/>
          </w:tcPr>
          <w:p w14:paraId="754CE0F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76.8 ± 5.2</w:t>
            </w:r>
          </w:p>
        </w:tc>
      </w:tr>
      <w:tr w:rsidR="00070BAF" w:rsidRPr="00AE0331" w14:paraId="5F62ADEC" w14:textId="77777777" w:rsidTr="005A7DA7">
        <w:trPr>
          <w:trHeight w:val="425"/>
        </w:trPr>
        <w:tc>
          <w:tcPr>
            <w:tcW w:w="2361" w:type="dxa"/>
          </w:tcPr>
          <w:p w14:paraId="6CB60FD6" w14:textId="5D00CB2F"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1F8A673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0.223</w:t>
            </w:r>
          </w:p>
        </w:tc>
        <w:tc>
          <w:tcPr>
            <w:tcW w:w="1545" w:type="dxa"/>
            <w:vAlign w:val="center"/>
          </w:tcPr>
          <w:p w14:paraId="1BA5DD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0.012</w:t>
            </w:r>
          </w:p>
        </w:tc>
        <w:tc>
          <w:tcPr>
            <w:tcW w:w="1546" w:type="dxa"/>
            <w:vAlign w:val="center"/>
          </w:tcPr>
          <w:p w14:paraId="451F220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0.044</w:t>
            </w:r>
          </w:p>
        </w:tc>
        <w:tc>
          <w:tcPr>
            <w:tcW w:w="1545" w:type="dxa"/>
            <w:vAlign w:val="center"/>
          </w:tcPr>
          <w:p w14:paraId="5669579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0.253</w:t>
            </w:r>
          </w:p>
        </w:tc>
        <w:tc>
          <w:tcPr>
            <w:tcW w:w="1546" w:type="dxa"/>
            <w:vAlign w:val="center"/>
          </w:tcPr>
          <w:p w14:paraId="2252D92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0.072</w:t>
            </w:r>
          </w:p>
        </w:tc>
      </w:tr>
      <w:tr w:rsidR="00070BAF" w:rsidRPr="00AE0331" w14:paraId="17E2F9CC" w14:textId="77777777" w:rsidTr="005A7DA7">
        <w:trPr>
          <w:trHeight w:val="425"/>
        </w:trPr>
        <w:tc>
          <w:tcPr>
            <w:tcW w:w="2361" w:type="dxa"/>
          </w:tcPr>
          <w:p w14:paraId="67B72C5F" w14:textId="7777777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SBP (mmHg)</w:t>
            </w:r>
          </w:p>
        </w:tc>
        <w:tc>
          <w:tcPr>
            <w:tcW w:w="1545" w:type="dxa"/>
          </w:tcPr>
          <w:p w14:paraId="792E1917" w14:textId="77777777" w:rsidR="00070BAF" w:rsidRPr="00AE0331" w:rsidRDefault="00070BAF" w:rsidP="00592FA5">
            <w:pPr>
              <w:snapToGrid w:val="0"/>
              <w:spacing w:line="360" w:lineRule="auto"/>
              <w:jc w:val="both"/>
              <w:rPr>
                <w:rFonts w:ascii="Book Antiqua" w:hAnsi="Book Antiqua"/>
              </w:rPr>
            </w:pPr>
          </w:p>
        </w:tc>
        <w:tc>
          <w:tcPr>
            <w:tcW w:w="1545" w:type="dxa"/>
          </w:tcPr>
          <w:p w14:paraId="78858CBA" w14:textId="77777777" w:rsidR="00070BAF" w:rsidRPr="00AE0331" w:rsidRDefault="00070BAF" w:rsidP="00592FA5">
            <w:pPr>
              <w:snapToGrid w:val="0"/>
              <w:spacing w:line="360" w:lineRule="auto"/>
              <w:jc w:val="both"/>
              <w:rPr>
                <w:rFonts w:ascii="Book Antiqua" w:hAnsi="Book Antiqua"/>
              </w:rPr>
            </w:pPr>
          </w:p>
        </w:tc>
        <w:tc>
          <w:tcPr>
            <w:tcW w:w="1546" w:type="dxa"/>
          </w:tcPr>
          <w:p w14:paraId="3674A1B3" w14:textId="77777777" w:rsidR="00070BAF" w:rsidRPr="00AE0331" w:rsidRDefault="00070BAF" w:rsidP="00592FA5">
            <w:pPr>
              <w:snapToGrid w:val="0"/>
              <w:spacing w:line="360" w:lineRule="auto"/>
              <w:jc w:val="both"/>
              <w:rPr>
                <w:rFonts w:ascii="Book Antiqua" w:hAnsi="Book Antiqua"/>
              </w:rPr>
            </w:pPr>
          </w:p>
        </w:tc>
        <w:tc>
          <w:tcPr>
            <w:tcW w:w="1545" w:type="dxa"/>
          </w:tcPr>
          <w:p w14:paraId="336C19AF" w14:textId="77777777" w:rsidR="00070BAF" w:rsidRPr="00AE0331" w:rsidRDefault="00070BAF" w:rsidP="00592FA5">
            <w:pPr>
              <w:snapToGrid w:val="0"/>
              <w:spacing w:line="360" w:lineRule="auto"/>
              <w:jc w:val="both"/>
              <w:rPr>
                <w:rFonts w:ascii="Book Antiqua" w:hAnsi="Book Antiqua"/>
              </w:rPr>
            </w:pPr>
          </w:p>
        </w:tc>
        <w:tc>
          <w:tcPr>
            <w:tcW w:w="1546" w:type="dxa"/>
          </w:tcPr>
          <w:p w14:paraId="55221741" w14:textId="77777777" w:rsidR="00070BAF" w:rsidRPr="00AE0331" w:rsidRDefault="00070BAF" w:rsidP="00592FA5">
            <w:pPr>
              <w:snapToGrid w:val="0"/>
              <w:spacing w:line="360" w:lineRule="auto"/>
              <w:jc w:val="both"/>
              <w:rPr>
                <w:rFonts w:ascii="Book Antiqua" w:hAnsi="Book Antiqua"/>
              </w:rPr>
            </w:pPr>
          </w:p>
        </w:tc>
      </w:tr>
      <w:tr w:rsidR="00070BAF" w:rsidRPr="00AE0331" w14:paraId="6900E6C1" w14:textId="77777777" w:rsidTr="005A7DA7">
        <w:trPr>
          <w:trHeight w:val="425"/>
        </w:trPr>
        <w:tc>
          <w:tcPr>
            <w:tcW w:w="2361" w:type="dxa"/>
          </w:tcPr>
          <w:p w14:paraId="7995D123" w14:textId="027FA56A"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Propofol group</w:t>
            </w:r>
          </w:p>
        </w:tc>
        <w:tc>
          <w:tcPr>
            <w:tcW w:w="1545" w:type="dxa"/>
          </w:tcPr>
          <w:p w14:paraId="0385173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132.7 ± 12.4</w:t>
            </w:r>
          </w:p>
        </w:tc>
        <w:tc>
          <w:tcPr>
            <w:tcW w:w="1545" w:type="dxa"/>
          </w:tcPr>
          <w:p w14:paraId="23D94BD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89.4 ± 16.3</w:t>
            </w:r>
          </w:p>
        </w:tc>
        <w:tc>
          <w:tcPr>
            <w:tcW w:w="1546" w:type="dxa"/>
          </w:tcPr>
          <w:p w14:paraId="623E3D6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100.2 ± 13.1</w:t>
            </w:r>
          </w:p>
        </w:tc>
        <w:tc>
          <w:tcPr>
            <w:tcW w:w="1545" w:type="dxa"/>
          </w:tcPr>
          <w:p w14:paraId="08C7A11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93.1 ± 17.4</w:t>
            </w:r>
          </w:p>
        </w:tc>
        <w:tc>
          <w:tcPr>
            <w:tcW w:w="1546" w:type="dxa"/>
          </w:tcPr>
          <w:p w14:paraId="6D7CD4E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103.8 ± 13.2</w:t>
            </w:r>
          </w:p>
        </w:tc>
      </w:tr>
      <w:tr w:rsidR="00070BAF" w:rsidRPr="00AE0331" w14:paraId="3EB088AB" w14:textId="77777777" w:rsidTr="005A7DA7">
        <w:trPr>
          <w:trHeight w:val="425"/>
        </w:trPr>
        <w:tc>
          <w:tcPr>
            <w:tcW w:w="2361" w:type="dxa"/>
          </w:tcPr>
          <w:p w14:paraId="62A15A8B" w14:textId="75F9971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rPr>
              <w:t>Etomidate group</w:t>
            </w:r>
          </w:p>
        </w:tc>
        <w:tc>
          <w:tcPr>
            <w:tcW w:w="1545" w:type="dxa"/>
            <w:vAlign w:val="center"/>
          </w:tcPr>
          <w:p w14:paraId="631B7DE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129.6 ± 17.2</w:t>
            </w:r>
          </w:p>
        </w:tc>
        <w:tc>
          <w:tcPr>
            <w:tcW w:w="1545" w:type="dxa"/>
            <w:vAlign w:val="center"/>
          </w:tcPr>
          <w:p w14:paraId="30BB01D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100.3 ± 19.3</w:t>
            </w:r>
          </w:p>
        </w:tc>
        <w:tc>
          <w:tcPr>
            <w:tcW w:w="1546" w:type="dxa"/>
            <w:vAlign w:val="center"/>
          </w:tcPr>
          <w:p w14:paraId="1142113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117.5 ± 12.9</w:t>
            </w:r>
          </w:p>
        </w:tc>
        <w:tc>
          <w:tcPr>
            <w:tcW w:w="1545" w:type="dxa"/>
            <w:vAlign w:val="center"/>
          </w:tcPr>
          <w:p w14:paraId="2E9B0D6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112.3 ± 16.4</w:t>
            </w:r>
          </w:p>
        </w:tc>
        <w:tc>
          <w:tcPr>
            <w:tcW w:w="1546" w:type="dxa"/>
            <w:vAlign w:val="center"/>
          </w:tcPr>
          <w:p w14:paraId="0D5CDDA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121.5 ± 15.3</w:t>
            </w:r>
          </w:p>
        </w:tc>
      </w:tr>
      <w:tr w:rsidR="00070BAF" w:rsidRPr="00AE0331" w14:paraId="4DF68F69" w14:textId="77777777" w:rsidTr="005A7DA7">
        <w:trPr>
          <w:trHeight w:val="425"/>
        </w:trPr>
        <w:tc>
          <w:tcPr>
            <w:tcW w:w="2361" w:type="dxa"/>
          </w:tcPr>
          <w:p w14:paraId="1577CDA8" w14:textId="6FBF926A"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30196F1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0.813</w:t>
            </w:r>
          </w:p>
        </w:tc>
        <w:tc>
          <w:tcPr>
            <w:tcW w:w="1545" w:type="dxa"/>
            <w:vAlign w:val="center"/>
          </w:tcPr>
          <w:p w14:paraId="5AC77CA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0.041</w:t>
            </w:r>
          </w:p>
        </w:tc>
        <w:tc>
          <w:tcPr>
            <w:tcW w:w="1546" w:type="dxa"/>
            <w:vAlign w:val="center"/>
          </w:tcPr>
          <w:p w14:paraId="3205EE7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0.112</w:t>
            </w:r>
          </w:p>
        </w:tc>
        <w:tc>
          <w:tcPr>
            <w:tcW w:w="1545" w:type="dxa"/>
            <w:vAlign w:val="center"/>
          </w:tcPr>
          <w:p w14:paraId="2899C58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0.214</w:t>
            </w:r>
          </w:p>
        </w:tc>
        <w:tc>
          <w:tcPr>
            <w:tcW w:w="1546" w:type="dxa"/>
            <w:vAlign w:val="center"/>
          </w:tcPr>
          <w:p w14:paraId="2E3BFA1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0.712</w:t>
            </w:r>
          </w:p>
        </w:tc>
      </w:tr>
      <w:tr w:rsidR="00070BAF" w:rsidRPr="00AE0331" w14:paraId="56FA9C30" w14:textId="77777777" w:rsidTr="005A7DA7">
        <w:trPr>
          <w:trHeight w:val="425"/>
        </w:trPr>
        <w:tc>
          <w:tcPr>
            <w:tcW w:w="2361" w:type="dxa"/>
          </w:tcPr>
          <w:p w14:paraId="06E8926E" w14:textId="77777777"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bCs/>
                <w:color w:val="000000"/>
              </w:rPr>
              <w:t>DBP (mmHg)</w:t>
            </w:r>
          </w:p>
        </w:tc>
        <w:tc>
          <w:tcPr>
            <w:tcW w:w="1545" w:type="dxa"/>
            <w:vAlign w:val="center"/>
          </w:tcPr>
          <w:p w14:paraId="23462CED"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63644F5"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7B004211"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3F388ED"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40D8C497"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474C77DF" w14:textId="77777777" w:rsidTr="005A7DA7">
        <w:trPr>
          <w:trHeight w:val="425"/>
        </w:trPr>
        <w:tc>
          <w:tcPr>
            <w:tcW w:w="2361" w:type="dxa"/>
          </w:tcPr>
          <w:p w14:paraId="6746B447" w14:textId="2360DA48"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color w:val="000000"/>
              </w:rPr>
              <w:t>Propofol group</w:t>
            </w:r>
          </w:p>
        </w:tc>
        <w:tc>
          <w:tcPr>
            <w:tcW w:w="1545" w:type="dxa"/>
          </w:tcPr>
          <w:p w14:paraId="1E7EF5A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76.7 ± 18.7</w:t>
            </w:r>
          </w:p>
        </w:tc>
        <w:tc>
          <w:tcPr>
            <w:tcW w:w="1545" w:type="dxa"/>
          </w:tcPr>
          <w:p w14:paraId="07A252F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62.9 ± 16.3</w:t>
            </w:r>
          </w:p>
        </w:tc>
        <w:tc>
          <w:tcPr>
            <w:tcW w:w="1546" w:type="dxa"/>
          </w:tcPr>
          <w:p w14:paraId="7956BFD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72.1 ± 16.7</w:t>
            </w:r>
          </w:p>
        </w:tc>
        <w:tc>
          <w:tcPr>
            <w:tcW w:w="1545" w:type="dxa"/>
          </w:tcPr>
          <w:p w14:paraId="100BD9E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68.6 ± 17.2</w:t>
            </w:r>
          </w:p>
        </w:tc>
        <w:tc>
          <w:tcPr>
            <w:tcW w:w="1546" w:type="dxa"/>
          </w:tcPr>
          <w:p w14:paraId="31B3518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70.9 ± 18.4</w:t>
            </w:r>
          </w:p>
        </w:tc>
      </w:tr>
      <w:tr w:rsidR="00070BAF" w:rsidRPr="00AE0331" w14:paraId="3D3D2D7E" w14:textId="77777777" w:rsidTr="005A7DA7">
        <w:trPr>
          <w:trHeight w:val="425"/>
        </w:trPr>
        <w:tc>
          <w:tcPr>
            <w:tcW w:w="2361" w:type="dxa"/>
          </w:tcPr>
          <w:p w14:paraId="5B9F8432" w14:textId="55A2B3AD"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rPr>
              <w:t>Etomidate group</w:t>
            </w:r>
          </w:p>
        </w:tc>
        <w:tc>
          <w:tcPr>
            <w:tcW w:w="1545" w:type="dxa"/>
            <w:vAlign w:val="center"/>
          </w:tcPr>
          <w:p w14:paraId="119F585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79.0 ± 16.1</w:t>
            </w:r>
          </w:p>
        </w:tc>
        <w:tc>
          <w:tcPr>
            <w:tcW w:w="1545" w:type="dxa"/>
            <w:vAlign w:val="center"/>
          </w:tcPr>
          <w:p w14:paraId="290DDEB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73.0 ± 16.4</w:t>
            </w:r>
          </w:p>
        </w:tc>
        <w:tc>
          <w:tcPr>
            <w:tcW w:w="1546" w:type="dxa"/>
            <w:vAlign w:val="center"/>
          </w:tcPr>
          <w:p w14:paraId="1425369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90.8 ± 20.2</w:t>
            </w:r>
          </w:p>
        </w:tc>
        <w:tc>
          <w:tcPr>
            <w:tcW w:w="1545" w:type="dxa"/>
            <w:vAlign w:val="center"/>
          </w:tcPr>
          <w:p w14:paraId="72AD311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91.2 ± 16.3</w:t>
            </w:r>
          </w:p>
        </w:tc>
        <w:tc>
          <w:tcPr>
            <w:tcW w:w="1546" w:type="dxa"/>
            <w:vAlign w:val="center"/>
          </w:tcPr>
          <w:p w14:paraId="7940926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82.2 ± 15.4</w:t>
            </w:r>
          </w:p>
        </w:tc>
      </w:tr>
      <w:tr w:rsidR="00070BAF" w:rsidRPr="00AE0331" w14:paraId="44756D6A" w14:textId="77777777" w:rsidTr="005A7DA7">
        <w:trPr>
          <w:trHeight w:val="425"/>
        </w:trPr>
        <w:tc>
          <w:tcPr>
            <w:tcW w:w="2361" w:type="dxa"/>
          </w:tcPr>
          <w:p w14:paraId="6F071DE7" w14:textId="283024B7"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7F130CA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0.60</w:t>
            </w:r>
          </w:p>
        </w:tc>
        <w:tc>
          <w:tcPr>
            <w:tcW w:w="1545" w:type="dxa"/>
            <w:vAlign w:val="center"/>
          </w:tcPr>
          <w:p w14:paraId="18D9EFB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0.009</w:t>
            </w:r>
          </w:p>
        </w:tc>
        <w:tc>
          <w:tcPr>
            <w:tcW w:w="1546" w:type="dxa"/>
            <w:vAlign w:val="center"/>
          </w:tcPr>
          <w:p w14:paraId="7BCEE39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0.008</w:t>
            </w:r>
          </w:p>
        </w:tc>
        <w:tc>
          <w:tcPr>
            <w:tcW w:w="1545" w:type="dxa"/>
            <w:vAlign w:val="center"/>
          </w:tcPr>
          <w:p w14:paraId="4AFF534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w:t>
            </w:r>
          </w:p>
        </w:tc>
        <w:tc>
          <w:tcPr>
            <w:tcW w:w="1546" w:type="dxa"/>
            <w:vAlign w:val="center"/>
          </w:tcPr>
          <w:p w14:paraId="402AC93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w:t>
            </w:r>
          </w:p>
        </w:tc>
      </w:tr>
      <w:tr w:rsidR="00070BAF" w:rsidRPr="00AE0331" w14:paraId="12795BDA" w14:textId="77777777" w:rsidTr="005A7DA7">
        <w:trPr>
          <w:trHeight w:val="425"/>
        </w:trPr>
        <w:tc>
          <w:tcPr>
            <w:tcW w:w="2361" w:type="dxa"/>
          </w:tcPr>
          <w:p w14:paraId="67F344B6" w14:textId="77777777"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bCs/>
                <w:color w:val="000000"/>
              </w:rPr>
              <w:t>MAP (mmHg)</w:t>
            </w:r>
          </w:p>
        </w:tc>
        <w:tc>
          <w:tcPr>
            <w:tcW w:w="1545" w:type="dxa"/>
            <w:vAlign w:val="center"/>
          </w:tcPr>
          <w:p w14:paraId="7A9FE5B6"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633C7106"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20C8E167"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57BE750"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0D65B910"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5E21B28E" w14:textId="77777777" w:rsidTr="005A7DA7">
        <w:trPr>
          <w:trHeight w:val="425"/>
        </w:trPr>
        <w:tc>
          <w:tcPr>
            <w:tcW w:w="2361" w:type="dxa"/>
          </w:tcPr>
          <w:p w14:paraId="54C58725" w14:textId="59FD4DE1"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color w:val="000000"/>
              </w:rPr>
              <w:t>Propofol group</w:t>
            </w:r>
          </w:p>
        </w:tc>
        <w:tc>
          <w:tcPr>
            <w:tcW w:w="1545" w:type="dxa"/>
          </w:tcPr>
          <w:p w14:paraId="38DE853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92.6 ± 18.7</w:t>
            </w:r>
          </w:p>
        </w:tc>
        <w:tc>
          <w:tcPr>
            <w:tcW w:w="1545" w:type="dxa"/>
          </w:tcPr>
          <w:p w14:paraId="4BA847B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68.9 ± 16.1</w:t>
            </w:r>
          </w:p>
        </w:tc>
        <w:tc>
          <w:tcPr>
            <w:tcW w:w="1546" w:type="dxa"/>
          </w:tcPr>
          <w:p w14:paraId="11D544E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76.5 ± 16.5</w:t>
            </w:r>
          </w:p>
        </w:tc>
        <w:tc>
          <w:tcPr>
            <w:tcW w:w="1545" w:type="dxa"/>
          </w:tcPr>
          <w:p w14:paraId="3DC1159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86.2 ± 18.2</w:t>
            </w:r>
          </w:p>
        </w:tc>
        <w:tc>
          <w:tcPr>
            <w:tcW w:w="1546" w:type="dxa"/>
          </w:tcPr>
          <w:p w14:paraId="3365A96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80.8 ± 18.2</w:t>
            </w:r>
          </w:p>
        </w:tc>
      </w:tr>
      <w:tr w:rsidR="00070BAF" w:rsidRPr="00AE0331" w14:paraId="761D75AE" w14:textId="77777777" w:rsidTr="005A7DA7">
        <w:trPr>
          <w:trHeight w:val="425"/>
        </w:trPr>
        <w:tc>
          <w:tcPr>
            <w:tcW w:w="2361" w:type="dxa"/>
          </w:tcPr>
          <w:p w14:paraId="4DCBEA5F" w14:textId="65A1A2ED"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rPr>
              <w:t>Etomidate group</w:t>
            </w:r>
          </w:p>
        </w:tc>
        <w:tc>
          <w:tcPr>
            <w:tcW w:w="1545" w:type="dxa"/>
            <w:vAlign w:val="center"/>
          </w:tcPr>
          <w:p w14:paraId="22EB10D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95.1 ± 17.2</w:t>
            </w:r>
          </w:p>
        </w:tc>
        <w:tc>
          <w:tcPr>
            <w:tcW w:w="1545" w:type="dxa"/>
            <w:vAlign w:val="center"/>
          </w:tcPr>
          <w:p w14:paraId="2EF2934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80.2 ± 16.7</w:t>
            </w:r>
          </w:p>
        </w:tc>
        <w:tc>
          <w:tcPr>
            <w:tcW w:w="1546" w:type="dxa"/>
            <w:vAlign w:val="center"/>
          </w:tcPr>
          <w:p w14:paraId="2B09C07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96.3 ± 22.5</w:t>
            </w:r>
          </w:p>
        </w:tc>
        <w:tc>
          <w:tcPr>
            <w:tcW w:w="1545" w:type="dxa"/>
            <w:vAlign w:val="center"/>
          </w:tcPr>
          <w:p w14:paraId="3029B1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93.5 ± 16.4</w:t>
            </w:r>
          </w:p>
        </w:tc>
        <w:tc>
          <w:tcPr>
            <w:tcW w:w="1546" w:type="dxa"/>
            <w:vAlign w:val="center"/>
          </w:tcPr>
          <w:p w14:paraId="4A7B454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89.8 ± 15.5</w:t>
            </w:r>
          </w:p>
        </w:tc>
      </w:tr>
      <w:tr w:rsidR="00070BAF" w:rsidRPr="00AE0331" w14:paraId="11633236" w14:textId="77777777" w:rsidTr="005A7DA7">
        <w:trPr>
          <w:trHeight w:val="425"/>
        </w:trPr>
        <w:tc>
          <w:tcPr>
            <w:tcW w:w="2361" w:type="dxa"/>
            <w:tcBorders>
              <w:bottom w:val="single" w:sz="4" w:space="0" w:color="auto"/>
            </w:tcBorders>
          </w:tcPr>
          <w:p w14:paraId="63387996" w14:textId="5E766263"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tcBorders>
              <w:bottom w:val="single" w:sz="4" w:space="0" w:color="auto"/>
            </w:tcBorders>
            <w:vAlign w:val="center"/>
          </w:tcPr>
          <w:p w14:paraId="089D668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0.69</w:t>
            </w:r>
          </w:p>
        </w:tc>
        <w:tc>
          <w:tcPr>
            <w:tcW w:w="1545" w:type="dxa"/>
            <w:tcBorders>
              <w:bottom w:val="single" w:sz="4" w:space="0" w:color="auto"/>
            </w:tcBorders>
            <w:vAlign w:val="center"/>
          </w:tcPr>
          <w:p w14:paraId="1974211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0.007</w:t>
            </w:r>
          </w:p>
        </w:tc>
        <w:tc>
          <w:tcPr>
            <w:tcW w:w="1546" w:type="dxa"/>
            <w:tcBorders>
              <w:bottom w:val="single" w:sz="4" w:space="0" w:color="auto"/>
            </w:tcBorders>
            <w:vAlign w:val="center"/>
          </w:tcPr>
          <w:p w14:paraId="172732F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0.043</w:t>
            </w:r>
          </w:p>
        </w:tc>
        <w:tc>
          <w:tcPr>
            <w:tcW w:w="1545" w:type="dxa"/>
            <w:tcBorders>
              <w:bottom w:val="single" w:sz="4" w:space="0" w:color="auto"/>
            </w:tcBorders>
            <w:vAlign w:val="center"/>
          </w:tcPr>
          <w:p w14:paraId="55DB415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0.012</w:t>
            </w:r>
          </w:p>
        </w:tc>
        <w:tc>
          <w:tcPr>
            <w:tcW w:w="1546" w:type="dxa"/>
            <w:tcBorders>
              <w:bottom w:val="single" w:sz="4" w:space="0" w:color="auto"/>
            </w:tcBorders>
            <w:vAlign w:val="center"/>
          </w:tcPr>
          <w:p w14:paraId="57667A0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0.018</w:t>
            </w:r>
          </w:p>
        </w:tc>
      </w:tr>
    </w:tbl>
    <w:p w14:paraId="2589FDC9" w14:textId="040DBDB8" w:rsidR="00070BAF" w:rsidRPr="00AE0331" w:rsidRDefault="00070BAF" w:rsidP="00592FA5">
      <w:pPr>
        <w:autoSpaceDE w:val="0"/>
        <w:autoSpaceDN w:val="0"/>
        <w:adjustRightInd w:val="0"/>
        <w:snapToGrid w:val="0"/>
        <w:spacing w:line="360" w:lineRule="auto"/>
        <w:jc w:val="both"/>
        <w:rPr>
          <w:rFonts w:ascii="Book Antiqua" w:hAnsi="Book Antiqua"/>
          <w:color w:val="000000"/>
          <w:shd w:val="clear" w:color="auto" w:fill="FFFFFF"/>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 DBP: </w:t>
      </w:r>
      <w:r w:rsidR="003A5832" w:rsidRPr="00AE0331">
        <w:rPr>
          <w:rFonts w:ascii="Book Antiqua" w:hAnsi="Book Antiqua"/>
          <w:color w:val="000000"/>
          <w:shd w:val="clear" w:color="auto" w:fill="FFFFFF"/>
        </w:rPr>
        <w:t>D</w:t>
      </w:r>
      <w:r w:rsidRPr="00AE0331">
        <w:rPr>
          <w:rFonts w:ascii="Book Antiqua" w:hAnsi="Book Antiqua"/>
          <w:color w:val="000000"/>
          <w:shd w:val="clear" w:color="auto" w:fill="FFFFFF"/>
        </w:rPr>
        <w:t xml:space="preserve">iastolic blood pressure; MAP: </w:t>
      </w:r>
      <w:r w:rsidR="003A5832" w:rsidRPr="00AE0331">
        <w:rPr>
          <w:rFonts w:ascii="Book Antiqua" w:hAnsi="Book Antiqua"/>
          <w:color w:val="000000"/>
          <w:shd w:val="clear" w:color="auto" w:fill="FFFFFF"/>
        </w:rPr>
        <w:t>M</w:t>
      </w:r>
      <w:r w:rsidRPr="00AE0331">
        <w:rPr>
          <w:rFonts w:ascii="Book Antiqua" w:hAnsi="Book Antiqua"/>
          <w:color w:val="000000"/>
          <w:shd w:val="clear" w:color="auto" w:fill="FFFFFF"/>
        </w:rPr>
        <w:t xml:space="preserve">ean arterial pressure; SBP: </w:t>
      </w:r>
      <w:r w:rsidR="003A5832" w:rsidRPr="00AE0331">
        <w:rPr>
          <w:rFonts w:ascii="Book Antiqua" w:hAnsi="Book Antiqua"/>
          <w:color w:val="000000"/>
          <w:shd w:val="clear" w:color="auto" w:fill="FFFFFF"/>
        </w:rPr>
        <w:t>S</w:t>
      </w:r>
      <w:r w:rsidRPr="00AE0331">
        <w:rPr>
          <w:rFonts w:ascii="Book Antiqua" w:hAnsi="Book Antiqua"/>
          <w:color w:val="000000"/>
          <w:shd w:val="clear" w:color="auto" w:fill="FFFFFF"/>
        </w:rPr>
        <w:t>ystolic blood pressure.</w:t>
      </w:r>
    </w:p>
    <w:p w14:paraId="39D9DC64" w14:textId="77777777" w:rsidR="00070BAF" w:rsidRPr="00AE0331" w:rsidRDefault="00070BAF" w:rsidP="00592FA5">
      <w:pPr>
        <w:snapToGrid w:val="0"/>
        <w:spacing w:line="360" w:lineRule="auto"/>
        <w:jc w:val="both"/>
        <w:rPr>
          <w:rFonts w:ascii="Book Antiqua" w:hAnsi="Book Antiqua"/>
        </w:rPr>
      </w:pPr>
    </w:p>
    <w:p w14:paraId="7AB61C96" w14:textId="5AB403DE"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rPr>
        <w:lastRenderedPageBreak/>
        <w:t>Table 4</w:t>
      </w:r>
      <w:r w:rsidRPr="00AE0331">
        <w:rPr>
          <w:rFonts w:ascii="Book Antiqua" w:hAnsi="Book Antiqua"/>
          <w:b/>
          <w:bCs/>
        </w:rPr>
        <w:t xml:space="preserve"> Comparison of vasopressor use between groups</w:t>
      </w:r>
    </w:p>
    <w:tbl>
      <w:tblPr>
        <w:tblW w:w="5000" w:type="pct"/>
        <w:tblLook w:val="04A0" w:firstRow="1" w:lastRow="0" w:firstColumn="1" w:lastColumn="0" w:noHBand="0" w:noVBand="1"/>
      </w:tblPr>
      <w:tblGrid>
        <w:gridCol w:w="2586"/>
        <w:gridCol w:w="1694"/>
        <w:gridCol w:w="1694"/>
        <w:gridCol w:w="1694"/>
        <w:gridCol w:w="1692"/>
      </w:tblGrid>
      <w:tr w:rsidR="00070BAF" w:rsidRPr="00AE0331" w14:paraId="56447558" w14:textId="77777777" w:rsidTr="00D865F5">
        <w:trPr>
          <w:trHeight w:val="371"/>
        </w:trPr>
        <w:tc>
          <w:tcPr>
            <w:tcW w:w="1381" w:type="pct"/>
            <w:tcBorders>
              <w:top w:val="single" w:sz="4" w:space="0" w:color="auto"/>
            </w:tcBorders>
            <w:vAlign w:val="center"/>
          </w:tcPr>
          <w:p w14:paraId="3773A619" w14:textId="77777777" w:rsidR="00070BAF" w:rsidRPr="00AE0331" w:rsidRDefault="00070BAF" w:rsidP="00592FA5">
            <w:pPr>
              <w:snapToGrid w:val="0"/>
              <w:spacing w:line="360" w:lineRule="auto"/>
              <w:jc w:val="both"/>
              <w:rPr>
                <w:rFonts w:ascii="Book Antiqua" w:hAnsi="Book Antiqua"/>
                <w:b/>
                <w:bCs/>
                <w:color w:val="000000"/>
              </w:rPr>
            </w:pPr>
          </w:p>
        </w:tc>
        <w:tc>
          <w:tcPr>
            <w:tcW w:w="1809" w:type="pct"/>
            <w:gridSpan w:val="2"/>
            <w:tcBorders>
              <w:top w:val="single" w:sz="4" w:space="0" w:color="auto"/>
              <w:bottom w:val="single" w:sz="4" w:space="0" w:color="auto"/>
            </w:tcBorders>
            <w:vAlign w:val="center"/>
          </w:tcPr>
          <w:p w14:paraId="6AB7CD71"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Ephedrine use (mg)</w:t>
            </w:r>
          </w:p>
        </w:tc>
        <w:tc>
          <w:tcPr>
            <w:tcW w:w="1810" w:type="pct"/>
            <w:gridSpan w:val="2"/>
            <w:tcBorders>
              <w:top w:val="single" w:sz="4" w:space="0" w:color="auto"/>
              <w:bottom w:val="single" w:sz="4" w:space="0" w:color="auto"/>
            </w:tcBorders>
            <w:vAlign w:val="center"/>
          </w:tcPr>
          <w:p w14:paraId="28516961" w14:textId="1A300514"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Phenylephrine use (</w:t>
            </w:r>
            <w:r w:rsidR="00936525" w:rsidRPr="00936525">
              <w:rPr>
                <w:rFonts w:ascii="Book Antiqua" w:eastAsia="Book Antiqua" w:hAnsi="Book Antiqua" w:cs="Book Antiqua"/>
                <w:b/>
                <w:bCs/>
                <w:color w:val="000000"/>
              </w:rPr>
              <w:t>μ</w:t>
            </w:r>
            <w:r w:rsidRPr="00AE0331">
              <w:rPr>
                <w:rFonts w:ascii="Book Antiqua" w:hAnsi="Book Antiqua"/>
                <w:b/>
                <w:bCs/>
                <w:color w:val="000000"/>
              </w:rPr>
              <w:t>g)</w:t>
            </w:r>
          </w:p>
        </w:tc>
      </w:tr>
      <w:tr w:rsidR="00070BAF" w:rsidRPr="00AE0331" w14:paraId="3737CB75" w14:textId="77777777" w:rsidTr="00D865F5">
        <w:trPr>
          <w:trHeight w:val="371"/>
        </w:trPr>
        <w:tc>
          <w:tcPr>
            <w:tcW w:w="1381" w:type="pct"/>
            <w:tcBorders>
              <w:bottom w:val="single" w:sz="4" w:space="0" w:color="auto"/>
            </w:tcBorders>
            <w:vAlign w:val="center"/>
          </w:tcPr>
          <w:p w14:paraId="1B569946" w14:textId="77777777" w:rsidR="00070BAF" w:rsidRPr="00AE0331" w:rsidRDefault="00070BAF" w:rsidP="00592FA5">
            <w:pPr>
              <w:snapToGrid w:val="0"/>
              <w:spacing w:line="360" w:lineRule="auto"/>
              <w:jc w:val="both"/>
              <w:rPr>
                <w:rFonts w:ascii="Book Antiqua" w:hAnsi="Book Antiqua"/>
                <w:b/>
                <w:bCs/>
                <w:color w:val="000000"/>
              </w:rPr>
            </w:pPr>
          </w:p>
        </w:tc>
        <w:tc>
          <w:tcPr>
            <w:tcW w:w="905" w:type="pct"/>
            <w:tcBorders>
              <w:top w:val="single" w:sz="4" w:space="0" w:color="auto"/>
              <w:bottom w:val="single" w:sz="4" w:space="0" w:color="auto"/>
            </w:tcBorders>
            <w:vAlign w:val="center"/>
          </w:tcPr>
          <w:p w14:paraId="6442BFE9"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Induction</w:t>
            </w:r>
          </w:p>
        </w:tc>
        <w:tc>
          <w:tcPr>
            <w:tcW w:w="905" w:type="pct"/>
            <w:tcBorders>
              <w:top w:val="single" w:sz="4" w:space="0" w:color="auto"/>
              <w:bottom w:val="single" w:sz="4" w:space="0" w:color="auto"/>
            </w:tcBorders>
            <w:vAlign w:val="center"/>
          </w:tcPr>
          <w:p w14:paraId="6FC9314C"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Maintenance</w:t>
            </w:r>
          </w:p>
        </w:tc>
        <w:tc>
          <w:tcPr>
            <w:tcW w:w="905" w:type="pct"/>
            <w:tcBorders>
              <w:top w:val="single" w:sz="4" w:space="0" w:color="auto"/>
              <w:bottom w:val="single" w:sz="4" w:space="0" w:color="auto"/>
            </w:tcBorders>
            <w:vAlign w:val="center"/>
          </w:tcPr>
          <w:p w14:paraId="147520C8"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Induction</w:t>
            </w:r>
          </w:p>
        </w:tc>
        <w:tc>
          <w:tcPr>
            <w:tcW w:w="905" w:type="pct"/>
            <w:tcBorders>
              <w:top w:val="single" w:sz="4" w:space="0" w:color="auto"/>
              <w:bottom w:val="single" w:sz="4" w:space="0" w:color="auto"/>
            </w:tcBorders>
            <w:vAlign w:val="center"/>
          </w:tcPr>
          <w:p w14:paraId="6C7748FC"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Maintenance</w:t>
            </w:r>
          </w:p>
        </w:tc>
      </w:tr>
      <w:tr w:rsidR="00070BAF" w:rsidRPr="00AE0331" w14:paraId="378495B9" w14:textId="77777777" w:rsidTr="00D865F5">
        <w:trPr>
          <w:trHeight w:val="421"/>
        </w:trPr>
        <w:tc>
          <w:tcPr>
            <w:tcW w:w="1381" w:type="pct"/>
            <w:tcBorders>
              <w:top w:val="single" w:sz="4" w:space="0" w:color="auto"/>
            </w:tcBorders>
            <w:vAlign w:val="center"/>
          </w:tcPr>
          <w:p w14:paraId="72850E29"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905" w:type="pct"/>
            <w:tcBorders>
              <w:top w:val="single" w:sz="4" w:space="0" w:color="auto"/>
            </w:tcBorders>
          </w:tcPr>
          <w:p w14:paraId="757D1FB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7.0 ± 1.6</w:t>
            </w:r>
          </w:p>
        </w:tc>
        <w:tc>
          <w:tcPr>
            <w:tcW w:w="905" w:type="pct"/>
            <w:tcBorders>
              <w:top w:val="single" w:sz="4" w:space="0" w:color="auto"/>
            </w:tcBorders>
          </w:tcPr>
          <w:p w14:paraId="5C37CF1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9.8 ± 3.2</w:t>
            </w:r>
          </w:p>
        </w:tc>
        <w:tc>
          <w:tcPr>
            <w:tcW w:w="905" w:type="pct"/>
            <w:tcBorders>
              <w:top w:val="single" w:sz="4" w:space="0" w:color="auto"/>
            </w:tcBorders>
          </w:tcPr>
          <w:p w14:paraId="64112E3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17.5 ± 3.8</w:t>
            </w:r>
          </w:p>
        </w:tc>
        <w:tc>
          <w:tcPr>
            <w:tcW w:w="905" w:type="pct"/>
            <w:tcBorders>
              <w:top w:val="single" w:sz="4" w:space="0" w:color="auto"/>
            </w:tcBorders>
          </w:tcPr>
          <w:p w14:paraId="022744B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15.1 ± 1.6</w:t>
            </w:r>
          </w:p>
        </w:tc>
      </w:tr>
      <w:tr w:rsidR="00070BAF" w:rsidRPr="00AE0331" w14:paraId="57508106" w14:textId="77777777" w:rsidTr="00D865F5">
        <w:trPr>
          <w:trHeight w:val="421"/>
        </w:trPr>
        <w:tc>
          <w:tcPr>
            <w:tcW w:w="1381" w:type="pct"/>
            <w:vAlign w:val="center"/>
          </w:tcPr>
          <w:p w14:paraId="7470A13D" w14:textId="77777777" w:rsidR="00070BAF" w:rsidRPr="00AE0331" w:rsidRDefault="00070BAF" w:rsidP="00592FA5">
            <w:pPr>
              <w:snapToGrid w:val="0"/>
              <w:spacing w:line="360" w:lineRule="auto"/>
              <w:jc w:val="both"/>
              <w:rPr>
                <w:rFonts w:ascii="Book Antiqua" w:hAnsi="Book Antiqua"/>
              </w:rPr>
            </w:pPr>
            <w:r w:rsidRPr="00AE0331">
              <w:rPr>
                <w:rFonts w:ascii="Book Antiqua" w:hAnsi="Book Antiqua"/>
              </w:rPr>
              <w:t>Etomidate group</w:t>
            </w:r>
          </w:p>
        </w:tc>
        <w:tc>
          <w:tcPr>
            <w:tcW w:w="905" w:type="pct"/>
          </w:tcPr>
          <w:p w14:paraId="1FE6997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3.1 ± 2.0</w:t>
            </w:r>
          </w:p>
        </w:tc>
        <w:tc>
          <w:tcPr>
            <w:tcW w:w="905" w:type="pct"/>
          </w:tcPr>
          <w:p w14:paraId="6C9B6C2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2.6 ± 1.1</w:t>
            </w:r>
          </w:p>
        </w:tc>
        <w:tc>
          <w:tcPr>
            <w:tcW w:w="905" w:type="pct"/>
          </w:tcPr>
          <w:p w14:paraId="2192391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6.2 ± 1.3</w:t>
            </w:r>
          </w:p>
        </w:tc>
        <w:tc>
          <w:tcPr>
            <w:tcW w:w="905" w:type="pct"/>
          </w:tcPr>
          <w:p w14:paraId="01A5F91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7.5 ± 2.1</w:t>
            </w:r>
          </w:p>
        </w:tc>
      </w:tr>
      <w:tr w:rsidR="00070BAF" w:rsidRPr="00AE0331" w14:paraId="6789C975" w14:textId="77777777" w:rsidTr="00D865F5">
        <w:trPr>
          <w:trHeight w:val="421"/>
        </w:trPr>
        <w:tc>
          <w:tcPr>
            <w:tcW w:w="1381" w:type="pct"/>
            <w:tcBorders>
              <w:bottom w:val="single" w:sz="4" w:space="0" w:color="auto"/>
            </w:tcBorders>
            <w:vAlign w:val="center"/>
          </w:tcPr>
          <w:p w14:paraId="4672B572" w14:textId="5BF595FE"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bCs/>
                <w:i/>
                <w:iCs/>
                <w:color w:val="000000"/>
              </w:rPr>
              <w:t>P</w:t>
            </w:r>
            <w:r w:rsidR="00951402" w:rsidRPr="00AE0331">
              <w:rPr>
                <w:rFonts w:ascii="Book Antiqua" w:hAnsi="Book Antiqua"/>
                <w:bCs/>
                <w:color w:val="000000"/>
              </w:rPr>
              <w:t xml:space="preserve"> </w:t>
            </w:r>
            <w:r w:rsidRPr="00AE0331">
              <w:rPr>
                <w:rFonts w:ascii="Book Antiqua" w:hAnsi="Book Antiqua"/>
                <w:bCs/>
                <w:color w:val="000000"/>
              </w:rPr>
              <w:t>value</w:t>
            </w:r>
          </w:p>
        </w:tc>
        <w:tc>
          <w:tcPr>
            <w:tcW w:w="905" w:type="pct"/>
            <w:tcBorders>
              <w:bottom w:val="single" w:sz="4" w:space="0" w:color="auto"/>
            </w:tcBorders>
          </w:tcPr>
          <w:p w14:paraId="39A7BBCB" w14:textId="77880950"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72DC2B5E" w14:textId="38DA2C50"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0378A013" w14:textId="24E2C26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45A1B42C" w14:textId="2A49560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r>
    </w:tbl>
    <w:p w14:paraId="2C0286AA" w14:textId="1E33EC1A" w:rsidR="00070BAF" w:rsidRPr="00AE0331" w:rsidRDefault="00070BAF" w:rsidP="00592FA5">
      <w:pPr>
        <w:autoSpaceDE w:val="0"/>
        <w:autoSpaceDN w:val="0"/>
        <w:adjustRightInd w:val="0"/>
        <w:snapToGrid w:val="0"/>
        <w:spacing w:line="360" w:lineRule="auto"/>
        <w:jc w:val="both"/>
        <w:rPr>
          <w:rFonts w:ascii="Book Antiqua" w:hAnsi="Book Antiqua"/>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 </w:t>
      </w:r>
    </w:p>
    <w:p w14:paraId="77F4F694" w14:textId="77777777" w:rsidR="00070BAF" w:rsidRPr="00AE0331" w:rsidRDefault="00070BAF" w:rsidP="00592FA5">
      <w:pPr>
        <w:snapToGrid w:val="0"/>
        <w:spacing w:line="360" w:lineRule="auto"/>
        <w:jc w:val="both"/>
        <w:rPr>
          <w:rFonts w:ascii="Book Antiqua" w:hAnsi="Book Antiqua"/>
        </w:rPr>
      </w:pPr>
    </w:p>
    <w:p w14:paraId="4318F526" w14:textId="377E8CBE"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rPr>
        <w:lastRenderedPageBreak/>
        <w:t>Table 5 Comparison of bispectral index values between groups</w:t>
      </w:r>
    </w:p>
    <w:tbl>
      <w:tblPr>
        <w:tblW w:w="5000" w:type="pct"/>
        <w:tblLook w:val="04A0" w:firstRow="1" w:lastRow="0" w:firstColumn="1" w:lastColumn="0" w:noHBand="0" w:noVBand="1"/>
      </w:tblPr>
      <w:tblGrid>
        <w:gridCol w:w="2190"/>
        <w:gridCol w:w="1434"/>
        <w:gridCol w:w="1434"/>
        <w:gridCol w:w="1434"/>
        <w:gridCol w:w="1434"/>
        <w:gridCol w:w="1434"/>
      </w:tblGrid>
      <w:tr w:rsidR="00070BAF" w:rsidRPr="00AE0331" w14:paraId="42DF376C" w14:textId="77777777" w:rsidTr="00097D55">
        <w:trPr>
          <w:trHeight w:val="1408"/>
        </w:trPr>
        <w:tc>
          <w:tcPr>
            <w:tcW w:w="1170" w:type="pct"/>
            <w:tcBorders>
              <w:top w:val="single" w:sz="4" w:space="0" w:color="auto"/>
              <w:bottom w:val="single" w:sz="4" w:space="0" w:color="auto"/>
            </w:tcBorders>
            <w:vAlign w:val="center"/>
          </w:tcPr>
          <w:p w14:paraId="2F819DA7" w14:textId="77777777" w:rsidR="00070BAF" w:rsidRPr="00AE0331" w:rsidRDefault="00070BAF" w:rsidP="00592FA5">
            <w:pPr>
              <w:snapToGrid w:val="0"/>
              <w:spacing w:line="360" w:lineRule="auto"/>
              <w:jc w:val="both"/>
              <w:rPr>
                <w:rFonts w:ascii="Book Antiqua" w:hAnsi="Book Antiqua"/>
                <w:b/>
                <w:bCs/>
                <w:color w:val="000000"/>
              </w:rPr>
            </w:pPr>
          </w:p>
        </w:tc>
        <w:tc>
          <w:tcPr>
            <w:tcW w:w="766" w:type="pct"/>
            <w:tcBorders>
              <w:top w:val="single" w:sz="4" w:space="0" w:color="auto"/>
              <w:bottom w:val="single" w:sz="4" w:space="0" w:color="auto"/>
            </w:tcBorders>
            <w:vAlign w:val="center"/>
          </w:tcPr>
          <w:p w14:paraId="1A89EA42"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Before anesthesia induction</w:t>
            </w:r>
          </w:p>
        </w:tc>
        <w:tc>
          <w:tcPr>
            <w:tcW w:w="766" w:type="pct"/>
            <w:tcBorders>
              <w:top w:val="single" w:sz="4" w:space="0" w:color="auto"/>
              <w:bottom w:val="single" w:sz="4" w:space="0" w:color="auto"/>
            </w:tcBorders>
            <w:vAlign w:val="center"/>
          </w:tcPr>
          <w:p w14:paraId="37ECB09B"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3 min after anesthetic injection</w:t>
            </w:r>
          </w:p>
        </w:tc>
        <w:tc>
          <w:tcPr>
            <w:tcW w:w="766" w:type="pct"/>
            <w:tcBorders>
              <w:top w:val="single" w:sz="4" w:space="0" w:color="auto"/>
              <w:bottom w:val="single" w:sz="4" w:space="0" w:color="auto"/>
            </w:tcBorders>
            <w:vAlign w:val="center"/>
          </w:tcPr>
          <w:p w14:paraId="0E4000DB"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shd w:val="clear" w:color="auto" w:fill="FFFFFF"/>
              </w:rPr>
              <w:t xml:space="preserve">Just after tracheal </w:t>
            </w:r>
            <w:r w:rsidRPr="00AE0331">
              <w:rPr>
                <w:rFonts w:ascii="Book Antiqua" w:hAnsi="Book Antiqua"/>
                <w:b/>
                <w:bCs/>
                <w:color w:val="000000"/>
              </w:rPr>
              <w:t>intubation</w:t>
            </w:r>
          </w:p>
        </w:tc>
        <w:tc>
          <w:tcPr>
            <w:tcW w:w="766" w:type="pct"/>
            <w:tcBorders>
              <w:top w:val="single" w:sz="4" w:space="0" w:color="auto"/>
              <w:bottom w:val="single" w:sz="4" w:space="0" w:color="auto"/>
            </w:tcBorders>
            <w:vAlign w:val="center"/>
          </w:tcPr>
          <w:p w14:paraId="486D7D2B"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3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c>
          <w:tcPr>
            <w:tcW w:w="766" w:type="pct"/>
            <w:tcBorders>
              <w:top w:val="single" w:sz="4" w:space="0" w:color="auto"/>
              <w:bottom w:val="single" w:sz="4" w:space="0" w:color="auto"/>
            </w:tcBorders>
            <w:vAlign w:val="center"/>
          </w:tcPr>
          <w:p w14:paraId="2B67A986"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5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r>
      <w:tr w:rsidR="00070BAF" w:rsidRPr="00AE0331" w14:paraId="5C91C427" w14:textId="77777777" w:rsidTr="00097D55">
        <w:trPr>
          <w:trHeight w:val="421"/>
        </w:trPr>
        <w:tc>
          <w:tcPr>
            <w:tcW w:w="1170" w:type="pct"/>
            <w:tcBorders>
              <w:top w:val="single" w:sz="4" w:space="0" w:color="auto"/>
            </w:tcBorders>
            <w:vAlign w:val="center"/>
          </w:tcPr>
          <w:p w14:paraId="085DF77D" w14:textId="7F4BE45D"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766" w:type="pct"/>
            <w:tcBorders>
              <w:top w:val="single" w:sz="4" w:space="0" w:color="auto"/>
            </w:tcBorders>
          </w:tcPr>
          <w:p w14:paraId="17EC344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 xml:space="preserve">97.0 ± 1.7  </w:t>
            </w:r>
          </w:p>
        </w:tc>
        <w:tc>
          <w:tcPr>
            <w:tcW w:w="766" w:type="pct"/>
            <w:tcBorders>
              <w:top w:val="single" w:sz="4" w:space="0" w:color="auto"/>
            </w:tcBorders>
          </w:tcPr>
          <w:p w14:paraId="5B9F492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46.9 ± 2.1</w:t>
            </w:r>
          </w:p>
        </w:tc>
        <w:tc>
          <w:tcPr>
            <w:tcW w:w="766" w:type="pct"/>
            <w:tcBorders>
              <w:top w:val="single" w:sz="4" w:space="0" w:color="auto"/>
            </w:tcBorders>
          </w:tcPr>
          <w:p w14:paraId="08C685E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47.5 ± 1.5</w:t>
            </w:r>
          </w:p>
        </w:tc>
        <w:tc>
          <w:tcPr>
            <w:tcW w:w="766" w:type="pct"/>
            <w:tcBorders>
              <w:top w:val="single" w:sz="4" w:space="0" w:color="auto"/>
            </w:tcBorders>
          </w:tcPr>
          <w:p w14:paraId="430BF13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46.2 ± 1.2</w:t>
            </w:r>
          </w:p>
        </w:tc>
        <w:tc>
          <w:tcPr>
            <w:tcW w:w="766" w:type="pct"/>
            <w:tcBorders>
              <w:top w:val="single" w:sz="4" w:space="0" w:color="auto"/>
            </w:tcBorders>
          </w:tcPr>
          <w:p w14:paraId="3C31C65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46.8 ± 1.8</w:t>
            </w:r>
          </w:p>
        </w:tc>
      </w:tr>
      <w:tr w:rsidR="00070BAF" w:rsidRPr="00AE0331" w14:paraId="718BDC1F" w14:textId="77777777" w:rsidTr="00097D55">
        <w:trPr>
          <w:trHeight w:val="421"/>
        </w:trPr>
        <w:tc>
          <w:tcPr>
            <w:tcW w:w="1170" w:type="pct"/>
            <w:vAlign w:val="center"/>
          </w:tcPr>
          <w:p w14:paraId="5F1EE4E2" w14:textId="1D84C830" w:rsidR="00070BAF" w:rsidRPr="00AE0331" w:rsidRDefault="00070BAF" w:rsidP="00592FA5">
            <w:pPr>
              <w:snapToGrid w:val="0"/>
              <w:spacing w:line="360" w:lineRule="auto"/>
              <w:jc w:val="both"/>
              <w:rPr>
                <w:rFonts w:ascii="Book Antiqua" w:hAnsi="Book Antiqua"/>
              </w:rPr>
            </w:pPr>
            <w:r w:rsidRPr="00AE0331">
              <w:rPr>
                <w:rFonts w:ascii="Book Antiqua" w:hAnsi="Book Antiqua"/>
              </w:rPr>
              <w:t>Etomidate group</w:t>
            </w:r>
          </w:p>
        </w:tc>
        <w:tc>
          <w:tcPr>
            <w:tcW w:w="766" w:type="pct"/>
            <w:vAlign w:val="center"/>
          </w:tcPr>
          <w:p w14:paraId="3F3F8E5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97.4 ± 1.20</w:t>
            </w:r>
          </w:p>
        </w:tc>
        <w:tc>
          <w:tcPr>
            <w:tcW w:w="766" w:type="pct"/>
            <w:vAlign w:val="center"/>
          </w:tcPr>
          <w:p w14:paraId="04446A1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47.2 ± 1.7</w:t>
            </w:r>
          </w:p>
        </w:tc>
        <w:tc>
          <w:tcPr>
            <w:tcW w:w="766" w:type="pct"/>
            <w:vAlign w:val="center"/>
          </w:tcPr>
          <w:p w14:paraId="4FA6969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46.5 ± 1.5</w:t>
            </w:r>
          </w:p>
        </w:tc>
        <w:tc>
          <w:tcPr>
            <w:tcW w:w="766" w:type="pct"/>
            <w:vAlign w:val="center"/>
          </w:tcPr>
          <w:p w14:paraId="44EC45C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44.3 ± 1.4</w:t>
            </w:r>
          </w:p>
        </w:tc>
        <w:tc>
          <w:tcPr>
            <w:tcW w:w="766" w:type="pct"/>
            <w:vAlign w:val="center"/>
          </w:tcPr>
          <w:p w14:paraId="373E714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45.0 ± 1.3</w:t>
            </w:r>
          </w:p>
        </w:tc>
      </w:tr>
      <w:tr w:rsidR="00070BAF" w:rsidRPr="00AE0331" w14:paraId="33099BB2" w14:textId="77777777" w:rsidTr="00097D55">
        <w:trPr>
          <w:trHeight w:val="421"/>
        </w:trPr>
        <w:tc>
          <w:tcPr>
            <w:tcW w:w="1170" w:type="pct"/>
            <w:tcBorders>
              <w:bottom w:val="single" w:sz="4" w:space="0" w:color="auto"/>
            </w:tcBorders>
            <w:vAlign w:val="center"/>
          </w:tcPr>
          <w:p w14:paraId="1D8887BA" w14:textId="0A008B6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bCs/>
                <w:i/>
                <w:iCs/>
                <w:color w:val="000000"/>
              </w:rPr>
              <w:t>P</w:t>
            </w:r>
            <w:r w:rsidR="00951402" w:rsidRPr="00AE0331">
              <w:rPr>
                <w:rFonts w:ascii="Book Antiqua" w:hAnsi="Book Antiqua"/>
                <w:bCs/>
                <w:color w:val="000000"/>
              </w:rPr>
              <w:t xml:space="preserve"> </w:t>
            </w:r>
            <w:r w:rsidRPr="00AE0331">
              <w:rPr>
                <w:rFonts w:ascii="Book Antiqua" w:hAnsi="Book Antiqua"/>
                <w:bCs/>
                <w:color w:val="000000"/>
              </w:rPr>
              <w:t>value</w:t>
            </w:r>
          </w:p>
        </w:tc>
        <w:tc>
          <w:tcPr>
            <w:tcW w:w="766" w:type="pct"/>
            <w:tcBorders>
              <w:bottom w:val="single" w:sz="4" w:space="0" w:color="auto"/>
            </w:tcBorders>
            <w:vAlign w:val="center"/>
          </w:tcPr>
          <w:p w14:paraId="19CBA4C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0.91</w:t>
            </w:r>
          </w:p>
        </w:tc>
        <w:tc>
          <w:tcPr>
            <w:tcW w:w="766" w:type="pct"/>
            <w:tcBorders>
              <w:bottom w:val="single" w:sz="4" w:space="0" w:color="auto"/>
            </w:tcBorders>
            <w:vAlign w:val="center"/>
          </w:tcPr>
          <w:p w14:paraId="347DB86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0.29</w:t>
            </w:r>
          </w:p>
        </w:tc>
        <w:tc>
          <w:tcPr>
            <w:tcW w:w="766" w:type="pct"/>
            <w:tcBorders>
              <w:bottom w:val="single" w:sz="4" w:space="0" w:color="auto"/>
            </w:tcBorders>
            <w:vAlign w:val="center"/>
          </w:tcPr>
          <w:p w14:paraId="5617BA7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0.38</w:t>
            </w:r>
          </w:p>
        </w:tc>
        <w:tc>
          <w:tcPr>
            <w:tcW w:w="766" w:type="pct"/>
            <w:tcBorders>
              <w:bottom w:val="single" w:sz="4" w:space="0" w:color="auto"/>
            </w:tcBorders>
            <w:vAlign w:val="center"/>
          </w:tcPr>
          <w:p w14:paraId="6758E4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0.32</w:t>
            </w:r>
          </w:p>
        </w:tc>
        <w:tc>
          <w:tcPr>
            <w:tcW w:w="766" w:type="pct"/>
            <w:tcBorders>
              <w:bottom w:val="single" w:sz="4" w:space="0" w:color="auto"/>
            </w:tcBorders>
            <w:vAlign w:val="center"/>
          </w:tcPr>
          <w:p w14:paraId="5832E1B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0.43</w:t>
            </w:r>
          </w:p>
        </w:tc>
      </w:tr>
    </w:tbl>
    <w:p w14:paraId="12A6C552" w14:textId="48F55406" w:rsidR="00070BAF" w:rsidRPr="00AE0331" w:rsidRDefault="00070BAF" w:rsidP="00592FA5">
      <w:pPr>
        <w:autoSpaceDE w:val="0"/>
        <w:autoSpaceDN w:val="0"/>
        <w:adjustRightInd w:val="0"/>
        <w:snapToGrid w:val="0"/>
        <w:spacing w:line="360" w:lineRule="auto"/>
        <w:jc w:val="both"/>
        <w:rPr>
          <w:rFonts w:ascii="Book Antiqua" w:hAnsi="Book Antiqua"/>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w:t>
      </w:r>
    </w:p>
    <w:p w14:paraId="4586F3AF" w14:textId="39F492C1" w:rsidR="00070BAF" w:rsidRPr="00AE0331" w:rsidRDefault="00070BAF" w:rsidP="00592FA5">
      <w:pPr>
        <w:snapToGrid w:val="0"/>
        <w:spacing w:line="360" w:lineRule="auto"/>
        <w:jc w:val="both"/>
        <w:rPr>
          <w:rFonts w:ascii="Book Antiqua" w:hAnsi="Book Antiqua"/>
          <w:color w:val="000000"/>
          <w:shd w:val="clear" w:color="auto" w:fill="FFFFFF"/>
        </w:rPr>
      </w:pPr>
    </w:p>
    <w:sectPr w:rsidR="00070BAF" w:rsidRPr="00AE0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99C4" w14:textId="77777777" w:rsidR="008319F8" w:rsidRDefault="008319F8" w:rsidP="00E1756C">
      <w:r>
        <w:separator/>
      </w:r>
    </w:p>
  </w:endnote>
  <w:endnote w:type="continuationSeparator" w:id="0">
    <w:p w14:paraId="1A95647B" w14:textId="77777777" w:rsidR="008319F8" w:rsidRDefault="008319F8" w:rsidP="00E1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7EB8" w14:textId="77777777" w:rsidR="00356A6B" w:rsidRPr="00E1756C" w:rsidRDefault="00356A6B" w:rsidP="00E1756C">
    <w:pPr>
      <w:pStyle w:val="a4"/>
      <w:jc w:val="right"/>
      <w:rPr>
        <w:rFonts w:ascii="Book Antiqua" w:hAnsi="Book Antiqua"/>
        <w:sz w:val="24"/>
        <w:szCs w:val="24"/>
      </w:rPr>
    </w:pPr>
    <w:r w:rsidRPr="00E1756C">
      <w:rPr>
        <w:rFonts w:ascii="Book Antiqua" w:hAnsi="Book Antiqua"/>
        <w:sz w:val="24"/>
        <w:szCs w:val="24"/>
        <w:lang w:val="zh-CN" w:eastAsia="zh-CN"/>
      </w:rPr>
      <w:t xml:space="preserve"> </w:t>
    </w:r>
    <w:r w:rsidRPr="00E1756C">
      <w:rPr>
        <w:rFonts w:ascii="Book Antiqua" w:hAnsi="Book Antiqua"/>
        <w:sz w:val="24"/>
        <w:szCs w:val="24"/>
      </w:rPr>
      <w:fldChar w:fldCharType="begin"/>
    </w:r>
    <w:r w:rsidRPr="00E1756C">
      <w:rPr>
        <w:rFonts w:ascii="Book Antiqua" w:hAnsi="Book Antiqua"/>
        <w:sz w:val="24"/>
        <w:szCs w:val="24"/>
      </w:rPr>
      <w:instrText>PAGE  \* Arabic  \* MERGEFORMAT</w:instrText>
    </w:r>
    <w:r w:rsidRPr="00E1756C">
      <w:rPr>
        <w:rFonts w:ascii="Book Antiqua" w:hAnsi="Book Antiqua"/>
        <w:sz w:val="24"/>
        <w:szCs w:val="24"/>
      </w:rPr>
      <w:fldChar w:fldCharType="separate"/>
    </w:r>
    <w:r w:rsidR="003C5A65" w:rsidRPr="003C5A65">
      <w:rPr>
        <w:rFonts w:ascii="Book Antiqua" w:hAnsi="Book Antiqua"/>
        <w:noProof/>
        <w:sz w:val="24"/>
        <w:szCs w:val="24"/>
        <w:lang w:val="zh-CN" w:eastAsia="zh-CN"/>
      </w:rPr>
      <w:t>27</w:t>
    </w:r>
    <w:r w:rsidRPr="00E1756C">
      <w:rPr>
        <w:rFonts w:ascii="Book Antiqua" w:hAnsi="Book Antiqua"/>
        <w:sz w:val="24"/>
        <w:szCs w:val="24"/>
      </w:rPr>
      <w:fldChar w:fldCharType="end"/>
    </w:r>
    <w:r w:rsidRPr="00E1756C">
      <w:rPr>
        <w:rFonts w:ascii="Book Antiqua" w:hAnsi="Book Antiqua"/>
        <w:sz w:val="24"/>
        <w:szCs w:val="24"/>
        <w:lang w:val="zh-CN" w:eastAsia="zh-CN"/>
      </w:rPr>
      <w:t xml:space="preserve"> / </w:t>
    </w:r>
    <w:r w:rsidRPr="00E1756C">
      <w:rPr>
        <w:rFonts w:ascii="Book Antiqua" w:hAnsi="Book Antiqua"/>
        <w:sz w:val="24"/>
        <w:szCs w:val="24"/>
      </w:rPr>
      <w:fldChar w:fldCharType="begin"/>
    </w:r>
    <w:r w:rsidRPr="00E1756C">
      <w:rPr>
        <w:rFonts w:ascii="Book Antiqua" w:hAnsi="Book Antiqua"/>
        <w:sz w:val="24"/>
        <w:szCs w:val="24"/>
      </w:rPr>
      <w:instrText>NUMPAGES  \* Arabic  \* MERGEFORMAT</w:instrText>
    </w:r>
    <w:r w:rsidRPr="00E1756C">
      <w:rPr>
        <w:rFonts w:ascii="Book Antiqua" w:hAnsi="Book Antiqua"/>
        <w:sz w:val="24"/>
        <w:szCs w:val="24"/>
      </w:rPr>
      <w:fldChar w:fldCharType="separate"/>
    </w:r>
    <w:r w:rsidR="003C5A65" w:rsidRPr="003C5A65">
      <w:rPr>
        <w:rFonts w:ascii="Book Antiqua" w:hAnsi="Book Antiqua"/>
        <w:noProof/>
        <w:sz w:val="24"/>
        <w:szCs w:val="24"/>
        <w:lang w:val="zh-CN" w:eastAsia="zh-CN"/>
      </w:rPr>
      <w:t>29</w:t>
    </w:r>
    <w:r w:rsidRPr="00E1756C">
      <w:rPr>
        <w:rFonts w:ascii="Book Antiqua" w:hAnsi="Book Antiqua"/>
        <w:sz w:val="24"/>
        <w:szCs w:val="24"/>
      </w:rPr>
      <w:fldChar w:fldCharType="end"/>
    </w:r>
  </w:p>
  <w:p w14:paraId="7881DB35" w14:textId="77777777" w:rsidR="00356A6B" w:rsidRPr="00E1756C" w:rsidRDefault="00356A6B" w:rsidP="00E1756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4BFF" w14:textId="77777777" w:rsidR="008319F8" w:rsidRDefault="008319F8" w:rsidP="00E1756C">
      <w:r>
        <w:separator/>
      </w:r>
    </w:p>
  </w:footnote>
  <w:footnote w:type="continuationSeparator" w:id="0">
    <w:p w14:paraId="31DDF164" w14:textId="77777777" w:rsidR="008319F8" w:rsidRDefault="008319F8" w:rsidP="00E17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233"/>
    <w:rsid w:val="00060C8B"/>
    <w:rsid w:val="00070BAF"/>
    <w:rsid w:val="00097D55"/>
    <w:rsid w:val="000B0CDB"/>
    <w:rsid w:val="000C4201"/>
    <w:rsid w:val="000D2671"/>
    <w:rsid w:val="00241B2B"/>
    <w:rsid w:val="00266575"/>
    <w:rsid w:val="00316F0B"/>
    <w:rsid w:val="0034112B"/>
    <w:rsid w:val="00356A6B"/>
    <w:rsid w:val="00374675"/>
    <w:rsid w:val="00386736"/>
    <w:rsid w:val="00386D3D"/>
    <w:rsid w:val="003A3EC5"/>
    <w:rsid w:val="003A5832"/>
    <w:rsid w:val="003C2665"/>
    <w:rsid w:val="003C5A65"/>
    <w:rsid w:val="003D0823"/>
    <w:rsid w:val="003F5AFD"/>
    <w:rsid w:val="00445ADC"/>
    <w:rsid w:val="00475941"/>
    <w:rsid w:val="00492744"/>
    <w:rsid w:val="004B5F1D"/>
    <w:rsid w:val="004F7D3B"/>
    <w:rsid w:val="00520861"/>
    <w:rsid w:val="00536780"/>
    <w:rsid w:val="00540F0D"/>
    <w:rsid w:val="00560F9C"/>
    <w:rsid w:val="00564F22"/>
    <w:rsid w:val="00592FA5"/>
    <w:rsid w:val="005A7DA7"/>
    <w:rsid w:val="005C6304"/>
    <w:rsid w:val="00665E42"/>
    <w:rsid w:val="00682851"/>
    <w:rsid w:val="006C151B"/>
    <w:rsid w:val="006D31BB"/>
    <w:rsid w:val="00701F45"/>
    <w:rsid w:val="007061D3"/>
    <w:rsid w:val="00706656"/>
    <w:rsid w:val="007359A9"/>
    <w:rsid w:val="00750A6A"/>
    <w:rsid w:val="00761AA7"/>
    <w:rsid w:val="00785F96"/>
    <w:rsid w:val="007A3FC4"/>
    <w:rsid w:val="007E612A"/>
    <w:rsid w:val="007F7C7E"/>
    <w:rsid w:val="0080550F"/>
    <w:rsid w:val="008319F8"/>
    <w:rsid w:val="008522C0"/>
    <w:rsid w:val="00934829"/>
    <w:rsid w:val="00936525"/>
    <w:rsid w:val="00951402"/>
    <w:rsid w:val="00963698"/>
    <w:rsid w:val="009A57FB"/>
    <w:rsid w:val="009B46A2"/>
    <w:rsid w:val="009B5B4B"/>
    <w:rsid w:val="009D22B2"/>
    <w:rsid w:val="009D2AE5"/>
    <w:rsid w:val="00A0174E"/>
    <w:rsid w:val="00A62A9E"/>
    <w:rsid w:val="00A77B3E"/>
    <w:rsid w:val="00A80C69"/>
    <w:rsid w:val="00AE0331"/>
    <w:rsid w:val="00B442F5"/>
    <w:rsid w:val="00B50D8B"/>
    <w:rsid w:val="00B54AC7"/>
    <w:rsid w:val="00BA0F0E"/>
    <w:rsid w:val="00BC48DA"/>
    <w:rsid w:val="00BE315B"/>
    <w:rsid w:val="00BE5F17"/>
    <w:rsid w:val="00C12F50"/>
    <w:rsid w:val="00C640ED"/>
    <w:rsid w:val="00C8302F"/>
    <w:rsid w:val="00CA2A55"/>
    <w:rsid w:val="00CC2B72"/>
    <w:rsid w:val="00CE1E7B"/>
    <w:rsid w:val="00D56844"/>
    <w:rsid w:val="00D70DCB"/>
    <w:rsid w:val="00D80FFE"/>
    <w:rsid w:val="00D85B66"/>
    <w:rsid w:val="00D865F5"/>
    <w:rsid w:val="00DC445A"/>
    <w:rsid w:val="00DC6C95"/>
    <w:rsid w:val="00DD31DD"/>
    <w:rsid w:val="00DE1DD9"/>
    <w:rsid w:val="00DE5470"/>
    <w:rsid w:val="00E13F4B"/>
    <w:rsid w:val="00E1756C"/>
    <w:rsid w:val="00E304B1"/>
    <w:rsid w:val="00E330A7"/>
    <w:rsid w:val="00E971B1"/>
    <w:rsid w:val="00ED3B22"/>
    <w:rsid w:val="00ED6409"/>
    <w:rsid w:val="00F539A3"/>
    <w:rsid w:val="00F6095E"/>
    <w:rsid w:val="00F84D22"/>
    <w:rsid w:val="00F941FB"/>
    <w:rsid w:val="00FA4111"/>
    <w:rsid w:val="00FC72C7"/>
    <w:rsid w:val="00F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4DC13"/>
  <w15:docId w15:val="{E50EA1ED-F0BD-4B45-9F30-FBDBC2F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E17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56C"/>
    <w:rPr>
      <w:sz w:val="18"/>
      <w:szCs w:val="18"/>
    </w:rPr>
  </w:style>
  <w:style w:type="paragraph" w:styleId="a4">
    <w:name w:val="footer"/>
    <w:basedOn w:val="a"/>
    <w:link w:val="Char0"/>
    <w:uiPriority w:val="99"/>
    <w:unhideWhenUsed/>
    <w:rsid w:val="00E1756C"/>
    <w:pPr>
      <w:tabs>
        <w:tab w:val="center" w:pos="4153"/>
        <w:tab w:val="right" w:pos="8306"/>
      </w:tabs>
      <w:snapToGrid w:val="0"/>
    </w:pPr>
    <w:rPr>
      <w:sz w:val="18"/>
      <w:szCs w:val="18"/>
    </w:rPr>
  </w:style>
  <w:style w:type="character" w:customStyle="1" w:styleId="Char0">
    <w:name w:val="页脚 Char"/>
    <w:basedOn w:val="a0"/>
    <w:link w:val="a4"/>
    <w:uiPriority w:val="99"/>
    <w:rsid w:val="00E1756C"/>
    <w:rPr>
      <w:sz w:val="18"/>
      <w:szCs w:val="18"/>
    </w:rPr>
  </w:style>
  <w:style w:type="paragraph" w:styleId="a5">
    <w:name w:val="Balloon Text"/>
    <w:basedOn w:val="a"/>
    <w:link w:val="Char1"/>
    <w:rsid w:val="00027233"/>
    <w:rPr>
      <w:sz w:val="18"/>
      <w:szCs w:val="18"/>
    </w:rPr>
  </w:style>
  <w:style w:type="character" w:customStyle="1" w:styleId="Char1">
    <w:name w:val="批注框文本 Char"/>
    <w:basedOn w:val="a0"/>
    <w:link w:val="a5"/>
    <w:rsid w:val="00027233"/>
    <w:rPr>
      <w:sz w:val="18"/>
      <w:szCs w:val="18"/>
    </w:rPr>
  </w:style>
  <w:style w:type="character" w:styleId="a6">
    <w:name w:val="Hyperlink"/>
    <w:basedOn w:val="a0"/>
    <w:unhideWhenUsed/>
    <w:rsid w:val="0034112B"/>
    <w:rPr>
      <w:color w:val="0000FF" w:themeColor="hyperlink"/>
      <w:u w:val="single"/>
    </w:rPr>
  </w:style>
  <w:style w:type="character" w:styleId="a7">
    <w:name w:val="annotation reference"/>
    <w:basedOn w:val="a0"/>
    <w:semiHidden/>
    <w:unhideWhenUsed/>
    <w:rsid w:val="00ED6409"/>
    <w:rPr>
      <w:sz w:val="21"/>
      <w:szCs w:val="21"/>
    </w:rPr>
  </w:style>
  <w:style w:type="paragraph" w:styleId="a8">
    <w:name w:val="annotation text"/>
    <w:basedOn w:val="a"/>
    <w:link w:val="Char2"/>
    <w:semiHidden/>
    <w:unhideWhenUsed/>
    <w:rsid w:val="00ED6409"/>
  </w:style>
  <w:style w:type="character" w:customStyle="1" w:styleId="Char2">
    <w:name w:val="批注文字 Char"/>
    <w:basedOn w:val="a0"/>
    <w:link w:val="a8"/>
    <w:semiHidden/>
    <w:rsid w:val="00ED6409"/>
    <w:rPr>
      <w:sz w:val="24"/>
      <w:szCs w:val="24"/>
    </w:rPr>
  </w:style>
  <w:style w:type="paragraph" w:styleId="a9">
    <w:name w:val="annotation subject"/>
    <w:basedOn w:val="a8"/>
    <w:next w:val="a8"/>
    <w:link w:val="Char3"/>
    <w:semiHidden/>
    <w:unhideWhenUsed/>
    <w:rsid w:val="00ED6409"/>
    <w:rPr>
      <w:b/>
      <w:bCs/>
    </w:rPr>
  </w:style>
  <w:style w:type="character" w:customStyle="1" w:styleId="Char3">
    <w:name w:val="批注主题 Char"/>
    <w:basedOn w:val="Char2"/>
    <w:link w:val="a9"/>
    <w:semiHidden/>
    <w:rsid w:val="00ED64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6685</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Tianqi</cp:lastModifiedBy>
  <cp:revision>3</cp:revision>
  <dcterms:created xsi:type="dcterms:W3CDTF">2021-01-15T09:15:00Z</dcterms:created>
  <dcterms:modified xsi:type="dcterms:W3CDTF">2021-01-15T09:27:00Z</dcterms:modified>
</cp:coreProperties>
</file>