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555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Name of Journal: </w:t>
      </w:r>
      <w:r w:rsidRPr="00EA2DA7">
        <w:rPr>
          <w:rFonts w:ascii="Book Antiqua" w:eastAsia="Book Antiqua" w:hAnsi="Book Antiqua" w:cs="Book Antiqua"/>
          <w:i/>
          <w:color w:val="000000"/>
        </w:rPr>
        <w:t>World Journal of Gastroenterology</w:t>
      </w:r>
    </w:p>
    <w:p w14:paraId="1ABE2DCC"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Manuscript NO: </w:t>
      </w:r>
      <w:r w:rsidRPr="00EA2DA7">
        <w:rPr>
          <w:rFonts w:ascii="Book Antiqua" w:eastAsia="Book Antiqua" w:hAnsi="Book Antiqua" w:cs="Book Antiqua"/>
          <w:color w:val="000000"/>
        </w:rPr>
        <w:t>60780</w:t>
      </w:r>
    </w:p>
    <w:p w14:paraId="0CEFA54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Manuscript Type: </w:t>
      </w:r>
      <w:r w:rsidRPr="00EA2DA7">
        <w:rPr>
          <w:rFonts w:ascii="Book Antiqua" w:eastAsia="Book Antiqua" w:hAnsi="Book Antiqua" w:cs="Book Antiqua"/>
          <w:color w:val="000000"/>
        </w:rPr>
        <w:t>ORIGINAL ARTICLE</w:t>
      </w:r>
    </w:p>
    <w:p w14:paraId="60A386A7" w14:textId="77777777" w:rsidR="00053734" w:rsidRPr="00EA2DA7" w:rsidRDefault="00053734" w:rsidP="00EA2DA7">
      <w:pPr>
        <w:spacing w:line="360" w:lineRule="auto"/>
        <w:jc w:val="both"/>
        <w:rPr>
          <w:rFonts w:ascii="Book Antiqua" w:hAnsi="Book Antiqua"/>
        </w:rPr>
      </w:pPr>
    </w:p>
    <w:p w14:paraId="7C719EE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Retrospective Cohort Study</w:t>
      </w:r>
    </w:p>
    <w:p w14:paraId="2DEA6694"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Development and validation of a prognostic model for patients with hepatorenal syndrome: A retrospective cohort study</w:t>
      </w:r>
    </w:p>
    <w:p w14:paraId="146E0114" w14:textId="77777777" w:rsidR="00053734" w:rsidRPr="00EA2DA7" w:rsidRDefault="00053734" w:rsidP="00EA2DA7">
      <w:pPr>
        <w:spacing w:line="360" w:lineRule="auto"/>
        <w:jc w:val="both"/>
        <w:rPr>
          <w:rFonts w:ascii="Book Antiqua" w:hAnsi="Book Antiqua"/>
        </w:rPr>
      </w:pPr>
    </w:p>
    <w:p w14:paraId="5B2C106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Sheng XY </w:t>
      </w:r>
      <w:r w:rsidRPr="00EA2DA7">
        <w:rPr>
          <w:rFonts w:ascii="Book Antiqua" w:eastAsia="Book Antiqua" w:hAnsi="Book Antiqua" w:cs="Book Antiqua"/>
          <w:i/>
          <w:color w:val="000000"/>
        </w:rPr>
        <w:t>et al</w:t>
      </w:r>
      <w:r w:rsidRPr="00EA2DA7">
        <w:rPr>
          <w:rFonts w:ascii="Book Antiqua" w:eastAsia="Book Antiqua" w:hAnsi="Book Antiqua" w:cs="Book Antiqua"/>
          <w:color w:val="000000"/>
        </w:rPr>
        <w:t xml:space="preserve">. Prognostic model for HRS </w:t>
      </w:r>
    </w:p>
    <w:p w14:paraId="447E9C88" w14:textId="77777777" w:rsidR="00053734" w:rsidRPr="00EA2DA7" w:rsidRDefault="00053734" w:rsidP="00EA2DA7">
      <w:pPr>
        <w:spacing w:line="360" w:lineRule="auto"/>
        <w:jc w:val="both"/>
        <w:rPr>
          <w:rFonts w:ascii="Book Antiqua" w:hAnsi="Book Antiqua"/>
        </w:rPr>
      </w:pPr>
    </w:p>
    <w:p w14:paraId="4847E81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Xin-Yu Sheng, Fei-Yan Lin, Jian Wu, Hong-Cui Cao</w:t>
      </w:r>
    </w:p>
    <w:p w14:paraId="099ECC24" w14:textId="77777777" w:rsidR="00053734" w:rsidRPr="00EA2DA7" w:rsidRDefault="00053734" w:rsidP="00EA2DA7">
      <w:pPr>
        <w:spacing w:line="360" w:lineRule="auto"/>
        <w:jc w:val="both"/>
        <w:rPr>
          <w:rFonts w:ascii="Book Antiqua" w:hAnsi="Book Antiqua"/>
        </w:rPr>
      </w:pPr>
    </w:p>
    <w:p w14:paraId="2C0A2D2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Xin-Yu Sheng, Fei-Yan Lin, Jian Wu, Hong-Cui Cao, </w:t>
      </w:r>
      <w:r w:rsidRPr="00EA2DA7">
        <w:rPr>
          <w:rFonts w:ascii="Book Antiqua" w:eastAsia="Book Antiqua" w:hAnsi="Book Antiqua" w:cs="Book Antiqua"/>
          <w:color w:val="000000"/>
        </w:rPr>
        <w:t>State Key Laboratory for Diagnosis and Treatment of Infectious Diseases, The First Affiliated Hospital, Zhejiang University School of Medicine, Hangzhou 310003, Zhejiang Province, China</w:t>
      </w:r>
    </w:p>
    <w:p w14:paraId="1D726A10" w14:textId="77777777" w:rsidR="00053734" w:rsidRPr="00EA2DA7" w:rsidRDefault="00053734" w:rsidP="00EA2DA7">
      <w:pPr>
        <w:spacing w:line="360" w:lineRule="auto"/>
        <w:jc w:val="both"/>
        <w:rPr>
          <w:rFonts w:ascii="Book Antiqua" w:hAnsi="Book Antiqua"/>
        </w:rPr>
      </w:pPr>
    </w:p>
    <w:p w14:paraId="495BB33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Xin-Yu Sheng, Fei-Yan Lin, Jian Wu, Hong-Cui Cao,</w:t>
      </w:r>
      <w:r w:rsidRPr="00EA2DA7">
        <w:rPr>
          <w:rFonts w:ascii="Book Antiqua" w:eastAsia="Book Antiqua" w:hAnsi="Book Antiqua" w:cs="Book Antiqua"/>
          <w:color w:val="000000"/>
        </w:rPr>
        <w:t xml:space="preserve"> National Clinical Research Center for Infectious Diseases, Hangzhou 310003, Zhejiang Province, China</w:t>
      </w:r>
    </w:p>
    <w:p w14:paraId="5DF62E4C" w14:textId="77777777" w:rsidR="00053734" w:rsidRPr="00EA2DA7" w:rsidRDefault="00053734" w:rsidP="00EA2DA7">
      <w:pPr>
        <w:spacing w:line="360" w:lineRule="auto"/>
        <w:jc w:val="both"/>
        <w:rPr>
          <w:rFonts w:ascii="Book Antiqua" w:hAnsi="Book Antiqua"/>
        </w:rPr>
      </w:pPr>
    </w:p>
    <w:p w14:paraId="485B0F19" w14:textId="7BC67921"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Author contributions: </w:t>
      </w:r>
      <w:r w:rsidRPr="00EA2DA7">
        <w:rPr>
          <w:rFonts w:ascii="Book Antiqua" w:eastAsia="Book Antiqua" w:hAnsi="Book Antiqua" w:cs="Book Antiqua"/>
          <w:color w:val="000000"/>
        </w:rPr>
        <w:t xml:space="preserve">Sheng XY designed the research study, </w:t>
      </w:r>
      <w:r w:rsidR="00085AA0">
        <w:rPr>
          <w:rFonts w:ascii="Book Antiqua" w:eastAsia="Book Antiqua" w:hAnsi="Book Antiqua" w:cs="Book Antiqua"/>
          <w:color w:val="000000"/>
        </w:rPr>
        <w:t xml:space="preserve">collected </w:t>
      </w:r>
      <w:r w:rsidRPr="00EA2DA7">
        <w:rPr>
          <w:rFonts w:ascii="Book Antiqua" w:eastAsia="Book Antiqua" w:hAnsi="Book Antiqua" w:cs="Book Antiqua"/>
          <w:color w:val="000000"/>
        </w:rPr>
        <w:t>data, and</w:t>
      </w:r>
      <w:r w:rsidR="00085AA0">
        <w:rPr>
          <w:rFonts w:ascii="Book Antiqua" w:eastAsia="Book Antiqua" w:hAnsi="Book Antiqua" w:cs="Book Antiqua"/>
          <w:color w:val="000000"/>
        </w:rPr>
        <w:t xml:space="preserve"> wrote the</w:t>
      </w:r>
      <w:r w:rsidRPr="00EA2DA7">
        <w:rPr>
          <w:rFonts w:ascii="Book Antiqua" w:eastAsia="Book Antiqua" w:hAnsi="Book Antiqua" w:cs="Book Antiqua"/>
          <w:color w:val="000000"/>
        </w:rPr>
        <w:t xml:space="preserve"> manuscript; Lin FY and Wu J contributed to the analysis</w:t>
      </w:r>
      <w:r w:rsidR="00085AA0">
        <w:rPr>
          <w:rFonts w:ascii="Book Antiqua" w:eastAsia="Book Antiqua" w:hAnsi="Book Antiqua" w:cs="Book Antiqua"/>
          <w:color w:val="000000"/>
        </w:rPr>
        <w:t>,</w:t>
      </w:r>
      <w:r w:rsidRPr="00EA2DA7">
        <w:rPr>
          <w:rFonts w:ascii="Book Antiqua" w:eastAsia="Book Antiqua" w:hAnsi="Book Antiqua" w:cs="Book Antiqua"/>
          <w:color w:val="000000"/>
        </w:rPr>
        <w:t xml:space="preserve"> conception, design, and manuscript writing; and Cao HC con</w:t>
      </w:r>
      <w:r w:rsidR="00085AA0">
        <w:rPr>
          <w:rFonts w:ascii="Book Antiqua" w:eastAsia="Book Antiqua" w:hAnsi="Book Antiqua" w:cs="Book Antiqua"/>
          <w:color w:val="000000"/>
        </w:rPr>
        <w:t>tributed to</w:t>
      </w:r>
      <w:r w:rsidRPr="00EA2DA7">
        <w:rPr>
          <w:rFonts w:ascii="Book Antiqua" w:eastAsia="Book Antiqua" w:hAnsi="Book Antiqua" w:cs="Book Antiqua"/>
          <w:color w:val="000000"/>
        </w:rPr>
        <w:t xml:space="preserve"> the design, study supervision, </w:t>
      </w:r>
      <w:r w:rsidR="00085AA0">
        <w:rPr>
          <w:rFonts w:ascii="Book Antiqua" w:eastAsia="Book Antiqua" w:hAnsi="Book Antiqua" w:cs="Book Antiqua"/>
          <w:color w:val="000000"/>
        </w:rPr>
        <w:t xml:space="preserve">and </w:t>
      </w:r>
      <w:r w:rsidRPr="00EA2DA7">
        <w:rPr>
          <w:rFonts w:ascii="Book Antiqua" w:eastAsia="Book Antiqua" w:hAnsi="Book Antiqua" w:cs="Book Antiqua"/>
          <w:color w:val="000000"/>
        </w:rPr>
        <w:t xml:space="preserve">manuscript writing; </w:t>
      </w:r>
      <w:r w:rsidR="00992F4C">
        <w:rPr>
          <w:rFonts w:ascii="Book Antiqua" w:eastAsia="Book Antiqua" w:hAnsi="Book Antiqua" w:cs="Book Antiqua"/>
          <w:color w:val="000000"/>
        </w:rPr>
        <w:t>A</w:t>
      </w:r>
      <w:r w:rsidRPr="00EA2DA7">
        <w:rPr>
          <w:rFonts w:ascii="Book Antiqua" w:eastAsia="Book Antiqua" w:hAnsi="Book Antiqua" w:cs="Book Antiqua"/>
          <w:color w:val="000000"/>
        </w:rPr>
        <w:t xml:space="preserve">ll authors read and approved the final manuscript. </w:t>
      </w:r>
    </w:p>
    <w:p w14:paraId="685F04BA" w14:textId="77777777" w:rsidR="00053734" w:rsidRPr="00EA2DA7" w:rsidRDefault="00053734" w:rsidP="00EA2DA7">
      <w:pPr>
        <w:spacing w:line="360" w:lineRule="auto"/>
        <w:jc w:val="both"/>
        <w:rPr>
          <w:rFonts w:ascii="Book Antiqua" w:hAnsi="Book Antiqua"/>
        </w:rPr>
      </w:pPr>
    </w:p>
    <w:p w14:paraId="20453AD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Supported by </w:t>
      </w:r>
      <w:r w:rsidRPr="00EA2DA7">
        <w:rPr>
          <w:rFonts w:ascii="Book Antiqua" w:eastAsia="Book Antiqua" w:hAnsi="Book Antiqua" w:cs="Book Antiqua"/>
          <w:color w:val="000000"/>
        </w:rPr>
        <w:t>Chinese High Tech Research &amp; Development (863) Program, No. 2013AA020102.</w:t>
      </w:r>
    </w:p>
    <w:p w14:paraId="1AEE6FAB" w14:textId="77777777" w:rsidR="00053734" w:rsidRPr="00EA2DA7" w:rsidRDefault="00053734" w:rsidP="00EA2DA7">
      <w:pPr>
        <w:spacing w:line="360" w:lineRule="auto"/>
        <w:jc w:val="both"/>
        <w:rPr>
          <w:rFonts w:ascii="Book Antiqua" w:hAnsi="Book Antiqua"/>
        </w:rPr>
      </w:pPr>
    </w:p>
    <w:p w14:paraId="483EC3B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Corresponding author: Hong-Cui Cao, MD, PhD, Professor, </w:t>
      </w:r>
      <w:r w:rsidRPr="00EA2DA7">
        <w:rPr>
          <w:rFonts w:ascii="Book Antiqua" w:eastAsia="Book Antiqua" w:hAnsi="Book Antiqua" w:cs="Book Antiqua"/>
          <w:color w:val="000000"/>
        </w:rPr>
        <w:t xml:space="preserve">State Key Laboratory for Diagnosis and Treatment of Infectious Diseases, The First Affiliated Hospital, Zhejiang </w:t>
      </w:r>
      <w:r w:rsidRPr="00EA2DA7">
        <w:rPr>
          <w:rFonts w:ascii="Book Antiqua" w:eastAsia="Book Antiqua" w:hAnsi="Book Antiqua" w:cs="Book Antiqua"/>
          <w:color w:val="000000"/>
        </w:rPr>
        <w:lastRenderedPageBreak/>
        <w:t>University School of Medicine, No. 79 Qingchun Road, Hangzhou 310003, Zhejiang Province, China. hccao@zju.edu.cn</w:t>
      </w:r>
    </w:p>
    <w:p w14:paraId="2AE83AF3" w14:textId="77777777" w:rsidR="00053734" w:rsidRPr="00EA2DA7" w:rsidRDefault="00053734" w:rsidP="00EA2DA7">
      <w:pPr>
        <w:spacing w:line="360" w:lineRule="auto"/>
        <w:jc w:val="both"/>
        <w:rPr>
          <w:rFonts w:ascii="Book Antiqua" w:hAnsi="Book Antiqua"/>
        </w:rPr>
      </w:pPr>
    </w:p>
    <w:p w14:paraId="2A2A377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Received: </w:t>
      </w:r>
      <w:r w:rsidRPr="00EA2DA7">
        <w:rPr>
          <w:rFonts w:ascii="Book Antiqua" w:eastAsia="Book Antiqua" w:hAnsi="Book Antiqua" w:cs="Book Antiqua"/>
          <w:color w:val="000000"/>
        </w:rPr>
        <w:t>November 13, 2020</w:t>
      </w:r>
    </w:p>
    <w:p w14:paraId="309EE377"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Revised: </w:t>
      </w:r>
      <w:r w:rsidRPr="00EA2DA7">
        <w:rPr>
          <w:rFonts w:ascii="Book Antiqua" w:eastAsia="Book Antiqua" w:hAnsi="Book Antiqua" w:cs="Book Antiqua"/>
          <w:color w:val="000000"/>
        </w:rPr>
        <w:t>February 23, 2021</w:t>
      </w:r>
    </w:p>
    <w:p w14:paraId="5A892325"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Accepted: </w:t>
      </w:r>
      <w:r w:rsidRPr="00EA2DA7">
        <w:rPr>
          <w:rFonts w:ascii="Book Antiqua" w:eastAsia="Book Antiqua" w:hAnsi="Book Antiqua" w:cs="Book Antiqua"/>
          <w:color w:val="000000"/>
        </w:rPr>
        <w:t>April 8, 2021</w:t>
      </w:r>
    </w:p>
    <w:p w14:paraId="5A163741" w14:textId="77777777" w:rsidR="00053734" w:rsidRPr="00EA2DA7" w:rsidRDefault="00721F08" w:rsidP="00EA2DA7">
      <w:pPr>
        <w:spacing w:line="360" w:lineRule="auto"/>
        <w:jc w:val="both"/>
        <w:rPr>
          <w:rFonts w:ascii="Book Antiqua" w:hAnsi="Book Antiqua"/>
        </w:rPr>
        <w:sectPr w:rsidR="00053734" w:rsidRPr="00EA2DA7" w:rsidSect="00EA2DA7">
          <w:footerReference w:type="default" r:id="rId6"/>
          <w:type w:val="continuous"/>
          <w:pgSz w:w="12240" w:h="15840"/>
          <w:pgMar w:top="1440" w:right="1440" w:bottom="1440" w:left="1440" w:header="720" w:footer="720" w:gutter="0"/>
          <w:pgNumType w:start="1"/>
          <w:cols w:space="720"/>
          <w:docGrid w:linePitch="326"/>
        </w:sectPr>
      </w:pPr>
      <w:r w:rsidRPr="00EA2DA7">
        <w:rPr>
          <w:rFonts w:ascii="Book Antiqua" w:eastAsia="Book Antiqua" w:hAnsi="Book Antiqua" w:cs="Book Antiqua"/>
          <w:b/>
          <w:color w:val="000000"/>
        </w:rPr>
        <w:t xml:space="preserve">Published online: </w:t>
      </w:r>
    </w:p>
    <w:p w14:paraId="27FC9EC4" w14:textId="77777777" w:rsidR="00085AA0" w:rsidRDefault="00085AA0">
      <w:pPr>
        <w:rPr>
          <w:rFonts w:ascii="Book Antiqua" w:eastAsia="Book Antiqua" w:hAnsi="Book Antiqua" w:cs="Book Antiqua"/>
          <w:b/>
          <w:color w:val="000000"/>
        </w:rPr>
      </w:pPr>
      <w:r>
        <w:rPr>
          <w:rFonts w:ascii="Book Antiqua" w:eastAsia="Book Antiqua" w:hAnsi="Book Antiqua" w:cs="Book Antiqua"/>
          <w:b/>
          <w:color w:val="000000"/>
        </w:rPr>
        <w:br w:type="page"/>
      </w:r>
    </w:p>
    <w:p w14:paraId="21529946" w14:textId="366DA91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lastRenderedPageBreak/>
        <w:t>Abstract</w:t>
      </w:r>
    </w:p>
    <w:p w14:paraId="78CED20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BACKGROUND</w:t>
      </w:r>
    </w:p>
    <w:p w14:paraId="315CD201" w14:textId="0603F445"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Hepatorenal syndrome (HRS) is a severe complication of cirrhosis with high mortality</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which necessitates accurate clinical decision. However, studies on prognostic factors and scoring systems to predict overall survival of HRS are not enough. Meanwhile, a multicenter cohort study with </w:t>
      </w:r>
      <w:r>
        <w:rPr>
          <w:rFonts w:ascii="Book Antiqua" w:eastAsia="Book Antiqua" w:hAnsi="Book Antiqua" w:cs="Book Antiqua"/>
          <w:color w:val="000000"/>
        </w:rPr>
        <w:t xml:space="preserve">a </w:t>
      </w:r>
      <w:r w:rsidRPr="00EA2DA7">
        <w:rPr>
          <w:rFonts w:ascii="Book Antiqua" w:eastAsia="Book Antiqua" w:hAnsi="Book Antiqua" w:cs="Book Antiqua"/>
          <w:color w:val="000000"/>
        </w:rPr>
        <w:t>long span of time could be more convincing.</w:t>
      </w:r>
    </w:p>
    <w:p w14:paraId="50F13A51" w14:textId="77777777" w:rsidR="00053734" w:rsidRPr="00EA2DA7" w:rsidRDefault="00053734" w:rsidP="00EA2DA7">
      <w:pPr>
        <w:spacing w:line="360" w:lineRule="auto"/>
        <w:jc w:val="both"/>
        <w:rPr>
          <w:rFonts w:ascii="Book Antiqua" w:hAnsi="Book Antiqua"/>
        </w:rPr>
      </w:pPr>
    </w:p>
    <w:p w14:paraId="515719F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AIM</w:t>
      </w:r>
    </w:p>
    <w:p w14:paraId="158C82E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To develop a novel and effective prognostic model for patients with HRS and clarify new prognostic factors. </w:t>
      </w:r>
    </w:p>
    <w:p w14:paraId="4A85E3A1" w14:textId="77777777" w:rsidR="00053734" w:rsidRPr="00EA2DA7" w:rsidRDefault="00053734" w:rsidP="00EA2DA7">
      <w:pPr>
        <w:spacing w:line="360" w:lineRule="auto"/>
        <w:jc w:val="both"/>
        <w:rPr>
          <w:rFonts w:ascii="Book Antiqua" w:hAnsi="Book Antiqua"/>
        </w:rPr>
      </w:pPr>
    </w:p>
    <w:p w14:paraId="0D7A74ED"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METHODS</w:t>
      </w:r>
    </w:p>
    <w:p w14:paraId="2DE46EFB" w14:textId="6FBD8BE2"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We retrospectively enrolled 1667 patients from </w:t>
      </w:r>
      <w:r>
        <w:rPr>
          <w:rFonts w:ascii="Book Antiqua" w:eastAsia="Book Antiqua" w:hAnsi="Book Antiqua" w:cs="Book Antiqua"/>
          <w:color w:val="000000"/>
        </w:rPr>
        <w:t>four</w:t>
      </w:r>
      <w:r w:rsidRPr="00EA2DA7">
        <w:rPr>
          <w:rFonts w:ascii="Book Antiqua" w:eastAsia="Book Antiqua" w:hAnsi="Book Antiqua" w:cs="Book Antiqua"/>
          <w:color w:val="000000"/>
        </w:rPr>
        <w:t xml:space="preserve"> hospitals</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and 371 eligible patients were finally analyzed to develop and validate a novel prognostic model for patients with HRS. Characteristics were compared between survivors and non-survivors</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and potential prognostic factors were selected according to the impact on 28-d mortality. Accuracy in predicting 28-d mortality was compared between the novel and other scoring systems, including Model for End-Stage Liver Disease (MELD), Chronic Liver Failure-Sequential Organ Failure Assessment (CLIF-SOFA)</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and Chinese Group on the Study of Severe Hepatitis B-Acute-on-Chronic Liver Failure (COSSH-ACLF). </w:t>
      </w:r>
    </w:p>
    <w:p w14:paraId="2F826695" w14:textId="77777777" w:rsidR="00053734" w:rsidRPr="00EA2DA7" w:rsidRDefault="00053734" w:rsidP="00EA2DA7">
      <w:pPr>
        <w:spacing w:line="360" w:lineRule="auto"/>
        <w:jc w:val="both"/>
        <w:rPr>
          <w:rFonts w:ascii="Book Antiqua" w:hAnsi="Book Antiqua"/>
        </w:rPr>
      </w:pPr>
    </w:p>
    <w:p w14:paraId="38A61BF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RESULTS</w:t>
      </w:r>
    </w:p>
    <w:p w14:paraId="578C01FD" w14:textId="0863E714"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Five prognostic factors, compris</w:t>
      </w:r>
      <w:r>
        <w:rPr>
          <w:rFonts w:ascii="Book Antiqua" w:eastAsia="Book Antiqua" w:hAnsi="Book Antiqua" w:cs="Book Antiqua"/>
          <w:color w:val="000000"/>
        </w:rPr>
        <w:t>ed of</w:t>
      </w:r>
      <w:r w:rsidRPr="00EA2DA7">
        <w:rPr>
          <w:rFonts w:ascii="Book Antiqua" w:eastAsia="Book Antiqua" w:hAnsi="Book Antiqua" w:cs="Book Antiqua"/>
          <w:color w:val="000000"/>
        </w:rPr>
        <w:t xml:space="preserve"> gender, international normalized ratio, mean corpuscular hemoglobin concentration, neutrophil percentage, and stage, were integrated into a new score, GIMNS; stage is a binary variable defined by the number of failed organs. GIMNS was positively correlated with MELD, CLIF-SOFA</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Additionally, it had better accuracy [area under the receiver operating characteristic curve (AUROC): 0.830] than MELD (AUROC: 0.759), CLIF-SOFA (AUROC: 0.767)</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(AUROC: 0.759) in the derivation cohort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w:t>
      </w:r>
      <w:r>
        <w:rPr>
          <w:rFonts w:ascii="Book Antiqua" w:eastAsia="Book Antiqua" w:hAnsi="Book Antiqua" w:cs="Book Antiqua"/>
          <w:color w:val="000000"/>
        </w:rPr>
        <w:t>.</w:t>
      </w:r>
      <w:r w:rsidRPr="00EA2DA7">
        <w:rPr>
          <w:rFonts w:ascii="Book Antiqua" w:eastAsia="Book Antiqua" w:hAnsi="Book Antiqua" w:cs="Book Antiqua"/>
          <w:color w:val="000000"/>
        </w:rPr>
        <w:t xml:space="preserve"> </w:t>
      </w:r>
      <w:r>
        <w:rPr>
          <w:rFonts w:ascii="Book Antiqua" w:eastAsia="Book Antiqua" w:hAnsi="Book Antiqua" w:cs="Book Antiqua"/>
          <w:color w:val="000000"/>
        </w:rPr>
        <w:t>I</w:t>
      </w:r>
      <w:r w:rsidRPr="00EA2DA7">
        <w:rPr>
          <w:rFonts w:ascii="Book Antiqua" w:eastAsia="Book Antiqua" w:hAnsi="Book Antiqua" w:cs="Book Antiqua"/>
          <w:color w:val="000000"/>
        </w:rPr>
        <w:t xml:space="preserve">t </w:t>
      </w:r>
      <w:r w:rsidRPr="00EA2DA7">
        <w:rPr>
          <w:rFonts w:ascii="Book Antiqua" w:eastAsia="Book Antiqua" w:hAnsi="Book Antiqua" w:cs="Book Antiqua"/>
          <w:color w:val="000000"/>
        </w:rPr>
        <w:lastRenderedPageBreak/>
        <w:t>performed better than MELD and CLIF-SOFA in the validation cohort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0.050) and had a higher AUROC than COSSH-ACLF (</w:t>
      </w:r>
      <w:r w:rsidRPr="00EA2DA7">
        <w:rPr>
          <w:rFonts w:ascii="Book Antiqua" w:eastAsia="Book Antiqua" w:hAnsi="Book Antiqua" w:cs="Book Antiqua"/>
          <w:i/>
          <w:color w:val="000000"/>
        </w:rPr>
        <w:t xml:space="preserve">P </w:t>
      </w:r>
      <w:r w:rsidRPr="00EA2DA7">
        <w:rPr>
          <w:rFonts w:ascii="Book Antiqua" w:eastAsia="Book Antiqua" w:hAnsi="Book Antiqua" w:cs="Book Antiqua"/>
          <w:color w:val="000000"/>
        </w:rPr>
        <w:t>= 0.122).</w:t>
      </w:r>
    </w:p>
    <w:p w14:paraId="31351B48" w14:textId="77777777" w:rsidR="00053734" w:rsidRPr="00EA2DA7" w:rsidRDefault="00053734" w:rsidP="00EA2DA7">
      <w:pPr>
        <w:spacing w:line="360" w:lineRule="auto"/>
        <w:jc w:val="both"/>
        <w:rPr>
          <w:rFonts w:ascii="Book Antiqua" w:hAnsi="Book Antiqua"/>
        </w:rPr>
      </w:pPr>
    </w:p>
    <w:p w14:paraId="5D6460DC"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CONCLUSION</w:t>
      </w:r>
    </w:p>
    <w:p w14:paraId="6EE4D19A" w14:textId="4A56BE42"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We have developed a new scoring system, GIMNS, to predict 28-d mortality of HRS patients. </w:t>
      </w:r>
      <w:r w:rsidR="00610DA0">
        <w:rPr>
          <w:rFonts w:ascii="Book Antiqua" w:eastAsia="Book Antiqua" w:hAnsi="Book Antiqua" w:cs="Book Antiqua"/>
          <w:color w:val="000000"/>
        </w:rPr>
        <w:t>M</w:t>
      </w:r>
      <w:r w:rsidRPr="00EA2DA7">
        <w:rPr>
          <w:rFonts w:ascii="Book Antiqua" w:eastAsia="Book Antiqua" w:hAnsi="Book Antiqua" w:cs="Book Antiqua"/>
          <w:color w:val="000000"/>
        </w:rPr>
        <w:t xml:space="preserve">ean corpuscular hemoglobin concentration and stage </w:t>
      </w:r>
      <w:r w:rsidR="00610DA0">
        <w:rPr>
          <w:rFonts w:ascii="Book Antiqua" w:eastAsia="Book Antiqua" w:hAnsi="Book Antiqua" w:cs="Book Antiqua"/>
          <w:color w:val="000000"/>
        </w:rPr>
        <w:t>we</w:t>
      </w:r>
      <w:r w:rsidRPr="00EA2DA7">
        <w:rPr>
          <w:rFonts w:ascii="Book Antiqua" w:eastAsia="Book Antiqua" w:hAnsi="Book Antiqua" w:cs="Book Antiqua"/>
          <w:color w:val="000000"/>
        </w:rPr>
        <w:t xml:space="preserve">re first proposed and found to be related to the mortality of HRS. Additionally, </w:t>
      </w:r>
      <w:r w:rsidR="00322BA3">
        <w:rPr>
          <w:rFonts w:ascii="Book Antiqua" w:eastAsia="Book Antiqua" w:hAnsi="Book Antiqua" w:cs="Book Antiqua"/>
          <w:color w:val="000000"/>
        </w:rPr>
        <w:t xml:space="preserve">the </w:t>
      </w:r>
      <w:r w:rsidRPr="00EA2DA7">
        <w:rPr>
          <w:rFonts w:ascii="Book Antiqua" w:eastAsia="Book Antiqua" w:hAnsi="Book Antiqua" w:cs="Book Antiqua"/>
          <w:color w:val="000000"/>
        </w:rPr>
        <w:t>GIMNS score show</w:t>
      </w:r>
      <w:r w:rsidR="00610DA0">
        <w:rPr>
          <w:rFonts w:ascii="Book Antiqua" w:eastAsia="Book Antiqua" w:hAnsi="Book Antiqua" w:cs="Book Antiqua"/>
          <w:color w:val="000000"/>
        </w:rPr>
        <w:t>ed</w:t>
      </w:r>
      <w:r w:rsidRPr="00EA2DA7">
        <w:rPr>
          <w:rFonts w:ascii="Book Antiqua" w:eastAsia="Book Antiqua" w:hAnsi="Book Antiqua" w:cs="Book Antiqua"/>
          <w:color w:val="000000"/>
        </w:rPr>
        <w:t xml:space="preserve"> better accuracy than MELD and CLIF-SOFA, and </w:t>
      </w:r>
      <w:r w:rsidR="00610DA0">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AUROC </w:t>
      </w:r>
      <w:r w:rsidR="00610DA0">
        <w:rPr>
          <w:rFonts w:ascii="Book Antiqua" w:eastAsia="Book Antiqua" w:hAnsi="Book Antiqua" w:cs="Book Antiqua"/>
          <w:color w:val="000000"/>
        </w:rPr>
        <w:t>wa</w:t>
      </w:r>
      <w:r w:rsidRPr="00EA2DA7">
        <w:rPr>
          <w:rFonts w:ascii="Book Antiqua" w:eastAsia="Book Antiqua" w:hAnsi="Book Antiqua" w:cs="Book Antiqua"/>
          <w:color w:val="000000"/>
        </w:rPr>
        <w:t>s higher than that of COSSH-ACLF.</w:t>
      </w:r>
    </w:p>
    <w:p w14:paraId="5B4A008C" w14:textId="77777777" w:rsidR="00053734" w:rsidRPr="00EA2DA7" w:rsidRDefault="00053734" w:rsidP="00EA2DA7">
      <w:pPr>
        <w:spacing w:line="360" w:lineRule="auto"/>
        <w:jc w:val="both"/>
        <w:rPr>
          <w:rFonts w:ascii="Book Antiqua" w:hAnsi="Book Antiqua"/>
        </w:rPr>
      </w:pPr>
    </w:p>
    <w:p w14:paraId="4103E196"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Key Words: </w:t>
      </w:r>
      <w:r w:rsidRPr="00EA2DA7">
        <w:rPr>
          <w:rFonts w:ascii="Book Antiqua" w:eastAsia="Book Antiqua" w:hAnsi="Book Antiqua" w:cs="Book Antiqua"/>
          <w:color w:val="000000"/>
        </w:rPr>
        <w:t>Hepatorenal syndrome; Prognostic factor; Mean corpuscular hemoglobin concentration; Mortality; Scoring system; Cohort study</w:t>
      </w:r>
    </w:p>
    <w:p w14:paraId="4CF21274" w14:textId="77777777" w:rsidR="00053734" w:rsidRPr="00EA2DA7" w:rsidRDefault="00053734" w:rsidP="00EA2DA7">
      <w:pPr>
        <w:spacing w:line="360" w:lineRule="auto"/>
        <w:jc w:val="both"/>
        <w:rPr>
          <w:rFonts w:ascii="Book Antiqua" w:hAnsi="Book Antiqua"/>
        </w:rPr>
      </w:pPr>
    </w:p>
    <w:p w14:paraId="7DBAD99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Sheng XY, Lin FY, Wu J, Cao HC. Development and validation of a prognostic model for patients with hepatorenal syndrome: A retrospective cohort study. </w:t>
      </w:r>
      <w:r w:rsidRPr="00EA2DA7">
        <w:rPr>
          <w:rFonts w:ascii="Book Antiqua" w:eastAsia="Book Antiqua" w:hAnsi="Book Antiqua" w:cs="Book Antiqua"/>
          <w:i/>
          <w:color w:val="000000"/>
        </w:rPr>
        <w:t>World J Gastroenterol</w:t>
      </w:r>
      <w:r w:rsidRPr="00EA2DA7">
        <w:rPr>
          <w:rFonts w:ascii="Book Antiqua" w:eastAsia="Book Antiqua" w:hAnsi="Book Antiqua" w:cs="Book Antiqua"/>
          <w:color w:val="000000"/>
        </w:rPr>
        <w:t xml:space="preserve"> 2021; In press</w:t>
      </w:r>
    </w:p>
    <w:p w14:paraId="043B1DFA" w14:textId="77777777" w:rsidR="00053734" w:rsidRPr="00EA2DA7" w:rsidRDefault="00053734" w:rsidP="00EA2DA7">
      <w:pPr>
        <w:spacing w:line="360" w:lineRule="auto"/>
        <w:jc w:val="both"/>
        <w:rPr>
          <w:rFonts w:ascii="Book Antiqua" w:hAnsi="Book Antiqua"/>
        </w:rPr>
      </w:pPr>
    </w:p>
    <w:p w14:paraId="6AF9AD4D" w14:textId="75D9F910" w:rsidR="00610DA0" w:rsidRDefault="00721F08" w:rsidP="00EA2DA7">
      <w:pPr>
        <w:spacing w:line="360" w:lineRule="auto"/>
        <w:jc w:val="both"/>
        <w:rPr>
          <w:rFonts w:ascii="Book Antiqua" w:eastAsia="Book Antiqua" w:hAnsi="Book Antiqua" w:cs="Book Antiqua"/>
          <w:color w:val="000000"/>
        </w:rPr>
      </w:pPr>
      <w:r w:rsidRPr="00EA2DA7">
        <w:rPr>
          <w:rFonts w:ascii="Book Antiqua" w:eastAsia="Book Antiqua" w:hAnsi="Book Antiqua" w:cs="Book Antiqua"/>
          <w:b/>
          <w:color w:val="000000"/>
        </w:rPr>
        <w:t xml:space="preserve">Core Tip: </w:t>
      </w:r>
      <w:r w:rsidRPr="00EA2DA7">
        <w:rPr>
          <w:rFonts w:ascii="Book Antiqua" w:eastAsia="Book Antiqua" w:hAnsi="Book Antiqua" w:cs="Book Antiqua"/>
          <w:color w:val="000000"/>
        </w:rPr>
        <w:t>This multicenter retrospective cohort study investigated the prognostic factors for patients with hepatorenal syndrome and developed a novel prognostic model, named GIMNS. GIMNS contains five prognostic factors, compris</w:t>
      </w:r>
      <w:r w:rsidR="00610DA0">
        <w:rPr>
          <w:rFonts w:ascii="Book Antiqua" w:eastAsia="Book Antiqua" w:hAnsi="Book Antiqua" w:cs="Book Antiqua"/>
          <w:color w:val="000000"/>
        </w:rPr>
        <w:t>ed of</w:t>
      </w:r>
      <w:r w:rsidRPr="00EA2DA7">
        <w:rPr>
          <w:rFonts w:ascii="Book Antiqua" w:eastAsia="Book Antiqua" w:hAnsi="Book Antiqua" w:cs="Book Antiqua"/>
          <w:color w:val="000000"/>
        </w:rPr>
        <w:t xml:space="preserve"> gender, international normalized ratio, mean corpuscular hemoglobin concentration, neutrophil percentage, and stage, which had different expression levels between survivors and non-survivors. Stage, defined according to the number of organ failures and </w:t>
      </w:r>
      <w:r w:rsidR="00610DA0" w:rsidRPr="00EA2DA7">
        <w:rPr>
          <w:rFonts w:ascii="Book Antiqua" w:eastAsia="Book Antiqua" w:hAnsi="Book Antiqua" w:cs="Book Antiqua"/>
          <w:color w:val="000000"/>
        </w:rPr>
        <w:t>mean corpuscular hemoglobin concentration</w:t>
      </w:r>
      <w:r w:rsidR="00610DA0">
        <w:rPr>
          <w:rFonts w:ascii="Book Antiqua" w:eastAsia="Book Antiqua" w:hAnsi="Book Antiqua" w:cs="Book Antiqua"/>
          <w:color w:val="000000"/>
        </w:rPr>
        <w:t>,</w:t>
      </w:r>
      <w:r w:rsidRPr="00EA2DA7">
        <w:rPr>
          <w:rFonts w:ascii="Book Antiqua" w:eastAsia="Book Antiqua" w:hAnsi="Book Antiqua" w:cs="Book Antiqua"/>
          <w:color w:val="000000"/>
        </w:rPr>
        <w:t xml:space="preserve"> w</w:t>
      </w:r>
      <w:r w:rsidR="00610DA0">
        <w:rPr>
          <w:rFonts w:ascii="Book Antiqua" w:eastAsia="Book Antiqua" w:hAnsi="Book Antiqua" w:cs="Book Antiqua"/>
          <w:color w:val="000000"/>
        </w:rPr>
        <w:t>as</w:t>
      </w:r>
      <w:r w:rsidRPr="00EA2DA7">
        <w:rPr>
          <w:rFonts w:ascii="Book Antiqua" w:eastAsia="Book Antiqua" w:hAnsi="Book Antiqua" w:cs="Book Antiqua"/>
          <w:color w:val="000000"/>
        </w:rPr>
        <w:t xml:space="preserve"> found to be</w:t>
      </w:r>
      <w:r w:rsidR="00610DA0">
        <w:rPr>
          <w:rFonts w:ascii="Book Antiqua" w:eastAsia="Book Antiqua" w:hAnsi="Book Antiqua" w:cs="Book Antiqua"/>
          <w:color w:val="000000"/>
        </w:rPr>
        <w:t xml:space="preserve"> an</w:t>
      </w:r>
      <w:r w:rsidRPr="00EA2DA7">
        <w:rPr>
          <w:rFonts w:ascii="Book Antiqua" w:eastAsia="Book Antiqua" w:hAnsi="Book Antiqua" w:cs="Book Antiqua"/>
          <w:color w:val="000000"/>
        </w:rPr>
        <w:t xml:space="preserve"> effective prognostic factor for the first time. The area under the operating characteristic curve reached 0.830 for 28-d mortality. </w:t>
      </w:r>
      <w:r w:rsidR="00610DA0">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GIMNS score showed better accuracy than Model for End-Stage Liver Disease, Chronic Liver Failure-Sequential Organ Failure Assessment, and Chinese Group on the Study of Severe Hepatitis B-Acute-on-Chronic Liver Failure. </w:t>
      </w:r>
    </w:p>
    <w:p w14:paraId="70936CFE" w14:textId="77777777" w:rsidR="00610DA0" w:rsidRDefault="00610DA0">
      <w:pPr>
        <w:rPr>
          <w:rFonts w:ascii="Book Antiqua" w:eastAsia="Book Antiqua" w:hAnsi="Book Antiqua" w:cs="Book Antiqua"/>
          <w:color w:val="000000"/>
        </w:rPr>
      </w:pPr>
      <w:r>
        <w:rPr>
          <w:rFonts w:ascii="Book Antiqua" w:eastAsia="Book Antiqua" w:hAnsi="Book Antiqua" w:cs="Book Antiqua"/>
          <w:color w:val="000000"/>
        </w:rPr>
        <w:br w:type="page"/>
      </w:r>
    </w:p>
    <w:p w14:paraId="78F45870"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lastRenderedPageBreak/>
        <w:t>INTRODUCTION</w:t>
      </w:r>
    </w:p>
    <w:p w14:paraId="50F1CB9B" w14:textId="03ABD8DE"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Hepatorenal syndrome (HRS) is a severe complication of cirrhosis characterized by increased splanchnic blood flow and rapid kidney dysfunction excluding other reasons</w:t>
      </w:r>
      <w:r w:rsidRPr="00EA2DA7">
        <w:rPr>
          <w:rFonts w:ascii="Book Antiqua" w:eastAsia="Book Antiqua" w:hAnsi="Book Antiqua" w:cs="Book Antiqua"/>
          <w:color w:val="000000"/>
          <w:vertAlign w:val="superscript"/>
        </w:rPr>
        <w:t>[1]</w:t>
      </w:r>
      <w:r w:rsidRPr="00EA2DA7">
        <w:rPr>
          <w:rFonts w:ascii="Book Antiqua" w:eastAsia="Book Antiqua" w:hAnsi="Book Antiqua" w:cs="Book Antiqua"/>
          <w:color w:val="000000"/>
        </w:rPr>
        <w:t>. It has high mortality within 2 wk</w:t>
      </w:r>
      <w:r w:rsidR="005C3F65">
        <w:rPr>
          <w:rFonts w:ascii="Book Antiqua" w:eastAsia="Book Antiqua" w:hAnsi="Book Antiqua" w:cs="Book Antiqua"/>
          <w:color w:val="000000"/>
        </w:rPr>
        <w:t>,</w:t>
      </w:r>
      <w:r w:rsidRPr="00EA2DA7">
        <w:rPr>
          <w:rFonts w:ascii="Book Antiqua" w:eastAsia="Book Antiqua" w:hAnsi="Book Antiqua" w:cs="Book Antiqua"/>
          <w:color w:val="000000"/>
        </w:rPr>
        <w:t xml:space="preserve"> and the most effective treatment is liver transplantation</w:t>
      </w:r>
      <w:r w:rsidR="005C3F65">
        <w:rPr>
          <w:rFonts w:ascii="Book Antiqua" w:eastAsia="Book Antiqua" w:hAnsi="Book Antiqua" w:cs="Book Antiqua"/>
          <w:color w:val="000000"/>
        </w:rPr>
        <w:t>,</w:t>
      </w:r>
      <w:r w:rsidRPr="00EA2DA7">
        <w:rPr>
          <w:rFonts w:ascii="Book Antiqua" w:eastAsia="Book Antiqua" w:hAnsi="Book Antiqua" w:cs="Book Antiqua"/>
          <w:color w:val="000000"/>
        </w:rPr>
        <w:t xml:space="preserve"> either liver only or simultaneous liver–kidney transplantation. Although pharmacological therapy, mainly vasoconstrictive (terlipressin or norepinephrine) plus albumin, can improve kidney function, it may make no difference to the percentage of patients who die or develop serious complications or the percentage of complications of any severity</w:t>
      </w:r>
      <w:r w:rsidRPr="00EA2DA7">
        <w:rPr>
          <w:rFonts w:ascii="Book Antiqua" w:eastAsia="Book Antiqua" w:hAnsi="Book Antiqua" w:cs="Book Antiqua"/>
          <w:color w:val="000000"/>
          <w:vertAlign w:val="superscript"/>
        </w:rPr>
        <w:t>[2]</w:t>
      </w:r>
      <w:r w:rsidRPr="00EA2DA7">
        <w:rPr>
          <w:rFonts w:ascii="Book Antiqua" w:eastAsia="Book Antiqua" w:hAnsi="Book Antiqua" w:cs="Book Antiqua"/>
          <w:color w:val="000000"/>
        </w:rPr>
        <w:t>. A retrospective study demonstrated that with present medical tools, there is still significantly high mortality in HRS despite guideline-based treatment</w:t>
      </w:r>
      <w:r w:rsidRPr="00EA2DA7">
        <w:rPr>
          <w:rFonts w:ascii="Book Antiqua" w:eastAsia="Book Antiqua" w:hAnsi="Book Antiqua" w:cs="Book Antiqua"/>
          <w:color w:val="000000"/>
          <w:vertAlign w:val="superscript"/>
        </w:rPr>
        <w:t>[3]</w:t>
      </w:r>
      <w:r w:rsidRPr="00EA2DA7">
        <w:rPr>
          <w:rFonts w:ascii="Book Antiqua" w:eastAsia="Book Antiqua" w:hAnsi="Book Antiqua" w:cs="Book Antiqua"/>
          <w:color w:val="000000"/>
        </w:rPr>
        <w:t>. According to another, single</w:t>
      </w:r>
      <w:r w:rsidR="005C3F65">
        <w:rPr>
          <w:rFonts w:ascii="Book Antiqua" w:eastAsia="Book Antiqua" w:hAnsi="Book Antiqua" w:cs="Book Antiqua"/>
          <w:color w:val="000000"/>
        </w:rPr>
        <w:t xml:space="preserve"> </w:t>
      </w:r>
      <w:r w:rsidRPr="00EA2DA7">
        <w:rPr>
          <w:rFonts w:ascii="Book Antiqua" w:eastAsia="Book Antiqua" w:hAnsi="Book Antiqua" w:cs="Book Antiqua"/>
          <w:color w:val="000000"/>
        </w:rPr>
        <w:t>center study, occurrence of HRS is associated with a significantly worse outcome after living donor liver transplantation</w:t>
      </w:r>
      <w:r w:rsidRPr="00EA2DA7">
        <w:rPr>
          <w:rFonts w:ascii="Book Antiqua" w:eastAsia="Book Antiqua" w:hAnsi="Book Antiqua" w:cs="Book Antiqua"/>
          <w:color w:val="000000"/>
          <w:vertAlign w:val="superscript"/>
        </w:rPr>
        <w:t>[4]</w:t>
      </w:r>
      <w:r w:rsidRPr="00EA2DA7">
        <w:rPr>
          <w:rFonts w:ascii="Book Antiqua" w:eastAsia="Book Antiqua" w:hAnsi="Book Antiqua" w:cs="Book Antiqua"/>
          <w:color w:val="000000"/>
        </w:rPr>
        <w:t>. The focus of current HRS research is mainly on diagnosis and treatment, and there has been only a small number of studies on the prognosis of HRS. Thus, it is critical to develop a predictive too</w:t>
      </w:r>
      <w:r w:rsidR="005C3F65">
        <w:rPr>
          <w:rFonts w:ascii="Book Antiqua" w:eastAsia="Book Antiqua" w:hAnsi="Book Antiqua" w:cs="Book Antiqua"/>
          <w:color w:val="000000"/>
        </w:rPr>
        <w:t>l</w:t>
      </w:r>
      <w:r w:rsidRPr="00EA2DA7">
        <w:rPr>
          <w:rFonts w:ascii="Book Antiqua" w:eastAsia="Book Antiqua" w:hAnsi="Book Antiqua" w:cs="Book Antiqua"/>
          <w:color w:val="000000"/>
        </w:rPr>
        <w:t xml:space="preserve"> to predict the mortality of HRS</w:t>
      </w:r>
      <w:r w:rsidR="005C3F65">
        <w:rPr>
          <w:rFonts w:ascii="Book Antiqua" w:eastAsia="Book Antiqua" w:hAnsi="Book Antiqua" w:cs="Book Antiqua"/>
          <w:color w:val="000000"/>
        </w:rPr>
        <w:t xml:space="preserve"> and</w:t>
      </w:r>
      <w:r w:rsidRPr="00EA2DA7">
        <w:rPr>
          <w:rFonts w:ascii="Book Antiqua" w:eastAsia="Book Antiqua" w:hAnsi="Book Antiqua" w:cs="Book Antiqua"/>
          <w:color w:val="000000"/>
        </w:rPr>
        <w:t xml:space="preserve"> to manage liver graft allocation on waiting lists. </w:t>
      </w:r>
    </w:p>
    <w:p w14:paraId="671CCA27" w14:textId="518B7978"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A prospective study has demonstrated that age, serum bilirubin</w:t>
      </w:r>
      <w:r w:rsidR="005C3F65">
        <w:rPr>
          <w:rFonts w:ascii="Book Antiqua" w:eastAsia="Book Antiqua" w:hAnsi="Book Antiqua" w:cs="Book Antiqua"/>
          <w:color w:val="000000"/>
        </w:rPr>
        <w:t>,</w:t>
      </w:r>
      <w:r w:rsidRPr="00EA2DA7">
        <w:rPr>
          <w:rFonts w:ascii="Book Antiqua" w:eastAsia="Book Antiqua" w:hAnsi="Book Antiqua" w:cs="Book Antiqua"/>
          <w:color w:val="000000"/>
        </w:rPr>
        <w:t xml:space="preserve"> and no reversal of creatinine after volume expansion independently predict mortality</w:t>
      </w:r>
      <w:r w:rsidRPr="00EA2DA7">
        <w:rPr>
          <w:rFonts w:ascii="Book Antiqua" w:eastAsia="Book Antiqua" w:hAnsi="Book Antiqua" w:cs="Book Antiqua"/>
          <w:color w:val="000000"/>
          <w:vertAlign w:val="superscript"/>
        </w:rPr>
        <w:t>[5]</w:t>
      </w:r>
      <w:r w:rsidRPr="00EA2DA7">
        <w:rPr>
          <w:rFonts w:ascii="Book Antiqua" w:eastAsia="Book Antiqua" w:hAnsi="Book Antiqua" w:cs="Book Antiqua"/>
          <w:color w:val="000000"/>
        </w:rPr>
        <w:t>. Another study has claimed that factors associated with poor prognosis are baseline bilirubin, no reversibility of type-1 HRS, lack of resolution of the infection, and sepsis after diagnosis of type-1 HRS</w:t>
      </w:r>
      <w:r w:rsidRPr="00EA2DA7">
        <w:rPr>
          <w:rFonts w:ascii="Book Antiqua" w:eastAsia="Book Antiqua" w:hAnsi="Book Antiqua" w:cs="Book Antiqua"/>
          <w:color w:val="000000"/>
          <w:vertAlign w:val="superscript"/>
        </w:rPr>
        <w:t>[6]</w:t>
      </w:r>
      <w:r w:rsidRPr="00EA2DA7">
        <w:rPr>
          <w:rFonts w:ascii="Book Antiqua" w:eastAsia="Book Antiqua" w:hAnsi="Book Antiqua" w:cs="Book Antiqua"/>
          <w:color w:val="000000"/>
        </w:rPr>
        <w:t>. Acute-on-chronic liver failure (ACLF) grade is defined by the number of organ failures. A retrospective analysis from centers in Europe</w:t>
      </w:r>
      <w:r w:rsidR="005C3F65">
        <w:rPr>
          <w:rFonts w:ascii="Book Antiqua" w:eastAsia="Book Antiqua" w:hAnsi="Book Antiqua" w:cs="Book Antiqua"/>
          <w:color w:val="000000"/>
        </w:rPr>
        <w:t xml:space="preserve"> </w:t>
      </w:r>
      <w:r w:rsidRPr="00EA2DA7">
        <w:rPr>
          <w:rFonts w:ascii="Book Antiqua" w:eastAsia="Book Antiqua" w:hAnsi="Book Antiqua" w:cs="Book Antiqua"/>
          <w:color w:val="000000"/>
        </w:rPr>
        <w:t>found that ACLF grade is the largest determinant of response and could affect the survival of HRS</w:t>
      </w:r>
      <w:r w:rsidRPr="00EA2DA7">
        <w:rPr>
          <w:rFonts w:ascii="Book Antiqua" w:eastAsia="Book Antiqua" w:hAnsi="Book Antiqua" w:cs="Book Antiqua"/>
          <w:color w:val="000000"/>
          <w:vertAlign w:val="superscript"/>
        </w:rPr>
        <w:t>[7]</w:t>
      </w:r>
      <w:r w:rsidRPr="00EA2DA7">
        <w:rPr>
          <w:rFonts w:ascii="Book Antiqua" w:eastAsia="Book Antiqua" w:hAnsi="Book Antiqua" w:cs="Book Antiqua"/>
          <w:color w:val="000000"/>
        </w:rPr>
        <w:t>. Among the predictors,</w:t>
      </w:r>
      <w:r w:rsidR="005C3F65">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Model </w:t>
      </w:r>
      <w:r w:rsidR="0070153C">
        <w:rPr>
          <w:rFonts w:ascii="Book Antiqua" w:eastAsia="Book Antiqua" w:hAnsi="Book Antiqua" w:cs="Book Antiqua"/>
          <w:color w:val="000000"/>
        </w:rPr>
        <w:t>f</w:t>
      </w:r>
      <w:r w:rsidRPr="00EA2DA7">
        <w:rPr>
          <w:rFonts w:ascii="Book Antiqua" w:eastAsia="Book Antiqua" w:hAnsi="Book Antiqua" w:cs="Book Antiqua"/>
          <w:color w:val="000000"/>
        </w:rPr>
        <w:t>or End-</w:t>
      </w:r>
      <w:r w:rsidR="0070153C">
        <w:rPr>
          <w:rFonts w:ascii="Book Antiqua" w:eastAsia="Book Antiqua" w:hAnsi="Book Antiqua" w:cs="Book Antiqua"/>
          <w:color w:val="000000"/>
        </w:rPr>
        <w:t>s</w:t>
      </w:r>
      <w:r w:rsidRPr="00EA2DA7">
        <w:rPr>
          <w:rFonts w:ascii="Book Antiqua" w:eastAsia="Book Antiqua" w:hAnsi="Book Antiqua" w:cs="Book Antiqua"/>
          <w:color w:val="000000"/>
        </w:rPr>
        <w:t>tage Liver Disease (MELD) score has been widely applied for evaluating the severity of advanced liver diseases and liver graft allocation</w:t>
      </w:r>
      <w:r w:rsidRPr="00EA2DA7">
        <w:rPr>
          <w:rFonts w:ascii="Book Antiqua" w:eastAsia="Book Antiqua" w:hAnsi="Book Antiqua" w:cs="Book Antiqua"/>
          <w:color w:val="000000"/>
          <w:vertAlign w:val="superscript"/>
        </w:rPr>
        <w:t>[8]</w:t>
      </w:r>
      <w:r w:rsidRPr="00EA2DA7">
        <w:rPr>
          <w:rFonts w:ascii="Book Antiqua" w:eastAsia="Book Antiqua" w:hAnsi="Book Antiqua" w:cs="Book Antiqua"/>
          <w:color w:val="000000"/>
        </w:rPr>
        <w:t>. However, it has a limitation of failure to predict mortality after liver transplantation</w:t>
      </w:r>
      <w:r w:rsidRPr="00EA2DA7">
        <w:rPr>
          <w:rFonts w:ascii="Book Antiqua" w:eastAsia="Book Antiqua" w:hAnsi="Book Antiqua" w:cs="Book Antiqua"/>
          <w:color w:val="000000"/>
          <w:vertAlign w:val="superscript"/>
        </w:rPr>
        <w:t>[9]</w:t>
      </w:r>
      <w:r w:rsidRPr="00EA2DA7">
        <w:rPr>
          <w:rFonts w:ascii="Book Antiqua" w:eastAsia="Book Antiqua" w:hAnsi="Book Antiqua" w:cs="Book Antiqua"/>
          <w:color w:val="000000"/>
        </w:rPr>
        <w:t>. Therefore, a new effective model is urgently needed.</w:t>
      </w:r>
    </w:p>
    <w:p w14:paraId="568439FF" w14:textId="77777777" w:rsidR="00053734" w:rsidRPr="00EA2DA7" w:rsidRDefault="00721F08" w:rsidP="00EA2DA7">
      <w:pPr>
        <w:spacing w:line="360" w:lineRule="auto"/>
        <w:ind w:firstLine="480"/>
        <w:jc w:val="both"/>
        <w:rPr>
          <w:rFonts w:ascii="Book Antiqua" w:hAnsi="Book Antiqua"/>
        </w:rPr>
      </w:pPr>
      <w:r w:rsidRPr="00EA2DA7">
        <w:rPr>
          <w:rFonts w:ascii="Book Antiqua" w:eastAsia="Book Antiqua" w:hAnsi="Book Antiqua" w:cs="Book Antiqua"/>
          <w:color w:val="000000"/>
        </w:rPr>
        <w:t xml:space="preserve">In this study, we aimed to construct a new prognostic model to predict mortality of HRS through a multicenter cohort study and retrospectively enrolled HRS patients from 2011 to 2019. </w:t>
      </w:r>
    </w:p>
    <w:p w14:paraId="29B1C0D5" w14:textId="77777777" w:rsidR="00053734" w:rsidRPr="00EA2DA7" w:rsidRDefault="00053734" w:rsidP="00EA2DA7">
      <w:pPr>
        <w:spacing w:line="360" w:lineRule="auto"/>
        <w:ind w:firstLine="480"/>
        <w:jc w:val="both"/>
        <w:rPr>
          <w:rFonts w:ascii="Book Antiqua" w:hAnsi="Book Antiqua"/>
        </w:rPr>
      </w:pPr>
    </w:p>
    <w:p w14:paraId="233F730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lastRenderedPageBreak/>
        <w:t>MATERIALS AND METHODS</w:t>
      </w:r>
    </w:p>
    <w:p w14:paraId="542C0671" w14:textId="6EBFDC0A"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Patient studies</w:t>
      </w:r>
    </w:p>
    <w:p w14:paraId="37FFFA6A" w14:textId="5152A568"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Study population and data collection: </w:t>
      </w:r>
      <w:r w:rsidRPr="00EA2DA7">
        <w:rPr>
          <w:rFonts w:ascii="Book Antiqua" w:eastAsia="Book Antiqua" w:hAnsi="Book Antiqua" w:cs="Book Antiqua"/>
          <w:color w:val="000000"/>
        </w:rPr>
        <w:t xml:space="preserve">In this retrospective cohort study we enrolled patients from four hospitals: First affiliated Hospital of Zhejiang University, Shulan Hospital, People’s Hospital of Zhejiang Province, and People’s Hospital of Shengzhou City. We studied a cohort with decompensated cirrhosis with acute renal injury from January 2011 to October 2019. Patients from the First Affiliated Hospital of Zhejiang University formed the derivation cohort and patients from the other </w:t>
      </w:r>
      <w:r w:rsidR="000F64D2">
        <w:rPr>
          <w:rFonts w:ascii="Book Antiqua" w:eastAsia="Book Antiqua" w:hAnsi="Book Antiqua" w:cs="Book Antiqua"/>
          <w:color w:val="000000"/>
        </w:rPr>
        <w:t>three</w:t>
      </w:r>
      <w:r w:rsidRPr="00EA2DA7">
        <w:rPr>
          <w:rFonts w:ascii="Book Antiqua" w:eastAsia="Book Antiqua" w:hAnsi="Book Antiqua" w:cs="Book Antiqua"/>
          <w:color w:val="000000"/>
        </w:rPr>
        <w:t xml:space="preserve"> hospitals were the validation cohort. Demographic data (age and gender), history (vital signs and treatment)</w:t>
      </w:r>
      <w:r w:rsidR="000F64D2">
        <w:rPr>
          <w:rFonts w:ascii="Book Antiqua" w:eastAsia="Book Antiqua" w:hAnsi="Book Antiqua" w:cs="Book Antiqua"/>
          <w:color w:val="000000"/>
        </w:rPr>
        <w:t>,</w:t>
      </w:r>
      <w:r w:rsidRPr="00EA2DA7">
        <w:rPr>
          <w:rFonts w:ascii="Book Antiqua" w:eastAsia="Book Antiqua" w:hAnsi="Book Antiqua" w:cs="Book Antiqua"/>
          <w:color w:val="000000"/>
        </w:rPr>
        <w:t xml:space="preserve"> and laboratory parameters were available from medical records or the hospital database. The 28-d mortality was obtained from medical records or by directly contacting the patients or their families. All assays for serum biochemical parameters were routinely performed at the Central Clinical Laboratory of the </w:t>
      </w:r>
      <w:r w:rsidR="000F64D2">
        <w:rPr>
          <w:rFonts w:ascii="Book Antiqua" w:eastAsia="Book Antiqua" w:hAnsi="Book Antiqua" w:cs="Book Antiqua"/>
          <w:color w:val="000000"/>
        </w:rPr>
        <w:t>four</w:t>
      </w:r>
      <w:r w:rsidRPr="00EA2DA7">
        <w:rPr>
          <w:rFonts w:ascii="Book Antiqua" w:eastAsia="Book Antiqua" w:hAnsi="Book Antiqua" w:cs="Book Antiqua"/>
          <w:color w:val="000000"/>
        </w:rPr>
        <w:t xml:space="preserve"> hospitals with the same type of testing equipment. The study was approved by the Ethics Committee of the First Affiliated Hospital, College of Medicine, Zhejiang University (No. 2019-1449-1), and complied with the ethical guidelines of the Declaration of Helsinki. The researchers only analyzed anonymous data, so informed consent was waived. </w:t>
      </w:r>
    </w:p>
    <w:p w14:paraId="7236746B" w14:textId="77777777" w:rsidR="00053734" w:rsidRPr="00EA2DA7" w:rsidRDefault="00053734" w:rsidP="00EA2DA7">
      <w:pPr>
        <w:spacing w:line="360" w:lineRule="auto"/>
        <w:jc w:val="both"/>
        <w:rPr>
          <w:rFonts w:ascii="Book Antiqua" w:hAnsi="Book Antiqua"/>
        </w:rPr>
      </w:pPr>
    </w:p>
    <w:p w14:paraId="2E1D2AC1" w14:textId="435145F5"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Inclusion and exclusion criteria: </w:t>
      </w:r>
      <w:r w:rsidRPr="00EA2DA7">
        <w:rPr>
          <w:rFonts w:ascii="Book Antiqua" w:eastAsia="Book Antiqua" w:hAnsi="Book Antiqua" w:cs="Book Antiqua"/>
          <w:color w:val="000000"/>
        </w:rPr>
        <w:t xml:space="preserve">HRS was diagnosed </w:t>
      </w:r>
      <w:r w:rsidR="0070153C" w:rsidRPr="00EA2DA7">
        <w:rPr>
          <w:rFonts w:ascii="Book Antiqua" w:eastAsia="Book Antiqua" w:hAnsi="Book Antiqua" w:cs="Book Antiqua"/>
          <w:color w:val="000000"/>
        </w:rPr>
        <w:t>based on</w:t>
      </w:r>
      <w:r w:rsidRPr="00EA2DA7">
        <w:rPr>
          <w:rFonts w:ascii="Book Antiqua" w:eastAsia="Book Antiqua" w:hAnsi="Book Antiqua" w:cs="Book Antiqua"/>
          <w:color w:val="000000"/>
        </w:rPr>
        <w:t xml:space="preserve"> criteria proposed by the International Club of Ascites in 2015. Acute kidney injury (AKI) was identified according to the standard Kidney Disease: Improving Global Outcomes criteria. The exclusion criteria were: (1) </w:t>
      </w:r>
      <w:r w:rsidR="000F64D2">
        <w:rPr>
          <w:rFonts w:ascii="Book Antiqua" w:eastAsia="Book Antiqua" w:hAnsi="Book Antiqua" w:cs="Book Antiqua"/>
          <w:color w:val="000000"/>
        </w:rPr>
        <w:t>a</w:t>
      </w:r>
      <w:r w:rsidRPr="00EA2DA7">
        <w:rPr>
          <w:rFonts w:ascii="Book Antiqua" w:eastAsia="Book Antiqua" w:hAnsi="Book Antiqua" w:cs="Book Antiqua"/>
          <w:color w:val="000000"/>
        </w:rPr>
        <w:t xml:space="preserve">bsence of ascites; (2) </w:t>
      </w:r>
      <w:r w:rsidR="000F64D2">
        <w:rPr>
          <w:rFonts w:ascii="Book Antiqua" w:eastAsia="Book Antiqua" w:hAnsi="Book Antiqua" w:cs="Book Antiqua"/>
          <w:color w:val="000000"/>
        </w:rPr>
        <w:t>h</w:t>
      </w:r>
      <w:r w:rsidRPr="00EA2DA7">
        <w:rPr>
          <w:rFonts w:ascii="Book Antiqua" w:eastAsia="Book Antiqua" w:hAnsi="Book Antiqua" w:cs="Book Antiqua"/>
          <w:color w:val="000000"/>
        </w:rPr>
        <w:t xml:space="preserve">epatocellular carcinoma; (3) </w:t>
      </w:r>
      <w:r w:rsidR="000F64D2">
        <w:rPr>
          <w:rFonts w:ascii="Book Antiqua" w:eastAsia="Book Antiqua" w:hAnsi="Book Antiqua" w:cs="Book Antiqua"/>
          <w:color w:val="000000"/>
        </w:rPr>
        <w:t>o</w:t>
      </w:r>
      <w:r w:rsidRPr="00EA2DA7">
        <w:rPr>
          <w:rFonts w:ascii="Book Antiqua" w:eastAsia="Book Antiqua" w:hAnsi="Book Antiqua" w:cs="Book Antiqua"/>
          <w:color w:val="000000"/>
        </w:rPr>
        <w:t xml:space="preserve">ther types of tumors; (4) </w:t>
      </w:r>
      <w:r w:rsidR="000F64D2">
        <w:rPr>
          <w:rFonts w:ascii="Book Antiqua" w:eastAsia="Book Antiqua" w:hAnsi="Book Antiqua" w:cs="Book Antiqua"/>
          <w:color w:val="000000"/>
        </w:rPr>
        <w:t>c</w:t>
      </w:r>
      <w:r w:rsidRPr="00EA2DA7">
        <w:rPr>
          <w:rFonts w:ascii="Book Antiqua" w:eastAsia="Book Antiqua" w:hAnsi="Book Antiqua" w:cs="Book Antiqua"/>
          <w:color w:val="000000"/>
        </w:rPr>
        <w:t xml:space="preserve">hronic renal diseases; (5) </w:t>
      </w:r>
      <w:r w:rsidR="000F64D2">
        <w:rPr>
          <w:rFonts w:ascii="Book Antiqua" w:eastAsia="Book Antiqua" w:hAnsi="Book Antiqua" w:cs="Book Antiqua"/>
          <w:color w:val="000000"/>
        </w:rPr>
        <w:t>l</w:t>
      </w:r>
      <w:r w:rsidRPr="00EA2DA7">
        <w:rPr>
          <w:rFonts w:ascii="Book Antiqua" w:eastAsia="Book Antiqua" w:hAnsi="Book Antiqua" w:cs="Book Antiqua"/>
          <w:color w:val="000000"/>
        </w:rPr>
        <w:t xml:space="preserve">iver transplantation; (6) </w:t>
      </w:r>
      <w:r w:rsidR="000F64D2">
        <w:rPr>
          <w:rFonts w:ascii="Book Antiqua" w:eastAsia="Book Antiqua" w:hAnsi="Book Antiqua" w:cs="Book Antiqua"/>
          <w:color w:val="000000"/>
        </w:rPr>
        <w:t>a</w:t>
      </w:r>
      <w:r w:rsidRPr="00EA2DA7">
        <w:rPr>
          <w:rFonts w:ascii="Book Antiqua" w:eastAsia="Book Antiqua" w:hAnsi="Book Antiqua" w:cs="Book Antiqua"/>
          <w:color w:val="000000"/>
        </w:rPr>
        <w:t xml:space="preserve">ge &lt; 18 years; (7) </w:t>
      </w:r>
      <w:r w:rsidR="000F64D2">
        <w:rPr>
          <w:rFonts w:ascii="Book Antiqua" w:eastAsia="Book Antiqua" w:hAnsi="Book Antiqua" w:cs="Book Antiqua"/>
          <w:color w:val="000000"/>
        </w:rPr>
        <w:t>t</w:t>
      </w:r>
      <w:r w:rsidRPr="00EA2DA7">
        <w:rPr>
          <w:rFonts w:ascii="Book Antiqua" w:eastAsia="Book Antiqua" w:hAnsi="Book Antiqua" w:cs="Book Antiqua"/>
          <w:color w:val="000000"/>
        </w:rPr>
        <w:t xml:space="preserve">hyroid diseases; (8) </w:t>
      </w:r>
      <w:r w:rsidR="000F64D2">
        <w:rPr>
          <w:rFonts w:ascii="Book Antiqua" w:eastAsia="Book Antiqua" w:hAnsi="Book Antiqua" w:cs="Book Antiqua"/>
          <w:color w:val="000000"/>
        </w:rPr>
        <w:t>s</w:t>
      </w:r>
      <w:r w:rsidRPr="00EA2DA7">
        <w:rPr>
          <w:rFonts w:ascii="Book Antiqua" w:eastAsia="Book Antiqua" w:hAnsi="Book Antiqua" w:cs="Book Antiqua"/>
          <w:color w:val="000000"/>
        </w:rPr>
        <w:t xml:space="preserve">evere immunosuppression; (9) </w:t>
      </w:r>
      <w:r w:rsidR="000F64D2">
        <w:rPr>
          <w:rFonts w:ascii="Book Antiqua" w:eastAsia="Book Antiqua" w:hAnsi="Book Antiqua" w:cs="Book Antiqua"/>
          <w:color w:val="000000"/>
        </w:rPr>
        <w:t>h</w:t>
      </w:r>
      <w:r w:rsidRPr="00EA2DA7">
        <w:rPr>
          <w:rFonts w:ascii="Book Antiqua" w:eastAsia="Book Antiqua" w:hAnsi="Book Antiqua" w:cs="Book Antiqua"/>
          <w:color w:val="000000"/>
        </w:rPr>
        <w:t xml:space="preserve">ospital stay &lt; 1 wk; and (10) </w:t>
      </w:r>
      <w:r w:rsidR="000F64D2">
        <w:rPr>
          <w:rFonts w:ascii="Book Antiqua" w:eastAsia="Book Antiqua" w:hAnsi="Book Antiqua" w:cs="Book Antiqua"/>
          <w:color w:val="000000"/>
        </w:rPr>
        <w:t>i</w:t>
      </w:r>
      <w:r w:rsidRPr="00EA2DA7">
        <w:rPr>
          <w:rFonts w:ascii="Book Antiqua" w:eastAsia="Book Antiqua" w:hAnsi="Book Antiqua" w:cs="Book Antiqua"/>
          <w:color w:val="000000"/>
        </w:rPr>
        <w:t xml:space="preserve">ncomplete information. Finally, we excluded patients who were lost to follow-up (Figure 1). </w:t>
      </w:r>
    </w:p>
    <w:p w14:paraId="2FFDE796" w14:textId="77777777" w:rsidR="00053734" w:rsidRPr="00EA2DA7" w:rsidRDefault="00053734" w:rsidP="00EA2DA7">
      <w:pPr>
        <w:spacing w:line="360" w:lineRule="auto"/>
        <w:jc w:val="both"/>
        <w:rPr>
          <w:rFonts w:ascii="Book Antiqua" w:hAnsi="Book Antiqua"/>
        </w:rPr>
      </w:pPr>
    </w:p>
    <w:p w14:paraId="3AAA252F" w14:textId="63237426"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Scoring models: </w:t>
      </w:r>
      <w:r w:rsidRPr="00EA2DA7">
        <w:rPr>
          <w:rFonts w:ascii="Book Antiqua" w:eastAsia="Book Antiqua" w:hAnsi="Book Antiqua" w:cs="Book Antiqua"/>
          <w:color w:val="000000"/>
        </w:rPr>
        <w:t>The MELD score was calculated by the following formula: MELD = 3.78 ln [T</w:t>
      </w:r>
      <w:r w:rsidR="000F64D2">
        <w:rPr>
          <w:rFonts w:ascii="Book Antiqua" w:eastAsia="Book Antiqua" w:hAnsi="Book Antiqua" w:cs="Book Antiqua"/>
          <w:color w:val="000000"/>
        </w:rPr>
        <w:t>otal b</w:t>
      </w:r>
      <w:r w:rsidRPr="00EA2DA7">
        <w:rPr>
          <w:rFonts w:ascii="Book Antiqua" w:eastAsia="Book Antiqua" w:hAnsi="Book Antiqua" w:cs="Book Antiqua"/>
          <w:color w:val="000000"/>
        </w:rPr>
        <w:t>il</w:t>
      </w:r>
      <w:r w:rsidR="000F64D2">
        <w:rPr>
          <w:rFonts w:ascii="Book Antiqua" w:eastAsia="Book Antiqua" w:hAnsi="Book Antiqua" w:cs="Book Antiqua"/>
          <w:color w:val="000000"/>
        </w:rPr>
        <w:t>irubin</w:t>
      </w:r>
      <w:r w:rsidRPr="00EA2DA7">
        <w:rPr>
          <w:rFonts w:ascii="Book Antiqua" w:eastAsia="Book Antiqua" w:hAnsi="Book Antiqua" w:cs="Book Antiqua"/>
          <w:color w:val="000000"/>
        </w:rPr>
        <w:t xml:space="preserve"> (mg/dL)] + 11.2 ln (INR) + ln [serum creatinine (mg/dL)] + 6.43 (INR is international normalized ratio). The Chronic Liver Failure-Sequential Organ Failure Assessment (CLIF-SOFA) score summed the severity grades of organ failures. Liver </w:t>
      </w:r>
      <w:r w:rsidRPr="00EA2DA7">
        <w:rPr>
          <w:rFonts w:ascii="Book Antiqua" w:eastAsia="Book Antiqua" w:hAnsi="Book Antiqua" w:cs="Book Antiqua"/>
          <w:color w:val="000000"/>
        </w:rPr>
        <w:lastRenderedPageBreak/>
        <w:t>failure was defined as bilirubin ≥ 12 mg/dL</w:t>
      </w:r>
      <w:r w:rsidR="000F64D2">
        <w:rPr>
          <w:rFonts w:ascii="Book Antiqua" w:eastAsia="Book Antiqua" w:hAnsi="Book Antiqua" w:cs="Book Antiqua"/>
          <w:color w:val="000000"/>
        </w:rPr>
        <w:t>,</w:t>
      </w:r>
      <w:r w:rsidRPr="00EA2DA7">
        <w:rPr>
          <w:rFonts w:ascii="Book Antiqua" w:eastAsia="Book Antiqua" w:hAnsi="Book Antiqua" w:cs="Book Antiqua"/>
          <w:color w:val="000000"/>
        </w:rPr>
        <w:t xml:space="preserve"> coagulation failure as INR ≥ 2.5</w:t>
      </w:r>
      <w:r w:rsidR="000F64D2">
        <w:rPr>
          <w:rFonts w:ascii="Book Antiqua" w:eastAsia="Book Antiqua" w:hAnsi="Book Antiqua" w:cs="Book Antiqua"/>
          <w:color w:val="000000"/>
        </w:rPr>
        <w:t>,</w:t>
      </w:r>
      <w:r w:rsidRPr="00EA2DA7">
        <w:rPr>
          <w:rFonts w:ascii="Book Antiqua" w:eastAsia="Book Antiqua" w:hAnsi="Book Antiqua" w:cs="Book Antiqua"/>
          <w:color w:val="000000"/>
        </w:rPr>
        <w:t xml:space="preserve"> brain failure as hepatic encephalopathy grade ≥ 3 (West Haven criteria)</w:t>
      </w:r>
      <w:r w:rsidR="000F64D2">
        <w:rPr>
          <w:rFonts w:ascii="Book Antiqua" w:eastAsia="Book Antiqua" w:hAnsi="Book Antiqua" w:cs="Book Antiqua"/>
          <w:color w:val="000000"/>
        </w:rPr>
        <w:t>,</w:t>
      </w:r>
      <w:r w:rsidRPr="00EA2DA7">
        <w:rPr>
          <w:rFonts w:ascii="Book Antiqua" w:eastAsia="Book Antiqua" w:hAnsi="Book Antiqua" w:cs="Book Antiqua"/>
          <w:color w:val="000000"/>
        </w:rPr>
        <w:t xml:space="preserve"> respiratory failure as a pulse oximetric saturation/fraction of inspired oxygen ratio ≤ 214 or arterial partial pressure of oxygen/</w:t>
      </w:r>
      <w:r w:rsidR="000F64D2" w:rsidRPr="00EA2DA7">
        <w:rPr>
          <w:rFonts w:ascii="Book Antiqua" w:eastAsia="Book Antiqua" w:hAnsi="Book Antiqua" w:cs="Book Antiqua"/>
          <w:color w:val="000000"/>
        </w:rPr>
        <w:t xml:space="preserve">fraction of inspired oxygen </w:t>
      </w:r>
      <w:r w:rsidRPr="00EA2DA7">
        <w:rPr>
          <w:rFonts w:ascii="Book Antiqua" w:eastAsia="Book Antiqua" w:hAnsi="Book Antiqua" w:cs="Book Antiqua"/>
          <w:color w:val="000000"/>
        </w:rPr>
        <w:t>ratio ≤ 200 or the need for mechanical ventilation</w:t>
      </w:r>
      <w:r w:rsidR="000F64D2">
        <w:rPr>
          <w:rFonts w:ascii="Book Antiqua" w:eastAsia="Book Antiqua" w:hAnsi="Book Antiqua" w:cs="Book Antiqua"/>
          <w:color w:val="000000"/>
        </w:rPr>
        <w:t>, and</w:t>
      </w:r>
      <w:r w:rsidRPr="00EA2DA7">
        <w:rPr>
          <w:rFonts w:ascii="Book Antiqua" w:eastAsia="Book Antiqua" w:hAnsi="Book Antiqua" w:cs="Book Antiqua"/>
          <w:color w:val="000000"/>
        </w:rPr>
        <w:t xml:space="preserve"> circulatory failure as the need for vasopressor therapy to achieve an adequate mean arterial pressure (MAP)</w:t>
      </w:r>
      <w:r w:rsidRPr="00EA2DA7">
        <w:rPr>
          <w:rFonts w:ascii="Book Antiqua" w:eastAsia="Book Antiqua" w:hAnsi="Book Antiqua" w:cs="Book Antiqua"/>
          <w:color w:val="000000"/>
          <w:vertAlign w:val="superscript"/>
        </w:rPr>
        <w:t>[10]</w:t>
      </w:r>
      <w:r w:rsidRPr="00EA2DA7">
        <w:rPr>
          <w:rFonts w:ascii="Book Antiqua" w:eastAsia="Book Antiqua" w:hAnsi="Book Antiqua" w:cs="Book Antiqua"/>
          <w:color w:val="000000"/>
        </w:rPr>
        <w:t xml:space="preserve">. The Chinese Group on the Study of Severe Hepatitis B-ACLF (COSSH-ACLF) was calculated as 0.741 INR + 0.523 </w:t>
      </w:r>
      <w:r w:rsidR="00B22862">
        <w:rPr>
          <w:rFonts w:ascii="Book Antiqua" w:eastAsia="Book Antiqua" w:hAnsi="Book Antiqua" w:cs="Book Antiqua"/>
          <w:color w:val="000000"/>
        </w:rPr>
        <w:t>hepatitis B virus (</w:t>
      </w:r>
      <w:r w:rsidRPr="00EA2DA7">
        <w:rPr>
          <w:rFonts w:ascii="Book Antiqua" w:eastAsia="Book Antiqua" w:hAnsi="Book Antiqua" w:cs="Book Antiqua"/>
          <w:color w:val="000000"/>
        </w:rPr>
        <w:t>HBV</w:t>
      </w:r>
      <w:r w:rsidR="00B22862">
        <w:rPr>
          <w:rFonts w:ascii="Book Antiqua" w:eastAsia="Book Antiqua" w:hAnsi="Book Antiqua" w:cs="Book Antiqua"/>
          <w:color w:val="000000"/>
        </w:rPr>
        <w:t>)</w:t>
      </w:r>
      <w:r w:rsidRPr="00EA2DA7">
        <w:rPr>
          <w:rFonts w:ascii="Book Antiqua" w:eastAsia="Book Antiqua" w:hAnsi="Book Antiqua" w:cs="Book Antiqua"/>
          <w:color w:val="000000"/>
        </w:rPr>
        <w:t>-SOFA + 0.026 age + 0.003 T</w:t>
      </w:r>
      <w:r w:rsidR="000F64D2">
        <w:rPr>
          <w:rFonts w:ascii="Book Antiqua" w:eastAsia="Book Antiqua" w:hAnsi="Book Antiqua" w:cs="Book Antiqua"/>
          <w:color w:val="000000"/>
        </w:rPr>
        <w:t>otal b</w:t>
      </w:r>
      <w:r w:rsidRPr="00EA2DA7">
        <w:rPr>
          <w:rFonts w:ascii="Book Antiqua" w:eastAsia="Book Antiqua" w:hAnsi="Book Antiqua" w:cs="Book Antiqua"/>
          <w:color w:val="000000"/>
        </w:rPr>
        <w:t>il</w:t>
      </w:r>
      <w:r w:rsidR="000F64D2">
        <w:rPr>
          <w:rFonts w:ascii="Book Antiqua" w:eastAsia="Book Antiqua" w:hAnsi="Book Antiqua" w:cs="Book Antiqua"/>
          <w:color w:val="000000"/>
        </w:rPr>
        <w:t>irubin</w:t>
      </w:r>
      <w:r w:rsidRPr="00EA2DA7">
        <w:rPr>
          <w:rFonts w:ascii="Book Antiqua" w:eastAsia="Book Antiqua" w:hAnsi="Book Antiqua" w:cs="Book Antiqua"/>
          <w:color w:val="000000"/>
        </w:rPr>
        <w:t xml:space="preserve">. Stage was defined according to the number of organ failures, except renal failure. Stage 0 contained patients with </w:t>
      </w:r>
      <w:r w:rsidR="00F52D02">
        <w:rPr>
          <w:rFonts w:ascii="Book Antiqua" w:eastAsia="Book Antiqua" w:hAnsi="Book Antiqua" w:cs="Book Antiqua"/>
          <w:color w:val="000000"/>
        </w:rPr>
        <w:t>zero</w:t>
      </w:r>
      <w:r w:rsidRPr="00EA2DA7">
        <w:rPr>
          <w:rFonts w:ascii="Book Antiqua" w:eastAsia="Book Antiqua" w:hAnsi="Book Antiqua" w:cs="Book Antiqua"/>
          <w:color w:val="000000"/>
        </w:rPr>
        <w:t xml:space="preserve"> or </w:t>
      </w:r>
      <w:r w:rsidR="00F52D02">
        <w:rPr>
          <w:rFonts w:ascii="Book Antiqua" w:eastAsia="Book Antiqua" w:hAnsi="Book Antiqua" w:cs="Book Antiqua"/>
          <w:color w:val="000000"/>
        </w:rPr>
        <w:t>one</w:t>
      </w:r>
      <w:r w:rsidRPr="00EA2DA7">
        <w:rPr>
          <w:rFonts w:ascii="Book Antiqua" w:eastAsia="Book Antiqua" w:hAnsi="Book Antiqua" w:cs="Book Antiqua"/>
          <w:color w:val="000000"/>
        </w:rPr>
        <w:t xml:space="preserve"> organ failure</w:t>
      </w:r>
      <w:r w:rsidR="00F52D02">
        <w:rPr>
          <w:rFonts w:ascii="Book Antiqua" w:eastAsia="Book Antiqua" w:hAnsi="Book Antiqua" w:cs="Book Antiqua"/>
          <w:color w:val="000000"/>
        </w:rPr>
        <w:t>,</w:t>
      </w:r>
      <w:r w:rsidRPr="00EA2DA7">
        <w:rPr>
          <w:rFonts w:ascii="Book Antiqua" w:eastAsia="Book Antiqua" w:hAnsi="Book Antiqua" w:cs="Book Antiqua"/>
          <w:color w:val="000000"/>
        </w:rPr>
        <w:t xml:space="preserve"> while stage 1 contained patients with</w:t>
      </w:r>
      <w:r w:rsidR="00F52D02">
        <w:rPr>
          <w:rFonts w:ascii="Book Antiqua" w:eastAsia="Book Antiqua" w:hAnsi="Book Antiqua" w:cs="Book Antiqua"/>
          <w:color w:val="000000"/>
        </w:rPr>
        <w:t xml:space="preserve"> more than two</w:t>
      </w:r>
      <w:r w:rsidRPr="00EA2DA7">
        <w:rPr>
          <w:rFonts w:ascii="Book Antiqua" w:eastAsia="Book Antiqua" w:hAnsi="Book Antiqua" w:cs="Book Antiqua"/>
          <w:color w:val="000000"/>
        </w:rPr>
        <w:t xml:space="preserve"> organ failures.</w:t>
      </w:r>
    </w:p>
    <w:p w14:paraId="2C613EB0" w14:textId="77777777" w:rsidR="00053734" w:rsidRPr="00EA2DA7" w:rsidRDefault="00053734" w:rsidP="00EA2DA7">
      <w:pPr>
        <w:spacing w:line="360" w:lineRule="auto"/>
        <w:jc w:val="both"/>
        <w:rPr>
          <w:rFonts w:ascii="Book Antiqua" w:hAnsi="Book Antiqua"/>
        </w:rPr>
      </w:pPr>
    </w:p>
    <w:p w14:paraId="29AEABC6" w14:textId="3002ECB6"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Statistical analysis: </w:t>
      </w:r>
      <w:r w:rsidRPr="00EA2DA7">
        <w:rPr>
          <w:rFonts w:ascii="Book Antiqua" w:eastAsia="Book Antiqua" w:hAnsi="Book Antiqua" w:cs="Book Antiqua"/>
          <w:color w:val="000000"/>
        </w:rPr>
        <w:t xml:space="preserve">Clinicopathological features were summarized using medians and interquartile ranges or frequencies with percentages for normally distributed factors while using means with standard deviation for skewed distributed factors. Continuous variables were compared using </w:t>
      </w:r>
      <w:r w:rsidRPr="00EA2DA7">
        <w:rPr>
          <w:rFonts w:ascii="Book Antiqua" w:eastAsia="Book Antiqua" w:hAnsi="Book Antiqua" w:cs="Book Antiqua"/>
          <w:i/>
          <w:color w:val="000000"/>
        </w:rPr>
        <w:t>t</w:t>
      </w:r>
      <w:r w:rsidRPr="00EA2DA7">
        <w:rPr>
          <w:rFonts w:ascii="Book Antiqua" w:eastAsia="Book Antiqua" w:hAnsi="Book Antiqua" w:cs="Book Antiqua"/>
          <w:color w:val="000000"/>
        </w:rPr>
        <w:t xml:space="preserve"> test or Mann–Whitney </w:t>
      </w:r>
      <w:r w:rsidRPr="00EA2DA7">
        <w:rPr>
          <w:rFonts w:ascii="Book Antiqua" w:eastAsia="Book Antiqua" w:hAnsi="Book Antiqua" w:cs="Book Antiqua"/>
          <w:i/>
          <w:color w:val="000000"/>
        </w:rPr>
        <w:t>U</w:t>
      </w:r>
      <w:r w:rsidRPr="00EA2DA7">
        <w:rPr>
          <w:rFonts w:ascii="Book Antiqua" w:eastAsia="Book Antiqua" w:hAnsi="Book Antiqua" w:cs="Book Antiqua"/>
          <w:color w:val="000000"/>
        </w:rPr>
        <w:t xml:space="preserve"> test, and categorical variables were compared using the c</w:t>
      </w:r>
      <w:r w:rsidRPr="00EA2DA7">
        <w:rPr>
          <w:rFonts w:ascii="Book Antiqua" w:eastAsia="Book Antiqua" w:hAnsi="Book Antiqua" w:cs="Book Antiqua"/>
          <w:color w:val="000000"/>
          <w:vertAlign w:val="superscript"/>
        </w:rPr>
        <w:t>2</w:t>
      </w:r>
      <w:r w:rsidRPr="00EA2DA7">
        <w:rPr>
          <w:rFonts w:ascii="Book Antiqua" w:eastAsia="Book Antiqua" w:hAnsi="Book Antiqua" w:cs="Book Antiqua"/>
          <w:color w:val="000000"/>
        </w:rPr>
        <w:t xml:space="preserve"> test or Fisher’s exact test. Patients were followed up from the day of diagnosis with HRS–AKI and ended at death or last follow–up at day 28. Univariate and multivariate Cox regression analyses were performed to establish the association between prognostic factors and overall survival of HRS. The Kaplan–Meier method was used to evaluate the survival probability of HRS, and a log–rank test was used to assess differences between groups. Hazard ratios were estimated using the Cox regression model. Statistical analyses were performed with R version 3.6.2 (R Foundation for Statistical Computing, Vienna, Austria). All tests were two-sided</w:t>
      </w:r>
      <w:r w:rsidR="00F52D02">
        <w:rPr>
          <w:rFonts w:ascii="Book Antiqua" w:eastAsia="Book Antiqua" w:hAnsi="Book Antiqua" w:cs="Book Antiqua"/>
          <w:color w:val="000000"/>
        </w:rPr>
        <w:t>,</w:t>
      </w:r>
      <w:r w:rsidRPr="00EA2DA7">
        <w:rPr>
          <w:rFonts w:ascii="Book Antiqua" w:eastAsia="Book Antiqua" w:hAnsi="Book Antiqua" w:cs="Book Antiqua"/>
          <w:color w:val="000000"/>
        </w:rPr>
        <w:t xml:space="preserve"> and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 was considered statistically significant. The statistical methods of this study were reviewed by a member of the Biostatistics Service from the First Affiliated Hospital, College of Medicine, Zhejiang University. </w:t>
      </w:r>
    </w:p>
    <w:p w14:paraId="2D00897F" w14:textId="77777777" w:rsidR="00053734" w:rsidRPr="00EA2DA7" w:rsidRDefault="00053734" w:rsidP="00EA2DA7">
      <w:pPr>
        <w:spacing w:line="360" w:lineRule="auto"/>
        <w:jc w:val="both"/>
        <w:rPr>
          <w:rFonts w:ascii="Book Antiqua" w:hAnsi="Book Antiqua"/>
        </w:rPr>
      </w:pPr>
    </w:p>
    <w:p w14:paraId="08A79A5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RESULTS</w:t>
      </w:r>
    </w:p>
    <w:p w14:paraId="20D7CC5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Clinical characteristics</w:t>
      </w:r>
    </w:p>
    <w:p w14:paraId="11C751A5" w14:textId="7B3FC1BA"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lastRenderedPageBreak/>
        <w:t xml:space="preserve">We retrospectively enrolled 1667 patients from </w:t>
      </w:r>
      <w:r w:rsidR="00170FCB">
        <w:rPr>
          <w:rFonts w:ascii="Book Antiqua" w:eastAsia="Book Antiqua" w:hAnsi="Book Antiqua" w:cs="Book Antiqua"/>
          <w:color w:val="000000"/>
        </w:rPr>
        <w:t>four l</w:t>
      </w:r>
      <w:r w:rsidRPr="00EA2DA7">
        <w:rPr>
          <w:rFonts w:ascii="Book Antiqua" w:eastAsia="Book Antiqua" w:hAnsi="Book Antiqua" w:cs="Book Antiqua"/>
          <w:color w:val="000000"/>
        </w:rPr>
        <w:t xml:space="preserve">arge general hospitals in Zhejiang province between January 2011 and October 2019. After inclusion and exclusion criteria, we had 383 eligible patients. Twelve patients were lost to follow-up due to a lack of contact information or survival information. Finally, we had 371 HRS patients for analysis: 248 in the derivation cohort and 123 in the validation cohort. </w:t>
      </w:r>
    </w:p>
    <w:p w14:paraId="2693DC38" w14:textId="38ABA4E9" w:rsidR="00053734" w:rsidRPr="00EA2DA7" w:rsidRDefault="00721F08" w:rsidP="00EA2DA7">
      <w:pPr>
        <w:spacing w:line="360" w:lineRule="auto"/>
        <w:ind w:firstLine="480"/>
        <w:jc w:val="both"/>
        <w:rPr>
          <w:rFonts w:ascii="Book Antiqua" w:hAnsi="Book Antiqua"/>
        </w:rPr>
      </w:pPr>
      <w:r w:rsidRPr="00EA2DA7">
        <w:rPr>
          <w:rFonts w:ascii="Book Antiqua" w:eastAsia="Book Antiqua" w:hAnsi="Book Antiqua" w:cs="Book Antiqua"/>
          <w:color w:val="000000"/>
        </w:rPr>
        <w:t>There were no significant differences in characteristics including demographic and clinical information between the derivation and validation cohorts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&gt; 0.05) (Table 1). Until the end of follow-up, 278 (74.9%) patients died</w:t>
      </w:r>
      <w:r w:rsidR="00D17F47">
        <w:rPr>
          <w:rFonts w:ascii="Book Antiqua" w:eastAsia="Book Antiqua" w:hAnsi="Book Antiqua" w:cs="Book Antiqua"/>
          <w:color w:val="000000"/>
        </w:rPr>
        <w:t>,</w:t>
      </w:r>
      <w:r w:rsidRPr="00EA2DA7">
        <w:rPr>
          <w:rFonts w:ascii="Book Antiqua" w:eastAsia="Book Antiqua" w:hAnsi="Book Antiqua" w:cs="Book Antiqua"/>
          <w:color w:val="000000"/>
        </w:rPr>
        <w:t xml:space="preserve"> comprising 188 in the derivation cohort and 90 in the validation cohort. </w:t>
      </w:r>
      <w:r w:rsidR="00D17F47">
        <w:rPr>
          <w:rFonts w:ascii="Book Antiqua" w:eastAsia="Book Antiqua" w:hAnsi="Book Antiqua" w:cs="Book Antiqua"/>
          <w:color w:val="000000"/>
        </w:rPr>
        <w:t xml:space="preserve">Male patients made up </w:t>
      </w:r>
      <w:r w:rsidRPr="00EA2DA7">
        <w:rPr>
          <w:rFonts w:ascii="Book Antiqua" w:eastAsia="Book Antiqua" w:hAnsi="Book Antiqua" w:cs="Book Antiqua"/>
          <w:color w:val="000000"/>
        </w:rPr>
        <w:t>76.8% (285) of the</w:t>
      </w:r>
      <w:r w:rsidR="00D17F47">
        <w:rPr>
          <w:rFonts w:ascii="Book Antiqua" w:eastAsia="Book Antiqua" w:hAnsi="Book Antiqua" w:cs="Book Antiqua"/>
          <w:color w:val="000000"/>
        </w:rPr>
        <w:t xml:space="preserve"> cohort</w:t>
      </w:r>
      <w:r w:rsidRPr="00EA2DA7">
        <w:rPr>
          <w:rFonts w:ascii="Book Antiqua" w:eastAsia="Book Antiqua" w:hAnsi="Book Antiqua" w:cs="Book Antiqua"/>
          <w:color w:val="000000"/>
        </w:rPr>
        <w:t xml:space="preserve">, with 76.6% (190) and 77.2% (95) male in </w:t>
      </w:r>
      <w:r w:rsidR="00D17F47">
        <w:rPr>
          <w:rFonts w:ascii="Book Antiqua" w:eastAsia="Book Antiqua" w:hAnsi="Book Antiqua" w:cs="Book Antiqua"/>
          <w:color w:val="000000"/>
        </w:rPr>
        <w:t xml:space="preserve">the </w:t>
      </w:r>
      <w:r w:rsidRPr="00EA2DA7">
        <w:rPr>
          <w:rFonts w:ascii="Book Antiqua" w:eastAsia="Book Antiqua" w:hAnsi="Book Antiqua" w:cs="Book Antiqua"/>
          <w:color w:val="000000"/>
        </w:rPr>
        <w:t>derivation and validation cohorts, respectively. MAP, INR, alanine aminotransferase, serum bilirubin, number of failed organs, and</w:t>
      </w:r>
      <w:r w:rsidR="00322BA3">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MELD, CLIF-SOFA</w:t>
      </w:r>
      <w:r w:rsidR="00322BA3">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scores differed significantly between non-survivors and survivors in both cohorts (all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 Age, gender, cause of cirrhosis, neutrophil percentage, hemoglobin, mean corpuscular hemoglobin (MCH) and MCH concentration (MCHC) differed between non-survivors and survivors only in the derivation cohort. Cirrhosis caused by HBV or HBV plus other reasons accounted for most of the patients (63.7% in the derivation cohort and 52.0% in the validation cohort). MAP was significantly higher in survivors than in non-survivors. Non-survivors had higher levels of INR and </w:t>
      </w:r>
      <w:r w:rsidR="00D17F47" w:rsidRPr="00EA2DA7">
        <w:rPr>
          <w:rFonts w:ascii="Book Antiqua" w:eastAsia="Book Antiqua" w:hAnsi="Book Antiqua" w:cs="Book Antiqua"/>
          <w:color w:val="000000"/>
        </w:rPr>
        <w:t>alanine aminotransferase</w:t>
      </w:r>
      <w:r w:rsidRPr="00EA2DA7">
        <w:rPr>
          <w:rFonts w:ascii="Book Antiqua" w:eastAsia="Book Antiqua" w:hAnsi="Book Antiqua" w:cs="Book Antiqua"/>
          <w:color w:val="000000"/>
        </w:rPr>
        <w:t xml:space="preserve"> compared with survivors. </w:t>
      </w:r>
      <w:r w:rsidR="00322BA3">
        <w:rPr>
          <w:rFonts w:ascii="Book Antiqua" w:eastAsia="Book Antiqua" w:hAnsi="Book Antiqua" w:cs="Book Antiqua"/>
          <w:color w:val="000000"/>
        </w:rPr>
        <w:t xml:space="preserve">The </w:t>
      </w:r>
      <w:r w:rsidRPr="00EA2DA7">
        <w:rPr>
          <w:rFonts w:ascii="Book Antiqua" w:eastAsia="Book Antiqua" w:hAnsi="Book Antiqua" w:cs="Book Antiqua"/>
          <w:color w:val="000000"/>
        </w:rPr>
        <w:t>MELD, CLIF-SOFA</w:t>
      </w:r>
      <w:r w:rsidR="00B22862">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scores were significantly higher in non-survivors in both cohorts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 </w:t>
      </w:r>
      <w:r w:rsidR="00B22862" w:rsidRPr="00EA2DA7">
        <w:rPr>
          <w:rFonts w:ascii="Book Antiqua" w:eastAsia="Book Antiqua" w:hAnsi="Book Antiqua" w:cs="Book Antiqua"/>
          <w:color w:val="000000"/>
        </w:rPr>
        <w:t>Regarding</w:t>
      </w:r>
      <w:r w:rsidRPr="00EA2DA7">
        <w:rPr>
          <w:rFonts w:ascii="Book Antiqua" w:eastAsia="Book Antiqua" w:hAnsi="Book Antiqua" w:cs="Book Antiqua"/>
          <w:color w:val="000000"/>
        </w:rPr>
        <w:t xml:space="preserve"> treatment, all the eligible patients accepted rehydration treatment with albumin. In total, 21.3% (79) of patients received terlipressin plus albumin</w:t>
      </w:r>
      <w:r w:rsidR="00B22862">
        <w:rPr>
          <w:rFonts w:ascii="Book Antiqua" w:eastAsia="Book Antiqua" w:hAnsi="Book Antiqua" w:cs="Book Antiqua"/>
          <w:color w:val="000000"/>
        </w:rPr>
        <w:t>,</w:t>
      </w:r>
      <w:r w:rsidRPr="00EA2DA7">
        <w:rPr>
          <w:rFonts w:ascii="Book Antiqua" w:eastAsia="Book Antiqua" w:hAnsi="Book Antiqua" w:cs="Book Antiqua"/>
          <w:color w:val="000000"/>
        </w:rPr>
        <w:t xml:space="preserve"> and treatment was the same among the four hospitals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&gt; 0.05). </w:t>
      </w:r>
    </w:p>
    <w:p w14:paraId="11740971" w14:textId="77777777" w:rsidR="00053734" w:rsidRPr="00EA2DA7" w:rsidRDefault="00053734" w:rsidP="00EA2DA7">
      <w:pPr>
        <w:spacing w:line="360" w:lineRule="auto"/>
        <w:ind w:firstLine="480"/>
        <w:jc w:val="both"/>
        <w:rPr>
          <w:rFonts w:ascii="Book Antiqua" w:hAnsi="Book Antiqua"/>
        </w:rPr>
      </w:pPr>
    </w:p>
    <w:p w14:paraId="2B9AF74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Univariate and multivariate Cox regression</w:t>
      </w:r>
    </w:p>
    <w:p w14:paraId="730C9C8E" w14:textId="26B6CFB8"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In the derivation cohort, gender, MAP, INR, neutrophil percentage, hemoglobin, MCH, MCHC, albumin/globulin, serum bilirubin, sodium, stage (defined above), and </w:t>
      </w:r>
      <w:r w:rsidR="00322BA3">
        <w:rPr>
          <w:rFonts w:ascii="Book Antiqua" w:eastAsia="Book Antiqua" w:hAnsi="Book Antiqua" w:cs="Book Antiqua"/>
          <w:color w:val="000000"/>
        </w:rPr>
        <w:t xml:space="preserve">the </w:t>
      </w:r>
      <w:r w:rsidRPr="00EA2DA7">
        <w:rPr>
          <w:rFonts w:ascii="Book Antiqua" w:eastAsia="Book Antiqua" w:hAnsi="Book Antiqua" w:cs="Book Antiqua"/>
          <w:color w:val="000000"/>
        </w:rPr>
        <w:t>MELD, CLIF-SOFA</w:t>
      </w:r>
      <w:r w:rsidR="00B22862">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scores were significantly associated with overall survival by univariate Cox regression (Table 2). We incorporated the above variables into multivariate Cox regression and finally five prognostic factors, including gender, INR, </w:t>
      </w:r>
      <w:r w:rsidRPr="00EA2DA7">
        <w:rPr>
          <w:rFonts w:ascii="Book Antiqua" w:eastAsia="Book Antiqua" w:hAnsi="Book Antiqua" w:cs="Book Antiqua"/>
          <w:color w:val="000000"/>
        </w:rPr>
        <w:lastRenderedPageBreak/>
        <w:t xml:space="preserve">neutrophil percentage, MCHC and stage, were independently associated with overall survival. </w:t>
      </w:r>
    </w:p>
    <w:p w14:paraId="45DEDDE9" w14:textId="6AA57E6B" w:rsidR="00053734" w:rsidRPr="0021516C" w:rsidRDefault="00721F08" w:rsidP="00F52D02">
      <w:pPr>
        <w:spacing w:line="360" w:lineRule="auto"/>
        <w:ind w:firstLine="480"/>
        <w:jc w:val="both"/>
        <w:rPr>
          <w:rFonts w:ascii="Book Antiqua" w:eastAsia="Book Antiqua" w:hAnsi="Book Antiqua" w:cs="Book Antiqua"/>
          <w:color w:val="000000"/>
        </w:rPr>
      </w:pPr>
      <w:r w:rsidRPr="00EA2DA7">
        <w:rPr>
          <w:rFonts w:ascii="Book Antiqua" w:eastAsia="Book Antiqua" w:hAnsi="Book Antiqua" w:cs="Book Antiqua"/>
          <w:color w:val="000000"/>
        </w:rPr>
        <w:t xml:space="preserve">The </w:t>
      </w:r>
      <w:r w:rsidR="00F52D02">
        <w:rPr>
          <w:rFonts w:ascii="Book Antiqua" w:eastAsia="Book Antiqua" w:hAnsi="Book Antiqua" w:cs="Book Antiqua"/>
          <w:color w:val="000000"/>
        </w:rPr>
        <w:t xml:space="preserve">hazard ratio </w:t>
      </w:r>
      <w:r w:rsidRPr="00EA2DA7">
        <w:rPr>
          <w:rFonts w:ascii="Book Antiqua" w:eastAsia="Book Antiqua" w:hAnsi="Book Antiqua" w:cs="Book Antiqua"/>
          <w:color w:val="000000"/>
        </w:rPr>
        <w:t>of stage was 2.724 (95% confidence interval, 1.877–3.952)</w:t>
      </w:r>
      <w:r w:rsidR="00B22862">
        <w:rPr>
          <w:rFonts w:ascii="Book Antiqua" w:eastAsia="Book Antiqua" w:hAnsi="Book Antiqua" w:cs="Book Antiqua"/>
          <w:color w:val="000000"/>
        </w:rPr>
        <w:t>,</w:t>
      </w:r>
      <w:r w:rsidRPr="00EA2DA7">
        <w:rPr>
          <w:rFonts w:ascii="Book Antiqua" w:eastAsia="Book Antiqua" w:hAnsi="Book Antiqua" w:cs="Book Antiqua"/>
          <w:color w:val="000000"/>
        </w:rPr>
        <w:t xml:space="preserve"> and </w:t>
      </w:r>
      <w:r w:rsidR="00B22862">
        <w:rPr>
          <w:rFonts w:ascii="Book Antiqua" w:eastAsia="Book Antiqua" w:hAnsi="Book Antiqua" w:cs="Book Antiqua"/>
          <w:color w:val="000000"/>
        </w:rPr>
        <w:t xml:space="preserve">the </w:t>
      </w:r>
      <w:r w:rsidR="00F52D02">
        <w:rPr>
          <w:rFonts w:ascii="Book Antiqua" w:eastAsia="Book Antiqua" w:hAnsi="Book Antiqua" w:cs="Book Antiqua"/>
          <w:color w:val="000000"/>
        </w:rPr>
        <w:t>hazard ratio</w:t>
      </w:r>
      <w:r w:rsidR="00AC19F7">
        <w:rPr>
          <w:rFonts w:ascii="Book Antiqua" w:eastAsia="Book Antiqua" w:hAnsi="Book Antiqua" w:cs="Book Antiqua"/>
          <w:color w:val="000000"/>
        </w:rPr>
        <w:t>s</w:t>
      </w:r>
      <w:r w:rsidR="00F52D02" w:rsidRPr="00EA2DA7">
        <w:rPr>
          <w:rFonts w:ascii="Book Antiqua" w:eastAsia="Book Antiqua" w:hAnsi="Book Antiqua" w:cs="Book Antiqua"/>
          <w:color w:val="000000"/>
        </w:rPr>
        <w:t xml:space="preserve"> </w:t>
      </w:r>
      <w:r w:rsidRPr="00EA2DA7">
        <w:rPr>
          <w:rFonts w:ascii="Book Antiqua" w:eastAsia="Book Antiqua" w:hAnsi="Book Antiqua" w:cs="Book Antiqua"/>
          <w:color w:val="000000"/>
        </w:rPr>
        <w:t>of gender, INR, neutrophil percentage</w:t>
      </w:r>
      <w:r w:rsidR="00AC19F7">
        <w:rPr>
          <w:rFonts w:ascii="Book Antiqua" w:eastAsia="Book Antiqua" w:hAnsi="Book Antiqua" w:cs="Book Antiqua"/>
          <w:color w:val="000000"/>
        </w:rPr>
        <w:t>,</w:t>
      </w:r>
      <w:r w:rsidRPr="00EA2DA7">
        <w:rPr>
          <w:rFonts w:ascii="Book Antiqua" w:eastAsia="Book Antiqua" w:hAnsi="Book Antiqua" w:cs="Book Antiqua"/>
          <w:color w:val="000000"/>
        </w:rPr>
        <w:t xml:space="preserve"> and MCHC w</w:t>
      </w:r>
      <w:r w:rsidR="00AC19F7">
        <w:rPr>
          <w:rFonts w:ascii="Book Antiqua" w:eastAsia="Book Antiqua" w:hAnsi="Book Antiqua" w:cs="Book Antiqua"/>
          <w:color w:val="000000"/>
        </w:rPr>
        <w:t>ere</w:t>
      </w:r>
      <w:r w:rsidRPr="00EA2DA7">
        <w:rPr>
          <w:rFonts w:ascii="Book Antiqua" w:eastAsia="Book Antiqua" w:hAnsi="Book Antiqua" w:cs="Book Antiqua"/>
          <w:color w:val="000000"/>
        </w:rPr>
        <w:t xml:space="preserve"> 0.532, 1.408, 1.031</w:t>
      </w:r>
      <w:r w:rsidR="00AC19F7">
        <w:rPr>
          <w:rFonts w:ascii="Book Antiqua" w:eastAsia="Book Antiqua" w:hAnsi="Book Antiqua" w:cs="Book Antiqua"/>
          <w:color w:val="000000"/>
        </w:rPr>
        <w:t>,</w:t>
      </w:r>
      <w:r w:rsidRPr="00EA2DA7">
        <w:rPr>
          <w:rFonts w:ascii="Book Antiqua" w:eastAsia="Book Antiqua" w:hAnsi="Book Antiqua" w:cs="Book Antiqua"/>
          <w:color w:val="000000"/>
        </w:rPr>
        <w:t xml:space="preserve"> and 1.014, respectively. The risk of death in female patients was approximately 1.5 times that of male patients. Patients with ≥ </w:t>
      </w:r>
      <w:r w:rsidR="00AC19F7">
        <w:rPr>
          <w:rFonts w:ascii="Book Antiqua" w:eastAsia="Book Antiqua" w:hAnsi="Book Antiqua" w:cs="Book Antiqua"/>
          <w:color w:val="000000"/>
        </w:rPr>
        <w:t>two</w:t>
      </w:r>
      <w:r w:rsidRPr="00EA2DA7">
        <w:rPr>
          <w:rFonts w:ascii="Book Antiqua" w:eastAsia="Book Antiqua" w:hAnsi="Book Antiqua" w:cs="Book Antiqua"/>
          <w:color w:val="000000"/>
        </w:rPr>
        <w:t xml:space="preserve"> organ failures had up to 2.7 times greater mortality risk compared with those with ≤ </w:t>
      </w:r>
      <w:r w:rsidR="00AC19F7">
        <w:rPr>
          <w:rFonts w:ascii="Book Antiqua" w:eastAsia="Book Antiqua" w:hAnsi="Book Antiqua" w:cs="Book Antiqua"/>
          <w:color w:val="000000"/>
        </w:rPr>
        <w:t>one</w:t>
      </w:r>
      <w:r w:rsidRPr="00EA2DA7">
        <w:rPr>
          <w:rFonts w:ascii="Book Antiqua" w:eastAsia="Book Antiqua" w:hAnsi="Book Antiqua" w:cs="Book Antiqua"/>
          <w:color w:val="000000"/>
        </w:rPr>
        <w:t xml:space="preserve"> organ failure. Creatinine was not associated with overall survival of HRS patients, although AKI stage was defined by creatinine level. </w:t>
      </w:r>
    </w:p>
    <w:p w14:paraId="11F403E5" w14:textId="77777777" w:rsidR="00053734" w:rsidRPr="00EA2DA7" w:rsidRDefault="00053734" w:rsidP="00EA2DA7">
      <w:pPr>
        <w:spacing w:line="360" w:lineRule="auto"/>
        <w:ind w:firstLine="480"/>
        <w:jc w:val="both"/>
        <w:rPr>
          <w:rFonts w:ascii="Book Antiqua" w:hAnsi="Book Antiqua"/>
        </w:rPr>
      </w:pPr>
    </w:p>
    <w:p w14:paraId="59463045"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 xml:space="preserve">GIMNS score development </w:t>
      </w:r>
    </w:p>
    <w:p w14:paraId="74B6BD3A" w14:textId="3884C564"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According to the multivariate logistic regression based on 28-d mortality, </w:t>
      </w:r>
      <w:r w:rsidR="00AC19F7">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GIMNS score was developed. The formula is: </w:t>
      </w:r>
    </w:p>
    <w:p w14:paraId="21864512" w14:textId="11A56FE4" w:rsidR="00053734" w:rsidRPr="00EA2DA7" w:rsidRDefault="00721F08" w:rsidP="00EA2DA7">
      <w:pPr>
        <w:spacing w:line="360" w:lineRule="auto"/>
        <w:ind w:firstLine="360"/>
        <w:jc w:val="both"/>
        <w:rPr>
          <w:rFonts w:ascii="Book Antiqua" w:hAnsi="Book Antiqua"/>
        </w:rPr>
      </w:pPr>
      <w:r w:rsidRPr="00EA2DA7">
        <w:rPr>
          <w:rFonts w:ascii="Book Antiqua" w:eastAsia="Book Antiqua" w:hAnsi="Book Antiqua" w:cs="Book Antiqua"/>
          <w:color w:val="000000"/>
        </w:rPr>
        <w:t xml:space="preserve">GIMNS = -1.412 gender + 0.053 neutrophil percentage + 0.014 MCHC + 2.073 ln (INR) + 1.231 stage - 9.217. </w:t>
      </w:r>
    </w:p>
    <w:p w14:paraId="371485B4" w14:textId="41A1EFB6" w:rsidR="00053734" w:rsidRPr="00EA2DA7" w:rsidRDefault="00721F08" w:rsidP="00EA2DA7">
      <w:pPr>
        <w:spacing w:line="360" w:lineRule="auto"/>
        <w:ind w:firstLine="480"/>
        <w:jc w:val="both"/>
        <w:rPr>
          <w:rFonts w:ascii="Book Antiqua" w:hAnsi="Book Antiqua"/>
        </w:rPr>
      </w:pPr>
      <w:r w:rsidRPr="00EA2DA7">
        <w:rPr>
          <w:rFonts w:ascii="Book Antiqua" w:eastAsia="Book Antiqua" w:hAnsi="Book Antiqua" w:cs="Book Antiqua"/>
          <w:color w:val="000000"/>
        </w:rPr>
        <w:t>Mortality at 28 d in stratified HRS patients show</w:t>
      </w:r>
      <w:r w:rsidR="00AC19F7">
        <w:rPr>
          <w:rFonts w:ascii="Book Antiqua" w:eastAsia="Book Antiqua" w:hAnsi="Book Antiqua" w:cs="Book Antiqua"/>
          <w:color w:val="000000"/>
        </w:rPr>
        <w:t>ed</w:t>
      </w:r>
      <w:r w:rsidRPr="00EA2DA7">
        <w:rPr>
          <w:rFonts w:ascii="Book Antiqua" w:eastAsia="Book Antiqua" w:hAnsi="Book Antiqua" w:cs="Book Antiqua"/>
          <w:color w:val="000000"/>
        </w:rPr>
        <w:t xml:space="preserve"> that patients with GIMNS &gt; 2 were all dead</w:t>
      </w:r>
      <w:r w:rsidR="00AC19F7">
        <w:rPr>
          <w:rFonts w:ascii="Book Antiqua" w:eastAsia="Book Antiqua" w:hAnsi="Book Antiqua" w:cs="Book Antiqua"/>
          <w:color w:val="000000"/>
        </w:rPr>
        <w:t>,</w:t>
      </w:r>
      <w:r w:rsidRPr="00EA2DA7">
        <w:rPr>
          <w:rFonts w:ascii="Book Antiqua" w:eastAsia="Book Antiqua" w:hAnsi="Book Antiqua" w:cs="Book Antiqua"/>
          <w:color w:val="000000"/>
        </w:rPr>
        <w:t xml:space="preserve"> while those with GIMNS &lt; 0 had</w:t>
      </w:r>
      <w:r w:rsidR="00AC19F7">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lowest mortality (30.34%) (Table 3). The mortality rates of patients with score 1–2 and 0–1 were 73.81% and 57.14%, respectively. Figure 2A show</w:t>
      </w:r>
      <w:r w:rsidR="00AC19F7">
        <w:rPr>
          <w:rFonts w:ascii="Book Antiqua" w:eastAsia="Book Antiqua" w:hAnsi="Book Antiqua" w:cs="Book Antiqua"/>
          <w:color w:val="000000"/>
        </w:rPr>
        <w:t>ed</w:t>
      </w:r>
      <w:r w:rsidRPr="00EA2DA7">
        <w:rPr>
          <w:rFonts w:ascii="Book Antiqua" w:eastAsia="Book Antiqua" w:hAnsi="Book Antiqua" w:cs="Book Antiqua"/>
          <w:color w:val="000000"/>
        </w:rPr>
        <w:t xml:space="preserve"> the importance of each prognostic factor based on the logistic regression, and stage was the most important factor. Cumulative percentage also demonstrated this. </w:t>
      </w:r>
    </w:p>
    <w:p w14:paraId="295A0CC7" w14:textId="77777777" w:rsidR="00053734" w:rsidRPr="00EA2DA7" w:rsidRDefault="00053734" w:rsidP="00EA2DA7">
      <w:pPr>
        <w:spacing w:line="360" w:lineRule="auto"/>
        <w:ind w:firstLine="480"/>
        <w:jc w:val="both"/>
        <w:rPr>
          <w:rFonts w:ascii="Book Antiqua" w:hAnsi="Book Antiqua"/>
        </w:rPr>
      </w:pPr>
    </w:p>
    <w:p w14:paraId="7EA90595" w14:textId="0DEADF9A"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Characteristics in</w:t>
      </w:r>
      <w:r w:rsidR="00AC19F7">
        <w:rPr>
          <w:rFonts w:ascii="Book Antiqua" w:eastAsia="Book Antiqua" w:hAnsi="Book Antiqua" w:cs="Book Antiqua"/>
          <w:b/>
          <w:i/>
          <w:color w:val="000000"/>
        </w:rPr>
        <w:t xml:space="preserve"> the</w:t>
      </w:r>
      <w:r w:rsidRPr="00EA2DA7">
        <w:rPr>
          <w:rFonts w:ascii="Book Antiqua" w:eastAsia="Book Antiqua" w:hAnsi="Book Antiqua" w:cs="Book Antiqua"/>
          <w:b/>
          <w:i/>
          <w:color w:val="000000"/>
        </w:rPr>
        <w:t xml:space="preserve"> GIMNS score </w:t>
      </w:r>
    </w:p>
    <w:p w14:paraId="3548166C" w14:textId="7C75F2A7" w:rsidR="00053734" w:rsidRPr="00EA2DA7" w:rsidRDefault="00AC19F7" w:rsidP="00EA2DA7">
      <w:pPr>
        <w:spacing w:line="360" w:lineRule="auto"/>
        <w:jc w:val="both"/>
        <w:rPr>
          <w:rFonts w:ascii="Book Antiqua" w:hAnsi="Book Antiqua"/>
        </w:rPr>
      </w:pP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GIMNS score contains five variables</w:t>
      </w:r>
      <w:r>
        <w:rPr>
          <w:rFonts w:ascii="Book Antiqua" w:eastAsia="Book Antiqua" w:hAnsi="Book Antiqua" w:cs="Book Antiqua"/>
          <w:color w:val="000000"/>
        </w:rPr>
        <w:t>:</w:t>
      </w:r>
      <w:r w:rsidR="00721F08" w:rsidRPr="00EA2DA7">
        <w:rPr>
          <w:rFonts w:ascii="Book Antiqua" w:eastAsia="Book Antiqua" w:hAnsi="Book Antiqua" w:cs="Book Antiqua"/>
          <w:color w:val="000000"/>
        </w:rPr>
        <w:t xml:space="preserve"> gender, INR, MCHC, neutrophil percentage, and stage. The mosaic plot acquired from the derivation cohort could intuitively sense the distribution of the patients’ survival status</w:t>
      </w:r>
      <w:r>
        <w:rPr>
          <w:rFonts w:ascii="Book Antiqua" w:eastAsia="Book Antiqua" w:hAnsi="Book Antiqua" w:cs="Book Antiqua"/>
          <w:color w:val="000000"/>
        </w:rPr>
        <w:t>es</w:t>
      </w:r>
      <w:r w:rsidR="00721F08" w:rsidRPr="00EA2DA7">
        <w:rPr>
          <w:rFonts w:ascii="Book Antiqua" w:eastAsia="Book Antiqua" w:hAnsi="Book Antiqua" w:cs="Book Antiqua"/>
          <w:color w:val="000000"/>
        </w:rPr>
        <w:t xml:space="preserve"> among different variables and establish the relationship between the variables (Figure 2B). From the mosaic plot, HBV-related cirrhosis accounted for the majority of the patients. For patients with HBV-related cirrhosis, male patients accounted for most, and 97.7% of the alcoholic HRS patients were male. As for patients with HRS of other causes, the proportion of female patients was </w:t>
      </w:r>
      <w:r w:rsidR="00721F08" w:rsidRPr="00EA2DA7">
        <w:rPr>
          <w:rFonts w:ascii="Book Antiqua" w:eastAsia="Book Antiqua" w:hAnsi="Book Antiqua" w:cs="Book Antiqua"/>
          <w:color w:val="000000"/>
        </w:rPr>
        <w:lastRenderedPageBreak/>
        <w:t xml:space="preserve">larger than that of male patients. Although for every part of the whole mosaic plot, the number of patients with stage 1 disease was smaller than those with stage 0, the mortality was higher. </w:t>
      </w:r>
    </w:p>
    <w:p w14:paraId="2990F94A" w14:textId="53EAF331" w:rsidR="00053734" w:rsidRPr="00EA2DA7" w:rsidRDefault="00721F08" w:rsidP="00EA2DA7">
      <w:pPr>
        <w:spacing w:line="360" w:lineRule="auto"/>
        <w:ind w:firstLine="480"/>
        <w:jc w:val="both"/>
        <w:rPr>
          <w:rFonts w:ascii="Book Antiqua" w:hAnsi="Book Antiqua"/>
        </w:rPr>
      </w:pPr>
      <w:r w:rsidRPr="00EA2DA7">
        <w:rPr>
          <w:rFonts w:ascii="Book Antiqua" w:eastAsia="Book Antiqua" w:hAnsi="Book Antiqua" w:cs="Book Antiqua"/>
          <w:color w:val="000000"/>
        </w:rPr>
        <w:t>For the prognostic factors in</w:t>
      </w:r>
      <w:r w:rsidR="00AC19F7">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GIMNS score, we converted continuous variables into categorical variables by upper and lower quartiles (Figure 3A-C). INR was negatively correlated with survival probability. The survival probability of the upper quartile of INR was &lt; 20%, which was lower compared with that of the others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0.001). Similarly, patients with the lower quartile of neutrophil percentage had better overall survival compared with the others. Stratified MCHC also had different prognos</w:t>
      </w:r>
      <w:r w:rsidR="00AC19F7">
        <w:rPr>
          <w:rFonts w:ascii="Book Antiqua" w:eastAsia="Book Antiqua" w:hAnsi="Book Antiqua" w:cs="Book Antiqua"/>
          <w:color w:val="000000"/>
        </w:rPr>
        <w:t>e</w:t>
      </w:r>
      <w:r w:rsidRPr="00EA2DA7">
        <w:rPr>
          <w:rFonts w:ascii="Book Antiqua" w:eastAsia="Book Antiqua" w:hAnsi="Book Antiqua" w:cs="Book Antiqua"/>
          <w:color w:val="000000"/>
        </w:rPr>
        <w:t>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 0.003).</w:t>
      </w:r>
    </w:p>
    <w:p w14:paraId="39B84D5F" w14:textId="45B022F3" w:rsidR="00053734" w:rsidRPr="00EA2DA7" w:rsidRDefault="00721F08" w:rsidP="00EA2DA7">
      <w:pPr>
        <w:spacing w:line="360" w:lineRule="auto"/>
        <w:ind w:firstLine="480"/>
        <w:jc w:val="both"/>
        <w:rPr>
          <w:rFonts w:ascii="Book Antiqua" w:hAnsi="Book Antiqua"/>
        </w:rPr>
      </w:pPr>
      <w:r w:rsidRPr="00EA2DA7">
        <w:rPr>
          <w:rFonts w:ascii="Book Antiqua" w:eastAsia="Book Antiqua" w:hAnsi="Book Antiqua" w:cs="Book Antiqua"/>
          <w:color w:val="000000"/>
        </w:rPr>
        <w:t>Stage based on the number of organ failures (stage 0: 0–1, stage 1: ≥ 2) was the most important independent risk factor affecting overall survival of</w:t>
      </w:r>
      <w:r w:rsidR="00AC19F7">
        <w:rPr>
          <w:rFonts w:ascii="Book Antiqua" w:eastAsia="Book Antiqua" w:hAnsi="Book Antiqua" w:cs="Book Antiqua"/>
          <w:color w:val="000000"/>
        </w:rPr>
        <w:t xml:space="preserve"> patients with</w:t>
      </w:r>
      <w:r w:rsidRPr="00EA2DA7">
        <w:rPr>
          <w:rFonts w:ascii="Book Antiqua" w:eastAsia="Book Antiqua" w:hAnsi="Book Antiqua" w:cs="Book Antiqua"/>
          <w:color w:val="000000"/>
        </w:rPr>
        <w:t xml:space="preserve"> HRS. The survival probability of stage 1 patients was &lt; 10% while that of stage 0 patients was &gt; 30%, which emphasized the essential role in predicting the prognosis of HRS (Figure 3D). Although female patients accounted for a small part of the whole cohort, they had a worse prognosis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0.01) (Figure 3E).</w:t>
      </w:r>
    </w:p>
    <w:p w14:paraId="6E7D05E8" w14:textId="77777777" w:rsidR="00053734" w:rsidRPr="00EA2DA7" w:rsidRDefault="00053734" w:rsidP="00EA2DA7">
      <w:pPr>
        <w:spacing w:line="360" w:lineRule="auto"/>
        <w:ind w:firstLine="480"/>
        <w:jc w:val="both"/>
        <w:rPr>
          <w:rFonts w:ascii="Book Antiqua" w:hAnsi="Book Antiqua"/>
        </w:rPr>
      </w:pPr>
    </w:p>
    <w:p w14:paraId="4D5891A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GIMNS score and other scores</w:t>
      </w:r>
    </w:p>
    <w:p w14:paraId="59D8EE50" w14:textId="778088D2" w:rsidR="00053734" w:rsidRPr="00EA2DA7" w:rsidRDefault="00AC19F7" w:rsidP="00EA2DA7">
      <w:pPr>
        <w:spacing w:line="360" w:lineRule="auto"/>
        <w:jc w:val="both"/>
        <w:rPr>
          <w:rFonts w:ascii="Book Antiqua" w:hAnsi="Book Antiqua"/>
        </w:rPr>
      </w:pP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GIMNS score was significantly higher in non-survivors in the derivation and validation cohorts (Figure 4A).</w:t>
      </w:r>
      <w:r>
        <w:rPr>
          <w:rFonts w:ascii="Book Antiqua" w:eastAsia="Book Antiqua" w:hAnsi="Book Antiqua" w:cs="Book Antiqua"/>
          <w:color w:val="000000"/>
        </w:rPr>
        <w:t xml:space="preserve"> The </w:t>
      </w:r>
      <w:r w:rsidR="00721F08" w:rsidRPr="00EA2DA7">
        <w:rPr>
          <w:rFonts w:ascii="Book Antiqua" w:eastAsia="Book Antiqua" w:hAnsi="Book Antiqua" w:cs="Book Antiqua"/>
          <w:color w:val="000000"/>
        </w:rPr>
        <w:t>GIMNS score was divided into three parts according to the upper and lower quartiles. According to the Kaplan–Meier curves, mortality increased with GIMNS score (</w:t>
      </w:r>
      <w:r w:rsidR="00721F08" w:rsidRPr="00EA2DA7">
        <w:rPr>
          <w:rFonts w:ascii="Book Antiqua" w:eastAsia="Book Antiqua" w:hAnsi="Book Antiqua" w:cs="Book Antiqua"/>
          <w:i/>
          <w:color w:val="000000"/>
        </w:rPr>
        <w:t>P</w:t>
      </w:r>
      <w:r w:rsidR="00721F08" w:rsidRPr="00EA2DA7">
        <w:rPr>
          <w:rFonts w:ascii="Book Antiqua" w:eastAsia="Book Antiqua" w:hAnsi="Book Antiqua" w:cs="Book Antiqua"/>
          <w:color w:val="000000"/>
        </w:rPr>
        <w:t xml:space="preserve"> &lt; 0.001) (Figure 4B). </w:t>
      </w:r>
      <w:r w:rsidR="00322BA3">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GIMNS score had a superior discrimination of risk of mortality of HRS patients. </w:t>
      </w:r>
      <w:r w:rsidR="00322BA3">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GIMNS score was positively correlated with </w:t>
      </w: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MELD, CLIF-SOFA</w:t>
      </w:r>
      <w:r>
        <w:rPr>
          <w:rFonts w:ascii="Book Antiqua" w:eastAsia="Book Antiqua" w:hAnsi="Book Antiqua" w:cs="Book Antiqua"/>
          <w:color w:val="000000"/>
        </w:rPr>
        <w:t>,</w:t>
      </w:r>
      <w:r w:rsidR="00721F08" w:rsidRPr="00EA2DA7">
        <w:rPr>
          <w:rFonts w:ascii="Book Antiqua" w:eastAsia="Book Antiqua" w:hAnsi="Book Antiqua" w:cs="Book Antiqua"/>
          <w:color w:val="000000"/>
        </w:rPr>
        <w:t xml:space="preserve"> and COSSH-ACLF scores (Figure 5A-C).</w:t>
      </w:r>
    </w:p>
    <w:p w14:paraId="723B5ECF" w14:textId="77777777" w:rsidR="00053734" w:rsidRPr="00EA2DA7" w:rsidRDefault="00053734" w:rsidP="00EA2DA7">
      <w:pPr>
        <w:spacing w:line="360" w:lineRule="auto"/>
        <w:jc w:val="both"/>
        <w:rPr>
          <w:rFonts w:ascii="Book Antiqua" w:hAnsi="Book Antiqua"/>
        </w:rPr>
      </w:pPr>
    </w:p>
    <w:p w14:paraId="6AB10CAE" w14:textId="24DE75B9"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 xml:space="preserve">Accuracy of </w:t>
      </w:r>
      <w:r w:rsidR="00322BA3">
        <w:rPr>
          <w:rFonts w:ascii="Book Antiqua" w:eastAsia="Book Antiqua" w:hAnsi="Book Antiqua" w:cs="Book Antiqua"/>
          <w:b/>
          <w:i/>
          <w:color w:val="000000"/>
        </w:rPr>
        <w:t xml:space="preserve">the </w:t>
      </w:r>
      <w:r w:rsidRPr="00EA2DA7">
        <w:rPr>
          <w:rFonts w:ascii="Book Antiqua" w:eastAsia="Book Antiqua" w:hAnsi="Book Antiqua" w:cs="Book Antiqua"/>
          <w:b/>
          <w:i/>
          <w:color w:val="000000"/>
        </w:rPr>
        <w:t>GIMNS score</w:t>
      </w:r>
    </w:p>
    <w:p w14:paraId="25405531" w14:textId="190DE151"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The </w:t>
      </w:r>
      <w:r w:rsidR="005E1FA5" w:rsidRPr="00EA2DA7">
        <w:rPr>
          <w:rFonts w:ascii="Book Antiqua" w:eastAsia="Book Antiqua" w:hAnsi="Book Antiqua" w:cs="Book Antiqua"/>
          <w:color w:val="000000"/>
        </w:rPr>
        <w:t xml:space="preserve">area under the receiver operating characteristic curve </w:t>
      </w:r>
      <w:r w:rsidR="005E1FA5">
        <w:rPr>
          <w:rFonts w:ascii="Book Antiqua" w:eastAsia="Book Antiqua" w:hAnsi="Book Antiqua" w:cs="Book Antiqua"/>
          <w:color w:val="000000"/>
        </w:rPr>
        <w:t>(</w:t>
      </w:r>
      <w:r w:rsidRPr="00EA2DA7">
        <w:rPr>
          <w:rFonts w:ascii="Book Antiqua" w:eastAsia="Book Antiqua" w:hAnsi="Book Antiqua" w:cs="Book Antiqua"/>
          <w:color w:val="000000"/>
        </w:rPr>
        <w:t>AUROC</w:t>
      </w:r>
      <w:r w:rsidR="005E1FA5">
        <w:rPr>
          <w:rFonts w:ascii="Book Antiqua" w:eastAsia="Book Antiqua" w:hAnsi="Book Antiqua" w:cs="Book Antiqua"/>
          <w:color w:val="000000"/>
        </w:rPr>
        <w:t>)</w:t>
      </w:r>
      <w:r w:rsidRPr="00EA2DA7">
        <w:rPr>
          <w:rFonts w:ascii="Book Antiqua" w:eastAsia="Book Antiqua" w:hAnsi="Book Antiqua" w:cs="Book Antiqua"/>
          <w:color w:val="000000"/>
        </w:rPr>
        <w:t xml:space="preserve"> of the GIMNS score for 28-d mortality was 0.830, with a sensitivity of 0.735 and specificity of 0.787 at a cut-off value of 0.36 (Table 4). The mortality rate of the upper quartile GIMNS score group was significantly higher than that of the lower quartile GIMNS score group. In the derivation cohort, the GIMNS score had significantly higher predictive power for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outcome of </w:t>
      </w:r>
      <w:r w:rsidRPr="00EA2DA7">
        <w:rPr>
          <w:rFonts w:ascii="Book Antiqua" w:eastAsia="Book Antiqua" w:hAnsi="Book Antiqua" w:cs="Book Antiqua"/>
          <w:color w:val="000000"/>
        </w:rPr>
        <w:lastRenderedPageBreak/>
        <w:t>HRS patients than did the MELD, CLIF-SOFA</w:t>
      </w:r>
      <w:r w:rsidR="005E1FA5">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scores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0.05) (Figure 5D). The AUROCs of GIMNS and other scoring systems are compared in Table 4. </w:t>
      </w:r>
    </w:p>
    <w:p w14:paraId="3010F472" w14:textId="77777777" w:rsidR="00053734" w:rsidRPr="00EA2DA7" w:rsidRDefault="00053734" w:rsidP="00EA2DA7">
      <w:pPr>
        <w:spacing w:line="360" w:lineRule="auto"/>
        <w:jc w:val="both"/>
        <w:rPr>
          <w:rFonts w:ascii="Book Antiqua" w:hAnsi="Book Antiqua"/>
        </w:rPr>
      </w:pPr>
    </w:p>
    <w:p w14:paraId="157E835F"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Validation of performance of GIMNS score</w:t>
      </w:r>
    </w:p>
    <w:p w14:paraId="318291B4" w14:textId="4489B22C"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The clinical and laboratory characteristics of the derivation and validation cohorts are shown in Table 1, which verified that there was no difference in the distribution of the characteristics between the cohorts. The mortality rate of the upper quartile GIMNS score group was significantly higher than that of the lower quartile GIMNS score group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&lt; 0.001). The AUROC of the GIMNS score model for 28-d mortality was 0.732, which was significantly better than that of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MELD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 0.038) and CLIF-SOFA (</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 0.049) score</w:t>
      </w:r>
      <w:r w:rsidR="005E1FA5">
        <w:rPr>
          <w:rFonts w:ascii="Book Antiqua" w:eastAsia="Book Antiqua" w:hAnsi="Book Antiqua" w:cs="Book Antiqua"/>
          <w:color w:val="000000"/>
        </w:rPr>
        <w:t>s</w:t>
      </w:r>
      <w:r w:rsidRPr="00EA2DA7">
        <w:rPr>
          <w:rFonts w:ascii="Book Antiqua" w:eastAsia="Book Antiqua" w:hAnsi="Book Antiqua" w:cs="Book Antiqua"/>
          <w:color w:val="000000"/>
        </w:rPr>
        <w:t xml:space="preserve"> and tended to be better than that of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COSSH-ACLF </w:t>
      </w:r>
      <w:r w:rsidR="005E1FA5">
        <w:rPr>
          <w:rFonts w:ascii="Book Antiqua" w:eastAsia="Book Antiqua" w:hAnsi="Book Antiqua" w:cs="Book Antiqua"/>
          <w:color w:val="000000"/>
        </w:rPr>
        <w:t xml:space="preserve">score </w:t>
      </w:r>
      <w:r w:rsidRPr="00EA2DA7">
        <w:rPr>
          <w:rFonts w:ascii="Book Antiqua" w:eastAsia="Book Antiqua" w:hAnsi="Book Antiqua" w:cs="Book Antiqua"/>
          <w:color w:val="000000"/>
        </w:rPr>
        <w:t>(</w:t>
      </w:r>
      <w:r w:rsidRPr="00EA2DA7">
        <w:rPr>
          <w:rFonts w:ascii="Book Antiqua" w:eastAsia="Book Antiqua" w:hAnsi="Book Antiqua" w:cs="Book Antiqua"/>
          <w:i/>
          <w:color w:val="000000"/>
        </w:rPr>
        <w:t>P</w:t>
      </w:r>
      <w:r w:rsidRPr="00EA2DA7">
        <w:rPr>
          <w:rFonts w:ascii="Book Antiqua" w:eastAsia="Book Antiqua" w:hAnsi="Book Antiqua" w:cs="Book Antiqua"/>
          <w:color w:val="000000"/>
        </w:rPr>
        <w:t xml:space="preserve"> = 0.122) (Figure 5E). The AUROCs of GIMNS and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other scoring systems </w:t>
      </w:r>
      <w:r w:rsidR="005E1FA5">
        <w:rPr>
          <w:rFonts w:ascii="Book Antiqua" w:eastAsia="Book Antiqua" w:hAnsi="Book Antiqua" w:cs="Book Antiqua"/>
          <w:color w:val="000000"/>
        </w:rPr>
        <w:t>we</w:t>
      </w:r>
      <w:r w:rsidRPr="00EA2DA7">
        <w:rPr>
          <w:rFonts w:ascii="Book Antiqua" w:eastAsia="Book Antiqua" w:hAnsi="Book Antiqua" w:cs="Book Antiqua"/>
          <w:color w:val="000000"/>
        </w:rPr>
        <w:t>re compared in Table 4.</w:t>
      </w:r>
    </w:p>
    <w:p w14:paraId="791C7716" w14:textId="77777777" w:rsidR="00053734" w:rsidRPr="00EA2DA7" w:rsidRDefault="00053734" w:rsidP="00EA2DA7">
      <w:pPr>
        <w:spacing w:line="360" w:lineRule="auto"/>
        <w:jc w:val="both"/>
        <w:rPr>
          <w:rFonts w:ascii="Book Antiqua" w:hAnsi="Book Antiqua"/>
        </w:rPr>
      </w:pPr>
    </w:p>
    <w:p w14:paraId="541178E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DISCUSSION</w:t>
      </w:r>
    </w:p>
    <w:p w14:paraId="3D57538A" w14:textId="1B835413"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In this study, we developed a novel model for prediction of prognosis of HRS</w:t>
      </w:r>
      <w:r w:rsidR="00F06E14">
        <w:rPr>
          <w:rFonts w:ascii="Book Antiqua" w:eastAsia="Book Antiqua" w:hAnsi="Book Antiqua" w:cs="Book Antiqua"/>
          <w:color w:val="000000"/>
        </w:rPr>
        <w:t xml:space="preserve"> called</w:t>
      </w:r>
      <w:r w:rsidRPr="00EA2DA7">
        <w:rPr>
          <w:rFonts w:ascii="Book Antiqua" w:eastAsia="Book Antiqua" w:hAnsi="Book Antiqua" w:cs="Book Antiqua"/>
          <w:color w:val="000000"/>
        </w:rPr>
        <w:t xml:space="preserve"> GIMNS, which had better accuracy than the traditional scoring systems MELD and CLIF-SOFA and a larger AUROC than COSSH-ACLF. GIMNS contains five prognostic factors</w:t>
      </w:r>
      <w:r w:rsidR="00F06E14">
        <w:rPr>
          <w:rFonts w:ascii="Book Antiqua" w:eastAsia="Book Antiqua" w:hAnsi="Book Antiqua" w:cs="Book Antiqua"/>
          <w:color w:val="000000"/>
        </w:rPr>
        <w:t>:</w:t>
      </w:r>
      <w:r w:rsidRPr="00EA2DA7">
        <w:rPr>
          <w:rFonts w:ascii="Book Antiqua" w:eastAsia="Book Antiqua" w:hAnsi="Book Antiqua" w:cs="Book Antiqua"/>
          <w:color w:val="000000"/>
        </w:rPr>
        <w:t xml:space="preserve"> gender, INR, MCHC, neutrophil percentage</w:t>
      </w:r>
      <w:r w:rsidR="00F06E14">
        <w:rPr>
          <w:rFonts w:ascii="Book Antiqua" w:eastAsia="Book Antiqua" w:hAnsi="Book Antiqua" w:cs="Book Antiqua"/>
          <w:color w:val="000000"/>
        </w:rPr>
        <w:t>,</w:t>
      </w:r>
      <w:r w:rsidRPr="00EA2DA7">
        <w:rPr>
          <w:rFonts w:ascii="Book Antiqua" w:eastAsia="Book Antiqua" w:hAnsi="Book Antiqua" w:cs="Book Antiqua"/>
          <w:color w:val="000000"/>
        </w:rPr>
        <w:t xml:space="preserve"> and stage. </w:t>
      </w:r>
    </w:p>
    <w:p w14:paraId="37D7E846" w14:textId="183D291B" w:rsidR="00F06E14"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 xml:space="preserve">INR is normally used in scoring systems to evaluate the severity of advanced liver diseases. In our study, different quartiles of INR indeed resulted in significantly different survival rates. Patients with higher INR have problems with blood coagulation and have a worse outcome. There was an obvious survival benefit in male patients, although the proportion of female patients was smaller, accounting for only 23.2% of the whole cohort. This suggests that female HRS patients should be </w:t>
      </w:r>
      <w:r w:rsidR="00F06E14">
        <w:rPr>
          <w:rFonts w:ascii="Book Antiqua" w:eastAsia="Book Antiqua" w:hAnsi="Book Antiqua" w:cs="Book Antiqua"/>
          <w:color w:val="000000"/>
        </w:rPr>
        <w:t>given</w:t>
      </w:r>
      <w:r w:rsidRPr="00EA2DA7">
        <w:rPr>
          <w:rFonts w:ascii="Book Antiqua" w:eastAsia="Book Antiqua" w:hAnsi="Book Antiqua" w:cs="Book Antiqua"/>
          <w:color w:val="000000"/>
        </w:rPr>
        <w:t xml:space="preserve"> more attention than usual</w:t>
      </w:r>
      <w:r w:rsidRPr="00EA2DA7">
        <w:rPr>
          <w:rFonts w:ascii="Book Antiqua" w:eastAsia="Book Antiqua" w:hAnsi="Book Antiqua" w:cs="Book Antiqua"/>
          <w:color w:val="000000"/>
          <w:vertAlign w:val="superscript"/>
        </w:rPr>
        <w:t>[11]</w:t>
      </w:r>
      <w:r w:rsidRPr="00EA2DA7">
        <w:rPr>
          <w:rFonts w:ascii="Book Antiqua" w:eastAsia="Book Antiqua" w:hAnsi="Book Antiqua" w:cs="Book Antiqua"/>
          <w:color w:val="000000"/>
        </w:rPr>
        <w:t xml:space="preserve">. </w:t>
      </w:r>
    </w:p>
    <w:p w14:paraId="319C4BA6" w14:textId="507CB87B" w:rsidR="00F44AFE"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 xml:space="preserve">MCHC has traditionally been a subordinate process to diagnose the type of anemia combined with MCH and mean corpuscular volume. However, the association between MCHC and outcome of HRS, especially the role of MCHC in predicting survival, has been ignored. We found that when adjusted by other confounding factors in multivariate Cox analysis, the mortality risk of patients in the lower quartile of MCHC was nearly twice that of patients in the upper quartile (data not shown). </w:t>
      </w:r>
    </w:p>
    <w:p w14:paraId="087ECD7E" w14:textId="5BBE3487" w:rsidR="00F44AFE"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lastRenderedPageBreak/>
        <w:t>It has been shown that advanced cirrhosis is linked to increased serum levels of proinflammatory cytokines, which are common triggers of HRS</w:t>
      </w:r>
      <w:r w:rsidRPr="00EA2DA7">
        <w:rPr>
          <w:rFonts w:ascii="Book Antiqua" w:eastAsia="Book Antiqua" w:hAnsi="Book Antiqua" w:cs="Book Antiqua"/>
          <w:color w:val="000000"/>
          <w:vertAlign w:val="superscript"/>
        </w:rPr>
        <w:t>[12,13]</w:t>
      </w:r>
      <w:r w:rsidRPr="00EA2DA7">
        <w:rPr>
          <w:rFonts w:ascii="Book Antiqua" w:eastAsia="Book Antiqua" w:hAnsi="Book Antiqua" w:cs="Book Antiqua"/>
          <w:color w:val="000000"/>
        </w:rPr>
        <w:t>. These cytokines somehow cause kidney dysfunction. Neutrophil percentage reflects inflammatory state. Also, different neutrophil percentages divided by upper and lower quartiles resulted in different outcomes, meaning that patients with lower neutrophil percentage achieve</w:t>
      </w:r>
      <w:r w:rsidR="00F44AFE">
        <w:rPr>
          <w:rFonts w:ascii="Book Antiqua" w:eastAsia="Book Antiqua" w:hAnsi="Book Antiqua" w:cs="Book Antiqua"/>
          <w:color w:val="000000"/>
        </w:rPr>
        <w:t>d</w:t>
      </w:r>
      <w:r w:rsidRPr="00EA2DA7">
        <w:rPr>
          <w:rFonts w:ascii="Book Antiqua" w:eastAsia="Book Antiqua" w:hAnsi="Book Antiqua" w:cs="Book Antiqua"/>
          <w:color w:val="000000"/>
        </w:rPr>
        <w:t xml:space="preserve"> a survival benefit. </w:t>
      </w:r>
    </w:p>
    <w:p w14:paraId="5A2C9C04" w14:textId="5323659E"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 xml:space="preserve">For the first time, we incorporated the number of organ failures into the prognostic scoring system and divided the entire cohort into two, stage 0 with </w:t>
      </w:r>
      <w:r w:rsidR="00F44AFE">
        <w:rPr>
          <w:rFonts w:ascii="Book Antiqua" w:eastAsia="Book Antiqua" w:hAnsi="Book Antiqua" w:cs="Book Antiqua"/>
          <w:color w:val="000000"/>
        </w:rPr>
        <w:t>zero</w:t>
      </w:r>
      <w:r w:rsidRPr="00EA2DA7">
        <w:rPr>
          <w:rFonts w:ascii="Book Antiqua" w:eastAsia="Book Antiqua" w:hAnsi="Book Antiqua" w:cs="Book Antiqua"/>
          <w:color w:val="000000"/>
        </w:rPr>
        <w:t xml:space="preserve"> or </w:t>
      </w:r>
      <w:r w:rsidR="00F44AFE">
        <w:rPr>
          <w:rFonts w:ascii="Book Antiqua" w:eastAsia="Book Antiqua" w:hAnsi="Book Antiqua" w:cs="Book Antiqua"/>
          <w:color w:val="000000"/>
        </w:rPr>
        <w:t>one</w:t>
      </w:r>
      <w:r w:rsidRPr="00EA2DA7">
        <w:rPr>
          <w:rFonts w:ascii="Book Antiqua" w:eastAsia="Book Antiqua" w:hAnsi="Book Antiqua" w:cs="Book Antiqua"/>
          <w:color w:val="000000"/>
        </w:rPr>
        <w:t xml:space="preserve"> organ failure, except renal failure, and stage 1 with ≥ </w:t>
      </w:r>
      <w:r w:rsidR="00F44AFE">
        <w:rPr>
          <w:rFonts w:ascii="Book Antiqua" w:eastAsia="Book Antiqua" w:hAnsi="Book Antiqua" w:cs="Book Antiqua"/>
          <w:color w:val="000000"/>
        </w:rPr>
        <w:t>two</w:t>
      </w:r>
      <w:r w:rsidRPr="00EA2DA7">
        <w:rPr>
          <w:rFonts w:ascii="Book Antiqua" w:eastAsia="Book Antiqua" w:hAnsi="Book Antiqua" w:cs="Book Antiqua"/>
          <w:color w:val="000000"/>
        </w:rPr>
        <w:t xml:space="preserve"> organ failures. From the multivariate Cox analysis, we found that the 28-d mortality was significantly higher in stage 1 HRS</w:t>
      </w:r>
      <w:r w:rsidR="00D93FBF">
        <w:rPr>
          <w:rFonts w:ascii="Book Antiqua" w:eastAsia="Book Antiqua" w:hAnsi="Book Antiqua" w:cs="Book Antiqua"/>
          <w:color w:val="000000"/>
        </w:rPr>
        <w:t>,</w:t>
      </w:r>
      <w:r w:rsidRPr="00EA2DA7">
        <w:rPr>
          <w:rFonts w:ascii="Book Antiqua" w:eastAsia="Book Antiqua" w:hAnsi="Book Antiqua" w:cs="Book Antiqua"/>
          <w:color w:val="000000"/>
        </w:rPr>
        <w:t xml:space="preserve"> and the risk of stage 1 was almost </w:t>
      </w:r>
      <w:r w:rsidR="00D93FBF">
        <w:rPr>
          <w:rFonts w:ascii="Book Antiqua" w:eastAsia="Book Antiqua" w:hAnsi="Book Antiqua" w:cs="Book Antiqua"/>
          <w:color w:val="000000"/>
        </w:rPr>
        <w:t>three</w:t>
      </w:r>
      <w:r w:rsidRPr="00EA2DA7">
        <w:rPr>
          <w:rFonts w:ascii="Book Antiqua" w:eastAsia="Book Antiqua" w:hAnsi="Book Antiqua" w:cs="Book Antiqua"/>
          <w:color w:val="000000"/>
        </w:rPr>
        <w:t xml:space="preserve"> times that of stage 0 HRS. Organ failures have been used in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CLIF-SOFA score to evaluate the severity of advanced liver diseases</w:t>
      </w:r>
      <w:r w:rsidRPr="00EA2DA7">
        <w:rPr>
          <w:rFonts w:ascii="Book Antiqua" w:eastAsia="Book Antiqua" w:hAnsi="Book Antiqua" w:cs="Book Antiqua"/>
          <w:color w:val="000000"/>
          <w:vertAlign w:val="superscript"/>
        </w:rPr>
        <w:t>[14]</w:t>
      </w:r>
      <w:r w:rsidRPr="00EA2DA7">
        <w:rPr>
          <w:rFonts w:ascii="Book Antiqua" w:eastAsia="Book Antiqua" w:hAnsi="Book Antiqua" w:cs="Book Antiqua"/>
          <w:color w:val="000000"/>
        </w:rPr>
        <w:t xml:space="preserve">. Studies on the relationship between organ failure and prognosis of HRS are rare. It is essential to take this into consideration when developing a prognostic tool, either predicting the mortality or managing the liver transplantation waiting list. </w:t>
      </w:r>
    </w:p>
    <w:p w14:paraId="7C6A18D8" w14:textId="0FFE4115" w:rsidR="00053734" w:rsidRPr="00EA2DA7" w:rsidRDefault="005E1FA5" w:rsidP="00EA2DA7">
      <w:pPr>
        <w:spacing w:line="360" w:lineRule="auto"/>
        <w:ind w:firstLine="420"/>
        <w:jc w:val="both"/>
        <w:rPr>
          <w:rFonts w:ascii="Book Antiqua" w:hAnsi="Book Antiqua"/>
        </w:rPr>
      </w:pP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GIMNS score considered five prognostic factors and had better accuracy than </w:t>
      </w: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MELD and CLIF-SOFA scores in the derivation and validation cohorts. It also had a trend toward greater accuracy than </w:t>
      </w:r>
      <w:r w:rsidR="00D93FBF">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COSSH-ACLF had. </w:t>
      </w: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MELD score has been widely used in advanced liver diseases and plays an important role in liver graft allocation policy</w:t>
      </w:r>
      <w:r w:rsidR="00721F08" w:rsidRPr="00EA2DA7">
        <w:rPr>
          <w:rFonts w:ascii="Book Antiqua" w:eastAsia="Book Antiqua" w:hAnsi="Book Antiqua" w:cs="Book Antiqua"/>
          <w:color w:val="000000"/>
          <w:vertAlign w:val="superscript"/>
        </w:rPr>
        <w:t>[15]</w:t>
      </w:r>
      <w:r w:rsidR="00721F08" w:rsidRPr="00EA2DA7">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MELD score is associated with 3-mo survival and can alter overall graft and outcome of HRS after transplantation. There is no doubt that</w:t>
      </w:r>
      <w:r>
        <w:rPr>
          <w:rFonts w:ascii="Book Antiqua" w:eastAsia="Book Antiqua" w:hAnsi="Book Antiqua" w:cs="Book Antiqua"/>
          <w:color w:val="000000"/>
        </w:rPr>
        <w:t xml:space="preserve"> the</w:t>
      </w:r>
      <w:r w:rsidR="00721F08" w:rsidRPr="00EA2DA7">
        <w:rPr>
          <w:rFonts w:ascii="Book Antiqua" w:eastAsia="Book Antiqua" w:hAnsi="Book Antiqua" w:cs="Book Antiqua"/>
          <w:color w:val="000000"/>
        </w:rPr>
        <w:t xml:space="preserve"> MELD score has been the first choice when evaluating prognosis of HRS and managing waiting lists for liver transplantation. However, with deeper understanding of HRS, more prognostic factors associated with HRS have been included</w:t>
      </w:r>
      <w:r w:rsidR="00D93FBF">
        <w:rPr>
          <w:rFonts w:ascii="Book Antiqua" w:eastAsia="Book Antiqua" w:hAnsi="Book Antiqua" w:cs="Book Antiqua"/>
          <w:color w:val="000000"/>
        </w:rPr>
        <w:t>,</w:t>
      </w:r>
      <w:r w:rsidR="00721F08" w:rsidRPr="00EA2DA7">
        <w:rPr>
          <w:rFonts w:ascii="Book Antiqua" w:eastAsia="Book Antiqua" w:hAnsi="Book Antiqua" w:cs="Book Antiqua"/>
          <w:color w:val="000000"/>
        </w:rPr>
        <w:t xml:space="preserve"> and a new score for predicting the mortality of HRS should be developed. </w:t>
      </w:r>
    </w:p>
    <w:p w14:paraId="09212FD1" w14:textId="77777777" w:rsidR="002E1962"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Preceding studies have found that gender is not associated with AKI, including HRS. However, we found that female patients were in more danger compared with male patients. Previous research has shown that predictors of AKI improvement are absence of alcoholic hepatitis, baseline creatinine</w:t>
      </w:r>
      <w:r w:rsidR="002E1962">
        <w:rPr>
          <w:rFonts w:ascii="Book Antiqua" w:eastAsia="Book Antiqua" w:hAnsi="Book Antiqua" w:cs="Book Antiqua"/>
          <w:color w:val="000000"/>
        </w:rPr>
        <w:t>,</w:t>
      </w:r>
      <w:r w:rsidRPr="00EA2DA7">
        <w:rPr>
          <w:rFonts w:ascii="Book Antiqua" w:eastAsia="Book Antiqua" w:hAnsi="Book Antiqua" w:cs="Book Antiqua"/>
          <w:color w:val="000000"/>
        </w:rPr>
        <w:t xml:space="preserve"> and male gender</w:t>
      </w:r>
      <w:r w:rsidRPr="00EA2DA7">
        <w:rPr>
          <w:rFonts w:ascii="Book Antiqua" w:eastAsia="Book Antiqua" w:hAnsi="Book Antiqua" w:cs="Book Antiqua"/>
          <w:color w:val="000000"/>
          <w:vertAlign w:val="superscript"/>
        </w:rPr>
        <w:t>[11]</w:t>
      </w:r>
      <w:r w:rsidRPr="00EA2DA7">
        <w:rPr>
          <w:rFonts w:ascii="Book Antiqua" w:eastAsia="Book Antiqua" w:hAnsi="Book Antiqua" w:cs="Book Antiqua"/>
          <w:color w:val="000000"/>
        </w:rPr>
        <w:t xml:space="preserve">. Male patients performed better in AKI, including HRS. In the derivation cohort, 72.2% of male patients and 86.8% </w:t>
      </w:r>
      <w:r w:rsidRPr="00EA2DA7">
        <w:rPr>
          <w:rFonts w:ascii="Book Antiqua" w:eastAsia="Book Antiqua" w:hAnsi="Book Antiqua" w:cs="Book Antiqua"/>
          <w:color w:val="000000"/>
        </w:rPr>
        <w:lastRenderedPageBreak/>
        <w:t xml:space="preserve">of female patients died. The mortality risk in female patients was almost twice that in male patients. Thus, female patients have been ignored for a long time and more attention should be paid to this group. </w:t>
      </w:r>
    </w:p>
    <w:p w14:paraId="07BFEAC8" w14:textId="7D87F4B7" w:rsidR="002E1962"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INR has long been used as an indicator to evaluate advanced liver diseases, and it is widely used in different scoring systems, such as MELD, CLIF-SOFA</w:t>
      </w:r>
      <w:r w:rsidR="002E1962">
        <w:rPr>
          <w:rFonts w:ascii="Book Antiqua" w:eastAsia="Book Antiqua" w:hAnsi="Book Antiqua" w:cs="Book Antiqua"/>
          <w:color w:val="000000"/>
        </w:rPr>
        <w:t>,</w:t>
      </w:r>
      <w:r w:rsidRPr="00EA2DA7">
        <w:rPr>
          <w:rFonts w:ascii="Book Antiqua" w:eastAsia="Book Antiqua" w:hAnsi="Book Antiqua" w:cs="Book Antiqua"/>
          <w:color w:val="000000"/>
        </w:rPr>
        <w:t xml:space="preserve"> and COSSH-ACLF. INR can reflect coagulation function, and according to the Kaplan–Meier curves, patients with higher INR can have poor outcome. If</w:t>
      </w:r>
      <w:r w:rsidR="002E1962">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INR level is &gt; 2.5</w:t>
      </w:r>
      <w:r w:rsidR="002E1962">
        <w:rPr>
          <w:rFonts w:ascii="Book Antiqua" w:eastAsia="Book Antiqua" w:hAnsi="Book Antiqua" w:cs="Book Antiqua"/>
          <w:color w:val="000000"/>
        </w:rPr>
        <w:t>0</w:t>
      </w:r>
      <w:r w:rsidRPr="00EA2DA7">
        <w:rPr>
          <w:rFonts w:ascii="Book Antiqua" w:eastAsia="Book Antiqua" w:hAnsi="Book Antiqua" w:cs="Book Antiqua"/>
          <w:color w:val="000000"/>
        </w:rPr>
        <w:t>, mortality is 95.0%, while if it is &lt; 1.84, mortality can decrease to 64.0%. MCHC can also predict 28-d mortality of HRS partly because of kidney and liver dysfunction. Although the underlying pathological mechanism of MCHC remains unclear, it is associated with outcome of HRS and thus can act as a prognostic factor. Erythrocyte indices contain MCHC, MCH</w:t>
      </w:r>
      <w:r w:rsidR="002E1962">
        <w:rPr>
          <w:rFonts w:ascii="Book Antiqua" w:eastAsia="Book Antiqua" w:hAnsi="Book Antiqua" w:cs="Book Antiqua"/>
          <w:color w:val="000000"/>
        </w:rPr>
        <w:t>,</w:t>
      </w:r>
      <w:r w:rsidRPr="00EA2DA7">
        <w:rPr>
          <w:rFonts w:ascii="Book Antiqua" w:eastAsia="Book Antiqua" w:hAnsi="Book Antiqua" w:cs="Book Antiqua"/>
          <w:color w:val="000000"/>
        </w:rPr>
        <w:t xml:space="preserve"> and </w:t>
      </w:r>
      <w:r w:rsidR="00F06E14" w:rsidRPr="00EA2DA7">
        <w:rPr>
          <w:rFonts w:ascii="Book Antiqua" w:eastAsia="Book Antiqua" w:hAnsi="Book Antiqua" w:cs="Book Antiqua"/>
          <w:color w:val="000000"/>
        </w:rPr>
        <w:t>mean corpuscular volume</w:t>
      </w:r>
      <w:r w:rsidRPr="00EA2DA7">
        <w:rPr>
          <w:rFonts w:ascii="Book Antiqua" w:eastAsia="Book Antiqua" w:hAnsi="Book Antiqua" w:cs="Book Antiqua"/>
          <w:color w:val="000000"/>
        </w:rPr>
        <w:t xml:space="preserve">. MCH and </w:t>
      </w:r>
      <w:r w:rsidR="00F06E14" w:rsidRPr="00EA2DA7">
        <w:rPr>
          <w:rFonts w:ascii="Book Antiqua" w:eastAsia="Book Antiqua" w:hAnsi="Book Antiqua" w:cs="Book Antiqua"/>
          <w:color w:val="000000"/>
        </w:rPr>
        <w:t>mean corpuscular volume</w:t>
      </w:r>
      <w:r w:rsidRPr="00EA2DA7">
        <w:rPr>
          <w:rFonts w:ascii="Book Antiqua" w:eastAsia="Book Antiqua" w:hAnsi="Book Antiqua" w:cs="Book Antiqua"/>
          <w:color w:val="000000"/>
        </w:rPr>
        <w:t xml:space="preserve"> have no relationship with </w:t>
      </w:r>
      <w:r w:rsidR="002E1962">
        <w:rPr>
          <w:rFonts w:ascii="Book Antiqua" w:eastAsia="Book Antiqua" w:hAnsi="Book Antiqua" w:cs="Book Antiqua"/>
          <w:color w:val="000000"/>
        </w:rPr>
        <w:t xml:space="preserve">the </w:t>
      </w:r>
      <w:r w:rsidRPr="00EA2DA7">
        <w:rPr>
          <w:rFonts w:ascii="Book Antiqua" w:eastAsia="Book Antiqua" w:hAnsi="Book Antiqua" w:cs="Book Antiqua"/>
          <w:color w:val="000000"/>
        </w:rPr>
        <w:t>prognosis of HRS. A previous retrospective study proposed that MCHC is independently associated with occurrence of HRS</w:t>
      </w:r>
      <w:r w:rsidRPr="00EA2DA7">
        <w:rPr>
          <w:rFonts w:ascii="Book Antiqua" w:eastAsia="Book Antiqua" w:hAnsi="Book Antiqua" w:cs="Book Antiqua"/>
          <w:color w:val="000000"/>
          <w:vertAlign w:val="superscript"/>
        </w:rPr>
        <w:t>[16]</w:t>
      </w:r>
      <w:r w:rsidRPr="00EA2DA7">
        <w:rPr>
          <w:rFonts w:ascii="Book Antiqua" w:eastAsia="Book Antiqua" w:hAnsi="Book Antiqua" w:cs="Book Antiqua"/>
          <w:color w:val="000000"/>
        </w:rPr>
        <w:t xml:space="preserve">. However, study on the association between MCHC and prognosis of HRS has not continued. </w:t>
      </w:r>
    </w:p>
    <w:p w14:paraId="0D481D0B" w14:textId="2D681F0C" w:rsidR="00053734" w:rsidRPr="00EA2DA7" w:rsidRDefault="005E1FA5" w:rsidP="00EA2DA7">
      <w:pPr>
        <w:spacing w:line="360" w:lineRule="auto"/>
        <w:ind w:firstLine="420"/>
        <w:jc w:val="both"/>
        <w:rPr>
          <w:rFonts w:ascii="Book Antiqua" w:hAnsi="Book Antiqua"/>
        </w:rPr>
      </w:pP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GIMNS score is the first system to incorporate organ failure. It has been utilized in </w:t>
      </w: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ACLF score to stratify patients. It is classed as ACLF-1, ACLF-2</w:t>
      </w:r>
      <w:r w:rsidR="002E1962">
        <w:rPr>
          <w:rFonts w:ascii="Book Antiqua" w:eastAsia="Book Antiqua" w:hAnsi="Book Antiqua" w:cs="Book Antiqua"/>
          <w:color w:val="000000"/>
        </w:rPr>
        <w:t>,</w:t>
      </w:r>
      <w:r w:rsidR="00721F08" w:rsidRPr="00EA2DA7">
        <w:rPr>
          <w:rFonts w:ascii="Book Antiqua" w:eastAsia="Book Antiqua" w:hAnsi="Book Antiqua" w:cs="Book Antiqua"/>
          <w:color w:val="000000"/>
        </w:rPr>
        <w:t xml:space="preserve"> and ACLF-3 according to the number of organ failures</w:t>
      </w:r>
      <w:r w:rsidR="002E1962">
        <w:rPr>
          <w:rFonts w:ascii="Book Antiqua" w:eastAsia="Book Antiqua" w:hAnsi="Book Antiqua" w:cs="Book Antiqua"/>
          <w:color w:val="000000"/>
        </w:rPr>
        <w:t>,</w:t>
      </w:r>
      <w:r w:rsidR="00721F08" w:rsidRPr="00EA2DA7">
        <w:rPr>
          <w:rFonts w:ascii="Book Antiqua" w:eastAsia="Book Antiqua" w:hAnsi="Book Antiqua" w:cs="Book Antiqua"/>
          <w:color w:val="000000"/>
        </w:rPr>
        <w:t xml:space="preserve"> and this grade is significantly associated with outcome of ACLF. As HRS is a severe complication of end-stage cirrhosis, we previously proposed that stratification by the number of organ failures, like ACLF grade, could be useful for predicting prognosis of HRS. Finally, stage was found to be an important prognostic factor. </w:t>
      </w:r>
    </w:p>
    <w:p w14:paraId="4AE62D91" w14:textId="729BA882" w:rsidR="00516CC6" w:rsidRDefault="00721F08" w:rsidP="00EA2DA7">
      <w:pPr>
        <w:spacing w:line="360" w:lineRule="auto"/>
        <w:ind w:firstLine="420"/>
        <w:jc w:val="both"/>
        <w:rPr>
          <w:rFonts w:ascii="Book Antiqua" w:eastAsia="Book Antiqua" w:hAnsi="Book Antiqua" w:cs="Book Antiqua"/>
          <w:color w:val="000000"/>
        </w:rPr>
      </w:pPr>
      <w:r w:rsidRPr="00EA2DA7">
        <w:rPr>
          <w:rFonts w:ascii="Book Antiqua" w:eastAsia="Book Antiqua" w:hAnsi="Book Antiqua" w:cs="Book Antiqua"/>
          <w:color w:val="000000"/>
        </w:rPr>
        <w:t xml:space="preserve">There have been some studies on factors associated with outcome of HRS, mainly mortality or reversal of HRS. One retrospective study has shown a death risk prediction score model included four independent risk factors: liver cancer, neutrophil &gt; 70%, </w:t>
      </w:r>
      <w:r w:rsidR="00D17F47" w:rsidRPr="00EA2DA7">
        <w:rPr>
          <w:rFonts w:ascii="Book Antiqua" w:eastAsia="Book Antiqua" w:hAnsi="Book Antiqua" w:cs="Book Antiqua"/>
          <w:color w:val="000000"/>
        </w:rPr>
        <w:t>alanine aminotransferase</w:t>
      </w:r>
      <w:r w:rsidRPr="00EA2DA7">
        <w:rPr>
          <w:rFonts w:ascii="Book Antiqua" w:eastAsia="Book Antiqua" w:hAnsi="Book Antiqua" w:cs="Book Antiqua"/>
          <w:color w:val="000000"/>
        </w:rPr>
        <w:t xml:space="preserve"> &gt; 40 U/L, and creatinine &gt; 127 mmol/L</w:t>
      </w:r>
      <w:r w:rsidRPr="00EA2DA7">
        <w:rPr>
          <w:rFonts w:ascii="Book Antiqua" w:eastAsia="Book Antiqua" w:hAnsi="Book Antiqua" w:cs="Book Antiqua"/>
          <w:color w:val="000000"/>
          <w:vertAlign w:val="superscript"/>
        </w:rPr>
        <w:t>[17]</w:t>
      </w:r>
      <w:r w:rsidRPr="00EA2DA7">
        <w:rPr>
          <w:rFonts w:ascii="Book Antiqua" w:eastAsia="Book Antiqua" w:hAnsi="Book Antiqua" w:cs="Book Antiqua"/>
          <w:color w:val="000000"/>
        </w:rPr>
        <w:t>. It confirmed the essential role of neutrophil percentage in predicting mortality of HRS, although liver cancer should be excluded as it could be a competitive factor for mortality. We compared the creatinine level</w:t>
      </w:r>
      <w:r w:rsidR="002E1962">
        <w:rPr>
          <w:rFonts w:ascii="Book Antiqua" w:eastAsia="Book Antiqua" w:hAnsi="Book Antiqua" w:cs="Book Antiqua"/>
          <w:color w:val="000000"/>
        </w:rPr>
        <w:t>s</w:t>
      </w:r>
      <w:r w:rsidRPr="00EA2DA7">
        <w:rPr>
          <w:rFonts w:ascii="Book Antiqua" w:eastAsia="Book Antiqua" w:hAnsi="Book Antiqua" w:cs="Book Antiqua"/>
          <w:color w:val="000000"/>
        </w:rPr>
        <w:t xml:space="preserve"> between non-survivors and survivors in the derivation and validation cohorts</w:t>
      </w:r>
      <w:r w:rsidR="002E1962">
        <w:rPr>
          <w:rFonts w:ascii="Book Antiqua" w:eastAsia="Book Antiqua" w:hAnsi="Book Antiqua" w:cs="Book Antiqua"/>
          <w:color w:val="000000"/>
        </w:rPr>
        <w:t>,</w:t>
      </w:r>
      <w:r w:rsidRPr="00EA2DA7">
        <w:rPr>
          <w:rFonts w:ascii="Book Antiqua" w:eastAsia="Book Antiqua" w:hAnsi="Book Antiqua" w:cs="Book Antiqua"/>
          <w:color w:val="000000"/>
        </w:rPr>
        <w:t xml:space="preserve"> and there was no significant difference. Consistently, creatinine level </w:t>
      </w:r>
      <w:r w:rsidRPr="00EA2DA7">
        <w:rPr>
          <w:rFonts w:ascii="Book Antiqua" w:eastAsia="Book Antiqua" w:hAnsi="Book Antiqua" w:cs="Book Antiqua"/>
          <w:color w:val="000000"/>
        </w:rPr>
        <w:lastRenderedPageBreak/>
        <w:t>was not associated with 28-d mortality. Another study showed that serum creatinine and urinary sodium at the time of diagnosis were associated with survival in univariate Cox analysis, but when adjusted by other confounding factors, serum creatinine had no relationship with outcome of HRS</w:t>
      </w:r>
      <w:r w:rsidRPr="00EA2DA7">
        <w:rPr>
          <w:rFonts w:ascii="Book Antiqua" w:eastAsia="Book Antiqua" w:hAnsi="Book Antiqua" w:cs="Book Antiqua"/>
          <w:color w:val="000000"/>
          <w:vertAlign w:val="superscript"/>
        </w:rPr>
        <w:t>[18]</w:t>
      </w:r>
      <w:r w:rsidRPr="00EA2DA7">
        <w:rPr>
          <w:rFonts w:ascii="Book Antiqua" w:eastAsia="Book Antiqua" w:hAnsi="Book Antiqua" w:cs="Book Antiqua"/>
          <w:color w:val="000000"/>
        </w:rPr>
        <w:t xml:space="preserve">. All the above results confirm that, although creatinine level defines the severity of AKI, it cannot help to predict the prognosis of HRS. </w:t>
      </w:r>
    </w:p>
    <w:p w14:paraId="228EEB2A" w14:textId="589C884C"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 xml:space="preserve">A retrospective study from a tertiary center created a new score that was an extension of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MELD score, including changes in serum bilirubin, creatinine, and albumin level during admission, to predict prognosis of type-1 HRS</w:t>
      </w:r>
      <w:r w:rsidRPr="00EA2DA7">
        <w:rPr>
          <w:rFonts w:ascii="Book Antiqua" w:eastAsia="Book Antiqua" w:hAnsi="Book Antiqua" w:cs="Book Antiqua"/>
          <w:color w:val="000000"/>
          <w:vertAlign w:val="superscript"/>
        </w:rPr>
        <w:t>[19]</w:t>
      </w:r>
      <w:r w:rsidRPr="00EA2DA7">
        <w:rPr>
          <w:rFonts w:ascii="Book Antiqua" w:eastAsia="Book Antiqua" w:hAnsi="Book Antiqua" w:cs="Book Antiqua"/>
          <w:color w:val="000000"/>
        </w:rPr>
        <w:t xml:space="preserve">. Although the concept of HRS-1 has been abandoned, it still helps to construct better prediction models.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MELD score has been widely used to evaluate advanced liver diseases, especially for liver graft allocation policy. However, it fails to predict outcomes of HRS after transplantation and could be a little outdated considering more prognostic factors have been found</w:t>
      </w:r>
      <w:r w:rsidRPr="00EA2DA7">
        <w:rPr>
          <w:rFonts w:ascii="Book Antiqua" w:eastAsia="Book Antiqua" w:hAnsi="Book Antiqua" w:cs="Book Antiqua"/>
          <w:color w:val="000000"/>
          <w:vertAlign w:val="superscript"/>
        </w:rPr>
        <w:t>[20]</w:t>
      </w:r>
      <w:r w:rsidRPr="00EA2DA7">
        <w:rPr>
          <w:rFonts w:ascii="Book Antiqua" w:eastAsia="Book Antiqua" w:hAnsi="Book Antiqua" w:cs="Book Antiqua"/>
          <w:color w:val="000000"/>
        </w:rPr>
        <w:t xml:space="preserve">. The new score derived from MELD proves this point. </w:t>
      </w:r>
    </w:p>
    <w:p w14:paraId="5FE07EA0" w14:textId="29F419EE"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Prognostic models for the short-term prognosis of HRS are not enough. Some commonly used prognostic models for end-stage liver disease, such as MELD, MELD-Na, COSSH-ACLF</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CLIF-SOFA, are developed for </w:t>
      </w:r>
      <w:r w:rsidR="00516CC6">
        <w:rPr>
          <w:rFonts w:ascii="Book Antiqua" w:eastAsia="Book Antiqua" w:hAnsi="Book Antiqua" w:cs="Book Antiqua"/>
          <w:color w:val="000000"/>
        </w:rPr>
        <w:t>all</w:t>
      </w:r>
      <w:r w:rsidRPr="00EA2DA7">
        <w:rPr>
          <w:rFonts w:ascii="Book Antiqua" w:eastAsia="Book Antiqua" w:hAnsi="Book Antiqua" w:cs="Book Antiqua"/>
          <w:color w:val="000000"/>
        </w:rPr>
        <w:t xml:space="preserve"> end-stage liver diseases including severe hepatitis and cirrhosis. The novel model, GIMNS, takes HRS as the target disease. Moreover, our HRS patients were enrolled according to the latest diagnostic criteria of </w:t>
      </w:r>
      <w:r w:rsidR="00516CC6">
        <w:rPr>
          <w:rFonts w:ascii="Book Antiqua" w:eastAsia="Book Antiqua" w:hAnsi="Book Antiqua" w:cs="Book Antiqua"/>
          <w:color w:val="000000"/>
        </w:rPr>
        <w:t xml:space="preserve">the </w:t>
      </w:r>
      <w:r w:rsidRPr="00EA2DA7">
        <w:rPr>
          <w:rFonts w:ascii="Book Antiqua" w:eastAsia="Book Antiqua" w:hAnsi="Book Antiqua" w:cs="Book Antiqua"/>
          <w:color w:val="000000"/>
        </w:rPr>
        <w:t>International Club of Ascites in 2015</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the sample size is larger than other </w:t>
      </w:r>
      <w:r w:rsidR="00516CC6">
        <w:rPr>
          <w:rFonts w:ascii="Book Antiqua" w:eastAsia="Book Antiqua" w:hAnsi="Book Antiqua" w:cs="Book Antiqua"/>
          <w:color w:val="000000"/>
        </w:rPr>
        <w:t>studies</w:t>
      </w:r>
      <w:r w:rsidRPr="00EA2DA7">
        <w:rPr>
          <w:rFonts w:ascii="Book Antiqua" w:eastAsia="Book Antiqua" w:hAnsi="Book Antiqua" w:cs="Book Antiqua"/>
          <w:color w:val="000000"/>
        </w:rPr>
        <w:t xml:space="preserve">, which can increase the credibility of the results. </w:t>
      </w:r>
      <w:r w:rsidR="00516CC6">
        <w:rPr>
          <w:rFonts w:ascii="Book Antiqua" w:eastAsia="Book Antiqua" w:hAnsi="Book Antiqua" w:cs="Book Antiqua"/>
          <w:color w:val="000000"/>
        </w:rPr>
        <w:t>W</w:t>
      </w:r>
      <w:r w:rsidRPr="00EA2DA7">
        <w:rPr>
          <w:rFonts w:ascii="Book Antiqua" w:eastAsia="Book Antiqua" w:hAnsi="Book Antiqua" w:cs="Book Antiqua"/>
          <w:color w:val="000000"/>
        </w:rPr>
        <w:t>e operated external validation in three other hospitals to prevent overfitting. Finally, GIMNS performed better in both</w:t>
      </w:r>
      <w:r w:rsidR="00516CC6">
        <w:rPr>
          <w:rFonts w:ascii="Book Antiqua" w:eastAsia="Book Antiqua" w:hAnsi="Book Antiqua" w:cs="Book Antiqua"/>
          <w:color w:val="000000"/>
        </w:rPr>
        <w:t xml:space="preserve"> the</w:t>
      </w:r>
      <w:r w:rsidRPr="00EA2DA7">
        <w:rPr>
          <w:rFonts w:ascii="Book Antiqua" w:eastAsia="Book Antiqua" w:hAnsi="Book Antiqua" w:cs="Book Antiqua"/>
          <w:color w:val="000000"/>
        </w:rPr>
        <w:t xml:space="preserve"> derivation and validation cohort</w:t>
      </w:r>
      <w:r w:rsidR="00516CC6">
        <w:rPr>
          <w:rFonts w:ascii="Book Antiqua" w:eastAsia="Book Antiqua" w:hAnsi="Book Antiqua" w:cs="Book Antiqua"/>
          <w:color w:val="000000"/>
        </w:rPr>
        <w:t>s</w:t>
      </w:r>
      <w:r w:rsidRPr="00EA2DA7">
        <w:rPr>
          <w:rFonts w:ascii="Book Antiqua" w:eastAsia="Book Antiqua" w:hAnsi="Book Antiqua" w:cs="Book Antiqua"/>
          <w:color w:val="000000"/>
        </w:rPr>
        <w:t>. As its prognostic efficacy is better than MELD, COSSH-ACLF</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CLIF-SOFA, it has the value of clinical application. </w:t>
      </w:r>
    </w:p>
    <w:p w14:paraId="4266AE32" w14:textId="4F50CF95"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 xml:space="preserve">Our new GIMNS score was based on all previous studies and showed better accuracy than MELD and the other commonly used scoring systems. Also, it is inexpensive and convenient to use, and MCHC and stage are </w:t>
      </w:r>
      <w:r w:rsidR="00516CC6">
        <w:rPr>
          <w:rFonts w:ascii="Book Antiqua" w:eastAsia="Book Antiqua" w:hAnsi="Book Antiqua" w:cs="Book Antiqua"/>
          <w:color w:val="000000"/>
        </w:rPr>
        <w:t>given</w:t>
      </w:r>
      <w:r w:rsidRPr="00EA2DA7">
        <w:rPr>
          <w:rFonts w:ascii="Book Antiqua" w:eastAsia="Book Antiqua" w:hAnsi="Book Antiqua" w:cs="Book Antiqua"/>
          <w:color w:val="000000"/>
        </w:rPr>
        <w:t xml:space="preserve"> more attention. Our study had some limitations. First, this was a retrospective study</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therefore had a lower level of evidence compared with randomized controlled trials. We tried to balance the bias through external validation in three hospitals throughout Zhejiang Province, while </w:t>
      </w:r>
      <w:r w:rsidRPr="00EA2DA7">
        <w:rPr>
          <w:rFonts w:ascii="Book Antiqua" w:eastAsia="Book Antiqua" w:hAnsi="Book Antiqua" w:cs="Book Antiqua"/>
          <w:color w:val="000000"/>
        </w:rPr>
        <w:lastRenderedPageBreak/>
        <w:t xml:space="preserve">developing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GIMNS score in one hospital. This could increase the credibility of our study. Second, it was hard to distinguish between HRS and other complications of AKI with cirrhosis, especially acute tubular necrosis. Thus, our cohort may have contained </w:t>
      </w:r>
      <w:r w:rsidR="00516CC6" w:rsidRPr="00EA2DA7">
        <w:rPr>
          <w:rFonts w:ascii="Book Antiqua" w:eastAsia="Book Antiqua" w:hAnsi="Book Antiqua" w:cs="Book Antiqua"/>
          <w:color w:val="000000"/>
        </w:rPr>
        <w:t>acute tubular necrosis</w:t>
      </w:r>
      <w:r w:rsidRPr="00EA2DA7">
        <w:rPr>
          <w:rFonts w:ascii="Book Antiqua" w:eastAsia="Book Antiqua" w:hAnsi="Book Antiqua" w:cs="Book Antiqua"/>
          <w:color w:val="000000"/>
        </w:rPr>
        <w:t xml:space="preserve"> patients, which could have interfered with our model development. Pathological sections are needed to separate HRS from </w:t>
      </w:r>
      <w:r w:rsidR="00516CC6" w:rsidRPr="00EA2DA7">
        <w:rPr>
          <w:rFonts w:ascii="Book Antiqua" w:eastAsia="Book Antiqua" w:hAnsi="Book Antiqua" w:cs="Book Antiqua"/>
          <w:color w:val="000000"/>
        </w:rPr>
        <w:t>acute tubular necrosis</w:t>
      </w:r>
      <w:r w:rsidRPr="00EA2DA7">
        <w:rPr>
          <w:rFonts w:ascii="Book Antiqua" w:eastAsia="Book Antiqua" w:hAnsi="Book Antiqua" w:cs="Book Antiqua"/>
          <w:color w:val="000000"/>
        </w:rPr>
        <w:t xml:space="preserve">. Finally, this study did not include urine output in the AKI diagnosis, which may have missed some eligible patients. </w:t>
      </w:r>
    </w:p>
    <w:p w14:paraId="7835877B" w14:textId="6B88D6C2" w:rsidR="00053734" w:rsidRPr="00EA2DA7" w:rsidRDefault="00721F08" w:rsidP="00EA2DA7">
      <w:pPr>
        <w:spacing w:line="360" w:lineRule="auto"/>
        <w:ind w:firstLine="420"/>
        <w:jc w:val="both"/>
        <w:rPr>
          <w:rFonts w:ascii="Book Antiqua" w:hAnsi="Book Antiqua"/>
        </w:rPr>
      </w:pPr>
      <w:r w:rsidRPr="00EA2DA7">
        <w:rPr>
          <w:rFonts w:ascii="Book Antiqua" w:eastAsia="Book Antiqua" w:hAnsi="Book Antiqua" w:cs="Book Antiqua"/>
          <w:color w:val="000000"/>
        </w:rPr>
        <w:t xml:space="preserve">In summary, we developed a new scoring system, GIMNS, to predict 28-d mortality of HRS patients.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GIMNS score contains five elements</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gender, INR, MCHC, neutrophil percentage</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stage. Some of these elements have been widely used and others are recent additions.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GIMNS score has better accuracy than MELD and CLIF-SOFA</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and </w:t>
      </w:r>
      <w:r w:rsidR="00516CC6">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AUROC is larger than that of COSSH-ACLF. Prospective studies are needed for confirmation. </w:t>
      </w:r>
    </w:p>
    <w:p w14:paraId="389B794A" w14:textId="77777777" w:rsidR="00053734" w:rsidRPr="00EA2DA7" w:rsidRDefault="00053734" w:rsidP="00EA2DA7">
      <w:pPr>
        <w:spacing w:line="360" w:lineRule="auto"/>
        <w:ind w:firstLine="420"/>
        <w:jc w:val="both"/>
        <w:rPr>
          <w:rFonts w:ascii="Book Antiqua" w:hAnsi="Book Antiqua"/>
        </w:rPr>
      </w:pPr>
    </w:p>
    <w:p w14:paraId="3F88CC3F"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CONCLUSION</w:t>
      </w:r>
    </w:p>
    <w:p w14:paraId="7E1067D9" w14:textId="51BB2C4F"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We developed a new scoring system, GIMNS, to predict 28-d mortality of HRS patients. Two of the five prognostic indicators, MCHC and stage</w:t>
      </w:r>
      <w:r w:rsidR="00516CC6">
        <w:rPr>
          <w:rFonts w:ascii="Book Antiqua" w:eastAsia="Book Antiqua" w:hAnsi="Book Antiqua" w:cs="Book Antiqua"/>
          <w:color w:val="000000"/>
        </w:rPr>
        <w:t>,</w:t>
      </w:r>
      <w:r w:rsidRPr="00EA2DA7">
        <w:rPr>
          <w:rFonts w:ascii="Book Antiqua" w:eastAsia="Book Antiqua" w:hAnsi="Book Antiqua" w:cs="Book Antiqua"/>
          <w:color w:val="000000"/>
        </w:rPr>
        <w:t xml:space="preserve"> were proposed and found to be related to the mortality of HRS</w:t>
      </w:r>
      <w:r w:rsidR="00516CC6">
        <w:rPr>
          <w:rFonts w:ascii="Book Antiqua" w:eastAsia="Book Antiqua" w:hAnsi="Book Antiqua" w:cs="Book Antiqua"/>
          <w:color w:val="000000"/>
        </w:rPr>
        <w:t xml:space="preserve"> for the first time</w:t>
      </w:r>
      <w:r w:rsidRPr="00EA2DA7">
        <w:rPr>
          <w:rFonts w:ascii="Book Antiqua" w:eastAsia="Book Antiqua" w:hAnsi="Book Antiqua" w:cs="Book Antiqua"/>
          <w:color w:val="000000"/>
        </w:rPr>
        <w:t xml:space="preserve">. Additionally, </w:t>
      </w:r>
      <w:r w:rsidR="005E1FA5">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GIMNS score showed better accuracy than MELD and CLIF-SOFA, and </w:t>
      </w:r>
      <w:r w:rsidR="00516CC6">
        <w:rPr>
          <w:rFonts w:ascii="Book Antiqua" w:eastAsia="Book Antiqua" w:hAnsi="Book Antiqua" w:cs="Book Antiqua"/>
          <w:color w:val="000000"/>
        </w:rPr>
        <w:t xml:space="preserve">the </w:t>
      </w:r>
      <w:r w:rsidRPr="00EA2DA7">
        <w:rPr>
          <w:rFonts w:ascii="Book Antiqua" w:eastAsia="Book Antiqua" w:hAnsi="Book Antiqua" w:cs="Book Antiqua"/>
          <w:color w:val="000000"/>
        </w:rPr>
        <w:t xml:space="preserve">AUROC was higher than that of COSSH-ACLF. </w:t>
      </w:r>
    </w:p>
    <w:p w14:paraId="566CDD4D" w14:textId="77777777" w:rsidR="00053734" w:rsidRPr="00EA2DA7" w:rsidRDefault="00053734" w:rsidP="00EA2DA7">
      <w:pPr>
        <w:spacing w:line="360" w:lineRule="auto"/>
        <w:jc w:val="both"/>
        <w:rPr>
          <w:rFonts w:ascii="Book Antiqua" w:hAnsi="Book Antiqua"/>
        </w:rPr>
      </w:pPr>
    </w:p>
    <w:p w14:paraId="2972BB5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ARTICLE HIGHLIGHTS</w:t>
      </w:r>
    </w:p>
    <w:p w14:paraId="318A2025"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background</w:t>
      </w:r>
    </w:p>
    <w:p w14:paraId="1B000AFA" w14:textId="137256EB"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Hepatorenal syndrome (HRS) is a severe complication of cirrhosis with high mortality. It has a unique </w:t>
      </w:r>
      <w:r w:rsidRPr="00EA2DA7">
        <w:rPr>
          <w:rFonts w:ascii="Book Antiqua" w:eastAsia="Book Antiqua" w:hAnsi="Book Antiqua" w:cs="Book Antiqua"/>
          <w:i/>
          <w:color w:val="000000"/>
        </w:rPr>
        <w:t>in vivo</w:t>
      </w:r>
      <w:r w:rsidRPr="00EA2DA7">
        <w:rPr>
          <w:rFonts w:ascii="Book Antiqua" w:eastAsia="Book Antiqua" w:hAnsi="Book Antiqua" w:cs="Book Antiqua"/>
          <w:color w:val="000000"/>
        </w:rPr>
        <w:t xml:space="preserve"> pathological environment compared with other end-stage liver diseases. Meanwhile, prognostic factors associated with prognosis of HRS are not rich enough</w:t>
      </w:r>
      <w:r w:rsidR="00D37F9F">
        <w:rPr>
          <w:rFonts w:ascii="Book Antiqua" w:eastAsia="Book Antiqua" w:hAnsi="Book Antiqua" w:cs="Book Antiqua"/>
          <w:color w:val="000000"/>
        </w:rPr>
        <w:t>,</w:t>
      </w:r>
      <w:r w:rsidRPr="00EA2DA7">
        <w:rPr>
          <w:rFonts w:ascii="Book Antiqua" w:eastAsia="Book Antiqua" w:hAnsi="Book Antiqua" w:cs="Book Antiqua"/>
          <w:color w:val="000000"/>
        </w:rPr>
        <w:t xml:space="preserve"> and current prognostic scoring systems for </w:t>
      </w:r>
      <w:r w:rsidR="005E6755" w:rsidRPr="00EA2DA7">
        <w:rPr>
          <w:rFonts w:ascii="Book Antiqua" w:eastAsia="Book Antiqua" w:hAnsi="Book Antiqua" w:cs="Book Antiqua"/>
          <w:color w:val="000000"/>
        </w:rPr>
        <w:t xml:space="preserve">end-stage liver diseases </w:t>
      </w:r>
      <w:r w:rsidRPr="00EA2DA7">
        <w:rPr>
          <w:rFonts w:ascii="Book Antiqua" w:eastAsia="Book Antiqua" w:hAnsi="Book Antiqua" w:cs="Book Antiqua"/>
          <w:color w:val="000000"/>
        </w:rPr>
        <w:t xml:space="preserve">need to be updated to fit the application in HRS. </w:t>
      </w:r>
    </w:p>
    <w:p w14:paraId="6BB1E2FF" w14:textId="77777777" w:rsidR="00053734" w:rsidRPr="00EA2DA7" w:rsidRDefault="00053734" w:rsidP="00EA2DA7">
      <w:pPr>
        <w:spacing w:line="360" w:lineRule="auto"/>
        <w:jc w:val="both"/>
        <w:rPr>
          <w:rFonts w:ascii="Book Antiqua" w:hAnsi="Book Antiqua"/>
        </w:rPr>
      </w:pPr>
    </w:p>
    <w:p w14:paraId="225E4A1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motivation</w:t>
      </w:r>
    </w:p>
    <w:p w14:paraId="164D657F" w14:textId="247D39B5"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lastRenderedPageBreak/>
        <w:t>As the diagnostic criteria for HRS were confusing before 2015, a multicenter retrospective study, strictly following the criteria proposed by the International Club of Ascites in 2015, was designed to systematically evaluate the evolution of HRS over the past decade at our institution and to figure out what affect</w:t>
      </w:r>
      <w:r w:rsidR="00D37F9F">
        <w:rPr>
          <w:rFonts w:ascii="Book Antiqua" w:eastAsia="Book Antiqua" w:hAnsi="Book Antiqua" w:cs="Book Antiqua"/>
          <w:color w:val="000000"/>
        </w:rPr>
        <w:t>s</w:t>
      </w:r>
      <w:r w:rsidRPr="00EA2DA7">
        <w:rPr>
          <w:rFonts w:ascii="Book Antiqua" w:eastAsia="Book Antiqua" w:hAnsi="Book Antiqua" w:cs="Book Antiqua"/>
          <w:color w:val="000000"/>
        </w:rPr>
        <w:t xml:space="preserve"> the prognosis of HRS. </w:t>
      </w:r>
    </w:p>
    <w:p w14:paraId="323B6665" w14:textId="77777777" w:rsidR="00053734" w:rsidRPr="00EA2DA7" w:rsidRDefault="00053734" w:rsidP="00EA2DA7">
      <w:pPr>
        <w:spacing w:line="360" w:lineRule="auto"/>
        <w:jc w:val="both"/>
        <w:rPr>
          <w:rFonts w:ascii="Book Antiqua" w:hAnsi="Book Antiqua"/>
        </w:rPr>
      </w:pPr>
    </w:p>
    <w:p w14:paraId="2BD3FF7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objectives</w:t>
      </w:r>
    </w:p>
    <w:p w14:paraId="7EFB6837" w14:textId="78F5009F"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Our goal was to develop a novel scoring system to predict 28-d mortality of HRS and evaluate the accuracy, sensitivity</w:t>
      </w:r>
      <w:r w:rsidR="00D37F9F">
        <w:rPr>
          <w:rFonts w:ascii="Book Antiqua" w:eastAsia="Book Antiqua" w:hAnsi="Book Antiqua" w:cs="Book Antiqua"/>
          <w:color w:val="000000"/>
        </w:rPr>
        <w:t>,</w:t>
      </w:r>
      <w:r w:rsidRPr="00EA2DA7">
        <w:rPr>
          <w:rFonts w:ascii="Book Antiqua" w:eastAsia="Book Antiqua" w:hAnsi="Book Antiqua" w:cs="Book Antiqua"/>
          <w:color w:val="000000"/>
        </w:rPr>
        <w:t xml:space="preserve"> and specificity compared with other scoring systems, including Model for </w:t>
      </w:r>
      <w:r w:rsidR="005E6755">
        <w:rPr>
          <w:rFonts w:ascii="Book Antiqua" w:eastAsia="Book Antiqua" w:hAnsi="Book Antiqua" w:cs="Book Antiqua"/>
          <w:color w:val="000000"/>
        </w:rPr>
        <w:t>End-stage Liver Disease</w:t>
      </w:r>
      <w:r w:rsidRPr="00EA2DA7">
        <w:rPr>
          <w:rFonts w:ascii="Book Antiqua" w:eastAsia="Book Antiqua" w:hAnsi="Book Antiqua" w:cs="Book Antiqua"/>
          <w:color w:val="000000"/>
        </w:rPr>
        <w:t>, Chronic Liver Failure-Sequential Organ Failure Assessment</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and Chinese Group on the Study of Severe Hepatitis B-Acute-on-Chronic Liver Failure. </w:t>
      </w:r>
    </w:p>
    <w:p w14:paraId="0DDA01D7" w14:textId="77777777" w:rsidR="00053734" w:rsidRPr="00EA2DA7" w:rsidRDefault="00053734" w:rsidP="00EA2DA7">
      <w:pPr>
        <w:spacing w:line="360" w:lineRule="auto"/>
        <w:jc w:val="both"/>
        <w:rPr>
          <w:rFonts w:ascii="Book Antiqua" w:hAnsi="Book Antiqua"/>
        </w:rPr>
      </w:pPr>
    </w:p>
    <w:p w14:paraId="7F85525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methods</w:t>
      </w:r>
    </w:p>
    <w:p w14:paraId="38B3FCFD" w14:textId="5E62751C"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Demographic/clinical variables and medical records of HRS patients from January 2011 to October 2019 were collected from </w:t>
      </w:r>
      <w:r w:rsidR="005E6755">
        <w:rPr>
          <w:rFonts w:ascii="Book Antiqua" w:eastAsia="Book Antiqua" w:hAnsi="Book Antiqua" w:cs="Book Antiqua"/>
          <w:color w:val="000000"/>
        </w:rPr>
        <w:t>four</w:t>
      </w:r>
      <w:r w:rsidRPr="00EA2DA7">
        <w:rPr>
          <w:rFonts w:ascii="Book Antiqua" w:eastAsia="Book Antiqua" w:hAnsi="Book Antiqua" w:cs="Book Antiqua"/>
          <w:color w:val="000000"/>
        </w:rPr>
        <w:t xml:space="preserve"> tertiary medical centers</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and strict eligibility criteria were applied</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w:t>
      </w:r>
      <w:r w:rsidR="005E6755">
        <w:rPr>
          <w:rFonts w:ascii="Book Antiqua" w:eastAsia="Book Antiqua" w:hAnsi="Book Antiqua" w:cs="Book Antiqua"/>
          <w:color w:val="000000"/>
        </w:rPr>
        <w:t xml:space="preserve">The final analysis included </w:t>
      </w:r>
      <w:r w:rsidRPr="00EA2DA7">
        <w:rPr>
          <w:rFonts w:ascii="Book Antiqua" w:eastAsia="Book Antiqua" w:hAnsi="Book Antiqua" w:cs="Book Antiqua"/>
          <w:color w:val="000000"/>
        </w:rPr>
        <w:t xml:space="preserve">371 </w:t>
      </w:r>
      <w:r w:rsidR="005E6755">
        <w:rPr>
          <w:rFonts w:ascii="Book Antiqua" w:eastAsia="Book Antiqua" w:hAnsi="Book Antiqua" w:cs="Book Antiqua"/>
          <w:color w:val="000000"/>
        </w:rPr>
        <w:t xml:space="preserve">patients with </w:t>
      </w:r>
      <w:r w:rsidRPr="00EA2DA7">
        <w:rPr>
          <w:rFonts w:ascii="Book Antiqua" w:eastAsia="Book Antiqua" w:hAnsi="Book Antiqua" w:cs="Book Antiqua"/>
          <w:color w:val="000000"/>
        </w:rPr>
        <w:t xml:space="preserve">HRS. Univariate and multivariate Cox regression analyses were performed </w:t>
      </w:r>
      <w:r w:rsidR="005E6755">
        <w:rPr>
          <w:rFonts w:ascii="Book Antiqua" w:eastAsia="Book Antiqua" w:hAnsi="Book Antiqua" w:cs="Book Antiqua"/>
          <w:color w:val="000000"/>
        </w:rPr>
        <w:t xml:space="preserve">for </w:t>
      </w:r>
      <w:r w:rsidRPr="00EA2DA7">
        <w:rPr>
          <w:rFonts w:ascii="Book Antiqua" w:eastAsia="Book Antiqua" w:hAnsi="Book Antiqua" w:cs="Book Antiqua"/>
          <w:color w:val="000000"/>
        </w:rPr>
        <w:t xml:space="preserve">prediction modeling of HRS. </w:t>
      </w:r>
    </w:p>
    <w:p w14:paraId="6BFD50A5" w14:textId="77777777" w:rsidR="00053734" w:rsidRPr="00EA2DA7" w:rsidRDefault="00053734" w:rsidP="00EA2DA7">
      <w:pPr>
        <w:spacing w:line="360" w:lineRule="auto"/>
        <w:jc w:val="both"/>
        <w:rPr>
          <w:rFonts w:ascii="Book Antiqua" w:hAnsi="Book Antiqua"/>
        </w:rPr>
      </w:pPr>
    </w:p>
    <w:p w14:paraId="700BC8D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results</w:t>
      </w:r>
    </w:p>
    <w:p w14:paraId="0F25E177" w14:textId="55AF5F96"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We found that </w:t>
      </w:r>
      <w:r w:rsidR="005E6755">
        <w:rPr>
          <w:rFonts w:ascii="Book Antiqua" w:eastAsia="Book Antiqua" w:hAnsi="Book Antiqua" w:cs="Book Antiqua"/>
          <w:color w:val="000000"/>
        </w:rPr>
        <w:t>five</w:t>
      </w:r>
      <w:r w:rsidRPr="00EA2DA7">
        <w:rPr>
          <w:rFonts w:ascii="Book Antiqua" w:eastAsia="Book Antiqua" w:hAnsi="Book Antiqua" w:cs="Book Antiqua"/>
          <w:color w:val="000000"/>
        </w:rPr>
        <w:t xml:space="preserve"> indicators can be used as prognostic factors for HRS, including gender, international normalized ratio, mean corpuscular hemoglobin concentration, neutrophil percentage, and stage (defined as a binary variable by the number of failed organs). They formed a new score, GIMNS, based on the weight coefficient. As the GIMNS increases, the risk of mortality gets higher. The sensitivity and specificity of GIMNS were much higher than those of </w:t>
      </w:r>
      <w:r w:rsidR="005E6755" w:rsidRPr="00EA2DA7">
        <w:rPr>
          <w:rFonts w:ascii="Book Antiqua" w:eastAsia="Book Antiqua" w:hAnsi="Book Antiqua" w:cs="Book Antiqua"/>
          <w:color w:val="000000"/>
        </w:rPr>
        <w:t xml:space="preserve">Model for </w:t>
      </w:r>
      <w:r w:rsidR="005E6755">
        <w:rPr>
          <w:rFonts w:ascii="Book Antiqua" w:eastAsia="Book Antiqua" w:hAnsi="Book Antiqua" w:cs="Book Antiqua"/>
          <w:color w:val="000000"/>
        </w:rPr>
        <w:t>End-stage Liver Disease</w:t>
      </w:r>
      <w:r w:rsidRPr="00EA2DA7">
        <w:rPr>
          <w:rFonts w:ascii="Book Antiqua" w:eastAsia="Book Antiqua" w:hAnsi="Book Antiqua" w:cs="Book Antiqua"/>
          <w:color w:val="000000"/>
        </w:rPr>
        <w:t xml:space="preserve">, </w:t>
      </w:r>
      <w:r w:rsidR="005E6755" w:rsidRPr="00EA2DA7">
        <w:rPr>
          <w:rFonts w:ascii="Book Antiqua" w:eastAsia="Book Antiqua" w:hAnsi="Book Antiqua" w:cs="Book Antiqua"/>
          <w:color w:val="000000"/>
        </w:rPr>
        <w:t>Chronic Liver Failure-Sequential Organ Failure Assessment</w:t>
      </w:r>
      <w:r w:rsidR="005E6755">
        <w:rPr>
          <w:rFonts w:ascii="Book Antiqua" w:eastAsia="Book Antiqua" w:hAnsi="Book Antiqua" w:cs="Book Antiqua"/>
          <w:color w:val="000000"/>
        </w:rPr>
        <w:t xml:space="preserve">, </w:t>
      </w:r>
      <w:r w:rsidRPr="00EA2DA7">
        <w:rPr>
          <w:rFonts w:ascii="Book Antiqua" w:eastAsia="Book Antiqua" w:hAnsi="Book Antiqua" w:cs="Book Antiqua"/>
          <w:color w:val="000000"/>
        </w:rPr>
        <w:t xml:space="preserve">and </w:t>
      </w:r>
      <w:r w:rsidR="005E6755" w:rsidRPr="00EA2DA7">
        <w:rPr>
          <w:rFonts w:ascii="Book Antiqua" w:eastAsia="Book Antiqua" w:hAnsi="Book Antiqua" w:cs="Book Antiqua"/>
          <w:color w:val="000000"/>
        </w:rPr>
        <w:t>Chinese Group on the Study of Severe Hepatitis B-Acute-on-Chronic Liver Failure</w:t>
      </w:r>
      <w:r w:rsidRPr="00EA2DA7">
        <w:rPr>
          <w:rFonts w:ascii="Book Antiqua" w:eastAsia="Book Antiqua" w:hAnsi="Book Antiqua" w:cs="Book Antiqua"/>
          <w:color w:val="000000"/>
        </w:rPr>
        <w:t xml:space="preserve"> in</w:t>
      </w:r>
      <w:r w:rsidR="005E6755">
        <w:rPr>
          <w:rFonts w:ascii="Book Antiqua" w:eastAsia="Book Antiqua" w:hAnsi="Book Antiqua" w:cs="Book Antiqua"/>
          <w:color w:val="000000"/>
        </w:rPr>
        <w:t xml:space="preserve"> both the</w:t>
      </w:r>
      <w:r w:rsidRPr="00EA2DA7">
        <w:rPr>
          <w:rFonts w:ascii="Book Antiqua" w:eastAsia="Book Antiqua" w:hAnsi="Book Antiqua" w:cs="Book Antiqua"/>
          <w:color w:val="000000"/>
        </w:rPr>
        <w:t xml:space="preserve"> derivation and validation cohort</w:t>
      </w:r>
      <w:r w:rsidR="005E6755">
        <w:rPr>
          <w:rFonts w:ascii="Book Antiqua" w:eastAsia="Book Antiqua" w:hAnsi="Book Antiqua" w:cs="Book Antiqua"/>
          <w:color w:val="000000"/>
        </w:rPr>
        <w:t>s</w:t>
      </w:r>
      <w:r w:rsidRPr="00EA2DA7">
        <w:rPr>
          <w:rFonts w:ascii="Book Antiqua" w:eastAsia="Book Antiqua" w:hAnsi="Book Antiqua" w:cs="Book Antiqua"/>
          <w:color w:val="000000"/>
        </w:rPr>
        <w:t xml:space="preserve">. </w:t>
      </w:r>
    </w:p>
    <w:p w14:paraId="3B474C9A" w14:textId="77777777" w:rsidR="00053734" w:rsidRPr="00EA2DA7" w:rsidRDefault="00053734" w:rsidP="00EA2DA7">
      <w:pPr>
        <w:spacing w:line="360" w:lineRule="auto"/>
        <w:jc w:val="both"/>
        <w:rPr>
          <w:rFonts w:ascii="Book Antiqua" w:hAnsi="Book Antiqua"/>
        </w:rPr>
      </w:pPr>
    </w:p>
    <w:p w14:paraId="39527687"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conclusions</w:t>
      </w:r>
    </w:p>
    <w:p w14:paraId="2B99F6EE" w14:textId="66AEEE02"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lastRenderedPageBreak/>
        <w:t xml:space="preserve">We innovatively defined a new variable, stage </w:t>
      </w:r>
      <w:r w:rsidR="005E6755">
        <w:rPr>
          <w:rFonts w:ascii="Book Antiqua" w:eastAsia="Book Antiqua" w:hAnsi="Book Antiqua" w:cs="Book Antiqua"/>
          <w:color w:val="000000"/>
        </w:rPr>
        <w:t>(</w:t>
      </w:r>
      <w:r w:rsidRPr="00EA2DA7">
        <w:rPr>
          <w:rFonts w:ascii="Book Antiqua" w:eastAsia="Book Antiqua" w:hAnsi="Book Antiqua" w:cs="Book Antiqua"/>
          <w:color w:val="000000"/>
        </w:rPr>
        <w:t>based on the number of failed organs</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to predict the prognosis of HRS. Importantly, we developed a new scoring system, GIMNS, which was specifically for patients with HRS and performed better than </w:t>
      </w:r>
      <w:r w:rsidR="005E6755" w:rsidRPr="00EA2DA7">
        <w:rPr>
          <w:rFonts w:ascii="Book Antiqua" w:eastAsia="Book Antiqua" w:hAnsi="Book Antiqua" w:cs="Book Antiqua"/>
          <w:color w:val="000000"/>
        </w:rPr>
        <w:t xml:space="preserve">Model for </w:t>
      </w:r>
      <w:r w:rsidR="005E6755">
        <w:rPr>
          <w:rFonts w:ascii="Book Antiqua" w:eastAsia="Book Antiqua" w:hAnsi="Book Antiqua" w:cs="Book Antiqua"/>
          <w:color w:val="000000"/>
        </w:rPr>
        <w:t>End-stage Liver Disease</w:t>
      </w:r>
      <w:r w:rsidRPr="00EA2DA7">
        <w:rPr>
          <w:rFonts w:ascii="Book Antiqua" w:eastAsia="Book Antiqua" w:hAnsi="Book Antiqua" w:cs="Book Antiqua"/>
          <w:color w:val="000000"/>
        </w:rPr>
        <w:t xml:space="preserve">, </w:t>
      </w:r>
      <w:r w:rsidR="005E6755" w:rsidRPr="00EA2DA7">
        <w:rPr>
          <w:rFonts w:ascii="Book Antiqua" w:eastAsia="Book Antiqua" w:hAnsi="Book Antiqua" w:cs="Book Antiqua"/>
          <w:color w:val="000000"/>
        </w:rPr>
        <w:t>Chronic Liver Failure-Sequential Organ Failure Assessment</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and </w:t>
      </w:r>
      <w:r w:rsidR="005E6755" w:rsidRPr="00EA2DA7">
        <w:rPr>
          <w:rFonts w:ascii="Book Antiqua" w:eastAsia="Book Antiqua" w:hAnsi="Book Antiqua" w:cs="Book Antiqua"/>
          <w:color w:val="000000"/>
        </w:rPr>
        <w:t>Chinese Group on the Study of Severe Hepatitis B-Acute-on-Chronic Liver Failure</w:t>
      </w:r>
      <w:r w:rsidRPr="00EA2DA7">
        <w:rPr>
          <w:rFonts w:ascii="Book Antiqua" w:eastAsia="Book Antiqua" w:hAnsi="Book Antiqua" w:cs="Book Antiqua"/>
          <w:color w:val="000000"/>
        </w:rPr>
        <w:t xml:space="preserve"> in accuracy, sensitivity</w:t>
      </w:r>
      <w:r w:rsidR="005E6755">
        <w:rPr>
          <w:rFonts w:ascii="Book Antiqua" w:eastAsia="Book Antiqua" w:hAnsi="Book Antiqua" w:cs="Book Antiqua"/>
          <w:color w:val="000000"/>
        </w:rPr>
        <w:t>,</w:t>
      </w:r>
      <w:r w:rsidRPr="00EA2DA7">
        <w:rPr>
          <w:rFonts w:ascii="Book Antiqua" w:eastAsia="Book Antiqua" w:hAnsi="Book Antiqua" w:cs="Book Antiqua"/>
          <w:color w:val="000000"/>
        </w:rPr>
        <w:t xml:space="preserve"> and specificity. As the </w:t>
      </w:r>
      <w:r w:rsidR="005E6755">
        <w:rPr>
          <w:rFonts w:ascii="Book Antiqua" w:eastAsia="Book Antiqua" w:hAnsi="Book Antiqua" w:cs="Book Antiqua"/>
          <w:color w:val="000000"/>
        </w:rPr>
        <w:t>five</w:t>
      </w:r>
      <w:r w:rsidRPr="00EA2DA7">
        <w:rPr>
          <w:rFonts w:ascii="Book Antiqua" w:eastAsia="Book Antiqua" w:hAnsi="Book Antiqua" w:cs="Book Antiqua"/>
          <w:color w:val="000000"/>
        </w:rPr>
        <w:t xml:space="preserve"> prognostic factors in GIMNS are easily available, clinical application of GIMNS could be more convenient. </w:t>
      </w:r>
    </w:p>
    <w:p w14:paraId="4CA2D2CA" w14:textId="77777777" w:rsidR="00053734" w:rsidRPr="00EA2DA7" w:rsidRDefault="00053734" w:rsidP="00EA2DA7">
      <w:pPr>
        <w:spacing w:line="360" w:lineRule="auto"/>
        <w:jc w:val="both"/>
        <w:rPr>
          <w:rFonts w:ascii="Book Antiqua" w:hAnsi="Book Antiqua"/>
        </w:rPr>
      </w:pPr>
    </w:p>
    <w:p w14:paraId="1D7D706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i/>
          <w:color w:val="000000"/>
        </w:rPr>
        <w:t>Research perspectives</w:t>
      </w:r>
    </w:p>
    <w:p w14:paraId="704E74F6" w14:textId="03577685" w:rsidR="00053734" w:rsidRPr="00EA2DA7" w:rsidRDefault="005E6755" w:rsidP="00EA2DA7">
      <w:pPr>
        <w:spacing w:line="360" w:lineRule="auto"/>
        <w:jc w:val="both"/>
        <w:rPr>
          <w:rFonts w:ascii="Book Antiqua" w:hAnsi="Book Antiqua"/>
        </w:rPr>
      </w:pPr>
      <w:r>
        <w:rPr>
          <w:rFonts w:ascii="Book Antiqua" w:eastAsia="Book Antiqua" w:hAnsi="Book Antiqua" w:cs="Book Antiqua"/>
          <w:color w:val="000000"/>
        </w:rPr>
        <w:t xml:space="preserve">The </w:t>
      </w:r>
      <w:r w:rsidR="00721F08" w:rsidRPr="00EA2DA7">
        <w:rPr>
          <w:rFonts w:ascii="Book Antiqua" w:eastAsia="Book Antiqua" w:hAnsi="Book Antiqua" w:cs="Book Antiqua"/>
          <w:color w:val="000000"/>
        </w:rPr>
        <w:t xml:space="preserve">GIMNS scoring system should be validated in future prospective studies to get a more complete assessment. </w:t>
      </w:r>
    </w:p>
    <w:p w14:paraId="0CE9F523" w14:textId="77777777" w:rsidR="00053734" w:rsidRPr="00EA2DA7" w:rsidRDefault="00053734" w:rsidP="00EA2DA7">
      <w:pPr>
        <w:spacing w:line="360" w:lineRule="auto"/>
        <w:jc w:val="both"/>
        <w:rPr>
          <w:rFonts w:ascii="Book Antiqua" w:hAnsi="Book Antiqua"/>
        </w:rPr>
      </w:pPr>
    </w:p>
    <w:p w14:paraId="066DE54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smallCaps/>
          <w:color w:val="000000"/>
          <w:u w:val="single"/>
        </w:rPr>
        <w:t>ACKNOWLEDGEMENTS</w:t>
      </w:r>
    </w:p>
    <w:p w14:paraId="4100C887"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We thank The First Affiliated Hospital of Zhejiang University, Shulan Hospital, People’s Hospital of Zhejiang Province, and People’s Hospital of Shengzhou City for providing data. </w:t>
      </w:r>
    </w:p>
    <w:p w14:paraId="5619BBAF" w14:textId="77777777" w:rsidR="00053734" w:rsidRPr="00EA2DA7" w:rsidRDefault="00053734" w:rsidP="00EA2DA7">
      <w:pPr>
        <w:spacing w:line="360" w:lineRule="auto"/>
        <w:jc w:val="both"/>
        <w:rPr>
          <w:rFonts w:ascii="Book Antiqua" w:hAnsi="Book Antiqua"/>
        </w:rPr>
      </w:pPr>
    </w:p>
    <w:p w14:paraId="3441FDD8"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REFERENCES</w:t>
      </w:r>
    </w:p>
    <w:p w14:paraId="62B4161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 </w:t>
      </w:r>
      <w:r w:rsidRPr="00EA2DA7">
        <w:rPr>
          <w:rFonts w:ascii="Book Antiqua" w:eastAsia="Book Antiqua" w:hAnsi="Book Antiqua" w:cs="Book Antiqua"/>
          <w:b/>
          <w:color w:val="000000"/>
        </w:rPr>
        <w:t>Yulyana Y</w:t>
      </w:r>
      <w:r w:rsidRPr="00EA2DA7">
        <w:rPr>
          <w:rFonts w:ascii="Book Antiqua" w:eastAsia="Book Antiqua" w:hAnsi="Book Antiqua" w:cs="Book Antiqua"/>
          <w:color w:val="000000"/>
        </w:rPr>
        <w:t xml:space="preserve">, Ho IA, Sia KC, Newman JP, Toh XY, Endaya BB, Chan JK, Gnecchi M, Huynh H, Chung AY, Lim KH, Leong HS, Iyer NG, Hui KM, Lam PY. Paracrine factors of human fetal MSCs inhibit liver cancer growth through reduced activation of IGF-1R/PI3K/Akt signaling. </w:t>
      </w:r>
      <w:r w:rsidRPr="00EA2DA7">
        <w:rPr>
          <w:rFonts w:ascii="Book Antiqua" w:eastAsia="Book Antiqua" w:hAnsi="Book Antiqua" w:cs="Book Antiqua"/>
          <w:i/>
          <w:color w:val="000000"/>
        </w:rPr>
        <w:t>Mol Ther</w:t>
      </w:r>
      <w:r w:rsidRPr="00EA2DA7">
        <w:rPr>
          <w:rFonts w:ascii="Book Antiqua" w:eastAsia="Book Antiqua" w:hAnsi="Book Antiqua" w:cs="Book Antiqua"/>
          <w:color w:val="000000"/>
        </w:rPr>
        <w:t xml:space="preserve"> 2015; </w:t>
      </w:r>
      <w:r w:rsidRPr="00EA2DA7">
        <w:rPr>
          <w:rFonts w:ascii="Book Antiqua" w:eastAsia="Book Antiqua" w:hAnsi="Book Antiqua" w:cs="Book Antiqua"/>
          <w:b/>
          <w:color w:val="000000"/>
        </w:rPr>
        <w:t>23</w:t>
      </w:r>
      <w:r w:rsidRPr="00EA2DA7">
        <w:rPr>
          <w:rFonts w:ascii="Book Antiqua" w:eastAsia="Book Antiqua" w:hAnsi="Book Antiqua" w:cs="Book Antiqua"/>
          <w:color w:val="000000"/>
        </w:rPr>
        <w:t>: 746-756 [PMID: 25619723 DOI: 10.1038/mt.2015.13]</w:t>
      </w:r>
    </w:p>
    <w:p w14:paraId="31BF78C5"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2 </w:t>
      </w:r>
      <w:r w:rsidRPr="00EA2DA7">
        <w:rPr>
          <w:rFonts w:ascii="Book Antiqua" w:eastAsia="Book Antiqua" w:hAnsi="Book Antiqua" w:cs="Book Antiqua"/>
          <w:b/>
          <w:color w:val="000000"/>
        </w:rPr>
        <w:t>Best LM</w:t>
      </w:r>
      <w:r w:rsidRPr="00EA2DA7">
        <w:rPr>
          <w:rFonts w:ascii="Book Antiqua" w:eastAsia="Book Antiqua" w:hAnsi="Book Antiqua" w:cs="Book Antiqua"/>
          <w:color w:val="000000"/>
        </w:rPr>
        <w:t xml:space="preserve">, Freeman SC, Sutton AJ, Cooper NJ, Tng EL, Csenar M, Hawkins N, Pavlov CS, Davidson BR, Thorburn D, Cowlin M, Milne EJ, Tsochatzis E, Gurusamy KS. Treatment for hepatorenal syndrome in people with decompensated liver cirrhosis: a network meta-analysis. </w:t>
      </w:r>
      <w:r w:rsidRPr="00EA2DA7">
        <w:rPr>
          <w:rFonts w:ascii="Book Antiqua" w:eastAsia="Book Antiqua" w:hAnsi="Book Antiqua" w:cs="Book Antiqua"/>
          <w:i/>
          <w:color w:val="000000"/>
        </w:rPr>
        <w:t>Cochrane Database Syst Rev</w:t>
      </w:r>
      <w:r w:rsidRPr="00EA2DA7">
        <w:rPr>
          <w:rFonts w:ascii="Book Antiqua" w:eastAsia="Book Antiqua" w:hAnsi="Book Antiqua" w:cs="Book Antiqua"/>
          <w:color w:val="000000"/>
        </w:rPr>
        <w:t xml:space="preserve"> 2019; </w:t>
      </w:r>
      <w:r w:rsidRPr="00EA2DA7">
        <w:rPr>
          <w:rFonts w:ascii="Book Antiqua" w:eastAsia="Book Antiqua" w:hAnsi="Book Antiqua" w:cs="Book Antiqua"/>
          <w:b/>
          <w:color w:val="000000"/>
        </w:rPr>
        <w:t>9</w:t>
      </w:r>
      <w:r w:rsidRPr="00EA2DA7">
        <w:rPr>
          <w:rFonts w:ascii="Book Antiqua" w:eastAsia="Book Antiqua" w:hAnsi="Book Antiqua" w:cs="Book Antiqua"/>
          <w:color w:val="000000"/>
        </w:rPr>
        <w:t>: CD013103 [PMID: 31513287 DOI: 10.1002/14651858.CD013103.pub2]</w:t>
      </w:r>
    </w:p>
    <w:p w14:paraId="1988FB4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3 </w:t>
      </w:r>
      <w:r w:rsidRPr="00EA2DA7">
        <w:rPr>
          <w:rFonts w:ascii="Book Antiqua" w:eastAsia="Book Antiqua" w:hAnsi="Book Antiqua" w:cs="Book Antiqua"/>
          <w:b/>
          <w:color w:val="000000"/>
        </w:rPr>
        <w:t>Bashir MH</w:t>
      </w:r>
      <w:r w:rsidRPr="00EA2DA7">
        <w:rPr>
          <w:rFonts w:ascii="Book Antiqua" w:eastAsia="Book Antiqua" w:hAnsi="Book Antiqua" w:cs="Book Antiqua"/>
          <w:color w:val="000000"/>
        </w:rPr>
        <w:t xml:space="preserve">, Iqbal S, Miller R, Singh J, Mubarak G, Likhtshteyn M, Bigajer E, Gallagher B, Hurairah A, Stefanov D, McFarlane SI, Ferstenberg R. Management and outcomes of </w:t>
      </w:r>
      <w:r w:rsidRPr="00EA2DA7">
        <w:rPr>
          <w:rFonts w:ascii="Book Antiqua" w:eastAsia="Book Antiqua" w:hAnsi="Book Antiqua" w:cs="Book Antiqua"/>
          <w:color w:val="000000"/>
        </w:rPr>
        <w:lastRenderedPageBreak/>
        <w:t xml:space="preserve">hepatorenal syndrome at an urban academic medical center: a retrospective study. </w:t>
      </w:r>
      <w:r w:rsidRPr="00EA2DA7">
        <w:rPr>
          <w:rFonts w:ascii="Book Antiqua" w:eastAsia="Book Antiqua" w:hAnsi="Book Antiqua" w:cs="Book Antiqua"/>
          <w:i/>
          <w:color w:val="000000"/>
        </w:rPr>
        <w:t>Eur J Gastroenterol Hepatol</w:t>
      </w:r>
      <w:r w:rsidRPr="00EA2DA7">
        <w:rPr>
          <w:rFonts w:ascii="Book Antiqua" w:eastAsia="Book Antiqua" w:hAnsi="Book Antiqua" w:cs="Book Antiqua"/>
          <w:color w:val="000000"/>
        </w:rPr>
        <w:t xml:space="preserve"> 2019; </w:t>
      </w:r>
      <w:r w:rsidRPr="00EA2DA7">
        <w:rPr>
          <w:rFonts w:ascii="Book Antiqua" w:eastAsia="Book Antiqua" w:hAnsi="Book Antiqua" w:cs="Book Antiqua"/>
          <w:b/>
          <w:color w:val="000000"/>
        </w:rPr>
        <w:t>31</w:t>
      </w:r>
      <w:r w:rsidRPr="00EA2DA7">
        <w:rPr>
          <w:rFonts w:ascii="Book Antiqua" w:eastAsia="Book Antiqua" w:hAnsi="Book Antiqua" w:cs="Book Antiqua"/>
          <w:color w:val="000000"/>
        </w:rPr>
        <w:t>: 1545-1549 [PMID: 31169567 DOI: 10.1097/MEG.0000000000001462]</w:t>
      </w:r>
    </w:p>
    <w:p w14:paraId="371D9BB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4 </w:t>
      </w:r>
      <w:r w:rsidRPr="00EA2DA7">
        <w:rPr>
          <w:rFonts w:ascii="Book Antiqua" w:eastAsia="Book Antiqua" w:hAnsi="Book Antiqua" w:cs="Book Antiqua"/>
          <w:b/>
          <w:color w:val="000000"/>
        </w:rPr>
        <w:t>Okamura Y</w:t>
      </w:r>
      <w:r w:rsidRPr="00EA2DA7">
        <w:rPr>
          <w:rFonts w:ascii="Book Antiqua" w:eastAsia="Book Antiqua" w:hAnsi="Book Antiqua" w:cs="Book Antiqua"/>
          <w:color w:val="000000"/>
        </w:rPr>
        <w:t xml:space="preserve">, Hata K, Inamoto O, Kubota T, Hirao H, Tanaka H, Fujimoto Y, Ogawa K, Mori A, Okajima H, Kaido T, Uemoto S. Influence of hepatorenal syndrome on outcome of living donor liver transplantation: A single-center experience in 357 patients. </w:t>
      </w:r>
      <w:r w:rsidRPr="00EA2DA7">
        <w:rPr>
          <w:rFonts w:ascii="Book Antiqua" w:eastAsia="Book Antiqua" w:hAnsi="Book Antiqua" w:cs="Book Antiqua"/>
          <w:i/>
          <w:color w:val="000000"/>
        </w:rPr>
        <w:t>Hepatol Res</w:t>
      </w:r>
      <w:r w:rsidRPr="00EA2DA7">
        <w:rPr>
          <w:rFonts w:ascii="Book Antiqua" w:eastAsia="Book Antiqua" w:hAnsi="Book Antiqua" w:cs="Book Antiqua"/>
          <w:color w:val="000000"/>
        </w:rPr>
        <w:t xml:space="preserve"> 2017; </w:t>
      </w:r>
      <w:r w:rsidRPr="00EA2DA7">
        <w:rPr>
          <w:rFonts w:ascii="Book Antiqua" w:eastAsia="Book Antiqua" w:hAnsi="Book Antiqua" w:cs="Book Antiqua"/>
          <w:b/>
          <w:color w:val="000000"/>
        </w:rPr>
        <w:t>47</w:t>
      </w:r>
      <w:r w:rsidRPr="00EA2DA7">
        <w:rPr>
          <w:rFonts w:ascii="Book Antiqua" w:eastAsia="Book Antiqua" w:hAnsi="Book Antiqua" w:cs="Book Antiqua"/>
          <w:color w:val="000000"/>
        </w:rPr>
        <w:t>: 425-434 [PMID: 27323334 DOI: 10.1111/hepr.12764]</w:t>
      </w:r>
    </w:p>
    <w:p w14:paraId="05EC17D9"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5 </w:t>
      </w:r>
      <w:r w:rsidRPr="00EA2DA7">
        <w:rPr>
          <w:rFonts w:ascii="Book Antiqua" w:eastAsia="Book Antiqua" w:hAnsi="Book Antiqua" w:cs="Book Antiqua"/>
          <w:b/>
          <w:color w:val="000000"/>
        </w:rPr>
        <w:t>Salerno F</w:t>
      </w:r>
      <w:r w:rsidRPr="00EA2DA7">
        <w:rPr>
          <w:rFonts w:ascii="Book Antiqua" w:eastAsia="Book Antiqua" w:hAnsi="Book Antiqua" w:cs="Book Antiqua"/>
          <w:color w:val="000000"/>
        </w:rPr>
        <w:t xml:space="preserve">, Cazzaniga M, Merli M, Spinzi G, Saibeni S, Salmi A, Fagiuoli S, Spadaccini A, Trotta E, Laffi G, Koch M, Riggio O, Boccia S, Felder M, Balzani S, Bruno S, Angeli P; Italian Association of the Hospital Gastroenterologists (AIGO) investigators. Diagnosis, treatment and survival of patients with hepatorenal syndrome: a survey on daily medical practice. </w:t>
      </w:r>
      <w:r w:rsidRPr="00EA2DA7">
        <w:rPr>
          <w:rFonts w:ascii="Book Antiqua" w:eastAsia="Book Antiqua" w:hAnsi="Book Antiqua" w:cs="Book Antiqua"/>
          <w:i/>
          <w:color w:val="000000"/>
        </w:rPr>
        <w:t>J Hepatol</w:t>
      </w:r>
      <w:r w:rsidRPr="00EA2DA7">
        <w:rPr>
          <w:rFonts w:ascii="Book Antiqua" w:eastAsia="Book Antiqua" w:hAnsi="Book Antiqua" w:cs="Book Antiqua"/>
          <w:color w:val="000000"/>
        </w:rPr>
        <w:t xml:space="preserve"> 2011; </w:t>
      </w:r>
      <w:r w:rsidRPr="00EA2DA7">
        <w:rPr>
          <w:rFonts w:ascii="Book Antiqua" w:eastAsia="Book Antiqua" w:hAnsi="Book Antiqua" w:cs="Book Antiqua"/>
          <w:b/>
          <w:color w:val="000000"/>
        </w:rPr>
        <w:t>55</w:t>
      </w:r>
      <w:r w:rsidRPr="00EA2DA7">
        <w:rPr>
          <w:rFonts w:ascii="Book Antiqua" w:eastAsia="Book Antiqua" w:hAnsi="Book Antiqua" w:cs="Book Antiqua"/>
          <w:color w:val="000000"/>
        </w:rPr>
        <w:t>: 1241-1248 [PMID: 21703199 DOI: 10.1016/j.jhep.2011.03.012]</w:t>
      </w:r>
    </w:p>
    <w:p w14:paraId="4D5B9B2D"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6 </w:t>
      </w:r>
      <w:r w:rsidRPr="00EA2DA7">
        <w:rPr>
          <w:rFonts w:ascii="Book Antiqua" w:eastAsia="Book Antiqua" w:hAnsi="Book Antiqua" w:cs="Book Antiqua"/>
          <w:b/>
          <w:color w:val="000000"/>
        </w:rPr>
        <w:t>Barreto R</w:t>
      </w:r>
      <w:r w:rsidRPr="00EA2DA7">
        <w:rPr>
          <w:rFonts w:ascii="Book Antiqua" w:eastAsia="Book Antiqua" w:hAnsi="Book Antiqua" w:cs="Book Antiqua"/>
          <w:color w:val="000000"/>
        </w:rPr>
        <w:t xml:space="preserve">, Fagundes C, Guevara M, Solà E, Pereira G, Rodríguez E, Graupera I, Martín-Llahí M, Ariza X, Cárdenas A, Fernández J, Rodés J, Arroyo V, Ginès P. Type-1 hepatorenal syndrome associated with infections in cirrhosis: natural history, outcome of kidney function, and survival. </w:t>
      </w:r>
      <w:r w:rsidRPr="00EA2DA7">
        <w:rPr>
          <w:rFonts w:ascii="Book Antiqua" w:eastAsia="Book Antiqua" w:hAnsi="Book Antiqua" w:cs="Book Antiqua"/>
          <w:i/>
          <w:color w:val="000000"/>
        </w:rPr>
        <w:t>Hepatology</w:t>
      </w:r>
      <w:r w:rsidRPr="00EA2DA7">
        <w:rPr>
          <w:rFonts w:ascii="Book Antiqua" w:eastAsia="Book Antiqua" w:hAnsi="Book Antiqua" w:cs="Book Antiqua"/>
          <w:color w:val="000000"/>
        </w:rPr>
        <w:t xml:space="preserve"> 2014; </w:t>
      </w:r>
      <w:r w:rsidRPr="00EA2DA7">
        <w:rPr>
          <w:rFonts w:ascii="Book Antiqua" w:eastAsia="Book Antiqua" w:hAnsi="Book Antiqua" w:cs="Book Antiqua"/>
          <w:b/>
          <w:color w:val="000000"/>
        </w:rPr>
        <w:t>59</w:t>
      </w:r>
      <w:r w:rsidRPr="00EA2DA7">
        <w:rPr>
          <w:rFonts w:ascii="Book Antiqua" w:eastAsia="Book Antiqua" w:hAnsi="Book Antiqua" w:cs="Book Antiqua"/>
          <w:color w:val="000000"/>
        </w:rPr>
        <w:t>: 1505-1513 [PMID: 24037970 DOI: 10.1002/hep.26687]</w:t>
      </w:r>
    </w:p>
    <w:p w14:paraId="4E5CE1C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7 </w:t>
      </w:r>
      <w:r w:rsidRPr="00EA2DA7">
        <w:rPr>
          <w:rFonts w:ascii="Book Antiqua" w:eastAsia="Book Antiqua" w:hAnsi="Book Antiqua" w:cs="Book Antiqua"/>
          <w:b/>
          <w:color w:val="000000"/>
        </w:rPr>
        <w:t>Piano S</w:t>
      </w:r>
      <w:r w:rsidRPr="00EA2DA7">
        <w:rPr>
          <w:rFonts w:ascii="Book Antiqua" w:eastAsia="Book Antiqua" w:hAnsi="Book Antiqua" w:cs="Book Antiqua"/>
          <w:color w:val="000000"/>
        </w:rPr>
        <w:t xml:space="preserve">, Schmidt HH, Ariza X, Amoros A, Romano A, Hüsing-Kabar A, Solà E, Gerbes A, Bernardi M, Alessandria C, Scheiner B, Tonon M, Maschmeier M, Solè C, Trebicka J, Gustot T, Nevens F, Arroyo V, Gines P, Angeli P; EASL CLIF Consortium, European Foundation for the Study of Chronic Liver Failure (EF Clif). Association Between Grade of Acute on Chronic Liver Failure and Response to Terlipressin and Albumin in Patients With Hepatorenal Syndrome. </w:t>
      </w:r>
      <w:r w:rsidRPr="00EA2DA7">
        <w:rPr>
          <w:rFonts w:ascii="Book Antiqua" w:eastAsia="Book Antiqua" w:hAnsi="Book Antiqua" w:cs="Book Antiqua"/>
          <w:i/>
          <w:color w:val="000000"/>
        </w:rPr>
        <w:t>Clin Gastroenterol Hepatol</w:t>
      </w:r>
      <w:r w:rsidRPr="00EA2DA7">
        <w:rPr>
          <w:rFonts w:ascii="Book Antiqua" w:eastAsia="Book Antiqua" w:hAnsi="Book Antiqua" w:cs="Book Antiqua"/>
          <w:color w:val="000000"/>
        </w:rPr>
        <w:t xml:space="preserve"> 2018; </w:t>
      </w:r>
      <w:r w:rsidRPr="00EA2DA7">
        <w:rPr>
          <w:rFonts w:ascii="Book Antiqua" w:eastAsia="Book Antiqua" w:hAnsi="Book Antiqua" w:cs="Book Antiqua"/>
          <w:b/>
          <w:color w:val="000000"/>
        </w:rPr>
        <w:t>16</w:t>
      </w:r>
      <w:r w:rsidRPr="00EA2DA7">
        <w:rPr>
          <w:rFonts w:ascii="Book Antiqua" w:eastAsia="Book Antiqua" w:hAnsi="Book Antiqua" w:cs="Book Antiqua"/>
          <w:color w:val="000000"/>
        </w:rPr>
        <w:t>: 1792-1800.e3 [PMID: 29391267 DOI: 10.1016/j.cgh.2018.01.035]</w:t>
      </w:r>
    </w:p>
    <w:p w14:paraId="5C4EF76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8 </w:t>
      </w:r>
      <w:r w:rsidRPr="00EA2DA7">
        <w:rPr>
          <w:rFonts w:ascii="Book Antiqua" w:eastAsia="Book Antiqua" w:hAnsi="Book Antiqua" w:cs="Book Antiqua"/>
          <w:b/>
          <w:color w:val="000000"/>
        </w:rPr>
        <w:t>Wu J</w:t>
      </w:r>
      <w:r w:rsidRPr="00EA2DA7">
        <w:rPr>
          <w:rFonts w:ascii="Book Antiqua" w:eastAsia="Book Antiqua" w:hAnsi="Book Antiqua" w:cs="Book Antiqua"/>
          <w:color w:val="000000"/>
        </w:rPr>
        <w:t>, Guo N, Zhang X, Xiong C, Liu J, Xu Y, Fan J, Yu J, Zhao X, Liu B, Wang W, Zhang J, Cao H, Li L. HEV-LF</w:t>
      </w:r>
      <w:r w:rsidRPr="00EA2DA7">
        <w:rPr>
          <w:rFonts w:ascii="Book Antiqua" w:eastAsia="Book Antiqua" w:hAnsi="Book Antiqua" w:cs="Book Antiqua"/>
          <w:color w:val="000000"/>
          <w:vertAlign w:val="subscript"/>
        </w:rPr>
        <w:t>S</w:t>
      </w:r>
      <w:r w:rsidRPr="00EA2DA7">
        <w:rPr>
          <w:rFonts w:ascii="Book Antiqua" w:eastAsia="Book Antiqua" w:hAnsi="Book Antiqua" w:cs="Book Antiqua"/>
          <w:color w:val="000000"/>
        </w:rPr>
        <w:t xml:space="preserve"> : A novel scoring model for patients with hepatitis E virus-related liver failure. </w:t>
      </w:r>
      <w:r w:rsidRPr="00EA2DA7">
        <w:rPr>
          <w:rFonts w:ascii="Book Antiqua" w:eastAsia="Book Antiqua" w:hAnsi="Book Antiqua" w:cs="Book Antiqua"/>
          <w:i/>
          <w:color w:val="000000"/>
        </w:rPr>
        <w:t>J Viral Hepat</w:t>
      </w:r>
      <w:r w:rsidRPr="00EA2DA7">
        <w:rPr>
          <w:rFonts w:ascii="Book Antiqua" w:eastAsia="Book Antiqua" w:hAnsi="Book Antiqua" w:cs="Book Antiqua"/>
          <w:color w:val="000000"/>
        </w:rPr>
        <w:t xml:space="preserve"> 2019; </w:t>
      </w:r>
      <w:r w:rsidRPr="00EA2DA7">
        <w:rPr>
          <w:rFonts w:ascii="Book Antiqua" w:eastAsia="Book Antiqua" w:hAnsi="Book Antiqua" w:cs="Book Antiqua"/>
          <w:b/>
          <w:color w:val="000000"/>
        </w:rPr>
        <w:t>26</w:t>
      </w:r>
      <w:r w:rsidRPr="00EA2DA7">
        <w:rPr>
          <w:rFonts w:ascii="Book Antiqua" w:eastAsia="Book Antiqua" w:hAnsi="Book Antiqua" w:cs="Book Antiqua"/>
          <w:color w:val="000000"/>
        </w:rPr>
        <w:t>: 1334-1343 [PMID: 31294523 DOI: 10.1111/jvh.13174]</w:t>
      </w:r>
    </w:p>
    <w:p w14:paraId="5C76B96F"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9 </w:t>
      </w:r>
      <w:r w:rsidRPr="00EA2DA7">
        <w:rPr>
          <w:rFonts w:ascii="Book Antiqua" w:eastAsia="Book Antiqua" w:hAnsi="Book Antiqua" w:cs="Book Antiqua"/>
          <w:b/>
          <w:color w:val="000000"/>
        </w:rPr>
        <w:t>Angeli P</w:t>
      </w:r>
      <w:r w:rsidRPr="00EA2DA7">
        <w:rPr>
          <w:rFonts w:ascii="Book Antiqua" w:eastAsia="Book Antiqua" w:hAnsi="Book Antiqua" w:cs="Book Antiqua"/>
          <w:color w:val="000000"/>
        </w:rPr>
        <w:t xml:space="preserve">, Gines P. Hepatorenal syndrome, MELD score and liver transplantation: an evolving issue with relevant implications for clinical practice. </w:t>
      </w:r>
      <w:r w:rsidRPr="00EA2DA7">
        <w:rPr>
          <w:rFonts w:ascii="Book Antiqua" w:eastAsia="Book Antiqua" w:hAnsi="Book Antiqua" w:cs="Book Antiqua"/>
          <w:i/>
          <w:color w:val="000000"/>
        </w:rPr>
        <w:t>J Hepatol</w:t>
      </w:r>
      <w:r w:rsidRPr="00EA2DA7">
        <w:rPr>
          <w:rFonts w:ascii="Book Antiqua" w:eastAsia="Book Antiqua" w:hAnsi="Book Antiqua" w:cs="Book Antiqua"/>
          <w:color w:val="000000"/>
        </w:rPr>
        <w:t xml:space="preserve"> 2012; </w:t>
      </w:r>
      <w:r w:rsidRPr="00EA2DA7">
        <w:rPr>
          <w:rFonts w:ascii="Book Antiqua" w:eastAsia="Book Antiqua" w:hAnsi="Book Antiqua" w:cs="Book Antiqua"/>
          <w:b/>
          <w:color w:val="000000"/>
        </w:rPr>
        <w:t>57</w:t>
      </w:r>
      <w:r w:rsidRPr="00EA2DA7">
        <w:rPr>
          <w:rFonts w:ascii="Book Antiqua" w:eastAsia="Book Antiqua" w:hAnsi="Book Antiqua" w:cs="Book Antiqua"/>
          <w:color w:val="000000"/>
        </w:rPr>
        <w:t>: 1135-1140 [PMID: 22749942 DOI: 10.1016/j.jhep.2012.06.024]</w:t>
      </w:r>
    </w:p>
    <w:p w14:paraId="51B4B0F0" w14:textId="5FEDB990"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lastRenderedPageBreak/>
        <w:t xml:space="preserve">10 </w:t>
      </w:r>
      <w:r w:rsidRPr="00EA2DA7">
        <w:rPr>
          <w:rFonts w:ascii="Book Antiqua" w:eastAsia="Book Antiqua" w:hAnsi="Book Antiqua" w:cs="Book Antiqua"/>
          <w:b/>
          <w:color w:val="000000"/>
        </w:rPr>
        <w:t>Organization Committee of 13th Asia-Pacific Congress of Clinical Microbiology and Infection.</w:t>
      </w:r>
      <w:r w:rsidRPr="00EA2DA7">
        <w:rPr>
          <w:rFonts w:ascii="Book Antiqua" w:eastAsia="Book Antiqua" w:hAnsi="Book Antiqua" w:cs="Book Antiqua"/>
          <w:color w:val="000000"/>
        </w:rPr>
        <w:t xml:space="preserve"> 13th Asia-Pacific Congress of Clinical Microbiology and Infection Consensus Guidelines for diagnosis and treatment of liver failure. </w:t>
      </w:r>
      <w:r w:rsidRPr="00EA2DA7">
        <w:rPr>
          <w:rFonts w:ascii="Book Antiqua" w:eastAsia="Book Antiqua" w:hAnsi="Book Antiqua" w:cs="Book Antiqua"/>
          <w:i/>
          <w:color w:val="000000"/>
        </w:rPr>
        <w:t>Hepatobiliary Pancreat Dis Int</w:t>
      </w:r>
      <w:r w:rsidRPr="00EA2DA7">
        <w:rPr>
          <w:rFonts w:ascii="Book Antiqua" w:eastAsia="Book Antiqua" w:hAnsi="Book Antiqua" w:cs="Book Antiqua"/>
          <w:color w:val="000000"/>
        </w:rPr>
        <w:t xml:space="preserve"> 2013; </w:t>
      </w:r>
      <w:r w:rsidRPr="00EA2DA7">
        <w:rPr>
          <w:rFonts w:ascii="Book Antiqua" w:eastAsia="Book Antiqua" w:hAnsi="Book Antiqua" w:cs="Book Antiqua"/>
          <w:b/>
          <w:color w:val="000000"/>
        </w:rPr>
        <w:t>12</w:t>
      </w:r>
      <w:r w:rsidRPr="00EA2DA7">
        <w:rPr>
          <w:rFonts w:ascii="Book Antiqua" w:eastAsia="Book Antiqua" w:hAnsi="Book Antiqua" w:cs="Book Antiqua"/>
          <w:color w:val="000000"/>
        </w:rPr>
        <w:t>: 346-354 [PMID: 23924491 DOI: 10.1016/s1499-3872(13)60055-7]</w:t>
      </w:r>
    </w:p>
    <w:p w14:paraId="1BF4CA5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11 </w:t>
      </w:r>
      <w:r w:rsidRPr="00EA2DA7">
        <w:rPr>
          <w:rFonts w:ascii="Book Antiqua" w:eastAsia="Book Antiqua" w:hAnsi="Book Antiqua" w:cs="Book Antiqua"/>
          <w:b/>
          <w:color w:val="000000"/>
        </w:rPr>
        <w:t>Wong F</w:t>
      </w:r>
      <w:r w:rsidRPr="00EA2DA7">
        <w:rPr>
          <w:rFonts w:ascii="Book Antiqua" w:eastAsia="Book Antiqua" w:hAnsi="Book Antiqua" w:cs="Book Antiqua"/>
          <w:color w:val="000000"/>
        </w:rPr>
        <w:t xml:space="preserve">, Boyer TD, Sanyal AJ, Pappas SC, Escalante S, Jamil K. Reduction in acute kidney injury stage predicts survival in patients with type-1 hepatorenal syndrome. </w:t>
      </w:r>
      <w:r w:rsidRPr="00EA2DA7">
        <w:rPr>
          <w:rFonts w:ascii="Book Antiqua" w:eastAsia="Book Antiqua" w:hAnsi="Book Antiqua" w:cs="Book Antiqua"/>
          <w:i/>
          <w:color w:val="000000"/>
        </w:rPr>
        <w:t>Nephrol Dial Transplant</w:t>
      </w:r>
      <w:r w:rsidRPr="00EA2DA7">
        <w:rPr>
          <w:rFonts w:ascii="Book Antiqua" w:eastAsia="Book Antiqua" w:hAnsi="Book Antiqua" w:cs="Book Antiqua"/>
          <w:color w:val="000000"/>
        </w:rPr>
        <w:t xml:space="preserve"> 2020; </w:t>
      </w:r>
      <w:r w:rsidRPr="00EA2DA7">
        <w:rPr>
          <w:rFonts w:ascii="Book Antiqua" w:eastAsia="Book Antiqua" w:hAnsi="Book Antiqua" w:cs="Book Antiqua"/>
          <w:b/>
          <w:color w:val="000000"/>
        </w:rPr>
        <w:t>35</w:t>
      </w:r>
      <w:r w:rsidRPr="00EA2DA7">
        <w:rPr>
          <w:rFonts w:ascii="Book Antiqua" w:eastAsia="Book Antiqua" w:hAnsi="Book Antiqua" w:cs="Book Antiqua"/>
          <w:color w:val="000000"/>
        </w:rPr>
        <w:t>: 1554-1561 [PMID: 30887050 DOI: 10.1093/ndt/gfz048]</w:t>
      </w:r>
    </w:p>
    <w:p w14:paraId="19026B2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12 </w:t>
      </w:r>
      <w:r w:rsidRPr="00EA2DA7">
        <w:rPr>
          <w:rFonts w:ascii="Book Antiqua" w:eastAsia="Book Antiqua" w:hAnsi="Book Antiqua" w:cs="Book Antiqua"/>
          <w:b/>
          <w:color w:val="000000"/>
        </w:rPr>
        <w:t>Solé C</w:t>
      </w:r>
      <w:r w:rsidRPr="00EA2DA7">
        <w:rPr>
          <w:rFonts w:ascii="Book Antiqua" w:eastAsia="Book Antiqua" w:hAnsi="Book Antiqua" w:cs="Book Antiqua"/>
          <w:color w:val="000000"/>
        </w:rPr>
        <w:t xml:space="preserve">, Solà E, Huelin P, Carol M, Moreira R, Cereijo U, Mas JM, Graupera I, Pose E, Napoleone L, dePrada G, Juanola A, Fabrellas N, Torres F, Morales-Ruiz M, Farrés J, Jiménez W, Ginès P. Characterization of inflammatory response in hepatorenal syndrome: Relationship with kidney outcome and survival. </w:t>
      </w:r>
      <w:r w:rsidRPr="00EA2DA7">
        <w:rPr>
          <w:rFonts w:ascii="Book Antiqua" w:eastAsia="Book Antiqua" w:hAnsi="Book Antiqua" w:cs="Book Antiqua"/>
          <w:i/>
          <w:color w:val="000000"/>
        </w:rPr>
        <w:t>Liver Int</w:t>
      </w:r>
      <w:r w:rsidRPr="00EA2DA7">
        <w:rPr>
          <w:rFonts w:ascii="Book Antiqua" w:eastAsia="Book Antiqua" w:hAnsi="Book Antiqua" w:cs="Book Antiqua"/>
          <w:color w:val="000000"/>
        </w:rPr>
        <w:t xml:space="preserve"> 2019; </w:t>
      </w:r>
      <w:r w:rsidRPr="00EA2DA7">
        <w:rPr>
          <w:rFonts w:ascii="Book Antiqua" w:eastAsia="Book Antiqua" w:hAnsi="Book Antiqua" w:cs="Book Antiqua"/>
          <w:b/>
          <w:color w:val="000000"/>
        </w:rPr>
        <w:t>39</w:t>
      </w:r>
      <w:r w:rsidRPr="00EA2DA7">
        <w:rPr>
          <w:rFonts w:ascii="Book Antiqua" w:eastAsia="Book Antiqua" w:hAnsi="Book Antiqua" w:cs="Book Antiqua"/>
          <w:color w:val="000000"/>
        </w:rPr>
        <w:t>: 1246-1255 [PMID: 30597709 DOI: 10.1111/Liv.14037]</w:t>
      </w:r>
    </w:p>
    <w:p w14:paraId="0CD690D1"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13 </w:t>
      </w:r>
      <w:r w:rsidRPr="00EA2DA7">
        <w:rPr>
          <w:rFonts w:ascii="Book Antiqua" w:eastAsia="Book Antiqua" w:hAnsi="Book Antiqua" w:cs="Book Antiqua"/>
          <w:b/>
          <w:color w:val="000000"/>
        </w:rPr>
        <w:t>Ginès P</w:t>
      </w:r>
      <w:r w:rsidRPr="00EA2DA7">
        <w:rPr>
          <w:rFonts w:ascii="Book Antiqua" w:eastAsia="Book Antiqua" w:hAnsi="Book Antiqua" w:cs="Book Antiqua"/>
          <w:color w:val="000000"/>
        </w:rPr>
        <w:t xml:space="preserve">, Solà E, Angeli P, Wong F, Nadim MK, Kamath PS. Hepatorenal syndrome. </w:t>
      </w:r>
      <w:r w:rsidRPr="00EA2DA7">
        <w:rPr>
          <w:rFonts w:ascii="Book Antiqua" w:eastAsia="Book Antiqua" w:hAnsi="Book Antiqua" w:cs="Book Antiqua"/>
          <w:i/>
          <w:color w:val="000000"/>
        </w:rPr>
        <w:t>Nat Rev Dis Primers</w:t>
      </w:r>
      <w:r w:rsidRPr="00EA2DA7">
        <w:rPr>
          <w:rFonts w:ascii="Book Antiqua" w:eastAsia="Book Antiqua" w:hAnsi="Book Antiqua" w:cs="Book Antiqua"/>
          <w:color w:val="000000"/>
        </w:rPr>
        <w:t xml:space="preserve"> 2018; </w:t>
      </w:r>
      <w:r w:rsidRPr="00EA2DA7">
        <w:rPr>
          <w:rFonts w:ascii="Book Antiqua" w:eastAsia="Book Antiqua" w:hAnsi="Book Antiqua" w:cs="Book Antiqua"/>
          <w:b/>
          <w:color w:val="000000"/>
        </w:rPr>
        <w:t>4</w:t>
      </w:r>
      <w:r w:rsidRPr="00EA2DA7">
        <w:rPr>
          <w:rFonts w:ascii="Book Antiqua" w:eastAsia="Book Antiqua" w:hAnsi="Book Antiqua" w:cs="Book Antiqua"/>
          <w:color w:val="000000"/>
        </w:rPr>
        <w:t>: 23 [PMID: 30213943 DOI: 10.1038/s41572-018-0022-7]</w:t>
      </w:r>
    </w:p>
    <w:p w14:paraId="1E7E51E2"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14 </w:t>
      </w:r>
      <w:r w:rsidRPr="00EA2DA7">
        <w:rPr>
          <w:rFonts w:ascii="Book Antiqua" w:eastAsia="Book Antiqua" w:hAnsi="Book Antiqua" w:cs="Book Antiqua"/>
          <w:b/>
          <w:color w:val="000000"/>
        </w:rPr>
        <w:t>Wu T</w:t>
      </w:r>
      <w:r w:rsidRPr="00EA2DA7">
        <w:rPr>
          <w:rFonts w:ascii="Book Antiqua" w:eastAsia="Book Antiqua" w:hAnsi="Book Antiqua" w:cs="Book Antiqua"/>
          <w:color w:val="000000"/>
        </w:rPr>
        <w:t xml:space="preserve">, Li J, Shao L, Xin J, Jiang L, Zhou Q, Shi D, Jiang J, Sun S, Jin L, Ye P, Yang L, Lu Y, Li T, Huang J, Xu X, Chen J, Hao S, Chen Y, Xin S, Gao Z, Duan Z, Han T, Wang Y, Gan J, Feng T, Pan C, Chen Y, Li H, Huang Y, Xie Q, Lin S, Li L, Li J; Chinese Group on the Study of Severe Hepatitis B (COSSH). Development of diagnostic criteria and a prognostic score for hepatitis B virus-related acute-on-chronic liver failure. </w:t>
      </w:r>
      <w:r w:rsidRPr="00EA2DA7">
        <w:rPr>
          <w:rFonts w:ascii="Book Antiqua" w:eastAsia="Book Antiqua" w:hAnsi="Book Antiqua" w:cs="Book Antiqua"/>
          <w:i/>
          <w:color w:val="000000"/>
        </w:rPr>
        <w:t>Gut</w:t>
      </w:r>
      <w:r w:rsidRPr="00EA2DA7">
        <w:rPr>
          <w:rFonts w:ascii="Book Antiqua" w:eastAsia="Book Antiqua" w:hAnsi="Book Antiqua" w:cs="Book Antiqua"/>
          <w:color w:val="000000"/>
        </w:rPr>
        <w:t xml:space="preserve"> 2018; </w:t>
      </w:r>
      <w:r w:rsidRPr="00EA2DA7">
        <w:rPr>
          <w:rFonts w:ascii="Book Antiqua" w:eastAsia="Book Antiqua" w:hAnsi="Book Antiqua" w:cs="Book Antiqua"/>
          <w:b/>
          <w:color w:val="000000"/>
        </w:rPr>
        <w:t>67</w:t>
      </w:r>
      <w:r w:rsidRPr="00EA2DA7">
        <w:rPr>
          <w:rFonts w:ascii="Book Antiqua" w:eastAsia="Book Antiqua" w:hAnsi="Book Antiqua" w:cs="Book Antiqua"/>
          <w:color w:val="000000"/>
        </w:rPr>
        <w:t>: 2181-2191 [PMID: 28928275 DOI: 10.1136/gutjnl-2017-314641]</w:t>
      </w:r>
    </w:p>
    <w:p w14:paraId="6F18082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15 </w:t>
      </w:r>
      <w:r w:rsidRPr="00EA2DA7">
        <w:rPr>
          <w:rFonts w:ascii="Book Antiqua" w:eastAsia="Book Antiqua" w:hAnsi="Book Antiqua" w:cs="Book Antiqua"/>
          <w:b/>
          <w:color w:val="000000"/>
        </w:rPr>
        <w:t>Alessandria C</w:t>
      </w:r>
      <w:r w:rsidRPr="00EA2DA7">
        <w:rPr>
          <w:rFonts w:ascii="Book Antiqua" w:eastAsia="Book Antiqua" w:hAnsi="Book Antiqua" w:cs="Book Antiqua"/>
          <w:color w:val="000000"/>
        </w:rPr>
        <w:t xml:space="preserve">, Ozdogan O, Guevara M, Restuccia T, Jiménez W, Arroyo V, Rodés J, Ginès P. MELD score and clinical type predict prognosis in hepatorenal syndrome: relevance to liver transplantation. </w:t>
      </w:r>
      <w:r w:rsidRPr="00EA2DA7">
        <w:rPr>
          <w:rFonts w:ascii="Book Antiqua" w:eastAsia="Book Antiqua" w:hAnsi="Book Antiqua" w:cs="Book Antiqua"/>
          <w:i/>
          <w:color w:val="000000"/>
        </w:rPr>
        <w:t>Hepatology</w:t>
      </w:r>
      <w:r w:rsidRPr="00EA2DA7">
        <w:rPr>
          <w:rFonts w:ascii="Book Antiqua" w:eastAsia="Book Antiqua" w:hAnsi="Book Antiqua" w:cs="Book Antiqua"/>
          <w:color w:val="000000"/>
        </w:rPr>
        <w:t xml:space="preserve"> 2005; </w:t>
      </w:r>
      <w:r w:rsidRPr="00EA2DA7">
        <w:rPr>
          <w:rFonts w:ascii="Book Antiqua" w:eastAsia="Book Antiqua" w:hAnsi="Book Antiqua" w:cs="Book Antiqua"/>
          <w:b/>
          <w:color w:val="000000"/>
        </w:rPr>
        <w:t>41</w:t>
      </w:r>
      <w:r w:rsidRPr="00EA2DA7">
        <w:rPr>
          <w:rFonts w:ascii="Book Antiqua" w:eastAsia="Book Antiqua" w:hAnsi="Book Antiqua" w:cs="Book Antiqua"/>
          <w:color w:val="000000"/>
        </w:rPr>
        <w:t>: 1282-1289 [PMID: 15834937 DOI: 10.1002/hep.20687]</w:t>
      </w:r>
    </w:p>
    <w:p w14:paraId="07FE34E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16 </w:t>
      </w:r>
      <w:r w:rsidRPr="00EA2DA7">
        <w:rPr>
          <w:rFonts w:ascii="Book Antiqua" w:eastAsia="Book Antiqua" w:hAnsi="Book Antiqua" w:cs="Book Antiqua"/>
          <w:b/>
          <w:color w:val="000000"/>
        </w:rPr>
        <w:t>Koola JD</w:t>
      </w:r>
      <w:r w:rsidRPr="00EA2DA7">
        <w:rPr>
          <w:rFonts w:ascii="Book Antiqua" w:eastAsia="Book Antiqua" w:hAnsi="Book Antiqua" w:cs="Book Antiqua"/>
          <w:color w:val="000000"/>
        </w:rPr>
        <w:t xml:space="preserve">, Chen G, Malin BA, Fabbri D, Siew ED, Ho SB, Patterson OV, Matheny ME. A clinical risk prediction model to identify patients with hepatorenal syndrome at hospital admission. </w:t>
      </w:r>
      <w:r w:rsidRPr="00EA2DA7">
        <w:rPr>
          <w:rFonts w:ascii="Book Antiqua" w:eastAsia="Book Antiqua" w:hAnsi="Book Antiqua" w:cs="Book Antiqua"/>
          <w:i/>
          <w:color w:val="000000"/>
        </w:rPr>
        <w:t>Int J Clin Pract</w:t>
      </w:r>
      <w:r w:rsidRPr="00EA2DA7">
        <w:rPr>
          <w:rFonts w:ascii="Book Antiqua" w:eastAsia="Book Antiqua" w:hAnsi="Book Antiqua" w:cs="Book Antiqua"/>
          <w:color w:val="000000"/>
        </w:rPr>
        <w:t xml:space="preserve"> 2019; </w:t>
      </w:r>
      <w:r w:rsidRPr="00EA2DA7">
        <w:rPr>
          <w:rFonts w:ascii="Book Antiqua" w:eastAsia="Book Antiqua" w:hAnsi="Book Antiqua" w:cs="Book Antiqua"/>
          <w:b/>
          <w:color w:val="000000"/>
        </w:rPr>
        <w:t>73</w:t>
      </w:r>
      <w:r w:rsidRPr="00EA2DA7">
        <w:rPr>
          <w:rFonts w:ascii="Book Antiqua" w:eastAsia="Book Antiqua" w:hAnsi="Book Antiqua" w:cs="Book Antiqua"/>
          <w:color w:val="000000"/>
        </w:rPr>
        <w:t>: e13393 [PMID: 31347754 DOI: 10.1111/ijcp.13393]</w:t>
      </w:r>
    </w:p>
    <w:p w14:paraId="3E3FA53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17 </w:t>
      </w:r>
      <w:r w:rsidRPr="00EA2DA7">
        <w:rPr>
          <w:rFonts w:ascii="Book Antiqua" w:eastAsia="Book Antiqua" w:hAnsi="Book Antiqua" w:cs="Book Antiqua"/>
          <w:b/>
          <w:color w:val="000000"/>
        </w:rPr>
        <w:t>Zhang S</w:t>
      </w:r>
      <w:r w:rsidRPr="00EA2DA7">
        <w:rPr>
          <w:rFonts w:ascii="Book Antiqua" w:eastAsia="Book Antiqua" w:hAnsi="Book Antiqua" w:cs="Book Antiqua"/>
          <w:color w:val="000000"/>
        </w:rPr>
        <w:t xml:space="preserve">, He LL, Wang XH, Dang ZB, Liu XL, Li MG, Wang XB, Yang ZY. A novel scoring model for predicting mortality risk in patients with cirrhosis and hepatorenal </w:t>
      </w:r>
      <w:r w:rsidRPr="00EA2DA7">
        <w:rPr>
          <w:rFonts w:ascii="Book Antiqua" w:eastAsia="Book Antiqua" w:hAnsi="Book Antiqua" w:cs="Book Antiqua"/>
          <w:color w:val="000000"/>
        </w:rPr>
        <w:lastRenderedPageBreak/>
        <w:t xml:space="preserve">syndrome. </w:t>
      </w:r>
      <w:r w:rsidRPr="00EA2DA7">
        <w:rPr>
          <w:rFonts w:ascii="Book Antiqua" w:eastAsia="Book Antiqua" w:hAnsi="Book Antiqua" w:cs="Book Antiqua"/>
          <w:i/>
          <w:color w:val="000000"/>
        </w:rPr>
        <w:t>Eur J Gastroenterol Hepatol</w:t>
      </w:r>
      <w:r w:rsidRPr="00EA2DA7">
        <w:rPr>
          <w:rFonts w:ascii="Book Antiqua" w:eastAsia="Book Antiqua" w:hAnsi="Book Antiqua" w:cs="Book Antiqua"/>
          <w:color w:val="000000"/>
        </w:rPr>
        <w:t xml:space="preserve"> 2018; </w:t>
      </w:r>
      <w:r w:rsidRPr="00EA2DA7">
        <w:rPr>
          <w:rFonts w:ascii="Book Antiqua" w:eastAsia="Book Antiqua" w:hAnsi="Book Antiqua" w:cs="Book Antiqua"/>
          <w:b/>
          <w:color w:val="000000"/>
        </w:rPr>
        <w:t>30</w:t>
      </w:r>
      <w:r w:rsidRPr="00EA2DA7">
        <w:rPr>
          <w:rFonts w:ascii="Book Antiqua" w:eastAsia="Book Antiqua" w:hAnsi="Book Antiqua" w:cs="Book Antiqua"/>
          <w:color w:val="000000"/>
        </w:rPr>
        <w:t>: 938-943 [PMID: 29634664 DOI: 10.1097/MEG.0000000000001127]</w:t>
      </w:r>
    </w:p>
    <w:p w14:paraId="2AB2AE30"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18 </w:t>
      </w:r>
      <w:r w:rsidRPr="00EA2DA7">
        <w:rPr>
          <w:rFonts w:ascii="Book Antiqua" w:eastAsia="Book Antiqua" w:hAnsi="Book Antiqua" w:cs="Book Antiqua"/>
          <w:b/>
          <w:color w:val="000000"/>
        </w:rPr>
        <w:t>Olivera-Martinez M</w:t>
      </w:r>
      <w:r w:rsidRPr="00EA2DA7">
        <w:rPr>
          <w:rFonts w:ascii="Book Antiqua" w:eastAsia="Book Antiqua" w:hAnsi="Book Antiqua" w:cs="Book Antiqua"/>
          <w:color w:val="000000"/>
        </w:rPr>
        <w:t xml:space="preserve">, Sayles H, Vivekanandan R, D' Souza S, Florescu MC. Hepatorenal syndrome: are we missing some prognostic factors? </w:t>
      </w:r>
      <w:r w:rsidRPr="00EA2DA7">
        <w:rPr>
          <w:rFonts w:ascii="Book Antiqua" w:eastAsia="Book Antiqua" w:hAnsi="Book Antiqua" w:cs="Book Antiqua"/>
          <w:i/>
          <w:color w:val="000000"/>
        </w:rPr>
        <w:t>Dig Dis Sci</w:t>
      </w:r>
      <w:r w:rsidRPr="00EA2DA7">
        <w:rPr>
          <w:rFonts w:ascii="Book Antiqua" w:eastAsia="Book Antiqua" w:hAnsi="Book Antiqua" w:cs="Book Antiqua"/>
          <w:color w:val="000000"/>
        </w:rPr>
        <w:t xml:space="preserve"> 2012; </w:t>
      </w:r>
      <w:r w:rsidRPr="00EA2DA7">
        <w:rPr>
          <w:rFonts w:ascii="Book Antiqua" w:eastAsia="Book Antiqua" w:hAnsi="Book Antiqua" w:cs="Book Antiqua"/>
          <w:b/>
          <w:color w:val="000000"/>
        </w:rPr>
        <w:t>57</w:t>
      </w:r>
      <w:r w:rsidRPr="00EA2DA7">
        <w:rPr>
          <w:rFonts w:ascii="Book Antiqua" w:eastAsia="Book Antiqua" w:hAnsi="Book Antiqua" w:cs="Book Antiqua"/>
          <w:color w:val="000000"/>
        </w:rPr>
        <w:t>: 210-214 [PMID: 21850494 DOI: 10.1007/s10620-011-1861-1]</w:t>
      </w:r>
    </w:p>
    <w:p w14:paraId="23D1348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 xml:space="preserve">19 </w:t>
      </w:r>
      <w:r w:rsidRPr="00EA2DA7">
        <w:rPr>
          <w:rFonts w:ascii="Book Antiqua" w:eastAsia="Book Antiqua" w:hAnsi="Book Antiqua" w:cs="Book Antiqua"/>
          <w:b/>
          <w:color w:val="000000"/>
        </w:rPr>
        <w:t>Yang YW</w:t>
      </w:r>
      <w:r w:rsidRPr="00EA2DA7">
        <w:rPr>
          <w:rFonts w:ascii="Book Antiqua" w:eastAsia="Book Antiqua" w:hAnsi="Book Antiqua" w:cs="Book Antiqua"/>
          <w:color w:val="000000"/>
        </w:rPr>
        <w:t xml:space="preserve">, Wu CH, Hu RH, Ho MC, Tsai MK, Wu YM, Lee PH. Longitudinal assessment of prognostic factors for patients with hepatorenal syndrome in a tertiary center. </w:t>
      </w:r>
      <w:r w:rsidRPr="00EA2DA7">
        <w:rPr>
          <w:rFonts w:ascii="Book Antiqua" w:eastAsia="Book Antiqua" w:hAnsi="Book Antiqua" w:cs="Book Antiqua"/>
          <w:i/>
          <w:color w:val="000000"/>
        </w:rPr>
        <w:t>Hepatol Int</w:t>
      </w:r>
      <w:r w:rsidRPr="00EA2DA7">
        <w:rPr>
          <w:rFonts w:ascii="Book Antiqua" w:eastAsia="Book Antiqua" w:hAnsi="Book Antiqua" w:cs="Book Antiqua"/>
          <w:color w:val="000000"/>
        </w:rPr>
        <w:t xml:space="preserve"> 2010; </w:t>
      </w:r>
      <w:r w:rsidRPr="00EA2DA7">
        <w:rPr>
          <w:rFonts w:ascii="Book Antiqua" w:eastAsia="Book Antiqua" w:hAnsi="Book Antiqua" w:cs="Book Antiqua"/>
          <w:b/>
          <w:color w:val="000000"/>
        </w:rPr>
        <w:t>4</w:t>
      </w:r>
      <w:r w:rsidRPr="00EA2DA7">
        <w:rPr>
          <w:rFonts w:ascii="Book Antiqua" w:eastAsia="Book Antiqua" w:hAnsi="Book Antiqua" w:cs="Book Antiqua"/>
          <w:color w:val="000000"/>
        </w:rPr>
        <w:t>: 507-510 [PMID: 20827408 DOI: 10.1007/s12072-010-9180-8]</w:t>
      </w:r>
    </w:p>
    <w:p w14:paraId="2BD96874" w14:textId="77777777" w:rsidR="00053734" w:rsidRPr="00EA2DA7" w:rsidRDefault="00721F08" w:rsidP="00EA2DA7">
      <w:pPr>
        <w:spacing w:line="360" w:lineRule="auto"/>
        <w:jc w:val="both"/>
        <w:rPr>
          <w:rFonts w:ascii="Book Antiqua" w:hAnsi="Book Antiqua"/>
        </w:rPr>
        <w:sectPr w:rsidR="00053734" w:rsidRPr="00EA2DA7" w:rsidSect="00EA2DA7">
          <w:type w:val="continuous"/>
          <w:pgSz w:w="12240" w:h="15840"/>
          <w:pgMar w:top="1440" w:right="1440" w:bottom="1440" w:left="1440" w:header="720" w:footer="720" w:gutter="0"/>
          <w:cols w:space="720"/>
          <w:docGrid w:linePitch="326"/>
        </w:sectPr>
      </w:pPr>
      <w:r w:rsidRPr="00EA2DA7">
        <w:rPr>
          <w:rFonts w:ascii="Book Antiqua" w:eastAsia="Book Antiqua" w:hAnsi="Book Antiqua" w:cs="Book Antiqua"/>
          <w:color w:val="000000"/>
        </w:rPr>
        <w:t xml:space="preserve">20 </w:t>
      </w:r>
      <w:r w:rsidRPr="00EA2DA7">
        <w:rPr>
          <w:rFonts w:ascii="Book Antiqua" w:eastAsia="Book Antiqua" w:hAnsi="Book Antiqua" w:cs="Book Antiqua"/>
          <w:b/>
          <w:color w:val="000000"/>
        </w:rPr>
        <w:t>Sibulesky L</w:t>
      </w:r>
      <w:r w:rsidRPr="00EA2DA7">
        <w:rPr>
          <w:rFonts w:ascii="Book Antiqua" w:eastAsia="Book Antiqua" w:hAnsi="Book Antiqua" w:cs="Book Antiqua"/>
          <w:color w:val="000000"/>
        </w:rPr>
        <w:t xml:space="preserve">, Leca N, Blosser C, Rahnemai-Azar AA, Bhattacharya R, Reyes J. Is MELD score failing patients with liver disease and hepatorenal syndrome? </w:t>
      </w:r>
      <w:r w:rsidRPr="00EA2DA7">
        <w:rPr>
          <w:rFonts w:ascii="Book Antiqua" w:eastAsia="Book Antiqua" w:hAnsi="Book Antiqua" w:cs="Book Antiqua"/>
          <w:i/>
          <w:color w:val="000000"/>
        </w:rPr>
        <w:t>World J Hepatol</w:t>
      </w:r>
      <w:r w:rsidRPr="00EA2DA7">
        <w:rPr>
          <w:rFonts w:ascii="Book Antiqua" w:eastAsia="Book Antiqua" w:hAnsi="Book Antiqua" w:cs="Book Antiqua"/>
          <w:color w:val="000000"/>
        </w:rPr>
        <w:t xml:space="preserve"> 2016; </w:t>
      </w:r>
      <w:r w:rsidRPr="00EA2DA7">
        <w:rPr>
          <w:rFonts w:ascii="Book Antiqua" w:eastAsia="Book Antiqua" w:hAnsi="Book Antiqua" w:cs="Book Antiqua"/>
          <w:b/>
          <w:color w:val="000000"/>
        </w:rPr>
        <w:t>8</w:t>
      </w:r>
      <w:r w:rsidRPr="00EA2DA7">
        <w:rPr>
          <w:rFonts w:ascii="Book Antiqua" w:eastAsia="Book Antiqua" w:hAnsi="Book Antiqua" w:cs="Book Antiqua"/>
          <w:color w:val="000000"/>
        </w:rPr>
        <w:t>: 1155-1156 [PMID: 27721921 DOI: 10.4254/wjh.v8.i27.1155]</w:t>
      </w:r>
    </w:p>
    <w:p w14:paraId="0A6D5825" w14:textId="77777777" w:rsidR="005E6755" w:rsidRDefault="005E6755">
      <w:pPr>
        <w:rPr>
          <w:rFonts w:ascii="Book Antiqua" w:eastAsia="Book Antiqua" w:hAnsi="Book Antiqua" w:cs="Book Antiqua"/>
          <w:b/>
          <w:color w:val="000000"/>
        </w:rPr>
      </w:pPr>
      <w:r>
        <w:rPr>
          <w:rFonts w:ascii="Book Antiqua" w:eastAsia="Book Antiqua" w:hAnsi="Book Antiqua" w:cs="Book Antiqua"/>
          <w:b/>
          <w:color w:val="000000"/>
        </w:rPr>
        <w:br w:type="page"/>
      </w:r>
    </w:p>
    <w:p w14:paraId="4E88E735" w14:textId="4D6A8496"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lastRenderedPageBreak/>
        <w:t>Footnotes</w:t>
      </w:r>
    </w:p>
    <w:p w14:paraId="751AB78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Institutional review board statement: </w:t>
      </w:r>
      <w:r w:rsidRPr="00EA2DA7">
        <w:rPr>
          <w:rFonts w:ascii="Book Antiqua" w:eastAsia="Book Antiqua" w:hAnsi="Book Antiqua" w:cs="Book Antiqua"/>
          <w:color w:val="000000"/>
        </w:rPr>
        <w:t xml:space="preserve">The study was reviewed and approved by the Ethics Committee of The First Affiliated Hospital, College of Medicine, Zhejiang University (No. 2019-1449-1). </w:t>
      </w:r>
    </w:p>
    <w:p w14:paraId="1CFF25F0" w14:textId="77777777" w:rsidR="00053734" w:rsidRPr="00EA2DA7" w:rsidRDefault="00053734" w:rsidP="00EA2DA7">
      <w:pPr>
        <w:spacing w:line="360" w:lineRule="auto"/>
        <w:jc w:val="both"/>
        <w:rPr>
          <w:rFonts w:ascii="Book Antiqua" w:hAnsi="Book Antiqua"/>
        </w:rPr>
      </w:pPr>
    </w:p>
    <w:p w14:paraId="035F19B8"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Informed consent statement: </w:t>
      </w:r>
      <w:r w:rsidRPr="00EA2DA7">
        <w:rPr>
          <w:rFonts w:ascii="Book Antiqua" w:eastAsia="Book Antiqua" w:hAnsi="Book Antiqua" w:cs="Book Antiqua"/>
          <w:color w:val="000000"/>
        </w:rPr>
        <w:t>The researchers only analyzed anonymous data, so informed consent was waived.</w:t>
      </w:r>
    </w:p>
    <w:p w14:paraId="726A5DCA" w14:textId="77777777" w:rsidR="00053734" w:rsidRPr="00EA2DA7" w:rsidRDefault="00053734" w:rsidP="00EA2DA7">
      <w:pPr>
        <w:spacing w:line="360" w:lineRule="auto"/>
        <w:jc w:val="both"/>
        <w:rPr>
          <w:rFonts w:ascii="Book Antiqua" w:hAnsi="Book Antiqua"/>
        </w:rPr>
      </w:pPr>
    </w:p>
    <w:p w14:paraId="759D0631" w14:textId="3DF4A64D"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Conflict-of-interest statement: </w:t>
      </w:r>
      <w:r w:rsidRPr="00EA2DA7">
        <w:rPr>
          <w:rFonts w:ascii="Book Antiqua" w:eastAsia="Book Antiqua" w:hAnsi="Book Antiqua" w:cs="Book Antiqua"/>
          <w:color w:val="000000"/>
        </w:rPr>
        <w:t xml:space="preserve">All </w:t>
      </w:r>
      <w:r w:rsidR="005E6755">
        <w:rPr>
          <w:rFonts w:ascii="Book Antiqua" w:eastAsia="Book Antiqua" w:hAnsi="Book Antiqua" w:cs="Book Antiqua"/>
          <w:color w:val="000000"/>
        </w:rPr>
        <w:t>a</w:t>
      </w:r>
      <w:r w:rsidRPr="00EA2DA7">
        <w:rPr>
          <w:rFonts w:ascii="Book Antiqua" w:eastAsia="Book Antiqua" w:hAnsi="Book Antiqua" w:cs="Book Antiqua"/>
          <w:color w:val="000000"/>
        </w:rPr>
        <w:t>uthors have no conflict of interest related to the manuscript.</w:t>
      </w:r>
    </w:p>
    <w:p w14:paraId="240370BA" w14:textId="77777777" w:rsidR="00053734" w:rsidRPr="00EA2DA7" w:rsidRDefault="00053734" w:rsidP="00EA2DA7">
      <w:pPr>
        <w:spacing w:line="360" w:lineRule="auto"/>
        <w:jc w:val="both"/>
        <w:rPr>
          <w:rFonts w:ascii="Book Antiqua" w:hAnsi="Book Antiqua"/>
        </w:rPr>
      </w:pPr>
    </w:p>
    <w:p w14:paraId="33084AD7"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Data sharing statement: </w:t>
      </w:r>
      <w:r w:rsidRPr="00EA2DA7">
        <w:rPr>
          <w:rFonts w:ascii="Book Antiqua" w:eastAsia="Book Antiqua" w:hAnsi="Book Antiqua" w:cs="Book Antiqua"/>
          <w:color w:val="000000"/>
        </w:rPr>
        <w:t>No additional data are available.</w:t>
      </w:r>
    </w:p>
    <w:p w14:paraId="602BE794" w14:textId="77777777" w:rsidR="00053734" w:rsidRPr="00EA2DA7" w:rsidRDefault="00053734" w:rsidP="00EA2DA7">
      <w:pPr>
        <w:spacing w:line="360" w:lineRule="auto"/>
        <w:jc w:val="both"/>
        <w:rPr>
          <w:rFonts w:ascii="Book Antiqua" w:hAnsi="Book Antiqua"/>
        </w:rPr>
      </w:pPr>
    </w:p>
    <w:p w14:paraId="0F6011E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STROBE statement: </w:t>
      </w:r>
      <w:r w:rsidRPr="00EA2DA7">
        <w:rPr>
          <w:rFonts w:ascii="Book Antiqua" w:eastAsia="Book Antiqua" w:hAnsi="Book Antiqua" w:cs="Book Antiqua"/>
          <w:color w:val="000000"/>
        </w:rPr>
        <w:t xml:space="preserve">The authors have read the STROBE Statement-checklist of items, and the manuscript was prepared and revised according to the STROBE Statement-checklist of items. </w:t>
      </w:r>
    </w:p>
    <w:p w14:paraId="739C7FEB" w14:textId="77777777" w:rsidR="00053734" w:rsidRPr="00EA2DA7" w:rsidRDefault="00053734" w:rsidP="00EA2DA7">
      <w:pPr>
        <w:spacing w:line="360" w:lineRule="auto"/>
        <w:jc w:val="both"/>
        <w:rPr>
          <w:rFonts w:ascii="Book Antiqua" w:hAnsi="Book Antiqua"/>
        </w:rPr>
      </w:pPr>
    </w:p>
    <w:p w14:paraId="55E45DDF"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Open-Access: </w:t>
      </w:r>
      <w:r w:rsidRPr="00EA2DA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F20576" w14:textId="77777777" w:rsidR="00053734" w:rsidRPr="00EA2DA7" w:rsidRDefault="00053734" w:rsidP="00EA2DA7">
      <w:pPr>
        <w:spacing w:line="360" w:lineRule="auto"/>
        <w:jc w:val="both"/>
        <w:rPr>
          <w:rFonts w:ascii="Book Antiqua" w:hAnsi="Book Antiqua"/>
        </w:rPr>
      </w:pPr>
    </w:p>
    <w:p w14:paraId="43C8445A"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Manuscript source: </w:t>
      </w:r>
      <w:r w:rsidRPr="00EA2DA7">
        <w:rPr>
          <w:rFonts w:ascii="Book Antiqua" w:eastAsia="Book Antiqua" w:hAnsi="Book Antiqua" w:cs="Book Antiqua"/>
          <w:color w:val="000000"/>
        </w:rPr>
        <w:t>Unsolicited manuscript</w:t>
      </w:r>
    </w:p>
    <w:p w14:paraId="74F30B48" w14:textId="77777777" w:rsidR="00053734" w:rsidRPr="00EA2DA7" w:rsidRDefault="00053734" w:rsidP="00EA2DA7">
      <w:pPr>
        <w:spacing w:line="360" w:lineRule="auto"/>
        <w:jc w:val="both"/>
        <w:rPr>
          <w:rFonts w:ascii="Book Antiqua" w:hAnsi="Book Antiqua"/>
        </w:rPr>
      </w:pPr>
    </w:p>
    <w:p w14:paraId="2B04BA26"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Peer-review started: </w:t>
      </w:r>
      <w:r w:rsidRPr="00EA2DA7">
        <w:rPr>
          <w:rFonts w:ascii="Book Antiqua" w:eastAsia="Book Antiqua" w:hAnsi="Book Antiqua" w:cs="Book Antiqua"/>
          <w:color w:val="000000"/>
        </w:rPr>
        <w:t>November 13, 2020</w:t>
      </w:r>
    </w:p>
    <w:p w14:paraId="6F661A58"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First decision: </w:t>
      </w:r>
      <w:r w:rsidRPr="00EA2DA7">
        <w:rPr>
          <w:rFonts w:ascii="Book Antiqua" w:eastAsia="Book Antiqua" w:hAnsi="Book Antiqua" w:cs="Book Antiqua"/>
          <w:color w:val="000000"/>
        </w:rPr>
        <w:t>February 11, 2021</w:t>
      </w:r>
    </w:p>
    <w:p w14:paraId="3B0D9A4E"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Article in press: </w:t>
      </w:r>
    </w:p>
    <w:p w14:paraId="13E57163" w14:textId="77777777" w:rsidR="00053734" w:rsidRPr="00EA2DA7" w:rsidRDefault="00053734" w:rsidP="00EA2DA7">
      <w:pPr>
        <w:spacing w:line="360" w:lineRule="auto"/>
        <w:jc w:val="both"/>
        <w:rPr>
          <w:rFonts w:ascii="Book Antiqua" w:hAnsi="Book Antiqua"/>
        </w:rPr>
      </w:pPr>
    </w:p>
    <w:p w14:paraId="643BAEA4"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lastRenderedPageBreak/>
        <w:t xml:space="preserve">Specialty type: </w:t>
      </w:r>
      <w:r w:rsidRPr="00EA2DA7">
        <w:rPr>
          <w:rFonts w:ascii="Book Antiqua" w:eastAsia="Book Antiqua" w:hAnsi="Book Antiqua" w:cs="Book Antiqua"/>
          <w:color w:val="000000"/>
        </w:rPr>
        <w:t>Gastroenterology and hepatology</w:t>
      </w:r>
    </w:p>
    <w:p w14:paraId="60A7B4F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 xml:space="preserve">Country/Territory of origin: </w:t>
      </w:r>
      <w:r w:rsidRPr="00EA2DA7">
        <w:rPr>
          <w:rFonts w:ascii="Book Antiqua" w:eastAsia="Book Antiqua" w:hAnsi="Book Antiqua" w:cs="Book Antiqua"/>
          <w:color w:val="000000"/>
        </w:rPr>
        <w:t>China</w:t>
      </w:r>
    </w:p>
    <w:p w14:paraId="1CD5B348"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t>Peer-review report’s scientific quality classification</w:t>
      </w:r>
    </w:p>
    <w:p w14:paraId="4D4BA54D"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Grade A (Excellent): 0</w:t>
      </w:r>
    </w:p>
    <w:p w14:paraId="6A115423"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Grade B (Very good): B, B, B, B, B, B</w:t>
      </w:r>
    </w:p>
    <w:p w14:paraId="35D5A266"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Grade C (Good): C</w:t>
      </w:r>
    </w:p>
    <w:p w14:paraId="5FC3FB2B"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Grade D (Fair): 0</w:t>
      </w:r>
    </w:p>
    <w:p w14:paraId="7C8791D6"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color w:val="000000"/>
        </w:rPr>
        <w:t>Grade E (Poor): 0</w:t>
      </w:r>
    </w:p>
    <w:p w14:paraId="77F2AA30" w14:textId="77777777" w:rsidR="00053734" w:rsidRPr="00EA2DA7" w:rsidRDefault="00053734" w:rsidP="00EA2DA7">
      <w:pPr>
        <w:spacing w:line="360" w:lineRule="auto"/>
        <w:jc w:val="both"/>
        <w:rPr>
          <w:rFonts w:ascii="Book Antiqua" w:hAnsi="Book Antiqua"/>
        </w:rPr>
      </w:pPr>
    </w:p>
    <w:p w14:paraId="3377DF8F" w14:textId="77777777" w:rsidR="00053734" w:rsidRPr="00EA2DA7" w:rsidRDefault="00721F08" w:rsidP="00EA2DA7">
      <w:pPr>
        <w:spacing w:line="360" w:lineRule="auto"/>
        <w:jc w:val="both"/>
        <w:rPr>
          <w:rFonts w:ascii="Book Antiqua" w:eastAsia="Book Antiqua" w:hAnsi="Book Antiqua" w:cs="Book Antiqua"/>
          <w:b/>
          <w:color w:val="000000"/>
        </w:rPr>
        <w:sectPr w:rsidR="00053734" w:rsidRPr="00EA2DA7" w:rsidSect="00EA2DA7">
          <w:type w:val="continuous"/>
          <w:pgSz w:w="12240" w:h="15840"/>
          <w:pgMar w:top="1440" w:right="1440" w:bottom="1440" w:left="1440" w:header="720" w:footer="720" w:gutter="0"/>
          <w:cols w:space="720"/>
          <w:docGrid w:linePitch="326"/>
        </w:sectPr>
      </w:pPr>
      <w:r w:rsidRPr="00EA2DA7">
        <w:rPr>
          <w:rFonts w:ascii="Book Antiqua" w:eastAsia="Book Antiqua" w:hAnsi="Book Antiqua" w:cs="Book Antiqua"/>
          <w:b/>
          <w:color w:val="000000"/>
        </w:rPr>
        <w:t xml:space="preserve">P-Reviewer: </w:t>
      </w:r>
      <w:r w:rsidRPr="00EA2DA7">
        <w:rPr>
          <w:rFonts w:ascii="Book Antiqua" w:eastAsia="Book Antiqua" w:hAnsi="Book Antiqua" w:cs="Book Antiqua"/>
          <w:color w:val="000000"/>
        </w:rPr>
        <w:t>Chaiteerakij R, Ho KY, Kao JT, Lipiński P, Morales-González JA, Uhlmann D</w:t>
      </w:r>
      <w:r w:rsidRPr="00EA2DA7">
        <w:rPr>
          <w:rFonts w:ascii="Book Antiqua" w:eastAsia="Book Antiqua" w:hAnsi="Book Antiqua" w:cs="Book Antiqua"/>
          <w:b/>
          <w:color w:val="000000"/>
        </w:rPr>
        <w:t xml:space="preserve"> S-Editor: </w:t>
      </w:r>
      <w:r w:rsidRPr="00EA2DA7">
        <w:rPr>
          <w:rFonts w:ascii="Book Antiqua" w:eastAsia="Book Antiqua" w:hAnsi="Book Antiqua" w:cs="Book Antiqua"/>
          <w:color w:val="000000"/>
        </w:rPr>
        <w:t>Liu M</w:t>
      </w:r>
      <w:r w:rsidRPr="00EA2DA7">
        <w:rPr>
          <w:rFonts w:ascii="Book Antiqua" w:eastAsia="Book Antiqua" w:hAnsi="Book Antiqua" w:cs="Book Antiqua"/>
          <w:b/>
          <w:color w:val="000000"/>
        </w:rPr>
        <w:t xml:space="preserve"> L-Editor: </w:t>
      </w:r>
      <w:r w:rsidRPr="00EA2DA7">
        <w:rPr>
          <w:rFonts w:ascii="Book Antiqua" w:eastAsia="Book Antiqua" w:hAnsi="Book Antiqua" w:cs="Book Antiqua"/>
          <w:color w:val="000000"/>
        </w:rPr>
        <w:t>Filipodia</w:t>
      </w:r>
      <w:r w:rsidRPr="00EA2DA7">
        <w:rPr>
          <w:rFonts w:ascii="Book Antiqua" w:eastAsia="Book Antiqua" w:hAnsi="Book Antiqua" w:cs="Book Antiqua"/>
          <w:b/>
          <w:color w:val="000000"/>
        </w:rPr>
        <w:t xml:space="preserve"> P-Editor: </w:t>
      </w:r>
    </w:p>
    <w:p w14:paraId="3EFAE6C4" w14:textId="77777777" w:rsidR="000F64D2" w:rsidRDefault="000F64D2">
      <w:pPr>
        <w:rPr>
          <w:rFonts w:ascii="Book Antiqua" w:eastAsia="Book Antiqua" w:hAnsi="Book Antiqua" w:cs="Book Antiqua"/>
          <w:b/>
          <w:color w:val="000000"/>
        </w:rPr>
      </w:pPr>
      <w:r>
        <w:rPr>
          <w:rFonts w:ascii="Book Antiqua" w:eastAsia="Book Antiqua" w:hAnsi="Book Antiqua" w:cs="Book Antiqua"/>
          <w:b/>
          <w:color w:val="000000"/>
        </w:rPr>
        <w:br w:type="page"/>
      </w:r>
    </w:p>
    <w:p w14:paraId="18C84EFD" w14:textId="56A62589"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b/>
          <w:color w:val="000000"/>
        </w:rPr>
        <w:lastRenderedPageBreak/>
        <w:t>Figure Legends</w:t>
      </w:r>
    </w:p>
    <w:p w14:paraId="578AF1D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noProof/>
        </w:rPr>
        <w:drawing>
          <wp:inline distT="0" distB="0" distL="114300" distR="114300" wp14:anchorId="52C3D8DE" wp14:editId="3E63AC38">
            <wp:extent cx="4482465" cy="49942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82465" cy="4994275"/>
                    </a:xfrm>
                    <a:prstGeom prst="rect">
                      <a:avLst/>
                    </a:prstGeom>
                    <a:ln/>
                  </pic:spPr>
                </pic:pic>
              </a:graphicData>
            </a:graphic>
          </wp:inline>
        </w:drawing>
      </w:r>
    </w:p>
    <w:p w14:paraId="086B915B" w14:textId="2C02D0E8" w:rsidR="00053734" w:rsidRPr="00EA2DA7" w:rsidRDefault="00721F08" w:rsidP="00EA2DA7">
      <w:pPr>
        <w:spacing w:line="360" w:lineRule="auto"/>
        <w:jc w:val="both"/>
        <w:rPr>
          <w:rFonts w:ascii="Book Antiqua" w:eastAsia="Book Antiqua" w:hAnsi="Book Antiqua" w:cs="Book Antiqua"/>
        </w:rPr>
      </w:pPr>
      <w:commentRangeStart w:id="0"/>
      <w:r w:rsidRPr="00EA2DA7">
        <w:rPr>
          <w:rFonts w:ascii="Book Antiqua" w:eastAsia="Book Antiqua" w:hAnsi="Book Antiqua" w:cs="Book Antiqua"/>
          <w:b/>
        </w:rPr>
        <w:t>Figure 1 Workflow</w:t>
      </w:r>
      <w:commentRangeEnd w:id="0"/>
      <w:r w:rsidR="000F64D2">
        <w:rPr>
          <w:rStyle w:val="CommentReference"/>
        </w:rPr>
        <w:commentReference w:id="0"/>
      </w:r>
      <w:r w:rsidRPr="00EA2DA7">
        <w:rPr>
          <w:rFonts w:ascii="Book Antiqua" w:eastAsia="Book Antiqua" w:hAnsi="Book Antiqua" w:cs="Book Antiqua"/>
          <w:b/>
        </w:rPr>
        <w:t>.</w:t>
      </w:r>
      <w:r w:rsidRPr="00EA2DA7">
        <w:rPr>
          <w:rFonts w:ascii="Book Antiqua" w:eastAsia="Book Antiqua" w:hAnsi="Book Antiqua" w:cs="Book Antiqua"/>
        </w:rPr>
        <w:t xml:space="preserve"> The eligible cohort selection process after applying the inclusion and exclusion criteria from </w:t>
      </w:r>
      <w:r w:rsidR="000F64D2">
        <w:rPr>
          <w:rFonts w:ascii="Book Antiqua" w:eastAsia="Book Antiqua" w:hAnsi="Book Antiqua" w:cs="Book Antiqua"/>
        </w:rPr>
        <w:t>four</w:t>
      </w:r>
      <w:r w:rsidRPr="00EA2DA7">
        <w:rPr>
          <w:rFonts w:ascii="Book Antiqua" w:eastAsia="Book Antiqua" w:hAnsi="Book Antiqua" w:cs="Book Antiqua"/>
        </w:rPr>
        <w:t xml:space="preserve"> hospitals. HRS: Hepatorenal syndrome.</w:t>
      </w:r>
    </w:p>
    <w:p w14:paraId="21B40CE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rPr>
        <w:br w:type="page"/>
      </w:r>
      <w:r w:rsidRPr="00EA2DA7">
        <w:rPr>
          <w:rFonts w:ascii="Book Antiqua" w:eastAsia="Book Antiqua" w:hAnsi="Book Antiqua" w:cs="Book Antiqua"/>
          <w:noProof/>
        </w:rPr>
        <w:lastRenderedPageBreak/>
        <w:drawing>
          <wp:inline distT="0" distB="0" distL="0" distR="0" wp14:anchorId="10D2A595" wp14:editId="7C26F24F">
            <wp:extent cx="3930810" cy="539503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930810" cy="5395033"/>
                    </a:xfrm>
                    <a:prstGeom prst="rect">
                      <a:avLst/>
                    </a:prstGeom>
                    <a:ln/>
                  </pic:spPr>
                </pic:pic>
              </a:graphicData>
            </a:graphic>
          </wp:inline>
        </w:drawing>
      </w:r>
    </w:p>
    <w:p w14:paraId="135FC047" w14:textId="5E84AA1D"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b/>
        </w:rPr>
        <w:t xml:space="preserve">Figure 2 Characteristics associated with survival. </w:t>
      </w:r>
      <w:r w:rsidRPr="00EA2DA7">
        <w:rPr>
          <w:rFonts w:ascii="Book Antiqua" w:eastAsia="Book Antiqua" w:hAnsi="Book Antiqua" w:cs="Book Antiqua"/>
        </w:rPr>
        <w:t>A: Importance of each characteristic of GIMNS; B: Mosaic plot. Survival status of patients with different causes of cirrhosis, gender</w:t>
      </w:r>
      <w:r w:rsidR="00AC19F7">
        <w:rPr>
          <w:rFonts w:ascii="Book Antiqua" w:eastAsia="Book Antiqua" w:hAnsi="Book Antiqua" w:cs="Book Antiqua"/>
        </w:rPr>
        <w:t>,</w:t>
      </w:r>
      <w:r w:rsidRPr="00EA2DA7">
        <w:rPr>
          <w:rFonts w:ascii="Book Antiqua" w:eastAsia="Book Antiqua" w:hAnsi="Book Antiqua" w:cs="Book Antiqua"/>
        </w:rPr>
        <w:t xml:space="preserve"> and stage. HBV: Hepatitis B virus; INR: International normalized ratio; MCHC: Mean corpuscular hemoglobin concentration. </w:t>
      </w:r>
    </w:p>
    <w:p w14:paraId="5B602CC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rPr>
        <w:br w:type="page"/>
      </w:r>
      <w:r w:rsidRPr="00EA2DA7">
        <w:rPr>
          <w:rFonts w:ascii="Book Antiqua" w:eastAsia="Book Antiqua" w:hAnsi="Book Antiqua" w:cs="Book Antiqua"/>
          <w:noProof/>
        </w:rPr>
        <w:lastRenderedPageBreak/>
        <w:drawing>
          <wp:inline distT="0" distB="0" distL="0" distR="0" wp14:anchorId="7D2AAED7" wp14:editId="69826EE8">
            <wp:extent cx="5358000" cy="5426311"/>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358000" cy="5426311"/>
                    </a:xfrm>
                    <a:prstGeom prst="rect">
                      <a:avLst/>
                    </a:prstGeom>
                    <a:ln/>
                  </pic:spPr>
                </pic:pic>
              </a:graphicData>
            </a:graphic>
          </wp:inline>
        </w:drawing>
      </w:r>
    </w:p>
    <w:p w14:paraId="13A27EA0" w14:textId="77777777" w:rsidR="00053734" w:rsidRPr="00EA2DA7" w:rsidRDefault="00721F08" w:rsidP="00EA2DA7">
      <w:pPr>
        <w:spacing w:line="360" w:lineRule="auto"/>
        <w:jc w:val="both"/>
        <w:rPr>
          <w:rFonts w:ascii="Book Antiqua" w:eastAsia="Book Antiqua" w:hAnsi="Book Antiqua" w:cs="Book Antiqua"/>
        </w:rPr>
      </w:pPr>
      <w:bookmarkStart w:id="1" w:name="_gjdgxs" w:colFirst="0" w:colLast="0"/>
      <w:bookmarkEnd w:id="1"/>
      <w:r w:rsidRPr="00EA2DA7">
        <w:rPr>
          <w:rFonts w:ascii="Book Antiqua" w:eastAsia="Book Antiqua" w:hAnsi="Book Antiqua" w:cs="Book Antiqua"/>
          <w:b/>
        </w:rPr>
        <w:t>Figure 3 Kaplan–Meier curves of variables of GIMNS.</w:t>
      </w:r>
      <w:r w:rsidRPr="00EA2DA7">
        <w:rPr>
          <w:rFonts w:ascii="Book Antiqua" w:eastAsia="Book Antiqua" w:hAnsi="Book Antiqua" w:cs="Book Antiqua"/>
        </w:rPr>
        <w:t xml:space="preserve"> A: Stratified international normalized ratio; B: Stratified neutrophil percentage; C: Stratified mean corpuscular hemoglobin concentration; D: Stage; E. Gender. INR: International normalized ratio; MCHC: Mean corpuscular hemoglobin concentration. </w:t>
      </w:r>
    </w:p>
    <w:p w14:paraId="5BE079A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rPr>
        <w:br w:type="page"/>
      </w:r>
      <w:r w:rsidRPr="00EA2DA7">
        <w:rPr>
          <w:rFonts w:ascii="Book Antiqua" w:hAnsi="Book Antiqua"/>
          <w:noProof/>
        </w:rPr>
        <w:lastRenderedPageBreak/>
        <w:drawing>
          <wp:inline distT="0" distB="0" distL="114300" distR="114300" wp14:anchorId="4BE59D69" wp14:editId="42D4AAE6">
            <wp:extent cx="2897632" cy="5862343"/>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2897632" cy="5862343"/>
                    </a:xfrm>
                    <a:prstGeom prst="rect">
                      <a:avLst/>
                    </a:prstGeom>
                    <a:ln/>
                  </pic:spPr>
                </pic:pic>
              </a:graphicData>
            </a:graphic>
          </wp:inline>
        </w:drawing>
      </w:r>
    </w:p>
    <w:p w14:paraId="4DA88224" w14:textId="597867E8"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b/>
        </w:rPr>
        <w:t xml:space="preserve">Figure 4 Distributions of </w:t>
      </w:r>
      <w:r w:rsidR="00AC19F7">
        <w:rPr>
          <w:rFonts w:ascii="Book Antiqua" w:eastAsia="Book Antiqua" w:hAnsi="Book Antiqua" w:cs="Book Antiqua"/>
          <w:b/>
        </w:rPr>
        <w:t xml:space="preserve">the </w:t>
      </w:r>
      <w:r w:rsidRPr="00EA2DA7">
        <w:rPr>
          <w:rFonts w:ascii="Book Antiqua" w:eastAsia="Book Antiqua" w:hAnsi="Book Antiqua" w:cs="Book Antiqua"/>
          <w:b/>
        </w:rPr>
        <w:t xml:space="preserve">GIMNS score. </w:t>
      </w:r>
      <w:r w:rsidRPr="00EA2DA7">
        <w:rPr>
          <w:rFonts w:ascii="Book Antiqua" w:eastAsia="Book Antiqua" w:hAnsi="Book Antiqua" w:cs="Book Antiqua"/>
        </w:rPr>
        <w:t>A</w:t>
      </w:r>
      <w:r w:rsidR="00AC19F7">
        <w:rPr>
          <w:rFonts w:ascii="Book Antiqua" w:eastAsia="Book Antiqua" w:hAnsi="Book Antiqua" w:cs="Book Antiqua"/>
        </w:rPr>
        <w:t>:</w:t>
      </w:r>
      <w:r w:rsidRPr="00EA2DA7">
        <w:rPr>
          <w:rFonts w:ascii="Book Antiqua" w:eastAsia="Book Antiqua" w:hAnsi="Book Antiqua" w:cs="Book Antiqua"/>
        </w:rPr>
        <w:t xml:space="preserve"> </w:t>
      </w:r>
      <w:r w:rsidR="00AC19F7">
        <w:rPr>
          <w:rFonts w:ascii="Book Antiqua" w:eastAsia="Book Antiqua" w:hAnsi="Book Antiqua" w:cs="Book Antiqua"/>
        </w:rPr>
        <w:t xml:space="preserve">The </w:t>
      </w:r>
      <w:r w:rsidRPr="00EA2DA7">
        <w:rPr>
          <w:rFonts w:ascii="Book Antiqua" w:eastAsia="Book Antiqua" w:hAnsi="Book Antiqua" w:cs="Book Antiqua"/>
        </w:rPr>
        <w:t xml:space="preserve">GIMNS score distribution between survivors and non-survivors in </w:t>
      </w:r>
      <w:r w:rsidR="00AC19F7">
        <w:rPr>
          <w:rFonts w:ascii="Book Antiqua" w:eastAsia="Book Antiqua" w:hAnsi="Book Antiqua" w:cs="Book Antiqua"/>
        </w:rPr>
        <w:t xml:space="preserve">the </w:t>
      </w:r>
      <w:r w:rsidRPr="00EA2DA7">
        <w:rPr>
          <w:rFonts w:ascii="Book Antiqua" w:eastAsia="Book Antiqua" w:hAnsi="Book Antiqua" w:cs="Book Antiqua"/>
        </w:rPr>
        <w:t>derivation and validation cohorts; B</w:t>
      </w:r>
      <w:r w:rsidR="00AC19F7">
        <w:rPr>
          <w:rFonts w:ascii="Book Antiqua" w:eastAsia="Book Antiqua" w:hAnsi="Book Antiqua" w:cs="Book Antiqua"/>
        </w:rPr>
        <w:t>:</w:t>
      </w:r>
      <w:r w:rsidRPr="00EA2DA7">
        <w:rPr>
          <w:rFonts w:ascii="Book Antiqua" w:eastAsia="Book Antiqua" w:hAnsi="Book Antiqua" w:cs="Book Antiqua"/>
        </w:rPr>
        <w:t xml:space="preserve"> Kaplan–Meier curves of GIMNS. </w:t>
      </w:r>
    </w:p>
    <w:p w14:paraId="549583E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rPr>
        <w:br w:type="page"/>
      </w:r>
      <w:r w:rsidRPr="00EA2DA7">
        <w:rPr>
          <w:rFonts w:ascii="Book Antiqua" w:hAnsi="Book Antiqua"/>
          <w:noProof/>
        </w:rPr>
        <w:lastRenderedPageBreak/>
        <w:drawing>
          <wp:inline distT="0" distB="0" distL="114300" distR="114300" wp14:anchorId="73AD06A7" wp14:editId="4FE53159">
            <wp:extent cx="4657090" cy="49022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4657090" cy="4902200"/>
                    </a:xfrm>
                    <a:prstGeom prst="rect">
                      <a:avLst/>
                    </a:prstGeom>
                    <a:ln/>
                  </pic:spPr>
                </pic:pic>
              </a:graphicData>
            </a:graphic>
          </wp:inline>
        </w:drawing>
      </w:r>
    </w:p>
    <w:p w14:paraId="06F32E09" w14:textId="7D2561D1" w:rsidR="00053734" w:rsidRPr="00EA2DA7" w:rsidRDefault="00721F08" w:rsidP="00EA2DA7">
      <w:pPr>
        <w:spacing w:line="360" w:lineRule="auto"/>
        <w:jc w:val="both"/>
        <w:rPr>
          <w:rFonts w:ascii="Book Antiqua" w:eastAsia="Book Antiqua" w:hAnsi="Book Antiqua" w:cs="Book Antiqua"/>
        </w:rPr>
      </w:pPr>
      <w:bookmarkStart w:id="2" w:name="_30j0zll" w:colFirst="0" w:colLast="0"/>
      <w:bookmarkEnd w:id="2"/>
      <w:r w:rsidRPr="00EA2DA7">
        <w:rPr>
          <w:rFonts w:ascii="Book Antiqua" w:eastAsia="Book Antiqua" w:hAnsi="Book Antiqua" w:cs="Book Antiqua"/>
          <w:b/>
        </w:rPr>
        <w:t xml:space="preserve">Figure 5 Relationship between GIMNS and other scoring systems and receiver operating characteristic curve curves. </w:t>
      </w:r>
      <w:r w:rsidRPr="00EA2DA7">
        <w:rPr>
          <w:rFonts w:ascii="Book Antiqua" w:eastAsia="Book Antiqua" w:hAnsi="Book Antiqua" w:cs="Book Antiqua"/>
        </w:rPr>
        <w:t xml:space="preserve">A: GIMNS and </w:t>
      </w:r>
      <w:r w:rsidR="00AC19F7">
        <w:rPr>
          <w:rFonts w:ascii="Book Antiqua" w:eastAsia="Book Antiqua" w:hAnsi="Book Antiqua" w:cs="Book Antiqua"/>
        </w:rPr>
        <w:t>M</w:t>
      </w:r>
      <w:r w:rsidRPr="00EA2DA7">
        <w:rPr>
          <w:rFonts w:ascii="Book Antiqua" w:eastAsia="Book Antiqua" w:hAnsi="Book Antiqua" w:cs="Book Antiqua"/>
        </w:rPr>
        <w:t xml:space="preserve">odel for </w:t>
      </w:r>
      <w:r w:rsidR="00AC19F7">
        <w:rPr>
          <w:rFonts w:ascii="Book Antiqua" w:eastAsia="Book Antiqua" w:hAnsi="Book Antiqua" w:cs="Book Antiqua"/>
        </w:rPr>
        <w:t>E</w:t>
      </w:r>
      <w:r w:rsidRPr="00EA2DA7">
        <w:rPr>
          <w:rFonts w:ascii="Book Antiqua" w:eastAsia="Book Antiqua" w:hAnsi="Book Antiqua" w:cs="Book Antiqua"/>
        </w:rPr>
        <w:t xml:space="preserve">nd-stage </w:t>
      </w:r>
      <w:r w:rsidR="00AC19F7">
        <w:rPr>
          <w:rFonts w:ascii="Book Antiqua" w:eastAsia="Book Antiqua" w:hAnsi="Book Antiqua" w:cs="Book Antiqua"/>
        </w:rPr>
        <w:t>L</w:t>
      </w:r>
      <w:r w:rsidRPr="00EA2DA7">
        <w:rPr>
          <w:rFonts w:ascii="Book Antiqua" w:eastAsia="Book Antiqua" w:hAnsi="Book Antiqua" w:cs="Book Antiqua"/>
        </w:rPr>
        <w:t xml:space="preserve">iver </w:t>
      </w:r>
      <w:r w:rsidR="00AC19F7">
        <w:rPr>
          <w:rFonts w:ascii="Book Antiqua" w:eastAsia="Book Antiqua" w:hAnsi="Book Antiqua" w:cs="Book Antiqua"/>
        </w:rPr>
        <w:t>D</w:t>
      </w:r>
      <w:r w:rsidRPr="00EA2DA7">
        <w:rPr>
          <w:rFonts w:ascii="Book Antiqua" w:eastAsia="Book Antiqua" w:hAnsi="Book Antiqua" w:cs="Book Antiqua"/>
        </w:rPr>
        <w:t xml:space="preserve">isease; B: GIMNS and </w:t>
      </w:r>
      <w:r w:rsidR="00AC19F7">
        <w:rPr>
          <w:rFonts w:ascii="Book Antiqua" w:eastAsia="Book Antiqua" w:hAnsi="Book Antiqua" w:cs="Book Antiqua"/>
        </w:rPr>
        <w:t>C</w:t>
      </w:r>
      <w:r w:rsidRPr="00EA2DA7">
        <w:rPr>
          <w:rFonts w:ascii="Book Antiqua" w:eastAsia="Book Antiqua" w:hAnsi="Book Antiqua" w:cs="Book Antiqua"/>
        </w:rPr>
        <w:t xml:space="preserve">hronic </w:t>
      </w:r>
      <w:r w:rsidR="00AC19F7">
        <w:rPr>
          <w:rFonts w:ascii="Book Antiqua" w:eastAsia="Book Antiqua" w:hAnsi="Book Antiqua" w:cs="Book Antiqua"/>
        </w:rPr>
        <w:t>L</w:t>
      </w:r>
      <w:r w:rsidRPr="00EA2DA7">
        <w:rPr>
          <w:rFonts w:ascii="Book Antiqua" w:eastAsia="Book Antiqua" w:hAnsi="Book Antiqua" w:cs="Book Antiqua"/>
        </w:rPr>
        <w:t xml:space="preserve">iver </w:t>
      </w:r>
      <w:r w:rsidR="00AC19F7">
        <w:rPr>
          <w:rFonts w:ascii="Book Antiqua" w:eastAsia="Book Antiqua" w:hAnsi="Book Antiqua" w:cs="Book Antiqua"/>
        </w:rPr>
        <w:t>F</w:t>
      </w:r>
      <w:r w:rsidRPr="00EA2DA7">
        <w:rPr>
          <w:rFonts w:ascii="Book Antiqua" w:eastAsia="Book Antiqua" w:hAnsi="Book Antiqua" w:cs="Book Antiqua"/>
        </w:rPr>
        <w:t>ailure-</w:t>
      </w:r>
      <w:r w:rsidR="00AC19F7">
        <w:rPr>
          <w:rFonts w:ascii="Book Antiqua" w:eastAsia="Book Antiqua" w:hAnsi="Book Antiqua" w:cs="Book Antiqua"/>
        </w:rPr>
        <w:t>S</w:t>
      </w:r>
      <w:r w:rsidRPr="00EA2DA7">
        <w:rPr>
          <w:rFonts w:ascii="Book Antiqua" w:eastAsia="Book Antiqua" w:hAnsi="Book Antiqua" w:cs="Book Antiqua"/>
        </w:rPr>
        <w:t xml:space="preserve">equential </w:t>
      </w:r>
      <w:r w:rsidR="00AC19F7">
        <w:rPr>
          <w:rFonts w:ascii="Book Antiqua" w:eastAsia="Book Antiqua" w:hAnsi="Book Antiqua" w:cs="Book Antiqua"/>
        </w:rPr>
        <w:t>O</w:t>
      </w:r>
      <w:r w:rsidRPr="00EA2DA7">
        <w:rPr>
          <w:rFonts w:ascii="Book Antiqua" w:eastAsia="Book Antiqua" w:hAnsi="Book Antiqua" w:cs="Book Antiqua"/>
        </w:rPr>
        <w:t xml:space="preserve">rgan </w:t>
      </w:r>
      <w:r w:rsidR="00AC19F7">
        <w:rPr>
          <w:rFonts w:ascii="Book Antiqua" w:eastAsia="Book Antiqua" w:hAnsi="Book Antiqua" w:cs="Book Antiqua"/>
        </w:rPr>
        <w:t>F</w:t>
      </w:r>
      <w:r w:rsidRPr="00EA2DA7">
        <w:rPr>
          <w:rFonts w:ascii="Book Antiqua" w:eastAsia="Book Antiqua" w:hAnsi="Book Antiqua" w:cs="Book Antiqua"/>
        </w:rPr>
        <w:t xml:space="preserve">ailure </w:t>
      </w:r>
      <w:r w:rsidR="00AC19F7">
        <w:rPr>
          <w:rFonts w:ascii="Book Antiqua" w:eastAsia="Book Antiqua" w:hAnsi="Book Antiqua" w:cs="Book Antiqua"/>
        </w:rPr>
        <w:t>A</w:t>
      </w:r>
      <w:r w:rsidRPr="00EA2DA7">
        <w:rPr>
          <w:rFonts w:ascii="Book Antiqua" w:eastAsia="Book Antiqua" w:hAnsi="Book Antiqua" w:cs="Book Antiqua"/>
        </w:rPr>
        <w:t xml:space="preserve">ssessment; C: GIMNS and Chinese Group on the </w:t>
      </w:r>
      <w:r w:rsidR="005E1FA5">
        <w:rPr>
          <w:rFonts w:ascii="Book Antiqua" w:eastAsia="Book Antiqua" w:hAnsi="Book Antiqua" w:cs="Book Antiqua"/>
        </w:rPr>
        <w:t>S</w:t>
      </w:r>
      <w:r w:rsidRPr="00EA2DA7">
        <w:rPr>
          <w:rFonts w:ascii="Book Antiqua" w:eastAsia="Book Antiqua" w:hAnsi="Book Antiqua" w:cs="Book Antiqua"/>
        </w:rPr>
        <w:t xml:space="preserve">tudy of </w:t>
      </w:r>
      <w:r w:rsidR="005E1FA5">
        <w:rPr>
          <w:rFonts w:ascii="Book Antiqua" w:eastAsia="Book Antiqua" w:hAnsi="Book Antiqua" w:cs="Book Antiqua"/>
        </w:rPr>
        <w:t>S</w:t>
      </w:r>
      <w:r w:rsidRPr="00EA2DA7">
        <w:rPr>
          <w:rFonts w:ascii="Book Antiqua" w:eastAsia="Book Antiqua" w:hAnsi="Book Antiqua" w:cs="Book Antiqua"/>
        </w:rPr>
        <w:t xml:space="preserve">evere </w:t>
      </w:r>
      <w:r w:rsidR="005E1FA5">
        <w:rPr>
          <w:rFonts w:ascii="Book Antiqua" w:eastAsia="Book Antiqua" w:hAnsi="Book Antiqua" w:cs="Book Antiqua"/>
        </w:rPr>
        <w:t>H</w:t>
      </w:r>
      <w:r w:rsidRPr="00EA2DA7">
        <w:rPr>
          <w:rFonts w:ascii="Book Antiqua" w:eastAsia="Book Antiqua" w:hAnsi="Book Antiqua" w:cs="Book Antiqua"/>
        </w:rPr>
        <w:t>epatitis B-</w:t>
      </w:r>
      <w:r w:rsidR="005E1FA5">
        <w:rPr>
          <w:rFonts w:ascii="Book Antiqua" w:eastAsia="Book Antiqua" w:hAnsi="Book Antiqua" w:cs="Book Antiqua"/>
        </w:rPr>
        <w:t>A</w:t>
      </w:r>
      <w:r w:rsidRPr="00EA2DA7">
        <w:rPr>
          <w:rFonts w:ascii="Book Antiqua" w:eastAsia="Book Antiqua" w:hAnsi="Book Antiqua" w:cs="Book Antiqua"/>
        </w:rPr>
        <w:t>cute-on-</w:t>
      </w:r>
      <w:r w:rsidR="005E1FA5">
        <w:rPr>
          <w:rFonts w:ascii="Book Antiqua" w:eastAsia="Book Antiqua" w:hAnsi="Book Antiqua" w:cs="Book Antiqua"/>
        </w:rPr>
        <w:t>C</w:t>
      </w:r>
      <w:r w:rsidRPr="00EA2DA7">
        <w:rPr>
          <w:rFonts w:ascii="Book Antiqua" w:eastAsia="Book Antiqua" w:hAnsi="Book Antiqua" w:cs="Book Antiqua"/>
        </w:rPr>
        <w:t xml:space="preserve">hronic </w:t>
      </w:r>
      <w:r w:rsidR="005E1FA5">
        <w:rPr>
          <w:rFonts w:ascii="Book Antiqua" w:eastAsia="Book Antiqua" w:hAnsi="Book Antiqua" w:cs="Book Antiqua"/>
        </w:rPr>
        <w:t>L</w:t>
      </w:r>
      <w:r w:rsidRPr="00EA2DA7">
        <w:rPr>
          <w:rFonts w:ascii="Book Antiqua" w:eastAsia="Book Antiqua" w:hAnsi="Book Antiqua" w:cs="Book Antiqua"/>
        </w:rPr>
        <w:t xml:space="preserve">iver </w:t>
      </w:r>
      <w:r w:rsidR="005E1FA5">
        <w:rPr>
          <w:rFonts w:ascii="Book Antiqua" w:eastAsia="Book Antiqua" w:hAnsi="Book Antiqua" w:cs="Book Antiqua"/>
        </w:rPr>
        <w:t>F</w:t>
      </w:r>
      <w:r w:rsidRPr="00EA2DA7">
        <w:rPr>
          <w:rFonts w:ascii="Book Antiqua" w:eastAsia="Book Antiqua" w:hAnsi="Book Antiqua" w:cs="Book Antiqua"/>
        </w:rPr>
        <w:t xml:space="preserve">ailure; D: Receiver operating characteristic curve curves in derivation cohort; E: </w:t>
      </w:r>
      <w:r w:rsidR="005E1FA5" w:rsidRPr="00EA2DA7">
        <w:rPr>
          <w:rFonts w:ascii="Book Antiqua" w:eastAsia="Book Antiqua" w:hAnsi="Book Antiqua" w:cs="Book Antiqua"/>
        </w:rPr>
        <w:t>Receiver operating characteristic curve</w:t>
      </w:r>
      <w:r w:rsidRPr="00EA2DA7">
        <w:rPr>
          <w:rFonts w:ascii="Book Antiqua" w:eastAsia="Book Antiqua" w:hAnsi="Book Antiqua" w:cs="Book Antiqua"/>
        </w:rPr>
        <w:t xml:space="preserve"> in validation cohort. CLIF-SOFA: Chronic </w:t>
      </w:r>
      <w:r w:rsidR="005E1FA5">
        <w:rPr>
          <w:rFonts w:ascii="Book Antiqua" w:eastAsia="Book Antiqua" w:hAnsi="Book Antiqua" w:cs="Book Antiqua"/>
        </w:rPr>
        <w:t>L</w:t>
      </w:r>
      <w:r w:rsidRPr="00EA2DA7">
        <w:rPr>
          <w:rFonts w:ascii="Book Antiqua" w:eastAsia="Book Antiqua" w:hAnsi="Book Antiqua" w:cs="Book Antiqua"/>
        </w:rPr>
        <w:t xml:space="preserve">iver </w:t>
      </w:r>
      <w:r w:rsidR="005E1FA5">
        <w:rPr>
          <w:rFonts w:ascii="Book Antiqua" w:eastAsia="Book Antiqua" w:hAnsi="Book Antiqua" w:cs="Book Antiqua"/>
        </w:rPr>
        <w:t>F</w:t>
      </w:r>
      <w:r w:rsidRPr="00EA2DA7">
        <w:rPr>
          <w:rFonts w:ascii="Book Antiqua" w:eastAsia="Book Antiqua" w:hAnsi="Book Antiqua" w:cs="Book Antiqua"/>
        </w:rPr>
        <w:t>ailure-</w:t>
      </w:r>
      <w:r w:rsidR="005E1FA5">
        <w:rPr>
          <w:rFonts w:ascii="Book Antiqua" w:eastAsia="Book Antiqua" w:hAnsi="Book Antiqua" w:cs="Book Antiqua"/>
        </w:rPr>
        <w:t>S</w:t>
      </w:r>
      <w:r w:rsidRPr="00EA2DA7">
        <w:rPr>
          <w:rFonts w:ascii="Book Antiqua" w:eastAsia="Book Antiqua" w:hAnsi="Book Antiqua" w:cs="Book Antiqua"/>
        </w:rPr>
        <w:t xml:space="preserve">equential </w:t>
      </w:r>
      <w:r w:rsidR="005E1FA5">
        <w:rPr>
          <w:rFonts w:ascii="Book Antiqua" w:eastAsia="Book Antiqua" w:hAnsi="Book Antiqua" w:cs="Book Antiqua"/>
        </w:rPr>
        <w:t>O</w:t>
      </w:r>
      <w:r w:rsidRPr="00EA2DA7">
        <w:rPr>
          <w:rFonts w:ascii="Book Antiqua" w:eastAsia="Book Antiqua" w:hAnsi="Book Antiqua" w:cs="Book Antiqua"/>
        </w:rPr>
        <w:t xml:space="preserve">rgan </w:t>
      </w:r>
      <w:r w:rsidR="005E1FA5">
        <w:rPr>
          <w:rFonts w:ascii="Book Antiqua" w:eastAsia="Book Antiqua" w:hAnsi="Book Antiqua" w:cs="Book Antiqua"/>
        </w:rPr>
        <w:t>F</w:t>
      </w:r>
      <w:r w:rsidRPr="00EA2DA7">
        <w:rPr>
          <w:rFonts w:ascii="Book Antiqua" w:eastAsia="Book Antiqua" w:hAnsi="Book Antiqua" w:cs="Book Antiqua"/>
        </w:rPr>
        <w:t xml:space="preserve">ailure </w:t>
      </w:r>
      <w:r w:rsidR="005E1FA5">
        <w:rPr>
          <w:rFonts w:ascii="Book Antiqua" w:eastAsia="Book Antiqua" w:hAnsi="Book Antiqua" w:cs="Book Antiqua"/>
        </w:rPr>
        <w:t>A</w:t>
      </w:r>
      <w:r w:rsidRPr="00EA2DA7">
        <w:rPr>
          <w:rFonts w:ascii="Book Antiqua" w:eastAsia="Book Antiqua" w:hAnsi="Book Antiqua" w:cs="Book Antiqua"/>
        </w:rPr>
        <w:t xml:space="preserve">ssessment; COSSH-ACLF: Chinese Group on the </w:t>
      </w:r>
      <w:r w:rsidR="005E1FA5">
        <w:rPr>
          <w:rFonts w:ascii="Book Antiqua" w:eastAsia="Book Antiqua" w:hAnsi="Book Antiqua" w:cs="Book Antiqua"/>
        </w:rPr>
        <w:t>S</w:t>
      </w:r>
      <w:r w:rsidRPr="00EA2DA7">
        <w:rPr>
          <w:rFonts w:ascii="Book Antiqua" w:eastAsia="Book Antiqua" w:hAnsi="Book Antiqua" w:cs="Book Antiqua"/>
        </w:rPr>
        <w:t xml:space="preserve">tudy of </w:t>
      </w:r>
      <w:r w:rsidR="005E1FA5">
        <w:rPr>
          <w:rFonts w:ascii="Book Antiqua" w:eastAsia="Book Antiqua" w:hAnsi="Book Antiqua" w:cs="Book Antiqua"/>
        </w:rPr>
        <w:t>S</w:t>
      </w:r>
      <w:r w:rsidRPr="00EA2DA7">
        <w:rPr>
          <w:rFonts w:ascii="Book Antiqua" w:eastAsia="Book Antiqua" w:hAnsi="Book Antiqua" w:cs="Book Antiqua"/>
        </w:rPr>
        <w:t xml:space="preserve">evere </w:t>
      </w:r>
      <w:r w:rsidR="005E1FA5">
        <w:rPr>
          <w:rFonts w:ascii="Book Antiqua" w:eastAsia="Book Antiqua" w:hAnsi="Book Antiqua" w:cs="Book Antiqua"/>
        </w:rPr>
        <w:t>H</w:t>
      </w:r>
      <w:r w:rsidRPr="00EA2DA7">
        <w:rPr>
          <w:rFonts w:ascii="Book Antiqua" w:eastAsia="Book Antiqua" w:hAnsi="Book Antiqua" w:cs="Book Antiqua"/>
        </w:rPr>
        <w:t>epatitis B-</w:t>
      </w:r>
      <w:r w:rsidR="005E1FA5">
        <w:rPr>
          <w:rFonts w:ascii="Book Antiqua" w:eastAsia="Book Antiqua" w:hAnsi="Book Antiqua" w:cs="Book Antiqua"/>
        </w:rPr>
        <w:t>A</w:t>
      </w:r>
      <w:r w:rsidRPr="00EA2DA7">
        <w:rPr>
          <w:rFonts w:ascii="Book Antiqua" w:eastAsia="Book Antiqua" w:hAnsi="Book Antiqua" w:cs="Book Antiqua"/>
        </w:rPr>
        <w:t>cute-on-</w:t>
      </w:r>
      <w:r w:rsidR="005E1FA5">
        <w:rPr>
          <w:rFonts w:ascii="Book Antiqua" w:eastAsia="Book Antiqua" w:hAnsi="Book Antiqua" w:cs="Book Antiqua"/>
        </w:rPr>
        <w:t>C</w:t>
      </w:r>
      <w:r w:rsidRPr="00EA2DA7">
        <w:rPr>
          <w:rFonts w:ascii="Book Antiqua" w:eastAsia="Book Antiqua" w:hAnsi="Book Antiqua" w:cs="Book Antiqua"/>
        </w:rPr>
        <w:t xml:space="preserve">hronic </w:t>
      </w:r>
      <w:r w:rsidR="005E1FA5">
        <w:rPr>
          <w:rFonts w:ascii="Book Antiqua" w:eastAsia="Book Antiqua" w:hAnsi="Book Antiqua" w:cs="Book Antiqua"/>
        </w:rPr>
        <w:t>L</w:t>
      </w:r>
      <w:r w:rsidRPr="00EA2DA7">
        <w:rPr>
          <w:rFonts w:ascii="Book Antiqua" w:eastAsia="Book Antiqua" w:hAnsi="Book Antiqua" w:cs="Book Antiqua"/>
        </w:rPr>
        <w:t xml:space="preserve">iver </w:t>
      </w:r>
      <w:r w:rsidR="005E1FA5">
        <w:rPr>
          <w:rFonts w:ascii="Book Antiqua" w:eastAsia="Book Antiqua" w:hAnsi="Book Antiqua" w:cs="Book Antiqua"/>
        </w:rPr>
        <w:t>F</w:t>
      </w:r>
      <w:r w:rsidRPr="00EA2DA7">
        <w:rPr>
          <w:rFonts w:ascii="Book Antiqua" w:eastAsia="Book Antiqua" w:hAnsi="Book Antiqua" w:cs="Book Antiqua"/>
        </w:rPr>
        <w:t xml:space="preserve">ailure; MELD: Model for </w:t>
      </w:r>
      <w:r w:rsidR="005E1FA5">
        <w:rPr>
          <w:rFonts w:ascii="Book Antiqua" w:eastAsia="Book Antiqua" w:hAnsi="Book Antiqua" w:cs="Book Antiqua"/>
        </w:rPr>
        <w:t>E</w:t>
      </w:r>
      <w:r w:rsidRPr="00EA2DA7">
        <w:rPr>
          <w:rFonts w:ascii="Book Antiqua" w:eastAsia="Book Antiqua" w:hAnsi="Book Antiqua" w:cs="Book Antiqua"/>
        </w:rPr>
        <w:t xml:space="preserve">nd-stage </w:t>
      </w:r>
      <w:r w:rsidR="005E1FA5">
        <w:rPr>
          <w:rFonts w:ascii="Book Antiqua" w:eastAsia="Book Antiqua" w:hAnsi="Book Antiqua" w:cs="Book Antiqua"/>
        </w:rPr>
        <w:t>L</w:t>
      </w:r>
      <w:r w:rsidRPr="00EA2DA7">
        <w:rPr>
          <w:rFonts w:ascii="Book Antiqua" w:eastAsia="Book Antiqua" w:hAnsi="Book Antiqua" w:cs="Book Antiqua"/>
        </w:rPr>
        <w:t xml:space="preserve">iver </w:t>
      </w:r>
      <w:r w:rsidR="005E1FA5">
        <w:rPr>
          <w:rFonts w:ascii="Book Antiqua" w:eastAsia="Book Antiqua" w:hAnsi="Book Antiqua" w:cs="Book Antiqua"/>
        </w:rPr>
        <w:t>D</w:t>
      </w:r>
      <w:r w:rsidRPr="00EA2DA7">
        <w:rPr>
          <w:rFonts w:ascii="Book Antiqua" w:eastAsia="Book Antiqua" w:hAnsi="Book Antiqua" w:cs="Book Antiqua"/>
        </w:rPr>
        <w:t xml:space="preserve">isease; AUC: </w:t>
      </w:r>
      <w:r w:rsidRPr="00EA2DA7">
        <w:rPr>
          <w:rFonts w:ascii="Book Antiqua" w:eastAsia="Book Antiqua" w:hAnsi="Book Antiqua" w:cs="Book Antiqua"/>
          <w:color w:val="333333"/>
          <w:highlight w:val="white"/>
        </w:rPr>
        <w:t>Area under the curve.</w:t>
      </w:r>
    </w:p>
    <w:p w14:paraId="3A39CA50" w14:textId="77777777" w:rsidR="00053734" w:rsidRPr="00EA2DA7" w:rsidRDefault="00053734" w:rsidP="00EA2DA7">
      <w:pPr>
        <w:spacing w:line="360" w:lineRule="auto"/>
        <w:jc w:val="both"/>
        <w:rPr>
          <w:rFonts w:ascii="Book Antiqua" w:eastAsia="Book Antiqua" w:hAnsi="Book Antiqua" w:cs="Book Antiqua"/>
        </w:rPr>
        <w:sectPr w:rsidR="00053734" w:rsidRPr="00EA2DA7" w:rsidSect="00EA2DA7">
          <w:type w:val="continuous"/>
          <w:pgSz w:w="12240" w:h="15840"/>
          <w:pgMar w:top="1440" w:right="1440" w:bottom="1440" w:left="1440" w:header="720" w:footer="720" w:gutter="0"/>
          <w:cols w:space="720"/>
          <w:docGrid w:linePitch="326"/>
        </w:sectPr>
      </w:pPr>
    </w:p>
    <w:p w14:paraId="56133DFF" w14:textId="46200FD3"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b/>
        </w:rPr>
        <w:lastRenderedPageBreak/>
        <w:t>Table 1</w:t>
      </w:r>
      <w:r w:rsidRPr="00EA2DA7">
        <w:rPr>
          <w:rFonts w:ascii="Book Antiqua" w:eastAsia="Book Antiqua" w:hAnsi="Book Antiqua" w:cs="Book Antiqua"/>
        </w:rPr>
        <w:t xml:space="preserve"> </w:t>
      </w:r>
      <w:r w:rsidRPr="00EA2DA7">
        <w:rPr>
          <w:rFonts w:ascii="Book Antiqua" w:eastAsia="Book Antiqua" w:hAnsi="Book Antiqua" w:cs="Book Antiqua"/>
          <w:b/>
        </w:rPr>
        <w:t>Characteristics of patients</w:t>
      </w:r>
      <w:r w:rsidR="00170FCB">
        <w:rPr>
          <w:rFonts w:ascii="Book Antiqua" w:eastAsia="Book Antiqua" w:hAnsi="Book Antiqua" w:cs="Book Antiqua"/>
          <w:b/>
        </w:rPr>
        <w:t xml:space="preserve"> with hepatorenal syndrome</w:t>
      </w:r>
      <w:r w:rsidRPr="00EA2DA7">
        <w:rPr>
          <w:rFonts w:ascii="Book Antiqua" w:eastAsia="Book Antiqua" w:hAnsi="Book Antiqua" w:cs="Book Antiqua"/>
          <w:b/>
        </w:rPr>
        <w:t xml:space="preserve">, </w:t>
      </w:r>
      <w:r w:rsidRPr="00EA2DA7">
        <w:rPr>
          <w:rFonts w:ascii="Book Antiqua" w:eastAsia="Book Antiqua" w:hAnsi="Book Antiqua" w:cs="Book Antiqua"/>
          <w:b/>
          <w:i/>
        </w:rPr>
        <w:t>n</w:t>
      </w:r>
      <w:r w:rsidRPr="00EA2DA7">
        <w:rPr>
          <w:rFonts w:ascii="Book Antiqua" w:eastAsia="Book Antiqua" w:hAnsi="Book Antiqua" w:cs="Book Antiqua"/>
          <w:b/>
        </w:rPr>
        <w:t xml:space="preserve"> (%)</w:t>
      </w:r>
      <w:r w:rsidRPr="00EA2DA7">
        <w:rPr>
          <w:rFonts w:ascii="Book Antiqua" w:eastAsia="Book Antiqua" w:hAnsi="Book Antiqua" w:cs="Book Antiqua"/>
        </w:rPr>
        <w:t xml:space="preserve"> </w:t>
      </w:r>
    </w:p>
    <w:tbl>
      <w:tblPr>
        <w:tblStyle w:val="a"/>
        <w:tblW w:w="13506" w:type="dxa"/>
        <w:jc w:val="center"/>
        <w:tblBorders>
          <w:top w:val="single" w:sz="12" w:space="0" w:color="000000"/>
          <w:bottom w:val="single" w:sz="12" w:space="0" w:color="000000"/>
          <w:insideH w:val="single" w:sz="12" w:space="0" w:color="000000"/>
        </w:tblBorders>
        <w:tblLayout w:type="fixed"/>
        <w:tblLook w:val="0400" w:firstRow="0" w:lastRow="0" w:firstColumn="0" w:lastColumn="0" w:noHBand="0" w:noVBand="1"/>
      </w:tblPr>
      <w:tblGrid>
        <w:gridCol w:w="2115"/>
        <w:gridCol w:w="2231"/>
        <w:gridCol w:w="2096"/>
        <w:gridCol w:w="1256"/>
        <w:gridCol w:w="1815"/>
        <w:gridCol w:w="1815"/>
        <w:gridCol w:w="1116"/>
        <w:gridCol w:w="1062"/>
      </w:tblGrid>
      <w:tr w:rsidR="00053734" w:rsidRPr="00EA2DA7" w14:paraId="3A1D0C80" w14:textId="77777777">
        <w:trPr>
          <w:trHeight w:val="510"/>
          <w:jc w:val="center"/>
        </w:trPr>
        <w:tc>
          <w:tcPr>
            <w:tcW w:w="2115" w:type="dxa"/>
            <w:tcBorders>
              <w:top w:val="single" w:sz="4" w:space="0" w:color="000000"/>
              <w:bottom w:val="nil"/>
            </w:tcBorders>
            <w:shd w:val="clear" w:color="auto" w:fill="auto"/>
            <w:vAlign w:val="center"/>
          </w:tcPr>
          <w:p w14:paraId="3B3E3ECC"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Variables</w:t>
            </w:r>
          </w:p>
        </w:tc>
        <w:tc>
          <w:tcPr>
            <w:tcW w:w="5583" w:type="dxa"/>
            <w:gridSpan w:val="3"/>
            <w:tcBorders>
              <w:top w:val="single" w:sz="4" w:space="0" w:color="000000"/>
              <w:bottom w:val="nil"/>
            </w:tcBorders>
            <w:shd w:val="clear" w:color="auto" w:fill="auto"/>
            <w:vAlign w:val="center"/>
          </w:tcPr>
          <w:p w14:paraId="5DFBE5CF"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Derivation cohort (</w:t>
            </w:r>
            <w:r w:rsidRPr="00EA2DA7">
              <w:rPr>
                <w:rFonts w:ascii="Book Antiqua" w:eastAsia="Book Antiqua" w:hAnsi="Book Antiqua" w:cs="Book Antiqua"/>
                <w:b/>
                <w:i/>
              </w:rPr>
              <w:t>n</w:t>
            </w:r>
            <w:r w:rsidRPr="00EA2DA7">
              <w:rPr>
                <w:rFonts w:ascii="Book Antiqua" w:eastAsia="Book Antiqua" w:hAnsi="Book Antiqua" w:cs="Book Antiqua"/>
                <w:b/>
              </w:rPr>
              <w:t xml:space="preserve"> = 248)</w:t>
            </w:r>
          </w:p>
        </w:tc>
        <w:tc>
          <w:tcPr>
            <w:tcW w:w="4746" w:type="dxa"/>
            <w:gridSpan w:val="3"/>
            <w:tcBorders>
              <w:top w:val="single" w:sz="4" w:space="0" w:color="000000"/>
              <w:bottom w:val="nil"/>
            </w:tcBorders>
            <w:shd w:val="clear" w:color="auto" w:fill="auto"/>
            <w:vAlign w:val="center"/>
          </w:tcPr>
          <w:p w14:paraId="23AC1DE7"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Validation cohort (</w:t>
            </w:r>
            <w:r w:rsidRPr="00EA2DA7">
              <w:rPr>
                <w:rFonts w:ascii="Book Antiqua" w:eastAsia="Book Antiqua" w:hAnsi="Book Antiqua" w:cs="Book Antiqua"/>
                <w:b/>
                <w:i/>
              </w:rPr>
              <w:t>n</w:t>
            </w:r>
            <w:r w:rsidRPr="00EA2DA7">
              <w:rPr>
                <w:rFonts w:ascii="Book Antiqua" w:eastAsia="Book Antiqua" w:hAnsi="Book Antiqua" w:cs="Book Antiqua"/>
                <w:b/>
              </w:rPr>
              <w:t xml:space="preserve"> = 123)</w:t>
            </w:r>
          </w:p>
        </w:tc>
        <w:tc>
          <w:tcPr>
            <w:tcW w:w="1062" w:type="dxa"/>
            <w:vMerge w:val="restart"/>
            <w:tcBorders>
              <w:top w:val="single" w:sz="4" w:space="0" w:color="000000"/>
              <w:bottom w:val="single" w:sz="4" w:space="0" w:color="000000"/>
            </w:tcBorders>
            <w:shd w:val="clear" w:color="auto" w:fill="auto"/>
            <w:vAlign w:val="center"/>
          </w:tcPr>
          <w:p w14:paraId="1D03E962"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vertAlign w:val="superscript"/>
              </w:rPr>
              <w:t>1</w:t>
            </w: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r>
      <w:tr w:rsidR="00053734" w:rsidRPr="00EA2DA7" w14:paraId="5FC8FFB5" w14:textId="77777777">
        <w:trPr>
          <w:trHeight w:val="300"/>
          <w:jc w:val="center"/>
        </w:trPr>
        <w:tc>
          <w:tcPr>
            <w:tcW w:w="2115" w:type="dxa"/>
            <w:tcBorders>
              <w:top w:val="nil"/>
              <w:bottom w:val="single" w:sz="4" w:space="0" w:color="000000"/>
            </w:tcBorders>
            <w:shd w:val="clear" w:color="auto" w:fill="auto"/>
            <w:vAlign w:val="center"/>
          </w:tcPr>
          <w:p w14:paraId="07755150" w14:textId="77777777" w:rsidR="00053734" w:rsidRPr="00EA2DA7" w:rsidRDefault="00053734" w:rsidP="00EA2DA7">
            <w:pPr>
              <w:spacing w:line="360" w:lineRule="auto"/>
              <w:jc w:val="both"/>
              <w:rPr>
                <w:rFonts w:ascii="Book Antiqua" w:eastAsia="Book Antiqua" w:hAnsi="Book Antiqua" w:cs="Book Antiqua"/>
              </w:rPr>
            </w:pPr>
          </w:p>
        </w:tc>
        <w:tc>
          <w:tcPr>
            <w:tcW w:w="2231" w:type="dxa"/>
            <w:tcBorders>
              <w:top w:val="nil"/>
              <w:bottom w:val="single" w:sz="4" w:space="0" w:color="000000"/>
            </w:tcBorders>
            <w:shd w:val="clear" w:color="auto" w:fill="auto"/>
            <w:vAlign w:val="center"/>
          </w:tcPr>
          <w:p w14:paraId="3ABD1020"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Non-survivor</w:t>
            </w:r>
          </w:p>
          <w:p w14:paraId="02207FF5"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w:t>
            </w:r>
            <w:r w:rsidRPr="00EA2DA7">
              <w:rPr>
                <w:rFonts w:ascii="Book Antiqua" w:eastAsia="Book Antiqua" w:hAnsi="Book Antiqua" w:cs="Book Antiqua"/>
                <w:b/>
                <w:i/>
              </w:rPr>
              <w:t>n</w:t>
            </w:r>
            <w:r w:rsidRPr="00EA2DA7">
              <w:rPr>
                <w:rFonts w:ascii="Book Antiqua" w:eastAsia="Book Antiqua" w:hAnsi="Book Antiqua" w:cs="Book Antiqua"/>
                <w:b/>
              </w:rPr>
              <w:t xml:space="preserve"> = 188)</w:t>
            </w:r>
          </w:p>
        </w:tc>
        <w:tc>
          <w:tcPr>
            <w:tcW w:w="2096" w:type="dxa"/>
            <w:tcBorders>
              <w:top w:val="nil"/>
              <w:bottom w:val="single" w:sz="4" w:space="0" w:color="000000"/>
            </w:tcBorders>
            <w:shd w:val="clear" w:color="auto" w:fill="auto"/>
            <w:vAlign w:val="center"/>
          </w:tcPr>
          <w:p w14:paraId="33D995CC"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Survivor</w:t>
            </w:r>
          </w:p>
          <w:p w14:paraId="3D548B0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w:t>
            </w:r>
            <w:r w:rsidRPr="00EA2DA7">
              <w:rPr>
                <w:rFonts w:ascii="Book Antiqua" w:eastAsia="Book Antiqua" w:hAnsi="Book Antiqua" w:cs="Book Antiqua"/>
                <w:b/>
                <w:i/>
              </w:rPr>
              <w:t>n</w:t>
            </w:r>
            <w:r w:rsidRPr="00EA2DA7">
              <w:rPr>
                <w:rFonts w:ascii="Book Antiqua" w:eastAsia="Book Antiqua" w:hAnsi="Book Antiqua" w:cs="Book Antiqua"/>
                <w:b/>
              </w:rPr>
              <w:t xml:space="preserve"> = 60)</w:t>
            </w:r>
          </w:p>
        </w:tc>
        <w:tc>
          <w:tcPr>
            <w:tcW w:w="1256" w:type="dxa"/>
            <w:tcBorders>
              <w:top w:val="nil"/>
              <w:bottom w:val="single" w:sz="4" w:space="0" w:color="000000"/>
            </w:tcBorders>
            <w:shd w:val="clear" w:color="auto" w:fill="auto"/>
            <w:vAlign w:val="center"/>
          </w:tcPr>
          <w:p w14:paraId="6F657250"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c>
          <w:tcPr>
            <w:tcW w:w="1815" w:type="dxa"/>
            <w:tcBorders>
              <w:top w:val="nil"/>
              <w:bottom w:val="single" w:sz="4" w:space="0" w:color="000000"/>
            </w:tcBorders>
            <w:shd w:val="clear" w:color="auto" w:fill="auto"/>
            <w:vAlign w:val="center"/>
          </w:tcPr>
          <w:p w14:paraId="21DF55CF"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Non-survivor</w:t>
            </w:r>
          </w:p>
          <w:p w14:paraId="0FEBABA9"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w:t>
            </w:r>
            <w:r w:rsidRPr="00EA2DA7">
              <w:rPr>
                <w:rFonts w:ascii="Book Antiqua" w:eastAsia="Book Antiqua" w:hAnsi="Book Antiqua" w:cs="Book Antiqua"/>
                <w:b/>
                <w:i/>
              </w:rPr>
              <w:t>n</w:t>
            </w:r>
            <w:r w:rsidRPr="00EA2DA7">
              <w:rPr>
                <w:rFonts w:ascii="Book Antiqua" w:eastAsia="Book Antiqua" w:hAnsi="Book Antiqua" w:cs="Book Antiqua"/>
                <w:b/>
              </w:rPr>
              <w:t xml:space="preserve"> = 90)</w:t>
            </w:r>
          </w:p>
        </w:tc>
        <w:tc>
          <w:tcPr>
            <w:tcW w:w="1815" w:type="dxa"/>
            <w:tcBorders>
              <w:top w:val="nil"/>
              <w:bottom w:val="single" w:sz="4" w:space="0" w:color="000000"/>
            </w:tcBorders>
            <w:shd w:val="clear" w:color="auto" w:fill="auto"/>
            <w:vAlign w:val="center"/>
          </w:tcPr>
          <w:p w14:paraId="5F25347B"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Survivor</w:t>
            </w:r>
          </w:p>
          <w:p w14:paraId="315B3477"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w:t>
            </w:r>
            <w:r w:rsidRPr="00EA2DA7">
              <w:rPr>
                <w:rFonts w:ascii="Book Antiqua" w:eastAsia="Book Antiqua" w:hAnsi="Book Antiqua" w:cs="Book Antiqua"/>
                <w:b/>
                <w:i/>
              </w:rPr>
              <w:t>n</w:t>
            </w:r>
            <w:r w:rsidRPr="00EA2DA7">
              <w:rPr>
                <w:rFonts w:ascii="Book Antiqua" w:eastAsia="Book Antiqua" w:hAnsi="Book Antiqua" w:cs="Book Antiqua"/>
                <w:b/>
              </w:rPr>
              <w:t xml:space="preserve"> = 33)</w:t>
            </w:r>
          </w:p>
        </w:tc>
        <w:tc>
          <w:tcPr>
            <w:tcW w:w="1116" w:type="dxa"/>
            <w:tcBorders>
              <w:top w:val="nil"/>
              <w:bottom w:val="single" w:sz="4" w:space="0" w:color="000000"/>
            </w:tcBorders>
            <w:shd w:val="clear" w:color="auto" w:fill="auto"/>
            <w:vAlign w:val="center"/>
          </w:tcPr>
          <w:p w14:paraId="12F894A5"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c>
          <w:tcPr>
            <w:tcW w:w="1062" w:type="dxa"/>
            <w:vMerge/>
            <w:tcBorders>
              <w:top w:val="single" w:sz="4" w:space="0" w:color="000000"/>
              <w:bottom w:val="single" w:sz="4" w:space="0" w:color="000000"/>
            </w:tcBorders>
            <w:shd w:val="clear" w:color="auto" w:fill="auto"/>
            <w:vAlign w:val="center"/>
          </w:tcPr>
          <w:p w14:paraId="656B487E"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r>
      <w:tr w:rsidR="00053734" w:rsidRPr="00EA2DA7" w14:paraId="4113E55A" w14:textId="77777777">
        <w:trPr>
          <w:trHeight w:val="427"/>
          <w:jc w:val="center"/>
        </w:trPr>
        <w:tc>
          <w:tcPr>
            <w:tcW w:w="2115" w:type="dxa"/>
            <w:tcBorders>
              <w:top w:val="single" w:sz="4" w:space="0" w:color="000000"/>
              <w:bottom w:val="nil"/>
            </w:tcBorders>
            <w:shd w:val="clear" w:color="auto" w:fill="auto"/>
            <w:vAlign w:val="center"/>
          </w:tcPr>
          <w:p w14:paraId="3D06BF3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Age (y)</w:t>
            </w:r>
          </w:p>
        </w:tc>
        <w:tc>
          <w:tcPr>
            <w:tcW w:w="2231" w:type="dxa"/>
            <w:tcBorders>
              <w:top w:val="single" w:sz="4" w:space="0" w:color="000000"/>
              <w:bottom w:val="nil"/>
            </w:tcBorders>
            <w:shd w:val="clear" w:color="auto" w:fill="auto"/>
            <w:vAlign w:val="center"/>
          </w:tcPr>
          <w:p w14:paraId="46E2492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59.11 ± 12.61</w:t>
            </w:r>
          </w:p>
        </w:tc>
        <w:tc>
          <w:tcPr>
            <w:tcW w:w="2096" w:type="dxa"/>
            <w:tcBorders>
              <w:top w:val="single" w:sz="4" w:space="0" w:color="000000"/>
              <w:bottom w:val="nil"/>
            </w:tcBorders>
            <w:shd w:val="clear" w:color="auto" w:fill="auto"/>
            <w:vAlign w:val="center"/>
          </w:tcPr>
          <w:p w14:paraId="721CD1B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55.43 ± 12.04</w:t>
            </w:r>
          </w:p>
        </w:tc>
        <w:tc>
          <w:tcPr>
            <w:tcW w:w="1256" w:type="dxa"/>
            <w:tcBorders>
              <w:top w:val="single" w:sz="4" w:space="0" w:color="000000"/>
              <w:bottom w:val="nil"/>
            </w:tcBorders>
            <w:shd w:val="clear" w:color="auto" w:fill="auto"/>
            <w:vAlign w:val="center"/>
          </w:tcPr>
          <w:p w14:paraId="56A5C83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0.048</w:t>
            </w:r>
          </w:p>
        </w:tc>
        <w:tc>
          <w:tcPr>
            <w:tcW w:w="1815" w:type="dxa"/>
            <w:tcBorders>
              <w:top w:val="single" w:sz="4" w:space="0" w:color="000000"/>
              <w:bottom w:val="nil"/>
            </w:tcBorders>
            <w:shd w:val="clear" w:color="auto" w:fill="auto"/>
            <w:vAlign w:val="center"/>
          </w:tcPr>
          <w:p w14:paraId="30FFFB6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56.94 ± 12.17</w:t>
            </w:r>
          </w:p>
        </w:tc>
        <w:tc>
          <w:tcPr>
            <w:tcW w:w="1815" w:type="dxa"/>
            <w:tcBorders>
              <w:top w:val="single" w:sz="4" w:space="0" w:color="000000"/>
              <w:bottom w:val="nil"/>
            </w:tcBorders>
            <w:shd w:val="clear" w:color="auto" w:fill="auto"/>
            <w:vAlign w:val="center"/>
          </w:tcPr>
          <w:p w14:paraId="675D0C3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57.21 ± 11.81</w:t>
            </w:r>
          </w:p>
        </w:tc>
        <w:tc>
          <w:tcPr>
            <w:tcW w:w="1116" w:type="dxa"/>
            <w:tcBorders>
              <w:top w:val="single" w:sz="4" w:space="0" w:color="000000"/>
              <w:bottom w:val="nil"/>
            </w:tcBorders>
            <w:shd w:val="clear" w:color="auto" w:fill="auto"/>
            <w:vAlign w:val="center"/>
          </w:tcPr>
          <w:p w14:paraId="77AB6E3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0.913</w:t>
            </w:r>
          </w:p>
        </w:tc>
        <w:tc>
          <w:tcPr>
            <w:tcW w:w="1062" w:type="dxa"/>
            <w:tcBorders>
              <w:top w:val="single" w:sz="4" w:space="0" w:color="000000"/>
              <w:bottom w:val="nil"/>
            </w:tcBorders>
            <w:shd w:val="clear" w:color="auto" w:fill="auto"/>
            <w:vAlign w:val="center"/>
          </w:tcPr>
          <w:p w14:paraId="06B0A0C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0.379</w:t>
            </w:r>
          </w:p>
        </w:tc>
      </w:tr>
      <w:tr w:rsidR="00053734" w:rsidRPr="00EA2DA7" w14:paraId="6C970358" w14:textId="77777777">
        <w:trPr>
          <w:trHeight w:val="518"/>
          <w:jc w:val="center"/>
        </w:trPr>
        <w:tc>
          <w:tcPr>
            <w:tcW w:w="2115" w:type="dxa"/>
            <w:tcBorders>
              <w:top w:val="nil"/>
              <w:bottom w:val="nil"/>
            </w:tcBorders>
            <w:shd w:val="clear" w:color="auto" w:fill="auto"/>
            <w:vAlign w:val="center"/>
          </w:tcPr>
          <w:p w14:paraId="3352945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Gender (male/female)</w:t>
            </w:r>
          </w:p>
        </w:tc>
        <w:tc>
          <w:tcPr>
            <w:tcW w:w="2231" w:type="dxa"/>
            <w:tcBorders>
              <w:top w:val="nil"/>
              <w:bottom w:val="nil"/>
            </w:tcBorders>
            <w:shd w:val="clear" w:color="auto" w:fill="auto"/>
            <w:vAlign w:val="center"/>
          </w:tcPr>
          <w:p w14:paraId="0211EE5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138/50</w:t>
            </w:r>
          </w:p>
        </w:tc>
        <w:tc>
          <w:tcPr>
            <w:tcW w:w="2096" w:type="dxa"/>
            <w:tcBorders>
              <w:top w:val="nil"/>
              <w:bottom w:val="nil"/>
            </w:tcBorders>
            <w:shd w:val="clear" w:color="auto" w:fill="auto"/>
            <w:vAlign w:val="center"/>
          </w:tcPr>
          <w:p w14:paraId="04F0D7B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52/8</w:t>
            </w:r>
          </w:p>
        </w:tc>
        <w:tc>
          <w:tcPr>
            <w:tcW w:w="1256" w:type="dxa"/>
            <w:tcBorders>
              <w:top w:val="nil"/>
              <w:bottom w:val="nil"/>
            </w:tcBorders>
            <w:shd w:val="clear" w:color="auto" w:fill="auto"/>
            <w:vAlign w:val="center"/>
          </w:tcPr>
          <w:p w14:paraId="26917BF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0.031</w:t>
            </w:r>
          </w:p>
        </w:tc>
        <w:tc>
          <w:tcPr>
            <w:tcW w:w="1815" w:type="dxa"/>
            <w:tcBorders>
              <w:top w:val="nil"/>
              <w:bottom w:val="nil"/>
            </w:tcBorders>
            <w:shd w:val="clear" w:color="auto" w:fill="auto"/>
            <w:vAlign w:val="center"/>
          </w:tcPr>
          <w:p w14:paraId="364D07A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69/21</w:t>
            </w:r>
          </w:p>
        </w:tc>
        <w:tc>
          <w:tcPr>
            <w:tcW w:w="1815" w:type="dxa"/>
            <w:tcBorders>
              <w:top w:val="nil"/>
              <w:bottom w:val="nil"/>
            </w:tcBorders>
            <w:shd w:val="clear" w:color="auto" w:fill="auto"/>
            <w:vAlign w:val="center"/>
          </w:tcPr>
          <w:p w14:paraId="442AD82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26/7</w:t>
            </w:r>
          </w:p>
        </w:tc>
        <w:tc>
          <w:tcPr>
            <w:tcW w:w="1116" w:type="dxa"/>
            <w:tcBorders>
              <w:top w:val="nil"/>
              <w:bottom w:val="nil"/>
            </w:tcBorders>
            <w:shd w:val="clear" w:color="auto" w:fill="auto"/>
            <w:vAlign w:val="center"/>
          </w:tcPr>
          <w:p w14:paraId="3AB37A4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0.995</w:t>
            </w:r>
          </w:p>
        </w:tc>
        <w:tc>
          <w:tcPr>
            <w:tcW w:w="1062" w:type="dxa"/>
            <w:tcBorders>
              <w:top w:val="nil"/>
              <w:bottom w:val="nil"/>
            </w:tcBorders>
            <w:shd w:val="clear" w:color="auto" w:fill="auto"/>
            <w:vAlign w:val="center"/>
          </w:tcPr>
          <w:p w14:paraId="1265F5E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0.795</w:t>
            </w:r>
          </w:p>
        </w:tc>
      </w:tr>
      <w:tr w:rsidR="00053734" w:rsidRPr="00EA2DA7" w14:paraId="5F594B83" w14:textId="77777777">
        <w:trPr>
          <w:trHeight w:val="399"/>
          <w:jc w:val="center"/>
        </w:trPr>
        <w:tc>
          <w:tcPr>
            <w:tcW w:w="2115" w:type="dxa"/>
            <w:tcBorders>
              <w:top w:val="nil"/>
              <w:bottom w:val="nil"/>
            </w:tcBorders>
            <w:shd w:val="clear" w:color="auto" w:fill="auto"/>
            <w:vAlign w:val="center"/>
          </w:tcPr>
          <w:p w14:paraId="786826C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Causes of cirrhosis</w:t>
            </w:r>
          </w:p>
        </w:tc>
        <w:tc>
          <w:tcPr>
            <w:tcW w:w="2231" w:type="dxa"/>
            <w:tcBorders>
              <w:top w:val="nil"/>
              <w:bottom w:val="nil"/>
            </w:tcBorders>
            <w:shd w:val="clear" w:color="auto" w:fill="auto"/>
            <w:vAlign w:val="center"/>
          </w:tcPr>
          <w:p w14:paraId="4EA56C99" w14:textId="77777777" w:rsidR="00053734" w:rsidRPr="00EA2DA7" w:rsidRDefault="00053734" w:rsidP="00EA2DA7">
            <w:pPr>
              <w:spacing w:line="360" w:lineRule="auto"/>
              <w:jc w:val="both"/>
              <w:rPr>
                <w:rFonts w:ascii="Book Antiqua" w:eastAsia="Book Antiqua" w:hAnsi="Book Antiqua" w:cs="Book Antiqua"/>
              </w:rPr>
            </w:pPr>
          </w:p>
        </w:tc>
        <w:tc>
          <w:tcPr>
            <w:tcW w:w="2096" w:type="dxa"/>
            <w:tcBorders>
              <w:top w:val="nil"/>
              <w:bottom w:val="nil"/>
            </w:tcBorders>
            <w:shd w:val="clear" w:color="auto" w:fill="auto"/>
            <w:vAlign w:val="center"/>
          </w:tcPr>
          <w:p w14:paraId="3B44199A" w14:textId="77777777" w:rsidR="00053734" w:rsidRPr="00EA2DA7" w:rsidRDefault="00053734" w:rsidP="00EA2DA7">
            <w:pPr>
              <w:spacing w:line="360" w:lineRule="auto"/>
              <w:jc w:val="both"/>
              <w:rPr>
                <w:rFonts w:ascii="Book Antiqua" w:eastAsia="Book Antiqua" w:hAnsi="Book Antiqua" w:cs="Book Antiqua"/>
              </w:rPr>
            </w:pPr>
          </w:p>
        </w:tc>
        <w:tc>
          <w:tcPr>
            <w:tcW w:w="1256" w:type="dxa"/>
            <w:tcBorders>
              <w:top w:val="nil"/>
              <w:bottom w:val="nil"/>
            </w:tcBorders>
            <w:shd w:val="clear" w:color="auto" w:fill="auto"/>
            <w:vAlign w:val="center"/>
          </w:tcPr>
          <w:p w14:paraId="3E96F1A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0.046</w:t>
            </w:r>
          </w:p>
        </w:tc>
        <w:tc>
          <w:tcPr>
            <w:tcW w:w="1815" w:type="dxa"/>
            <w:tcBorders>
              <w:top w:val="nil"/>
              <w:bottom w:val="nil"/>
            </w:tcBorders>
            <w:shd w:val="clear" w:color="auto" w:fill="auto"/>
            <w:vAlign w:val="center"/>
          </w:tcPr>
          <w:p w14:paraId="3FC0684F"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536E68BA" w14:textId="77777777" w:rsidR="00053734" w:rsidRPr="00EA2DA7" w:rsidRDefault="00053734" w:rsidP="00EA2DA7">
            <w:pPr>
              <w:spacing w:line="360" w:lineRule="auto"/>
              <w:jc w:val="both"/>
              <w:rPr>
                <w:rFonts w:ascii="Book Antiqua" w:eastAsia="Book Antiqua" w:hAnsi="Book Antiqua" w:cs="Book Antiqua"/>
              </w:rPr>
            </w:pPr>
          </w:p>
        </w:tc>
        <w:tc>
          <w:tcPr>
            <w:tcW w:w="1116" w:type="dxa"/>
            <w:tcBorders>
              <w:top w:val="nil"/>
              <w:bottom w:val="nil"/>
            </w:tcBorders>
            <w:shd w:val="clear" w:color="auto" w:fill="auto"/>
            <w:vAlign w:val="center"/>
          </w:tcPr>
          <w:p w14:paraId="4DB4931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0.741</w:t>
            </w:r>
          </w:p>
        </w:tc>
        <w:tc>
          <w:tcPr>
            <w:tcW w:w="1062" w:type="dxa"/>
            <w:tcBorders>
              <w:top w:val="nil"/>
              <w:bottom w:val="nil"/>
            </w:tcBorders>
            <w:shd w:val="clear" w:color="auto" w:fill="auto"/>
            <w:vAlign w:val="center"/>
          </w:tcPr>
          <w:p w14:paraId="237BCC4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0.096</w:t>
            </w:r>
          </w:p>
        </w:tc>
      </w:tr>
      <w:tr w:rsidR="00053734" w:rsidRPr="00EA2DA7" w14:paraId="406E798E" w14:textId="77777777">
        <w:trPr>
          <w:trHeight w:val="276"/>
          <w:jc w:val="center"/>
        </w:trPr>
        <w:tc>
          <w:tcPr>
            <w:tcW w:w="2115" w:type="dxa"/>
            <w:tcBorders>
              <w:top w:val="nil"/>
              <w:bottom w:val="nil"/>
            </w:tcBorders>
            <w:shd w:val="clear" w:color="auto" w:fill="auto"/>
            <w:vAlign w:val="center"/>
          </w:tcPr>
          <w:p w14:paraId="7FB2BA8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HBV/HBV plus others</w:t>
            </w:r>
          </w:p>
        </w:tc>
        <w:tc>
          <w:tcPr>
            <w:tcW w:w="2231" w:type="dxa"/>
            <w:tcBorders>
              <w:top w:val="nil"/>
              <w:bottom w:val="nil"/>
            </w:tcBorders>
            <w:shd w:val="clear" w:color="auto" w:fill="auto"/>
            <w:vAlign w:val="center"/>
          </w:tcPr>
          <w:p w14:paraId="06A9BF8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124 (66.0)</w:t>
            </w:r>
          </w:p>
        </w:tc>
        <w:tc>
          <w:tcPr>
            <w:tcW w:w="2096" w:type="dxa"/>
            <w:tcBorders>
              <w:top w:val="nil"/>
              <w:bottom w:val="nil"/>
            </w:tcBorders>
            <w:shd w:val="clear" w:color="auto" w:fill="auto"/>
            <w:vAlign w:val="center"/>
          </w:tcPr>
          <w:p w14:paraId="39248D3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34 (56.7)</w:t>
            </w:r>
          </w:p>
        </w:tc>
        <w:tc>
          <w:tcPr>
            <w:tcW w:w="1256" w:type="dxa"/>
            <w:tcBorders>
              <w:top w:val="nil"/>
              <w:bottom w:val="nil"/>
            </w:tcBorders>
            <w:shd w:val="clear" w:color="auto" w:fill="auto"/>
            <w:vAlign w:val="center"/>
          </w:tcPr>
          <w:p w14:paraId="4A49FFD2"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13E805C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45 (50.0)</w:t>
            </w:r>
          </w:p>
        </w:tc>
        <w:tc>
          <w:tcPr>
            <w:tcW w:w="1815" w:type="dxa"/>
            <w:tcBorders>
              <w:top w:val="nil"/>
              <w:bottom w:val="nil"/>
            </w:tcBorders>
            <w:shd w:val="clear" w:color="auto" w:fill="auto"/>
            <w:vAlign w:val="center"/>
          </w:tcPr>
          <w:p w14:paraId="4731E7F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19 (57.6)</w:t>
            </w:r>
          </w:p>
        </w:tc>
        <w:tc>
          <w:tcPr>
            <w:tcW w:w="1116" w:type="dxa"/>
            <w:tcBorders>
              <w:top w:val="nil"/>
              <w:bottom w:val="nil"/>
            </w:tcBorders>
            <w:shd w:val="clear" w:color="auto" w:fill="auto"/>
            <w:vAlign w:val="center"/>
          </w:tcPr>
          <w:p w14:paraId="609C3482" w14:textId="77777777" w:rsidR="00053734" w:rsidRPr="00EA2DA7" w:rsidRDefault="00053734" w:rsidP="00EA2DA7">
            <w:pPr>
              <w:spacing w:line="360" w:lineRule="auto"/>
              <w:jc w:val="both"/>
              <w:rPr>
                <w:rFonts w:ascii="Book Antiqua" w:eastAsia="Book Antiqua" w:hAnsi="Book Antiqua" w:cs="Book Antiqua"/>
              </w:rPr>
            </w:pPr>
          </w:p>
        </w:tc>
        <w:tc>
          <w:tcPr>
            <w:tcW w:w="1062" w:type="dxa"/>
            <w:tcBorders>
              <w:top w:val="nil"/>
              <w:bottom w:val="nil"/>
            </w:tcBorders>
            <w:shd w:val="clear" w:color="auto" w:fill="auto"/>
            <w:vAlign w:val="center"/>
          </w:tcPr>
          <w:p w14:paraId="63975A42"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04C36A83" w14:textId="77777777">
        <w:trPr>
          <w:trHeight w:val="276"/>
          <w:jc w:val="center"/>
        </w:trPr>
        <w:tc>
          <w:tcPr>
            <w:tcW w:w="2115" w:type="dxa"/>
            <w:tcBorders>
              <w:top w:val="nil"/>
              <w:bottom w:val="nil"/>
            </w:tcBorders>
            <w:shd w:val="clear" w:color="auto" w:fill="auto"/>
            <w:vAlign w:val="center"/>
          </w:tcPr>
          <w:p w14:paraId="693A25C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Alcoholic</w:t>
            </w:r>
          </w:p>
        </w:tc>
        <w:tc>
          <w:tcPr>
            <w:tcW w:w="2231" w:type="dxa"/>
            <w:tcBorders>
              <w:top w:val="nil"/>
              <w:bottom w:val="nil"/>
            </w:tcBorders>
            <w:shd w:val="clear" w:color="auto" w:fill="auto"/>
            <w:vAlign w:val="center"/>
          </w:tcPr>
          <w:p w14:paraId="76C86AC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27 (14.4)</w:t>
            </w:r>
          </w:p>
        </w:tc>
        <w:tc>
          <w:tcPr>
            <w:tcW w:w="2096" w:type="dxa"/>
            <w:tcBorders>
              <w:top w:val="nil"/>
              <w:bottom w:val="nil"/>
            </w:tcBorders>
            <w:shd w:val="clear" w:color="auto" w:fill="auto"/>
            <w:vAlign w:val="center"/>
          </w:tcPr>
          <w:p w14:paraId="01B46D0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17 (28.3)</w:t>
            </w:r>
          </w:p>
        </w:tc>
        <w:tc>
          <w:tcPr>
            <w:tcW w:w="1256" w:type="dxa"/>
            <w:tcBorders>
              <w:top w:val="nil"/>
              <w:bottom w:val="nil"/>
            </w:tcBorders>
            <w:shd w:val="clear" w:color="auto" w:fill="auto"/>
            <w:vAlign w:val="center"/>
          </w:tcPr>
          <w:p w14:paraId="01C80D73"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72B8AF1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21 (23.3)</w:t>
            </w:r>
          </w:p>
        </w:tc>
        <w:tc>
          <w:tcPr>
            <w:tcW w:w="1815" w:type="dxa"/>
            <w:tcBorders>
              <w:top w:val="nil"/>
              <w:bottom w:val="nil"/>
            </w:tcBorders>
            <w:shd w:val="clear" w:color="auto" w:fill="auto"/>
            <w:vAlign w:val="center"/>
          </w:tcPr>
          <w:p w14:paraId="3221428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 (21.2)</w:t>
            </w:r>
          </w:p>
        </w:tc>
        <w:tc>
          <w:tcPr>
            <w:tcW w:w="1116" w:type="dxa"/>
            <w:tcBorders>
              <w:top w:val="nil"/>
              <w:bottom w:val="nil"/>
            </w:tcBorders>
            <w:shd w:val="clear" w:color="auto" w:fill="auto"/>
            <w:vAlign w:val="center"/>
          </w:tcPr>
          <w:p w14:paraId="41019367" w14:textId="77777777" w:rsidR="00053734" w:rsidRPr="00EA2DA7" w:rsidRDefault="00053734" w:rsidP="00EA2DA7">
            <w:pPr>
              <w:spacing w:line="360" w:lineRule="auto"/>
              <w:jc w:val="both"/>
              <w:rPr>
                <w:rFonts w:ascii="Book Antiqua" w:eastAsia="Book Antiqua" w:hAnsi="Book Antiqua" w:cs="Book Antiqua"/>
              </w:rPr>
            </w:pPr>
          </w:p>
        </w:tc>
        <w:tc>
          <w:tcPr>
            <w:tcW w:w="1062" w:type="dxa"/>
            <w:tcBorders>
              <w:top w:val="nil"/>
              <w:bottom w:val="nil"/>
            </w:tcBorders>
            <w:shd w:val="clear" w:color="auto" w:fill="auto"/>
            <w:vAlign w:val="center"/>
          </w:tcPr>
          <w:p w14:paraId="74809AE6"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235EB9B2" w14:textId="77777777">
        <w:trPr>
          <w:trHeight w:val="276"/>
          <w:jc w:val="center"/>
        </w:trPr>
        <w:tc>
          <w:tcPr>
            <w:tcW w:w="2115" w:type="dxa"/>
            <w:tcBorders>
              <w:top w:val="nil"/>
              <w:bottom w:val="nil"/>
            </w:tcBorders>
            <w:shd w:val="clear" w:color="auto" w:fill="auto"/>
            <w:vAlign w:val="center"/>
          </w:tcPr>
          <w:p w14:paraId="57D9C7E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Others</w:t>
            </w:r>
          </w:p>
        </w:tc>
        <w:tc>
          <w:tcPr>
            <w:tcW w:w="2231" w:type="dxa"/>
            <w:tcBorders>
              <w:top w:val="nil"/>
              <w:bottom w:val="nil"/>
            </w:tcBorders>
            <w:shd w:val="clear" w:color="auto" w:fill="auto"/>
            <w:vAlign w:val="center"/>
          </w:tcPr>
          <w:p w14:paraId="58D7D2F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37 (19.7)</w:t>
            </w:r>
          </w:p>
        </w:tc>
        <w:tc>
          <w:tcPr>
            <w:tcW w:w="2096" w:type="dxa"/>
            <w:tcBorders>
              <w:top w:val="nil"/>
              <w:bottom w:val="nil"/>
            </w:tcBorders>
            <w:shd w:val="clear" w:color="auto" w:fill="auto"/>
            <w:vAlign w:val="center"/>
          </w:tcPr>
          <w:p w14:paraId="6AC5684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 (15.0)</w:t>
            </w:r>
          </w:p>
        </w:tc>
        <w:tc>
          <w:tcPr>
            <w:tcW w:w="1256" w:type="dxa"/>
            <w:tcBorders>
              <w:top w:val="nil"/>
              <w:bottom w:val="nil"/>
            </w:tcBorders>
            <w:shd w:val="clear" w:color="auto" w:fill="auto"/>
            <w:vAlign w:val="center"/>
          </w:tcPr>
          <w:p w14:paraId="323F6DF9"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466ACA3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24 (26.7)</w:t>
            </w:r>
          </w:p>
        </w:tc>
        <w:tc>
          <w:tcPr>
            <w:tcW w:w="1815" w:type="dxa"/>
            <w:tcBorders>
              <w:top w:val="nil"/>
              <w:bottom w:val="nil"/>
            </w:tcBorders>
            <w:shd w:val="clear" w:color="auto" w:fill="auto"/>
            <w:vAlign w:val="center"/>
          </w:tcPr>
          <w:p w14:paraId="09DB80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 (21.2)</w:t>
            </w:r>
          </w:p>
        </w:tc>
        <w:tc>
          <w:tcPr>
            <w:tcW w:w="1116" w:type="dxa"/>
            <w:tcBorders>
              <w:top w:val="nil"/>
              <w:bottom w:val="nil"/>
            </w:tcBorders>
            <w:shd w:val="clear" w:color="auto" w:fill="auto"/>
            <w:vAlign w:val="center"/>
          </w:tcPr>
          <w:p w14:paraId="44D90D7D" w14:textId="77777777" w:rsidR="00053734" w:rsidRPr="00EA2DA7" w:rsidRDefault="00053734" w:rsidP="00EA2DA7">
            <w:pPr>
              <w:spacing w:line="360" w:lineRule="auto"/>
              <w:jc w:val="both"/>
              <w:rPr>
                <w:rFonts w:ascii="Book Antiqua" w:eastAsia="Book Antiqua" w:hAnsi="Book Antiqua" w:cs="Book Antiqua"/>
              </w:rPr>
            </w:pPr>
          </w:p>
        </w:tc>
        <w:tc>
          <w:tcPr>
            <w:tcW w:w="1062" w:type="dxa"/>
            <w:tcBorders>
              <w:top w:val="nil"/>
              <w:bottom w:val="nil"/>
            </w:tcBorders>
            <w:shd w:val="clear" w:color="auto" w:fill="auto"/>
            <w:vAlign w:val="center"/>
          </w:tcPr>
          <w:p w14:paraId="55E73EBD"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2B442AD1" w14:textId="77777777">
        <w:trPr>
          <w:trHeight w:val="276"/>
          <w:jc w:val="center"/>
        </w:trPr>
        <w:tc>
          <w:tcPr>
            <w:tcW w:w="2115" w:type="dxa"/>
            <w:tcBorders>
              <w:top w:val="nil"/>
              <w:bottom w:val="nil"/>
            </w:tcBorders>
            <w:shd w:val="clear" w:color="auto" w:fill="auto"/>
            <w:vAlign w:val="center"/>
          </w:tcPr>
          <w:p w14:paraId="04069DC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MAP (mmHg)</w:t>
            </w:r>
          </w:p>
        </w:tc>
        <w:tc>
          <w:tcPr>
            <w:tcW w:w="2231" w:type="dxa"/>
            <w:tcBorders>
              <w:top w:val="nil"/>
              <w:bottom w:val="nil"/>
            </w:tcBorders>
            <w:shd w:val="clear" w:color="auto" w:fill="auto"/>
            <w:vAlign w:val="center"/>
          </w:tcPr>
          <w:p w14:paraId="0CDEE8E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95.16 ± 16.42</w:t>
            </w:r>
          </w:p>
        </w:tc>
        <w:tc>
          <w:tcPr>
            <w:tcW w:w="2096" w:type="dxa"/>
            <w:tcBorders>
              <w:top w:val="nil"/>
              <w:bottom w:val="nil"/>
            </w:tcBorders>
            <w:shd w:val="clear" w:color="auto" w:fill="auto"/>
            <w:vAlign w:val="center"/>
          </w:tcPr>
          <w:p w14:paraId="5E98CB9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100.31 ± 18.44</w:t>
            </w:r>
          </w:p>
        </w:tc>
        <w:tc>
          <w:tcPr>
            <w:tcW w:w="1256" w:type="dxa"/>
            <w:tcBorders>
              <w:top w:val="nil"/>
              <w:bottom w:val="nil"/>
            </w:tcBorders>
            <w:shd w:val="clear" w:color="auto" w:fill="auto"/>
            <w:vAlign w:val="center"/>
          </w:tcPr>
          <w:p w14:paraId="26C64CA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0.041</w:t>
            </w:r>
          </w:p>
        </w:tc>
        <w:tc>
          <w:tcPr>
            <w:tcW w:w="1815" w:type="dxa"/>
            <w:tcBorders>
              <w:top w:val="nil"/>
              <w:bottom w:val="nil"/>
            </w:tcBorders>
            <w:shd w:val="clear" w:color="auto" w:fill="auto"/>
            <w:vAlign w:val="center"/>
          </w:tcPr>
          <w:p w14:paraId="20764C8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93.1 ± 15.01</w:t>
            </w:r>
          </w:p>
        </w:tc>
        <w:tc>
          <w:tcPr>
            <w:tcW w:w="1815" w:type="dxa"/>
            <w:tcBorders>
              <w:top w:val="nil"/>
              <w:bottom w:val="nil"/>
            </w:tcBorders>
            <w:shd w:val="clear" w:color="auto" w:fill="auto"/>
            <w:vAlign w:val="center"/>
          </w:tcPr>
          <w:p w14:paraId="7562859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100.58 ± 18.33</w:t>
            </w:r>
          </w:p>
        </w:tc>
        <w:tc>
          <w:tcPr>
            <w:tcW w:w="1116" w:type="dxa"/>
            <w:tcBorders>
              <w:top w:val="nil"/>
              <w:bottom w:val="nil"/>
            </w:tcBorders>
            <w:shd w:val="clear" w:color="auto" w:fill="auto"/>
            <w:vAlign w:val="center"/>
          </w:tcPr>
          <w:p w14:paraId="5FAB2A8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0.023</w:t>
            </w:r>
          </w:p>
        </w:tc>
        <w:tc>
          <w:tcPr>
            <w:tcW w:w="1062" w:type="dxa"/>
            <w:tcBorders>
              <w:top w:val="nil"/>
              <w:bottom w:val="nil"/>
            </w:tcBorders>
            <w:shd w:val="clear" w:color="auto" w:fill="auto"/>
            <w:vAlign w:val="center"/>
          </w:tcPr>
          <w:p w14:paraId="448B338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0.483</w:t>
            </w:r>
          </w:p>
        </w:tc>
      </w:tr>
      <w:tr w:rsidR="00053734" w:rsidRPr="00EA2DA7" w14:paraId="1AC658A3" w14:textId="77777777">
        <w:trPr>
          <w:trHeight w:val="276"/>
          <w:jc w:val="center"/>
        </w:trPr>
        <w:tc>
          <w:tcPr>
            <w:tcW w:w="2115" w:type="dxa"/>
            <w:tcBorders>
              <w:top w:val="nil"/>
              <w:bottom w:val="nil"/>
            </w:tcBorders>
            <w:shd w:val="clear" w:color="auto" w:fill="auto"/>
            <w:vAlign w:val="center"/>
          </w:tcPr>
          <w:p w14:paraId="712B61E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INR</w:t>
            </w:r>
          </w:p>
        </w:tc>
        <w:tc>
          <w:tcPr>
            <w:tcW w:w="2231" w:type="dxa"/>
            <w:tcBorders>
              <w:top w:val="nil"/>
              <w:bottom w:val="nil"/>
            </w:tcBorders>
            <w:shd w:val="clear" w:color="auto" w:fill="auto"/>
            <w:vAlign w:val="center"/>
          </w:tcPr>
          <w:p w14:paraId="28589E4F" w14:textId="1009C40F"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1.9</w:t>
            </w:r>
            <w:r w:rsidR="00170FCB">
              <w:rPr>
                <w:rFonts w:ascii="Book Antiqua" w:eastAsia="Book Antiqua" w:hAnsi="Book Antiqua" w:cs="Book Antiqua"/>
              </w:rPr>
              <w:t>0</w:t>
            </w:r>
            <w:r w:rsidRPr="00EA2DA7">
              <w:rPr>
                <w:rFonts w:ascii="Book Antiqua" w:eastAsia="Book Antiqua" w:hAnsi="Book Antiqua" w:cs="Book Antiqua"/>
              </w:rPr>
              <w:t xml:space="preserve"> (1.7</w:t>
            </w:r>
            <w:r w:rsidR="00170FCB">
              <w:rPr>
                <w:rFonts w:ascii="Book Antiqua" w:eastAsia="Book Antiqua" w:hAnsi="Book Antiqua" w:cs="Book Antiqua"/>
              </w:rPr>
              <w:t>0</w:t>
            </w:r>
            <w:r w:rsidRPr="00EA2DA7">
              <w:rPr>
                <w:rFonts w:ascii="Book Antiqua" w:eastAsia="Book Antiqua" w:hAnsi="Book Antiqua" w:cs="Book Antiqua"/>
              </w:rPr>
              <w:t>-2.6</w:t>
            </w:r>
            <w:r w:rsidR="00170FCB">
              <w:rPr>
                <w:rFonts w:ascii="Book Antiqua" w:eastAsia="Book Antiqua" w:hAnsi="Book Antiqua" w:cs="Book Antiqua"/>
              </w:rPr>
              <w:t>0</w:t>
            </w:r>
            <w:r w:rsidRPr="00EA2DA7">
              <w:rPr>
                <w:rFonts w:ascii="Book Antiqua" w:eastAsia="Book Antiqua" w:hAnsi="Book Antiqua" w:cs="Book Antiqua"/>
              </w:rPr>
              <w:t>)</w:t>
            </w:r>
          </w:p>
        </w:tc>
        <w:tc>
          <w:tcPr>
            <w:tcW w:w="2096" w:type="dxa"/>
            <w:tcBorders>
              <w:top w:val="nil"/>
              <w:bottom w:val="nil"/>
            </w:tcBorders>
            <w:shd w:val="clear" w:color="auto" w:fill="auto"/>
            <w:vAlign w:val="center"/>
          </w:tcPr>
          <w:p w14:paraId="6ABE150A" w14:textId="39DC69B6"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1.6</w:t>
            </w:r>
            <w:r w:rsidR="00170FCB">
              <w:rPr>
                <w:rFonts w:ascii="Book Antiqua" w:eastAsia="Book Antiqua" w:hAnsi="Book Antiqua" w:cs="Book Antiqua"/>
              </w:rPr>
              <w:t>0</w:t>
            </w:r>
            <w:r w:rsidRPr="00EA2DA7">
              <w:rPr>
                <w:rFonts w:ascii="Book Antiqua" w:eastAsia="Book Antiqua" w:hAnsi="Book Antiqua" w:cs="Book Antiqua"/>
              </w:rPr>
              <w:t xml:space="preserve"> (1.3</w:t>
            </w:r>
            <w:r w:rsidR="00170FCB">
              <w:rPr>
                <w:rFonts w:ascii="Book Antiqua" w:eastAsia="Book Antiqua" w:hAnsi="Book Antiqua" w:cs="Book Antiqua"/>
              </w:rPr>
              <w:t>0</w:t>
            </w:r>
            <w:r w:rsidRPr="00EA2DA7">
              <w:rPr>
                <w:rFonts w:ascii="Book Antiqua" w:eastAsia="Book Antiqua" w:hAnsi="Book Antiqua" w:cs="Book Antiqua"/>
              </w:rPr>
              <w:t>-1.9</w:t>
            </w:r>
            <w:r w:rsidR="00170FCB">
              <w:rPr>
                <w:rFonts w:ascii="Book Antiqua" w:eastAsia="Book Antiqua" w:hAnsi="Book Antiqua" w:cs="Book Antiqua"/>
              </w:rPr>
              <w:t>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193A006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612DDB69" w14:textId="57D03CF0"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1.96 (1.54-2.4</w:t>
            </w:r>
            <w:r w:rsidR="00170FCB">
              <w:rPr>
                <w:rFonts w:ascii="Book Antiqua" w:eastAsia="Book Antiqua" w:hAnsi="Book Antiqua" w:cs="Book Antiqua"/>
              </w:rPr>
              <w:t>0</w:t>
            </w:r>
            <w:r w:rsidRPr="00EA2DA7">
              <w:rPr>
                <w:rFonts w:ascii="Book Antiqua" w:eastAsia="Book Antiqua" w:hAnsi="Book Antiqua" w:cs="Book Antiqua"/>
              </w:rPr>
              <w:t>)</w:t>
            </w:r>
          </w:p>
        </w:tc>
        <w:tc>
          <w:tcPr>
            <w:tcW w:w="1815" w:type="dxa"/>
            <w:tcBorders>
              <w:top w:val="nil"/>
              <w:bottom w:val="nil"/>
            </w:tcBorders>
            <w:shd w:val="clear" w:color="auto" w:fill="auto"/>
            <w:vAlign w:val="center"/>
          </w:tcPr>
          <w:p w14:paraId="3747383E" w14:textId="2FA04FF0"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1.5</w:t>
            </w:r>
            <w:r w:rsidR="00170FCB">
              <w:rPr>
                <w:rFonts w:ascii="Book Antiqua" w:eastAsia="Book Antiqua" w:hAnsi="Book Antiqua" w:cs="Book Antiqua"/>
              </w:rPr>
              <w:t>0</w:t>
            </w:r>
            <w:r w:rsidRPr="00EA2DA7">
              <w:rPr>
                <w:rFonts w:ascii="Book Antiqua" w:eastAsia="Book Antiqua" w:hAnsi="Book Antiqua" w:cs="Book Antiqua"/>
              </w:rPr>
              <w:t xml:space="preserve"> (1.31-1.9</w:t>
            </w:r>
            <w:r w:rsidR="00170FCB">
              <w:rPr>
                <w:rFonts w:ascii="Book Antiqua" w:eastAsia="Book Antiqua" w:hAnsi="Book Antiqua" w:cs="Book Antiqua"/>
              </w:rPr>
              <w:t>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424567FB" w14:textId="77777777" w:rsidR="00053734" w:rsidRPr="00EA2DA7" w:rsidRDefault="00721F08" w:rsidP="00EA2DA7">
            <w:pPr>
              <w:spacing w:line="360" w:lineRule="auto"/>
              <w:ind w:firstLine="315"/>
              <w:jc w:val="both"/>
              <w:rPr>
                <w:rFonts w:ascii="Book Antiqua" w:eastAsia="Book Antiqua" w:hAnsi="Book Antiqua" w:cs="Book Antiqua"/>
              </w:rPr>
            </w:pPr>
            <w:r w:rsidRPr="00EA2DA7">
              <w:rPr>
                <w:rFonts w:ascii="Book Antiqua" w:eastAsia="Book Antiqua" w:hAnsi="Book Antiqua" w:cs="Book Antiqua"/>
              </w:rPr>
              <w:t>&lt; 0.001</w:t>
            </w:r>
          </w:p>
        </w:tc>
        <w:tc>
          <w:tcPr>
            <w:tcW w:w="1062" w:type="dxa"/>
            <w:tcBorders>
              <w:top w:val="nil"/>
              <w:bottom w:val="nil"/>
            </w:tcBorders>
            <w:shd w:val="clear" w:color="auto" w:fill="auto"/>
            <w:vAlign w:val="center"/>
          </w:tcPr>
          <w:p w14:paraId="7BB2F0A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0.305</w:t>
            </w:r>
          </w:p>
        </w:tc>
      </w:tr>
      <w:tr w:rsidR="00053734" w:rsidRPr="00EA2DA7" w14:paraId="5797634B" w14:textId="77777777">
        <w:trPr>
          <w:trHeight w:val="276"/>
          <w:jc w:val="center"/>
        </w:trPr>
        <w:tc>
          <w:tcPr>
            <w:tcW w:w="2115" w:type="dxa"/>
            <w:tcBorders>
              <w:top w:val="nil"/>
              <w:bottom w:val="nil"/>
            </w:tcBorders>
            <w:shd w:val="clear" w:color="auto" w:fill="auto"/>
            <w:vAlign w:val="center"/>
          </w:tcPr>
          <w:p w14:paraId="46431A5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 xml:space="preserve">Neutrophil </w:t>
            </w:r>
          </w:p>
        </w:tc>
        <w:tc>
          <w:tcPr>
            <w:tcW w:w="2231" w:type="dxa"/>
            <w:tcBorders>
              <w:top w:val="nil"/>
              <w:bottom w:val="nil"/>
            </w:tcBorders>
            <w:shd w:val="clear" w:color="auto" w:fill="auto"/>
            <w:vAlign w:val="center"/>
          </w:tcPr>
          <w:p w14:paraId="17564D2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75.68 ± 11.99</w:t>
            </w:r>
          </w:p>
        </w:tc>
        <w:tc>
          <w:tcPr>
            <w:tcW w:w="2096" w:type="dxa"/>
            <w:tcBorders>
              <w:top w:val="nil"/>
              <w:bottom w:val="nil"/>
            </w:tcBorders>
            <w:shd w:val="clear" w:color="auto" w:fill="auto"/>
            <w:vAlign w:val="center"/>
          </w:tcPr>
          <w:p w14:paraId="64D9B67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71.21 ± 13.03</w:t>
            </w:r>
          </w:p>
        </w:tc>
        <w:tc>
          <w:tcPr>
            <w:tcW w:w="1256" w:type="dxa"/>
            <w:tcBorders>
              <w:top w:val="nil"/>
              <w:bottom w:val="nil"/>
            </w:tcBorders>
            <w:shd w:val="clear" w:color="auto" w:fill="auto"/>
            <w:vAlign w:val="center"/>
          </w:tcPr>
          <w:p w14:paraId="0F38E38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0.015</w:t>
            </w:r>
          </w:p>
        </w:tc>
        <w:tc>
          <w:tcPr>
            <w:tcW w:w="1815" w:type="dxa"/>
            <w:tcBorders>
              <w:top w:val="nil"/>
              <w:bottom w:val="nil"/>
            </w:tcBorders>
            <w:shd w:val="clear" w:color="auto" w:fill="auto"/>
            <w:vAlign w:val="center"/>
          </w:tcPr>
          <w:p w14:paraId="147D305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76.03 ± 10.98</w:t>
            </w:r>
          </w:p>
        </w:tc>
        <w:tc>
          <w:tcPr>
            <w:tcW w:w="1815" w:type="dxa"/>
            <w:tcBorders>
              <w:top w:val="nil"/>
              <w:bottom w:val="nil"/>
            </w:tcBorders>
            <w:shd w:val="clear" w:color="auto" w:fill="auto"/>
            <w:vAlign w:val="center"/>
          </w:tcPr>
          <w:p w14:paraId="21B38CD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72.95 ± 10.97</w:t>
            </w:r>
          </w:p>
        </w:tc>
        <w:tc>
          <w:tcPr>
            <w:tcW w:w="1116" w:type="dxa"/>
            <w:tcBorders>
              <w:top w:val="nil"/>
              <w:bottom w:val="nil"/>
            </w:tcBorders>
            <w:shd w:val="clear" w:color="auto" w:fill="auto"/>
            <w:vAlign w:val="center"/>
          </w:tcPr>
          <w:p w14:paraId="002DC4E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0.170</w:t>
            </w:r>
          </w:p>
        </w:tc>
        <w:tc>
          <w:tcPr>
            <w:tcW w:w="1062" w:type="dxa"/>
            <w:tcBorders>
              <w:top w:val="nil"/>
              <w:bottom w:val="nil"/>
            </w:tcBorders>
            <w:shd w:val="clear" w:color="auto" w:fill="auto"/>
            <w:vAlign w:val="center"/>
          </w:tcPr>
          <w:p w14:paraId="76E8AF3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0.647</w:t>
            </w:r>
          </w:p>
        </w:tc>
      </w:tr>
      <w:tr w:rsidR="00053734" w:rsidRPr="00EA2DA7" w14:paraId="2788C9B6" w14:textId="77777777">
        <w:trPr>
          <w:trHeight w:val="336"/>
          <w:jc w:val="center"/>
        </w:trPr>
        <w:tc>
          <w:tcPr>
            <w:tcW w:w="2115" w:type="dxa"/>
            <w:tcBorders>
              <w:top w:val="nil"/>
              <w:bottom w:val="nil"/>
            </w:tcBorders>
            <w:shd w:val="clear" w:color="auto" w:fill="auto"/>
            <w:vAlign w:val="center"/>
          </w:tcPr>
          <w:p w14:paraId="65C91C0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RBC (× 10</w:t>
            </w:r>
            <w:r w:rsidRPr="00EA2DA7">
              <w:rPr>
                <w:rFonts w:ascii="Book Antiqua" w:eastAsia="Book Antiqua" w:hAnsi="Book Antiqua" w:cs="Book Antiqua"/>
                <w:vertAlign w:val="superscript"/>
              </w:rPr>
              <w:t>9</w:t>
            </w:r>
            <w:r w:rsidRPr="00EA2DA7">
              <w:rPr>
                <w:rFonts w:ascii="Book Antiqua" w:eastAsia="Book Antiqua" w:hAnsi="Book Antiqua" w:cs="Book Antiqua"/>
              </w:rPr>
              <w:t>/L)</w:t>
            </w:r>
          </w:p>
        </w:tc>
        <w:tc>
          <w:tcPr>
            <w:tcW w:w="2231" w:type="dxa"/>
            <w:tcBorders>
              <w:top w:val="nil"/>
              <w:bottom w:val="nil"/>
            </w:tcBorders>
            <w:shd w:val="clear" w:color="auto" w:fill="auto"/>
            <w:vAlign w:val="center"/>
          </w:tcPr>
          <w:p w14:paraId="6F44DB9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3.15 ± 0.85</w:t>
            </w:r>
          </w:p>
        </w:tc>
        <w:tc>
          <w:tcPr>
            <w:tcW w:w="2096" w:type="dxa"/>
            <w:tcBorders>
              <w:top w:val="nil"/>
              <w:bottom w:val="nil"/>
            </w:tcBorders>
            <w:shd w:val="clear" w:color="auto" w:fill="auto"/>
            <w:vAlign w:val="center"/>
          </w:tcPr>
          <w:p w14:paraId="3FA9C9D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3.04 ± 0.85</w:t>
            </w:r>
          </w:p>
        </w:tc>
        <w:tc>
          <w:tcPr>
            <w:tcW w:w="1256" w:type="dxa"/>
            <w:tcBorders>
              <w:top w:val="nil"/>
              <w:bottom w:val="nil"/>
            </w:tcBorders>
            <w:shd w:val="clear" w:color="auto" w:fill="auto"/>
            <w:vAlign w:val="center"/>
          </w:tcPr>
          <w:p w14:paraId="6FAFF7D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0.404</w:t>
            </w:r>
          </w:p>
        </w:tc>
        <w:tc>
          <w:tcPr>
            <w:tcW w:w="1815" w:type="dxa"/>
            <w:tcBorders>
              <w:top w:val="nil"/>
              <w:bottom w:val="nil"/>
            </w:tcBorders>
            <w:shd w:val="clear" w:color="auto" w:fill="auto"/>
            <w:vAlign w:val="center"/>
          </w:tcPr>
          <w:p w14:paraId="4CC3032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3.16 ± 1.05</w:t>
            </w:r>
          </w:p>
        </w:tc>
        <w:tc>
          <w:tcPr>
            <w:tcW w:w="1815" w:type="dxa"/>
            <w:tcBorders>
              <w:top w:val="nil"/>
              <w:bottom w:val="nil"/>
            </w:tcBorders>
            <w:shd w:val="clear" w:color="auto" w:fill="auto"/>
            <w:vAlign w:val="center"/>
          </w:tcPr>
          <w:p w14:paraId="705D2E0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2.99 ± 0.78</w:t>
            </w:r>
          </w:p>
        </w:tc>
        <w:tc>
          <w:tcPr>
            <w:tcW w:w="1116" w:type="dxa"/>
            <w:tcBorders>
              <w:top w:val="nil"/>
              <w:bottom w:val="nil"/>
            </w:tcBorders>
            <w:shd w:val="clear" w:color="auto" w:fill="auto"/>
            <w:vAlign w:val="center"/>
          </w:tcPr>
          <w:p w14:paraId="41BAF51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0.388</w:t>
            </w:r>
          </w:p>
        </w:tc>
        <w:tc>
          <w:tcPr>
            <w:tcW w:w="1062" w:type="dxa"/>
            <w:tcBorders>
              <w:top w:val="nil"/>
              <w:bottom w:val="nil"/>
            </w:tcBorders>
            <w:shd w:val="clear" w:color="auto" w:fill="auto"/>
            <w:vAlign w:val="center"/>
          </w:tcPr>
          <w:p w14:paraId="3C586E3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0.950</w:t>
            </w:r>
          </w:p>
        </w:tc>
      </w:tr>
      <w:tr w:rsidR="00053734" w:rsidRPr="00EA2DA7" w14:paraId="404FB811" w14:textId="77777777">
        <w:trPr>
          <w:trHeight w:val="276"/>
          <w:jc w:val="center"/>
        </w:trPr>
        <w:tc>
          <w:tcPr>
            <w:tcW w:w="2115" w:type="dxa"/>
            <w:tcBorders>
              <w:top w:val="nil"/>
              <w:bottom w:val="nil"/>
            </w:tcBorders>
            <w:shd w:val="clear" w:color="auto" w:fill="auto"/>
            <w:vAlign w:val="center"/>
          </w:tcPr>
          <w:p w14:paraId="45AF1885" w14:textId="570BEBDD"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Hemoglobin (g/L)</w:t>
            </w:r>
          </w:p>
        </w:tc>
        <w:tc>
          <w:tcPr>
            <w:tcW w:w="2231" w:type="dxa"/>
            <w:tcBorders>
              <w:top w:val="nil"/>
              <w:bottom w:val="nil"/>
            </w:tcBorders>
            <w:shd w:val="clear" w:color="auto" w:fill="auto"/>
            <w:vAlign w:val="center"/>
          </w:tcPr>
          <w:p w14:paraId="694C722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103.13 ± 25.48</w:t>
            </w:r>
          </w:p>
        </w:tc>
        <w:tc>
          <w:tcPr>
            <w:tcW w:w="2096" w:type="dxa"/>
            <w:tcBorders>
              <w:top w:val="nil"/>
              <w:bottom w:val="nil"/>
            </w:tcBorders>
            <w:shd w:val="clear" w:color="auto" w:fill="auto"/>
            <w:vAlign w:val="center"/>
          </w:tcPr>
          <w:p w14:paraId="34C3C8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95.14 ± 26.89</w:t>
            </w:r>
          </w:p>
        </w:tc>
        <w:tc>
          <w:tcPr>
            <w:tcW w:w="1256" w:type="dxa"/>
            <w:tcBorders>
              <w:top w:val="nil"/>
              <w:bottom w:val="nil"/>
            </w:tcBorders>
            <w:shd w:val="clear" w:color="auto" w:fill="auto"/>
            <w:vAlign w:val="center"/>
          </w:tcPr>
          <w:p w14:paraId="55EB5AB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0.044</w:t>
            </w:r>
          </w:p>
        </w:tc>
        <w:tc>
          <w:tcPr>
            <w:tcW w:w="1815" w:type="dxa"/>
            <w:tcBorders>
              <w:top w:val="nil"/>
              <w:bottom w:val="nil"/>
            </w:tcBorders>
            <w:shd w:val="clear" w:color="auto" w:fill="auto"/>
            <w:vAlign w:val="center"/>
          </w:tcPr>
          <w:p w14:paraId="4104667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102.55 ± 29.63</w:t>
            </w:r>
          </w:p>
        </w:tc>
        <w:tc>
          <w:tcPr>
            <w:tcW w:w="1815" w:type="dxa"/>
            <w:tcBorders>
              <w:top w:val="nil"/>
              <w:bottom w:val="nil"/>
            </w:tcBorders>
            <w:shd w:val="clear" w:color="auto" w:fill="auto"/>
            <w:vAlign w:val="center"/>
          </w:tcPr>
          <w:p w14:paraId="60DBB55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95.41 ± 25.60</w:t>
            </w:r>
          </w:p>
        </w:tc>
        <w:tc>
          <w:tcPr>
            <w:tcW w:w="1116" w:type="dxa"/>
            <w:tcBorders>
              <w:top w:val="nil"/>
              <w:bottom w:val="nil"/>
            </w:tcBorders>
            <w:shd w:val="clear" w:color="auto" w:fill="auto"/>
            <w:vAlign w:val="center"/>
          </w:tcPr>
          <w:p w14:paraId="67C91A8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0.229</w:t>
            </w:r>
          </w:p>
        </w:tc>
        <w:tc>
          <w:tcPr>
            <w:tcW w:w="1062" w:type="dxa"/>
            <w:tcBorders>
              <w:top w:val="nil"/>
              <w:bottom w:val="nil"/>
            </w:tcBorders>
            <w:shd w:val="clear" w:color="auto" w:fill="auto"/>
            <w:vAlign w:val="center"/>
          </w:tcPr>
          <w:p w14:paraId="290BAF4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0.840</w:t>
            </w:r>
          </w:p>
        </w:tc>
      </w:tr>
      <w:tr w:rsidR="00053734" w:rsidRPr="00EA2DA7" w14:paraId="50B84995" w14:textId="77777777">
        <w:trPr>
          <w:trHeight w:val="276"/>
          <w:jc w:val="center"/>
        </w:trPr>
        <w:tc>
          <w:tcPr>
            <w:tcW w:w="2115" w:type="dxa"/>
            <w:tcBorders>
              <w:top w:val="nil"/>
              <w:bottom w:val="nil"/>
            </w:tcBorders>
            <w:shd w:val="clear" w:color="auto" w:fill="auto"/>
            <w:vAlign w:val="center"/>
          </w:tcPr>
          <w:p w14:paraId="4D5541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MCV (fl)</w:t>
            </w:r>
          </w:p>
        </w:tc>
        <w:tc>
          <w:tcPr>
            <w:tcW w:w="2231" w:type="dxa"/>
            <w:tcBorders>
              <w:top w:val="nil"/>
              <w:bottom w:val="nil"/>
            </w:tcBorders>
            <w:shd w:val="clear" w:color="auto" w:fill="auto"/>
            <w:vAlign w:val="center"/>
          </w:tcPr>
          <w:p w14:paraId="5ABA4B4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94.20 ± 9.16</w:t>
            </w:r>
          </w:p>
        </w:tc>
        <w:tc>
          <w:tcPr>
            <w:tcW w:w="2096" w:type="dxa"/>
            <w:tcBorders>
              <w:top w:val="nil"/>
              <w:bottom w:val="nil"/>
            </w:tcBorders>
            <w:shd w:val="clear" w:color="auto" w:fill="auto"/>
            <w:vAlign w:val="center"/>
          </w:tcPr>
          <w:p w14:paraId="37E7CF1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92.21 ± 8.07</w:t>
            </w:r>
          </w:p>
        </w:tc>
        <w:tc>
          <w:tcPr>
            <w:tcW w:w="1256" w:type="dxa"/>
            <w:tcBorders>
              <w:top w:val="nil"/>
              <w:bottom w:val="nil"/>
            </w:tcBorders>
            <w:shd w:val="clear" w:color="auto" w:fill="auto"/>
            <w:vAlign w:val="center"/>
          </w:tcPr>
          <w:p w14:paraId="5300AAC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0.146</w:t>
            </w:r>
          </w:p>
        </w:tc>
        <w:tc>
          <w:tcPr>
            <w:tcW w:w="1815" w:type="dxa"/>
            <w:tcBorders>
              <w:top w:val="nil"/>
              <w:bottom w:val="nil"/>
            </w:tcBorders>
            <w:shd w:val="clear" w:color="auto" w:fill="auto"/>
            <w:vAlign w:val="center"/>
          </w:tcPr>
          <w:p w14:paraId="5BA5679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95.28 ± 11.72</w:t>
            </w:r>
          </w:p>
        </w:tc>
        <w:tc>
          <w:tcPr>
            <w:tcW w:w="1815" w:type="dxa"/>
            <w:tcBorders>
              <w:top w:val="nil"/>
              <w:bottom w:val="nil"/>
            </w:tcBorders>
            <w:shd w:val="clear" w:color="auto" w:fill="auto"/>
            <w:vAlign w:val="center"/>
          </w:tcPr>
          <w:p w14:paraId="7383117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94.00 ± 9.71</w:t>
            </w:r>
          </w:p>
        </w:tc>
        <w:tc>
          <w:tcPr>
            <w:tcW w:w="1116" w:type="dxa"/>
            <w:tcBorders>
              <w:top w:val="nil"/>
              <w:bottom w:val="nil"/>
            </w:tcBorders>
            <w:shd w:val="clear" w:color="auto" w:fill="auto"/>
            <w:vAlign w:val="center"/>
          </w:tcPr>
          <w:p w14:paraId="06431D9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0.580</w:t>
            </w:r>
          </w:p>
        </w:tc>
        <w:tc>
          <w:tcPr>
            <w:tcW w:w="1062" w:type="dxa"/>
            <w:tcBorders>
              <w:top w:val="nil"/>
              <w:bottom w:val="nil"/>
            </w:tcBorders>
            <w:shd w:val="clear" w:color="auto" w:fill="auto"/>
            <w:vAlign w:val="center"/>
          </w:tcPr>
          <w:p w14:paraId="57D2E56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0.267</w:t>
            </w:r>
          </w:p>
        </w:tc>
      </w:tr>
      <w:tr w:rsidR="00053734" w:rsidRPr="00EA2DA7" w14:paraId="41594E5D" w14:textId="77777777">
        <w:trPr>
          <w:trHeight w:val="276"/>
          <w:jc w:val="center"/>
        </w:trPr>
        <w:tc>
          <w:tcPr>
            <w:tcW w:w="2115" w:type="dxa"/>
            <w:tcBorders>
              <w:top w:val="nil"/>
              <w:bottom w:val="nil"/>
            </w:tcBorders>
            <w:shd w:val="clear" w:color="auto" w:fill="auto"/>
            <w:vAlign w:val="center"/>
          </w:tcPr>
          <w:p w14:paraId="48EBC1C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lastRenderedPageBreak/>
              <w:t>MCH (pg)</w:t>
            </w:r>
          </w:p>
        </w:tc>
        <w:tc>
          <w:tcPr>
            <w:tcW w:w="2231" w:type="dxa"/>
            <w:tcBorders>
              <w:top w:val="nil"/>
              <w:bottom w:val="nil"/>
            </w:tcBorders>
            <w:shd w:val="clear" w:color="auto" w:fill="auto"/>
            <w:vAlign w:val="center"/>
          </w:tcPr>
          <w:p w14:paraId="1776CC2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33.19 ± 3.78</w:t>
            </w:r>
          </w:p>
        </w:tc>
        <w:tc>
          <w:tcPr>
            <w:tcW w:w="2096" w:type="dxa"/>
            <w:tcBorders>
              <w:top w:val="nil"/>
              <w:bottom w:val="nil"/>
            </w:tcBorders>
            <w:shd w:val="clear" w:color="auto" w:fill="auto"/>
            <w:vAlign w:val="center"/>
          </w:tcPr>
          <w:p w14:paraId="43830FF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31.45 ± 3.21</w:t>
            </w:r>
          </w:p>
        </w:tc>
        <w:tc>
          <w:tcPr>
            <w:tcW w:w="1256" w:type="dxa"/>
            <w:tcBorders>
              <w:top w:val="nil"/>
              <w:bottom w:val="nil"/>
            </w:tcBorders>
            <w:shd w:val="clear" w:color="auto" w:fill="auto"/>
            <w:vAlign w:val="center"/>
          </w:tcPr>
          <w:p w14:paraId="1607829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0.002</w:t>
            </w:r>
          </w:p>
        </w:tc>
        <w:tc>
          <w:tcPr>
            <w:tcW w:w="1815" w:type="dxa"/>
            <w:tcBorders>
              <w:top w:val="nil"/>
              <w:bottom w:val="nil"/>
            </w:tcBorders>
            <w:shd w:val="clear" w:color="auto" w:fill="auto"/>
            <w:vAlign w:val="center"/>
          </w:tcPr>
          <w:p w14:paraId="3929C63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33.17 ± 3.93</w:t>
            </w:r>
          </w:p>
        </w:tc>
        <w:tc>
          <w:tcPr>
            <w:tcW w:w="1815" w:type="dxa"/>
            <w:tcBorders>
              <w:top w:val="nil"/>
              <w:bottom w:val="nil"/>
            </w:tcBorders>
            <w:shd w:val="clear" w:color="auto" w:fill="auto"/>
            <w:vAlign w:val="center"/>
          </w:tcPr>
          <w:p w14:paraId="12A6841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32.21 ± 3.66</w:t>
            </w:r>
          </w:p>
        </w:tc>
        <w:tc>
          <w:tcPr>
            <w:tcW w:w="1116" w:type="dxa"/>
            <w:tcBorders>
              <w:top w:val="nil"/>
              <w:bottom w:val="nil"/>
            </w:tcBorders>
            <w:shd w:val="clear" w:color="auto" w:fill="auto"/>
            <w:vAlign w:val="center"/>
          </w:tcPr>
          <w:p w14:paraId="1925A10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0.233</w:t>
            </w:r>
          </w:p>
        </w:tc>
        <w:tc>
          <w:tcPr>
            <w:tcW w:w="1062" w:type="dxa"/>
            <w:tcBorders>
              <w:top w:val="nil"/>
              <w:bottom w:val="nil"/>
            </w:tcBorders>
            <w:shd w:val="clear" w:color="auto" w:fill="auto"/>
            <w:vAlign w:val="center"/>
          </w:tcPr>
          <w:p w14:paraId="53A0228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0.756</w:t>
            </w:r>
          </w:p>
        </w:tc>
      </w:tr>
      <w:tr w:rsidR="00053734" w:rsidRPr="00EA2DA7" w14:paraId="253502B4" w14:textId="77777777">
        <w:trPr>
          <w:trHeight w:val="276"/>
          <w:jc w:val="center"/>
        </w:trPr>
        <w:tc>
          <w:tcPr>
            <w:tcW w:w="2115" w:type="dxa"/>
            <w:tcBorders>
              <w:top w:val="nil"/>
              <w:bottom w:val="nil"/>
            </w:tcBorders>
            <w:shd w:val="clear" w:color="auto" w:fill="auto"/>
            <w:vAlign w:val="center"/>
          </w:tcPr>
          <w:p w14:paraId="1A201DE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MCHC (g/L)</w:t>
            </w:r>
          </w:p>
        </w:tc>
        <w:tc>
          <w:tcPr>
            <w:tcW w:w="2231" w:type="dxa"/>
            <w:tcBorders>
              <w:top w:val="nil"/>
              <w:bottom w:val="nil"/>
            </w:tcBorders>
            <w:shd w:val="clear" w:color="auto" w:fill="auto"/>
            <w:vAlign w:val="center"/>
          </w:tcPr>
          <w:p w14:paraId="5D27F1C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351.81 ± 18.15</w:t>
            </w:r>
          </w:p>
        </w:tc>
        <w:tc>
          <w:tcPr>
            <w:tcW w:w="2096" w:type="dxa"/>
            <w:tcBorders>
              <w:top w:val="nil"/>
              <w:bottom w:val="nil"/>
            </w:tcBorders>
            <w:shd w:val="clear" w:color="auto" w:fill="auto"/>
            <w:vAlign w:val="center"/>
          </w:tcPr>
          <w:p w14:paraId="6072FE0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341.77 ± 19.35</w:t>
            </w:r>
          </w:p>
        </w:tc>
        <w:tc>
          <w:tcPr>
            <w:tcW w:w="1256" w:type="dxa"/>
            <w:tcBorders>
              <w:top w:val="nil"/>
              <w:bottom w:val="nil"/>
            </w:tcBorders>
            <w:shd w:val="clear" w:color="auto" w:fill="auto"/>
            <w:vAlign w:val="center"/>
          </w:tcPr>
          <w:p w14:paraId="3687A51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0CD426D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349.14 ± 19.13</w:t>
            </w:r>
          </w:p>
        </w:tc>
        <w:tc>
          <w:tcPr>
            <w:tcW w:w="1815" w:type="dxa"/>
            <w:tcBorders>
              <w:top w:val="nil"/>
              <w:bottom w:val="nil"/>
            </w:tcBorders>
            <w:shd w:val="clear" w:color="auto" w:fill="auto"/>
            <w:vAlign w:val="center"/>
          </w:tcPr>
          <w:p w14:paraId="41E2B94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342.83 ± 18.25</w:t>
            </w:r>
          </w:p>
        </w:tc>
        <w:tc>
          <w:tcPr>
            <w:tcW w:w="1116" w:type="dxa"/>
            <w:tcBorders>
              <w:top w:val="nil"/>
              <w:bottom w:val="nil"/>
            </w:tcBorders>
            <w:shd w:val="clear" w:color="auto" w:fill="auto"/>
            <w:vAlign w:val="center"/>
          </w:tcPr>
          <w:p w14:paraId="31EADB5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0.104</w:t>
            </w:r>
          </w:p>
        </w:tc>
        <w:tc>
          <w:tcPr>
            <w:tcW w:w="1062" w:type="dxa"/>
            <w:tcBorders>
              <w:top w:val="nil"/>
              <w:bottom w:val="nil"/>
            </w:tcBorders>
            <w:shd w:val="clear" w:color="auto" w:fill="auto"/>
            <w:vAlign w:val="center"/>
          </w:tcPr>
          <w:p w14:paraId="19EC9C4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0.355</w:t>
            </w:r>
          </w:p>
        </w:tc>
      </w:tr>
      <w:tr w:rsidR="00053734" w:rsidRPr="00EA2DA7" w14:paraId="2743465A" w14:textId="77777777">
        <w:trPr>
          <w:trHeight w:val="336"/>
          <w:jc w:val="center"/>
        </w:trPr>
        <w:tc>
          <w:tcPr>
            <w:tcW w:w="2115" w:type="dxa"/>
            <w:tcBorders>
              <w:top w:val="nil"/>
              <w:bottom w:val="nil"/>
            </w:tcBorders>
            <w:shd w:val="clear" w:color="auto" w:fill="auto"/>
            <w:vAlign w:val="center"/>
          </w:tcPr>
          <w:p w14:paraId="7DB566D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Platelet (× 10</w:t>
            </w:r>
            <w:r w:rsidRPr="00EA2DA7">
              <w:rPr>
                <w:rFonts w:ascii="Book Antiqua" w:eastAsia="Book Antiqua" w:hAnsi="Book Antiqua" w:cs="Book Antiqua"/>
                <w:vertAlign w:val="superscript"/>
              </w:rPr>
              <w:t>9</w:t>
            </w:r>
            <w:r w:rsidRPr="00EA2DA7">
              <w:rPr>
                <w:rFonts w:ascii="Book Antiqua" w:eastAsia="Book Antiqua" w:hAnsi="Book Antiqua" w:cs="Book Antiqua"/>
              </w:rPr>
              <w:t>/L)</w:t>
            </w:r>
          </w:p>
        </w:tc>
        <w:tc>
          <w:tcPr>
            <w:tcW w:w="2231" w:type="dxa"/>
            <w:tcBorders>
              <w:top w:val="nil"/>
              <w:bottom w:val="nil"/>
            </w:tcBorders>
            <w:shd w:val="clear" w:color="auto" w:fill="auto"/>
            <w:vAlign w:val="center"/>
          </w:tcPr>
          <w:p w14:paraId="3338245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66.5 (42.0-97.5)</w:t>
            </w:r>
          </w:p>
        </w:tc>
        <w:tc>
          <w:tcPr>
            <w:tcW w:w="2096" w:type="dxa"/>
            <w:tcBorders>
              <w:top w:val="nil"/>
              <w:bottom w:val="nil"/>
            </w:tcBorders>
            <w:shd w:val="clear" w:color="auto" w:fill="auto"/>
            <w:vAlign w:val="center"/>
          </w:tcPr>
          <w:p w14:paraId="0BD6375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69.0 (45.5-98.0)</w:t>
            </w:r>
          </w:p>
        </w:tc>
        <w:tc>
          <w:tcPr>
            <w:tcW w:w="1256" w:type="dxa"/>
            <w:tcBorders>
              <w:top w:val="nil"/>
              <w:bottom w:val="nil"/>
            </w:tcBorders>
            <w:shd w:val="clear" w:color="auto" w:fill="auto"/>
            <w:vAlign w:val="center"/>
          </w:tcPr>
          <w:p w14:paraId="34156DA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0.419</w:t>
            </w:r>
          </w:p>
        </w:tc>
        <w:tc>
          <w:tcPr>
            <w:tcW w:w="1815" w:type="dxa"/>
            <w:tcBorders>
              <w:top w:val="nil"/>
              <w:bottom w:val="nil"/>
            </w:tcBorders>
            <w:shd w:val="clear" w:color="auto" w:fill="auto"/>
            <w:vAlign w:val="center"/>
          </w:tcPr>
          <w:p w14:paraId="351D6FB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64.0 (36.0-103.0)</w:t>
            </w:r>
          </w:p>
        </w:tc>
        <w:tc>
          <w:tcPr>
            <w:tcW w:w="1815" w:type="dxa"/>
            <w:tcBorders>
              <w:top w:val="nil"/>
              <w:bottom w:val="nil"/>
            </w:tcBorders>
            <w:shd w:val="clear" w:color="auto" w:fill="auto"/>
            <w:vAlign w:val="center"/>
          </w:tcPr>
          <w:p w14:paraId="4553D8EF" w14:textId="342776B1"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75.0 (46.0</w:t>
            </w:r>
            <w:r w:rsidR="00170FCB">
              <w:rPr>
                <w:rFonts w:ascii="Book Antiqua" w:eastAsia="Book Antiqua" w:hAnsi="Book Antiqua" w:cs="Book Antiqua"/>
              </w:rPr>
              <w:t>-</w:t>
            </w:r>
            <w:r w:rsidRPr="00EA2DA7">
              <w:rPr>
                <w:rFonts w:ascii="Book Antiqua" w:eastAsia="Book Antiqua" w:hAnsi="Book Antiqua" w:cs="Book Antiqua"/>
              </w:rPr>
              <w:t>118.0)</w:t>
            </w:r>
          </w:p>
        </w:tc>
        <w:tc>
          <w:tcPr>
            <w:tcW w:w="1116" w:type="dxa"/>
            <w:tcBorders>
              <w:top w:val="nil"/>
              <w:bottom w:val="nil"/>
            </w:tcBorders>
            <w:shd w:val="clear" w:color="auto" w:fill="auto"/>
            <w:vAlign w:val="center"/>
          </w:tcPr>
          <w:p w14:paraId="3CB622A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0.250</w:t>
            </w:r>
          </w:p>
        </w:tc>
        <w:tc>
          <w:tcPr>
            <w:tcW w:w="1062" w:type="dxa"/>
            <w:tcBorders>
              <w:top w:val="nil"/>
              <w:bottom w:val="nil"/>
            </w:tcBorders>
            <w:shd w:val="clear" w:color="auto" w:fill="auto"/>
            <w:vAlign w:val="center"/>
          </w:tcPr>
          <w:p w14:paraId="325CA56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0.737</w:t>
            </w:r>
          </w:p>
        </w:tc>
      </w:tr>
      <w:tr w:rsidR="00053734" w:rsidRPr="00EA2DA7" w14:paraId="3E6F93AA" w14:textId="77777777">
        <w:trPr>
          <w:trHeight w:val="276"/>
          <w:jc w:val="center"/>
        </w:trPr>
        <w:tc>
          <w:tcPr>
            <w:tcW w:w="2115" w:type="dxa"/>
            <w:tcBorders>
              <w:top w:val="nil"/>
              <w:bottom w:val="nil"/>
            </w:tcBorders>
            <w:shd w:val="clear" w:color="auto" w:fill="auto"/>
            <w:vAlign w:val="center"/>
          </w:tcPr>
          <w:p w14:paraId="5AEEB8E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Albumin (g/L)</w:t>
            </w:r>
          </w:p>
        </w:tc>
        <w:tc>
          <w:tcPr>
            <w:tcW w:w="2231" w:type="dxa"/>
            <w:tcBorders>
              <w:top w:val="nil"/>
              <w:bottom w:val="nil"/>
            </w:tcBorders>
            <w:shd w:val="clear" w:color="auto" w:fill="auto"/>
            <w:vAlign w:val="center"/>
          </w:tcPr>
          <w:p w14:paraId="1339017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29.12 ± 5.48</w:t>
            </w:r>
          </w:p>
        </w:tc>
        <w:tc>
          <w:tcPr>
            <w:tcW w:w="2096" w:type="dxa"/>
            <w:tcBorders>
              <w:top w:val="nil"/>
              <w:bottom w:val="nil"/>
            </w:tcBorders>
            <w:shd w:val="clear" w:color="auto" w:fill="auto"/>
            <w:vAlign w:val="center"/>
          </w:tcPr>
          <w:p w14:paraId="0CFAE46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28.77 ± 5.37</w:t>
            </w:r>
          </w:p>
        </w:tc>
        <w:tc>
          <w:tcPr>
            <w:tcW w:w="1256" w:type="dxa"/>
            <w:tcBorders>
              <w:top w:val="nil"/>
              <w:bottom w:val="nil"/>
            </w:tcBorders>
            <w:shd w:val="clear" w:color="auto" w:fill="auto"/>
            <w:vAlign w:val="center"/>
          </w:tcPr>
          <w:p w14:paraId="10188AD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0.668</w:t>
            </w:r>
          </w:p>
        </w:tc>
        <w:tc>
          <w:tcPr>
            <w:tcW w:w="1815" w:type="dxa"/>
            <w:tcBorders>
              <w:top w:val="nil"/>
              <w:bottom w:val="nil"/>
            </w:tcBorders>
            <w:shd w:val="clear" w:color="auto" w:fill="auto"/>
            <w:vAlign w:val="center"/>
          </w:tcPr>
          <w:p w14:paraId="18937B5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29.22 ± 5.41</w:t>
            </w:r>
          </w:p>
        </w:tc>
        <w:tc>
          <w:tcPr>
            <w:tcW w:w="1815" w:type="dxa"/>
            <w:tcBorders>
              <w:top w:val="nil"/>
              <w:bottom w:val="nil"/>
            </w:tcBorders>
            <w:shd w:val="clear" w:color="auto" w:fill="auto"/>
            <w:vAlign w:val="center"/>
          </w:tcPr>
          <w:p w14:paraId="6CF0015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30.99 ± 5.61</w:t>
            </w:r>
          </w:p>
        </w:tc>
        <w:tc>
          <w:tcPr>
            <w:tcW w:w="1116" w:type="dxa"/>
            <w:tcBorders>
              <w:top w:val="nil"/>
              <w:bottom w:val="nil"/>
            </w:tcBorders>
            <w:shd w:val="clear" w:color="auto" w:fill="auto"/>
            <w:vAlign w:val="center"/>
          </w:tcPr>
          <w:p w14:paraId="4E7031A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0.115</w:t>
            </w:r>
          </w:p>
        </w:tc>
        <w:tc>
          <w:tcPr>
            <w:tcW w:w="1062" w:type="dxa"/>
            <w:tcBorders>
              <w:top w:val="nil"/>
              <w:bottom w:val="nil"/>
            </w:tcBorders>
            <w:shd w:val="clear" w:color="auto" w:fill="auto"/>
            <w:vAlign w:val="center"/>
          </w:tcPr>
          <w:p w14:paraId="412EE0B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0.274</w:t>
            </w:r>
          </w:p>
        </w:tc>
      </w:tr>
      <w:tr w:rsidR="00053734" w:rsidRPr="00EA2DA7" w14:paraId="323B475D" w14:textId="77777777">
        <w:trPr>
          <w:trHeight w:val="276"/>
          <w:jc w:val="center"/>
        </w:trPr>
        <w:tc>
          <w:tcPr>
            <w:tcW w:w="2115" w:type="dxa"/>
            <w:tcBorders>
              <w:top w:val="nil"/>
              <w:bottom w:val="nil"/>
            </w:tcBorders>
            <w:shd w:val="clear" w:color="auto" w:fill="auto"/>
            <w:vAlign w:val="center"/>
          </w:tcPr>
          <w:p w14:paraId="5980A9A9" w14:textId="77777777" w:rsidR="00053734" w:rsidRPr="00EA2DA7" w:rsidRDefault="00721F08" w:rsidP="00EA2DA7">
            <w:pPr>
              <w:spacing w:line="360" w:lineRule="auto"/>
              <w:jc w:val="both"/>
              <w:rPr>
                <w:rFonts w:ascii="Book Antiqua" w:eastAsia="Book Antiqua" w:hAnsi="Book Antiqua" w:cs="Book Antiqua"/>
              </w:rPr>
            </w:pPr>
            <w:commentRangeStart w:id="3"/>
            <w:r w:rsidRPr="00EA2DA7">
              <w:rPr>
                <w:rFonts w:ascii="Book Antiqua" w:eastAsia="Book Antiqua" w:hAnsi="Book Antiqua" w:cs="Book Antiqua"/>
              </w:rPr>
              <w:t>A/G</w:t>
            </w:r>
          </w:p>
        </w:tc>
        <w:tc>
          <w:tcPr>
            <w:tcW w:w="2231" w:type="dxa"/>
            <w:tcBorders>
              <w:top w:val="nil"/>
              <w:bottom w:val="nil"/>
            </w:tcBorders>
            <w:shd w:val="clear" w:color="auto" w:fill="auto"/>
            <w:vAlign w:val="center"/>
          </w:tcPr>
          <w:p w14:paraId="37F9AE7B" w14:textId="1B4E4D6A"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w:t>
            </w:r>
            <w:r w:rsidR="00D17F47">
              <w:rPr>
                <w:rFonts w:ascii="Book Antiqua" w:eastAsia="Book Antiqua" w:hAnsi="Book Antiqua" w:cs="Book Antiqua"/>
              </w:rPr>
              <w:t>0</w:t>
            </w:r>
            <w:r w:rsidRPr="00EA2DA7">
              <w:rPr>
                <w:rFonts w:ascii="Book Antiqua" w:eastAsia="Book Antiqua" w:hAnsi="Book Antiqua" w:cs="Book Antiqua"/>
              </w:rPr>
              <w:t xml:space="preserve"> (0.78-1.4</w:t>
            </w:r>
            <w:r w:rsidR="00D17F47">
              <w:rPr>
                <w:rFonts w:ascii="Book Antiqua" w:eastAsia="Book Antiqua" w:hAnsi="Book Antiqua" w:cs="Book Antiqua"/>
              </w:rPr>
              <w:t>0</w:t>
            </w:r>
            <w:r w:rsidRPr="00EA2DA7">
              <w:rPr>
                <w:rFonts w:ascii="Book Antiqua" w:eastAsia="Book Antiqua" w:hAnsi="Book Antiqua" w:cs="Book Antiqua"/>
              </w:rPr>
              <w:t>)</w:t>
            </w:r>
          </w:p>
        </w:tc>
        <w:tc>
          <w:tcPr>
            <w:tcW w:w="2096" w:type="dxa"/>
            <w:tcBorders>
              <w:top w:val="nil"/>
              <w:bottom w:val="nil"/>
            </w:tcBorders>
            <w:shd w:val="clear" w:color="auto" w:fill="auto"/>
            <w:vAlign w:val="center"/>
          </w:tcPr>
          <w:p w14:paraId="00A788B8" w14:textId="4B6E8A42"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0.92 (0.73-1.3</w:t>
            </w:r>
            <w:r w:rsidR="00D17F47">
              <w:rPr>
                <w:rFonts w:ascii="Book Antiqua" w:eastAsia="Book Antiqua" w:hAnsi="Book Antiqua" w:cs="Book Antiqua"/>
              </w:rPr>
              <w:t>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36349AC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0.267</w:t>
            </w:r>
          </w:p>
        </w:tc>
        <w:tc>
          <w:tcPr>
            <w:tcW w:w="1815" w:type="dxa"/>
            <w:tcBorders>
              <w:top w:val="nil"/>
              <w:bottom w:val="nil"/>
            </w:tcBorders>
            <w:shd w:val="clear" w:color="auto" w:fill="auto"/>
            <w:vAlign w:val="center"/>
          </w:tcPr>
          <w:p w14:paraId="1B22133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1.13 ± 0.56</w:t>
            </w:r>
          </w:p>
        </w:tc>
        <w:tc>
          <w:tcPr>
            <w:tcW w:w="1815" w:type="dxa"/>
            <w:tcBorders>
              <w:top w:val="nil"/>
              <w:bottom w:val="nil"/>
            </w:tcBorders>
            <w:shd w:val="clear" w:color="auto" w:fill="auto"/>
            <w:vAlign w:val="center"/>
          </w:tcPr>
          <w:p w14:paraId="05480B4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1.19 ± 0.51</w:t>
            </w:r>
          </w:p>
        </w:tc>
        <w:tc>
          <w:tcPr>
            <w:tcW w:w="1116" w:type="dxa"/>
            <w:tcBorders>
              <w:top w:val="nil"/>
              <w:bottom w:val="nil"/>
            </w:tcBorders>
            <w:shd w:val="clear" w:color="auto" w:fill="auto"/>
            <w:vAlign w:val="center"/>
          </w:tcPr>
          <w:p w14:paraId="37E4BA7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0.620</w:t>
            </w:r>
          </w:p>
        </w:tc>
        <w:tc>
          <w:tcPr>
            <w:tcW w:w="1062" w:type="dxa"/>
            <w:tcBorders>
              <w:top w:val="nil"/>
              <w:bottom w:val="nil"/>
            </w:tcBorders>
            <w:shd w:val="clear" w:color="auto" w:fill="auto"/>
            <w:vAlign w:val="center"/>
          </w:tcPr>
          <w:p w14:paraId="5CD3539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0.400</w:t>
            </w:r>
            <w:commentRangeEnd w:id="3"/>
            <w:r w:rsidR="00D17F47">
              <w:rPr>
                <w:rStyle w:val="CommentReference"/>
              </w:rPr>
              <w:commentReference w:id="3"/>
            </w:r>
          </w:p>
        </w:tc>
      </w:tr>
      <w:tr w:rsidR="00053734" w:rsidRPr="00EA2DA7" w14:paraId="123DF7BA" w14:textId="77777777">
        <w:trPr>
          <w:trHeight w:val="276"/>
          <w:jc w:val="center"/>
        </w:trPr>
        <w:tc>
          <w:tcPr>
            <w:tcW w:w="2115" w:type="dxa"/>
            <w:tcBorders>
              <w:top w:val="nil"/>
              <w:bottom w:val="nil"/>
            </w:tcBorders>
            <w:shd w:val="clear" w:color="auto" w:fill="auto"/>
            <w:vAlign w:val="center"/>
          </w:tcPr>
          <w:p w14:paraId="272D7D6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ALT</w:t>
            </w:r>
          </w:p>
        </w:tc>
        <w:tc>
          <w:tcPr>
            <w:tcW w:w="2231" w:type="dxa"/>
            <w:tcBorders>
              <w:top w:val="nil"/>
              <w:bottom w:val="nil"/>
            </w:tcBorders>
            <w:shd w:val="clear" w:color="auto" w:fill="auto"/>
            <w:vAlign w:val="center"/>
          </w:tcPr>
          <w:p w14:paraId="173077E4" w14:textId="36206C8A"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60.0</w:t>
            </w:r>
            <w:r w:rsidR="00D17F47">
              <w:rPr>
                <w:rFonts w:ascii="Book Antiqua" w:eastAsia="Book Antiqua" w:hAnsi="Book Antiqua" w:cs="Book Antiqua"/>
              </w:rPr>
              <w:t>0</w:t>
            </w:r>
            <w:r w:rsidRPr="00EA2DA7">
              <w:rPr>
                <w:rFonts w:ascii="Book Antiqua" w:eastAsia="Book Antiqua" w:hAnsi="Book Antiqua" w:cs="Book Antiqua"/>
              </w:rPr>
              <w:t xml:space="preserve"> (31.</w:t>
            </w:r>
            <w:r w:rsidR="00D17F47">
              <w:rPr>
                <w:rFonts w:ascii="Book Antiqua" w:eastAsia="Book Antiqua" w:hAnsi="Book Antiqua" w:cs="Book Antiqua"/>
              </w:rPr>
              <w:t>0</w:t>
            </w:r>
            <w:r w:rsidRPr="00EA2DA7">
              <w:rPr>
                <w:rFonts w:ascii="Book Antiqua" w:eastAsia="Book Antiqua" w:hAnsi="Book Antiqua" w:cs="Book Antiqua"/>
              </w:rPr>
              <w:t>0-137.</w:t>
            </w:r>
            <w:r w:rsidR="00D17F47">
              <w:rPr>
                <w:rFonts w:ascii="Book Antiqua" w:eastAsia="Book Antiqua" w:hAnsi="Book Antiqua" w:cs="Book Antiqua"/>
              </w:rPr>
              <w:t>0</w:t>
            </w:r>
            <w:r w:rsidRPr="00EA2DA7">
              <w:rPr>
                <w:rFonts w:ascii="Book Antiqua" w:eastAsia="Book Antiqua" w:hAnsi="Book Antiqua" w:cs="Book Antiqua"/>
              </w:rPr>
              <w:t>0)</w:t>
            </w:r>
          </w:p>
        </w:tc>
        <w:tc>
          <w:tcPr>
            <w:tcW w:w="2096" w:type="dxa"/>
            <w:tcBorders>
              <w:top w:val="nil"/>
              <w:bottom w:val="nil"/>
            </w:tcBorders>
            <w:shd w:val="clear" w:color="auto" w:fill="auto"/>
            <w:vAlign w:val="center"/>
          </w:tcPr>
          <w:p w14:paraId="39742465" w14:textId="7216EA96"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32.5</w:t>
            </w:r>
            <w:r w:rsidR="00D17F47">
              <w:rPr>
                <w:rFonts w:ascii="Book Antiqua" w:eastAsia="Book Antiqua" w:hAnsi="Book Antiqua" w:cs="Book Antiqua"/>
              </w:rPr>
              <w:t>0</w:t>
            </w:r>
            <w:r w:rsidRPr="00EA2DA7">
              <w:rPr>
                <w:rFonts w:ascii="Book Antiqua" w:eastAsia="Book Antiqua" w:hAnsi="Book Antiqua" w:cs="Book Antiqua"/>
              </w:rPr>
              <w:t xml:space="preserve"> (18.25-66.</w:t>
            </w:r>
            <w:r w:rsidR="00D17F47">
              <w:rPr>
                <w:rFonts w:ascii="Book Antiqua" w:eastAsia="Book Antiqua" w:hAnsi="Book Antiqua" w:cs="Book Antiqua"/>
              </w:rPr>
              <w:t>0</w:t>
            </w:r>
            <w:r w:rsidRPr="00EA2DA7">
              <w:rPr>
                <w:rFonts w:ascii="Book Antiqua" w:eastAsia="Book Antiqua" w:hAnsi="Book Antiqua" w:cs="Book Antiqua"/>
              </w:rPr>
              <w:t>0)</w:t>
            </w:r>
          </w:p>
        </w:tc>
        <w:tc>
          <w:tcPr>
            <w:tcW w:w="1256" w:type="dxa"/>
            <w:tcBorders>
              <w:top w:val="nil"/>
              <w:bottom w:val="nil"/>
            </w:tcBorders>
            <w:shd w:val="clear" w:color="auto" w:fill="auto"/>
            <w:vAlign w:val="center"/>
          </w:tcPr>
          <w:p w14:paraId="37A503D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0.001</w:t>
            </w:r>
          </w:p>
        </w:tc>
        <w:tc>
          <w:tcPr>
            <w:tcW w:w="1815" w:type="dxa"/>
            <w:tcBorders>
              <w:top w:val="nil"/>
              <w:bottom w:val="nil"/>
            </w:tcBorders>
            <w:shd w:val="clear" w:color="auto" w:fill="auto"/>
            <w:vAlign w:val="center"/>
          </w:tcPr>
          <w:p w14:paraId="509238EF" w14:textId="1CB9372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59.0</w:t>
            </w:r>
            <w:r w:rsidR="00D17F47">
              <w:rPr>
                <w:rFonts w:ascii="Book Antiqua" w:eastAsia="Book Antiqua" w:hAnsi="Book Antiqua" w:cs="Book Antiqua"/>
              </w:rPr>
              <w:t>0</w:t>
            </w:r>
            <w:r w:rsidRPr="00EA2DA7">
              <w:rPr>
                <w:rFonts w:ascii="Book Antiqua" w:eastAsia="Book Antiqua" w:hAnsi="Book Antiqua" w:cs="Book Antiqua"/>
              </w:rPr>
              <w:t xml:space="preserve"> (26.5</w:t>
            </w:r>
            <w:r w:rsidR="00D17F47">
              <w:rPr>
                <w:rFonts w:ascii="Book Antiqua" w:eastAsia="Book Antiqua" w:hAnsi="Book Antiqua" w:cs="Book Antiqua"/>
              </w:rPr>
              <w:t>0</w:t>
            </w:r>
            <w:r w:rsidRPr="00EA2DA7">
              <w:rPr>
                <w:rFonts w:ascii="Book Antiqua" w:eastAsia="Book Antiqua" w:hAnsi="Book Antiqua" w:cs="Book Antiqua"/>
              </w:rPr>
              <w:t>-135.</w:t>
            </w:r>
            <w:r w:rsidR="00D17F47">
              <w:rPr>
                <w:rFonts w:ascii="Book Antiqua" w:eastAsia="Book Antiqua" w:hAnsi="Book Antiqua" w:cs="Book Antiqua"/>
              </w:rPr>
              <w:t>0</w:t>
            </w:r>
            <w:r w:rsidRPr="00EA2DA7">
              <w:rPr>
                <w:rFonts w:ascii="Book Antiqua" w:eastAsia="Book Antiqua" w:hAnsi="Book Antiqua" w:cs="Book Antiqua"/>
              </w:rPr>
              <w:t>0)</w:t>
            </w:r>
          </w:p>
        </w:tc>
        <w:tc>
          <w:tcPr>
            <w:tcW w:w="1815" w:type="dxa"/>
            <w:tcBorders>
              <w:top w:val="nil"/>
              <w:bottom w:val="nil"/>
            </w:tcBorders>
            <w:shd w:val="clear" w:color="auto" w:fill="auto"/>
            <w:vAlign w:val="center"/>
          </w:tcPr>
          <w:p w14:paraId="149F0823" w14:textId="1849A64D"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36.</w:t>
            </w:r>
            <w:r w:rsidR="00D17F47">
              <w:rPr>
                <w:rFonts w:ascii="Book Antiqua" w:eastAsia="Book Antiqua" w:hAnsi="Book Antiqua" w:cs="Book Antiqua"/>
              </w:rPr>
              <w:t>0</w:t>
            </w:r>
            <w:r w:rsidRPr="00EA2DA7">
              <w:rPr>
                <w:rFonts w:ascii="Book Antiqua" w:eastAsia="Book Antiqua" w:hAnsi="Book Antiqua" w:cs="Book Antiqua"/>
              </w:rPr>
              <w:t>0 (16.</w:t>
            </w:r>
            <w:r w:rsidR="00D17F47">
              <w:rPr>
                <w:rFonts w:ascii="Book Antiqua" w:eastAsia="Book Antiqua" w:hAnsi="Book Antiqua" w:cs="Book Antiqua"/>
              </w:rPr>
              <w:t>0</w:t>
            </w:r>
            <w:r w:rsidRPr="00EA2DA7">
              <w:rPr>
                <w:rFonts w:ascii="Book Antiqua" w:eastAsia="Book Antiqua" w:hAnsi="Book Antiqua" w:cs="Book Antiqua"/>
              </w:rPr>
              <w:t>0</w:t>
            </w:r>
            <w:r w:rsidR="00D17F47">
              <w:rPr>
                <w:rFonts w:ascii="Book Antiqua" w:eastAsia="Book Antiqua" w:hAnsi="Book Antiqua" w:cs="Book Antiqua"/>
              </w:rPr>
              <w:t>-</w:t>
            </w:r>
            <w:r w:rsidRPr="00EA2DA7">
              <w:rPr>
                <w:rFonts w:ascii="Book Antiqua" w:eastAsia="Book Antiqua" w:hAnsi="Book Antiqua" w:cs="Book Antiqua"/>
              </w:rPr>
              <w:t>104.0</w:t>
            </w:r>
            <w:r w:rsidR="00D17F47">
              <w:rPr>
                <w:rFonts w:ascii="Book Antiqua" w:eastAsia="Book Antiqua" w:hAnsi="Book Antiqua" w:cs="Book Antiqua"/>
              </w:rPr>
              <w:t>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3407DBF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0.035</w:t>
            </w:r>
          </w:p>
        </w:tc>
        <w:tc>
          <w:tcPr>
            <w:tcW w:w="1062" w:type="dxa"/>
            <w:tcBorders>
              <w:top w:val="nil"/>
              <w:bottom w:val="nil"/>
            </w:tcBorders>
            <w:shd w:val="clear" w:color="auto" w:fill="auto"/>
            <w:vAlign w:val="center"/>
          </w:tcPr>
          <w:p w14:paraId="2C8F585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0.673</w:t>
            </w:r>
          </w:p>
        </w:tc>
      </w:tr>
      <w:tr w:rsidR="00053734" w:rsidRPr="00EA2DA7" w14:paraId="08184F35" w14:textId="77777777">
        <w:trPr>
          <w:trHeight w:val="276"/>
          <w:jc w:val="center"/>
        </w:trPr>
        <w:tc>
          <w:tcPr>
            <w:tcW w:w="2115" w:type="dxa"/>
            <w:tcBorders>
              <w:top w:val="nil"/>
              <w:bottom w:val="nil"/>
            </w:tcBorders>
            <w:shd w:val="clear" w:color="auto" w:fill="auto"/>
            <w:vAlign w:val="center"/>
          </w:tcPr>
          <w:p w14:paraId="6E554B6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Serum bilirubin</w:t>
            </w:r>
          </w:p>
        </w:tc>
        <w:tc>
          <w:tcPr>
            <w:tcW w:w="2231" w:type="dxa"/>
            <w:tcBorders>
              <w:top w:val="nil"/>
              <w:bottom w:val="nil"/>
            </w:tcBorders>
            <w:shd w:val="clear" w:color="auto" w:fill="auto"/>
            <w:vAlign w:val="center"/>
          </w:tcPr>
          <w:p w14:paraId="593B588E" w14:textId="5A60C9A9"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15.0</w:t>
            </w:r>
            <w:r w:rsidR="00D17F47">
              <w:rPr>
                <w:rFonts w:ascii="Book Antiqua" w:eastAsia="Book Antiqua" w:hAnsi="Book Antiqua" w:cs="Book Antiqua"/>
              </w:rPr>
              <w:t>0</w:t>
            </w:r>
            <w:r w:rsidRPr="00EA2DA7">
              <w:rPr>
                <w:rFonts w:ascii="Book Antiqua" w:eastAsia="Book Antiqua" w:hAnsi="Book Antiqua" w:cs="Book Antiqua"/>
              </w:rPr>
              <w:t xml:space="preserve"> (5.32-27.5</w:t>
            </w:r>
            <w:r w:rsidR="00D17F47">
              <w:rPr>
                <w:rFonts w:ascii="Book Antiqua" w:eastAsia="Book Antiqua" w:hAnsi="Book Antiqua" w:cs="Book Antiqua"/>
              </w:rPr>
              <w:t>0</w:t>
            </w:r>
            <w:r w:rsidRPr="00EA2DA7">
              <w:rPr>
                <w:rFonts w:ascii="Book Antiqua" w:eastAsia="Book Antiqua" w:hAnsi="Book Antiqua" w:cs="Book Antiqua"/>
              </w:rPr>
              <w:t>)</w:t>
            </w:r>
          </w:p>
        </w:tc>
        <w:tc>
          <w:tcPr>
            <w:tcW w:w="2096" w:type="dxa"/>
            <w:tcBorders>
              <w:top w:val="nil"/>
              <w:bottom w:val="nil"/>
            </w:tcBorders>
            <w:shd w:val="clear" w:color="auto" w:fill="auto"/>
            <w:vAlign w:val="center"/>
          </w:tcPr>
          <w:p w14:paraId="54C13632" w14:textId="4E2535C1"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3.92 (1.10-12.8</w:t>
            </w:r>
            <w:r w:rsidR="00D17F47">
              <w:rPr>
                <w:rFonts w:ascii="Book Antiqua" w:eastAsia="Book Antiqua" w:hAnsi="Book Antiqua" w:cs="Book Antiqua"/>
              </w:rPr>
              <w:t>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13490A9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7428D278" w14:textId="0CD0BAD9"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18.3</w:t>
            </w:r>
            <w:r w:rsidR="00D17F47">
              <w:rPr>
                <w:rFonts w:ascii="Book Antiqua" w:eastAsia="Book Antiqua" w:hAnsi="Book Antiqua" w:cs="Book Antiqua"/>
              </w:rPr>
              <w:t>0</w:t>
            </w:r>
            <w:r w:rsidRPr="00EA2DA7">
              <w:rPr>
                <w:rFonts w:ascii="Book Antiqua" w:eastAsia="Book Antiqua" w:hAnsi="Book Antiqua" w:cs="Book Antiqua"/>
              </w:rPr>
              <w:t xml:space="preserve"> (6.75-25.3</w:t>
            </w:r>
            <w:r w:rsidR="00D17F47">
              <w:rPr>
                <w:rFonts w:ascii="Book Antiqua" w:eastAsia="Book Antiqua" w:hAnsi="Book Antiqua" w:cs="Book Antiqua"/>
              </w:rPr>
              <w:t>0</w:t>
            </w:r>
            <w:r w:rsidRPr="00EA2DA7">
              <w:rPr>
                <w:rFonts w:ascii="Book Antiqua" w:eastAsia="Book Antiqua" w:hAnsi="Book Antiqua" w:cs="Book Antiqua"/>
              </w:rPr>
              <w:t>)</w:t>
            </w:r>
          </w:p>
        </w:tc>
        <w:tc>
          <w:tcPr>
            <w:tcW w:w="1815" w:type="dxa"/>
            <w:tcBorders>
              <w:top w:val="nil"/>
              <w:bottom w:val="nil"/>
            </w:tcBorders>
            <w:shd w:val="clear" w:color="auto" w:fill="auto"/>
            <w:vAlign w:val="center"/>
          </w:tcPr>
          <w:p w14:paraId="5D1F3097" w14:textId="20F0000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2.3</w:t>
            </w:r>
            <w:r w:rsidR="00D17F47">
              <w:rPr>
                <w:rFonts w:ascii="Book Antiqua" w:eastAsia="Book Antiqua" w:hAnsi="Book Antiqua" w:cs="Book Antiqua"/>
              </w:rPr>
              <w:t>0</w:t>
            </w:r>
            <w:r w:rsidRPr="00EA2DA7">
              <w:rPr>
                <w:rFonts w:ascii="Book Antiqua" w:eastAsia="Book Antiqua" w:hAnsi="Book Antiqua" w:cs="Book Antiqua"/>
              </w:rPr>
              <w:t xml:space="preserve"> (1.17-23.3</w:t>
            </w:r>
            <w:r w:rsidR="00D17F47">
              <w:rPr>
                <w:rFonts w:ascii="Book Antiqua" w:eastAsia="Book Antiqua" w:hAnsi="Book Antiqua" w:cs="Book Antiqua"/>
              </w:rPr>
              <w:t>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1097F96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0.003</w:t>
            </w:r>
          </w:p>
        </w:tc>
        <w:tc>
          <w:tcPr>
            <w:tcW w:w="1062" w:type="dxa"/>
            <w:tcBorders>
              <w:top w:val="nil"/>
              <w:bottom w:val="nil"/>
            </w:tcBorders>
            <w:shd w:val="clear" w:color="auto" w:fill="auto"/>
            <w:vAlign w:val="center"/>
          </w:tcPr>
          <w:p w14:paraId="3146E6F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0.779</w:t>
            </w:r>
          </w:p>
        </w:tc>
      </w:tr>
      <w:tr w:rsidR="00053734" w:rsidRPr="00EA2DA7" w14:paraId="6937EEA1" w14:textId="77777777">
        <w:trPr>
          <w:trHeight w:val="982"/>
          <w:jc w:val="center"/>
        </w:trPr>
        <w:tc>
          <w:tcPr>
            <w:tcW w:w="2115" w:type="dxa"/>
            <w:tcBorders>
              <w:top w:val="nil"/>
              <w:bottom w:val="nil"/>
            </w:tcBorders>
            <w:shd w:val="clear" w:color="auto" w:fill="auto"/>
            <w:vAlign w:val="center"/>
          </w:tcPr>
          <w:p w14:paraId="27A348D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Cholinesterase (U/L)</w:t>
            </w:r>
          </w:p>
        </w:tc>
        <w:tc>
          <w:tcPr>
            <w:tcW w:w="2231" w:type="dxa"/>
            <w:tcBorders>
              <w:top w:val="nil"/>
              <w:bottom w:val="nil"/>
            </w:tcBorders>
            <w:shd w:val="clear" w:color="auto" w:fill="auto"/>
            <w:vAlign w:val="center"/>
          </w:tcPr>
          <w:p w14:paraId="3E2D6C57" w14:textId="3F5E8FB7"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1963.0</w:t>
            </w:r>
            <w:r w:rsidR="00D17F47">
              <w:rPr>
                <w:rFonts w:ascii="Book Antiqua" w:eastAsia="Book Antiqua" w:hAnsi="Book Antiqua" w:cs="Book Antiqua"/>
              </w:rPr>
              <w:t>0</w:t>
            </w:r>
            <w:r w:rsidRPr="00EA2DA7">
              <w:rPr>
                <w:rFonts w:ascii="Book Antiqua" w:eastAsia="Book Antiqua" w:hAnsi="Book Antiqua" w:cs="Book Antiqua"/>
              </w:rPr>
              <w:t xml:space="preserve"> (1399.</w:t>
            </w:r>
            <w:r w:rsidR="00D17F47">
              <w:rPr>
                <w:rFonts w:ascii="Book Antiqua" w:eastAsia="Book Antiqua" w:hAnsi="Book Antiqua" w:cs="Book Antiqua"/>
              </w:rPr>
              <w:t>0</w:t>
            </w:r>
            <w:r w:rsidRPr="00EA2DA7">
              <w:rPr>
                <w:rFonts w:ascii="Book Antiqua" w:eastAsia="Book Antiqua" w:hAnsi="Book Antiqua" w:cs="Book Antiqua"/>
              </w:rPr>
              <w:t>0-2559.</w:t>
            </w:r>
            <w:r w:rsidR="00D17F47">
              <w:rPr>
                <w:rFonts w:ascii="Book Antiqua" w:eastAsia="Book Antiqua" w:hAnsi="Book Antiqua" w:cs="Book Antiqua"/>
              </w:rPr>
              <w:t>0</w:t>
            </w:r>
            <w:r w:rsidRPr="00EA2DA7">
              <w:rPr>
                <w:rFonts w:ascii="Book Antiqua" w:eastAsia="Book Antiqua" w:hAnsi="Book Antiqua" w:cs="Book Antiqua"/>
              </w:rPr>
              <w:t>0)</w:t>
            </w:r>
          </w:p>
        </w:tc>
        <w:tc>
          <w:tcPr>
            <w:tcW w:w="2096" w:type="dxa"/>
            <w:tcBorders>
              <w:top w:val="nil"/>
              <w:bottom w:val="nil"/>
            </w:tcBorders>
            <w:shd w:val="clear" w:color="auto" w:fill="auto"/>
            <w:vAlign w:val="center"/>
          </w:tcPr>
          <w:p w14:paraId="6FA22D74" w14:textId="22A130BD"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2264.</w:t>
            </w:r>
            <w:r w:rsidR="00D17F47">
              <w:rPr>
                <w:rFonts w:ascii="Book Antiqua" w:eastAsia="Book Antiqua" w:hAnsi="Book Antiqua" w:cs="Book Antiqua"/>
              </w:rPr>
              <w:t>0</w:t>
            </w:r>
            <w:r w:rsidRPr="00EA2DA7">
              <w:rPr>
                <w:rFonts w:ascii="Book Antiqua" w:eastAsia="Book Antiqua" w:hAnsi="Book Antiqua" w:cs="Book Antiqua"/>
              </w:rPr>
              <w:t>0 (1410.5</w:t>
            </w:r>
            <w:r w:rsidR="00D17F47">
              <w:rPr>
                <w:rFonts w:ascii="Book Antiqua" w:eastAsia="Book Antiqua" w:hAnsi="Book Antiqua" w:cs="Book Antiqua"/>
              </w:rPr>
              <w:t>0</w:t>
            </w:r>
            <w:r w:rsidRPr="00EA2DA7">
              <w:rPr>
                <w:rFonts w:ascii="Book Antiqua" w:eastAsia="Book Antiqua" w:hAnsi="Book Antiqua" w:cs="Book Antiqua"/>
              </w:rPr>
              <w:t>-3081.5</w:t>
            </w:r>
            <w:r w:rsidR="00D17F47">
              <w:rPr>
                <w:rFonts w:ascii="Book Antiqua" w:eastAsia="Book Antiqua" w:hAnsi="Book Antiqua" w:cs="Book Antiqua"/>
              </w:rPr>
              <w:t>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3BB6B1E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0.197</w:t>
            </w:r>
          </w:p>
        </w:tc>
        <w:tc>
          <w:tcPr>
            <w:tcW w:w="1815" w:type="dxa"/>
            <w:tcBorders>
              <w:top w:val="nil"/>
              <w:bottom w:val="nil"/>
            </w:tcBorders>
            <w:shd w:val="clear" w:color="auto" w:fill="auto"/>
            <w:vAlign w:val="center"/>
          </w:tcPr>
          <w:p w14:paraId="6AD3C102" w14:textId="1120EB49"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1937.5</w:t>
            </w:r>
            <w:r w:rsidR="00D17F47">
              <w:rPr>
                <w:rFonts w:ascii="Book Antiqua" w:eastAsia="Book Antiqua" w:hAnsi="Book Antiqua" w:cs="Book Antiqua"/>
              </w:rPr>
              <w:t>0</w:t>
            </w:r>
            <w:r w:rsidRPr="00EA2DA7">
              <w:rPr>
                <w:rFonts w:ascii="Book Antiqua" w:eastAsia="Book Antiqua" w:hAnsi="Book Antiqua" w:cs="Book Antiqua"/>
              </w:rPr>
              <w:t xml:space="preserve"> (1585.75-2637.2</w:t>
            </w:r>
            <w:r w:rsidR="00D17F47">
              <w:rPr>
                <w:rFonts w:ascii="Book Antiqua" w:eastAsia="Book Antiqua" w:hAnsi="Book Antiqua" w:cs="Book Antiqua"/>
              </w:rPr>
              <w:t>0</w:t>
            </w:r>
            <w:r w:rsidRPr="00EA2DA7">
              <w:rPr>
                <w:rFonts w:ascii="Book Antiqua" w:eastAsia="Book Antiqua" w:hAnsi="Book Antiqua" w:cs="Book Antiqua"/>
              </w:rPr>
              <w:t>)</w:t>
            </w:r>
          </w:p>
        </w:tc>
        <w:tc>
          <w:tcPr>
            <w:tcW w:w="1815" w:type="dxa"/>
            <w:tcBorders>
              <w:top w:val="nil"/>
              <w:bottom w:val="nil"/>
            </w:tcBorders>
            <w:shd w:val="clear" w:color="auto" w:fill="auto"/>
            <w:vAlign w:val="center"/>
          </w:tcPr>
          <w:p w14:paraId="58A05E9D" w14:textId="19B80721" w:rsidR="00053734" w:rsidRPr="00EA2DA7" w:rsidRDefault="00721F08" w:rsidP="00EA2DA7">
            <w:pPr>
              <w:spacing w:line="360" w:lineRule="auto"/>
              <w:ind w:left="120" w:hanging="120"/>
              <w:jc w:val="both"/>
              <w:rPr>
                <w:rFonts w:ascii="Book Antiqua" w:eastAsia="Book Antiqua" w:hAnsi="Book Antiqua" w:cs="Book Antiqua"/>
              </w:rPr>
            </w:pPr>
            <w:r w:rsidRPr="00EA2DA7">
              <w:rPr>
                <w:rFonts w:ascii="Book Antiqua" w:eastAsia="Book Antiqua" w:hAnsi="Book Antiqua" w:cs="Book Antiqua"/>
              </w:rPr>
              <w:t>2376.0</w:t>
            </w:r>
            <w:r w:rsidR="00D17F47">
              <w:rPr>
                <w:rFonts w:ascii="Book Antiqua" w:eastAsia="Book Antiqua" w:hAnsi="Book Antiqua" w:cs="Book Antiqua"/>
              </w:rPr>
              <w:t>0</w:t>
            </w:r>
            <w:r w:rsidRPr="00EA2DA7">
              <w:rPr>
                <w:rFonts w:ascii="Book Antiqua" w:eastAsia="Book Antiqua" w:hAnsi="Book Antiqua" w:cs="Book Antiqua"/>
              </w:rPr>
              <w:t xml:space="preserve"> (1716.0</w:t>
            </w:r>
            <w:r w:rsidR="00D17F47">
              <w:rPr>
                <w:rFonts w:ascii="Book Antiqua" w:eastAsia="Book Antiqua" w:hAnsi="Book Antiqua" w:cs="Book Antiqua"/>
              </w:rPr>
              <w:t>0</w:t>
            </w:r>
            <w:r w:rsidRPr="00EA2DA7">
              <w:rPr>
                <w:rFonts w:ascii="Book Antiqua" w:eastAsia="Book Antiqua" w:hAnsi="Book Antiqua" w:cs="Book Antiqua"/>
              </w:rPr>
              <w:t>-3903.0</w:t>
            </w:r>
            <w:r w:rsidR="00D17F47">
              <w:rPr>
                <w:rFonts w:ascii="Book Antiqua" w:eastAsia="Book Antiqua" w:hAnsi="Book Antiqua" w:cs="Book Antiqua"/>
              </w:rPr>
              <w:t>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1B5A94A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0.152</w:t>
            </w:r>
          </w:p>
        </w:tc>
        <w:tc>
          <w:tcPr>
            <w:tcW w:w="1062" w:type="dxa"/>
            <w:tcBorders>
              <w:top w:val="nil"/>
              <w:bottom w:val="nil"/>
            </w:tcBorders>
            <w:shd w:val="clear" w:color="auto" w:fill="auto"/>
            <w:vAlign w:val="center"/>
          </w:tcPr>
          <w:p w14:paraId="7D05F93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0.198</w:t>
            </w:r>
          </w:p>
        </w:tc>
      </w:tr>
      <w:tr w:rsidR="00053734" w:rsidRPr="00EA2DA7" w14:paraId="31812D37" w14:textId="77777777">
        <w:trPr>
          <w:trHeight w:val="276"/>
          <w:jc w:val="center"/>
        </w:trPr>
        <w:tc>
          <w:tcPr>
            <w:tcW w:w="2115" w:type="dxa"/>
            <w:tcBorders>
              <w:top w:val="nil"/>
              <w:bottom w:val="nil"/>
            </w:tcBorders>
            <w:shd w:val="clear" w:color="auto" w:fill="auto"/>
            <w:vAlign w:val="center"/>
          </w:tcPr>
          <w:p w14:paraId="21CA835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Creatinine (mg/dL)</w:t>
            </w:r>
          </w:p>
        </w:tc>
        <w:tc>
          <w:tcPr>
            <w:tcW w:w="2231" w:type="dxa"/>
            <w:tcBorders>
              <w:top w:val="nil"/>
              <w:bottom w:val="nil"/>
            </w:tcBorders>
            <w:shd w:val="clear" w:color="auto" w:fill="auto"/>
            <w:vAlign w:val="center"/>
          </w:tcPr>
          <w:p w14:paraId="711E3756" w14:textId="5AFB055F"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1.6</w:t>
            </w:r>
            <w:r w:rsidR="00D17F47">
              <w:rPr>
                <w:rFonts w:ascii="Book Antiqua" w:eastAsia="Book Antiqua" w:hAnsi="Book Antiqua" w:cs="Book Antiqua"/>
              </w:rPr>
              <w:t>0</w:t>
            </w:r>
            <w:r w:rsidRPr="00EA2DA7">
              <w:rPr>
                <w:rFonts w:ascii="Book Antiqua" w:eastAsia="Book Antiqua" w:hAnsi="Book Antiqua" w:cs="Book Antiqua"/>
              </w:rPr>
              <w:t xml:space="preserve"> (0.92-2.7</w:t>
            </w:r>
            <w:r w:rsidR="00D17F47">
              <w:rPr>
                <w:rFonts w:ascii="Book Antiqua" w:eastAsia="Book Antiqua" w:hAnsi="Book Antiqua" w:cs="Book Antiqua"/>
              </w:rPr>
              <w:t>0</w:t>
            </w:r>
            <w:r w:rsidRPr="00EA2DA7">
              <w:rPr>
                <w:rFonts w:ascii="Book Antiqua" w:eastAsia="Book Antiqua" w:hAnsi="Book Antiqua" w:cs="Book Antiqua"/>
              </w:rPr>
              <w:t>)</w:t>
            </w:r>
          </w:p>
        </w:tc>
        <w:tc>
          <w:tcPr>
            <w:tcW w:w="2096" w:type="dxa"/>
            <w:tcBorders>
              <w:top w:val="nil"/>
              <w:bottom w:val="nil"/>
            </w:tcBorders>
            <w:shd w:val="clear" w:color="auto" w:fill="auto"/>
            <w:vAlign w:val="center"/>
          </w:tcPr>
          <w:p w14:paraId="2F3DD30F" w14:textId="6B09E16E"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1.84 (1.14-2.8</w:t>
            </w:r>
            <w:r w:rsidR="00D17F47">
              <w:rPr>
                <w:rFonts w:ascii="Book Antiqua" w:eastAsia="Book Antiqua" w:hAnsi="Book Antiqua" w:cs="Book Antiqua"/>
              </w:rPr>
              <w:t>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71D6A0D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0.206</w:t>
            </w:r>
          </w:p>
        </w:tc>
        <w:tc>
          <w:tcPr>
            <w:tcW w:w="1815" w:type="dxa"/>
            <w:tcBorders>
              <w:top w:val="nil"/>
              <w:bottom w:val="nil"/>
            </w:tcBorders>
            <w:shd w:val="clear" w:color="auto" w:fill="auto"/>
            <w:vAlign w:val="center"/>
          </w:tcPr>
          <w:p w14:paraId="51E45ED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1.43 (0.85-2.20)</w:t>
            </w:r>
          </w:p>
        </w:tc>
        <w:tc>
          <w:tcPr>
            <w:tcW w:w="1815" w:type="dxa"/>
            <w:tcBorders>
              <w:top w:val="nil"/>
              <w:bottom w:val="nil"/>
            </w:tcBorders>
            <w:shd w:val="clear" w:color="auto" w:fill="auto"/>
            <w:vAlign w:val="center"/>
          </w:tcPr>
          <w:p w14:paraId="41186F0C" w14:textId="0CC1304A"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2.1</w:t>
            </w:r>
            <w:r w:rsidR="00D17F47">
              <w:rPr>
                <w:rFonts w:ascii="Book Antiqua" w:eastAsia="Book Antiqua" w:hAnsi="Book Antiqua" w:cs="Book Antiqua"/>
              </w:rPr>
              <w:t>0</w:t>
            </w:r>
            <w:r w:rsidRPr="00EA2DA7">
              <w:rPr>
                <w:rFonts w:ascii="Book Antiqua" w:eastAsia="Book Antiqua" w:hAnsi="Book Antiqua" w:cs="Book Antiqua"/>
              </w:rPr>
              <w:t xml:space="preserve"> (1.1</w:t>
            </w:r>
            <w:r w:rsidR="00D17F47">
              <w:rPr>
                <w:rFonts w:ascii="Book Antiqua" w:eastAsia="Book Antiqua" w:hAnsi="Book Antiqua" w:cs="Book Antiqua"/>
              </w:rPr>
              <w:t>0</w:t>
            </w:r>
            <w:r w:rsidRPr="00EA2DA7">
              <w:rPr>
                <w:rFonts w:ascii="Book Antiqua" w:eastAsia="Book Antiqua" w:hAnsi="Book Antiqua" w:cs="Book Antiqua"/>
              </w:rPr>
              <w:t>-2.9</w:t>
            </w:r>
            <w:r w:rsidR="00D17F47">
              <w:rPr>
                <w:rFonts w:ascii="Book Antiqua" w:eastAsia="Book Antiqua" w:hAnsi="Book Antiqua" w:cs="Book Antiqua"/>
              </w:rPr>
              <w:t>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6168F7A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0.046</w:t>
            </w:r>
          </w:p>
        </w:tc>
        <w:tc>
          <w:tcPr>
            <w:tcW w:w="1062" w:type="dxa"/>
            <w:tcBorders>
              <w:top w:val="nil"/>
              <w:bottom w:val="nil"/>
            </w:tcBorders>
            <w:shd w:val="clear" w:color="auto" w:fill="auto"/>
            <w:vAlign w:val="center"/>
          </w:tcPr>
          <w:p w14:paraId="12F08DE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0.291</w:t>
            </w:r>
          </w:p>
        </w:tc>
      </w:tr>
      <w:tr w:rsidR="00053734" w:rsidRPr="00EA2DA7" w14:paraId="4B27D543" w14:textId="77777777">
        <w:trPr>
          <w:trHeight w:val="276"/>
          <w:jc w:val="center"/>
        </w:trPr>
        <w:tc>
          <w:tcPr>
            <w:tcW w:w="2115" w:type="dxa"/>
            <w:tcBorders>
              <w:top w:val="nil"/>
              <w:bottom w:val="nil"/>
            </w:tcBorders>
            <w:shd w:val="clear" w:color="auto" w:fill="auto"/>
            <w:vAlign w:val="center"/>
          </w:tcPr>
          <w:p w14:paraId="43B05D5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Sodium (mmol/L)</w:t>
            </w:r>
          </w:p>
        </w:tc>
        <w:tc>
          <w:tcPr>
            <w:tcW w:w="2231" w:type="dxa"/>
            <w:tcBorders>
              <w:top w:val="nil"/>
              <w:bottom w:val="nil"/>
            </w:tcBorders>
            <w:shd w:val="clear" w:color="auto" w:fill="auto"/>
            <w:vAlign w:val="center"/>
          </w:tcPr>
          <w:p w14:paraId="5FF99B9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133.74 ± 6.79</w:t>
            </w:r>
          </w:p>
        </w:tc>
        <w:tc>
          <w:tcPr>
            <w:tcW w:w="2096" w:type="dxa"/>
            <w:tcBorders>
              <w:top w:val="nil"/>
              <w:bottom w:val="nil"/>
            </w:tcBorders>
            <w:shd w:val="clear" w:color="auto" w:fill="auto"/>
            <w:vAlign w:val="center"/>
          </w:tcPr>
          <w:p w14:paraId="05D2A03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135.66 ± 6.34</w:t>
            </w:r>
          </w:p>
        </w:tc>
        <w:tc>
          <w:tcPr>
            <w:tcW w:w="1256" w:type="dxa"/>
            <w:tcBorders>
              <w:top w:val="nil"/>
              <w:bottom w:val="nil"/>
            </w:tcBorders>
            <w:shd w:val="clear" w:color="auto" w:fill="auto"/>
            <w:vAlign w:val="center"/>
          </w:tcPr>
          <w:p w14:paraId="7C580AF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0.053</w:t>
            </w:r>
          </w:p>
        </w:tc>
        <w:tc>
          <w:tcPr>
            <w:tcW w:w="1815" w:type="dxa"/>
            <w:tcBorders>
              <w:top w:val="nil"/>
              <w:bottom w:val="nil"/>
            </w:tcBorders>
            <w:shd w:val="clear" w:color="auto" w:fill="auto"/>
            <w:vAlign w:val="center"/>
          </w:tcPr>
          <w:p w14:paraId="58AA2C3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132.88 ± 5.89</w:t>
            </w:r>
          </w:p>
        </w:tc>
        <w:tc>
          <w:tcPr>
            <w:tcW w:w="1815" w:type="dxa"/>
            <w:tcBorders>
              <w:top w:val="nil"/>
              <w:bottom w:val="nil"/>
            </w:tcBorders>
            <w:shd w:val="clear" w:color="auto" w:fill="auto"/>
            <w:vAlign w:val="center"/>
          </w:tcPr>
          <w:p w14:paraId="136EABD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136.02 ± 4.90</w:t>
            </w:r>
          </w:p>
        </w:tc>
        <w:tc>
          <w:tcPr>
            <w:tcW w:w="1116" w:type="dxa"/>
            <w:tcBorders>
              <w:top w:val="nil"/>
              <w:bottom w:val="nil"/>
            </w:tcBorders>
            <w:shd w:val="clear" w:color="auto" w:fill="auto"/>
            <w:vAlign w:val="center"/>
          </w:tcPr>
          <w:p w14:paraId="17C2647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0.009</w:t>
            </w:r>
          </w:p>
        </w:tc>
        <w:tc>
          <w:tcPr>
            <w:tcW w:w="1062" w:type="dxa"/>
            <w:tcBorders>
              <w:top w:val="nil"/>
              <w:bottom w:val="nil"/>
            </w:tcBorders>
            <w:shd w:val="clear" w:color="auto" w:fill="auto"/>
            <w:vAlign w:val="center"/>
          </w:tcPr>
          <w:p w14:paraId="1795068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0.499</w:t>
            </w:r>
          </w:p>
        </w:tc>
      </w:tr>
      <w:tr w:rsidR="00053734" w:rsidRPr="00EA2DA7" w14:paraId="3695A181" w14:textId="77777777">
        <w:trPr>
          <w:trHeight w:val="276"/>
          <w:jc w:val="center"/>
        </w:trPr>
        <w:tc>
          <w:tcPr>
            <w:tcW w:w="2115" w:type="dxa"/>
            <w:tcBorders>
              <w:top w:val="nil"/>
              <w:bottom w:val="nil"/>
            </w:tcBorders>
            <w:shd w:val="clear" w:color="auto" w:fill="auto"/>
            <w:vAlign w:val="center"/>
          </w:tcPr>
          <w:p w14:paraId="522D46F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Potassium (mmol/L)</w:t>
            </w:r>
          </w:p>
        </w:tc>
        <w:tc>
          <w:tcPr>
            <w:tcW w:w="2231" w:type="dxa"/>
            <w:tcBorders>
              <w:top w:val="nil"/>
              <w:bottom w:val="nil"/>
            </w:tcBorders>
            <w:shd w:val="clear" w:color="auto" w:fill="auto"/>
            <w:vAlign w:val="center"/>
          </w:tcPr>
          <w:p w14:paraId="2E08C44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4.35 ± 1.01</w:t>
            </w:r>
          </w:p>
        </w:tc>
        <w:tc>
          <w:tcPr>
            <w:tcW w:w="2096" w:type="dxa"/>
            <w:tcBorders>
              <w:top w:val="nil"/>
              <w:bottom w:val="nil"/>
            </w:tcBorders>
            <w:shd w:val="clear" w:color="auto" w:fill="auto"/>
            <w:vAlign w:val="center"/>
          </w:tcPr>
          <w:p w14:paraId="215EC15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4.18 ± 0.74</w:t>
            </w:r>
          </w:p>
        </w:tc>
        <w:tc>
          <w:tcPr>
            <w:tcW w:w="1256" w:type="dxa"/>
            <w:tcBorders>
              <w:top w:val="nil"/>
              <w:bottom w:val="nil"/>
            </w:tcBorders>
            <w:shd w:val="clear" w:color="auto" w:fill="auto"/>
            <w:vAlign w:val="center"/>
          </w:tcPr>
          <w:p w14:paraId="4B2D0A5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0.217</w:t>
            </w:r>
          </w:p>
        </w:tc>
        <w:tc>
          <w:tcPr>
            <w:tcW w:w="1815" w:type="dxa"/>
            <w:tcBorders>
              <w:top w:val="nil"/>
              <w:bottom w:val="nil"/>
            </w:tcBorders>
            <w:shd w:val="clear" w:color="auto" w:fill="auto"/>
            <w:vAlign w:val="center"/>
          </w:tcPr>
          <w:p w14:paraId="19F37C1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4.16 ± 0.80</w:t>
            </w:r>
          </w:p>
        </w:tc>
        <w:tc>
          <w:tcPr>
            <w:tcW w:w="1815" w:type="dxa"/>
            <w:tcBorders>
              <w:top w:val="nil"/>
              <w:bottom w:val="nil"/>
            </w:tcBorders>
            <w:shd w:val="clear" w:color="auto" w:fill="auto"/>
            <w:vAlign w:val="center"/>
          </w:tcPr>
          <w:p w14:paraId="2CED0E5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4.31 ± 0.65</w:t>
            </w:r>
          </w:p>
        </w:tc>
        <w:tc>
          <w:tcPr>
            <w:tcW w:w="1116" w:type="dxa"/>
            <w:tcBorders>
              <w:top w:val="nil"/>
              <w:bottom w:val="nil"/>
            </w:tcBorders>
            <w:shd w:val="clear" w:color="auto" w:fill="auto"/>
            <w:vAlign w:val="center"/>
          </w:tcPr>
          <w:p w14:paraId="1D4C2D7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0.352</w:t>
            </w:r>
          </w:p>
        </w:tc>
        <w:tc>
          <w:tcPr>
            <w:tcW w:w="1062" w:type="dxa"/>
            <w:tcBorders>
              <w:top w:val="nil"/>
              <w:bottom w:val="nil"/>
            </w:tcBorders>
            <w:shd w:val="clear" w:color="auto" w:fill="auto"/>
            <w:vAlign w:val="center"/>
          </w:tcPr>
          <w:p w14:paraId="0E78425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0.288</w:t>
            </w:r>
          </w:p>
        </w:tc>
      </w:tr>
      <w:tr w:rsidR="00053734" w:rsidRPr="00EA2DA7" w14:paraId="3D4E2916" w14:textId="77777777">
        <w:trPr>
          <w:trHeight w:val="276"/>
          <w:jc w:val="center"/>
        </w:trPr>
        <w:tc>
          <w:tcPr>
            <w:tcW w:w="2115" w:type="dxa"/>
            <w:tcBorders>
              <w:top w:val="nil"/>
              <w:bottom w:val="nil"/>
            </w:tcBorders>
            <w:shd w:val="clear" w:color="auto" w:fill="auto"/>
            <w:vAlign w:val="center"/>
          </w:tcPr>
          <w:p w14:paraId="2561978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Number of failed organs</w:t>
            </w:r>
          </w:p>
        </w:tc>
        <w:tc>
          <w:tcPr>
            <w:tcW w:w="2231" w:type="dxa"/>
            <w:tcBorders>
              <w:top w:val="nil"/>
              <w:bottom w:val="nil"/>
            </w:tcBorders>
            <w:shd w:val="clear" w:color="auto" w:fill="auto"/>
            <w:vAlign w:val="center"/>
          </w:tcPr>
          <w:p w14:paraId="2BFFACDA" w14:textId="240B9B68"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 (0.75-2</w:t>
            </w:r>
            <w:r w:rsidR="00D17F47">
              <w:rPr>
                <w:rFonts w:ascii="Book Antiqua" w:eastAsia="Book Antiqua" w:hAnsi="Book Antiqua" w:cs="Book Antiqua"/>
              </w:rPr>
              <w:t>.00</w:t>
            </w:r>
            <w:r w:rsidRPr="00EA2DA7">
              <w:rPr>
                <w:rFonts w:ascii="Book Antiqua" w:eastAsia="Book Antiqua" w:hAnsi="Book Antiqua" w:cs="Book Antiqua"/>
              </w:rPr>
              <w:t>)</w:t>
            </w:r>
          </w:p>
        </w:tc>
        <w:tc>
          <w:tcPr>
            <w:tcW w:w="2096" w:type="dxa"/>
            <w:tcBorders>
              <w:top w:val="nil"/>
              <w:bottom w:val="nil"/>
            </w:tcBorders>
            <w:shd w:val="clear" w:color="auto" w:fill="auto"/>
            <w:vAlign w:val="center"/>
          </w:tcPr>
          <w:p w14:paraId="0A96FC9E" w14:textId="07000F4B"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 (0-1</w:t>
            </w:r>
            <w:r w:rsidR="00D17F47">
              <w:rPr>
                <w:rFonts w:ascii="Book Antiqua" w:eastAsia="Book Antiqua" w:hAnsi="Book Antiqua" w:cs="Book Antiqua"/>
              </w:rPr>
              <w:t>.00</w:t>
            </w:r>
            <w:r w:rsidRPr="00EA2DA7">
              <w:rPr>
                <w:rFonts w:ascii="Book Antiqua" w:eastAsia="Book Antiqua" w:hAnsi="Book Antiqua" w:cs="Book Antiqua"/>
              </w:rPr>
              <w:t>)</w:t>
            </w:r>
          </w:p>
        </w:tc>
        <w:tc>
          <w:tcPr>
            <w:tcW w:w="1256" w:type="dxa"/>
            <w:tcBorders>
              <w:top w:val="nil"/>
              <w:bottom w:val="nil"/>
            </w:tcBorders>
            <w:shd w:val="clear" w:color="auto" w:fill="auto"/>
            <w:vAlign w:val="center"/>
          </w:tcPr>
          <w:p w14:paraId="5D65EF9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2AA49A65" w14:textId="0E88DEF0"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 (0-2</w:t>
            </w:r>
            <w:r w:rsidR="00D17F47">
              <w:rPr>
                <w:rFonts w:ascii="Book Antiqua" w:eastAsia="Book Antiqua" w:hAnsi="Book Antiqua" w:cs="Book Antiqua"/>
              </w:rPr>
              <w:t>.00</w:t>
            </w:r>
            <w:r w:rsidRPr="00EA2DA7">
              <w:rPr>
                <w:rFonts w:ascii="Book Antiqua" w:eastAsia="Book Antiqua" w:hAnsi="Book Antiqua" w:cs="Book Antiqua"/>
              </w:rPr>
              <w:t>)</w:t>
            </w:r>
          </w:p>
        </w:tc>
        <w:tc>
          <w:tcPr>
            <w:tcW w:w="1815" w:type="dxa"/>
            <w:tcBorders>
              <w:top w:val="nil"/>
              <w:bottom w:val="nil"/>
            </w:tcBorders>
            <w:shd w:val="clear" w:color="auto" w:fill="auto"/>
            <w:vAlign w:val="center"/>
          </w:tcPr>
          <w:p w14:paraId="07C3CCD1" w14:textId="26E4EB4C"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 (0-1</w:t>
            </w:r>
            <w:r w:rsidR="00D17F47">
              <w:rPr>
                <w:rFonts w:ascii="Book Antiqua" w:eastAsia="Book Antiqua" w:hAnsi="Book Antiqua" w:cs="Book Antiqua"/>
              </w:rPr>
              <w:t>.00</w:t>
            </w:r>
            <w:r w:rsidRPr="00EA2DA7">
              <w:rPr>
                <w:rFonts w:ascii="Book Antiqua" w:eastAsia="Book Antiqua" w:hAnsi="Book Antiqua" w:cs="Book Antiqua"/>
              </w:rPr>
              <w:t>)</w:t>
            </w:r>
          </w:p>
        </w:tc>
        <w:tc>
          <w:tcPr>
            <w:tcW w:w="1116" w:type="dxa"/>
            <w:tcBorders>
              <w:top w:val="nil"/>
              <w:bottom w:val="nil"/>
            </w:tcBorders>
            <w:shd w:val="clear" w:color="auto" w:fill="auto"/>
            <w:vAlign w:val="center"/>
          </w:tcPr>
          <w:p w14:paraId="7D952345" w14:textId="77777777" w:rsidR="00053734" w:rsidRPr="00EA2DA7" w:rsidRDefault="00721F08" w:rsidP="00EA2DA7">
            <w:pPr>
              <w:spacing w:line="360" w:lineRule="auto"/>
              <w:ind w:firstLine="315"/>
              <w:jc w:val="both"/>
              <w:rPr>
                <w:rFonts w:ascii="Book Antiqua" w:eastAsia="Book Antiqua" w:hAnsi="Book Antiqua" w:cs="Book Antiqua"/>
              </w:rPr>
            </w:pPr>
            <w:r w:rsidRPr="00EA2DA7">
              <w:rPr>
                <w:rFonts w:ascii="Book Antiqua" w:eastAsia="Book Antiqua" w:hAnsi="Book Antiqua" w:cs="Book Antiqua"/>
              </w:rPr>
              <w:t>&lt; 0.001</w:t>
            </w:r>
          </w:p>
        </w:tc>
        <w:tc>
          <w:tcPr>
            <w:tcW w:w="1062" w:type="dxa"/>
            <w:tcBorders>
              <w:top w:val="nil"/>
              <w:bottom w:val="nil"/>
            </w:tcBorders>
            <w:shd w:val="clear" w:color="auto" w:fill="auto"/>
            <w:vAlign w:val="center"/>
          </w:tcPr>
          <w:p w14:paraId="5D771AD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0.433</w:t>
            </w:r>
          </w:p>
        </w:tc>
      </w:tr>
      <w:tr w:rsidR="00053734" w:rsidRPr="00EA2DA7" w14:paraId="599E99CC" w14:textId="77777777">
        <w:trPr>
          <w:trHeight w:val="276"/>
          <w:jc w:val="center"/>
        </w:trPr>
        <w:tc>
          <w:tcPr>
            <w:tcW w:w="2115" w:type="dxa"/>
            <w:tcBorders>
              <w:top w:val="nil"/>
              <w:bottom w:val="nil"/>
            </w:tcBorders>
            <w:shd w:val="clear" w:color="auto" w:fill="auto"/>
            <w:vAlign w:val="center"/>
          </w:tcPr>
          <w:p w14:paraId="7A8B0F8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lastRenderedPageBreak/>
              <w:t xml:space="preserve">One organ failed </w:t>
            </w:r>
          </w:p>
        </w:tc>
        <w:tc>
          <w:tcPr>
            <w:tcW w:w="2231" w:type="dxa"/>
            <w:tcBorders>
              <w:top w:val="nil"/>
              <w:bottom w:val="nil"/>
            </w:tcBorders>
            <w:shd w:val="clear" w:color="auto" w:fill="auto"/>
            <w:vAlign w:val="center"/>
          </w:tcPr>
          <w:p w14:paraId="43E076E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65 (34.6)</w:t>
            </w:r>
          </w:p>
        </w:tc>
        <w:tc>
          <w:tcPr>
            <w:tcW w:w="2096" w:type="dxa"/>
            <w:tcBorders>
              <w:top w:val="nil"/>
              <w:bottom w:val="nil"/>
            </w:tcBorders>
            <w:shd w:val="clear" w:color="auto" w:fill="auto"/>
            <w:vAlign w:val="center"/>
          </w:tcPr>
          <w:p w14:paraId="153E5E4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19 (31.7)</w:t>
            </w:r>
          </w:p>
        </w:tc>
        <w:tc>
          <w:tcPr>
            <w:tcW w:w="1256" w:type="dxa"/>
            <w:tcBorders>
              <w:top w:val="nil"/>
              <w:bottom w:val="nil"/>
            </w:tcBorders>
            <w:shd w:val="clear" w:color="auto" w:fill="auto"/>
            <w:vAlign w:val="center"/>
          </w:tcPr>
          <w:p w14:paraId="14B4766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0.797</w:t>
            </w:r>
          </w:p>
        </w:tc>
        <w:tc>
          <w:tcPr>
            <w:tcW w:w="1815" w:type="dxa"/>
            <w:tcBorders>
              <w:top w:val="nil"/>
              <w:bottom w:val="nil"/>
            </w:tcBorders>
            <w:shd w:val="clear" w:color="auto" w:fill="auto"/>
            <w:vAlign w:val="center"/>
          </w:tcPr>
          <w:p w14:paraId="6A2F43B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28 (31.1)</w:t>
            </w:r>
          </w:p>
        </w:tc>
        <w:tc>
          <w:tcPr>
            <w:tcW w:w="1815" w:type="dxa"/>
            <w:tcBorders>
              <w:top w:val="nil"/>
              <w:bottom w:val="nil"/>
            </w:tcBorders>
            <w:shd w:val="clear" w:color="auto" w:fill="auto"/>
            <w:vAlign w:val="center"/>
          </w:tcPr>
          <w:p w14:paraId="32462F8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11 (33.3)</w:t>
            </w:r>
          </w:p>
        </w:tc>
        <w:tc>
          <w:tcPr>
            <w:tcW w:w="1116" w:type="dxa"/>
            <w:tcBorders>
              <w:top w:val="nil"/>
              <w:bottom w:val="nil"/>
            </w:tcBorders>
            <w:shd w:val="clear" w:color="auto" w:fill="auto"/>
            <w:vAlign w:val="center"/>
          </w:tcPr>
          <w:p w14:paraId="4999482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0.987</w:t>
            </w:r>
          </w:p>
        </w:tc>
        <w:tc>
          <w:tcPr>
            <w:tcW w:w="1062" w:type="dxa"/>
            <w:tcBorders>
              <w:top w:val="nil"/>
              <w:bottom w:val="nil"/>
            </w:tcBorders>
            <w:shd w:val="clear" w:color="auto" w:fill="auto"/>
            <w:vAlign w:val="center"/>
          </w:tcPr>
          <w:p w14:paraId="18719CF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0.764</w:t>
            </w:r>
          </w:p>
        </w:tc>
      </w:tr>
      <w:tr w:rsidR="00053734" w:rsidRPr="00EA2DA7" w14:paraId="07FD3FA8" w14:textId="77777777">
        <w:trPr>
          <w:trHeight w:val="276"/>
          <w:jc w:val="center"/>
        </w:trPr>
        <w:tc>
          <w:tcPr>
            <w:tcW w:w="2115" w:type="dxa"/>
            <w:tcBorders>
              <w:top w:val="nil"/>
              <w:bottom w:val="nil"/>
            </w:tcBorders>
            <w:shd w:val="clear" w:color="auto" w:fill="auto"/>
            <w:vAlign w:val="center"/>
          </w:tcPr>
          <w:p w14:paraId="347F158E" w14:textId="6804AE03"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Two organ</w:t>
            </w:r>
            <w:r w:rsidR="00170FCB">
              <w:rPr>
                <w:rFonts w:ascii="Book Antiqua" w:eastAsia="Book Antiqua" w:hAnsi="Book Antiqua" w:cs="Book Antiqua"/>
              </w:rPr>
              <w:t>s</w:t>
            </w:r>
            <w:r w:rsidRPr="00EA2DA7">
              <w:rPr>
                <w:rFonts w:ascii="Book Antiqua" w:eastAsia="Book Antiqua" w:hAnsi="Book Antiqua" w:cs="Book Antiqua"/>
              </w:rPr>
              <w:t xml:space="preserve"> failed </w:t>
            </w:r>
          </w:p>
        </w:tc>
        <w:tc>
          <w:tcPr>
            <w:tcW w:w="2231" w:type="dxa"/>
            <w:tcBorders>
              <w:top w:val="nil"/>
              <w:bottom w:val="nil"/>
            </w:tcBorders>
            <w:shd w:val="clear" w:color="auto" w:fill="auto"/>
            <w:vAlign w:val="center"/>
          </w:tcPr>
          <w:p w14:paraId="0A6AB8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50 (26.6)</w:t>
            </w:r>
          </w:p>
        </w:tc>
        <w:tc>
          <w:tcPr>
            <w:tcW w:w="2096" w:type="dxa"/>
            <w:tcBorders>
              <w:top w:val="nil"/>
              <w:bottom w:val="nil"/>
            </w:tcBorders>
            <w:shd w:val="clear" w:color="auto" w:fill="auto"/>
            <w:vAlign w:val="center"/>
          </w:tcPr>
          <w:p w14:paraId="3B30729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 (1.7)</w:t>
            </w:r>
          </w:p>
        </w:tc>
        <w:tc>
          <w:tcPr>
            <w:tcW w:w="1256" w:type="dxa"/>
            <w:tcBorders>
              <w:top w:val="nil"/>
              <w:bottom w:val="nil"/>
            </w:tcBorders>
            <w:shd w:val="clear" w:color="auto" w:fill="auto"/>
            <w:vAlign w:val="center"/>
          </w:tcPr>
          <w:p w14:paraId="4CA9401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140D349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26 (28.9)</w:t>
            </w:r>
          </w:p>
        </w:tc>
        <w:tc>
          <w:tcPr>
            <w:tcW w:w="1815" w:type="dxa"/>
            <w:tcBorders>
              <w:top w:val="nil"/>
              <w:bottom w:val="nil"/>
            </w:tcBorders>
            <w:shd w:val="clear" w:color="auto" w:fill="auto"/>
            <w:vAlign w:val="center"/>
          </w:tcPr>
          <w:p w14:paraId="59A6293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 (9.1)</w:t>
            </w:r>
          </w:p>
        </w:tc>
        <w:tc>
          <w:tcPr>
            <w:tcW w:w="1116" w:type="dxa"/>
            <w:tcBorders>
              <w:top w:val="nil"/>
              <w:bottom w:val="nil"/>
            </w:tcBorders>
            <w:shd w:val="clear" w:color="auto" w:fill="auto"/>
            <w:vAlign w:val="center"/>
          </w:tcPr>
          <w:p w14:paraId="5688FA7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0.040</w:t>
            </w:r>
          </w:p>
        </w:tc>
        <w:tc>
          <w:tcPr>
            <w:tcW w:w="1062" w:type="dxa"/>
            <w:tcBorders>
              <w:top w:val="nil"/>
              <w:bottom w:val="nil"/>
            </w:tcBorders>
            <w:shd w:val="clear" w:color="auto" w:fill="auto"/>
            <w:vAlign w:val="center"/>
          </w:tcPr>
          <w:p w14:paraId="5FFD003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0.596</w:t>
            </w:r>
          </w:p>
        </w:tc>
      </w:tr>
      <w:tr w:rsidR="00053734" w:rsidRPr="00EA2DA7" w14:paraId="7CD34EA7" w14:textId="77777777">
        <w:trPr>
          <w:trHeight w:val="276"/>
          <w:jc w:val="center"/>
        </w:trPr>
        <w:tc>
          <w:tcPr>
            <w:tcW w:w="2115" w:type="dxa"/>
            <w:tcBorders>
              <w:top w:val="nil"/>
              <w:bottom w:val="nil"/>
            </w:tcBorders>
            <w:shd w:val="clear" w:color="auto" w:fill="auto"/>
            <w:vAlign w:val="center"/>
          </w:tcPr>
          <w:p w14:paraId="197FBA12" w14:textId="16949E35"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 Three organ</w:t>
            </w:r>
            <w:r w:rsidR="00170FCB">
              <w:rPr>
                <w:rFonts w:ascii="Book Antiqua" w:eastAsia="Book Antiqua" w:hAnsi="Book Antiqua" w:cs="Book Antiqua"/>
              </w:rPr>
              <w:t>s</w:t>
            </w:r>
            <w:r w:rsidRPr="00EA2DA7">
              <w:rPr>
                <w:rFonts w:ascii="Book Antiqua" w:eastAsia="Book Antiqua" w:hAnsi="Book Antiqua" w:cs="Book Antiqua"/>
              </w:rPr>
              <w:t xml:space="preserve"> failed </w:t>
            </w:r>
          </w:p>
        </w:tc>
        <w:tc>
          <w:tcPr>
            <w:tcW w:w="2231" w:type="dxa"/>
            <w:tcBorders>
              <w:top w:val="nil"/>
              <w:bottom w:val="nil"/>
            </w:tcBorders>
            <w:shd w:val="clear" w:color="auto" w:fill="auto"/>
            <w:vAlign w:val="center"/>
          </w:tcPr>
          <w:p w14:paraId="5411F43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26 (13.8)</w:t>
            </w:r>
          </w:p>
        </w:tc>
        <w:tc>
          <w:tcPr>
            <w:tcW w:w="2096" w:type="dxa"/>
            <w:tcBorders>
              <w:top w:val="nil"/>
              <w:bottom w:val="nil"/>
            </w:tcBorders>
            <w:shd w:val="clear" w:color="auto" w:fill="auto"/>
            <w:vAlign w:val="center"/>
          </w:tcPr>
          <w:p w14:paraId="4FD1E9B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 (1.7)</w:t>
            </w:r>
          </w:p>
        </w:tc>
        <w:tc>
          <w:tcPr>
            <w:tcW w:w="1256" w:type="dxa"/>
            <w:tcBorders>
              <w:top w:val="nil"/>
              <w:bottom w:val="nil"/>
            </w:tcBorders>
            <w:shd w:val="clear" w:color="auto" w:fill="auto"/>
            <w:vAlign w:val="center"/>
          </w:tcPr>
          <w:p w14:paraId="4300239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0.017</w:t>
            </w:r>
          </w:p>
        </w:tc>
        <w:tc>
          <w:tcPr>
            <w:tcW w:w="1815" w:type="dxa"/>
            <w:tcBorders>
              <w:top w:val="nil"/>
              <w:bottom w:val="nil"/>
            </w:tcBorders>
            <w:shd w:val="clear" w:color="auto" w:fill="auto"/>
            <w:vAlign w:val="center"/>
          </w:tcPr>
          <w:p w14:paraId="7762395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 (13.3)</w:t>
            </w:r>
          </w:p>
        </w:tc>
        <w:tc>
          <w:tcPr>
            <w:tcW w:w="1815" w:type="dxa"/>
            <w:tcBorders>
              <w:top w:val="nil"/>
              <w:bottom w:val="nil"/>
            </w:tcBorders>
            <w:shd w:val="clear" w:color="auto" w:fill="auto"/>
            <w:vAlign w:val="center"/>
          </w:tcPr>
          <w:p w14:paraId="0E3E7E2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 (3.0)</w:t>
            </w:r>
          </w:p>
        </w:tc>
        <w:tc>
          <w:tcPr>
            <w:tcW w:w="1116" w:type="dxa"/>
            <w:tcBorders>
              <w:top w:val="nil"/>
              <w:bottom w:val="nil"/>
            </w:tcBorders>
            <w:shd w:val="clear" w:color="auto" w:fill="auto"/>
            <w:vAlign w:val="center"/>
          </w:tcPr>
          <w:p w14:paraId="0E7A2C7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0.188</w:t>
            </w:r>
          </w:p>
        </w:tc>
        <w:tc>
          <w:tcPr>
            <w:tcW w:w="1062" w:type="dxa"/>
            <w:tcBorders>
              <w:top w:val="nil"/>
              <w:bottom w:val="nil"/>
            </w:tcBorders>
            <w:shd w:val="clear" w:color="auto" w:fill="auto"/>
            <w:vAlign w:val="center"/>
          </w:tcPr>
          <w:p w14:paraId="000938C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0.990</w:t>
            </w:r>
          </w:p>
        </w:tc>
      </w:tr>
      <w:tr w:rsidR="00053734" w:rsidRPr="00EA2DA7" w14:paraId="7D18B5B9" w14:textId="77777777">
        <w:trPr>
          <w:trHeight w:val="276"/>
          <w:jc w:val="center"/>
        </w:trPr>
        <w:tc>
          <w:tcPr>
            <w:tcW w:w="2115" w:type="dxa"/>
            <w:tcBorders>
              <w:top w:val="nil"/>
              <w:bottom w:val="nil"/>
            </w:tcBorders>
            <w:shd w:val="clear" w:color="auto" w:fill="auto"/>
            <w:vAlign w:val="center"/>
          </w:tcPr>
          <w:p w14:paraId="517D574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MELD</w:t>
            </w:r>
          </w:p>
        </w:tc>
        <w:tc>
          <w:tcPr>
            <w:tcW w:w="2231" w:type="dxa"/>
            <w:tcBorders>
              <w:top w:val="nil"/>
              <w:bottom w:val="nil"/>
            </w:tcBorders>
            <w:shd w:val="clear" w:color="auto" w:fill="auto"/>
            <w:vAlign w:val="center"/>
          </w:tcPr>
          <w:p w14:paraId="5089202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29.50 ± 9.06</w:t>
            </w:r>
          </w:p>
        </w:tc>
        <w:tc>
          <w:tcPr>
            <w:tcW w:w="2096" w:type="dxa"/>
            <w:tcBorders>
              <w:top w:val="nil"/>
              <w:bottom w:val="nil"/>
            </w:tcBorders>
            <w:shd w:val="clear" w:color="auto" w:fill="auto"/>
            <w:vAlign w:val="center"/>
          </w:tcPr>
          <w:p w14:paraId="37A3FD5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22.97 ± 8.00</w:t>
            </w:r>
          </w:p>
        </w:tc>
        <w:tc>
          <w:tcPr>
            <w:tcW w:w="1256" w:type="dxa"/>
            <w:tcBorders>
              <w:top w:val="nil"/>
              <w:bottom w:val="nil"/>
            </w:tcBorders>
            <w:shd w:val="clear" w:color="auto" w:fill="auto"/>
            <w:vAlign w:val="center"/>
          </w:tcPr>
          <w:p w14:paraId="293BE0A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792566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28.04 ± 8.74</w:t>
            </w:r>
          </w:p>
        </w:tc>
        <w:tc>
          <w:tcPr>
            <w:tcW w:w="1815" w:type="dxa"/>
            <w:tcBorders>
              <w:top w:val="nil"/>
              <w:bottom w:val="nil"/>
            </w:tcBorders>
            <w:shd w:val="clear" w:color="auto" w:fill="auto"/>
            <w:vAlign w:val="center"/>
          </w:tcPr>
          <w:p w14:paraId="2AD5E55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23.46 ± 9.47</w:t>
            </w:r>
          </w:p>
        </w:tc>
        <w:tc>
          <w:tcPr>
            <w:tcW w:w="1116" w:type="dxa"/>
            <w:tcBorders>
              <w:top w:val="nil"/>
              <w:bottom w:val="nil"/>
            </w:tcBorders>
            <w:shd w:val="clear" w:color="auto" w:fill="auto"/>
            <w:vAlign w:val="center"/>
          </w:tcPr>
          <w:p w14:paraId="6ACD154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0.013</w:t>
            </w:r>
          </w:p>
        </w:tc>
        <w:tc>
          <w:tcPr>
            <w:tcW w:w="1062" w:type="dxa"/>
            <w:tcBorders>
              <w:top w:val="nil"/>
              <w:bottom w:val="nil"/>
            </w:tcBorders>
            <w:shd w:val="clear" w:color="auto" w:fill="auto"/>
            <w:vAlign w:val="center"/>
          </w:tcPr>
          <w:p w14:paraId="58B6EFC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0.276</w:t>
            </w:r>
          </w:p>
        </w:tc>
      </w:tr>
      <w:tr w:rsidR="00053734" w:rsidRPr="00EA2DA7" w14:paraId="51744A72" w14:textId="77777777">
        <w:trPr>
          <w:trHeight w:val="276"/>
          <w:jc w:val="center"/>
        </w:trPr>
        <w:tc>
          <w:tcPr>
            <w:tcW w:w="2115" w:type="dxa"/>
            <w:tcBorders>
              <w:top w:val="nil"/>
              <w:bottom w:val="nil"/>
            </w:tcBorders>
            <w:shd w:val="clear" w:color="auto" w:fill="auto"/>
            <w:vAlign w:val="center"/>
          </w:tcPr>
          <w:p w14:paraId="380068A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CLIF-SOFA</w:t>
            </w:r>
          </w:p>
        </w:tc>
        <w:tc>
          <w:tcPr>
            <w:tcW w:w="2231" w:type="dxa"/>
            <w:tcBorders>
              <w:top w:val="nil"/>
              <w:bottom w:val="nil"/>
            </w:tcBorders>
            <w:shd w:val="clear" w:color="auto" w:fill="auto"/>
            <w:vAlign w:val="center"/>
          </w:tcPr>
          <w:p w14:paraId="02BB9E9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10.79 ± 3.29</w:t>
            </w:r>
          </w:p>
        </w:tc>
        <w:tc>
          <w:tcPr>
            <w:tcW w:w="2096" w:type="dxa"/>
            <w:tcBorders>
              <w:top w:val="nil"/>
              <w:bottom w:val="nil"/>
            </w:tcBorders>
            <w:shd w:val="clear" w:color="auto" w:fill="auto"/>
            <w:vAlign w:val="center"/>
          </w:tcPr>
          <w:p w14:paraId="72C0E5F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8.18 ± 3.08</w:t>
            </w:r>
          </w:p>
        </w:tc>
        <w:tc>
          <w:tcPr>
            <w:tcW w:w="1256" w:type="dxa"/>
            <w:tcBorders>
              <w:top w:val="nil"/>
              <w:bottom w:val="nil"/>
            </w:tcBorders>
            <w:shd w:val="clear" w:color="auto" w:fill="auto"/>
            <w:vAlign w:val="center"/>
          </w:tcPr>
          <w:p w14:paraId="6D433B6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4749D26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10.86 ± 3.75</w:t>
            </w:r>
          </w:p>
        </w:tc>
        <w:tc>
          <w:tcPr>
            <w:tcW w:w="1815" w:type="dxa"/>
            <w:tcBorders>
              <w:top w:val="nil"/>
              <w:bottom w:val="nil"/>
            </w:tcBorders>
            <w:shd w:val="clear" w:color="auto" w:fill="auto"/>
            <w:vAlign w:val="center"/>
          </w:tcPr>
          <w:p w14:paraId="76189A7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8.09 ± 3.37</w:t>
            </w:r>
          </w:p>
        </w:tc>
        <w:tc>
          <w:tcPr>
            <w:tcW w:w="1116" w:type="dxa"/>
            <w:tcBorders>
              <w:top w:val="nil"/>
              <w:bottom w:val="nil"/>
            </w:tcBorders>
            <w:shd w:val="clear" w:color="auto" w:fill="auto"/>
            <w:vAlign w:val="center"/>
          </w:tcPr>
          <w:p w14:paraId="28EBCA0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062" w:type="dxa"/>
            <w:tcBorders>
              <w:top w:val="nil"/>
              <w:bottom w:val="nil"/>
            </w:tcBorders>
            <w:shd w:val="clear" w:color="auto" w:fill="auto"/>
            <w:vAlign w:val="center"/>
          </w:tcPr>
          <w:p w14:paraId="78B1A0D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0.912</w:t>
            </w:r>
          </w:p>
        </w:tc>
      </w:tr>
      <w:tr w:rsidR="00053734" w:rsidRPr="00EA2DA7" w14:paraId="2B74261D" w14:textId="77777777">
        <w:trPr>
          <w:trHeight w:val="276"/>
          <w:jc w:val="center"/>
        </w:trPr>
        <w:tc>
          <w:tcPr>
            <w:tcW w:w="2115" w:type="dxa"/>
            <w:tcBorders>
              <w:top w:val="nil"/>
              <w:bottom w:val="nil"/>
            </w:tcBorders>
            <w:shd w:val="clear" w:color="auto" w:fill="auto"/>
            <w:vAlign w:val="center"/>
          </w:tcPr>
          <w:p w14:paraId="7558D87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COSSH-ACLF</w:t>
            </w:r>
          </w:p>
        </w:tc>
        <w:tc>
          <w:tcPr>
            <w:tcW w:w="2231" w:type="dxa"/>
            <w:tcBorders>
              <w:top w:val="nil"/>
              <w:bottom w:val="nil"/>
            </w:tcBorders>
            <w:shd w:val="clear" w:color="auto" w:fill="auto"/>
            <w:vAlign w:val="center"/>
          </w:tcPr>
          <w:p w14:paraId="6C746FD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7.57 ± 1.84</w:t>
            </w:r>
          </w:p>
        </w:tc>
        <w:tc>
          <w:tcPr>
            <w:tcW w:w="2096" w:type="dxa"/>
            <w:tcBorders>
              <w:top w:val="nil"/>
              <w:bottom w:val="nil"/>
            </w:tcBorders>
            <w:shd w:val="clear" w:color="auto" w:fill="auto"/>
            <w:vAlign w:val="center"/>
          </w:tcPr>
          <w:p w14:paraId="49F48B9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6.05 ± 1.27</w:t>
            </w:r>
          </w:p>
        </w:tc>
        <w:tc>
          <w:tcPr>
            <w:tcW w:w="1256" w:type="dxa"/>
            <w:tcBorders>
              <w:top w:val="nil"/>
              <w:bottom w:val="nil"/>
            </w:tcBorders>
            <w:shd w:val="clear" w:color="auto" w:fill="auto"/>
            <w:vAlign w:val="center"/>
          </w:tcPr>
          <w:p w14:paraId="459AED2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815" w:type="dxa"/>
            <w:tcBorders>
              <w:top w:val="nil"/>
              <w:bottom w:val="nil"/>
            </w:tcBorders>
            <w:shd w:val="clear" w:color="auto" w:fill="auto"/>
            <w:vAlign w:val="center"/>
          </w:tcPr>
          <w:p w14:paraId="6388C2D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7.57 ± 1.86</w:t>
            </w:r>
          </w:p>
        </w:tc>
        <w:tc>
          <w:tcPr>
            <w:tcW w:w="1815" w:type="dxa"/>
            <w:tcBorders>
              <w:top w:val="nil"/>
              <w:bottom w:val="nil"/>
            </w:tcBorders>
            <w:shd w:val="clear" w:color="auto" w:fill="auto"/>
            <w:vAlign w:val="center"/>
          </w:tcPr>
          <w:p w14:paraId="10A78B8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6.14 ± 1.49</w:t>
            </w:r>
          </w:p>
        </w:tc>
        <w:tc>
          <w:tcPr>
            <w:tcW w:w="1116" w:type="dxa"/>
            <w:tcBorders>
              <w:top w:val="nil"/>
              <w:bottom w:val="nil"/>
            </w:tcBorders>
            <w:shd w:val="clear" w:color="auto" w:fill="auto"/>
            <w:vAlign w:val="center"/>
          </w:tcPr>
          <w:p w14:paraId="069F555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1062" w:type="dxa"/>
            <w:tcBorders>
              <w:top w:val="nil"/>
              <w:bottom w:val="nil"/>
            </w:tcBorders>
            <w:shd w:val="clear" w:color="auto" w:fill="auto"/>
            <w:vAlign w:val="center"/>
          </w:tcPr>
          <w:p w14:paraId="299A9C8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0.958</w:t>
            </w:r>
          </w:p>
        </w:tc>
      </w:tr>
      <w:tr w:rsidR="00053734" w:rsidRPr="00EA2DA7" w14:paraId="2253C94F" w14:textId="77777777">
        <w:trPr>
          <w:trHeight w:val="276"/>
          <w:jc w:val="center"/>
        </w:trPr>
        <w:tc>
          <w:tcPr>
            <w:tcW w:w="2115" w:type="dxa"/>
            <w:tcBorders>
              <w:top w:val="nil"/>
              <w:bottom w:val="nil"/>
            </w:tcBorders>
            <w:shd w:val="clear" w:color="auto" w:fill="auto"/>
            <w:vAlign w:val="center"/>
          </w:tcPr>
          <w:p w14:paraId="21E6E10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Treatment</w:t>
            </w:r>
          </w:p>
        </w:tc>
        <w:tc>
          <w:tcPr>
            <w:tcW w:w="2231" w:type="dxa"/>
            <w:tcBorders>
              <w:top w:val="nil"/>
              <w:bottom w:val="nil"/>
            </w:tcBorders>
            <w:shd w:val="clear" w:color="auto" w:fill="auto"/>
            <w:vAlign w:val="center"/>
          </w:tcPr>
          <w:p w14:paraId="3154AA9B" w14:textId="77777777" w:rsidR="00053734" w:rsidRPr="00EA2DA7" w:rsidRDefault="00053734" w:rsidP="00EA2DA7">
            <w:pPr>
              <w:spacing w:line="360" w:lineRule="auto"/>
              <w:jc w:val="both"/>
              <w:rPr>
                <w:rFonts w:ascii="Book Antiqua" w:eastAsia="Book Antiqua" w:hAnsi="Book Antiqua" w:cs="Book Antiqua"/>
              </w:rPr>
            </w:pPr>
          </w:p>
        </w:tc>
        <w:tc>
          <w:tcPr>
            <w:tcW w:w="2096" w:type="dxa"/>
            <w:tcBorders>
              <w:top w:val="nil"/>
              <w:bottom w:val="nil"/>
            </w:tcBorders>
            <w:shd w:val="clear" w:color="auto" w:fill="auto"/>
            <w:vAlign w:val="center"/>
          </w:tcPr>
          <w:p w14:paraId="1821D1F4" w14:textId="77777777" w:rsidR="00053734" w:rsidRPr="00EA2DA7" w:rsidRDefault="00053734" w:rsidP="00EA2DA7">
            <w:pPr>
              <w:spacing w:line="360" w:lineRule="auto"/>
              <w:jc w:val="both"/>
              <w:rPr>
                <w:rFonts w:ascii="Book Antiqua" w:eastAsia="Book Antiqua" w:hAnsi="Book Antiqua" w:cs="Book Antiqua"/>
              </w:rPr>
            </w:pPr>
          </w:p>
        </w:tc>
        <w:tc>
          <w:tcPr>
            <w:tcW w:w="1256" w:type="dxa"/>
            <w:tcBorders>
              <w:top w:val="nil"/>
              <w:bottom w:val="nil"/>
            </w:tcBorders>
            <w:shd w:val="clear" w:color="auto" w:fill="auto"/>
            <w:vAlign w:val="center"/>
          </w:tcPr>
          <w:p w14:paraId="648048B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0.261</w:t>
            </w:r>
          </w:p>
        </w:tc>
        <w:tc>
          <w:tcPr>
            <w:tcW w:w="1815" w:type="dxa"/>
            <w:tcBorders>
              <w:top w:val="nil"/>
              <w:bottom w:val="nil"/>
            </w:tcBorders>
            <w:shd w:val="clear" w:color="auto" w:fill="auto"/>
            <w:vAlign w:val="center"/>
          </w:tcPr>
          <w:p w14:paraId="287294D6"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4EC48EFD" w14:textId="77777777" w:rsidR="00053734" w:rsidRPr="00EA2DA7" w:rsidRDefault="00053734" w:rsidP="00EA2DA7">
            <w:pPr>
              <w:spacing w:line="360" w:lineRule="auto"/>
              <w:jc w:val="both"/>
              <w:rPr>
                <w:rFonts w:ascii="Book Antiqua" w:eastAsia="Book Antiqua" w:hAnsi="Book Antiqua" w:cs="Book Antiqua"/>
              </w:rPr>
            </w:pPr>
          </w:p>
        </w:tc>
        <w:tc>
          <w:tcPr>
            <w:tcW w:w="1116" w:type="dxa"/>
            <w:tcBorders>
              <w:top w:val="nil"/>
              <w:bottom w:val="nil"/>
            </w:tcBorders>
            <w:shd w:val="clear" w:color="auto" w:fill="auto"/>
            <w:vAlign w:val="center"/>
          </w:tcPr>
          <w:p w14:paraId="65AE510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0.842</w:t>
            </w:r>
          </w:p>
        </w:tc>
        <w:tc>
          <w:tcPr>
            <w:tcW w:w="1062" w:type="dxa"/>
            <w:tcBorders>
              <w:top w:val="nil"/>
              <w:bottom w:val="nil"/>
            </w:tcBorders>
            <w:shd w:val="clear" w:color="auto" w:fill="auto"/>
            <w:vAlign w:val="center"/>
          </w:tcPr>
          <w:p w14:paraId="6B687B6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0.125</w:t>
            </w:r>
          </w:p>
        </w:tc>
      </w:tr>
      <w:tr w:rsidR="00053734" w:rsidRPr="00EA2DA7" w14:paraId="28321919" w14:textId="77777777">
        <w:trPr>
          <w:trHeight w:val="1036"/>
          <w:jc w:val="center"/>
        </w:trPr>
        <w:tc>
          <w:tcPr>
            <w:tcW w:w="2115" w:type="dxa"/>
            <w:tcBorders>
              <w:top w:val="nil"/>
              <w:bottom w:val="nil"/>
            </w:tcBorders>
            <w:shd w:val="clear" w:color="auto" w:fill="auto"/>
            <w:vAlign w:val="center"/>
          </w:tcPr>
          <w:p w14:paraId="035EA4E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Terlipressin plus albumin</w:t>
            </w:r>
          </w:p>
        </w:tc>
        <w:tc>
          <w:tcPr>
            <w:tcW w:w="2231" w:type="dxa"/>
            <w:tcBorders>
              <w:top w:val="nil"/>
              <w:bottom w:val="nil"/>
            </w:tcBorders>
            <w:shd w:val="clear" w:color="auto" w:fill="auto"/>
            <w:vAlign w:val="center"/>
          </w:tcPr>
          <w:p w14:paraId="60E91D8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41 (21.8)</w:t>
            </w:r>
          </w:p>
        </w:tc>
        <w:tc>
          <w:tcPr>
            <w:tcW w:w="2096" w:type="dxa"/>
            <w:tcBorders>
              <w:top w:val="nil"/>
              <w:bottom w:val="nil"/>
            </w:tcBorders>
            <w:shd w:val="clear" w:color="auto" w:fill="auto"/>
            <w:vAlign w:val="center"/>
          </w:tcPr>
          <w:p w14:paraId="6A1E247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18 (30.0)</w:t>
            </w:r>
          </w:p>
        </w:tc>
        <w:tc>
          <w:tcPr>
            <w:tcW w:w="1256" w:type="dxa"/>
            <w:tcBorders>
              <w:top w:val="nil"/>
              <w:bottom w:val="nil"/>
            </w:tcBorders>
            <w:shd w:val="clear" w:color="auto" w:fill="auto"/>
            <w:vAlign w:val="center"/>
          </w:tcPr>
          <w:p w14:paraId="216B0A49" w14:textId="77777777" w:rsidR="00053734" w:rsidRPr="00EA2DA7" w:rsidRDefault="00053734" w:rsidP="00EA2DA7">
            <w:pPr>
              <w:spacing w:line="360" w:lineRule="auto"/>
              <w:jc w:val="both"/>
              <w:rPr>
                <w:rFonts w:ascii="Book Antiqua" w:eastAsia="Book Antiqua" w:hAnsi="Book Antiqua" w:cs="Book Antiqua"/>
              </w:rPr>
            </w:pPr>
          </w:p>
        </w:tc>
        <w:tc>
          <w:tcPr>
            <w:tcW w:w="1815" w:type="dxa"/>
            <w:tcBorders>
              <w:top w:val="nil"/>
              <w:bottom w:val="nil"/>
            </w:tcBorders>
            <w:shd w:val="clear" w:color="auto" w:fill="auto"/>
            <w:vAlign w:val="center"/>
          </w:tcPr>
          <w:p w14:paraId="2276467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15 (16.7)</w:t>
            </w:r>
          </w:p>
        </w:tc>
        <w:tc>
          <w:tcPr>
            <w:tcW w:w="1815" w:type="dxa"/>
            <w:tcBorders>
              <w:top w:val="nil"/>
              <w:bottom w:val="nil"/>
            </w:tcBorders>
            <w:shd w:val="clear" w:color="auto" w:fill="auto"/>
            <w:vAlign w:val="center"/>
          </w:tcPr>
          <w:p w14:paraId="2E79588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 (15.2)</w:t>
            </w:r>
          </w:p>
        </w:tc>
        <w:tc>
          <w:tcPr>
            <w:tcW w:w="1116" w:type="dxa"/>
            <w:tcBorders>
              <w:top w:val="nil"/>
              <w:bottom w:val="nil"/>
            </w:tcBorders>
            <w:shd w:val="clear" w:color="auto" w:fill="auto"/>
            <w:vAlign w:val="center"/>
          </w:tcPr>
          <w:p w14:paraId="00464070" w14:textId="77777777" w:rsidR="00053734" w:rsidRPr="00EA2DA7" w:rsidRDefault="00053734" w:rsidP="00EA2DA7">
            <w:pPr>
              <w:spacing w:line="360" w:lineRule="auto"/>
              <w:jc w:val="both"/>
              <w:rPr>
                <w:rFonts w:ascii="Book Antiqua" w:eastAsia="Book Antiqua" w:hAnsi="Book Antiqua" w:cs="Book Antiqua"/>
              </w:rPr>
            </w:pPr>
          </w:p>
        </w:tc>
        <w:tc>
          <w:tcPr>
            <w:tcW w:w="1062" w:type="dxa"/>
            <w:tcBorders>
              <w:top w:val="nil"/>
              <w:bottom w:val="nil"/>
            </w:tcBorders>
            <w:shd w:val="clear" w:color="auto" w:fill="auto"/>
            <w:vAlign w:val="center"/>
          </w:tcPr>
          <w:p w14:paraId="2222B2CD"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CA910D9" w14:textId="77777777">
        <w:trPr>
          <w:trHeight w:val="288"/>
          <w:jc w:val="center"/>
        </w:trPr>
        <w:tc>
          <w:tcPr>
            <w:tcW w:w="2115" w:type="dxa"/>
            <w:tcBorders>
              <w:top w:val="nil"/>
            </w:tcBorders>
            <w:shd w:val="clear" w:color="auto" w:fill="auto"/>
            <w:vAlign w:val="center"/>
          </w:tcPr>
          <w:p w14:paraId="24F9A5E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Albumin only</w:t>
            </w:r>
          </w:p>
        </w:tc>
        <w:tc>
          <w:tcPr>
            <w:tcW w:w="2231" w:type="dxa"/>
            <w:tcBorders>
              <w:top w:val="nil"/>
            </w:tcBorders>
            <w:shd w:val="clear" w:color="auto" w:fill="auto"/>
            <w:vAlign w:val="center"/>
          </w:tcPr>
          <w:p w14:paraId="185E763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147 (78.2)</w:t>
            </w:r>
          </w:p>
        </w:tc>
        <w:tc>
          <w:tcPr>
            <w:tcW w:w="2096" w:type="dxa"/>
            <w:tcBorders>
              <w:top w:val="nil"/>
            </w:tcBorders>
            <w:shd w:val="clear" w:color="auto" w:fill="auto"/>
            <w:vAlign w:val="center"/>
          </w:tcPr>
          <w:p w14:paraId="7AEB14D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42 (70.0)</w:t>
            </w:r>
          </w:p>
        </w:tc>
        <w:tc>
          <w:tcPr>
            <w:tcW w:w="1256" w:type="dxa"/>
            <w:tcBorders>
              <w:top w:val="nil"/>
            </w:tcBorders>
            <w:shd w:val="clear" w:color="auto" w:fill="auto"/>
            <w:vAlign w:val="center"/>
          </w:tcPr>
          <w:p w14:paraId="278C7B84" w14:textId="77777777" w:rsidR="00053734" w:rsidRPr="00EA2DA7" w:rsidRDefault="00721F08" w:rsidP="00EA2DA7">
            <w:pPr>
              <w:spacing w:line="360" w:lineRule="auto"/>
              <w:jc w:val="both"/>
              <w:rPr>
                <w:rFonts w:ascii="Book Antiqua" w:eastAsia="Book Antiqua" w:hAnsi="Book Antiqua" w:cs="Book Antiqua"/>
              </w:rPr>
            </w:pPr>
            <w:r w:rsidRPr="00EA2DA7">
              <w:rPr>
                <w:rFonts w:ascii="MS Mincho" w:eastAsia="MS Mincho" w:hAnsi="MS Mincho" w:cs="MS Mincho"/>
              </w:rPr>
              <w:t xml:space="preserve">　</w:t>
            </w:r>
          </w:p>
        </w:tc>
        <w:tc>
          <w:tcPr>
            <w:tcW w:w="1815" w:type="dxa"/>
            <w:tcBorders>
              <w:top w:val="nil"/>
            </w:tcBorders>
            <w:shd w:val="clear" w:color="auto" w:fill="auto"/>
            <w:vAlign w:val="center"/>
          </w:tcPr>
          <w:p w14:paraId="536B3BF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75 (83.3)</w:t>
            </w:r>
          </w:p>
        </w:tc>
        <w:tc>
          <w:tcPr>
            <w:tcW w:w="1815" w:type="dxa"/>
            <w:tcBorders>
              <w:top w:val="nil"/>
            </w:tcBorders>
            <w:shd w:val="clear" w:color="auto" w:fill="auto"/>
            <w:vAlign w:val="center"/>
          </w:tcPr>
          <w:p w14:paraId="53E8315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28 (84.8)</w:t>
            </w:r>
          </w:p>
        </w:tc>
        <w:tc>
          <w:tcPr>
            <w:tcW w:w="1116" w:type="dxa"/>
            <w:tcBorders>
              <w:top w:val="nil"/>
            </w:tcBorders>
            <w:shd w:val="clear" w:color="auto" w:fill="auto"/>
            <w:vAlign w:val="center"/>
          </w:tcPr>
          <w:p w14:paraId="0DBADDA9" w14:textId="77777777" w:rsidR="00053734" w:rsidRPr="00EA2DA7" w:rsidRDefault="00721F08" w:rsidP="00EA2DA7">
            <w:pPr>
              <w:spacing w:line="360" w:lineRule="auto"/>
              <w:jc w:val="both"/>
              <w:rPr>
                <w:rFonts w:ascii="Book Antiqua" w:eastAsia="Book Antiqua" w:hAnsi="Book Antiqua" w:cs="Book Antiqua"/>
              </w:rPr>
            </w:pPr>
            <w:r w:rsidRPr="00EA2DA7">
              <w:rPr>
                <w:rFonts w:ascii="MS Mincho" w:eastAsia="MS Mincho" w:hAnsi="MS Mincho" w:cs="MS Mincho"/>
              </w:rPr>
              <w:t xml:space="preserve">　</w:t>
            </w:r>
          </w:p>
        </w:tc>
        <w:tc>
          <w:tcPr>
            <w:tcW w:w="1062" w:type="dxa"/>
            <w:tcBorders>
              <w:top w:val="nil"/>
            </w:tcBorders>
            <w:shd w:val="clear" w:color="auto" w:fill="auto"/>
            <w:vAlign w:val="center"/>
          </w:tcPr>
          <w:p w14:paraId="54D64F32" w14:textId="77777777" w:rsidR="00053734" w:rsidRPr="00EA2DA7" w:rsidRDefault="00721F08" w:rsidP="00EA2DA7">
            <w:pPr>
              <w:spacing w:line="360" w:lineRule="auto"/>
              <w:jc w:val="both"/>
              <w:rPr>
                <w:rFonts w:ascii="Book Antiqua" w:eastAsia="Book Antiqua" w:hAnsi="Book Antiqua" w:cs="Book Antiqua"/>
              </w:rPr>
            </w:pPr>
            <w:r w:rsidRPr="00EA2DA7">
              <w:rPr>
                <w:rFonts w:ascii="MS Mincho" w:eastAsia="MS Mincho" w:hAnsi="MS Mincho" w:cs="MS Mincho"/>
              </w:rPr>
              <w:t xml:space="preserve">　</w:t>
            </w:r>
          </w:p>
        </w:tc>
      </w:tr>
    </w:tbl>
    <w:p w14:paraId="3CF82CF3" w14:textId="1D267019" w:rsidR="00053734" w:rsidRPr="00EA2DA7" w:rsidRDefault="00721F08" w:rsidP="00EA2DA7">
      <w:pPr>
        <w:spacing w:line="360" w:lineRule="auto"/>
        <w:jc w:val="both"/>
        <w:rPr>
          <w:rFonts w:ascii="Book Antiqua" w:eastAsia="Book Antiqua" w:hAnsi="Book Antiqua" w:cs="Book Antiqua"/>
        </w:rPr>
        <w:sectPr w:rsidR="00053734" w:rsidRPr="00EA2DA7" w:rsidSect="00EA2DA7">
          <w:type w:val="continuous"/>
          <w:pgSz w:w="15840" w:h="12240" w:orient="landscape"/>
          <w:pgMar w:top="1440" w:right="1440" w:bottom="1440" w:left="1440" w:header="851" w:footer="992" w:gutter="0"/>
          <w:cols w:space="720"/>
          <w:docGrid w:linePitch="326"/>
        </w:sectPr>
      </w:pPr>
      <w:r w:rsidRPr="00EA2DA7">
        <w:rPr>
          <w:rFonts w:ascii="Book Antiqua" w:eastAsia="Book Antiqua" w:hAnsi="Book Antiqua" w:cs="Book Antiqua"/>
          <w:i/>
        </w:rPr>
        <w:t xml:space="preserve">P </w:t>
      </w:r>
      <w:r w:rsidRPr="00EA2DA7">
        <w:rPr>
          <w:rFonts w:ascii="Book Antiqua" w:eastAsia="Book Antiqua" w:hAnsi="Book Antiqua" w:cs="Book Antiqua"/>
        </w:rPr>
        <w:t xml:space="preserve">non-survivor </w:t>
      </w:r>
      <w:r w:rsidRPr="00EA2DA7">
        <w:rPr>
          <w:rFonts w:ascii="Book Antiqua" w:eastAsia="Book Antiqua" w:hAnsi="Book Antiqua" w:cs="Book Antiqua"/>
          <w:i/>
        </w:rPr>
        <w:t>vs</w:t>
      </w:r>
      <w:r w:rsidRPr="00EA2DA7">
        <w:rPr>
          <w:rFonts w:ascii="Book Antiqua" w:eastAsia="Book Antiqua" w:hAnsi="Book Antiqua" w:cs="Book Antiqua"/>
        </w:rPr>
        <w:t xml:space="preserve"> survivor,</w:t>
      </w:r>
      <w:r w:rsidRPr="00EA2DA7">
        <w:rPr>
          <w:rFonts w:ascii="Book Antiqua" w:eastAsia="Book Antiqua" w:hAnsi="Book Antiqua" w:cs="Book Antiqua"/>
          <w:b/>
          <w:i/>
        </w:rPr>
        <w:t xml:space="preserve"> </w:t>
      </w:r>
      <w:r w:rsidRPr="00EA2DA7">
        <w:rPr>
          <w:rFonts w:ascii="Book Antiqua" w:eastAsia="Book Antiqua" w:hAnsi="Book Antiqua" w:cs="Book Antiqua"/>
          <w:vertAlign w:val="superscript"/>
        </w:rPr>
        <w:t>1</w:t>
      </w:r>
      <w:r w:rsidRPr="00EA2DA7">
        <w:rPr>
          <w:rFonts w:ascii="Book Antiqua" w:eastAsia="Book Antiqua" w:hAnsi="Book Antiqua" w:cs="Book Antiqua"/>
          <w:i/>
        </w:rPr>
        <w:t>P</w:t>
      </w:r>
      <w:r w:rsidRPr="00EA2DA7">
        <w:rPr>
          <w:rFonts w:ascii="Book Antiqua" w:eastAsia="Book Antiqua" w:hAnsi="Book Antiqua" w:cs="Book Antiqua"/>
          <w:b/>
        </w:rPr>
        <w:t xml:space="preserve"> </w:t>
      </w:r>
      <w:r w:rsidRPr="00EA2DA7">
        <w:rPr>
          <w:rFonts w:ascii="Book Antiqua" w:eastAsia="Book Antiqua" w:hAnsi="Book Antiqua" w:cs="Book Antiqua"/>
        </w:rPr>
        <w:t xml:space="preserve">derivation cohort </w:t>
      </w:r>
      <w:r w:rsidRPr="00EA2DA7">
        <w:rPr>
          <w:rFonts w:ascii="Book Antiqua" w:eastAsia="Book Antiqua" w:hAnsi="Book Antiqua" w:cs="Book Antiqua"/>
          <w:i/>
        </w:rPr>
        <w:t xml:space="preserve">vs </w:t>
      </w:r>
      <w:r w:rsidRPr="00EA2DA7">
        <w:rPr>
          <w:rFonts w:ascii="Book Antiqua" w:eastAsia="Book Antiqua" w:hAnsi="Book Antiqua" w:cs="Book Antiqua"/>
        </w:rPr>
        <w:t xml:space="preserve">validation cohort. A/G: Albumin/globulin; ALT: Alanine aminotransferase; CLIF-SOFA: Chronic Liver Failure-Sequential Organ Failure Assessment; COSSH-ACLF: Chinese Group on the Study of Severe Hepatitis B-Acute-on-Chronic Liver Failure; HBV: </w:t>
      </w:r>
      <w:r w:rsidR="00D17F47">
        <w:rPr>
          <w:rFonts w:ascii="Book Antiqua" w:eastAsia="Book Antiqua" w:hAnsi="Book Antiqua" w:cs="Book Antiqua"/>
        </w:rPr>
        <w:t>H</w:t>
      </w:r>
      <w:r w:rsidRPr="00EA2DA7">
        <w:rPr>
          <w:rFonts w:ascii="Book Antiqua" w:eastAsia="Book Antiqua" w:hAnsi="Book Antiqua" w:cs="Book Antiqua"/>
        </w:rPr>
        <w:t xml:space="preserve">epatitis B virus; INR: </w:t>
      </w:r>
      <w:r w:rsidR="00D17F47">
        <w:rPr>
          <w:rFonts w:ascii="Book Antiqua" w:eastAsia="Book Antiqua" w:hAnsi="Book Antiqua" w:cs="Book Antiqua"/>
        </w:rPr>
        <w:t>I</w:t>
      </w:r>
      <w:r w:rsidRPr="00EA2DA7">
        <w:rPr>
          <w:rFonts w:ascii="Book Antiqua" w:eastAsia="Book Antiqua" w:hAnsi="Book Antiqua" w:cs="Book Antiqua"/>
        </w:rPr>
        <w:t xml:space="preserve">nternational normalized ratio; MAP: </w:t>
      </w:r>
      <w:r w:rsidR="00D17F47">
        <w:rPr>
          <w:rFonts w:ascii="Book Antiqua" w:eastAsia="Book Antiqua" w:hAnsi="Book Antiqua" w:cs="Book Antiqua"/>
        </w:rPr>
        <w:t>M</w:t>
      </w:r>
      <w:r w:rsidRPr="00EA2DA7">
        <w:rPr>
          <w:rFonts w:ascii="Book Antiqua" w:eastAsia="Book Antiqua" w:hAnsi="Book Antiqua" w:cs="Book Antiqua"/>
        </w:rPr>
        <w:t xml:space="preserve">ean arterial pressure; MCH: Mean cell hemoglobin; MCHC: Mean corpuscular hemoglobin concentration; MCV: Mean cell volume; MELD: Model for End-Stage Liver Disease; RBC: Red blood cells. </w:t>
      </w:r>
    </w:p>
    <w:p w14:paraId="17E13122" w14:textId="77777777" w:rsidR="00053734" w:rsidRPr="00EA2DA7" w:rsidRDefault="00721F08" w:rsidP="00EA2DA7">
      <w:pPr>
        <w:tabs>
          <w:tab w:val="left" w:pos="12"/>
        </w:tabs>
        <w:spacing w:line="360" w:lineRule="auto"/>
        <w:jc w:val="both"/>
        <w:rPr>
          <w:rFonts w:ascii="Book Antiqua" w:eastAsia="Book Antiqua" w:hAnsi="Book Antiqua" w:cs="Book Antiqua"/>
          <w:b/>
        </w:rPr>
      </w:pPr>
      <w:r w:rsidRPr="00EA2DA7">
        <w:rPr>
          <w:rFonts w:ascii="Book Antiqua" w:eastAsia="Book Antiqua" w:hAnsi="Book Antiqua" w:cs="Book Antiqua"/>
          <w:b/>
        </w:rPr>
        <w:lastRenderedPageBreak/>
        <w:t xml:space="preserve">Table 2 Univariate and multivariate Cox regression. </w:t>
      </w:r>
    </w:p>
    <w:tbl>
      <w:tblPr>
        <w:tblStyle w:val="a0"/>
        <w:tblW w:w="9109" w:type="dxa"/>
        <w:tblInd w:w="108" w:type="dxa"/>
        <w:tblLayout w:type="fixed"/>
        <w:tblLook w:val="0400" w:firstRow="0" w:lastRow="0" w:firstColumn="0" w:lastColumn="0" w:noHBand="0" w:noVBand="1"/>
      </w:tblPr>
      <w:tblGrid>
        <w:gridCol w:w="1778"/>
        <w:gridCol w:w="2410"/>
        <w:gridCol w:w="1276"/>
        <w:gridCol w:w="2050"/>
        <w:gridCol w:w="1595"/>
      </w:tblGrid>
      <w:tr w:rsidR="00053734" w:rsidRPr="00EA2DA7" w14:paraId="751D7763" w14:textId="77777777">
        <w:trPr>
          <w:trHeight w:val="362"/>
        </w:trPr>
        <w:tc>
          <w:tcPr>
            <w:tcW w:w="1778" w:type="dxa"/>
            <w:vMerge w:val="restart"/>
            <w:tcBorders>
              <w:top w:val="single" w:sz="4" w:space="0" w:color="000000"/>
            </w:tcBorders>
            <w:shd w:val="clear" w:color="auto" w:fill="auto"/>
            <w:vAlign w:val="center"/>
          </w:tcPr>
          <w:p w14:paraId="3526AA70" w14:textId="77777777" w:rsidR="00053734" w:rsidRPr="00EA2DA7" w:rsidRDefault="00721F08" w:rsidP="00EA2DA7">
            <w:pPr>
              <w:spacing w:line="360" w:lineRule="auto"/>
              <w:jc w:val="both"/>
              <w:rPr>
                <w:rFonts w:ascii="Book Antiqua" w:eastAsia="Book Antiqua" w:hAnsi="Book Antiqua" w:cs="Book Antiqua"/>
                <w:b/>
              </w:rPr>
            </w:pPr>
            <w:bookmarkStart w:id="4" w:name="_1fob9te" w:colFirst="0" w:colLast="0"/>
            <w:bookmarkEnd w:id="4"/>
            <w:r w:rsidRPr="00EA2DA7">
              <w:rPr>
                <w:rFonts w:ascii="Book Antiqua" w:eastAsia="Book Antiqua" w:hAnsi="Book Antiqua" w:cs="Book Antiqua"/>
                <w:b/>
              </w:rPr>
              <w:t>Variables</w:t>
            </w:r>
          </w:p>
        </w:tc>
        <w:tc>
          <w:tcPr>
            <w:tcW w:w="3686" w:type="dxa"/>
            <w:gridSpan w:val="2"/>
            <w:tcBorders>
              <w:top w:val="single" w:sz="4" w:space="0" w:color="000000"/>
            </w:tcBorders>
            <w:shd w:val="clear" w:color="auto" w:fill="auto"/>
            <w:vAlign w:val="center"/>
          </w:tcPr>
          <w:p w14:paraId="2765504C"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Univariate Cox regression</w:t>
            </w:r>
          </w:p>
        </w:tc>
        <w:tc>
          <w:tcPr>
            <w:tcW w:w="3645" w:type="dxa"/>
            <w:gridSpan w:val="2"/>
            <w:tcBorders>
              <w:top w:val="single" w:sz="4" w:space="0" w:color="000000"/>
            </w:tcBorders>
            <w:shd w:val="clear" w:color="auto" w:fill="auto"/>
            <w:vAlign w:val="center"/>
          </w:tcPr>
          <w:p w14:paraId="74C643A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Multivariate Cox regression</w:t>
            </w:r>
          </w:p>
        </w:tc>
      </w:tr>
      <w:tr w:rsidR="00053734" w:rsidRPr="00EA2DA7" w14:paraId="2A9F8210" w14:textId="77777777">
        <w:trPr>
          <w:trHeight w:val="454"/>
        </w:trPr>
        <w:tc>
          <w:tcPr>
            <w:tcW w:w="1778" w:type="dxa"/>
            <w:vMerge/>
            <w:tcBorders>
              <w:top w:val="single" w:sz="4" w:space="0" w:color="000000"/>
            </w:tcBorders>
            <w:shd w:val="clear" w:color="auto" w:fill="auto"/>
            <w:vAlign w:val="center"/>
          </w:tcPr>
          <w:p w14:paraId="067A1392"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2410" w:type="dxa"/>
            <w:tcBorders>
              <w:top w:val="nil"/>
              <w:bottom w:val="single" w:sz="4" w:space="0" w:color="000000"/>
            </w:tcBorders>
            <w:shd w:val="clear" w:color="auto" w:fill="auto"/>
            <w:vAlign w:val="center"/>
          </w:tcPr>
          <w:p w14:paraId="144D6C3C"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HR (95%CI)</w:t>
            </w:r>
          </w:p>
        </w:tc>
        <w:tc>
          <w:tcPr>
            <w:tcW w:w="1276" w:type="dxa"/>
            <w:tcBorders>
              <w:top w:val="nil"/>
              <w:bottom w:val="single" w:sz="4" w:space="0" w:color="000000"/>
            </w:tcBorders>
            <w:shd w:val="clear" w:color="auto" w:fill="auto"/>
            <w:vAlign w:val="center"/>
          </w:tcPr>
          <w:p w14:paraId="793DE30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c>
          <w:tcPr>
            <w:tcW w:w="2050" w:type="dxa"/>
            <w:tcBorders>
              <w:top w:val="nil"/>
              <w:bottom w:val="single" w:sz="4" w:space="0" w:color="000000"/>
            </w:tcBorders>
            <w:shd w:val="clear" w:color="auto" w:fill="auto"/>
            <w:vAlign w:val="center"/>
          </w:tcPr>
          <w:p w14:paraId="563A99D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HR (95%CI)</w:t>
            </w:r>
          </w:p>
        </w:tc>
        <w:tc>
          <w:tcPr>
            <w:tcW w:w="1595" w:type="dxa"/>
            <w:tcBorders>
              <w:top w:val="nil"/>
              <w:bottom w:val="single" w:sz="4" w:space="0" w:color="000000"/>
            </w:tcBorders>
            <w:shd w:val="clear" w:color="auto" w:fill="auto"/>
            <w:vAlign w:val="center"/>
          </w:tcPr>
          <w:p w14:paraId="212BDBE4"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r>
      <w:tr w:rsidR="00053734" w:rsidRPr="00EA2DA7" w14:paraId="7D2DFFA5" w14:textId="77777777">
        <w:trPr>
          <w:trHeight w:val="288"/>
        </w:trPr>
        <w:tc>
          <w:tcPr>
            <w:tcW w:w="1778" w:type="dxa"/>
            <w:tcBorders>
              <w:top w:val="single" w:sz="4" w:space="0" w:color="000000"/>
              <w:bottom w:val="nil"/>
            </w:tcBorders>
            <w:shd w:val="clear" w:color="auto" w:fill="auto"/>
            <w:vAlign w:val="center"/>
          </w:tcPr>
          <w:p w14:paraId="444D572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Age</w:t>
            </w:r>
          </w:p>
        </w:tc>
        <w:tc>
          <w:tcPr>
            <w:tcW w:w="2410" w:type="dxa"/>
            <w:tcBorders>
              <w:top w:val="single" w:sz="4" w:space="0" w:color="000000"/>
              <w:bottom w:val="nil"/>
            </w:tcBorders>
            <w:shd w:val="clear" w:color="auto" w:fill="auto"/>
            <w:vAlign w:val="center"/>
          </w:tcPr>
          <w:p w14:paraId="661688D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1.007 (0.995-1.019)</w:t>
            </w:r>
          </w:p>
        </w:tc>
        <w:tc>
          <w:tcPr>
            <w:tcW w:w="1276" w:type="dxa"/>
            <w:tcBorders>
              <w:top w:val="single" w:sz="4" w:space="0" w:color="000000"/>
              <w:bottom w:val="nil"/>
            </w:tcBorders>
            <w:shd w:val="clear" w:color="auto" w:fill="auto"/>
            <w:vAlign w:val="center"/>
          </w:tcPr>
          <w:p w14:paraId="098C164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0.244</w:t>
            </w:r>
          </w:p>
        </w:tc>
        <w:tc>
          <w:tcPr>
            <w:tcW w:w="2050" w:type="dxa"/>
            <w:tcBorders>
              <w:top w:val="single" w:sz="4" w:space="0" w:color="000000"/>
              <w:bottom w:val="nil"/>
            </w:tcBorders>
            <w:shd w:val="clear" w:color="auto" w:fill="auto"/>
            <w:vAlign w:val="center"/>
          </w:tcPr>
          <w:p w14:paraId="5E3FF696"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single" w:sz="4" w:space="0" w:color="000000"/>
              <w:bottom w:val="nil"/>
            </w:tcBorders>
            <w:shd w:val="clear" w:color="auto" w:fill="auto"/>
            <w:vAlign w:val="center"/>
          </w:tcPr>
          <w:p w14:paraId="56E3D34C"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0FBAF6C9" w14:textId="77777777">
        <w:trPr>
          <w:trHeight w:val="276"/>
        </w:trPr>
        <w:tc>
          <w:tcPr>
            <w:tcW w:w="1778" w:type="dxa"/>
            <w:tcBorders>
              <w:top w:val="nil"/>
              <w:bottom w:val="nil"/>
            </w:tcBorders>
            <w:shd w:val="clear" w:color="auto" w:fill="auto"/>
            <w:vAlign w:val="center"/>
          </w:tcPr>
          <w:p w14:paraId="68B5528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Gender</w:t>
            </w:r>
          </w:p>
        </w:tc>
        <w:tc>
          <w:tcPr>
            <w:tcW w:w="2410" w:type="dxa"/>
            <w:tcBorders>
              <w:top w:val="nil"/>
              <w:bottom w:val="nil"/>
            </w:tcBorders>
            <w:shd w:val="clear" w:color="auto" w:fill="auto"/>
            <w:vAlign w:val="center"/>
          </w:tcPr>
          <w:p w14:paraId="0F2AF88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0.586 (0.425-0.807)</w:t>
            </w:r>
          </w:p>
        </w:tc>
        <w:tc>
          <w:tcPr>
            <w:tcW w:w="1276" w:type="dxa"/>
            <w:tcBorders>
              <w:top w:val="nil"/>
              <w:bottom w:val="nil"/>
            </w:tcBorders>
            <w:shd w:val="clear" w:color="auto" w:fill="auto"/>
            <w:vAlign w:val="center"/>
          </w:tcPr>
          <w:p w14:paraId="7E8E235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0.001</w:t>
            </w:r>
          </w:p>
        </w:tc>
        <w:tc>
          <w:tcPr>
            <w:tcW w:w="2050" w:type="dxa"/>
            <w:tcBorders>
              <w:top w:val="nil"/>
              <w:bottom w:val="nil"/>
            </w:tcBorders>
            <w:shd w:val="clear" w:color="auto" w:fill="auto"/>
            <w:vAlign w:val="center"/>
          </w:tcPr>
          <w:p w14:paraId="2DEDE26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0.532 (0.384-0.737)</w:t>
            </w:r>
          </w:p>
        </w:tc>
        <w:tc>
          <w:tcPr>
            <w:tcW w:w="1595" w:type="dxa"/>
            <w:tcBorders>
              <w:top w:val="nil"/>
              <w:bottom w:val="nil"/>
            </w:tcBorders>
            <w:shd w:val="clear" w:color="auto" w:fill="auto"/>
            <w:vAlign w:val="center"/>
          </w:tcPr>
          <w:p w14:paraId="1A1416C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r>
      <w:tr w:rsidR="00053734" w:rsidRPr="00EA2DA7" w14:paraId="32E4E351" w14:textId="77777777">
        <w:trPr>
          <w:trHeight w:val="276"/>
        </w:trPr>
        <w:tc>
          <w:tcPr>
            <w:tcW w:w="1778" w:type="dxa"/>
            <w:tcBorders>
              <w:top w:val="nil"/>
              <w:bottom w:val="nil"/>
            </w:tcBorders>
            <w:shd w:val="clear" w:color="auto" w:fill="auto"/>
            <w:vAlign w:val="center"/>
          </w:tcPr>
          <w:p w14:paraId="129A47B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Causes of cirrhosis</w:t>
            </w:r>
          </w:p>
        </w:tc>
        <w:tc>
          <w:tcPr>
            <w:tcW w:w="2410" w:type="dxa"/>
            <w:tcBorders>
              <w:top w:val="nil"/>
              <w:bottom w:val="nil"/>
            </w:tcBorders>
            <w:shd w:val="clear" w:color="auto" w:fill="auto"/>
            <w:vAlign w:val="center"/>
          </w:tcPr>
          <w:p w14:paraId="43BE61B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0.946 (0.785-1.140)</w:t>
            </w:r>
          </w:p>
        </w:tc>
        <w:tc>
          <w:tcPr>
            <w:tcW w:w="1276" w:type="dxa"/>
            <w:tcBorders>
              <w:top w:val="nil"/>
              <w:bottom w:val="nil"/>
            </w:tcBorders>
            <w:shd w:val="clear" w:color="auto" w:fill="auto"/>
            <w:vAlign w:val="center"/>
          </w:tcPr>
          <w:p w14:paraId="79B79DB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0.557</w:t>
            </w:r>
          </w:p>
        </w:tc>
        <w:tc>
          <w:tcPr>
            <w:tcW w:w="2050" w:type="dxa"/>
            <w:tcBorders>
              <w:top w:val="nil"/>
              <w:bottom w:val="nil"/>
            </w:tcBorders>
            <w:shd w:val="clear" w:color="auto" w:fill="auto"/>
            <w:vAlign w:val="center"/>
          </w:tcPr>
          <w:p w14:paraId="142984F1"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17DDCBEC"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49570ECC" w14:textId="77777777">
        <w:trPr>
          <w:trHeight w:val="276"/>
        </w:trPr>
        <w:tc>
          <w:tcPr>
            <w:tcW w:w="1778" w:type="dxa"/>
            <w:tcBorders>
              <w:top w:val="nil"/>
              <w:bottom w:val="nil"/>
            </w:tcBorders>
            <w:shd w:val="clear" w:color="auto" w:fill="auto"/>
            <w:vAlign w:val="center"/>
          </w:tcPr>
          <w:p w14:paraId="11F1785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MAP</w:t>
            </w:r>
          </w:p>
        </w:tc>
        <w:tc>
          <w:tcPr>
            <w:tcW w:w="2410" w:type="dxa"/>
            <w:tcBorders>
              <w:top w:val="nil"/>
              <w:bottom w:val="nil"/>
            </w:tcBorders>
            <w:shd w:val="clear" w:color="auto" w:fill="auto"/>
            <w:vAlign w:val="center"/>
          </w:tcPr>
          <w:p w14:paraId="77A15F6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0.990 (0.981-0.999)</w:t>
            </w:r>
          </w:p>
        </w:tc>
        <w:tc>
          <w:tcPr>
            <w:tcW w:w="1276" w:type="dxa"/>
            <w:tcBorders>
              <w:top w:val="nil"/>
              <w:bottom w:val="nil"/>
            </w:tcBorders>
            <w:shd w:val="clear" w:color="auto" w:fill="auto"/>
            <w:vAlign w:val="center"/>
          </w:tcPr>
          <w:p w14:paraId="04D5605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0.024</w:t>
            </w:r>
          </w:p>
        </w:tc>
        <w:tc>
          <w:tcPr>
            <w:tcW w:w="2050" w:type="dxa"/>
            <w:tcBorders>
              <w:top w:val="nil"/>
              <w:bottom w:val="nil"/>
            </w:tcBorders>
            <w:shd w:val="clear" w:color="auto" w:fill="auto"/>
            <w:vAlign w:val="center"/>
          </w:tcPr>
          <w:p w14:paraId="08DE8BF5"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5CABE402"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0A1EFA1D" w14:textId="77777777">
        <w:trPr>
          <w:trHeight w:val="276"/>
        </w:trPr>
        <w:tc>
          <w:tcPr>
            <w:tcW w:w="1778" w:type="dxa"/>
            <w:tcBorders>
              <w:top w:val="nil"/>
              <w:bottom w:val="nil"/>
            </w:tcBorders>
            <w:shd w:val="clear" w:color="auto" w:fill="auto"/>
            <w:vAlign w:val="center"/>
          </w:tcPr>
          <w:p w14:paraId="2BDF7B6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INR</w:t>
            </w:r>
          </w:p>
        </w:tc>
        <w:tc>
          <w:tcPr>
            <w:tcW w:w="2410" w:type="dxa"/>
            <w:tcBorders>
              <w:top w:val="nil"/>
              <w:bottom w:val="nil"/>
            </w:tcBorders>
            <w:shd w:val="clear" w:color="auto" w:fill="auto"/>
            <w:vAlign w:val="center"/>
          </w:tcPr>
          <w:p w14:paraId="378F043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1.842 (1.599-2.122)</w:t>
            </w:r>
          </w:p>
        </w:tc>
        <w:tc>
          <w:tcPr>
            <w:tcW w:w="1276" w:type="dxa"/>
            <w:tcBorders>
              <w:top w:val="nil"/>
              <w:bottom w:val="nil"/>
            </w:tcBorders>
            <w:shd w:val="clear" w:color="auto" w:fill="auto"/>
            <w:vAlign w:val="center"/>
          </w:tcPr>
          <w:p w14:paraId="04A0FF2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top w:val="nil"/>
              <w:bottom w:val="nil"/>
            </w:tcBorders>
            <w:shd w:val="clear" w:color="auto" w:fill="auto"/>
            <w:vAlign w:val="center"/>
          </w:tcPr>
          <w:p w14:paraId="2F6A5BB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1.408 (1.173-1.691)</w:t>
            </w:r>
          </w:p>
        </w:tc>
        <w:tc>
          <w:tcPr>
            <w:tcW w:w="1595" w:type="dxa"/>
            <w:tcBorders>
              <w:top w:val="nil"/>
              <w:bottom w:val="nil"/>
            </w:tcBorders>
            <w:shd w:val="clear" w:color="auto" w:fill="auto"/>
            <w:vAlign w:val="center"/>
          </w:tcPr>
          <w:p w14:paraId="1E4CF9F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r>
      <w:tr w:rsidR="00053734" w:rsidRPr="00EA2DA7" w14:paraId="12FAF1BE" w14:textId="77777777">
        <w:trPr>
          <w:trHeight w:val="276"/>
        </w:trPr>
        <w:tc>
          <w:tcPr>
            <w:tcW w:w="1778" w:type="dxa"/>
            <w:tcBorders>
              <w:top w:val="nil"/>
              <w:bottom w:val="nil"/>
            </w:tcBorders>
            <w:shd w:val="clear" w:color="auto" w:fill="auto"/>
            <w:vAlign w:val="center"/>
          </w:tcPr>
          <w:p w14:paraId="616DDB8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Neutrophil</w:t>
            </w:r>
          </w:p>
        </w:tc>
        <w:tc>
          <w:tcPr>
            <w:tcW w:w="2410" w:type="dxa"/>
            <w:tcBorders>
              <w:top w:val="nil"/>
              <w:bottom w:val="nil"/>
            </w:tcBorders>
            <w:shd w:val="clear" w:color="auto" w:fill="auto"/>
            <w:vAlign w:val="center"/>
          </w:tcPr>
          <w:p w14:paraId="4E8C0F0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1.028 (1.015-1.041)</w:t>
            </w:r>
          </w:p>
        </w:tc>
        <w:tc>
          <w:tcPr>
            <w:tcW w:w="1276" w:type="dxa"/>
            <w:tcBorders>
              <w:top w:val="nil"/>
              <w:bottom w:val="nil"/>
            </w:tcBorders>
            <w:shd w:val="clear" w:color="auto" w:fill="auto"/>
            <w:vAlign w:val="center"/>
          </w:tcPr>
          <w:p w14:paraId="6E296DD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top w:val="nil"/>
              <w:bottom w:val="nil"/>
            </w:tcBorders>
            <w:shd w:val="clear" w:color="auto" w:fill="auto"/>
            <w:vAlign w:val="center"/>
          </w:tcPr>
          <w:p w14:paraId="466792F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1.031 (1.018-1.044)</w:t>
            </w:r>
          </w:p>
        </w:tc>
        <w:tc>
          <w:tcPr>
            <w:tcW w:w="1595" w:type="dxa"/>
            <w:tcBorders>
              <w:top w:val="nil"/>
              <w:bottom w:val="nil"/>
            </w:tcBorders>
            <w:shd w:val="clear" w:color="auto" w:fill="auto"/>
            <w:vAlign w:val="center"/>
          </w:tcPr>
          <w:p w14:paraId="0E7E010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r>
      <w:tr w:rsidR="00053734" w:rsidRPr="00EA2DA7" w14:paraId="408BE43D" w14:textId="77777777">
        <w:trPr>
          <w:trHeight w:val="276"/>
        </w:trPr>
        <w:tc>
          <w:tcPr>
            <w:tcW w:w="1778" w:type="dxa"/>
            <w:tcBorders>
              <w:top w:val="nil"/>
              <w:bottom w:val="nil"/>
            </w:tcBorders>
            <w:shd w:val="clear" w:color="auto" w:fill="auto"/>
            <w:vAlign w:val="center"/>
          </w:tcPr>
          <w:p w14:paraId="4018CB5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RBC</w:t>
            </w:r>
          </w:p>
        </w:tc>
        <w:tc>
          <w:tcPr>
            <w:tcW w:w="2410" w:type="dxa"/>
            <w:tcBorders>
              <w:top w:val="nil"/>
              <w:bottom w:val="nil"/>
            </w:tcBorders>
            <w:shd w:val="clear" w:color="auto" w:fill="auto"/>
            <w:vAlign w:val="center"/>
          </w:tcPr>
          <w:p w14:paraId="123D566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1.137 (0.959-1.348)</w:t>
            </w:r>
          </w:p>
        </w:tc>
        <w:tc>
          <w:tcPr>
            <w:tcW w:w="1276" w:type="dxa"/>
            <w:tcBorders>
              <w:top w:val="nil"/>
              <w:bottom w:val="nil"/>
            </w:tcBorders>
            <w:shd w:val="clear" w:color="auto" w:fill="auto"/>
            <w:vAlign w:val="center"/>
          </w:tcPr>
          <w:p w14:paraId="5628245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0.139</w:t>
            </w:r>
          </w:p>
        </w:tc>
        <w:tc>
          <w:tcPr>
            <w:tcW w:w="2050" w:type="dxa"/>
            <w:tcBorders>
              <w:top w:val="nil"/>
              <w:bottom w:val="nil"/>
            </w:tcBorders>
            <w:shd w:val="clear" w:color="auto" w:fill="auto"/>
            <w:vAlign w:val="center"/>
          </w:tcPr>
          <w:p w14:paraId="5D076B5B"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00AE7A06"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5457F3D1" w14:textId="77777777">
        <w:trPr>
          <w:trHeight w:val="276"/>
        </w:trPr>
        <w:tc>
          <w:tcPr>
            <w:tcW w:w="1778" w:type="dxa"/>
            <w:tcBorders>
              <w:top w:val="nil"/>
              <w:bottom w:val="nil"/>
            </w:tcBorders>
            <w:shd w:val="clear" w:color="auto" w:fill="auto"/>
            <w:vAlign w:val="center"/>
          </w:tcPr>
          <w:p w14:paraId="51BFCA82" w14:textId="66A731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Hemoglobin</w:t>
            </w:r>
          </w:p>
        </w:tc>
        <w:tc>
          <w:tcPr>
            <w:tcW w:w="2410" w:type="dxa"/>
            <w:tcBorders>
              <w:top w:val="nil"/>
              <w:bottom w:val="nil"/>
            </w:tcBorders>
            <w:shd w:val="clear" w:color="auto" w:fill="auto"/>
            <w:vAlign w:val="center"/>
          </w:tcPr>
          <w:p w14:paraId="45C8B41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1.007 (1.002-1.012)</w:t>
            </w:r>
          </w:p>
        </w:tc>
        <w:tc>
          <w:tcPr>
            <w:tcW w:w="1276" w:type="dxa"/>
            <w:tcBorders>
              <w:top w:val="nil"/>
              <w:bottom w:val="nil"/>
            </w:tcBorders>
            <w:shd w:val="clear" w:color="auto" w:fill="auto"/>
            <w:vAlign w:val="center"/>
          </w:tcPr>
          <w:p w14:paraId="3FB0DE0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0.012</w:t>
            </w:r>
          </w:p>
        </w:tc>
        <w:tc>
          <w:tcPr>
            <w:tcW w:w="2050" w:type="dxa"/>
            <w:tcBorders>
              <w:top w:val="nil"/>
              <w:bottom w:val="nil"/>
            </w:tcBorders>
            <w:shd w:val="clear" w:color="auto" w:fill="auto"/>
            <w:vAlign w:val="center"/>
          </w:tcPr>
          <w:p w14:paraId="7F424A97"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2D348ED3"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ACD9B90" w14:textId="77777777">
        <w:trPr>
          <w:trHeight w:val="276"/>
        </w:trPr>
        <w:tc>
          <w:tcPr>
            <w:tcW w:w="1778" w:type="dxa"/>
            <w:tcBorders>
              <w:top w:val="nil"/>
              <w:bottom w:val="nil"/>
            </w:tcBorders>
            <w:shd w:val="clear" w:color="auto" w:fill="auto"/>
            <w:vAlign w:val="center"/>
          </w:tcPr>
          <w:p w14:paraId="4D31777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MCV</w:t>
            </w:r>
          </w:p>
        </w:tc>
        <w:tc>
          <w:tcPr>
            <w:tcW w:w="2410" w:type="dxa"/>
            <w:tcBorders>
              <w:top w:val="nil"/>
              <w:bottom w:val="nil"/>
            </w:tcBorders>
            <w:shd w:val="clear" w:color="auto" w:fill="auto"/>
            <w:vAlign w:val="center"/>
          </w:tcPr>
          <w:p w14:paraId="7DC1B2B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1.004 (0.988-1.021)</w:t>
            </w:r>
          </w:p>
        </w:tc>
        <w:tc>
          <w:tcPr>
            <w:tcW w:w="1276" w:type="dxa"/>
            <w:tcBorders>
              <w:top w:val="nil"/>
              <w:bottom w:val="nil"/>
            </w:tcBorders>
            <w:shd w:val="clear" w:color="auto" w:fill="auto"/>
            <w:vAlign w:val="center"/>
          </w:tcPr>
          <w:p w14:paraId="0AF26BE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0.599</w:t>
            </w:r>
          </w:p>
        </w:tc>
        <w:tc>
          <w:tcPr>
            <w:tcW w:w="2050" w:type="dxa"/>
            <w:tcBorders>
              <w:top w:val="nil"/>
              <w:bottom w:val="nil"/>
            </w:tcBorders>
            <w:shd w:val="clear" w:color="auto" w:fill="auto"/>
            <w:vAlign w:val="center"/>
          </w:tcPr>
          <w:p w14:paraId="11215635"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46F4DCF6"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7E13C8DE" w14:textId="77777777">
        <w:trPr>
          <w:trHeight w:val="276"/>
        </w:trPr>
        <w:tc>
          <w:tcPr>
            <w:tcW w:w="1778" w:type="dxa"/>
            <w:tcBorders>
              <w:top w:val="nil"/>
              <w:bottom w:val="nil"/>
            </w:tcBorders>
            <w:shd w:val="clear" w:color="auto" w:fill="auto"/>
            <w:vAlign w:val="center"/>
          </w:tcPr>
          <w:p w14:paraId="7CD5C71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MCH</w:t>
            </w:r>
          </w:p>
        </w:tc>
        <w:tc>
          <w:tcPr>
            <w:tcW w:w="2410" w:type="dxa"/>
            <w:tcBorders>
              <w:top w:val="nil"/>
              <w:bottom w:val="nil"/>
            </w:tcBorders>
            <w:shd w:val="clear" w:color="auto" w:fill="auto"/>
            <w:vAlign w:val="center"/>
          </w:tcPr>
          <w:p w14:paraId="3044A1A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1.066 (1.022-1.111)</w:t>
            </w:r>
          </w:p>
        </w:tc>
        <w:tc>
          <w:tcPr>
            <w:tcW w:w="1276" w:type="dxa"/>
            <w:tcBorders>
              <w:top w:val="nil"/>
              <w:bottom w:val="nil"/>
            </w:tcBorders>
            <w:shd w:val="clear" w:color="auto" w:fill="auto"/>
            <w:vAlign w:val="center"/>
          </w:tcPr>
          <w:p w14:paraId="53F9DF0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0.003</w:t>
            </w:r>
          </w:p>
        </w:tc>
        <w:tc>
          <w:tcPr>
            <w:tcW w:w="2050" w:type="dxa"/>
            <w:tcBorders>
              <w:top w:val="nil"/>
              <w:bottom w:val="nil"/>
            </w:tcBorders>
            <w:shd w:val="clear" w:color="auto" w:fill="auto"/>
            <w:vAlign w:val="center"/>
          </w:tcPr>
          <w:p w14:paraId="33EDF034"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4A24BA81"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044DC208" w14:textId="77777777">
        <w:trPr>
          <w:trHeight w:val="276"/>
        </w:trPr>
        <w:tc>
          <w:tcPr>
            <w:tcW w:w="1778" w:type="dxa"/>
            <w:tcBorders>
              <w:top w:val="nil"/>
              <w:bottom w:val="nil"/>
            </w:tcBorders>
            <w:shd w:val="clear" w:color="auto" w:fill="auto"/>
            <w:vAlign w:val="center"/>
          </w:tcPr>
          <w:p w14:paraId="580DDCF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MCHC</w:t>
            </w:r>
          </w:p>
        </w:tc>
        <w:tc>
          <w:tcPr>
            <w:tcW w:w="2410" w:type="dxa"/>
            <w:tcBorders>
              <w:top w:val="nil"/>
              <w:bottom w:val="nil"/>
            </w:tcBorders>
            <w:shd w:val="clear" w:color="auto" w:fill="auto"/>
            <w:vAlign w:val="center"/>
          </w:tcPr>
          <w:p w14:paraId="26E2D45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1.019 (1.010-1.027)</w:t>
            </w:r>
          </w:p>
        </w:tc>
        <w:tc>
          <w:tcPr>
            <w:tcW w:w="1276" w:type="dxa"/>
            <w:tcBorders>
              <w:top w:val="nil"/>
              <w:bottom w:val="nil"/>
            </w:tcBorders>
            <w:shd w:val="clear" w:color="auto" w:fill="auto"/>
            <w:vAlign w:val="center"/>
          </w:tcPr>
          <w:p w14:paraId="66F9A51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top w:val="nil"/>
              <w:bottom w:val="nil"/>
            </w:tcBorders>
            <w:shd w:val="clear" w:color="auto" w:fill="auto"/>
            <w:vAlign w:val="center"/>
          </w:tcPr>
          <w:p w14:paraId="123F2AC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1.014 (1.005-1.022)</w:t>
            </w:r>
          </w:p>
        </w:tc>
        <w:tc>
          <w:tcPr>
            <w:tcW w:w="1595" w:type="dxa"/>
            <w:tcBorders>
              <w:top w:val="nil"/>
              <w:bottom w:val="nil"/>
            </w:tcBorders>
            <w:shd w:val="clear" w:color="auto" w:fill="auto"/>
            <w:vAlign w:val="center"/>
          </w:tcPr>
          <w:p w14:paraId="1C5858A7" w14:textId="77777777" w:rsidR="00053734" w:rsidRPr="00EA2DA7" w:rsidRDefault="00721F08" w:rsidP="00EA2DA7">
            <w:pPr>
              <w:spacing w:line="360" w:lineRule="auto"/>
              <w:ind w:right="480"/>
              <w:jc w:val="both"/>
              <w:rPr>
                <w:rFonts w:ascii="Book Antiqua" w:eastAsia="Book Antiqua" w:hAnsi="Book Antiqua" w:cs="Book Antiqua"/>
              </w:rPr>
            </w:pPr>
            <w:r w:rsidRPr="00EA2DA7">
              <w:rPr>
                <w:rFonts w:ascii="Book Antiqua" w:eastAsia="Book Antiqua" w:hAnsi="Book Antiqua" w:cs="Book Antiqua"/>
              </w:rPr>
              <w:t>0.002</w:t>
            </w:r>
          </w:p>
        </w:tc>
      </w:tr>
      <w:tr w:rsidR="00053734" w:rsidRPr="00EA2DA7" w14:paraId="2E8F9E9B" w14:textId="77777777">
        <w:trPr>
          <w:trHeight w:val="276"/>
        </w:trPr>
        <w:tc>
          <w:tcPr>
            <w:tcW w:w="1778" w:type="dxa"/>
            <w:tcBorders>
              <w:top w:val="nil"/>
              <w:bottom w:val="nil"/>
            </w:tcBorders>
            <w:shd w:val="clear" w:color="auto" w:fill="auto"/>
            <w:vAlign w:val="center"/>
          </w:tcPr>
          <w:p w14:paraId="36196BB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Platelet</w:t>
            </w:r>
          </w:p>
        </w:tc>
        <w:tc>
          <w:tcPr>
            <w:tcW w:w="2410" w:type="dxa"/>
            <w:tcBorders>
              <w:top w:val="nil"/>
              <w:bottom w:val="nil"/>
            </w:tcBorders>
            <w:shd w:val="clear" w:color="auto" w:fill="auto"/>
            <w:vAlign w:val="center"/>
          </w:tcPr>
          <w:p w14:paraId="08456DC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0.997 (0.994-1.000)</w:t>
            </w:r>
          </w:p>
        </w:tc>
        <w:tc>
          <w:tcPr>
            <w:tcW w:w="1276" w:type="dxa"/>
            <w:tcBorders>
              <w:top w:val="nil"/>
              <w:bottom w:val="nil"/>
            </w:tcBorders>
            <w:shd w:val="clear" w:color="auto" w:fill="auto"/>
            <w:vAlign w:val="center"/>
          </w:tcPr>
          <w:p w14:paraId="6A90094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0.090</w:t>
            </w:r>
          </w:p>
        </w:tc>
        <w:tc>
          <w:tcPr>
            <w:tcW w:w="2050" w:type="dxa"/>
            <w:tcBorders>
              <w:top w:val="nil"/>
              <w:bottom w:val="nil"/>
            </w:tcBorders>
            <w:shd w:val="clear" w:color="auto" w:fill="auto"/>
            <w:vAlign w:val="center"/>
          </w:tcPr>
          <w:p w14:paraId="32C1FC22"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56F2756C"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741B9E6B" w14:textId="77777777">
        <w:trPr>
          <w:trHeight w:val="276"/>
        </w:trPr>
        <w:tc>
          <w:tcPr>
            <w:tcW w:w="1778" w:type="dxa"/>
            <w:tcBorders>
              <w:top w:val="nil"/>
              <w:bottom w:val="nil"/>
            </w:tcBorders>
            <w:shd w:val="clear" w:color="auto" w:fill="auto"/>
            <w:vAlign w:val="center"/>
          </w:tcPr>
          <w:p w14:paraId="56C4692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Albumin</w:t>
            </w:r>
          </w:p>
        </w:tc>
        <w:tc>
          <w:tcPr>
            <w:tcW w:w="2410" w:type="dxa"/>
            <w:tcBorders>
              <w:top w:val="nil"/>
              <w:bottom w:val="nil"/>
            </w:tcBorders>
            <w:shd w:val="clear" w:color="auto" w:fill="auto"/>
            <w:vAlign w:val="center"/>
          </w:tcPr>
          <w:p w14:paraId="480252D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1.000 (0.973-1.028)</w:t>
            </w:r>
          </w:p>
        </w:tc>
        <w:tc>
          <w:tcPr>
            <w:tcW w:w="1276" w:type="dxa"/>
            <w:tcBorders>
              <w:top w:val="nil"/>
              <w:bottom w:val="nil"/>
            </w:tcBorders>
            <w:shd w:val="clear" w:color="auto" w:fill="auto"/>
            <w:vAlign w:val="center"/>
          </w:tcPr>
          <w:p w14:paraId="1C309D8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0.999</w:t>
            </w:r>
          </w:p>
        </w:tc>
        <w:tc>
          <w:tcPr>
            <w:tcW w:w="2050" w:type="dxa"/>
            <w:tcBorders>
              <w:top w:val="nil"/>
              <w:bottom w:val="nil"/>
            </w:tcBorders>
            <w:shd w:val="clear" w:color="auto" w:fill="auto"/>
            <w:vAlign w:val="center"/>
          </w:tcPr>
          <w:p w14:paraId="10183051"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0B0258F6"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1E84C090" w14:textId="77777777">
        <w:trPr>
          <w:trHeight w:val="276"/>
        </w:trPr>
        <w:tc>
          <w:tcPr>
            <w:tcW w:w="1778" w:type="dxa"/>
            <w:tcBorders>
              <w:top w:val="nil"/>
              <w:bottom w:val="nil"/>
            </w:tcBorders>
            <w:shd w:val="clear" w:color="auto" w:fill="auto"/>
            <w:vAlign w:val="center"/>
          </w:tcPr>
          <w:p w14:paraId="629972E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A/G</w:t>
            </w:r>
          </w:p>
        </w:tc>
        <w:tc>
          <w:tcPr>
            <w:tcW w:w="2410" w:type="dxa"/>
            <w:tcBorders>
              <w:top w:val="nil"/>
              <w:bottom w:val="nil"/>
            </w:tcBorders>
            <w:shd w:val="clear" w:color="auto" w:fill="auto"/>
            <w:vAlign w:val="center"/>
          </w:tcPr>
          <w:p w14:paraId="33D9972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1.257 (1.093-1.445)</w:t>
            </w:r>
          </w:p>
        </w:tc>
        <w:tc>
          <w:tcPr>
            <w:tcW w:w="1276" w:type="dxa"/>
            <w:tcBorders>
              <w:top w:val="nil"/>
              <w:bottom w:val="nil"/>
            </w:tcBorders>
            <w:shd w:val="clear" w:color="auto" w:fill="auto"/>
            <w:vAlign w:val="center"/>
          </w:tcPr>
          <w:p w14:paraId="3D87A1F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0.001</w:t>
            </w:r>
          </w:p>
        </w:tc>
        <w:tc>
          <w:tcPr>
            <w:tcW w:w="2050" w:type="dxa"/>
            <w:tcBorders>
              <w:top w:val="nil"/>
              <w:bottom w:val="nil"/>
            </w:tcBorders>
            <w:shd w:val="clear" w:color="auto" w:fill="auto"/>
            <w:vAlign w:val="center"/>
          </w:tcPr>
          <w:p w14:paraId="175D0D19"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67CC2A6F"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27B5BF4B" w14:textId="77777777">
        <w:trPr>
          <w:trHeight w:val="276"/>
        </w:trPr>
        <w:tc>
          <w:tcPr>
            <w:tcW w:w="1778" w:type="dxa"/>
            <w:tcBorders>
              <w:top w:val="nil"/>
              <w:bottom w:val="nil"/>
            </w:tcBorders>
            <w:shd w:val="clear" w:color="auto" w:fill="auto"/>
            <w:vAlign w:val="center"/>
          </w:tcPr>
          <w:p w14:paraId="65DC1EC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ALT</w:t>
            </w:r>
          </w:p>
        </w:tc>
        <w:tc>
          <w:tcPr>
            <w:tcW w:w="2410" w:type="dxa"/>
            <w:tcBorders>
              <w:top w:val="nil"/>
              <w:bottom w:val="nil"/>
            </w:tcBorders>
            <w:shd w:val="clear" w:color="auto" w:fill="auto"/>
            <w:vAlign w:val="center"/>
          </w:tcPr>
          <w:p w14:paraId="48961A5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1.000 (1.000-1.001)</w:t>
            </w:r>
          </w:p>
        </w:tc>
        <w:tc>
          <w:tcPr>
            <w:tcW w:w="1276" w:type="dxa"/>
            <w:tcBorders>
              <w:top w:val="nil"/>
              <w:bottom w:val="nil"/>
            </w:tcBorders>
            <w:shd w:val="clear" w:color="auto" w:fill="auto"/>
            <w:vAlign w:val="center"/>
          </w:tcPr>
          <w:p w14:paraId="417DC8E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0.094</w:t>
            </w:r>
          </w:p>
        </w:tc>
        <w:tc>
          <w:tcPr>
            <w:tcW w:w="2050" w:type="dxa"/>
            <w:tcBorders>
              <w:top w:val="nil"/>
              <w:bottom w:val="nil"/>
            </w:tcBorders>
            <w:shd w:val="clear" w:color="auto" w:fill="auto"/>
            <w:vAlign w:val="center"/>
          </w:tcPr>
          <w:p w14:paraId="119160CC"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113B36E6"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4EF99261" w14:textId="77777777">
        <w:trPr>
          <w:trHeight w:val="276"/>
        </w:trPr>
        <w:tc>
          <w:tcPr>
            <w:tcW w:w="1778" w:type="dxa"/>
            <w:tcBorders>
              <w:top w:val="nil"/>
              <w:bottom w:val="nil"/>
            </w:tcBorders>
            <w:shd w:val="clear" w:color="auto" w:fill="auto"/>
            <w:vAlign w:val="center"/>
          </w:tcPr>
          <w:p w14:paraId="02785A6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Serum bilirubin</w:t>
            </w:r>
          </w:p>
        </w:tc>
        <w:tc>
          <w:tcPr>
            <w:tcW w:w="2410" w:type="dxa"/>
            <w:tcBorders>
              <w:top w:val="nil"/>
              <w:bottom w:val="nil"/>
            </w:tcBorders>
            <w:shd w:val="clear" w:color="auto" w:fill="auto"/>
            <w:vAlign w:val="center"/>
          </w:tcPr>
          <w:p w14:paraId="5E30865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1.002 (1.001-1.003)</w:t>
            </w:r>
          </w:p>
        </w:tc>
        <w:tc>
          <w:tcPr>
            <w:tcW w:w="1276" w:type="dxa"/>
            <w:tcBorders>
              <w:top w:val="nil"/>
              <w:bottom w:val="nil"/>
            </w:tcBorders>
            <w:shd w:val="clear" w:color="auto" w:fill="auto"/>
            <w:vAlign w:val="center"/>
          </w:tcPr>
          <w:p w14:paraId="069FAE6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top w:val="nil"/>
              <w:bottom w:val="nil"/>
            </w:tcBorders>
            <w:shd w:val="clear" w:color="auto" w:fill="auto"/>
            <w:vAlign w:val="center"/>
          </w:tcPr>
          <w:p w14:paraId="36F25F43"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0B3D6FE0"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0EB3156" w14:textId="77777777">
        <w:trPr>
          <w:trHeight w:val="276"/>
        </w:trPr>
        <w:tc>
          <w:tcPr>
            <w:tcW w:w="1778" w:type="dxa"/>
            <w:tcBorders>
              <w:top w:val="nil"/>
              <w:bottom w:val="nil"/>
            </w:tcBorders>
            <w:shd w:val="clear" w:color="auto" w:fill="auto"/>
            <w:vAlign w:val="center"/>
          </w:tcPr>
          <w:p w14:paraId="5771814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Cholinesterase</w:t>
            </w:r>
          </w:p>
        </w:tc>
        <w:tc>
          <w:tcPr>
            <w:tcW w:w="2410" w:type="dxa"/>
            <w:tcBorders>
              <w:top w:val="nil"/>
              <w:bottom w:val="nil"/>
            </w:tcBorders>
            <w:shd w:val="clear" w:color="auto" w:fill="auto"/>
            <w:vAlign w:val="center"/>
          </w:tcPr>
          <w:p w14:paraId="387A870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1.000 (0.999-1.000)</w:t>
            </w:r>
          </w:p>
        </w:tc>
        <w:tc>
          <w:tcPr>
            <w:tcW w:w="1276" w:type="dxa"/>
            <w:tcBorders>
              <w:top w:val="nil"/>
              <w:bottom w:val="nil"/>
            </w:tcBorders>
            <w:shd w:val="clear" w:color="auto" w:fill="auto"/>
            <w:vAlign w:val="center"/>
          </w:tcPr>
          <w:p w14:paraId="4F9AA40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0.160</w:t>
            </w:r>
          </w:p>
        </w:tc>
        <w:tc>
          <w:tcPr>
            <w:tcW w:w="2050" w:type="dxa"/>
            <w:tcBorders>
              <w:top w:val="nil"/>
              <w:bottom w:val="nil"/>
            </w:tcBorders>
            <w:shd w:val="clear" w:color="auto" w:fill="auto"/>
            <w:vAlign w:val="center"/>
          </w:tcPr>
          <w:p w14:paraId="7A9493BC"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bottom w:val="nil"/>
            </w:tcBorders>
            <w:shd w:val="clear" w:color="auto" w:fill="auto"/>
            <w:vAlign w:val="center"/>
          </w:tcPr>
          <w:p w14:paraId="30F48DA8"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3D2D70F" w14:textId="77777777">
        <w:trPr>
          <w:trHeight w:val="276"/>
        </w:trPr>
        <w:tc>
          <w:tcPr>
            <w:tcW w:w="1778" w:type="dxa"/>
            <w:tcBorders>
              <w:top w:val="nil"/>
            </w:tcBorders>
            <w:shd w:val="clear" w:color="auto" w:fill="auto"/>
            <w:vAlign w:val="center"/>
          </w:tcPr>
          <w:p w14:paraId="49D078C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Creatinine</w:t>
            </w:r>
          </w:p>
        </w:tc>
        <w:tc>
          <w:tcPr>
            <w:tcW w:w="2410" w:type="dxa"/>
            <w:tcBorders>
              <w:top w:val="nil"/>
            </w:tcBorders>
            <w:shd w:val="clear" w:color="auto" w:fill="auto"/>
            <w:vAlign w:val="center"/>
          </w:tcPr>
          <w:p w14:paraId="5DB6172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1.000 (0.999-1.001)</w:t>
            </w:r>
          </w:p>
        </w:tc>
        <w:tc>
          <w:tcPr>
            <w:tcW w:w="1276" w:type="dxa"/>
            <w:tcBorders>
              <w:top w:val="nil"/>
            </w:tcBorders>
            <w:shd w:val="clear" w:color="auto" w:fill="auto"/>
            <w:vAlign w:val="center"/>
          </w:tcPr>
          <w:p w14:paraId="2DA3EB9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0.704</w:t>
            </w:r>
          </w:p>
        </w:tc>
        <w:tc>
          <w:tcPr>
            <w:tcW w:w="2050" w:type="dxa"/>
            <w:tcBorders>
              <w:top w:val="nil"/>
            </w:tcBorders>
            <w:shd w:val="clear" w:color="auto" w:fill="auto"/>
            <w:vAlign w:val="center"/>
          </w:tcPr>
          <w:p w14:paraId="0492F72D"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tcBorders>
            <w:shd w:val="clear" w:color="auto" w:fill="auto"/>
            <w:vAlign w:val="center"/>
          </w:tcPr>
          <w:p w14:paraId="1521269B"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0E8E719" w14:textId="77777777">
        <w:trPr>
          <w:trHeight w:val="276"/>
        </w:trPr>
        <w:tc>
          <w:tcPr>
            <w:tcW w:w="1778" w:type="dxa"/>
            <w:tcBorders>
              <w:top w:val="nil"/>
            </w:tcBorders>
            <w:shd w:val="clear" w:color="auto" w:fill="auto"/>
            <w:vAlign w:val="center"/>
          </w:tcPr>
          <w:p w14:paraId="3A91309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Sodium</w:t>
            </w:r>
          </w:p>
        </w:tc>
        <w:tc>
          <w:tcPr>
            <w:tcW w:w="2410" w:type="dxa"/>
            <w:tcBorders>
              <w:top w:val="nil"/>
            </w:tcBorders>
            <w:shd w:val="clear" w:color="auto" w:fill="auto"/>
            <w:vAlign w:val="center"/>
          </w:tcPr>
          <w:p w14:paraId="6F02F2E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0.960 (0.939-0.982)</w:t>
            </w:r>
          </w:p>
        </w:tc>
        <w:tc>
          <w:tcPr>
            <w:tcW w:w="1276" w:type="dxa"/>
            <w:tcBorders>
              <w:top w:val="nil"/>
            </w:tcBorders>
            <w:shd w:val="clear" w:color="auto" w:fill="auto"/>
            <w:vAlign w:val="center"/>
          </w:tcPr>
          <w:p w14:paraId="5F2CF85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top w:val="nil"/>
            </w:tcBorders>
            <w:shd w:val="clear" w:color="auto" w:fill="auto"/>
            <w:vAlign w:val="center"/>
          </w:tcPr>
          <w:p w14:paraId="5B3FB71C"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tcBorders>
            <w:shd w:val="clear" w:color="auto" w:fill="auto"/>
            <w:vAlign w:val="center"/>
          </w:tcPr>
          <w:p w14:paraId="36608C08"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3E6BBFB4" w14:textId="77777777">
        <w:trPr>
          <w:trHeight w:val="276"/>
        </w:trPr>
        <w:tc>
          <w:tcPr>
            <w:tcW w:w="1778" w:type="dxa"/>
            <w:tcBorders>
              <w:top w:val="nil"/>
            </w:tcBorders>
            <w:shd w:val="clear" w:color="auto" w:fill="auto"/>
            <w:vAlign w:val="center"/>
          </w:tcPr>
          <w:p w14:paraId="71F67BE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lastRenderedPageBreak/>
              <w:t>Potassium</w:t>
            </w:r>
          </w:p>
        </w:tc>
        <w:tc>
          <w:tcPr>
            <w:tcW w:w="2410" w:type="dxa"/>
            <w:tcBorders>
              <w:top w:val="nil"/>
            </w:tcBorders>
            <w:shd w:val="clear" w:color="auto" w:fill="auto"/>
            <w:vAlign w:val="center"/>
          </w:tcPr>
          <w:p w14:paraId="17FC343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1.215 (1.032-1.430)</w:t>
            </w:r>
          </w:p>
        </w:tc>
        <w:tc>
          <w:tcPr>
            <w:tcW w:w="1276" w:type="dxa"/>
            <w:tcBorders>
              <w:top w:val="nil"/>
            </w:tcBorders>
            <w:shd w:val="clear" w:color="auto" w:fill="auto"/>
            <w:vAlign w:val="center"/>
          </w:tcPr>
          <w:p w14:paraId="416D1AF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0.019</w:t>
            </w:r>
          </w:p>
        </w:tc>
        <w:tc>
          <w:tcPr>
            <w:tcW w:w="2050" w:type="dxa"/>
            <w:tcBorders>
              <w:top w:val="nil"/>
            </w:tcBorders>
            <w:shd w:val="clear" w:color="auto" w:fill="auto"/>
            <w:vAlign w:val="center"/>
          </w:tcPr>
          <w:p w14:paraId="11AF8963"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top w:val="nil"/>
            </w:tcBorders>
            <w:shd w:val="clear" w:color="auto" w:fill="auto"/>
            <w:vAlign w:val="center"/>
          </w:tcPr>
          <w:p w14:paraId="16365BC8"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5F4621E0" w14:textId="77777777">
        <w:trPr>
          <w:trHeight w:val="276"/>
        </w:trPr>
        <w:tc>
          <w:tcPr>
            <w:tcW w:w="1778" w:type="dxa"/>
            <w:shd w:val="clear" w:color="auto" w:fill="auto"/>
            <w:vAlign w:val="center"/>
          </w:tcPr>
          <w:p w14:paraId="46A6312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Stage</w:t>
            </w:r>
          </w:p>
        </w:tc>
        <w:tc>
          <w:tcPr>
            <w:tcW w:w="2410" w:type="dxa"/>
            <w:shd w:val="clear" w:color="auto" w:fill="auto"/>
            <w:vAlign w:val="center"/>
          </w:tcPr>
          <w:p w14:paraId="70B7CFE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3.805 (2.800-5.170)</w:t>
            </w:r>
          </w:p>
        </w:tc>
        <w:tc>
          <w:tcPr>
            <w:tcW w:w="1276" w:type="dxa"/>
            <w:shd w:val="clear" w:color="auto" w:fill="auto"/>
            <w:vAlign w:val="center"/>
          </w:tcPr>
          <w:p w14:paraId="56AF8FA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shd w:val="clear" w:color="auto" w:fill="auto"/>
            <w:vAlign w:val="center"/>
          </w:tcPr>
          <w:p w14:paraId="2826150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2.724 (1.877-3.952)</w:t>
            </w:r>
          </w:p>
        </w:tc>
        <w:tc>
          <w:tcPr>
            <w:tcW w:w="1595" w:type="dxa"/>
            <w:shd w:val="clear" w:color="auto" w:fill="auto"/>
            <w:vAlign w:val="center"/>
          </w:tcPr>
          <w:p w14:paraId="5801FCA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r>
      <w:tr w:rsidR="00053734" w:rsidRPr="00EA2DA7" w14:paraId="4CABA740" w14:textId="77777777">
        <w:trPr>
          <w:trHeight w:val="276"/>
        </w:trPr>
        <w:tc>
          <w:tcPr>
            <w:tcW w:w="1778" w:type="dxa"/>
            <w:shd w:val="clear" w:color="auto" w:fill="auto"/>
            <w:vAlign w:val="center"/>
          </w:tcPr>
          <w:p w14:paraId="208E89B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MELD</w:t>
            </w:r>
          </w:p>
        </w:tc>
        <w:tc>
          <w:tcPr>
            <w:tcW w:w="2410" w:type="dxa"/>
            <w:shd w:val="clear" w:color="auto" w:fill="auto"/>
            <w:vAlign w:val="center"/>
          </w:tcPr>
          <w:p w14:paraId="1745BDD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1.077 (1.058-1.096)</w:t>
            </w:r>
          </w:p>
        </w:tc>
        <w:tc>
          <w:tcPr>
            <w:tcW w:w="1276" w:type="dxa"/>
            <w:shd w:val="clear" w:color="auto" w:fill="auto"/>
            <w:vAlign w:val="center"/>
          </w:tcPr>
          <w:p w14:paraId="6990E02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shd w:val="clear" w:color="auto" w:fill="auto"/>
            <w:vAlign w:val="center"/>
          </w:tcPr>
          <w:p w14:paraId="75F5474F" w14:textId="77777777" w:rsidR="00053734" w:rsidRPr="00EA2DA7" w:rsidRDefault="00053734" w:rsidP="00EA2DA7">
            <w:pPr>
              <w:spacing w:line="360" w:lineRule="auto"/>
              <w:jc w:val="both"/>
              <w:rPr>
                <w:rFonts w:ascii="Book Antiqua" w:eastAsia="Book Antiqua" w:hAnsi="Book Antiqua" w:cs="Book Antiqua"/>
              </w:rPr>
            </w:pPr>
          </w:p>
        </w:tc>
        <w:tc>
          <w:tcPr>
            <w:tcW w:w="1595" w:type="dxa"/>
            <w:shd w:val="clear" w:color="auto" w:fill="auto"/>
            <w:vAlign w:val="center"/>
          </w:tcPr>
          <w:p w14:paraId="5DBD928A"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5FDD15A1" w14:textId="77777777">
        <w:trPr>
          <w:trHeight w:val="276"/>
        </w:trPr>
        <w:tc>
          <w:tcPr>
            <w:tcW w:w="1778" w:type="dxa"/>
            <w:shd w:val="clear" w:color="auto" w:fill="auto"/>
            <w:vAlign w:val="center"/>
          </w:tcPr>
          <w:p w14:paraId="703C2A6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CLIF-SOFA</w:t>
            </w:r>
          </w:p>
        </w:tc>
        <w:tc>
          <w:tcPr>
            <w:tcW w:w="2410" w:type="dxa"/>
            <w:shd w:val="clear" w:color="auto" w:fill="auto"/>
            <w:vAlign w:val="center"/>
          </w:tcPr>
          <w:p w14:paraId="4F33775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1.221 (1.166-1.278)</w:t>
            </w:r>
          </w:p>
        </w:tc>
        <w:tc>
          <w:tcPr>
            <w:tcW w:w="1276" w:type="dxa"/>
            <w:shd w:val="clear" w:color="auto" w:fill="auto"/>
            <w:vAlign w:val="center"/>
          </w:tcPr>
          <w:p w14:paraId="0475972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shd w:val="clear" w:color="auto" w:fill="auto"/>
            <w:vAlign w:val="center"/>
          </w:tcPr>
          <w:p w14:paraId="2E3376A6" w14:textId="77777777" w:rsidR="00053734" w:rsidRPr="00EA2DA7" w:rsidRDefault="00053734" w:rsidP="00EA2DA7">
            <w:pPr>
              <w:spacing w:line="360" w:lineRule="auto"/>
              <w:jc w:val="both"/>
              <w:rPr>
                <w:rFonts w:ascii="Book Antiqua" w:eastAsia="Book Antiqua" w:hAnsi="Book Antiqua" w:cs="Book Antiqua"/>
              </w:rPr>
            </w:pPr>
          </w:p>
        </w:tc>
        <w:tc>
          <w:tcPr>
            <w:tcW w:w="1595" w:type="dxa"/>
            <w:shd w:val="clear" w:color="auto" w:fill="auto"/>
            <w:vAlign w:val="center"/>
          </w:tcPr>
          <w:p w14:paraId="075B97D9"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0BAE1F7E" w14:textId="77777777">
        <w:trPr>
          <w:trHeight w:val="288"/>
        </w:trPr>
        <w:tc>
          <w:tcPr>
            <w:tcW w:w="1778" w:type="dxa"/>
            <w:tcBorders>
              <w:bottom w:val="single" w:sz="12" w:space="0" w:color="000000"/>
            </w:tcBorders>
            <w:shd w:val="clear" w:color="auto" w:fill="auto"/>
            <w:vAlign w:val="center"/>
          </w:tcPr>
          <w:p w14:paraId="3F93AB5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COSSH-ACLF</w:t>
            </w:r>
          </w:p>
        </w:tc>
        <w:tc>
          <w:tcPr>
            <w:tcW w:w="2410" w:type="dxa"/>
            <w:tcBorders>
              <w:bottom w:val="single" w:sz="12" w:space="0" w:color="000000"/>
            </w:tcBorders>
            <w:shd w:val="clear" w:color="auto" w:fill="auto"/>
            <w:vAlign w:val="center"/>
          </w:tcPr>
          <w:p w14:paraId="1F21DB8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1.467 (1.361-1.581)</w:t>
            </w:r>
          </w:p>
        </w:tc>
        <w:tc>
          <w:tcPr>
            <w:tcW w:w="1276" w:type="dxa"/>
            <w:tcBorders>
              <w:bottom w:val="single" w:sz="12" w:space="0" w:color="000000"/>
            </w:tcBorders>
            <w:shd w:val="clear" w:color="auto" w:fill="auto"/>
            <w:vAlign w:val="center"/>
          </w:tcPr>
          <w:p w14:paraId="70EF0A6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0.001</w:t>
            </w:r>
          </w:p>
        </w:tc>
        <w:tc>
          <w:tcPr>
            <w:tcW w:w="2050" w:type="dxa"/>
            <w:tcBorders>
              <w:bottom w:val="single" w:sz="12" w:space="0" w:color="000000"/>
            </w:tcBorders>
            <w:shd w:val="clear" w:color="auto" w:fill="auto"/>
            <w:vAlign w:val="center"/>
          </w:tcPr>
          <w:p w14:paraId="1D6FEFA3" w14:textId="77777777" w:rsidR="00053734" w:rsidRPr="00EA2DA7" w:rsidRDefault="00053734" w:rsidP="00EA2DA7">
            <w:pPr>
              <w:spacing w:line="360" w:lineRule="auto"/>
              <w:jc w:val="both"/>
              <w:rPr>
                <w:rFonts w:ascii="Book Antiqua" w:eastAsia="Book Antiqua" w:hAnsi="Book Antiqua" w:cs="Book Antiqua"/>
              </w:rPr>
            </w:pPr>
          </w:p>
        </w:tc>
        <w:tc>
          <w:tcPr>
            <w:tcW w:w="1595" w:type="dxa"/>
            <w:tcBorders>
              <w:bottom w:val="single" w:sz="12" w:space="0" w:color="000000"/>
            </w:tcBorders>
            <w:shd w:val="clear" w:color="auto" w:fill="auto"/>
            <w:vAlign w:val="center"/>
          </w:tcPr>
          <w:p w14:paraId="6A48F363" w14:textId="77777777" w:rsidR="00053734" w:rsidRPr="00EA2DA7" w:rsidRDefault="00053734" w:rsidP="00EA2DA7">
            <w:pPr>
              <w:spacing w:line="360" w:lineRule="auto"/>
              <w:jc w:val="both"/>
              <w:rPr>
                <w:rFonts w:ascii="Book Antiqua" w:eastAsia="Book Antiqua" w:hAnsi="Book Antiqua" w:cs="Book Antiqua"/>
              </w:rPr>
            </w:pPr>
          </w:p>
        </w:tc>
      </w:tr>
    </w:tbl>
    <w:p w14:paraId="31FAE849" w14:textId="1FFF9265"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A/G: Albumin/</w:t>
      </w:r>
      <w:r w:rsidR="00B22862">
        <w:rPr>
          <w:rFonts w:ascii="Book Antiqua" w:eastAsia="Book Antiqua" w:hAnsi="Book Antiqua" w:cs="Book Antiqua"/>
        </w:rPr>
        <w:t>g</w:t>
      </w:r>
      <w:r w:rsidRPr="00EA2DA7">
        <w:rPr>
          <w:rFonts w:ascii="Book Antiqua" w:eastAsia="Book Antiqua" w:hAnsi="Book Antiqua" w:cs="Book Antiqua"/>
        </w:rPr>
        <w:t xml:space="preserve">lobulin; ALT: Alanine aminotransferase; </w:t>
      </w:r>
      <w:r w:rsidR="00B22862">
        <w:rPr>
          <w:rFonts w:ascii="Book Antiqua" w:eastAsia="Book Antiqua" w:hAnsi="Book Antiqua" w:cs="Book Antiqua"/>
        </w:rPr>
        <w:t xml:space="preserve">CI: Confidence interval; </w:t>
      </w:r>
      <w:r w:rsidRPr="00EA2DA7">
        <w:rPr>
          <w:rFonts w:ascii="Book Antiqua" w:eastAsia="Book Antiqua" w:hAnsi="Book Antiqua" w:cs="Book Antiqua"/>
        </w:rPr>
        <w:t>CLIF-SOFA: Chronic liver failure-sequential organ failure assessment; COSSH-ACLF: Chinese Group on the study of severe hepatitis B-acute-on-chronic liver failure;</w:t>
      </w:r>
      <w:r w:rsidR="00F52D02">
        <w:rPr>
          <w:rFonts w:ascii="Book Antiqua" w:eastAsia="Book Antiqua" w:hAnsi="Book Antiqua" w:cs="Book Antiqua"/>
        </w:rPr>
        <w:t xml:space="preserve"> HR: Hazard ratio;</w:t>
      </w:r>
      <w:r w:rsidRPr="00EA2DA7">
        <w:rPr>
          <w:rFonts w:ascii="Book Antiqua" w:eastAsia="Book Antiqua" w:hAnsi="Book Antiqua" w:cs="Book Antiqua"/>
        </w:rPr>
        <w:t xml:space="preserve"> INR: International normalized ratio; MAP: Mean arterial pressure; MCH: Mean cell hemoglobin; MCHC: Mean corpuscular hemoglobin concentration; MCV: Mean cell volume; MELD: Model for end-stage liver disease; RBC: Red blood cells</w:t>
      </w:r>
      <w:r w:rsidR="00B22862">
        <w:rPr>
          <w:rFonts w:ascii="Book Antiqua" w:eastAsia="Book Antiqua" w:hAnsi="Book Antiqua" w:cs="Book Antiqua"/>
        </w:rPr>
        <w:t>.</w:t>
      </w:r>
    </w:p>
    <w:p w14:paraId="01AE0540" w14:textId="2A9FF8BF" w:rsidR="00053734" w:rsidRPr="00EA2DA7" w:rsidRDefault="00721F08" w:rsidP="00EA2DA7">
      <w:pPr>
        <w:spacing w:line="360" w:lineRule="auto"/>
        <w:jc w:val="both"/>
        <w:rPr>
          <w:rFonts w:ascii="Book Antiqua" w:eastAsia="Book Antiqua" w:hAnsi="Book Antiqua" w:cs="Book Antiqua"/>
        </w:rPr>
      </w:pPr>
      <w:r w:rsidRPr="00EA2DA7">
        <w:rPr>
          <w:rFonts w:ascii="Book Antiqua" w:hAnsi="Book Antiqua"/>
        </w:rPr>
        <w:br w:type="page"/>
      </w:r>
      <w:r w:rsidRPr="00EA2DA7">
        <w:rPr>
          <w:rFonts w:ascii="Book Antiqua" w:eastAsia="Book Antiqua" w:hAnsi="Book Antiqua" w:cs="Book Antiqua"/>
          <w:b/>
        </w:rPr>
        <w:lastRenderedPageBreak/>
        <w:t>Table 3</w:t>
      </w:r>
      <w:r w:rsidRPr="00EA2DA7">
        <w:rPr>
          <w:rFonts w:ascii="Book Antiqua" w:eastAsia="Book Antiqua" w:hAnsi="Book Antiqua" w:cs="Book Antiqua"/>
        </w:rPr>
        <w:t xml:space="preserve"> </w:t>
      </w:r>
      <w:r w:rsidRPr="00EA2DA7">
        <w:rPr>
          <w:rFonts w:ascii="Book Antiqua" w:eastAsia="Book Antiqua" w:hAnsi="Book Antiqua" w:cs="Book Antiqua"/>
          <w:b/>
        </w:rPr>
        <w:t xml:space="preserve">Mortality at 28 d in patients with </w:t>
      </w:r>
      <w:r w:rsidR="00AC19F7">
        <w:rPr>
          <w:rFonts w:ascii="Book Antiqua" w:eastAsia="Book Antiqua" w:hAnsi="Book Antiqua" w:cs="Book Antiqua"/>
          <w:b/>
        </w:rPr>
        <w:t xml:space="preserve">hepatorenal syndrome </w:t>
      </w:r>
      <w:r w:rsidRPr="00EA2DA7">
        <w:rPr>
          <w:rFonts w:ascii="Book Antiqua" w:eastAsia="Book Antiqua" w:hAnsi="Book Antiqua" w:cs="Book Antiqua"/>
          <w:b/>
        </w:rPr>
        <w:t xml:space="preserve">stratified according to </w:t>
      </w:r>
      <w:r w:rsidR="00322BA3">
        <w:rPr>
          <w:rFonts w:ascii="Book Antiqua" w:eastAsia="Book Antiqua" w:hAnsi="Book Antiqua" w:cs="Book Antiqua"/>
          <w:b/>
        </w:rPr>
        <w:t xml:space="preserve">the </w:t>
      </w:r>
      <w:r w:rsidRPr="00EA2DA7">
        <w:rPr>
          <w:rFonts w:ascii="Book Antiqua" w:eastAsia="Book Antiqua" w:hAnsi="Book Antiqua" w:cs="Book Antiqua"/>
          <w:b/>
        </w:rPr>
        <w:t xml:space="preserve">GIMNS score </w:t>
      </w:r>
    </w:p>
    <w:tbl>
      <w:tblPr>
        <w:tblStyle w:val="a1"/>
        <w:tblW w:w="8472" w:type="dxa"/>
        <w:tblLayout w:type="fixed"/>
        <w:tblLook w:val="0400" w:firstRow="0" w:lastRow="0" w:firstColumn="0" w:lastColumn="0" w:noHBand="0" w:noVBand="1"/>
      </w:tblPr>
      <w:tblGrid>
        <w:gridCol w:w="1642"/>
        <w:gridCol w:w="6830"/>
      </w:tblGrid>
      <w:tr w:rsidR="00053734" w:rsidRPr="00EA2DA7" w14:paraId="0D94BAE9" w14:textId="77777777">
        <w:trPr>
          <w:trHeight w:val="300"/>
        </w:trPr>
        <w:tc>
          <w:tcPr>
            <w:tcW w:w="1642" w:type="dxa"/>
            <w:tcBorders>
              <w:top w:val="single" w:sz="12" w:space="0" w:color="000000"/>
              <w:left w:val="nil"/>
              <w:bottom w:val="single" w:sz="12" w:space="0" w:color="000000"/>
              <w:right w:val="nil"/>
            </w:tcBorders>
            <w:shd w:val="clear" w:color="auto" w:fill="auto"/>
            <w:vAlign w:val="center"/>
          </w:tcPr>
          <w:p w14:paraId="0C0C1BB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GIMNS score</w:t>
            </w:r>
          </w:p>
        </w:tc>
        <w:tc>
          <w:tcPr>
            <w:tcW w:w="6830" w:type="dxa"/>
            <w:tcBorders>
              <w:top w:val="single" w:sz="12" w:space="0" w:color="000000"/>
              <w:left w:val="nil"/>
              <w:bottom w:val="single" w:sz="12" w:space="0" w:color="000000"/>
              <w:right w:val="nil"/>
            </w:tcBorders>
            <w:shd w:val="clear" w:color="auto" w:fill="auto"/>
            <w:vAlign w:val="center"/>
          </w:tcPr>
          <w:p w14:paraId="4790803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28-d mortality in HRS patients (%)</w:t>
            </w:r>
          </w:p>
        </w:tc>
      </w:tr>
      <w:tr w:rsidR="00053734" w:rsidRPr="00EA2DA7" w14:paraId="761A74B6" w14:textId="77777777">
        <w:trPr>
          <w:trHeight w:val="288"/>
        </w:trPr>
        <w:tc>
          <w:tcPr>
            <w:tcW w:w="1642" w:type="dxa"/>
            <w:tcBorders>
              <w:top w:val="nil"/>
              <w:left w:val="nil"/>
              <w:bottom w:val="nil"/>
              <w:right w:val="nil"/>
            </w:tcBorders>
            <w:shd w:val="clear" w:color="auto" w:fill="auto"/>
            <w:vAlign w:val="center"/>
          </w:tcPr>
          <w:p w14:paraId="1DD3328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 2</w:t>
            </w:r>
          </w:p>
        </w:tc>
        <w:tc>
          <w:tcPr>
            <w:tcW w:w="6830" w:type="dxa"/>
            <w:tcBorders>
              <w:top w:val="nil"/>
              <w:left w:val="nil"/>
              <w:bottom w:val="nil"/>
              <w:right w:val="nil"/>
            </w:tcBorders>
            <w:shd w:val="clear" w:color="auto" w:fill="auto"/>
            <w:vAlign w:val="center"/>
          </w:tcPr>
          <w:p w14:paraId="4A45E2C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100.0</w:t>
            </w:r>
          </w:p>
        </w:tc>
      </w:tr>
      <w:tr w:rsidR="00053734" w:rsidRPr="00EA2DA7" w14:paraId="3210A2C9" w14:textId="77777777">
        <w:trPr>
          <w:trHeight w:val="276"/>
        </w:trPr>
        <w:tc>
          <w:tcPr>
            <w:tcW w:w="1642" w:type="dxa"/>
            <w:tcBorders>
              <w:top w:val="nil"/>
              <w:left w:val="nil"/>
              <w:bottom w:val="nil"/>
              <w:right w:val="nil"/>
            </w:tcBorders>
            <w:shd w:val="clear" w:color="auto" w:fill="auto"/>
            <w:vAlign w:val="center"/>
          </w:tcPr>
          <w:p w14:paraId="6FFC6AB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1-2</w:t>
            </w:r>
          </w:p>
        </w:tc>
        <w:tc>
          <w:tcPr>
            <w:tcW w:w="6830" w:type="dxa"/>
            <w:tcBorders>
              <w:top w:val="nil"/>
              <w:left w:val="nil"/>
              <w:bottom w:val="nil"/>
              <w:right w:val="nil"/>
            </w:tcBorders>
            <w:shd w:val="clear" w:color="auto" w:fill="auto"/>
            <w:vAlign w:val="center"/>
          </w:tcPr>
          <w:p w14:paraId="4195FCD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73.8</w:t>
            </w:r>
          </w:p>
        </w:tc>
      </w:tr>
      <w:tr w:rsidR="00053734" w:rsidRPr="00EA2DA7" w14:paraId="6B2639A7" w14:textId="77777777">
        <w:trPr>
          <w:trHeight w:val="288"/>
        </w:trPr>
        <w:tc>
          <w:tcPr>
            <w:tcW w:w="1642" w:type="dxa"/>
            <w:tcBorders>
              <w:top w:val="nil"/>
              <w:left w:val="nil"/>
              <w:bottom w:val="nil"/>
              <w:right w:val="nil"/>
            </w:tcBorders>
            <w:shd w:val="clear" w:color="auto" w:fill="auto"/>
            <w:vAlign w:val="center"/>
          </w:tcPr>
          <w:p w14:paraId="4341D01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w:t>
            </w:r>
          </w:p>
        </w:tc>
        <w:tc>
          <w:tcPr>
            <w:tcW w:w="6830" w:type="dxa"/>
            <w:tcBorders>
              <w:top w:val="nil"/>
              <w:left w:val="nil"/>
              <w:bottom w:val="nil"/>
              <w:right w:val="nil"/>
            </w:tcBorders>
            <w:shd w:val="clear" w:color="auto" w:fill="auto"/>
            <w:vAlign w:val="center"/>
          </w:tcPr>
          <w:p w14:paraId="4ED8B86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57.1</w:t>
            </w:r>
          </w:p>
        </w:tc>
      </w:tr>
      <w:tr w:rsidR="00053734" w:rsidRPr="00EA2DA7" w14:paraId="2EE8EF03" w14:textId="77777777">
        <w:trPr>
          <w:trHeight w:val="300"/>
        </w:trPr>
        <w:tc>
          <w:tcPr>
            <w:tcW w:w="1642" w:type="dxa"/>
            <w:tcBorders>
              <w:top w:val="nil"/>
              <w:left w:val="nil"/>
              <w:bottom w:val="single" w:sz="12" w:space="0" w:color="000000"/>
              <w:right w:val="nil"/>
            </w:tcBorders>
            <w:shd w:val="clear" w:color="auto" w:fill="auto"/>
            <w:vAlign w:val="center"/>
          </w:tcPr>
          <w:p w14:paraId="347EA26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w:t>
            </w:r>
          </w:p>
        </w:tc>
        <w:tc>
          <w:tcPr>
            <w:tcW w:w="6830" w:type="dxa"/>
            <w:tcBorders>
              <w:top w:val="nil"/>
              <w:left w:val="nil"/>
              <w:bottom w:val="single" w:sz="12" w:space="0" w:color="000000"/>
              <w:right w:val="nil"/>
            </w:tcBorders>
            <w:shd w:val="clear" w:color="auto" w:fill="auto"/>
            <w:vAlign w:val="center"/>
          </w:tcPr>
          <w:p w14:paraId="7928D7B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30.3</w:t>
            </w:r>
          </w:p>
        </w:tc>
      </w:tr>
    </w:tbl>
    <w:p w14:paraId="3926040E" w14:textId="003A9EFA" w:rsidR="00AC19F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HRS: Hepatorenal syndrome.</w:t>
      </w:r>
    </w:p>
    <w:p w14:paraId="63F18C8C" w14:textId="77777777" w:rsidR="00AC19F7" w:rsidRDefault="00AC19F7">
      <w:pPr>
        <w:rPr>
          <w:rFonts w:ascii="Book Antiqua" w:eastAsia="Book Antiqua" w:hAnsi="Book Antiqua" w:cs="Book Antiqua"/>
        </w:rPr>
      </w:pPr>
      <w:r>
        <w:rPr>
          <w:rFonts w:ascii="Book Antiqua" w:eastAsia="Book Antiqua" w:hAnsi="Book Antiqua" w:cs="Book Antiqua"/>
        </w:rPr>
        <w:br w:type="page"/>
      </w:r>
    </w:p>
    <w:p w14:paraId="3B888A9E" w14:textId="77777777" w:rsidR="00053734" w:rsidRPr="00EA2DA7" w:rsidRDefault="00053734" w:rsidP="00EA2DA7">
      <w:pPr>
        <w:spacing w:line="360" w:lineRule="auto"/>
        <w:jc w:val="both"/>
        <w:rPr>
          <w:rFonts w:ascii="Book Antiqua" w:eastAsia="Book Antiqua" w:hAnsi="Book Antiqua" w:cs="Book Antiqua"/>
        </w:rPr>
        <w:sectPr w:rsidR="00053734" w:rsidRPr="00EA2DA7" w:rsidSect="00EA2DA7">
          <w:type w:val="continuous"/>
          <w:pgSz w:w="12240" w:h="15840"/>
          <w:pgMar w:top="1440" w:right="1440" w:bottom="1440" w:left="1440" w:header="851" w:footer="992" w:gutter="0"/>
          <w:cols w:space="720"/>
          <w:docGrid w:linePitch="326"/>
        </w:sectPr>
      </w:pPr>
    </w:p>
    <w:p w14:paraId="02766F3F"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lastRenderedPageBreak/>
        <w:t>Table 4 Accuracy of different scoring systems in derivation and validation cohorts</w:t>
      </w:r>
    </w:p>
    <w:tbl>
      <w:tblPr>
        <w:tblStyle w:val="a2"/>
        <w:tblW w:w="9464" w:type="dxa"/>
        <w:tblLayout w:type="fixed"/>
        <w:tblLook w:val="0400" w:firstRow="0" w:lastRow="0" w:firstColumn="0" w:lastColumn="0" w:noHBand="0" w:noVBand="1"/>
      </w:tblPr>
      <w:tblGrid>
        <w:gridCol w:w="1107"/>
        <w:gridCol w:w="696"/>
        <w:gridCol w:w="1403"/>
        <w:gridCol w:w="1389"/>
        <w:gridCol w:w="1070"/>
        <w:gridCol w:w="1136"/>
        <w:gridCol w:w="1022"/>
        <w:gridCol w:w="1641"/>
      </w:tblGrid>
      <w:tr w:rsidR="00053734" w:rsidRPr="00EA2DA7" w14:paraId="48F6EC66" w14:textId="77777777">
        <w:trPr>
          <w:trHeight w:val="288"/>
        </w:trPr>
        <w:tc>
          <w:tcPr>
            <w:tcW w:w="1107" w:type="dxa"/>
            <w:vMerge w:val="restart"/>
            <w:tcBorders>
              <w:top w:val="single" w:sz="12" w:space="0" w:color="000000"/>
              <w:left w:val="nil"/>
              <w:bottom w:val="single" w:sz="12" w:space="0" w:color="000000"/>
              <w:right w:val="nil"/>
            </w:tcBorders>
            <w:shd w:val="clear" w:color="auto" w:fill="FFFFFF"/>
            <w:vAlign w:val="center"/>
          </w:tcPr>
          <w:p w14:paraId="1496756B"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 xml:space="preserve">Models </w:t>
            </w:r>
          </w:p>
        </w:tc>
        <w:tc>
          <w:tcPr>
            <w:tcW w:w="696" w:type="dxa"/>
            <w:vMerge w:val="restart"/>
            <w:tcBorders>
              <w:top w:val="single" w:sz="12" w:space="0" w:color="000000"/>
              <w:left w:val="nil"/>
              <w:bottom w:val="single" w:sz="12" w:space="0" w:color="000000"/>
              <w:right w:val="nil"/>
            </w:tcBorders>
            <w:shd w:val="clear" w:color="auto" w:fill="FFFFFF"/>
            <w:vAlign w:val="center"/>
          </w:tcPr>
          <w:p w14:paraId="6B233FD2"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Cut-off</w:t>
            </w:r>
          </w:p>
        </w:tc>
        <w:tc>
          <w:tcPr>
            <w:tcW w:w="1403" w:type="dxa"/>
            <w:vMerge w:val="restart"/>
            <w:tcBorders>
              <w:top w:val="single" w:sz="12" w:space="0" w:color="000000"/>
              <w:left w:val="nil"/>
              <w:bottom w:val="single" w:sz="12" w:space="0" w:color="000000"/>
              <w:right w:val="nil"/>
            </w:tcBorders>
            <w:shd w:val="clear" w:color="auto" w:fill="FFFFFF"/>
            <w:vAlign w:val="center"/>
          </w:tcPr>
          <w:p w14:paraId="425443BD"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Sensitivity (%)</w:t>
            </w:r>
          </w:p>
        </w:tc>
        <w:tc>
          <w:tcPr>
            <w:tcW w:w="1389" w:type="dxa"/>
            <w:vMerge w:val="restart"/>
            <w:tcBorders>
              <w:top w:val="single" w:sz="12" w:space="0" w:color="000000"/>
              <w:left w:val="nil"/>
              <w:bottom w:val="single" w:sz="12" w:space="0" w:color="000000"/>
              <w:right w:val="nil"/>
            </w:tcBorders>
            <w:shd w:val="clear" w:color="auto" w:fill="FFFFFF"/>
            <w:vAlign w:val="center"/>
          </w:tcPr>
          <w:p w14:paraId="35B78B98"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Specificity (%)</w:t>
            </w:r>
          </w:p>
        </w:tc>
        <w:tc>
          <w:tcPr>
            <w:tcW w:w="1070" w:type="dxa"/>
            <w:vMerge w:val="restart"/>
            <w:tcBorders>
              <w:top w:val="single" w:sz="12" w:space="0" w:color="000000"/>
              <w:left w:val="nil"/>
              <w:bottom w:val="single" w:sz="12" w:space="0" w:color="000000"/>
              <w:right w:val="nil"/>
            </w:tcBorders>
            <w:shd w:val="clear" w:color="auto" w:fill="FFFFFF"/>
            <w:vAlign w:val="center"/>
          </w:tcPr>
          <w:p w14:paraId="5D730934"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Youden</w:t>
            </w:r>
          </w:p>
        </w:tc>
        <w:tc>
          <w:tcPr>
            <w:tcW w:w="1136" w:type="dxa"/>
            <w:vMerge w:val="restart"/>
            <w:tcBorders>
              <w:top w:val="single" w:sz="12" w:space="0" w:color="000000"/>
              <w:left w:val="nil"/>
              <w:bottom w:val="single" w:sz="12" w:space="0" w:color="000000"/>
              <w:right w:val="nil"/>
            </w:tcBorders>
            <w:shd w:val="clear" w:color="auto" w:fill="FFFFFF"/>
            <w:vAlign w:val="center"/>
          </w:tcPr>
          <w:p w14:paraId="2134F89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AUROC (95% CI)</w:t>
            </w:r>
          </w:p>
        </w:tc>
        <w:tc>
          <w:tcPr>
            <w:tcW w:w="1022" w:type="dxa"/>
            <w:vMerge w:val="restart"/>
            <w:tcBorders>
              <w:top w:val="single" w:sz="12" w:space="0" w:color="000000"/>
              <w:left w:val="nil"/>
              <w:bottom w:val="single" w:sz="12" w:space="0" w:color="000000"/>
              <w:right w:val="nil"/>
            </w:tcBorders>
            <w:shd w:val="clear" w:color="auto" w:fill="FFFFFF"/>
            <w:vAlign w:val="center"/>
          </w:tcPr>
          <w:p w14:paraId="0830A301"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c>
          <w:tcPr>
            <w:tcW w:w="1641" w:type="dxa"/>
            <w:tcBorders>
              <w:top w:val="single" w:sz="12" w:space="0" w:color="000000"/>
              <w:left w:val="nil"/>
              <w:bottom w:val="nil"/>
              <w:right w:val="nil"/>
            </w:tcBorders>
            <w:shd w:val="clear" w:color="auto" w:fill="auto"/>
            <w:vAlign w:val="center"/>
          </w:tcPr>
          <w:p w14:paraId="4CEA060D"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i/>
              </w:rPr>
              <w:t>P</w:t>
            </w:r>
            <w:r w:rsidRPr="00EA2DA7">
              <w:rPr>
                <w:rFonts w:ascii="Book Antiqua" w:eastAsia="Book Antiqua" w:hAnsi="Book Antiqua" w:cs="Book Antiqua"/>
                <w:b/>
              </w:rPr>
              <w:t xml:space="preserve"> value</w:t>
            </w:r>
          </w:p>
        </w:tc>
      </w:tr>
      <w:tr w:rsidR="00053734" w:rsidRPr="00EA2DA7" w14:paraId="3A663749" w14:textId="77777777">
        <w:trPr>
          <w:trHeight w:val="288"/>
        </w:trPr>
        <w:tc>
          <w:tcPr>
            <w:tcW w:w="1107" w:type="dxa"/>
            <w:vMerge/>
            <w:tcBorders>
              <w:top w:val="single" w:sz="12" w:space="0" w:color="000000"/>
              <w:left w:val="nil"/>
              <w:bottom w:val="single" w:sz="12" w:space="0" w:color="000000"/>
              <w:right w:val="nil"/>
            </w:tcBorders>
            <w:shd w:val="clear" w:color="auto" w:fill="FFFFFF"/>
            <w:vAlign w:val="center"/>
          </w:tcPr>
          <w:p w14:paraId="43D7F06D"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696" w:type="dxa"/>
            <w:vMerge/>
            <w:tcBorders>
              <w:top w:val="single" w:sz="12" w:space="0" w:color="000000"/>
              <w:left w:val="nil"/>
              <w:bottom w:val="single" w:sz="12" w:space="0" w:color="000000"/>
              <w:right w:val="nil"/>
            </w:tcBorders>
            <w:shd w:val="clear" w:color="auto" w:fill="FFFFFF"/>
            <w:vAlign w:val="center"/>
          </w:tcPr>
          <w:p w14:paraId="4E2F6A9A"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403" w:type="dxa"/>
            <w:vMerge/>
            <w:tcBorders>
              <w:top w:val="single" w:sz="12" w:space="0" w:color="000000"/>
              <w:left w:val="nil"/>
              <w:bottom w:val="single" w:sz="12" w:space="0" w:color="000000"/>
              <w:right w:val="nil"/>
            </w:tcBorders>
            <w:shd w:val="clear" w:color="auto" w:fill="FFFFFF"/>
            <w:vAlign w:val="center"/>
          </w:tcPr>
          <w:p w14:paraId="0C196A18"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389" w:type="dxa"/>
            <w:vMerge/>
            <w:tcBorders>
              <w:top w:val="single" w:sz="12" w:space="0" w:color="000000"/>
              <w:left w:val="nil"/>
              <w:bottom w:val="single" w:sz="12" w:space="0" w:color="000000"/>
              <w:right w:val="nil"/>
            </w:tcBorders>
            <w:shd w:val="clear" w:color="auto" w:fill="FFFFFF"/>
            <w:vAlign w:val="center"/>
          </w:tcPr>
          <w:p w14:paraId="4607CD85"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070" w:type="dxa"/>
            <w:vMerge/>
            <w:tcBorders>
              <w:top w:val="single" w:sz="12" w:space="0" w:color="000000"/>
              <w:left w:val="nil"/>
              <w:bottom w:val="single" w:sz="12" w:space="0" w:color="000000"/>
              <w:right w:val="nil"/>
            </w:tcBorders>
            <w:shd w:val="clear" w:color="auto" w:fill="FFFFFF"/>
            <w:vAlign w:val="center"/>
          </w:tcPr>
          <w:p w14:paraId="34644700"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136" w:type="dxa"/>
            <w:vMerge/>
            <w:tcBorders>
              <w:top w:val="single" w:sz="12" w:space="0" w:color="000000"/>
              <w:left w:val="nil"/>
              <w:bottom w:val="single" w:sz="12" w:space="0" w:color="000000"/>
              <w:right w:val="nil"/>
            </w:tcBorders>
            <w:shd w:val="clear" w:color="auto" w:fill="FFFFFF"/>
            <w:vAlign w:val="center"/>
          </w:tcPr>
          <w:p w14:paraId="0604A31F"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022" w:type="dxa"/>
            <w:vMerge/>
            <w:tcBorders>
              <w:top w:val="single" w:sz="12" w:space="0" w:color="000000"/>
              <w:left w:val="nil"/>
              <w:bottom w:val="single" w:sz="12" w:space="0" w:color="000000"/>
              <w:right w:val="nil"/>
            </w:tcBorders>
            <w:shd w:val="clear" w:color="auto" w:fill="FFFFFF"/>
            <w:vAlign w:val="center"/>
          </w:tcPr>
          <w:p w14:paraId="7AF280C0" w14:textId="77777777" w:rsidR="00053734" w:rsidRPr="00EA2DA7" w:rsidRDefault="00053734" w:rsidP="00EA2DA7">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641" w:type="dxa"/>
            <w:tcBorders>
              <w:top w:val="nil"/>
              <w:left w:val="nil"/>
              <w:bottom w:val="single" w:sz="12" w:space="0" w:color="000000"/>
              <w:right w:val="nil"/>
            </w:tcBorders>
            <w:shd w:val="clear" w:color="auto" w:fill="auto"/>
            <w:vAlign w:val="center"/>
          </w:tcPr>
          <w:p w14:paraId="44423132" w14:textId="77777777" w:rsidR="00053734" w:rsidRPr="00EA2DA7" w:rsidRDefault="00721F08" w:rsidP="00EA2DA7">
            <w:pPr>
              <w:spacing w:line="360" w:lineRule="auto"/>
              <w:jc w:val="both"/>
              <w:rPr>
                <w:rFonts w:ascii="Book Antiqua" w:eastAsia="Book Antiqua" w:hAnsi="Book Antiqua" w:cs="Book Antiqua"/>
                <w:b/>
              </w:rPr>
            </w:pPr>
            <w:r w:rsidRPr="00EA2DA7">
              <w:rPr>
                <w:rFonts w:ascii="Book Antiqua" w:eastAsia="Book Antiqua" w:hAnsi="Book Antiqua" w:cs="Book Antiqua"/>
                <w:b/>
              </w:rPr>
              <w:t>compared with GIMNS</w:t>
            </w:r>
          </w:p>
        </w:tc>
      </w:tr>
      <w:tr w:rsidR="00053734" w:rsidRPr="00EA2DA7" w14:paraId="77A42E2B" w14:textId="77777777">
        <w:trPr>
          <w:trHeight w:val="288"/>
        </w:trPr>
        <w:tc>
          <w:tcPr>
            <w:tcW w:w="7823" w:type="dxa"/>
            <w:gridSpan w:val="7"/>
            <w:tcBorders>
              <w:top w:val="single" w:sz="12" w:space="0" w:color="000000"/>
              <w:left w:val="nil"/>
              <w:bottom w:val="nil"/>
              <w:right w:val="nil"/>
            </w:tcBorders>
            <w:shd w:val="clear" w:color="auto" w:fill="FFFFFF"/>
            <w:vAlign w:val="center"/>
          </w:tcPr>
          <w:p w14:paraId="7E63C97A" w14:textId="3727F9C6"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Derivation cohort (</w:t>
            </w:r>
            <w:r w:rsidRPr="00EA2DA7">
              <w:rPr>
                <w:rFonts w:ascii="Book Antiqua" w:eastAsia="Book Antiqua" w:hAnsi="Book Antiqua" w:cs="Book Antiqua"/>
                <w:i/>
              </w:rPr>
              <w:t>n</w:t>
            </w:r>
            <w:r w:rsidR="005E1FA5">
              <w:rPr>
                <w:rFonts w:ascii="Book Antiqua" w:eastAsia="Book Antiqua" w:hAnsi="Book Antiqua" w:cs="Book Antiqua"/>
              </w:rPr>
              <w:t xml:space="preserve"> </w:t>
            </w:r>
            <w:r w:rsidRPr="00EA2DA7">
              <w:rPr>
                <w:rFonts w:ascii="Book Antiqua" w:eastAsia="Book Antiqua" w:hAnsi="Book Antiqua" w:cs="Book Antiqua"/>
              </w:rPr>
              <w:t>=</w:t>
            </w:r>
            <w:r w:rsidR="005E1FA5">
              <w:rPr>
                <w:rFonts w:ascii="Book Antiqua" w:eastAsia="Book Antiqua" w:hAnsi="Book Antiqua" w:cs="Book Antiqua"/>
              </w:rPr>
              <w:t xml:space="preserve"> </w:t>
            </w:r>
            <w:r w:rsidRPr="00EA2DA7">
              <w:rPr>
                <w:rFonts w:ascii="Book Antiqua" w:eastAsia="Book Antiqua" w:hAnsi="Book Antiqua" w:cs="Book Antiqua"/>
              </w:rPr>
              <w:t>248)</w:t>
            </w:r>
          </w:p>
        </w:tc>
        <w:tc>
          <w:tcPr>
            <w:tcW w:w="1641" w:type="dxa"/>
            <w:tcBorders>
              <w:top w:val="nil"/>
              <w:left w:val="nil"/>
              <w:bottom w:val="nil"/>
              <w:right w:val="nil"/>
            </w:tcBorders>
            <w:shd w:val="clear" w:color="auto" w:fill="auto"/>
            <w:vAlign w:val="center"/>
          </w:tcPr>
          <w:p w14:paraId="553544FB"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63B932BA" w14:textId="77777777">
        <w:trPr>
          <w:trHeight w:val="720"/>
        </w:trPr>
        <w:tc>
          <w:tcPr>
            <w:tcW w:w="1107" w:type="dxa"/>
            <w:tcBorders>
              <w:top w:val="nil"/>
              <w:left w:val="nil"/>
              <w:bottom w:val="nil"/>
              <w:right w:val="nil"/>
            </w:tcBorders>
            <w:shd w:val="clear" w:color="auto" w:fill="FFFFFF"/>
            <w:vAlign w:val="center"/>
          </w:tcPr>
          <w:p w14:paraId="708C116B"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GIMNS</w:t>
            </w:r>
          </w:p>
        </w:tc>
        <w:tc>
          <w:tcPr>
            <w:tcW w:w="696" w:type="dxa"/>
            <w:tcBorders>
              <w:top w:val="nil"/>
              <w:left w:val="nil"/>
              <w:bottom w:val="nil"/>
              <w:right w:val="nil"/>
            </w:tcBorders>
            <w:shd w:val="clear" w:color="auto" w:fill="FFFFFF"/>
            <w:vAlign w:val="center"/>
          </w:tcPr>
          <w:p w14:paraId="488521F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w:t>
            </w:r>
          </w:p>
        </w:tc>
        <w:tc>
          <w:tcPr>
            <w:tcW w:w="1403" w:type="dxa"/>
            <w:tcBorders>
              <w:top w:val="nil"/>
              <w:left w:val="nil"/>
              <w:bottom w:val="nil"/>
              <w:right w:val="nil"/>
            </w:tcBorders>
            <w:shd w:val="clear" w:color="auto" w:fill="FFFFFF"/>
            <w:vAlign w:val="center"/>
          </w:tcPr>
          <w:p w14:paraId="3675EB4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73.5</w:t>
            </w:r>
          </w:p>
        </w:tc>
        <w:tc>
          <w:tcPr>
            <w:tcW w:w="1389" w:type="dxa"/>
            <w:tcBorders>
              <w:top w:val="nil"/>
              <w:left w:val="nil"/>
              <w:bottom w:val="nil"/>
              <w:right w:val="nil"/>
            </w:tcBorders>
            <w:shd w:val="clear" w:color="auto" w:fill="FFFFFF"/>
            <w:vAlign w:val="center"/>
          </w:tcPr>
          <w:p w14:paraId="64D10DF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78.7</w:t>
            </w:r>
          </w:p>
        </w:tc>
        <w:tc>
          <w:tcPr>
            <w:tcW w:w="1070" w:type="dxa"/>
            <w:tcBorders>
              <w:top w:val="nil"/>
              <w:left w:val="nil"/>
              <w:bottom w:val="nil"/>
              <w:right w:val="nil"/>
            </w:tcBorders>
            <w:shd w:val="clear" w:color="auto" w:fill="FFFFFF"/>
            <w:vAlign w:val="center"/>
          </w:tcPr>
          <w:p w14:paraId="4311958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0.522</w:t>
            </w:r>
          </w:p>
        </w:tc>
        <w:tc>
          <w:tcPr>
            <w:tcW w:w="1136" w:type="dxa"/>
            <w:tcBorders>
              <w:top w:val="nil"/>
              <w:left w:val="nil"/>
              <w:bottom w:val="nil"/>
              <w:right w:val="nil"/>
            </w:tcBorders>
            <w:shd w:val="clear" w:color="auto" w:fill="FFFFFF"/>
            <w:vAlign w:val="center"/>
          </w:tcPr>
          <w:p w14:paraId="14A1F28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0.830 (0.778-0.882)</w:t>
            </w:r>
          </w:p>
        </w:tc>
        <w:tc>
          <w:tcPr>
            <w:tcW w:w="1022" w:type="dxa"/>
            <w:tcBorders>
              <w:top w:val="nil"/>
              <w:left w:val="nil"/>
              <w:bottom w:val="nil"/>
              <w:right w:val="nil"/>
            </w:tcBorders>
            <w:shd w:val="clear" w:color="auto" w:fill="FFFFFF"/>
            <w:vAlign w:val="center"/>
          </w:tcPr>
          <w:p w14:paraId="23E1C50A" w14:textId="60FF8FD5"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tcBorders>
              <w:top w:val="nil"/>
              <w:left w:val="nil"/>
              <w:bottom w:val="nil"/>
              <w:right w:val="nil"/>
            </w:tcBorders>
            <w:shd w:val="clear" w:color="auto" w:fill="auto"/>
            <w:vAlign w:val="center"/>
          </w:tcPr>
          <w:p w14:paraId="2750D99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w:t>
            </w:r>
          </w:p>
        </w:tc>
      </w:tr>
      <w:tr w:rsidR="00053734" w:rsidRPr="00EA2DA7" w14:paraId="0E1B1716" w14:textId="77777777">
        <w:trPr>
          <w:trHeight w:val="720"/>
        </w:trPr>
        <w:tc>
          <w:tcPr>
            <w:tcW w:w="1107" w:type="dxa"/>
            <w:tcBorders>
              <w:top w:val="nil"/>
              <w:left w:val="nil"/>
              <w:bottom w:val="nil"/>
              <w:right w:val="nil"/>
            </w:tcBorders>
            <w:shd w:val="clear" w:color="auto" w:fill="FFFFFF"/>
            <w:vAlign w:val="center"/>
          </w:tcPr>
          <w:p w14:paraId="52DBE97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MELD</w:t>
            </w:r>
          </w:p>
        </w:tc>
        <w:tc>
          <w:tcPr>
            <w:tcW w:w="696" w:type="dxa"/>
            <w:tcBorders>
              <w:top w:val="nil"/>
              <w:left w:val="nil"/>
              <w:bottom w:val="nil"/>
              <w:right w:val="nil"/>
            </w:tcBorders>
            <w:shd w:val="clear" w:color="auto" w:fill="FFFFFF"/>
            <w:vAlign w:val="center"/>
          </w:tcPr>
          <w:p w14:paraId="5998DA5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24.8</w:t>
            </w:r>
          </w:p>
        </w:tc>
        <w:tc>
          <w:tcPr>
            <w:tcW w:w="1403" w:type="dxa"/>
            <w:tcBorders>
              <w:top w:val="nil"/>
              <w:left w:val="nil"/>
              <w:bottom w:val="nil"/>
              <w:right w:val="nil"/>
            </w:tcBorders>
            <w:shd w:val="clear" w:color="auto" w:fill="FFFFFF"/>
            <w:vAlign w:val="center"/>
          </w:tcPr>
          <w:p w14:paraId="57FD207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61.4</w:t>
            </w:r>
          </w:p>
        </w:tc>
        <w:tc>
          <w:tcPr>
            <w:tcW w:w="1389" w:type="dxa"/>
            <w:tcBorders>
              <w:top w:val="nil"/>
              <w:left w:val="nil"/>
              <w:bottom w:val="nil"/>
              <w:right w:val="nil"/>
            </w:tcBorders>
            <w:shd w:val="clear" w:color="auto" w:fill="FFFFFF"/>
            <w:vAlign w:val="center"/>
          </w:tcPr>
          <w:p w14:paraId="24D3151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76.6</w:t>
            </w:r>
          </w:p>
        </w:tc>
        <w:tc>
          <w:tcPr>
            <w:tcW w:w="1070" w:type="dxa"/>
            <w:tcBorders>
              <w:top w:val="nil"/>
              <w:left w:val="nil"/>
              <w:bottom w:val="nil"/>
              <w:right w:val="nil"/>
            </w:tcBorders>
            <w:shd w:val="clear" w:color="auto" w:fill="FFFFFF"/>
            <w:vAlign w:val="center"/>
          </w:tcPr>
          <w:p w14:paraId="50DC5B4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0.380</w:t>
            </w:r>
          </w:p>
        </w:tc>
        <w:tc>
          <w:tcPr>
            <w:tcW w:w="1136" w:type="dxa"/>
            <w:tcBorders>
              <w:top w:val="nil"/>
              <w:left w:val="nil"/>
              <w:bottom w:val="nil"/>
              <w:right w:val="nil"/>
            </w:tcBorders>
            <w:shd w:val="clear" w:color="auto" w:fill="FFFFFF"/>
            <w:vAlign w:val="center"/>
          </w:tcPr>
          <w:p w14:paraId="30A7C4A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0.759 (0.670-0.821)</w:t>
            </w:r>
          </w:p>
        </w:tc>
        <w:tc>
          <w:tcPr>
            <w:tcW w:w="1022" w:type="dxa"/>
            <w:tcBorders>
              <w:top w:val="nil"/>
              <w:left w:val="nil"/>
              <w:bottom w:val="nil"/>
              <w:right w:val="nil"/>
            </w:tcBorders>
            <w:shd w:val="clear" w:color="auto" w:fill="FFFFFF"/>
            <w:vAlign w:val="center"/>
          </w:tcPr>
          <w:p w14:paraId="2F2F5A03" w14:textId="28800F1C"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tcBorders>
              <w:top w:val="nil"/>
              <w:left w:val="nil"/>
              <w:bottom w:val="nil"/>
              <w:right w:val="nil"/>
            </w:tcBorders>
            <w:shd w:val="clear" w:color="auto" w:fill="FFFFFF"/>
            <w:vAlign w:val="center"/>
          </w:tcPr>
          <w:p w14:paraId="469CF2C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0.029</w:t>
            </w:r>
          </w:p>
        </w:tc>
      </w:tr>
      <w:tr w:rsidR="00053734" w:rsidRPr="00EA2DA7" w14:paraId="0D21C1AA" w14:textId="77777777">
        <w:trPr>
          <w:trHeight w:val="720"/>
        </w:trPr>
        <w:tc>
          <w:tcPr>
            <w:tcW w:w="1107" w:type="dxa"/>
            <w:tcBorders>
              <w:top w:val="nil"/>
              <w:left w:val="nil"/>
              <w:bottom w:val="nil"/>
              <w:right w:val="nil"/>
            </w:tcBorders>
            <w:shd w:val="clear" w:color="auto" w:fill="FFFFFF"/>
            <w:vAlign w:val="center"/>
          </w:tcPr>
          <w:p w14:paraId="4051697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CLIF-SOFA</w:t>
            </w:r>
          </w:p>
        </w:tc>
        <w:tc>
          <w:tcPr>
            <w:tcW w:w="696" w:type="dxa"/>
            <w:tcBorders>
              <w:top w:val="nil"/>
              <w:left w:val="nil"/>
              <w:bottom w:val="nil"/>
              <w:right w:val="nil"/>
            </w:tcBorders>
            <w:shd w:val="clear" w:color="auto" w:fill="FFFFFF"/>
            <w:vAlign w:val="center"/>
          </w:tcPr>
          <w:p w14:paraId="0E47656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9.0</w:t>
            </w:r>
          </w:p>
        </w:tc>
        <w:tc>
          <w:tcPr>
            <w:tcW w:w="1403" w:type="dxa"/>
            <w:tcBorders>
              <w:top w:val="nil"/>
              <w:left w:val="nil"/>
              <w:bottom w:val="nil"/>
              <w:right w:val="nil"/>
            </w:tcBorders>
            <w:shd w:val="clear" w:color="auto" w:fill="FFFFFF"/>
            <w:vAlign w:val="center"/>
          </w:tcPr>
          <w:p w14:paraId="6409E73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72.7</w:t>
            </w:r>
          </w:p>
        </w:tc>
        <w:tc>
          <w:tcPr>
            <w:tcW w:w="1389" w:type="dxa"/>
            <w:tcBorders>
              <w:top w:val="nil"/>
              <w:left w:val="nil"/>
              <w:bottom w:val="nil"/>
              <w:right w:val="nil"/>
            </w:tcBorders>
            <w:shd w:val="clear" w:color="auto" w:fill="FFFFFF"/>
            <w:vAlign w:val="center"/>
          </w:tcPr>
          <w:p w14:paraId="6AF8687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68.1</w:t>
            </w:r>
          </w:p>
        </w:tc>
        <w:tc>
          <w:tcPr>
            <w:tcW w:w="1070" w:type="dxa"/>
            <w:tcBorders>
              <w:top w:val="nil"/>
              <w:left w:val="nil"/>
              <w:bottom w:val="nil"/>
              <w:right w:val="nil"/>
            </w:tcBorders>
            <w:shd w:val="clear" w:color="auto" w:fill="FFFFFF"/>
            <w:vAlign w:val="center"/>
          </w:tcPr>
          <w:p w14:paraId="56CDB47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0.408</w:t>
            </w:r>
          </w:p>
        </w:tc>
        <w:tc>
          <w:tcPr>
            <w:tcW w:w="1136" w:type="dxa"/>
            <w:tcBorders>
              <w:top w:val="nil"/>
              <w:left w:val="nil"/>
              <w:bottom w:val="nil"/>
              <w:right w:val="nil"/>
            </w:tcBorders>
            <w:shd w:val="clear" w:color="auto" w:fill="FFFFFF"/>
            <w:vAlign w:val="center"/>
          </w:tcPr>
          <w:p w14:paraId="2C911B77"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0.767 (0.706-0.827)</w:t>
            </w:r>
          </w:p>
        </w:tc>
        <w:tc>
          <w:tcPr>
            <w:tcW w:w="1022" w:type="dxa"/>
            <w:tcBorders>
              <w:top w:val="nil"/>
              <w:left w:val="nil"/>
              <w:bottom w:val="nil"/>
              <w:right w:val="nil"/>
            </w:tcBorders>
            <w:shd w:val="clear" w:color="auto" w:fill="FFFFFF"/>
            <w:vAlign w:val="center"/>
          </w:tcPr>
          <w:p w14:paraId="55D75CBA" w14:textId="7CB4752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tcBorders>
              <w:top w:val="nil"/>
              <w:left w:val="nil"/>
              <w:bottom w:val="nil"/>
              <w:right w:val="nil"/>
            </w:tcBorders>
            <w:shd w:val="clear" w:color="auto" w:fill="FFFFFF"/>
            <w:vAlign w:val="center"/>
          </w:tcPr>
          <w:p w14:paraId="420D23C3"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0.045</w:t>
            </w:r>
          </w:p>
        </w:tc>
      </w:tr>
      <w:tr w:rsidR="00053734" w:rsidRPr="00EA2DA7" w14:paraId="5578A7C4" w14:textId="77777777">
        <w:trPr>
          <w:trHeight w:val="720"/>
        </w:trPr>
        <w:tc>
          <w:tcPr>
            <w:tcW w:w="1107" w:type="dxa"/>
            <w:tcBorders>
              <w:top w:val="nil"/>
              <w:left w:val="nil"/>
              <w:bottom w:val="nil"/>
              <w:right w:val="nil"/>
            </w:tcBorders>
            <w:shd w:val="clear" w:color="auto" w:fill="FFFFFF"/>
            <w:vAlign w:val="center"/>
          </w:tcPr>
          <w:p w14:paraId="630F57B8"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COSSH-ACLF</w:t>
            </w:r>
          </w:p>
        </w:tc>
        <w:tc>
          <w:tcPr>
            <w:tcW w:w="696" w:type="dxa"/>
            <w:tcBorders>
              <w:top w:val="nil"/>
              <w:left w:val="nil"/>
              <w:bottom w:val="nil"/>
              <w:right w:val="nil"/>
            </w:tcBorders>
            <w:shd w:val="clear" w:color="auto" w:fill="FFFFFF"/>
            <w:vAlign w:val="center"/>
          </w:tcPr>
          <w:p w14:paraId="5EA51A3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7.5</w:t>
            </w:r>
          </w:p>
        </w:tc>
        <w:tc>
          <w:tcPr>
            <w:tcW w:w="1403" w:type="dxa"/>
            <w:tcBorders>
              <w:top w:val="nil"/>
              <w:left w:val="nil"/>
              <w:bottom w:val="nil"/>
              <w:right w:val="nil"/>
            </w:tcBorders>
            <w:shd w:val="clear" w:color="auto" w:fill="FFFFFF"/>
            <w:vAlign w:val="center"/>
          </w:tcPr>
          <w:p w14:paraId="7EEA964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56.8</w:t>
            </w:r>
          </w:p>
        </w:tc>
        <w:tc>
          <w:tcPr>
            <w:tcW w:w="1389" w:type="dxa"/>
            <w:tcBorders>
              <w:top w:val="nil"/>
              <w:left w:val="nil"/>
              <w:bottom w:val="nil"/>
              <w:right w:val="nil"/>
            </w:tcBorders>
            <w:shd w:val="clear" w:color="auto" w:fill="FFFFFF"/>
            <w:vAlign w:val="center"/>
          </w:tcPr>
          <w:p w14:paraId="0894F34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84.0</w:t>
            </w:r>
          </w:p>
        </w:tc>
        <w:tc>
          <w:tcPr>
            <w:tcW w:w="1070" w:type="dxa"/>
            <w:tcBorders>
              <w:top w:val="nil"/>
              <w:left w:val="nil"/>
              <w:bottom w:val="nil"/>
              <w:right w:val="nil"/>
            </w:tcBorders>
            <w:shd w:val="clear" w:color="auto" w:fill="FFFFFF"/>
            <w:vAlign w:val="center"/>
          </w:tcPr>
          <w:p w14:paraId="55457C1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0.408</w:t>
            </w:r>
          </w:p>
        </w:tc>
        <w:tc>
          <w:tcPr>
            <w:tcW w:w="1136" w:type="dxa"/>
            <w:tcBorders>
              <w:top w:val="nil"/>
              <w:left w:val="nil"/>
              <w:bottom w:val="nil"/>
              <w:right w:val="nil"/>
            </w:tcBorders>
            <w:shd w:val="clear" w:color="auto" w:fill="FFFFFF"/>
            <w:vAlign w:val="center"/>
          </w:tcPr>
          <w:p w14:paraId="65B6C9B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0.759 (0.696-0.821)</w:t>
            </w:r>
          </w:p>
        </w:tc>
        <w:tc>
          <w:tcPr>
            <w:tcW w:w="1022" w:type="dxa"/>
            <w:tcBorders>
              <w:top w:val="nil"/>
              <w:left w:val="nil"/>
              <w:bottom w:val="nil"/>
              <w:right w:val="nil"/>
            </w:tcBorders>
            <w:shd w:val="clear" w:color="auto" w:fill="FFFFFF"/>
            <w:vAlign w:val="center"/>
          </w:tcPr>
          <w:p w14:paraId="306523E9" w14:textId="2A5117A4"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tcBorders>
              <w:top w:val="nil"/>
              <w:left w:val="nil"/>
              <w:bottom w:val="nil"/>
              <w:right w:val="nil"/>
            </w:tcBorders>
            <w:shd w:val="clear" w:color="auto" w:fill="FFFFFF"/>
            <w:vAlign w:val="center"/>
          </w:tcPr>
          <w:p w14:paraId="331F5E7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0.026</w:t>
            </w:r>
          </w:p>
        </w:tc>
      </w:tr>
      <w:tr w:rsidR="00053734" w:rsidRPr="00EA2DA7" w14:paraId="50116F21" w14:textId="77777777">
        <w:trPr>
          <w:trHeight w:val="276"/>
        </w:trPr>
        <w:tc>
          <w:tcPr>
            <w:tcW w:w="7823" w:type="dxa"/>
            <w:gridSpan w:val="7"/>
            <w:tcBorders>
              <w:top w:val="nil"/>
              <w:left w:val="nil"/>
              <w:bottom w:val="nil"/>
              <w:right w:val="nil"/>
            </w:tcBorders>
            <w:shd w:val="clear" w:color="auto" w:fill="FFFFFF"/>
            <w:vAlign w:val="center"/>
          </w:tcPr>
          <w:p w14:paraId="10C8F98D" w14:textId="4208D66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Validation cohort (</w:t>
            </w:r>
            <w:r w:rsidRPr="00EA2DA7">
              <w:rPr>
                <w:rFonts w:ascii="Book Antiqua" w:eastAsia="Book Antiqua" w:hAnsi="Book Antiqua" w:cs="Book Antiqua"/>
                <w:i/>
              </w:rPr>
              <w:t>n</w:t>
            </w:r>
            <w:r w:rsidR="005E1FA5">
              <w:rPr>
                <w:rFonts w:ascii="Book Antiqua" w:eastAsia="Book Antiqua" w:hAnsi="Book Antiqua" w:cs="Book Antiqua"/>
              </w:rPr>
              <w:t xml:space="preserve"> </w:t>
            </w:r>
            <w:r w:rsidRPr="00EA2DA7">
              <w:rPr>
                <w:rFonts w:ascii="Book Antiqua" w:eastAsia="Book Antiqua" w:hAnsi="Book Antiqua" w:cs="Book Antiqua"/>
              </w:rPr>
              <w:t>=</w:t>
            </w:r>
            <w:r w:rsidR="005E1FA5">
              <w:rPr>
                <w:rFonts w:ascii="Book Antiqua" w:eastAsia="Book Antiqua" w:hAnsi="Book Antiqua" w:cs="Book Antiqua"/>
              </w:rPr>
              <w:t xml:space="preserve"> </w:t>
            </w:r>
            <w:r w:rsidRPr="00EA2DA7">
              <w:rPr>
                <w:rFonts w:ascii="Book Antiqua" w:eastAsia="Book Antiqua" w:hAnsi="Book Antiqua" w:cs="Book Antiqua"/>
              </w:rPr>
              <w:t>123)</w:t>
            </w:r>
          </w:p>
        </w:tc>
        <w:tc>
          <w:tcPr>
            <w:tcW w:w="1641" w:type="dxa"/>
            <w:tcBorders>
              <w:top w:val="nil"/>
              <w:left w:val="nil"/>
              <w:bottom w:val="nil"/>
              <w:right w:val="nil"/>
            </w:tcBorders>
            <w:shd w:val="clear" w:color="auto" w:fill="auto"/>
            <w:vAlign w:val="center"/>
          </w:tcPr>
          <w:p w14:paraId="091A468E" w14:textId="77777777" w:rsidR="00053734" w:rsidRPr="00EA2DA7" w:rsidRDefault="00053734" w:rsidP="00EA2DA7">
            <w:pPr>
              <w:spacing w:line="360" w:lineRule="auto"/>
              <w:jc w:val="both"/>
              <w:rPr>
                <w:rFonts w:ascii="Book Antiqua" w:eastAsia="Book Antiqua" w:hAnsi="Book Antiqua" w:cs="Book Antiqua"/>
              </w:rPr>
            </w:pPr>
          </w:p>
        </w:tc>
      </w:tr>
      <w:tr w:rsidR="00053734" w:rsidRPr="00EA2DA7" w14:paraId="553BD3FF" w14:textId="77777777">
        <w:trPr>
          <w:trHeight w:val="720"/>
        </w:trPr>
        <w:tc>
          <w:tcPr>
            <w:tcW w:w="1107" w:type="dxa"/>
            <w:tcBorders>
              <w:top w:val="nil"/>
              <w:left w:val="nil"/>
              <w:bottom w:val="nil"/>
              <w:right w:val="nil"/>
            </w:tcBorders>
            <w:shd w:val="clear" w:color="auto" w:fill="FFFFFF"/>
            <w:vAlign w:val="center"/>
          </w:tcPr>
          <w:p w14:paraId="47E13202"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GIMNS</w:t>
            </w:r>
          </w:p>
        </w:tc>
        <w:tc>
          <w:tcPr>
            <w:tcW w:w="696" w:type="dxa"/>
            <w:tcBorders>
              <w:top w:val="nil"/>
              <w:left w:val="nil"/>
              <w:bottom w:val="nil"/>
              <w:right w:val="nil"/>
            </w:tcBorders>
            <w:shd w:val="clear" w:color="auto" w:fill="FFFFFF"/>
            <w:vAlign w:val="center"/>
          </w:tcPr>
          <w:p w14:paraId="25485B9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w:t>
            </w:r>
          </w:p>
        </w:tc>
        <w:tc>
          <w:tcPr>
            <w:tcW w:w="1403" w:type="dxa"/>
            <w:tcBorders>
              <w:top w:val="nil"/>
              <w:left w:val="nil"/>
              <w:bottom w:val="nil"/>
              <w:right w:val="nil"/>
            </w:tcBorders>
            <w:shd w:val="clear" w:color="auto" w:fill="FFFFFF"/>
            <w:vAlign w:val="center"/>
          </w:tcPr>
          <w:p w14:paraId="63EE295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57.8</w:t>
            </w:r>
          </w:p>
        </w:tc>
        <w:tc>
          <w:tcPr>
            <w:tcW w:w="1389" w:type="dxa"/>
            <w:tcBorders>
              <w:top w:val="nil"/>
              <w:left w:val="nil"/>
              <w:bottom w:val="nil"/>
              <w:right w:val="nil"/>
            </w:tcBorders>
            <w:shd w:val="clear" w:color="auto" w:fill="FFFFFF"/>
            <w:vAlign w:val="center"/>
          </w:tcPr>
          <w:p w14:paraId="42B4A9A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79.6</w:t>
            </w:r>
          </w:p>
        </w:tc>
        <w:tc>
          <w:tcPr>
            <w:tcW w:w="1070" w:type="dxa"/>
            <w:tcBorders>
              <w:top w:val="nil"/>
              <w:left w:val="nil"/>
              <w:bottom w:val="nil"/>
              <w:right w:val="nil"/>
            </w:tcBorders>
            <w:shd w:val="clear" w:color="auto" w:fill="FFFFFF"/>
            <w:vAlign w:val="center"/>
          </w:tcPr>
          <w:p w14:paraId="27DD243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0.374</w:t>
            </w:r>
          </w:p>
        </w:tc>
        <w:tc>
          <w:tcPr>
            <w:tcW w:w="1136" w:type="dxa"/>
            <w:tcBorders>
              <w:top w:val="nil"/>
              <w:left w:val="nil"/>
              <w:bottom w:val="nil"/>
              <w:right w:val="nil"/>
            </w:tcBorders>
            <w:shd w:val="clear" w:color="auto" w:fill="FFFFFF"/>
            <w:vAlign w:val="center"/>
          </w:tcPr>
          <w:p w14:paraId="69C4175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0.732 (0.642-0.821)</w:t>
            </w:r>
          </w:p>
        </w:tc>
        <w:tc>
          <w:tcPr>
            <w:tcW w:w="1022" w:type="dxa"/>
            <w:tcBorders>
              <w:top w:val="nil"/>
              <w:left w:val="nil"/>
              <w:bottom w:val="nil"/>
              <w:right w:val="nil"/>
            </w:tcBorders>
            <w:shd w:val="clear" w:color="auto" w:fill="FFFFFF"/>
            <w:vAlign w:val="center"/>
          </w:tcPr>
          <w:p w14:paraId="22BF727E" w14:textId="30801C62"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tcBorders>
              <w:top w:val="nil"/>
              <w:left w:val="nil"/>
              <w:bottom w:val="nil"/>
              <w:right w:val="nil"/>
            </w:tcBorders>
            <w:shd w:val="clear" w:color="auto" w:fill="auto"/>
            <w:vAlign w:val="center"/>
          </w:tcPr>
          <w:p w14:paraId="25980D1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w:t>
            </w:r>
          </w:p>
        </w:tc>
      </w:tr>
      <w:tr w:rsidR="00053734" w:rsidRPr="00EA2DA7" w14:paraId="2C77AE53" w14:textId="77777777">
        <w:trPr>
          <w:trHeight w:val="720"/>
        </w:trPr>
        <w:tc>
          <w:tcPr>
            <w:tcW w:w="1107" w:type="dxa"/>
            <w:tcBorders>
              <w:top w:val="nil"/>
              <w:left w:val="nil"/>
              <w:bottom w:val="nil"/>
              <w:right w:val="nil"/>
            </w:tcBorders>
            <w:shd w:val="clear" w:color="auto" w:fill="FFFFFF"/>
            <w:vAlign w:val="center"/>
          </w:tcPr>
          <w:p w14:paraId="7340BBE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MELD</w:t>
            </w:r>
          </w:p>
        </w:tc>
        <w:tc>
          <w:tcPr>
            <w:tcW w:w="696" w:type="dxa"/>
            <w:tcBorders>
              <w:top w:val="nil"/>
              <w:left w:val="nil"/>
              <w:bottom w:val="nil"/>
              <w:right w:val="nil"/>
            </w:tcBorders>
            <w:shd w:val="clear" w:color="auto" w:fill="FFFFFF"/>
            <w:vAlign w:val="center"/>
          </w:tcPr>
          <w:p w14:paraId="15752D5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26.6</w:t>
            </w:r>
          </w:p>
        </w:tc>
        <w:tc>
          <w:tcPr>
            <w:tcW w:w="1403" w:type="dxa"/>
            <w:tcBorders>
              <w:top w:val="nil"/>
              <w:left w:val="nil"/>
              <w:bottom w:val="nil"/>
              <w:right w:val="nil"/>
            </w:tcBorders>
            <w:shd w:val="clear" w:color="auto" w:fill="FFFFFF"/>
            <w:vAlign w:val="center"/>
          </w:tcPr>
          <w:p w14:paraId="4B5A154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65.6</w:t>
            </w:r>
          </w:p>
        </w:tc>
        <w:tc>
          <w:tcPr>
            <w:tcW w:w="1389" w:type="dxa"/>
            <w:tcBorders>
              <w:top w:val="nil"/>
              <w:left w:val="nil"/>
              <w:bottom w:val="nil"/>
              <w:right w:val="nil"/>
            </w:tcBorders>
            <w:shd w:val="clear" w:color="auto" w:fill="FFFFFF"/>
            <w:vAlign w:val="center"/>
          </w:tcPr>
          <w:p w14:paraId="59EF7CD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63.0</w:t>
            </w:r>
          </w:p>
        </w:tc>
        <w:tc>
          <w:tcPr>
            <w:tcW w:w="1070" w:type="dxa"/>
            <w:tcBorders>
              <w:top w:val="nil"/>
              <w:left w:val="nil"/>
              <w:bottom w:val="nil"/>
              <w:right w:val="nil"/>
            </w:tcBorders>
            <w:shd w:val="clear" w:color="auto" w:fill="FFFFFF"/>
            <w:vAlign w:val="center"/>
          </w:tcPr>
          <w:p w14:paraId="53943BF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0.286</w:t>
            </w:r>
          </w:p>
        </w:tc>
        <w:tc>
          <w:tcPr>
            <w:tcW w:w="1136" w:type="dxa"/>
            <w:tcBorders>
              <w:top w:val="nil"/>
              <w:left w:val="nil"/>
              <w:bottom w:val="nil"/>
              <w:right w:val="nil"/>
            </w:tcBorders>
            <w:shd w:val="clear" w:color="auto" w:fill="FFFFFF"/>
            <w:vAlign w:val="center"/>
          </w:tcPr>
          <w:p w14:paraId="78CD24A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0.623 (0.520-0.726)</w:t>
            </w:r>
          </w:p>
        </w:tc>
        <w:tc>
          <w:tcPr>
            <w:tcW w:w="1022" w:type="dxa"/>
            <w:tcBorders>
              <w:top w:val="nil"/>
              <w:left w:val="nil"/>
              <w:bottom w:val="nil"/>
              <w:right w:val="nil"/>
            </w:tcBorders>
            <w:shd w:val="clear" w:color="auto" w:fill="FFFFFF"/>
            <w:vAlign w:val="center"/>
          </w:tcPr>
          <w:p w14:paraId="710333A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0.050</w:t>
            </w:r>
          </w:p>
        </w:tc>
        <w:tc>
          <w:tcPr>
            <w:tcW w:w="1641" w:type="dxa"/>
            <w:tcBorders>
              <w:top w:val="nil"/>
              <w:left w:val="nil"/>
              <w:bottom w:val="nil"/>
              <w:right w:val="nil"/>
            </w:tcBorders>
            <w:shd w:val="clear" w:color="auto" w:fill="FFFFFF"/>
            <w:vAlign w:val="center"/>
          </w:tcPr>
          <w:p w14:paraId="22E0FDD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0.013</w:t>
            </w:r>
          </w:p>
        </w:tc>
      </w:tr>
      <w:tr w:rsidR="00053734" w:rsidRPr="00EA2DA7" w14:paraId="2CD920DD" w14:textId="77777777">
        <w:trPr>
          <w:trHeight w:val="720"/>
        </w:trPr>
        <w:tc>
          <w:tcPr>
            <w:tcW w:w="1107" w:type="dxa"/>
            <w:tcBorders>
              <w:top w:val="nil"/>
              <w:left w:val="nil"/>
              <w:bottom w:val="nil"/>
              <w:right w:val="nil"/>
            </w:tcBorders>
            <w:shd w:val="clear" w:color="auto" w:fill="FFFFFF"/>
            <w:vAlign w:val="center"/>
          </w:tcPr>
          <w:p w14:paraId="066771FC"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CLIF-SOFA</w:t>
            </w:r>
          </w:p>
        </w:tc>
        <w:tc>
          <w:tcPr>
            <w:tcW w:w="696" w:type="dxa"/>
            <w:tcBorders>
              <w:top w:val="nil"/>
              <w:left w:val="nil"/>
              <w:bottom w:val="nil"/>
              <w:right w:val="nil"/>
            </w:tcBorders>
            <w:shd w:val="clear" w:color="auto" w:fill="FFFFFF"/>
            <w:vAlign w:val="center"/>
          </w:tcPr>
          <w:p w14:paraId="498C7D2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11.0</w:t>
            </w:r>
          </w:p>
        </w:tc>
        <w:tc>
          <w:tcPr>
            <w:tcW w:w="1403" w:type="dxa"/>
            <w:tcBorders>
              <w:top w:val="nil"/>
              <w:left w:val="nil"/>
              <w:bottom w:val="nil"/>
              <w:right w:val="nil"/>
            </w:tcBorders>
            <w:shd w:val="clear" w:color="auto" w:fill="FFFFFF"/>
            <w:vAlign w:val="center"/>
          </w:tcPr>
          <w:p w14:paraId="2DA937C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29.7</w:t>
            </w:r>
          </w:p>
        </w:tc>
        <w:tc>
          <w:tcPr>
            <w:tcW w:w="1389" w:type="dxa"/>
            <w:tcBorders>
              <w:top w:val="nil"/>
              <w:left w:val="nil"/>
              <w:bottom w:val="nil"/>
              <w:right w:val="nil"/>
            </w:tcBorders>
            <w:shd w:val="clear" w:color="auto" w:fill="FFFFFF"/>
            <w:vAlign w:val="center"/>
          </w:tcPr>
          <w:p w14:paraId="4FCC95A5"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94.4</w:t>
            </w:r>
          </w:p>
        </w:tc>
        <w:tc>
          <w:tcPr>
            <w:tcW w:w="1070" w:type="dxa"/>
            <w:tcBorders>
              <w:top w:val="nil"/>
              <w:left w:val="nil"/>
              <w:bottom w:val="nil"/>
              <w:right w:val="nil"/>
            </w:tcBorders>
            <w:shd w:val="clear" w:color="auto" w:fill="FFFFFF"/>
            <w:vAlign w:val="center"/>
          </w:tcPr>
          <w:p w14:paraId="7695AD0F"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0.241</w:t>
            </w:r>
          </w:p>
        </w:tc>
        <w:tc>
          <w:tcPr>
            <w:tcW w:w="1136" w:type="dxa"/>
            <w:tcBorders>
              <w:top w:val="nil"/>
              <w:left w:val="nil"/>
              <w:bottom w:val="nil"/>
              <w:right w:val="nil"/>
            </w:tcBorders>
            <w:shd w:val="clear" w:color="auto" w:fill="FFFFFF"/>
            <w:vAlign w:val="center"/>
          </w:tcPr>
          <w:p w14:paraId="671D1BA6"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0.661 (0.563-0.758)</w:t>
            </w:r>
          </w:p>
        </w:tc>
        <w:tc>
          <w:tcPr>
            <w:tcW w:w="1022" w:type="dxa"/>
            <w:tcBorders>
              <w:top w:val="nil"/>
              <w:left w:val="nil"/>
              <w:bottom w:val="nil"/>
              <w:right w:val="nil"/>
            </w:tcBorders>
            <w:shd w:val="clear" w:color="auto" w:fill="FFFFFF"/>
            <w:vAlign w:val="center"/>
          </w:tcPr>
          <w:p w14:paraId="62BA8B3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 0.010</w:t>
            </w:r>
          </w:p>
        </w:tc>
        <w:tc>
          <w:tcPr>
            <w:tcW w:w="1641" w:type="dxa"/>
            <w:tcBorders>
              <w:top w:val="nil"/>
              <w:left w:val="nil"/>
              <w:bottom w:val="nil"/>
              <w:right w:val="nil"/>
            </w:tcBorders>
            <w:shd w:val="clear" w:color="auto" w:fill="FFFFFF"/>
            <w:vAlign w:val="center"/>
          </w:tcPr>
          <w:p w14:paraId="297C9E7E"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0.049</w:t>
            </w:r>
          </w:p>
        </w:tc>
      </w:tr>
      <w:tr w:rsidR="00053734" w:rsidRPr="00EA2DA7" w14:paraId="3601F995" w14:textId="77777777">
        <w:trPr>
          <w:trHeight w:val="732"/>
        </w:trPr>
        <w:tc>
          <w:tcPr>
            <w:tcW w:w="1107" w:type="dxa"/>
            <w:tcBorders>
              <w:top w:val="nil"/>
              <w:left w:val="nil"/>
              <w:bottom w:val="single" w:sz="12" w:space="0" w:color="000000"/>
              <w:right w:val="nil"/>
            </w:tcBorders>
            <w:shd w:val="clear" w:color="auto" w:fill="FFFFFF"/>
            <w:vAlign w:val="center"/>
          </w:tcPr>
          <w:p w14:paraId="20CE9701"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lastRenderedPageBreak/>
              <w:t>COSSH-ACLF</w:t>
            </w:r>
          </w:p>
        </w:tc>
        <w:tc>
          <w:tcPr>
            <w:tcW w:w="696" w:type="dxa"/>
            <w:tcBorders>
              <w:top w:val="nil"/>
              <w:left w:val="nil"/>
              <w:bottom w:val="single" w:sz="12" w:space="0" w:color="000000"/>
              <w:right w:val="nil"/>
            </w:tcBorders>
            <w:shd w:val="clear" w:color="auto" w:fill="FFFFFF"/>
            <w:vAlign w:val="center"/>
          </w:tcPr>
          <w:p w14:paraId="3083B73D"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7.9</w:t>
            </w:r>
          </w:p>
        </w:tc>
        <w:tc>
          <w:tcPr>
            <w:tcW w:w="1403" w:type="dxa"/>
            <w:tcBorders>
              <w:top w:val="nil"/>
              <w:left w:val="nil"/>
              <w:bottom w:val="single" w:sz="12" w:space="0" w:color="000000"/>
              <w:right w:val="nil"/>
            </w:tcBorders>
            <w:shd w:val="clear" w:color="auto" w:fill="FFFFFF"/>
            <w:vAlign w:val="center"/>
          </w:tcPr>
          <w:p w14:paraId="481969A4"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51.6</w:t>
            </w:r>
          </w:p>
        </w:tc>
        <w:tc>
          <w:tcPr>
            <w:tcW w:w="1389" w:type="dxa"/>
            <w:tcBorders>
              <w:top w:val="nil"/>
              <w:left w:val="nil"/>
              <w:bottom w:val="single" w:sz="12" w:space="0" w:color="000000"/>
              <w:right w:val="nil"/>
            </w:tcBorders>
            <w:shd w:val="clear" w:color="auto" w:fill="FFFFFF"/>
            <w:vAlign w:val="center"/>
          </w:tcPr>
          <w:p w14:paraId="11F6813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81.5</w:t>
            </w:r>
          </w:p>
        </w:tc>
        <w:tc>
          <w:tcPr>
            <w:tcW w:w="1070" w:type="dxa"/>
            <w:tcBorders>
              <w:top w:val="nil"/>
              <w:left w:val="nil"/>
              <w:bottom w:val="single" w:sz="12" w:space="0" w:color="000000"/>
              <w:right w:val="nil"/>
            </w:tcBorders>
            <w:shd w:val="clear" w:color="auto" w:fill="FFFFFF"/>
            <w:vAlign w:val="center"/>
          </w:tcPr>
          <w:p w14:paraId="38C6C24A"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0.331</w:t>
            </w:r>
          </w:p>
        </w:tc>
        <w:tc>
          <w:tcPr>
            <w:tcW w:w="1136" w:type="dxa"/>
            <w:tcBorders>
              <w:top w:val="nil"/>
              <w:left w:val="nil"/>
              <w:bottom w:val="single" w:sz="12" w:space="0" w:color="000000"/>
              <w:right w:val="nil"/>
            </w:tcBorders>
            <w:shd w:val="clear" w:color="auto" w:fill="FFFFFF"/>
            <w:vAlign w:val="center"/>
          </w:tcPr>
          <w:p w14:paraId="3C185F09"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0.674 (0.577-0.770)</w:t>
            </w:r>
          </w:p>
        </w:tc>
        <w:tc>
          <w:tcPr>
            <w:tcW w:w="1022" w:type="dxa"/>
            <w:tcBorders>
              <w:top w:val="nil"/>
              <w:left w:val="nil"/>
              <w:bottom w:val="single" w:sz="12" w:space="0" w:color="000000"/>
              <w:right w:val="nil"/>
            </w:tcBorders>
            <w:shd w:val="clear" w:color="auto" w:fill="FFFFFF"/>
            <w:vAlign w:val="center"/>
          </w:tcPr>
          <w:p w14:paraId="0E02A10F" w14:textId="3DCDA016"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&lt;</w:t>
            </w:r>
            <w:r w:rsidR="005E1FA5">
              <w:rPr>
                <w:rFonts w:ascii="Book Antiqua" w:eastAsia="Book Antiqua" w:hAnsi="Book Antiqua" w:cs="Book Antiqua"/>
              </w:rPr>
              <w:t xml:space="preserve"> </w:t>
            </w:r>
            <w:r w:rsidRPr="00EA2DA7">
              <w:rPr>
                <w:rFonts w:ascii="Book Antiqua" w:eastAsia="Book Antiqua" w:hAnsi="Book Antiqua" w:cs="Book Antiqua"/>
              </w:rPr>
              <w:t>0.001</w:t>
            </w:r>
          </w:p>
        </w:tc>
        <w:tc>
          <w:tcPr>
            <w:tcW w:w="1641" w:type="dxa"/>
            <w:tcBorders>
              <w:top w:val="nil"/>
              <w:left w:val="nil"/>
              <w:bottom w:val="single" w:sz="12" w:space="0" w:color="000000"/>
              <w:right w:val="nil"/>
            </w:tcBorders>
            <w:shd w:val="clear" w:color="auto" w:fill="FFFFFF"/>
            <w:vAlign w:val="center"/>
          </w:tcPr>
          <w:p w14:paraId="15E96630" w14:textId="77777777" w:rsidR="00053734" w:rsidRPr="00EA2DA7" w:rsidRDefault="00721F08" w:rsidP="00EA2DA7">
            <w:pPr>
              <w:spacing w:line="360" w:lineRule="auto"/>
              <w:jc w:val="both"/>
              <w:rPr>
                <w:rFonts w:ascii="Book Antiqua" w:eastAsia="Book Antiqua" w:hAnsi="Book Antiqua" w:cs="Book Antiqua"/>
              </w:rPr>
            </w:pPr>
            <w:r w:rsidRPr="00EA2DA7">
              <w:rPr>
                <w:rFonts w:ascii="Book Antiqua" w:eastAsia="Book Antiqua" w:hAnsi="Book Antiqua" w:cs="Book Antiqua"/>
              </w:rPr>
              <w:t>0.122</w:t>
            </w:r>
          </w:p>
        </w:tc>
      </w:tr>
    </w:tbl>
    <w:p w14:paraId="04D0A12C" w14:textId="77777777" w:rsidR="00053734" w:rsidRPr="00EA2DA7" w:rsidRDefault="00721F08" w:rsidP="00EA2DA7">
      <w:pPr>
        <w:spacing w:line="360" w:lineRule="auto"/>
        <w:jc w:val="both"/>
        <w:rPr>
          <w:rFonts w:ascii="Book Antiqua" w:hAnsi="Book Antiqua"/>
        </w:rPr>
      </w:pPr>
      <w:r w:rsidRPr="00EA2DA7">
        <w:rPr>
          <w:rFonts w:ascii="Book Antiqua" w:eastAsia="Book Antiqua" w:hAnsi="Book Antiqua" w:cs="Book Antiqua"/>
        </w:rPr>
        <w:t>AUROC: Area under the receiver operating characteristic curve; CLIF-SOFA: Chronic liver failure-sequential organ failure assessment; COSSH-ACLF: Chinese Group on the study of severe hepatitis B-acute-on-chronic liver failure; MELD: Model for end-stage liver disease; CI: Confidence interval.</w:t>
      </w:r>
    </w:p>
    <w:sectPr w:rsidR="00053734" w:rsidRPr="00EA2DA7" w:rsidSect="00EA2DA7">
      <w:type w:val="continuous"/>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04A259F3" w14:textId="33E719C3" w:rsidR="0070153C" w:rsidRDefault="0070153C">
      <w:pPr>
        <w:pStyle w:val="CommentText"/>
      </w:pPr>
      <w:r>
        <w:rPr>
          <w:rStyle w:val="CommentReference"/>
        </w:rPr>
        <w:annotationRef/>
      </w:r>
      <w:r>
        <w:t>In the middle box on the right, it should say Hospital stay.</w:t>
      </w:r>
    </w:p>
  </w:comment>
  <w:comment w:id="3" w:author="Author" w:initials="A">
    <w:p w14:paraId="1CBE23AA" w14:textId="4672BF0F" w:rsidR="0070153C" w:rsidRDefault="0070153C">
      <w:pPr>
        <w:pStyle w:val="CommentText"/>
      </w:pPr>
      <w:r>
        <w:rPr>
          <w:rStyle w:val="CommentReference"/>
        </w:rPr>
        <w:annotationRef/>
      </w:r>
      <w:r>
        <w:t>This data should be presented in the same way for both cohorts.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A259F3" w15:done="0"/>
  <w15:commentEx w15:paraId="1CBE23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259F3" w16cid:durableId="241B443E"/>
  <w16cid:commentId w16cid:paraId="1CBE23AA" w16cid:durableId="241B47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9C3AE" w14:textId="77777777" w:rsidR="009146B9" w:rsidRDefault="009146B9">
      <w:r>
        <w:separator/>
      </w:r>
    </w:p>
  </w:endnote>
  <w:endnote w:type="continuationSeparator" w:id="0">
    <w:p w14:paraId="6DF8FD82" w14:textId="77777777" w:rsidR="009146B9" w:rsidRDefault="0091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FD6E" w14:textId="77777777" w:rsidR="0070153C" w:rsidRPr="00B74EC7" w:rsidRDefault="0070153C" w:rsidP="00F06E14">
    <w:pPr>
      <w:pBdr>
        <w:top w:val="nil"/>
        <w:left w:val="nil"/>
        <w:bottom w:val="nil"/>
        <w:right w:val="nil"/>
        <w:between w:val="nil"/>
      </w:pBdr>
      <w:tabs>
        <w:tab w:val="center" w:pos="4153"/>
        <w:tab w:val="right" w:pos="8306"/>
      </w:tabs>
      <w:jc w:val="right"/>
      <w:rPr>
        <w:rFonts w:ascii="Book Antiqua" w:hAnsi="Book Antiqua"/>
        <w:color w:val="000000"/>
      </w:rPr>
    </w:pPr>
    <w:r w:rsidRPr="00B74EC7">
      <w:rPr>
        <w:rFonts w:ascii="Book Antiqua" w:hAnsi="Book Antiqua"/>
        <w:color w:val="000000"/>
      </w:rPr>
      <w:fldChar w:fldCharType="begin"/>
    </w:r>
    <w:r w:rsidRPr="00B74EC7">
      <w:rPr>
        <w:rFonts w:ascii="Book Antiqua" w:hAnsi="Book Antiqua"/>
        <w:color w:val="000000"/>
      </w:rPr>
      <w:instrText>PAGE</w:instrText>
    </w:r>
    <w:r w:rsidRPr="00B74EC7">
      <w:rPr>
        <w:rFonts w:ascii="Book Antiqua" w:hAnsi="Book Antiqua"/>
        <w:color w:val="000000"/>
      </w:rPr>
      <w:fldChar w:fldCharType="separate"/>
    </w:r>
    <w:r>
      <w:rPr>
        <w:rFonts w:ascii="Book Antiqua" w:hAnsi="Book Antiqua"/>
        <w:color w:val="000000"/>
      </w:rPr>
      <w:t>1</w:t>
    </w:r>
    <w:r w:rsidRPr="00B74EC7">
      <w:rPr>
        <w:rFonts w:ascii="Book Antiqua" w:hAnsi="Book Antiqua"/>
        <w:color w:val="000000"/>
      </w:rPr>
      <w:fldChar w:fldCharType="end"/>
    </w:r>
    <w:r w:rsidRPr="00B74EC7">
      <w:rPr>
        <w:rFonts w:ascii="Book Antiqua" w:hAnsi="Book Antiqua"/>
        <w:color w:val="000000"/>
      </w:rPr>
      <w:t xml:space="preserve"> / </w:t>
    </w:r>
    <w:r w:rsidRPr="00B74EC7">
      <w:rPr>
        <w:rFonts w:ascii="Book Antiqua" w:hAnsi="Book Antiqua"/>
        <w:color w:val="000000"/>
      </w:rPr>
      <w:fldChar w:fldCharType="begin"/>
    </w:r>
    <w:r w:rsidRPr="00B74EC7">
      <w:rPr>
        <w:rFonts w:ascii="Book Antiqua" w:hAnsi="Book Antiqua"/>
        <w:color w:val="000000"/>
      </w:rPr>
      <w:instrText>NUMPAGES</w:instrText>
    </w:r>
    <w:r w:rsidRPr="00B74EC7">
      <w:rPr>
        <w:rFonts w:ascii="Book Antiqua" w:hAnsi="Book Antiqua"/>
        <w:color w:val="000000"/>
      </w:rPr>
      <w:fldChar w:fldCharType="separate"/>
    </w:r>
    <w:r>
      <w:rPr>
        <w:rFonts w:ascii="Book Antiqua" w:hAnsi="Book Antiqua"/>
        <w:color w:val="000000"/>
      </w:rPr>
      <w:t>25</w:t>
    </w:r>
    <w:r w:rsidRPr="00B74EC7">
      <w:rPr>
        <w:rFonts w:ascii="Book Antiqua" w:hAnsi="Book Antiqua"/>
        <w:color w:val="000000"/>
      </w:rPr>
      <w:fldChar w:fldCharType="end"/>
    </w:r>
  </w:p>
  <w:p w14:paraId="2374D701" w14:textId="0B378CC3" w:rsidR="0070153C" w:rsidRDefault="0070153C">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25DE" w14:textId="77777777" w:rsidR="009146B9" w:rsidRDefault="009146B9">
      <w:r>
        <w:separator/>
      </w:r>
    </w:p>
  </w:footnote>
  <w:footnote w:type="continuationSeparator" w:id="0">
    <w:p w14:paraId="5273DE66" w14:textId="77777777" w:rsidR="009146B9" w:rsidRDefault="0091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34"/>
    <w:rsid w:val="00053734"/>
    <w:rsid w:val="00085AA0"/>
    <w:rsid w:val="000F64D2"/>
    <w:rsid w:val="00170FCB"/>
    <w:rsid w:val="0021516C"/>
    <w:rsid w:val="002E1962"/>
    <w:rsid w:val="00322BA3"/>
    <w:rsid w:val="00516CC6"/>
    <w:rsid w:val="005C3F65"/>
    <w:rsid w:val="005E1FA5"/>
    <w:rsid w:val="005E6755"/>
    <w:rsid w:val="00610DA0"/>
    <w:rsid w:val="0070153C"/>
    <w:rsid w:val="00721F08"/>
    <w:rsid w:val="007D72E2"/>
    <w:rsid w:val="009146B9"/>
    <w:rsid w:val="00992F4C"/>
    <w:rsid w:val="00AC19F7"/>
    <w:rsid w:val="00B22862"/>
    <w:rsid w:val="00BA1795"/>
    <w:rsid w:val="00D17F47"/>
    <w:rsid w:val="00D37F9F"/>
    <w:rsid w:val="00D83413"/>
    <w:rsid w:val="00D93FBF"/>
    <w:rsid w:val="00EA2DA7"/>
    <w:rsid w:val="00F06E14"/>
    <w:rsid w:val="00F44AFE"/>
    <w:rsid w:val="00F5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85AA0"/>
    <w:pPr>
      <w:tabs>
        <w:tab w:val="center" w:pos="4680"/>
        <w:tab w:val="right" w:pos="9360"/>
      </w:tabs>
    </w:pPr>
  </w:style>
  <w:style w:type="character" w:customStyle="1" w:styleId="HeaderChar">
    <w:name w:val="Header Char"/>
    <w:basedOn w:val="DefaultParagraphFont"/>
    <w:link w:val="Header"/>
    <w:uiPriority w:val="99"/>
    <w:rsid w:val="00085AA0"/>
  </w:style>
  <w:style w:type="paragraph" w:styleId="Footer">
    <w:name w:val="footer"/>
    <w:basedOn w:val="Normal"/>
    <w:link w:val="FooterChar"/>
    <w:uiPriority w:val="99"/>
    <w:unhideWhenUsed/>
    <w:rsid w:val="00085AA0"/>
    <w:pPr>
      <w:tabs>
        <w:tab w:val="center" w:pos="4680"/>
        <w:tab w:val="right" w:pos="9360"/>
      </w:tabs>
    </w:pPr>
  </w:style>
  <w:style w:type="character" w:customStyle="1" w:styleId="FooterChar">
    <w:name w:val="Footer Char"/>
    <w:basedOn w:val="DefaultParagraphFont"/>
    <w:link w:val="Footer"/>
    <w:uiPriority w:val="99"/>
    <w:rsid w:val="00085AA0"/>
  </w:style>
  <w:style w:type="character" w:styleId="CommentReference">
    <w:name w:val="annotation reference"/>
    <w:basedOn w:val="DefaultParagraphFont"/>
    <w:uiPriority w:val="99"/>
    <w:semiHidden/>
    <w:unhideWhenUsed/>
    <w:rsid w:val="000F64D2"/>
    <w:rPr>
      <w:sz w:val="16"/>
      <w:szCs w:val="16"/>
    </w:rPr>
  </w:style>
  <w:style w:type="paragraph" w:styleId="CommentText">
    <w:name w:val="annotation text"/>
    <w:basedOn w:val="Normal"/>
    <w:link w:val="CommentTextChar"/>
    <w:uiPriority w:val="99"/>
    <w:semiHidden/>
    <w:unhideWhenUsed/>
    <w:rsid w:val="000F64D2"/>
    <w:rPr>
      <w:sz w:val="20"/>
      <w:szCs w:val="20"/>
    </w:rPr>
  </w:style>
  <w:style w:type="character" w:customStyle="1" w:styleId="CommentTextChar">
    <w:name w:val="Comment Text Char"/>
    <w:basedOn w:val="DefaultParagraphFont"/>
    <w:link w:val="CommentText"/>
    <w:uiPriority w:val="99"/>
    <w:semiHidden/>
    <w:rsid w:val="000F64D2"/>
    <w:rPr>
      <w:sz w:val="20"/>
      <w:szCs w:val="20"/>
    </w:rPr>
  </w:style>
  <w:style w:type="paragraph" w:styleId="CommentSubject">
    <w:name w:val="annotation subject"/>
    <w:basedOn w:val="CommentText"/>
    <w:next w:val="CommentText"/>
    <w:link w:val="CommentSubjectChar"/>
    <w:uiPriority w:val="99"/>
    <w:semiHidden/>
    <w:unhideWhenUsed/>
    <w:rsid w:val="000F64D2"/>
    <w:rPr>
      <w:b/>
      <w:bCs/>
    </w:rPr>
  </w:style>
  <w:style w:type="character" w:customStyle="1" w:styleId="CommentSubjectChar">
    <w:name w:val="Comment Subject Char"/>
    <w:basedOn w:val="CommentTextChar"/>
    <w:link w:val="CommentSubject"/>
    <w:uiPriority w:val="99"/>
    <w:semiHidden/>
    <w:rsid w:val="000F6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6996</Words>
  <Characters>41422</Characters>
  <Application>Microsoft Office Word</Application>
  <DocSecurity>0</DocSecurity>
  <Lines>637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2021-04-09T17:51:00Z</dcterms:created>
  <dcterms:modified xsi:type="dcterms:W3CDTF">2021-04-26T09:33:00Z</dcterms:modified>
</cp:coreProperties>
</file>