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F2BE1" w14:textId="77777777" w:rsidR="00350828" w:rsidRPr="0004216C" w:rsidRDefault="00350828" w:rsidP="000E7ABE">
      <w:pPr>
        <w:spacing w:line="360" w:lineRule="auto"/>
        <w:jc w:val="both"/>
        <w:rPr>
          <w:lang w:val="en-GB"/>
        </w:rPr>
      </w:pPr>
      <w:r w:rsidRPr="0004216C">
        <w:rPr>
          <w:rFonts w:ascii="Book Antiqua" w:hAnsi="Book Antiqua" w:cs="Book Antiqua"/>
          <w:b/>
          <w:color w:val="000000"/>
          <w:lang w:val="en-GB"/>
        </w:rPr>
        <w:t xml:space="preserve">Name of Journal: </w:t>
      </w:r>
      <w:r w:rsidRPr="0004216C">
        <w:rPr>
          <w:rFonts w:ascii="Book Antiqua" w:hAnsi="Book Antiqua" w:cs="Book Antiqua"/>
          <w:i/>
          <w:color w:val="000000"/>
          <w:lang w:val="en-GB"/>
        </w:rPr>
        <w:t>World Journal of Clinical Cases</w:t>
      </w:r>
    </w:p>
    <w:p w14:paraId="38D32A22"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NO: </w:t>
      </w:r>
      <w:r w:rsidRPr="0004216C">
        <w:rPr>
          <w:rFonts w:ascii="Book Antiqua" w:hAnsi="Book Antiqua" w:cs="Book Antiqua"/>
          <w:color w:val="000000"/>
          <w:lang w:val="en-GB"/>
        </w:rPr>
        <w:t>61016</w:t>
      </w:r>
    </w:p>
    <w:p w14:paraId="18043A90"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Type: </w:t>
      </w:r>
      <w:r w:rsidRPr="0004216C">
        <w:rPr>
          <w:rFonts w:ascii="Book Antiqua" w:hAnsi="Book Antiqua" w:cs="Book Antiqua"/>
          <w:color w:val="000000"/>
          <w:lang w:val="en-GB"/>
        </w:rPr>
        <w:t>CASE REPORT</w:t>
      </w:r>
    </w:p>
    <w:p w14:paraId="7547627A" w14:textId="77777777" w:rsidR="00350828" w:rsidRPr="0004216C" w:rsidRDefault="00350828">
      <w:pPr>
        <w:spacing w:line="360" w:lineRule="auto"/>
        <w:jc w:val="both"/>
        <w:rPr>
          <w:lang w:val="en-GB"/>
        </w:rPr>
      </w:pPr>
    </w:p>
    <w:p w14:paraId="4E99DD0D" w14:textId="77777777" w:rsidR="00350828" w:rsidRPr="0004216C" w:rsidRDefault="00350828">
      <w:pPr>
        <w:spacing w:line="360" w:lineRule="auto"/>
        <w:jc w:val="both"/>
        <w:rPr>
          <w:lang w:val="en-GB"/>
        </w:rPr>
      </w:pPr>
      <w:bookmarkStart w:id="0" w:name="OLE_LINK23"/>
      <w:r w:rsidRPr="0004216C">
        <w:rPr>
          <w:rFonts w:ascii="Book Antiqua" w:hAnsi="Book Antiqua" w:cs="Book Antiqua"/>
          <w:b/>
          <w:color w:val="000000"/>
          <w:lang w:val="en-GB"/>
        </w:rPr>
        <w:t>Robotically assisted removal of pelvic splenosis fifty-six years after splenectomy: A case report</w:t>
      </w:r>
    </w:p>
    <w:bookmarkEnd w:id="0"/>
    <w:p w14:paraId="7FC229F0" w14:textId="77777777" w:rsidR="00350828" w:rsidRPr="0004216C" w:rsidRDefault="00350828">
      <w:pPr>
        <w:spacing w:line="360" w:lineRule="auto"/>
        <w:jc w:val="both"/>
        <w:rPr>
          <w:lang w:val="en-GB"/>
        </w:rPr>
      </w:pPr>
    </w:p>
    <w:p w14:paraId="56CFE3C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Tognarelli A </w:t>
      </w:r>
      <w:r w:rsidRPr="0004216C">
        <w:rPr>
          <w:rFonts w:ascii="Book Antiqua" w:hAnsi="Book Antiqua" w:cs="Book Antiqua"/>
          <w:i/>
          <w:iCs/>
          <w:color w:val="000000"/>
          <w:lang w:val="en-GB"/>
        </w:rPr>
        <w:t>et al</w:t>
      </w:r>
      <w:r w:rsidRPr="0004216C">
        <w:rPr>
          <w:rFonts w:ascii="Book Antiqua" w:hAnsi="Book Antiqua" w:cs="Book Antiqua"/>
          <w:color w:val="000000"/>
          <w:lang w:val="en-GB"/>
        </w:rPr>
        <w:t>. Pelvic splenosis after splenectomy</w:t>
      </w:r>
    </w:p>
    <w:p w14:paraId="00634D5A" w14:textId="77777777" w:rsidR="00350828" w:rsidRPr="0004216C" w:rsidRDefault="00350828">
      <w:pPr>
        <w:spacing w:line="360" w:lineRule="auto"/>
        <w:jc w:val="both"/>
        <w:rPr>
          <w:lang w:val="en-GB"/>
        </w:rPr>
      </w:pPr>
    </w:p>
    <w:p w14:paraId="7C9B1E4E" w14:textId="77777777" w:rsidR="00350828" w:rsidRPr="00D00198" w:rsidRDefault="00350828">
      <w:pPr>
        <w:spacing w:line="360" w:lineRule="auto"/>
        <w:jc w:val="both"/>
        <w:rPr>
          <w:lang w:val="pt-BR"/>
        </w:rPr>
      </w:pPr>
      <w:r w:rsidRPr="00D00198">
        <w:rPr>
          <w:rFonts w:ascii="Book Antiqua" w:hAnsi="Book Antiqua" w:cs="Book Antiqua"/>
          <w:color w:val="000000"/>
          <w:lang w:val="pt-BR"/>
        </w:rPr>
        <w:t>Alessio Tognarelli, Lorenzo Faggioni, Anna Paola Erba, Pinuccia Faviana, Jacopo Durante, Francesca Manassero, Cesare Selli</w:t>
      </w:r>
    </w:p>
    <w:p w14:paraId="65E68168" w14:textId="77777777" w:rsidR="00350828" w:rsidRPr="00D00198" w:rsidRDefault="00350828">
      <w:pPr>
        <w:spacing w:line="360" w:lineRule="auto"/>
        <w:jc w:val="both"/>
        <w:rPr>
          <w:lang w:val="pt-BR"/>
        </w:rPr>
      </w:pPr>
    </w:p>
    <w:p w14:paraId="56FF70BC"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Alessio Tognarelli, Jacopo Durante, Francesca Manassero, Cesare Selli, </w:t>
      </w:r>
      <w:r w:rsidRPr="0004216C">
        <w:rPr>
          <w:rFonts w:ascii="Book Antiqua" w:hAnsi="Book Antiqua" w:cs="Book Antiqua"/>
          <w:color w:val="000000"/>
          <w:lang w:val="en-GB"/>
        </w:rPr>
        <w:t>Department of Translational Research and New Technologies in Medicine and Surgery, Section of Urology, University of Pisa, Pisa 56126, Italy</w:t>
      </w:r>
    </w:p>
    <w:p w14:paraId="2094C31A" w14:textId="77777777" w:rsidR="00350828" w:rsidRPr="0004216C" w:rsidRDefault="00350828">
      <w:pPr>
        <w:spacing w:line="360" w:lineRule="auto"/>
        <w:jc w:val="both"/>
        <w:rPr>
          <w:lang w:val="en-GB"/>
        </w:rPr>
      </w:pPr>
    </w:p>
    <w:p w14:paraId="060D7804"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Lorenzo Faggioni, </w:t>
      </w:r>
      <w:r w:rsidRPr="0004216C">
        <w:rPr>
          <w:rFonts w:ascii="Book Antiqua" w:hAnsi="Book Antiqua" w:cs="Book Antiqua"/>
          <w:color w:val="000000"/>
          <w:lang w:val="en-GB"/>
        </w:rPr>
        <w:t>Department of Translational Research and New Technologies in Medicine and Surgery, Section of Diagnostic and Interventional Radiology, University of Pisa, Pisa 56126, Italy</w:t>
      </w:r>
    </w:p>
    <w:p w14:paraId="4DC1F470" w14:textId="77777777" w:rsidR="00350828" w:rsidRPr="0004216C" w:rsidRDefault="00350828">
      <w:pPr>
        <w:spacing w:line="360" w:lineRule="auto"/>
        <w:jc w:val="both"/>
        <w:rPr>
          <w:lang w:val="en-GB"/>
        </w:rPr>
      </w:pPr>
    </w:p>
    <w:p w14:paraId="24CB555D"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Anna Paola Erba, </w:t>
      </w:r>
      <w:r w:rsidRPr="0004216C">
        <w:rPr>
          <w:rFonts w:ascii="Book Antiqua" w:hAnsi="Book Antiqua" w:cs="Book Antiqua"/>
          <w:color w:val="000000"/>
          <w:lang w:val="en-GB"/>
        </w:rPr>
        <w:t>Department of Translational Research and New Technologies in Medicine and Surgery, Section of Nuclear Medicine, University of Pisa, Pisa 56126, Italy, Pisa 56126, Italy</w:t>
      </w:r>
    </w:p>
    <w:p w14:paraId="2796A11C" w14:textId="77777777" w:rsidR="00350828" w:rsidRPr="0004216C" w:rsidRDefault="00350828">
      <w:pPr>
        <w:spacing w:line="360" w:lineRule="auto"/>
        <w:jc w:val="both"/>
        <w:rPr>
          <w:lang w:val="en-GB"/>
        </w:rPr>
      </w:pPr>
    </w:p>
    <w:p w14:paraId="58AF7E38"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Pinuccia Faviana, </w:t>
      </w:r>
      <w:r w:rsidRPr="0004216C">
        <w:rPr>
          <w:rFonts w:ascii="Book Antiqua" w:hAnsi="Book Antiqua" w:cs="Book Antiqua"/>
          <w:color w:val="000000"/>
          <w:lang w:val="en-GB"/>
        </w:rPr>
        <w:t>Department of Surgical, Medical and Molecular Pathology and Critical Area, Section of Pathology, University of Pisa, Pisa 56126, Italy</w:t>
      </w:r>
    </w:p>
    <w:p w14:paraId="5F8A1C62" w14:textId="77777777" w:rsidR="00350828" w:rsidRPr="0004216C" w:rsidRDefault="00350828">
      <w:pPr>
        <w:spacing w:line="360" w:lineRule="auto"/>
        <w:jc w:val="both"/>
        <w:rPr>
          <w:lang w:val="en-GB"/>
        </w:rPr>
      </w:pPr>
    </w:p>
    <w:p w14:paraId="506FC6F9"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Author contributions: </w:t>
      </w:r>
      <w:r w:rsidRPr="0004216C">
        <w:rPr>
          <w:rFonts w:ascii="Book Antiqua" w:hAnsi="Book Antiqua" w:cs="Book Antiqua"/>
          <w:color w:val="000000"/>
          <w:szCs w:val="20"/>
          <w:lang w:val="en-GB"/>
        </w:rPr>
        <w:t xml:space="preserve">Tognarelli A contributed to data acquisition, reviewed the literature and drafted the manuscript; Faggioni L and Erba AP analysed and interpreted </w:t>
      </w:r>
      <w:r w:rsidRPr="0004216C">
        <w:rPr>
          <w:rFonts w:ascii="Book Antiqua" w:hAnsi="Book Antiqua" w:cs="Book Antiqua"/>
          <w:color w:val="000000"/>
          <w:szCs w:val="20"/>
          <w:lang w:val="en-GB"/>
        </w:rPr>
        <w:lastRenderedPageBreak/>
        <w:t xml:space="preserve">images and contributed to figure elaboration; Faviana P performed the histological diagnosis and contributed to the multidisciplinary evaluation; Manassero F contributed to the diagnosis and multidisciplinary evaluation; Durante J contributed to patient’s treatment and data acquisition; Selli C contributed to patient’s treatment, reviewed the literature and drafted the manuscript; all authors issued final approval for the version to be submitted. </w:t>
      </w:r>
    </w:p>
    <w:p w14:paraId="6B312375" w14:textId="77777777" w:rsidR="00350828" w:rsidRPr="0004216C" w:rsidRDefault="00350828">
      <w:pPr>
        <w:spacing w:line="360" w:lineRule="auto"/>
        <w:jc w:val="both"/>
        <w:rPr>
          <w:lang w:val="en-GB"/>
        </w:rPr>
      </w:pPr>
    </w:p>
    <w:p w14:paraId="572A3A03"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Corresponding author: Alessio Tognarelli, MD, </w:t>
      </w:r>
      <w:r w:rsidR="00E3179F" w:rsidRPr="00E3179F">
        <w:rPr>
          <w:rFonts w:ascii="Book Antiqua" w:hAnsi="Book Antiqua" w:cs="Book Antiqua"/>
          <w:b/>
          <w:bCs/>
          <w:color w:val="000000"/>
          <w:lang w:val="en-GB"/>
        </w:rPr>
        <w:t>Resident</w:t>
      </w:r>
      <w:r w:rsidR="00F7517F">
        <w:rPr>
          <w:rFonts w:ascii="Book Antiqua" w:hAnsi="Book Antiqua" w:cs="Book Antiqua"/>
          <w:b/>
          <w:bCs/>
          <w:color w:val="000000"/>
          <w:lang w:val="en-GB"/>
        </w:rPr>
        <w:t>,</w:t>
      </w:r>
      <w:r w:rsidR="00120285">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Tra</w:t>
      </w:r>
      <w:r w:rsidR="007C26D0">
        <w:rPr>
          <w:rFonts w:ascii="Book Antiqua" w:hAnsi="Book Antiqua" w:cs="Book Antiqua"/>
          <w:color w:val="000000"/>
          <w:lang w:val="en-GB"/>
        </w:rPr>
        <w:t>n</w:t>
      </w:r>
      <w:r w:rsidRPr="0004216C">
        <w:rPr>
          <w:rFonts w:ascii="Book Antiqua" w:hAnsi="Book Antiqua" w:cs="Book Antiqua"/>
          <w:color w:val="000000"/>
          <w:lang w:val="en-GB"/>
        </w:rPr>
        <w:t>slational Research and New Technologies in Medicine and Surgery, Section of Urology, University of Pisa, Via Savi 10, Pisa 56126, Italy. alessio.tognarelli@gmail.com</w:t>
      </w:r>
    </w:p>
    <w:p w14:paraId="0A005E55" w14:textId="77777777" w:rsidR="00350828" w:rsidRPr="0004216C" w:rsidRDefault="00350828">
      <w:pPr>
        <w:spacing w:line="360" w:lineRule="auto"/>
        <w:jc w:val="both"/>
        <w:rPr>
          <w:lang w:val="en-GB"/>
        </w:rPr>
      </w:pPr>
    </w:p>
    <w:p w14:paraId="4B2FA32B"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Received: </w:t>
      </w:r>
      <w:r w:rsidRPr="0004216C">
        <w:rPr>
          <w:rFonts w:ascii="Book Antiqua" w:hAnsi="Book Antiqua" w:cs="Book Antiqua"/>
          <w:color w:val="000000"/>
          <w:lang w:val="en-GB"/>
        </w:rPr>
        <w:t>November 29, 2020</w:t>
      </w:r>
    </w:p>
    <w:p w14:paraId="7D937C9D"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Revised: </w:t>
      </w:r>
      <w:r w:rsidRPr="0004216C">
        <w:rPr>
          <w:rFonts w:ascii="Book Antiqua" w:hAnsi="Book Antiqua" w:cs="Book Antiqua"/>
          <w:color w:val="000000"/>
          <w:lang w:val="en-GB"/>
        </w:rPr>
        <w:t>December 26, 2020</w:t>
      </w:r>
    </w:p>
    <w:p w14:paraId="1E2084A1"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Accepted: </w:t>
      </w:r>
      <w:r w:rsidR="002D262F" w:rsidRPr="002D262F">
        <w:rPr>
          <w:rFonts w:ascii="Book Antiqua" w:hAnsi="Book Antiqua" w:cs="Book Antiqua"/>
          <w:color w:val="000000"/>
        </w:rPr>
        <w:t>January 27, 2021</w:t>
      </w:r>
    </w:p>
    <w:p w14:paraId="608CD60D" w14:textId="7D5D1606" w:rsidR="00350828" w:rsidRPr="001241B1" w:rsidRDefault="00350828">
      <w:pPr>
        <w:spacing w:line="360" w:lineRule="auto"/>
        <w:jc w:val="both"/>
        <w:rPr>
          <w:lang w:val="en-GB"/>
        </w:rPr>
      </w:pPr>
      <w:r w:rsidRPr="0004216C">
        <w:rPr>
          <w:rFonts w:ascii="Book Antiqua" w:hAnsi="Book Antiqua" w:cs="Book Antiqua"/>
          <w:b/>
          <w:bCs/>
          <w:color w:val="000000"/>
          <w:lang w:val="en-GB"/>
        </w:rPr>
        <w:t xml:space="preserve">Published online: </w:t>
      </w:r>
      <w:r w:rsidR="00237EE9">
        <w:rPr>
          <w:rFonts w:ascii="Book Antiqua" w:hAnsi="Book Antiqua" w:cs="Book Antiqua"/>
          <w:color w:val="000000"/>
          <w:lang w:val="en-GB"/>
        </w:rPr>
        <w:t>April</w:t>
      </w:r>
      <w:r w:rsidR="001241B1" w:rsidRPr="001241B1">
        <w:rPr>
          <w:rFonts w:ascii="Book Antiqua" w:hAnsi="Book Antiqua" w:cs="Book Antiqua"/>
          <w:color w:val="000000"/>
          <w:lang w:val="en-GB"/>
        </w:rPr>
        <w:t xml:space="preserve"> </w:t>
      </w:r>
      <w:r w:rsidR="00237EE9">
        <w:rPr>
          <w:rFonts w:ascii="Book Antiqua" w:hAnsi="Book Antiqua" w:cs="Book Antiqua"/>
          <w:color w:val="000000"/>
          <w:lang w:val="en-GB"/>
        </w:rPr>
        <w:t>2</w:t>
      </w:r>
      <w:r w:rsidR="001241B1" w:rsidRPr="001241B1">
        <w:rPr>
          <w:rFonts w:ascii="Book Antiqua" w:hAnsi="Book Antiqua" w:cs="Book Antiqua"/>
          <w:color w:val="000000"/>
          <w:lang w:val="en-GB"/>
        </w:rPr>
        <w:t>6, 2021</w:t>
      </w:r>
    </w:p>
    <w:p w14:paraId="15FC8818" w14:textId="77777777" w:rsidR="00350828" w:rsidRPr="0004216C" w:rsidRDefault="00350828">
      <w:pPr>
        <w:spacing w:line="360" w:lineRule="auto"/>
        <w:jc w:val="both"/>
        <w:rPr>
          <w:lang w:val="en-GB"/>
        </w:rPr>
        <w:sectPr w:rsidR="00350828" w:rsidRPr="0004216C">
          <w:footerReference w:type="default" r:id="rId7"/>
          <w:pgSz w:w="12240" w:h="15840"/>
          <w:pgMar w:top="1440" w:right="1440" w:bottom="1440" w:left="1440" w:header="720" w:footer="720" w:gutter="0"/>
          <w:cols w:space="720"/>
          <w:docGrid w:linePitch="360"/>
        </w:sectPr>
      </w:pPr>
    </w:p>
    <w:p w14:paraId="13FDAC41"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Abstract</w:t>
      </w:r>
    </w:p>
    <w:p w14:paraId="05C6018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BACKGROUND</w:t>
      </w:r>
    </w:p>
    <w:p w14:paraId="183619B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‘Splenosis’ is defined as the autotransplantation of splenic tissue following trauma or surgery, usually in the form of intraperitoneal nodules. The proliferation of imaging techniques has resulted in increased unexpected discoveries of splenosis nodules, and achieving a differential diagnosis can be challenging. Nuclear medicine studies have been playing an increasingly important role in this process, but the clinical significance of asymptomatic nodules remains uncertain.</w:t>
      </w:r>
    </w:p>
    <w:p w14:paraId="6E859B15" w14:textId="77777777" w:rsidR="00350828" w:rsidRPr="0004216C" w:rsidRDefault="00350828">
      <w:pPr>
        <w:spacing w:line="360" w:lineRule="auto"/>
        <w:jc w:val="both"/>
        <w:rPr>
          <w:lang w:val="en-GB"/>
        </w:rPr>
      </w:pPr>
    </w:p>
    <w:p w14:paraId="169B5C68"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CASE SUMMARY</w:t>
      </w:r>
    </w:p>
    <w:p w14:paraId="6134CB4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We present a case of pelvic splenosis in a 73-year-old man diagnosed 56 years after a splenectomy during a computed tomography (CT) follow-up for B-cell lymphoma, presenting intense contrast enhancement of an 18 mm nodule in the right recto-vesical space. 18F-fluorodeoxyglucose demonstrated weak metabolic activity. Since histologic</w:t>
      </w:r>
      <w:r>
        <w:rPr>
          <w:rFonts w:ascii="Book Antiqua" w:hAnsi="Book Antiqua" w:cs="Book Antiqua"/>
          <w:color w:val="000000"/>
          <w:lang w:val="en-GB"/>
        </w:rPr>
        <w:t>al</w:t>
      </w:r>
      <w:r w:rsidRPr="0004216C">
        <w:rPr>
          <w:rFonts w:ascii="Book Antiqua" w:hAnsi="Book Antiqua" w:cs="Book Antiqua"/>
          <w:color w:val="000000"/>
          <w:lang w:val="en-GB"/>
        </w:rPr>
        <w:t xml:space="preserve"> diagnosis was deemed necessary, the nodule was easily removed with robotically assisted laparoscopy, together with another 6 mm left a paracolic lesion. The latter was previously undiagnosed but retrospectively visible on the CT scan.</w:t>
      </w:r>
    </w:p>
    <w:p w14:paraId="416790A0" w14:textId="77777777" w:rsidR="00350828" w:rsidRPr="0004216C" w:rsidRDefault="00350828">
      <w:pPr>
        <w:spacing w:line="360" w:lineRule="auto"/>
        <w:jc w:val="both"/>
        <w:rPr>
          <w:lang w:val="en-GB"/>
        </w:rPr>
      </w:pPr>
    </w:p>
    <w:p w14:paraId="3D24338D"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CONCLUSION</w:t>
      </w:r>
    </w:p>
    <w:p w14:paraId="30DA7181"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In a patient requiring differential diagnosis of splenosis nodules from lymphoma recurrence, the robotic approach provided a safe </w:t>
      </w:r>
      <w:r w:rsidR="00942554">
        <w:rPr>
          <w:rFonts w:ascii="Book Antiqua" w:hAnsi="Book Antiqua" w:cs="Book Antiqua"/>
          <w:i/>
          <w:color w:val="000000"/>
          <w:lang w:val="en-GB"/>
        </w:rPr>
        <w:t>e</w:t>
      </w:r>
      <w:r w:rsidRPr="00942554">
        <w:rPr>
          <w:rFonts w:ascii="Book Antiqua" w:hAnsi="Book Antiqua" w:cs="Book Antiqua"/>
          <w:i/>
          <w:color w:val="000000"/>
          <w:lang w:val="en-GB"/>
        </w:rPr>
        <w:t>n</w:t>
      </w:r>
      <w:r w:rsidR="00615225" w:rsidRPr="00942554">
        <w:rPr>
          <w:rFonts w:ascii="Book Antiqua" w:hAnsi="Book Antiqua" w:cs="Book Antiqua"/>
          <w:i/>
          <w:color w:val="000000"/>
          <w:lang w:val="en-GB"/>
        </w:rPr>
        <w:t xml:space="preserve"> </w:t>
      </w:r>
      <w:r w:rsidRPr="00942554">
        <w:rPr>
          <w:rFonts w:ascii="Book Antiqua" w:hAnsi="Book Antiqua" w:cs="Book Antiqua"/>
          <w:i/>
          <w:color w:val="000000"/>
          <w:lang w:val="en-GB"/>
        </w:rPr>
        <w:t>bloc</w:t>
      </w:r>
      <w:r w:rsidRPr="0004216C">
        <w:rPr>
          <w:rFonts w:ascii="Book Antiqua" w:hAnsi="Book Antiqua" w:cs="Book Antiqua"/>
          <w:color w:val="000000"/>
          <w:lang w:val="en-GB"/>
        </w:rPr>
        <w:t xml:space="preserve"> removal with short hospitalization. The Da Vinci Xi robot was particularly helpful because its optics can be introduced from all ports, facilitating visualization and lysis of multiple intra-abdominal adhesions.</w:t>
      </w:r>
    </w:p>
    <w:p w14:paraId="47412E11" w14:textId="77777777" w:rsidR="00350828" w:rsidRPr="0004216C" w:rsidRDefault="00350828">
      <w:pPr>
        <w:spacing w:line="360" w:lineRule="auto"/>
        <w:jc w:val="both"/>
        <w:rPr>
          <w:lang w:val="en-GB"/>
        </w:rPr>
      </w:pPr>
    </w:p>
    <w:p w14:paraId="2A91119A"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Key Words: </w:t>
      </w:r>
      <w:r w:rsidRPr="0004216C">
        <w:rPr>
          <w:rFonts w:ascii="Book Antiqua" w:hAnsi="Book Antiqua" w:cs="Book Antiqua"/>
          <w:color w:val="000000"/>
          <w:lang w:val="en-GB"/>
        </w:rPr>
        <w:t>Pelvic splenosis; Computed tomography; Nuclear medicine; Robotically assisted laparoscopy; Da Vinci Xi; Case report</w:t>
      </w:r>
    </w:p>
    <w:p w14:paraId="14FCEDE5" w14:textId="77777777" w:rsidR="009E131D" w:rsidRDefault="009E131D" w:rsidP="009E131D">
      <w:pPr>
        <w:spacing w:line="360" w:lineRule="auto"/>
        <w:jc w:val="both"/>
        <w:rPr>
          <w:lang w:eastAsia="zh-CN"/>
        </w:rPr>
      </w:pPr>
    </w:p>
    <w:p w14:paraId="463F314C" w14:textId="77777777" w:rsidR="009E131D" w:rsidRPr="00026CB8" w:rsidRDefault="009E131D" w:rsidP="009E131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A5D091B" w14:textId="77777777" w:rsidR="00350828" w:rsidRPr="0004216C" w:rsidRDefault="00350828">
      <w:pPr>
        <w:spacing w:line="360" w:lineRule="auto"/>
        <w:jc w:val="both"/>
        <w:rPr>
          <w:lang w:val="en-GB"/>
        </w:rPr>
      </w:pPr>
    </w:p>
    <w:p w14:paraId="15C1B3D1" w14:textId="342F10BE" w:rsidR="00CD4E8C" w:rsidRDefault="00CD4E8C">
      <w:pPr>
        <w:spacing w:line="360" w:lineRule="auto"/>
        <w:jc w:val="both"/>
        <w:rPr>
          <w:rFonts w:ascii="Book Antiqua" w:hAnsi="Book Antiqua" w:cs="Book Antiqua" w:hint="eastAsia"/>
          <w:color w:val="000000"/>
          <w:lang w:val="en-GB" w:eastAsia="zh-CN"/>
        </w:rPr>
      </w:pPr>
      <w:r w:rsidRPr="00CD4E8C">
        <w:rPr>
          <w:rFonts w:ascii="Book Antiqua" w:hAnsi="Book Antiqua" w:cs="Book Antiqua" w:hint="eastAsia"/>
          <w:b/>
          <w:color w:val="000000"/>
          <w:lang w:val="en-GB" w:eastAsia="zh-CN"/>
        </w:rPr>
        <w:t xml:space="preserve">Citation: </w:t>
      </w:r>
      <w:r w:rsidR="00350828" w:rsidRPr="0004216C">
        <w:rPr>
          <w:rFonts w:ascii="Book Antiqua" w:hAnsi="Book Antiqua" w:cs="Book Antiqua"/>
          <w:color w:val="000000"/>
          <w:lang w:val="en-GB"/>
        </w:rPr>
        <w:t xml:space="preserve">Tognarelli A, Faggioni L, Erba AP, Faviana P, Durante J, Manassero F, Selli C. Robotically assisted removal of pelvic splenosis fifty-six years after splenectomy: A case report. </w:t>
      </w:r>
      <w:r w:rsidR="00350828" w:rsidRPr="0004216C">
        <w:rPr>
          <w:rFonts w:ascii="Book Antiqua" w:hAnsi="Book Antiqua" w:cs="Book Antiqua"/>
          <w:i/>
          <w:iCs/>
          <w:color w:val="000000"/>
          <w:lang w:val="en-GB"/>
        </w:rPr>
        <w:t>World J Clin Cases</w:t>
      </w:r>
      <w:r w:rsidR="00350828" w:rsidRPr="0004216C">
        <w:rPr>
          <w:rFonts w:ascii="Book Antiqua" w:hAnsi="Book Antiqua" w:cs="Book Antiqua"/>
          <w:color w:val="000000"/>
          <w:lang w:val="en-GB"/>
        </w:rPr>
        <w:t xml:space="preserve"> 2021; </w:t>
      </w:r>
      <w:r w:rsidR="00F314A0" w:rsidRPr="00F314A0">
        <w:rPr>
          <w:rFonts w:ascii="Book Antiqua" w:hAnsi="Book Antiqua" w:cs="Book Antiqua"/>
          <w:color w:val="000000"/>
          <w:lang w:val="en-GB"/>
        </w:rPr>
        <w:t>9(</w:t>
      </w:r>
      <w:r w:rsidR="00826757">
        <w:rPr>
          <w:rFonts w:ascii="Book Antiqua" w:hAnsi="Book Antiqua" w:cs="Book Antiqua"/>
          <w:color w:val="000000"/>
          <w:lang w:val="en-GB"/>
        </w:rPr>
        <w:t>12</w:t>
      </w:r>
      <w:r w:rsidR="00F314A0" w:rsidRPr="00F314A0">
        <w:rPr>
          <w:rFonts w:ascii="Book Antiqua" w:hAnsi="Book Antiqua" w:cs="Book Antiqua"/>
          <w:color w:val="000000"/>
          <w:lang w:val="en-GB"/>
        </w:rPr>
        <w:t xml:space="preserve">): </w:t>
      </w:r>
      <w:r w:rsidR="000E7ABE" w:rsidRPr="000E7ABE">
        <w:rPr>
          <w:rFonts w:ascii="Book Antiqua" w:hAnsi="Book Antiqua" w:cs="Book Antiqua"/>
          <w:color w:val="000000"/>
          <w:lang w:val="en-GB"/>
        </w:rPr>
        <w:t>2868-2873</w:t>
      </w:r>
      <w:r w:rsidR="00F314A0" w:rsidRPr="00F314A0">
        <w:rPr>
          <w:rFonts w:ascii="Book Antiqua" w:hAnsi="Book Antiqua" w:cs="Book Antiqua"/>
          <w:color w:val="000000"/>
          <w:lang w:val="en-GB"/>
        </w:rPr>
        <w:t xml:space="preserve">  </w:t>
      </w:r>
    </w:p>
    <w:p w14:paraId="25B5C15C" w14:textId="77777777" w:rsidR="00CD4E8C" w:rsidRDefault="00F314A0">
      <w:pPr>
        <w:spacing w:line="360" w:lineRule="auto"/>
        <w:jc w:val="both"/>
        <w:rPr>
          <w:rFonts w:ascii="Book Antiqua" w:hAnsi="Book Antiqua" w:cs="Book Antiqua" w:hint="eastAsia"/>
          <w:color w:val="000000"/>
          <w:lang w:val="en-GB" w:eastAsia="zh-CN"/>
        </w:rPr>
      </w:pPr>
      <w:r w:rsidRPr="00CD4E8C">
        <w:rPr>
          <w:rFonts w:ascii="Book Antiqua" w:hAnsi="Book Antiqua" w:cs="Book Antiqua"/>
          <w:b/>
          <w:color w:val="000000"/>
          <w:lang w:val="en-GB"/>
        </w:rPr>
        <w:t>URL:</w:t>
      </w:r>
      <w:r w:rsidRPr="00F314A0">
        <w:rPr>
          <w:rFonts w:ascii="Book Antiqua" w:hAnsi="Book Antiqua" w:cs="Book Antiqua"/>
          <w:color w:val="000000"/>
          <w:lang w:val="en-GB"/>
        </w:rPr>
        <w:t xml:space="preserve"> https://www.wjgnet.com/2307-8960/full/v9/i</w:t>
      </w:r>
      <w:r w:rsidR="00826757">
        <w:rPr>
          <w:rFonts w:ascii="Book Antiqua" w:hAnsi="Book Antiqua" w:cs="Book Antiqua"/>
          <w:color w:val="000000"/>
          <w:lang w:val="en-GB"/>
        </w:rPr>
        <w:t>12</w:t>
      </w:r>
      <w:r w:rsidRPr="00F314A0">
        <w:rPr>
          <w:rFonts w:ascii="Book Antiqua" w:hAnsi="Book Antiqua" w:cs="Book Antiqua"/>
          <w:color w:val="000000"/>
          <w:lang w:val="en-GB"/>
        </w:rPr>
        <w:t>/</w:t>
      </w:r>
      <w:r w:rsidR="000E7ABE">
        <w:rPr>
          <w:rFonts w:ascii="Book Antiqua" w:hAnsi="Book Antiqua" w:cs="Book Antiqua" w:hint="eastAsia"/>
          <w:color w:val="000000"/>
          <w:lang w:val="en-GB" w:eastAsia="zh-CN"/>
        </w:rPr>
        <w:t>2868</w:t>
      </w:r>
      <w:r w:rsidRPr="00F314A0">
        <w:rPr>
          <w:rFonts w:ascii="Book Antiqua" w:hAnsi="Book Antiqua" w:cs="Book Antiqua"/>
          <w:color w:val="000000"/>
          <w:lang w:val="en-GB"/>
        </w:rPr>
        <w:t xml:space="preserve">.htm  </w:t>
      </w:r>
    </w:p>
    <w:p w14:paraId="7E330135" w14:textId="48C7AE5A" w:rsidR="00350828" w:rsidRPr="0004216C" w:rsidRDefault="00F314A0">
      <w:pPr>
        <w:spacing w:line="360" w:lineRule="auto"/>
        <w:jc w:val="both"/>
        <w:rPr>
          <w:rFonts w:hint="eastAsia"/>
          <w:lang w:val="en-GB" w:eastAsia="zh-CN"/>
        </w:rPr>
      </w:pPr>
      <w:r w:rsidRPr="00CD4E8C">
        <w:rPr>
          <w:rFonts w:ascii="Book Antiqua" w:hAnsi="Book Antiqua" w:cs="Book Antiqua"/>
          <w:b/>
          <w:color w:val="000000"/>
          <w:lang w:val="en-GB"/>
        </w:rPr>
        <w:t>DOI:</w:t>
      </w:r>
      <w:r w:rsidRPr="00F314A0">
        <w:rPr>
          <w:rFonts w:ascii="Book Antiqua" w:hAnsi="Book Antiqua" w:cs="Book Antiqua"/>
          <w:color w:val="000000"/>
          <w:lang w:val="en-GB"/>
        </w:rPr>
        <w:t xml:space="preserve"> https://dx.doi.org/10.12998/wjcc.v9.i</w:t>
      </w:r>
      <w:r w:rsidR="00826757">
        <w:rPr>
          <w:rFonts w:ascii="Book Antiqua" w:hAnsi="Book Antiqua" w:cs="Book Antiqua"/>
          <w:color w:val="000000"/>
          <w:lang w:val="en-GB"/>
        </w:rPr>
        <w:t>12</w:t>
      </w:r>
      <w:r w:rsidRPr="00F314A0">
        <w:rPr>
          <w:rFonts w:ascii="Book Antiqua" w:hAnsi="Book Antiqua" w:cs="Book Antiqua"/>
          <w:color w:val="000000"/>
          <w:lang w:val="en-GB"/>
        </w:rPr>
        <w:t>.</w:t>
      </w:r>
      <w:r w:rsidR="000E7ABE">
        <w:rPr>
          <w:rFonts w:ascii="Book Antiqua" w:hAnsi="Book Antiqua" w:cs="Book Antiqua" w:hint="eastAsia"/>
          <w:color w:val="000000"/>
          <w:lang w:val="en-GB" w:eastAsia="zh-CN"/>
        </w:rPr>
        <w:t>2868</w:t>
      </w:r>
    </w:p>
    <w:p w14:paraId="05C25B7F" w14:textId="77777777" w:rsidR="00350828" w:rsidRPr="0004216C" w:rsidRDefault="00350828">
      <w:pPr>
        <w:spacing w:line="360" w:lineRule="auto"/>
        <w:jc w:val="both"/>
        <w:rPr>
          <w:lang w:val="en-GB"/>
        </w:rPr>
      </w:pPr>
    </w:p>
    <w:p w14:paraId="0C3CD9C0"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Core Tip: </w:t>
      </w:r>
      <w:r w:rsidRPr="0004216C">
        <w:rPr>
          <w:rFonts w:ascii="Book Antiqua" w:hAnsi="Book Antiqua" w:cs="Book Antiqua"/>
          <w:color w:val="000000"/>
          <w:lang w:val="en-GB"/>
        </w:rPr>
        <w:t xml:space="preserve">Splenosis consists in the autotrasplantation of splenic tissue caused by trauma or surgery, usually in the form of asymptomatic intraperitoneal nodules. They usually present intense enhancement at computed tomography scan and nuclear medicine studies have an increasing role in diagnosis. When histological diagnosis is deemed necessary robotically assisted laparoscopic surgery can provide safe </w:t>
      </w:r>
      <w:r w:rsidR="00942554" w:rsidRPr="00942554">
        <w:rPr>
          <w:rFonts w:ascii="Book Antiqua" w:hAnsi="Book Antiqua" w:cs="Book Antiqua"/>
          <w:i/>
          <w:iCs/>
          <w:color w:val="000000"/>
          <w:lang w:val="en-GB"/>
        </w:rPr>
        <w:t>e</w:t>
      </w:r>
      <w:r w:rsidRPr="00942554">
        <w:rPr>
          <w:rFonts w:ascii="Book Antiqua" w:hAnsi="Book Antiqua" w:cs="Book Antiqua"/>
          <w:i/>
          <w:iCs/>
          <w:color w:val="000000"/>
          <w:lang w:val="en-GB"/>
        </w:rPr>
        <w:t>n</w:t>
      </w:r>
      <w:r w:rsidR="00615225"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 xml:space="preserve"> removal with minimal invasiveness.</w:t>
      </w:r>
    </w:p>
    <w:p w14:paraId="157A6096" w14:textId="77777777" w:rsidR="00350828" w:rsidRPr="0004216C" w:rsidRDefault="00350828">
      <w:pPr>
        <w:spacing w:line="360" w:lineRule="auto"/>
        <w:jc w:val="both"/>
        <w:rPr>
          <w:lang w:val="en-GB"/>
        </w:rPr>
      </w:pPr>
    </w:p>
    <w:p w14:paraId="12D8190F"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br w:type="page"/>
        <w:t>INTRODUCTION</w:t>
      </w:r>
    </w:p>
    <w:p w14:paraId="074621A1"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term ‘splenosis’ was created 80 years ago to describe the heterotopic autotransplantation of splenic tissue following rupture of the spleen, generally caused by trauma</w:t>
      </w:r>
      <w:r w:rsidRPr="0004216C">
        <w:rPr>
          <w:rFonts w:ascii="Book Antiqua" w:hAnsi="Book Antiqua" w:cs="Book Antiqua"/>
          <w:color w:val="000000"/>
          <w:szCs w:val="30"/>
          <w:vertAlign w:val="superscript"/>
          <w:lang w:val="en-GB"/>
        </w:rPr>
        <w:t>[1]</w:t>
      </w:r>
      <w:r w:rsidRPr="0004216C">
        <w:rPr>
          <w:rFonts w:ascii="Book Antiqua" w:hAnsi="Book Antiqua" w:cs="Book Antiqua"/>
          <w:color w:val="000000"/>
          <w:lang w:val="en-GB"/>
        </w:rPr>
        <w:t>. In general, this condition appears in the form of nodules within the peritoneal cavity with a pattern simulating metastatic spread</w:t>
      </w:r>
      <w:r w:rsidRPr="0004216C">
        <w:rPr>
          <w:rFonts w:ascii="Book Antiqua" w:hAnsi="Book Antiqua" w:cs="Book Antiqua"/>
          <w:color w:val="000000"/>
          <w:szCs w:val="30"/>
          <w:vertAlign w:val="superscript"/>
          <w:lang w:val="en-GB"/>
        </w:rPr>
        <w:t>[2]</w:t>
      </w:r>
      <w:r w:rsidRPr="0004216C">
        <w:rPr>
          <w:rFonts w:ascii="Book Antiqua" w:hAnsi="Book Antiqua" w:cs="Book Antiqua"/>
          <w:color w:val="000000"/>
          <w:lang w:val="en-GB"/>
        </w:rPr>
        <w:t>. Implants have also been discovered within the kidneys, liver, pancreas, brain, chest and subcutaneous fat. Beyond this, a recent nuclear medicine study revealed the presence of residual functional splenic tissue in 34.8% of patients who underwent splenectomy for trauma</w:t>
      </w:r>
      <w:r w:rsidRPr="0004216C">
        <w:rPr>
          <w:rFonts w:ascii="Book Antiqua" w:hAnsi="Book Antiqua" w:cs="Book Antiqua"/>
          <w:color w:val="000000"/>
          <w:szCs w:val="30"/>
          <w:vertAlign w:val="superscript"/>
          <w:lang w:val="en-GB"/>
        </w:rPr>
        <w:t>[3]</w:t>
      </w:r>
      <w:r w:rsidRPr="0004216C">
        <w:rPr>
          <w:rFonts w:ascii="Book Antiqua" w:hAnsi="Book Antiqua" w:cs="Book Antiqua"/>
          <w:color w:val="000000"/>
          <w:lang w:val="en-GB"/>
        </w:rPr>
        <w:t>. Notably, this tissue may provide ongoing immunological protection. The clinical significance of this finding is still unclear because the patients were asymptomatic, but it highlights the association between a history of splenectomy after trauma and the incidental discovery of lesions due to the further development of imaging techniques. Therefore, splenosis should be considered in the differential diagnosis of a mass discovered years after splenic trauma or surgery.</w:t>
      </w:r>
    </w:p>
    <w:p w14:paraId="2884D46A" w14:textId="77777777" w:rsidR="00350828" w:rsidRPr="0004216C" w:rsidRDefault="00350828">
      <w:pPr>
        <w:spacing w:line="360" w:lineRule="auto"/>
        <w:jc w:val="both"/>
        <w:rPr>
          <w:lang w:val="en-GB"/>
        </w:rPr>
      </w:pPr>
    </w:p>
    <w:p w14:paraId="0AD59F75"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CASE PRESENTATION</w:t>
      </w:r>
    </w:p>
    <w:p w14:paraId="405300C7"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Chief complaints</w:t>
      </w:r>
    </w:p>
    <w:p w14:paraId="4B51B1C0"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A 73-year-old man was admitted to our urology unit for the treatment of a mass arising in his right recto-vesical space incidentally discovered during a computed tomography (CT) scan. </w:t>
      </w:r>
    </w:p>
    <w:p w14:paraId="181CFC54" w14:textId="77777777" w:rsidR="00350828" w:rsidRPr="0004216C" w:rsidRDefault="00350828">
      <w:pPr>
        <w:spacing w:line="360" w:lineRule="auto"/>
        <w:jc w:val="both"/>
        <w:rPr>
          <w:lang w:val="en-GB"/>
        </w:rPr>
      </w:pPr>
    </w:p>
    <w:p w14:paraId="2B08D35F"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History of present illness</w:t>
      </w:r>
    </w:p>
    <w:p w14:paraId="0CA1A77A"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patient was asymptomatic.</w:t>
      </w:r>
    </w:p>
    <w:p w14:paraId="30A29D22" w14:textId="77777777" w:rsidR="00350828" w:rsidRPr="0004216C" w:rsidRDefault="00350828">
      <w:pPr>
        <w:spacing w:line="360" w:lineRule="auto"/>
        <w:jc w:val="both"/>
        <w:rPr>
          <w:lang w:val="en-GB"/>
        </w:rPr>
      </w:pPr>
    </w:p>
    <w:p w14:paraId="6972E276"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History of past illness</w:t>
      </w:r>
    </w:p>
    <w:p w14:paraId="7766C326"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Past history revealed an appendectomy at age 12; a splenectomy at age 16 due to a motorcycle accident that caused abdominal trauma (56 years earlier); the transurethral resection of a low-grade, non-muscle-invasive bladder tumour at age 71; and B-cell lymphoma of the marginal zone diagnosed with an osteomedullary biopsy at age 72, which was under active surveillance at the time.</w:t>
      </w:r>
    </w:p>
    <w:p w14:paraId="3C59736E" w14:textId="77777777" w:rsidR="00350828" w:rsidRPr="0004216C" w:rsidRDefault="00350828">
      <w:pPr>
        <w:spacing w:line="360" w:lineRule="auto"/>
        <w:jc w:val="both"/>
        <w:rPr>
          <w:lang w:val="en-GB"/>
        </w:rPr>
      </w:pPr>
    </w:p>
    <w:p w14:paraId="4EAE08B8"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Personal and family history</w:t>
      </w:r>
    </w:p>
    <w:p w14:paraId="059158C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patient had no personal history of illness, and the family history was negative for inherent disease.</w:t>
      </w:r>
    </w:p>
    <w:p w14:paraId="3408A822" w14:textId="77777777" w:rsidR="00350828" w:rsidRPr="0004216C" w:rsidRDefault="00350828">
      <w:pPr>
        <w:spacing w:line="360" w:lineRule="auto"/>
        <w:jc w:val="both"/>
        <w:rPr>
          <w:lang w:val="en-GB"/>
        </w:rPr>
      </w:pPr>
    </w:p>
    <w:p w14:paraId="4B26FD43"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Physical examination</w:t>
      </w:r>
    </w:p>
    <w:p w14:paraId="31CED62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patient was stable, vital signs were normal and the only abnormal finding was the presence of a midline xyphopubic surgical scar with a transverse extension on the left upper quadrant.</w:t>
      </w:r>
    </w:p>
    <w:p w14:paraId="66FB1FDD" w14:textId="77777777" w:rsidR="00350828" w:rsidRPr="0004216C" w:rsidRDefault="00350828">
      <w:pPr>
        <w:spacing w:line="360" w:lineRule="auto"/>
        <w:jc w:val="both"/>
        <w:rPr>
          <w:lang w:val="en-GB"/>
        </w:rPr>
      </w:pPr>
    </w:p>
    <w:p w14:paraId="4B023EDF"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Laboratory examinations</w:t>
      </w:r>
    </w:p>
    <w:p w14:paraId="3032C5D5"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No abnormalities were found on routine pre-surgical laboratory examinations, including a complete blood cell count and coagulation profile.</w:t>
      </w:r>
    </w:p>
    <w:p w14:paraId="26DC4789" w14:textId="77777777" w:rsidR="00350828" w:rsidRPr="0004216C" w:rsidRDefault="00350828">
      <w:pPr>
        <w:spacing w:line="360" w:lineRule="auto"/>
        <w:jc w:val="both"/>
        <w:rPr>
          <w:lang w:val="en-GB"/>
        </w:rPr>
      </w:pPr>
    </w:p>
    <w:p w14:paraId="6BB10D5C"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Imaging examinations</w:t>
      </w:r>
    </w:p>
    <w:p w14:paraId="025A8447"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Following the diagnosis of lymphoma one year earlier, a staging contrast-enhanced CT examination revealed an 18 mm rounded nodule in the right recto-vesical space with intense contrast enhancement, tentatively diagnosed as a lymph node. A follow-up CT scan six months later showed that the lesion had remained stable in size </w:t>
      </w:r>
      <w:r w:rsidRPr="0004216C">
        <w:rPr>
          <w:rFonts w:ascii="Book Antiqua" w:hAnsi="Book Antiqua" w:cs="Book Antiqua"/>
          <w:color w:val="000000"/>
          <w:szCs w:val="30"/>
          <w:lang w:val="en-GB"/>
        </w:rPr>
        <w:t>(Figure 1A and B)</w:t>
      </w:r>
      <w:r w:rsidRPr="0004216C">
        <w:rPr>
          <w:rFonts w:ascii="Book Antiqua" w:hAnsi="Book Antiqua" w:cs="Book Antiqua"/>
          <w:color w:val="000000"/>
          <w:lang w:val="en-GB"/>
        </w:rPr>
        <w:t xml:space="preserve">. Further evaluation suggested by the haematologist consisted of a </w:t>
      </w:r>
      <w:r w:rsidRPr="00475E5B">
        <w:rPr>
          <w:rFonts w:ascii="Book Antiqua" w:hAnsi="Book Antiqua" w:cs="Book Antiqua"/>
          <w:color w:val="000000"/>
          <w:vertAlign w:val="superscript"/>
          <w:lang w:val="en-GB"/>
        </w:rPr>
        <w:t>18</w:t>
      </w:r>
      <w:r w:rsidRPr="0004216C">
        <w:rPr>
          <w:rFonts w:ascii="Book Antiqua" w:hAnsi="Book Antiqua" w:cs="Book Antiqua"/>
          <w:color w:val="000000"/>
          <w:lang w:val="en-GB"/>
        </w:rPr>
        <w:t>F-fluorodeoxyglucose</w:t>
      </w:r>
      <w:r w:rsidRPr="0004216C">
        <w:rPr>
          <w:rFonts w:ascii="Book Antiqua" w:hAnsi="Book Antiqua" w:cs="Book Antiqua"/>
          <w:color w:val="000000"/>
          <w:shd w:val="clear" w:color="auto" w:fill="FFFFFF"/>
          <w:lang w:val="en-GB"/>
        </w:rPr>
        <w:t xml:space="preserve"> (</w:t>
      </w:r>
      <w:r w:rsidRPr="0004216C">
        <w:rPr>
          <w:rFonts w:ascii="Book Antiqua" w:hAnsi="Book Antiqua" w:cs="Book Antiqua"/>
          <w:color w:val="000000"/>
          <w:shd w:val="clear" w:color="auto" w:fill="FFFFFF"/>
          <w:vertAlign w:val="superscript"/>
          <w:lang w:val="en-GB"/>
        </w:rPr>
        <w:t>18</w:t>
      </w:r>
      <w:r w:rsidRPr="0004216C">
        <w:rPr>
          <w:rFonts w:ascii="Book Antiqua" w:hAnsi="Book Antiqua" w:cs="Book Antiqua"/>
          <w:color w:val="000000"/>
          <w:shd w:val="clear" w:color="auto" w:fill="FFFFFF"/>
          <w:lang w:val="en-GB"/>
        </w:rPr>
        <w:t>F-FDG) positron emission tomography (PET)/CT</w:t>
      </w:r>
      <w:r w:rsidRPr="0004216C">
        <w:rPr>
          <w:rFonts w:ascii="Book Antiqua" w:hAnsi="Book Antiqua" w:cs="Book Antiqua"/>
          <w:color w:val="000000"/>
          <w:lang w:val="en-GB"/>
        </w:rPr>
        <w:t xml:space="preserve"> scan, revealing weak metabolic activity (Standardized Uptake Value: 2.35)</w:t>
      </w:r>
      <w:r w:rsidRPr="0004216C">
        <w:rPr>
          <w:rFonts w:ascii="Book Antiqua" w:hAnsi="Book Antiqua" w:cs="Book Antiqua"/>
          <w:color w:val="000000"/>
          <w:szCs w:val="30"/>
          <w:lang w:val="en-GB"/>
        </w:rPr>
        <w:t xml:space="preserve"> (Figure 2)</w:t>
      </w:r>
      <w:r w:rsidRPr="0004216C">
        <w:rPr>
          <w:rFonts w:ascii="Book Antiqua" w:hAnsi="Book Antiqua" w:cs="Book Antiqua"/>
          <w:color w:val="000000"/>
          <w:lang w:val="en-GB"/>
        </w:rPr>
        <w:t>.</w:t>
      </w:r>
    </w:p>
    <w:p w14:paraId="65914306" w14:textId="77777777" w:rsidR="00350828" w:rsidRPr="0004216C" w:rsidRDefault="00350828">
      <w:pPr>
        <w:spacing w:line="360" w:lineRule="auto"/>
        <w:jc w:val="both"/>
        <w:rPr>
          <w:lang w:val="en-GB"/>
        </w:rPr>
      </w:pPr>
    </w:p>
    <w:p w14:paraId="10C535F8"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FINAL DIAGNOSIS</w:t>
      </w:r>
    </w:p>
    <w:p w14:paraId="78B42E1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A multidisciplinary oncological evaluation suggested the need for further histological characterization of the lesion presenting enhancement during the CT scan to rule out the possibility of lymphoma.</w:t>
      </w:r>
    </w:p>
    <w:p w14:paraId="33589DF1" w14:textId="77777777" w:rsidR="00350828" w:rsidRPr="0004216C" w:rsidRDefault="00350828">
      <w:pPr>
        <w:spacing w:line="360" w:lineRule="auto"/>
        <w:jc w:val="both"/>
        <w:rPr>
          <w:lang w:val="en-GB"/>
        </w:rPr>
      </w:pPr>
    </w:p>
    <w:p w14:paraId="69AFF6F2"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TREATMENT</w:t>
      </w:r>
    </w:p>
    <w:p w14:paraId="1EA19E4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Minimally invasive surgery was preferred through biopsy due to the location of the nodule and the extremely long period of time elapsed since the splenic trauma. A robotic approach was adopted with the standard placement of the six ports as in transperitoneal robotically assisted radical prostatectomy using a Da Vinci XI (Intuitive Surgical Inc, Sunnyvale, CA</w:t>
      </w:r>
      <w:r w:rsidR="00942554">
        <w:rPr>
          <w:rFonts w:ascii="Book Antiqua" w:hAnsi="Book Antiqua" w:cs="Book Antiqua"/>
          <w:color w:val="000000"/>
          <w:lang w:val="en-GB"/>
        </w:rPr>
        <w:t>,</w:t>
      </w:r>
      <w:r w:rsidRPr="0004216C">
        <w:rPr>
          <w:rFonts w:ascii="Book Antiqua" w:hAnsi="Book Antiqua" w:cs="Book Antiqua"/>
          <w:color w:val="000000"/>
          <w:lang w:val="en-GB"/>
        </w:rPr>
        <w:t xml:space="preserve"> United States)</w:t>
      </w:r>
      <w:r w:rsidRPr="0004216C">
        <w:rPr>
          <w:rFonts w:ascii="Book Antiqua" w:hAnsi="Book Antiqua" w:cs="Book Antiqua"/>
          <w:color w:val="000000"/>
          <w:szCs w:val="30"/>
          <w:lang w:val="en-GB"/>
        </w:rPr>
        <w:t xml:space="preserve"> (Figure 3)</w:t>
      </w:r>
      <w:r w:rsidRPr="0004216C">
        <w:rPr>
          <w:rFonts w:ascii="Book Antiqua" w:hAnsi="Book Antiqua" w:cs="Book Antiqua"/>
          <w:color w:val="000000"/>
          <w:lang w:val="en-GB"/>
        </w:rPr>
        <w:t>. The 8 mm camera port was placed with the Hasson open technique on the midline 3 cm above the umbilicus; the two 8 mm ports for the robotic arms laterally to the rectus muscles at 10 cm from the camera, 2 cm below the umbilicus, the third 8 mm robotic port on the left side 10 cm laterally, along the same line; the 5 mm assistant port was placed in the right upper quadrant (on the mid-clavicular line 5 cm below the costal margin) and the 12 mm assistant port in the right inferior quadrant (on the anterior axillary line 4 cm below the 5 mm assistant port). The Xi robot was then docked on the left side of the patient. Lysis of multiple small bowel adhesions due to previous surgery was necessary, requiring the shifting of the 8 mm optics between different ports.</w:t>
      </w:r>
    </w:p>
    <w:p w14:paraId="3942912B"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 xml:space="preserve">A purple rounded nodule on the right side of the Douglas pouch was identified, fixed to the retrovesical peritoneum and extending into the pararectal fat. It was easily removed </w:t>
      </w:r>
      <w:r w:rsidR="00942554">
        <w:rPr>
          <w:rFonts w:ascii="Book Antiqua" w:hAnsi="Book Antiqua" w:cs="Book Antiqua"/>
          <w:i/>
          <w:iCs/>
          <w:color w:val="000000"/>
          <w:lang w:val="en-GB"/>
        </w:rPr>
        <w:t>e</w:t>
      </w:r>
      <w:r w:rsidRPr="00942554">
        <w:rPr>
          <w:rFonts w:ascii="Book Antiqua" w:hAnsi="Book Antiqua" w:cs="Book Antiqua"/>
          <w:i/>
          <w:iCs/>
          <w:color w:val="000000"/>
          <w:lang w:val="en-GB"/>
        </w:rPr>
        <w:t>n</w:t>
      </w:r>
      <w:r w:rsidR="00615225"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 xml:space="preserve"> using monopolar cautery, placed inside a small retrieval bag and extracted at the end of the procedure without touching other tissues. Another 6 mm nodule of similar appearance adherent to the peritoneum overlying the sigmoid colon was also removed. Retrospective evaluation of CT images demonstrated intense contrast enhancement of this smaller lesion as well </w:t>
      </w:r>
      <w:r w:rsidRPr="0004216C">
        <w:rPr>
          <w:rFonts w:ascii="Book Antiqua" w:hAnsi="Book Antiqua" w:cs="Book Antiqua"/>
          <w:color w:val="000000"/>
          <w:szCs w:val="30"/>
          <w:lang w:val="en-GB"/>
        </w:rPr>
        <w:t>(Figure 1C and D)</w:t>
      </w:r>
      <w:r w:rsidRPr="0004216C">
        <w:rPr>
          <w:rFonts w:ascii="Book Antiqua" w:hAnsi="Book Antiqua" w:cs="Book Antiqua"/>
          <w:color w:val="000000"/>
          <w:lang w:val="en-GB"/>
        </w:rPr>
        <w:t>.</w:t>
      </w:r>
    </w:p>
    <w:p w14:paraId="49C7E401" w14:textId="77777777" w:rsidR="00350828" w:rsidRPr="0004216C" w:rsidRDefault="00350828">
      <w:pPr>
        <w:spacing w:line="360" w:lineRule="auto"/>
        <w:jc w:val="both"/>
        <w:rPr>
          <w:lang w:val="en-GB"/>
        </w:rPr>
      </w:pPr>
    </w:p>
    <w:p w14:paraId="1482DBD9"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OUTCOME AND FOLLOW-UP</w:t>
      </w:r>
    </w:p>
    <w:p w14:paraId="7B38D35E"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The operation was completed without complications, the postoperative course was uneventful and the patient was discharged on the second postoperative day. On gross inspection, the lesions were purple in colour, rounded and of medium consistency. The histopathological diagnosis of both nodules was splenic tissue </w:t>
      </w:r>
      <w:r w:rsidRPr="0004216C">
        <w:rPr>
          <w:rFonts w:ascii="Book Antiqua" w:hAnsi="Book Antiqua" w:cs="Book Antiqua"/>
          <w:color w:val="000000"/>
          <w:szCs w:val="30"/>
          <w:lang w:val="en-GB"/>
        </w:rPr>
        <w:t>(Figure 4)</w:t>
      </w:r>
      <w:r w:rsidRPr="0004216C">
        <w:rPr>
          <w:rFonts w:ascii="Book Antiqua" w:hAnsi="Book Antiqua" w:cs="Book Antiqua"/>
          <w:color w:val="000000"/>
          <w:lang w:val="en-GB"/>
        </w:rPr>
        <w:t xml:space="preserve">. </w:t>
      </w:r>
    </w:p>
    <w:p w14:paraId="4E11BE8D"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The patient remained asymptomatic for one year without further nodules appearing during the control CT scan performed for the follow-up to eliminate the possibility of lymphoma recurrences.</w:t>
      </w:r>
    </w:p>
    <w:p w14:paraId="19C7F560" w14:textId="77777777" w:rsidR="00350828" w:rsidRPr="0004216C" w:rsidRDefault="00350828">
      <w:pPr>
        <w:spacing w:line="360" w:lineRule="auto"/>
        <w:jc w:val="both"/>
        <w:rPr>
          <w:lang w:val="en-GB"/>
        </w:rPr>
      </w:pPr>
    </w:p>
    <w:p w14:paraId="271D28A9"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DISCUSSION</w:t>
      </w:r>
    </w:p>
    <w:p w14:paraId="24ADAB7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The present case presented several interesting aspects, such as the very long interval (56 years) between the splenectomy and the detection of splenosis, the potentially misleading use of imaging techniques, and the effective and minimally invasive treatment with robotically assisted laparoscopy. </w:t>
      </w:r>
    </w:p>
    <w:p w14:paraId="3598E148"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During CT, splenosis is characterized by the presence of multiple, typically rounded nodules ranging from a few millimetres to several centimetres in diameter, with densities and contrast enhancement patterns similar to those of the spleen, or the expected density and contrast enhancement of the spleen if splenectomy has been performed</w:t>
      </w:r>
      <w:r w:rsidRPr="0004216C">
        <w:rPr>
          <w:rFonts w:ascii="Book Antiqua" w:hAnsi="Book Antiqua" w:cs="Book Antiqua"/>
          <w:color w:val="000000"/>
          <w:szCs w:val="30"/>
          <w:vertAlign w:val="superscript"/>
          <w:lang w:val="en-GB"/>
        </w:rPr>
        <w:t>[4]</w:t>
      </w:r>
      <w:r w:rsidRPr="0004216C">
        <w:rPr>
          <w:rFonts w:ascii="Book Antiqua" w:hAnsi="Book Antiqua" w:cs="Book Antiqua"/>
          <w:color w:val="000000"/>
          <w:lang w:val="en-GB"/>
        </w:rPr>
        <w:t>. As with a normal spleen, these nodules show a mottled contrast enhancement pattern during the arterial and early portal venous phases. This pattern is due to the existence of different flow rates between the open and closed splenic circulation, and it becomes homogeneous in the late venous and equilibrium phases</w:t>
      </w:r>
      <w:r w:rsidRPr="0004216C">
        <w:rPr>
          <w:rFonts w:ascii="Book Antiqua" w:hAnsi="Book Antiqua" w:cs="Book Antiqua"/>
          <w:color w:val="000000"/>
          <w:szCs w:val="30"/>
          <w:vertAlign w:val="superscript"/>
          <w:lang w:val="en-GB"/>
        </w:rPr>
        <w:t>[5]</w:t>
      </w:r>
      <w:r w:rsidRPr="0004216C">
        <w:rPr>
          <w:rFonts w:ascii="Book Antiqua" w:hAnsi="Book Antiqua" w:cs="Book Antiqua"/>
          <w:color w:val="000000"/>
          <w:lang w:val="en-GB"/>
        </w:rPr>
        <w:t>. The spleen-like contrast enhancement behaviour of splenosis nodules during multiphase contrast-enhanced CT is pathognomonic. However, this behaviour may not be evident in smaller or less vascularized nodules or without the use of a dedicated CT protocol. Moreover, diagnosis can be difficult in post-splenectomy patients due to the absence of the spleen as reference tissue, especially if splenosis nodules are outside the peritoneal cavity or located in the liver, where they may mimic focal primary or secondary liver disease and represent diagnostic challenges</w:t>
      </w:r>
      <w:r w:rsidRPr="0004216C">
        <w:rPr>
          <w:rFonts w:ascii="Book Antiqua" w:hAnsi="Book Antiqua" w:cs="Book Antiqua"/>
          <w:color w:val="000000"/>
          <w:szCs w:val="30"/>
          <w:vertAlign w:val="superscript"/>
          <w:lang w:val="en-GB"/>
        </w:rPr>
        <w:t>[6]</w:t>
      </w:r>
      <w:r w:rsidRPr="0004216C">
        <w:rPr>
          <w:rFonts w:ascii="Book Antiqua" w:hAnsi="Book Antiqua" w:cs="Book Antiqua"/>
          <w:color w:val="000000"/>
          <w:lang w:val="en-GB"/>
        </w:rPr>
        <w:t>.</w:t>
      </w:r>
    </w:p>
    <w:p w14:paraId="45075F32"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 xml:space="preserve">Nuclear medicine techniques have a crucial function in the differential diagnosis of splenosis because residual splenic tissue presents an uptake of heat-denatured erythrocytes labelled with </w:t>
      </w:r>
      <w:r w:rsidRPr="0004216C">
        <w:rPr>
          <w:rFonts w:ascii="Book Antiqua" w:hAnsi="Book Antiqua" w:cs="Book Antiqua"/>
          <w:color w:val="000000"/>
          <w:szCs w:val="30"/>
          <w:vertAlign w:val="superscript"/>
          <w:lang w:val="en-GB"/>
        </w:rPr>
        <w:t>99m</w:t>
      </w:r>
      <w:r w:rsidRPr="0004216C">
        <w:rPr>
          <w:rFonts w:ascii="Book Antiqua" w:hAnsi="Book Antiqua" w:cs="Book Antiqua"/>
          <w:color w:val="000000"/>
          <w:lang w:val="en-GB"/>
        </w:rPr>
        <w:t>TC at scintigraphy and/or single-photon emission tomography/CT</w:t>
      </w:r>
      <w:r w:rsidRPr="0004216C">
        <w:rPr>
          <w:rFonts w:ascii="Book Antiqua" w:hAnsi="Book Antiqua" w:cs="Book Antiqua"/>
          <w:color w:val="000000"/>
          <w:szCs w:val="30"/>
          <w:vertAlign w:val="superscript"/>
          <w:lang w:val="en-GB"/>
        </w:rPr>
        <w:t>[7]</w:t>
      </w:r>
      <w:r w:rsidRPr="0004216C">
        <w:rPr>
          <w:rFonts w:ascii="Book Antiqua" w:hAnsi="Book Antiqua" w:cs="Book Antiqua"/>
          <w:color w:val="000000"/>
          <w:lang w:val="en-GB"/>
        </w:rPr>
        <w:t xml:space="preserve">, or </w:t>
      </w:r>
      <w:r w:rsidRPr="0004216C">
        <w:rPr>
          <w:rFonts w:ascii="Book Antiqua" w:hAnsi="Book Antiqua" w:cs="Book Antiqua"/>
          <w:color w:val="000000"/>
          <w:szCs w:val="30"/>
          <w:vertAlign w:val="superscript"/>
          <w:lang w:val="en-GB"/>
        </w:rPr>
        <w:t>99m</w:t>
      </w:r>
      <w:r w:rsidRPr="0004216C">
        <w:rPr>
          <w:rFonts w:ascii="Book Antiqua" w:hAnsi="Book Antiqua" w:cs="Book Antiqua"/>
          <w:color w:val="000000"/>
          <w:lang w:val="en-GB"/>
        </w:rPr>
        <w:t xml:space="preserve">TC-labeled sulphur colloid. Uptake of specific radiopharmaceuticals such as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Ga-radiolabelled prostate-specific membrane antigen peptide</w:t>
      </w:r>
      <w:r w:rsidRPr="0004216C">
        <w:rPr>
          <w:rFonts w:ascii="Book Antiqua" w:hAnsi="Book Antiqua" w:cs="Book Antiqua"/>
          <w:color w:val="000000"/>
          <w:szCs w:val="30"/>
          <w:vertAlign w:val="superscript"/>
          <w:lang w:val="en-GB"/>
        </w:rPr>
        <w:t>[8]</w:t>
      </w:r>
      <w:r w:rsidRPr="0004216C">
        <w:rPr>
          <w:rFonts w:ascii="Book Antiqua" w:hAnsi="Book Antiqua" w:cs="Book Antiqua"/>
          <w:color w:val="000000"/>
          <w:lang w:val="en-GB"/>
        </w:rPr>
        <w:t xml:space="preserve"> and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Ga-labelled somatostatin analogues</w:t>
      </w:r>
      <w:r w:rsidRPr="0004216C">
        <w:rPr>
          <w:rFonts w:ascii="Book Antiqua" w:hAnsi="Book Antiqua" w:cs="Book Antiqua"/>
          <w:color w:val="000000"/>
          <w:szCs w:val="30"/>
          <w:vertAlign w:val="superscript"/>
          <w:lang w:val="en-GB"/>
        </w:rPr>
        <w:t>[9]</w:t>
      </w:r>
      <w:r w:rsidRPr="0004216C">
        <w:rPr>
          <w:rFonts w:ascii="Book Antiqua" w:hAnsi="Book Antiqua" w:cs="Book Antiqua"/>
          <w:color w:val="000000"/>
          <w:lang w:val="en-GB"/>
        </w:rPr>
        <w:t xml:space="preserve"> has been described in patients with splenosis undergoing PET/CT. Furthermore, </w:t>
      </w:r>
      <w:r w:rsidRPr="0004216C">
        <w:rPr>
          <w:rFonts w:ascii="Book Antiqua" w:hAnsi="Book Antiqua" w:cs="Book Antiqua"/>
          <w:color w:val="000000"/>
          <w:szCs w:val="30"/>
          <w:vertAlign w:val="superscript"/>
          <w:lang w:val="en-GB"/>
        </w:rPr>
        <w:t>18</w:t>
      </w:r>
      <w:r w:rsidRPr="0004216C">
        <w:rPr>
          <w:rFonts w:ascii="Book Antiqua" w:hAnsi="Book Antiqua" w:cs="Book Antiqua"/>
          <w:color w:val="000000"/>
          <w:lang w:val="en-GB"/>
        </w:rPr>
        <w:t>F-FDG activity accumulation can be variable</w:t>
      </w:r>
      <w:r w:rsidRPr="0004216C">
        <w:rPr>
          <w:rFonts w:ascii="Book Antiqua" w:hAnsi="Book Antiqua" w:cs="Book Antiqua"/>
          <w:color w:val="000000"/>
          <w:szCs w:val="30"/>
          <w:vertAlign w:val="superscript"/>
          <w:lang w:val="en-GB"/>
        </w:rPr>
        <w:t>[10]</w:t>
      </w:r>
      <w:r w:rsidRPr="0004216C">
        <w:rPr>
          <w:rFonts w:ascii="Book Antiqua" w:hAnsi="Book Antiqua" w:cs="Book Antiqua"/>
          <w:color w:val="000000"/>
          <w:lang w:val="en-GB"/>
        </w:rPr>
        <w:t>.</w:t>
      </w:r>
    </w:p>
    <w:p w14:paraId="46DBEB6A" w14:textId="77777777" w:rsidR="00350828" w:rsidRPr="0004216C" w:rsidRDefault="00350828" w:rsidP="00EA40E3">
      <w:pPr>
        <w:spacing w:line="360" w:lineRule="auto"/>
        <w:ind w:firstLineChars="200" w:firstLine="480"/>
        <w:jc w:val="both"/>
        <w:rPr>
          <w:lang w:val="en-GB"/>
        </w:rPr>
      </w:pPr>
      <w:r w:rsidRPr="0004216C">
        <w:rPr>
          <w:rFonts w:ascii="Book Antiqua" w:hAnsi="Book Antiqua" w:cs="Book Antiqua"/>
          <w:color w:val="000000"/>
          <w:lang w:val="en-GB"/>
        </w:rPr>
        <w:t>Surgical treatment has been generally reserved for cases of splenosis presenting with pain, bleeding or obstructive complications. In addition, the use of minimally invasive techniques such as laparoscopy and robotics is ideal for providing safe removal with limited hospitalization</w:t>
      </w:r>
      <w:r w:rsidRPr="0004216C">
        <w:rPr>
          <w:rFonts w:ascii="Book Antiqua" w:hAnsi="Book Antiqua" w:cs="Book Antiqua"/>
          <w:color w:val="000000"/>
          <w:szCs w:val="30"/>
          <w:vertAlign w:val="superscript"/>
          <w:lang w:val="en-GB"/>
        </w:rPr>
        <w:t>[11]</w:t>
      </w:r>
      <w:r w:rsidRPr="0004216C">
        <w:rPr>
          <w:rFonts w:ascii="Book Antiqua" w:hAnsi="Book Antiqua" w:cs="Book Antiqua"/>
          <w:color w:val="000000"/>
          <w:lang w:val="en-GB"/>
        </w:rPr>
        <w:t>. Finally, laparoscopy provides the opportunity for a definitive histological diagnosis.</w:t>
      </w:r>
    </w:p>
    <w:p w14:paraId="7DE30AB6" w14:textId="77777777" w:rsidR="00350828" w:rsidRPr="0004216C" w:rsidRDefault="00350828" w:rsidP="00942554">
      <w:pPr>
        <w:spacing w:line="360" w:lineRule="auto"/>
        <w:ind w:firstLineChars="200" w:firstLine="480"/>
        <w:jc w:val="both"/>
        <w:rPr>
          <w:lang w:val="en-GB"/>
        </w:rPr>
      </w:pPr>
      <w:r w:rsidRPr="0004216C">
        <w:rPr>
          <w:rFonts w:ascii="Book Antiqua" w:hAnsi="Book Antiqua" w:cs="Book Antiqua"/>
          <w:color w:val="000000"/>
          <w:lang w:val="en-GB"/>
        </w:rPr>
        <w:t>Urologists are particularly skilled in the robotic treatment of masses arising in the male pelvis. This is because radical robotic prostatectomy with a transperitoneal approach previews the opening of the peritoneum of the Douglas cul-de-sac to isolate the seminal vesicles and to detach the posterior aspect of the prostate from the rectum.</w:t>
      </w:r>
      <w:r w:rsidR="00942554">
        <w:rPr>
          <w:rFonts w:hint="eastAsia"/>
          <w:lang w:val="en-GB" w:eastAsia="zh-CN"/>
        </w:rPr>
        <w:t xml:space="preserve"> </w:t>
      </w:r>
      <w:r w:rsidRPr="0004216C">
        <w:rPr>
          <w:rFonts w:ascii="Book Antiqua" w:hAnsi="Book Antiqua" w:cs="Book Antiqua"/>
          <w:color w:val="000000"/>
          <w:lang w:val="en-GB"/>
        </w:rPr>
        <w:t>The use of the Da Vinci XI robot in the present case with multiple bowel adhesions secondary to previous surgery proved to be particularly helpful. This was the case because the 8 mm optics could be introduced in any of the ports, facilitating visualization and lysis of the adhesions.</w:t>
      </w:r>
    </w:p>
    <w:p w14:paraId="0A1ED3B8" w14:textId="77777777" w:rsidR="00350828" w:rsidRPr="0004216C" w:rsidRDefault="00350828">
      <w:pPr>
        <w:spacing w:line="360" w:lineRule="auto"/>
        <w:jc w:val="both"/>
        <w:rPr>
          <w:lang w:val="en-GB"/>
        </w:rPr>
      </w:pPr>
    </w:p>
    <w:p w14:paraId="5BACE706"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CONCLUSION</w:t>
      </w:r>
    </w:p>
    <w:p w14:paraId="1327BF5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Intraperitoneal splenosis nodules may be incidentally diagnosed even after a very long time period since splenectomy for trauma. When removal is necessary for obstructive or haemorrhagic complications or definitive histological diagnosis, robotically assisted laparoscopy is the superior approach. The Da Vinci XI robot is especially suited for this task because it allows a thorough exploration of the abdominal cavity and lysis of existing bowel adhesions due to its ability to shift optics and instruments between different ports. Beyond this, additional nodules overlooked by imaging techniques can be found and removed </w:t>
      </w:r>
      <w:r w:rsidR="00942554">
        <w:rPr>
          <w:rFonts w:ascii="Book Antiqua" w:hAnsi="Book Antiqua" w:cs="Book Antiqua"/>
          <w:i/>
          <w:iCs/>
          <w:color w:val="000000"/>
          <w:lang w:val="en-GB"/>
        </w:rPr>
        <w:t>e</w:t>
      </w:r>
      <w:r w:rsidRPr="00942554">
        <w:rPr>
          <w:rFonts w:ascii="Book Antiqua" w:hAnsi="Book Antiqua" w:cs="Book Antiqua"/>
          <w:i/>
          <w:iCs/>
          <w:color w:val="000000"/>
          <w:lang w:val="en-GB"/>
        </w:rPr>
        <w:t>n</w:t>
      </w:r>
      <w:r w:rsidR="0019689A"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w:t>
      </w:r>
    </w:p>
    <w:p w14:paraId="76E3AD70" w14:textId="77777777" w:rsidR="00350828" w:rsidRPr="00942554" w:rsidRDefault="00350828">
      <w:pPr>
        <w:spacing w:line="360" w:lineRule="auto"/>
        <w:jc w:val="both"/>
        <w:rPr>
          <w:lang w:val="en-GB"/>
        </w:rPr>
      </w:pPr>
    </w:p>
    <w:p w14:paraId="17819D2C"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REFERENCES</w:t>
      </w:r>
    </w:p>
    <w:p w14:paraId="627761A5" w14:textId="77777777" w:rsidR="00350828" w:rsidRPr="0004216C" w:rsidRDefault="00350828">
      <w:pPr>
        <w:spacing w:line="360" w:lineRule="auto"/>
        <w:jc w:val="both"/>
        <w:rPr>
          <w:lang w:val="en-GB"/>
        </w:rPr>
      </w:pPr>
      <w:bookmarkStart w:id="1" w:name="OLE_LINK22"/>
      <w:r w:rsidRPr="0004216C">
        <w:rPr>
          <w:rFonts w:ascii="Book Antiqua" w:hAnsi="Book Antiqua" w:cs="Book Antiqua"/>
          <w:color w:val="000000"/>
          <w:lang w:val="en-GB"/>
        </w:rPr>
        <w:t xml:space="preserve">1 </w:t>
      </w:r>
      <w:r w:rsidRPr="0004216C">
        <w:rPr>
          <w:rFonts w:ascii="Book Antiqua" w:hAnsi="Book Antiqua" w:cs="Book Antiqua"/>
          <w:b/>
          <w:bCs/>
          <w:color w:val="000000"/>
          <w:lang w:val="en-GB"/>
        </w:rPr>
        <w:t>Buchbinder JH</w:t>
      </w:r>
      <w:r w:rsidRPr="00942554">
        <w:rPr>
          <w:rFonts w:ascii="Book Antiqua" w:hAnsi="Book Antiqua" w:cs="Book Antiqua"/>
          <w:color w:val="000000"/>
          <w:lang w:val="en-GB"/>
        </w:rPr>
        <w:t xml:space="preserve">, </w:t>
      </w:r>
      <w:r w:rsidRPr="0004216C">
        <w:rPr>
          <w:rFonts w:ascii="Book Antiqua" w:hAnsi="Book Antiqua" w:cs="Book Antiqua"/>
          <w:color w:val="000000"/>
          <w:lang w:val="en-GB"/>
        </w:rPr>
        <w:t xml:space="preserve">Lipkoff CJ. Splenosis: multiple peritoneal splenic implants following abdominal injury. </w:t>
      </w:r>
      <w:r w:rsidRPr="0004216C">
        <w:rPr>
          <w:rFonts w:ascii="Book Antiqua" w:hAnsi="Book Antiqua" w:cs="Book Antiqua"/>
          <w:i/>
          <w:iCs/>
          <w:color w:val="000000"/>
          <w:lang w:val="en-GB"/>
        </w:rPr>
        <w:t>Surgery</w:t>
      </w:r>
      <w:r w:rsidRPr="0004216C">
        <w:rPr>
          <w:rFonts w:ascii="Book Antiqua" w:hAnsi="Book Antiqua" w:cs="Book Antiqua"/>
          <w:color w:val="000000"/>
          <w:lang w:val="en-GB"/>
        </w:rPr>
        <w:t xml:space="preserve"> 1939; </w:t>
      </w:r>
      <w:r w:rsidRPr="0004216C">
        <w:rPr>
          <w:rFonts w:ascii="Book Antiqua" w:hAnsi="Book Antiqua" w:cs="Book Antiqua"/>
          <w:b/>
          <w:bCs/>
          <w:color w:val="000000"/>
          <w:lang w:val="en-GB"/>
        </w:rPr>
        <w:t>6</w:t>
      </w:r>
      <w:r w:rsidRPr="0004216C">
        <w:rPr>
          <w:rFonts w:ascii="Book Antiqua" w:hAnsi="Book Antiqua" w:cs="Book Antiqua"/>
          <w:color w:val="000000"/>
          <w:lang w:val="en-GB"/>
        </w:rPr>
        <w:t>: 927-934</w:t>
      </w:r>
    </w:p>
    <w:p w14:paraId="18E9EDC8"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2 </w:t>
      </w:r>
      <w:r w:rsidRPr="0004216C">
        <w:rPr>
          <w:rFonts w:ascii="Book Antiqua" w:hAnsi="Book Antiqua" w:cs="Book Antiqua"/>
          <w:b/>
          <w:bCs/>
          <w:color w:val="000000"/>
          <w:lang w:val="en-GB"/>
        </w:rPr>
        <w:t>Tandon YK</w:t>
      </w:r>
      <w:r w:rsidRPr="0004216C">
        <w:rPr>
          <w:rFonts w:ascii="Book Antiqua" w:hAnsi="Book Antiqua" w:cs="Book Antiqua"/>
          <w:color w:val="000000"/>
          <w:lang w:val="en-GB"/>
        </w:rPr>
        <w:t xml:space="preserve">, Coppa CP, Purysko AS. Splenosis: a great mimicker of neoplastic disease. </w:t>
      </w:r>
      <w:r w:rsidRPr="0004216C">
        <w:rPr>
          <w:rFonts w:ascii="Book Antiqua" w:hAnsi="Book Antiqua" w:cs="Book Antiqua"/>
          <w:i/>
          <w:iCs/>
          <w:color w:val="000000"/>
          <w:lang w:val="en-GB"/>
        </w:rPr>
        <w:t>Abdom Radiol (NY)</w:t>
      </w:r>
      <w:r w:rsidRPr="0004216C">
        <w:rPr>
          <w:rFonts w:ascii="Book Antiqua" w:hAnsi="Book Antiqua" w:cs="Book Antiqua"/>
          <w:color w:val="000000"/>
          <w:lang w:val="en-GB"/>
        </w:rPr>
        <w:t xml:space="preserve"> 2018; </w:t>
      </w:r>
      <w:r w:rsidRPr="0004216C">
        <w:rPr>
          <w:rFonts w:ascii="Book Antiqua" w:hAnsi="Book Antiqua" w:cs="Book Antiqua"/>
          <w:b/>
          <w:bCs/>
          <w:color w:val="000000"/>
          <w:lang w:val="en-GB"/>
        </w:rPr>
        <w:t>43</w:t>
      </w:r>
      <w:r w:rsidRPr="0004216C">
        <w:rPr>
          <w:rFonts w:ascii="Book Antiqua" w:hAnsi="Book Antiqua" w:cs="Book Antiqua"/>
          <w:color w:val="000000"/>
          <w:lang w:val="en-GB"/>
        </w:rPr>
        <w:t>: 3054-3059 [PMID: 29651643 DOI: 10.1007/s00261-018-1601-5]</w:t>
      </w:r>
    </w:p>
    <w:p w14:paraId="6153C847" w14:textId="77777777" w:rsidR="00350828" w:rsidRPr="0004216C" w:rsidRDefault="00350828">
      <w:pPr>
        <w:spacing w:line="360" w:lineRule="auto"/>
        <w:jc w:val="both"/>
        <w:rPr>
          <w:rFonts w:ascii="Book Antiqua" w:hAnsi="Book Antiqua" w:cs="Book Antiqua"/>
          <w:color w:val="000000"/>
          <w:lang w:val="en-GB"/>
        </w:rPr>
      </w:pPr>
      <w:r w:rsidRPr="0004216C">
        <w:rPr>
          <w:rFonts w:ascii="Book Antiqua" w:hAnsi="Book Antiqua" w:cs="Book Antiqua"/>
          <w:color w:val="000000"/>
          <w:lang w:val="en-GB"/>
        </w:rPr>
        <w:t xml:space="preserve">3 </w:t>
      </w:r>
      <w:r w:rsidRPr="0004216C">
        <w:rPr>
          <w:rFonts w:ascii="Book Antiqua" w:hAnsi="Book Antiqua" w:cs="Book Antiqua"/>
          <w:b/>
          <w:bCs/>
          <w:color w:val="000000"/>
          <w:lang w:val="en-GB"/>
        </w:rPr>
        <w:t>Luu S</w:t>
      </w:r>
      <w:r w:rsidRPr="0004216C">
        <w:rPr>
          <w:rFonts w:ascii="Book Antiqua" w:hAnsi="Book Antiqua" w:cs="Book Antiqua"/>
          <w:color w:val="000000"/>
          <w:lang w:val="en-GB"/>
        </w:rPr>
        <w:t xml:space="preserve">, Sheldon J, Dendle C, Ojaimi S, Jones P, Woolley I. Prevalence and distribution of functional splenic tissue after splenectomy. </w:t>
      </w:r>
      <w:r w:rsidRPr="0004216C">
        <w:rPr>
          <w:rFonts w:ascii="Book Antiqua" w:hAnsi="Book Antiqua" w:cs="Book Antiqua"/>
          <w:i/>
          <w:iCs/>
          <w:color w:val="000000"/>
          <w:lang w:val="en-GB"/>
        </w:rPr>
        <w:t>Intern Med J</w:t>
      </w:r>
      <w:r w:rsidRPr="0004216C">
        <w:rPr>
          <w:rFonts w:ascii="Book Antiqua" w:hAnsi="Book Antiqua" w:cs="Book Antiqua"/>
          <w:color w:val="000000"/>
          <w:lang w:val="en-GB"/>
        </w:rPr>
        <w:t xml:space="preserve"> 2020; </w:t>
      </w:r>
      <w:r w:rsidRPr="0004216C">
        <w:rPr>
          <w:rFonts w:ascii="Book Antiqua" w:hAnsi="Book Antiqua" w:cs="Book Antiqua"/>
          <w:b/>
          <w:bCs/>
          <w:color w:val="000000"/>
          <w:lang w:val="en-GB"/>
        </w:rPr>
        <w:t>50</w:t>
      </w:r>
      <w:r w:rsidRPr="0004216C">
        <w:rPr>
          <w:rFonts w:ascii="Book Antiqua" w:hAnsi="Book Antiqua" w:cs="Book Antiqua"/>
          <w:color w:val="000000"/>
          <w:lang w:val="en-GB"/>
        </w:rPr>
        <w:t>: 556-564 [PMID: 31449712 DOI: 10.1111/imj.14621]</w:t>
      </w:r>
    </w:p>
    <w:p w14:paraId="66373597"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4 </w:t>
      </w:r>
      <w:r w:rsidRPr="0004216C">
        <w:rPr>
          <w:rFonts w:ascii="Book Antiqua" w:hAnsi="Book Antiqua" w:cs="Book Antiqua"/>
          <w:b/>
          <w:bCs/>
          <w:color w:val="000000"/>
          <w:lang w:val="en-GB"/>
        </w:rPr>
        <w:t>Lake ST</w:t>
      </w:r>
      <w:r w:rsidRPr="0004216C">
        <w:rPr>
          <w:rFonts w:ascii="Book Antiqua" w:hAnsi="Book Antiqua" w:cs="Book Antiqua"/>
          <w:color w:val="000000"/>
          <w:lang w:val="en-GB"/>
        </w:rPr>
        <w:t xml:space="preserve">, Johnson PT, Kawamoto S, Hruban RH, Fishman EK. CT of splenosis: patterns and pitfalls. </w:t>
      </w:r>
      <w:r w:rsidRPr="0004216C">
        <w:rPr>
          <w:rFonts w:ascii="Book Antiqua" w:hAnsi="Book Antiqua" w:cs="Book Antiqua"/>
          <w:i/>
          <w:iCs/>
          <w:color w:val="000000"/>
          <w:lang w:val="en-GB"/>
        </w:rPr>
        <w:t>AJR Am J Roentgenol</w:t>
      </w:r>
      <w:r w:rsidRPr="0004216C">
        <w:rPr>
          <w:rFonts w:ascii="Book Antiqua" w:hAnsi="Book Antiqua" w:cs="Book Antiqua"/>
          <w:color w:val="000000"/>
          <w:lang w:val="en-GB"/>
        </w:rPr>
        <w:t xml:space="preserve"> 2012; </w:t>
      </w:r>
      <w:r w:rsidRPr="0004216C">
        <w:rPr>
          <w:rFonts w:ascii="Book Antiqua" w:hAnsi="Book Antiqua" w:cs="Book Antiqua"/>
          <w:b/>
          <w:bCs/>
          <w:color w:val="000000"/>
          <w:lang w:val="en-GB"/>
        </w:rPr>
        <w:t>199</w:t>
      </w:r>
      <w:r w:rsidRPr="0004216C">
        <w:rPr>
          <w:rFonts w:ascii="Book Antiqua" w:hAnsi="Book Antiqua" w:cs="Book Antiqua"/>
          <w:color w:val="000000"/>
          <w:lang w:val="en-GB"/>
        </w:rPr>
        <w:t>: W686-W693 [PMID: 23169741 DOI: 10.2214/AJR.11.7896]</w:t>
      </w:r>
    </w:p>
    <w:p w14:paraId="6F0FCDF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5 </w:t>
      </w:r>
      <w:r w:rsidRPr="0004216C">
        <w:rPr>
          <w:rFonts w:ascii="Book Antiqua" w:hAnsi="Book Antiqua" w:cs="Book Antiqua"/>
          <w:b/>
          <w:bCs/>
          <w:color w:val="000000"/>
          <w:lang w:val="en-GB"/>
        </w:rPr>
        <w:t>Vancauwenberghe T</w:t>
      </w:r>
      <w:r w:rsidRPr="0004216C">
        <w:rPr>
          <w:rFonts w:ascii="Book Antiqua" w:hAnsi="Book Antiqua" w:cs="Book Antiqua"/>
          <w:color w:val="000000"/>
          <w:lang w:val="en-GB"/>
        </w:rPr>
        <w:t xml:space="preserve">, Snoeckx A, Vanbeckevoort D, Dymarkowski S, Vanhoenacker FM. Imaging of the spleen: what the clinician needs to know. </w:t>
      </w:r>
      <w:r w:rsidRPr="0004216C">
        <w:rPr>
          <w:rFonts w:ascii="Book Antiqua" w:hAnsi="Book Antiqua" w:cs="Book Antiqua"/>
          <w:i/>
          <w:iCs/>
          <w:color w:val="000000"/>
          <w:lang w:val="en-GB"/>
        </w:rPr>
        <w:t>Singapore Med J</w:t>
      </w:r>
      <w:r w:rsidRPr="0004216C">
        <w:rPr>
          <w:rFonts w:ascii="Book Antiqua" w:hAnsi="Book Antiqua" w:cs="Book Antiqua"/>
          <w:color w:val="000000"/>
          <w:lang w:val="en-GB"/>
        </w:rPr>
        <w:t xml:space="preserve"> 2015; </w:t>
      </w:r>
      <w:r w:rsidRPr="0004216C">
        <w:rPr>
          <w:rFonts w:ascii="Book Antiqua" w:hAnsi="Book Antiqua" w:cs="Book Antiqua"/>
          <w:b/>
          <w:bCs/>
          <w:color w:val="000000"/>
          <w:lang w:val="en-GB"/>
        </w:rPr>
        <w:t>56</w:t>
      </w:r>
      <w:r w:rsidRPr="0004216C">
        <w:rPr>
          <w:rFonts w:ascii="Book Antiqua" w:hAnsi="Book Antiqua" w:cs="Book Antiqua"/>
          <w:color w:val="000000"/>
          <w:lang w:val="en-GB"/>
        </w:rPr>
        <w:t>: 133-144 [PMID: 25820845 DOI: 10.11622/smedj.2015040]</w:t>
      </w:r>
    </w:p>
    <w:p w14:paraId="4C5DCDC8"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6 </w:t>
      </w:r>
      <w:r w:rsidRPr="0004216C">
        <w:rPr>
          <w:rFonts w:ascii="Book Antiqua" w:hAnsi="Book Antiqua" w:cs="Book Antiqua"/>
          <w:b/>
          <w:bCs/>
          <w:color w:val="000000"/>
          <w:lang w:val="en-GB"/>
        </w:rPr>
        <w:t>Fenchel S</w:t>
      </w:r>
      <w:r w:rsidRPr="0004216C">
        <w:rPr>
          <w:rFonts w:ascii="Book Antiqua" w:hAnsi="Book Antiqua" w:cs="Book Antiqua"/>
          <w:color w:val="000000"/>
          <w:lang w:val="en-GB"/>
        </w:rPr>
        <w:t xml:space="preserve">, Boll DT, Fleiter TR, Brambs HJ, Merkle EM. Multislice helical CT of the pancreas and spleen. </w:t>
      </w:r>
      <w:r w:rsidRPr="0004216C">
        <w:rPr>
          <w:rFonts w:ascii="Book Antiqua" w:hAnsi="Book Antiqua" w:cs="Book Antiqua"/>
          <w:i/>
          <w:iCs/>
          <w:color w:val="000000"/>
          <w:lang w:val="en-GB"/>
        </w:rPr>
        <w:t>Eur J Radiol</w:t>
      </w:r>
      <w:r w:rsidRPr="0004216C">
        <w:rPr>
          <w:rFonts w:ascii="Book Antiqua" w:hAnsi="Book Antiqua" w:cs="Book Antiqua"/>
          <w:color w:val="000000"/>
          <w:lang w:val="en-GB"/>
        </w:rPr>
        <w:t xml:space="preserve"> 2003; </w:t>
      </w:r>
      <w:r w:rsidRPr="0004216C">
        <w:rPr>
          <w:rFonts w:ascii="Book Antiqua" w:hAnsi="Book Antiqua" w:cs="Book Antiqua"/>
          <w:b/>
          <w:bCs/>
          <w:color w:val="000000"/>
          <w:lang w:val="en-GB"/>
        </w:rPr>
        <w:t>45 Suppl 1</w:t>
      </w:r>
      <w:r w:rsidRPr="0004216C">
        <w:rPr>
          <w:rFonts w:ascii="Book Antiqua" w:hAnsi="Book Antiqua" w:cs="Book Antiqua"/>
          <w:color w:val="000000"/>
          <w:lang w:val="en-GB"/>
        </w:rPr>
        <w:t>: S59-S72 [PMID: 12598029 DOI: 10.1016/S0720-048X(02)00363-7]</w:t>
      </w:r>
    </w:p>
    <w:p w14:paraId="45AC431A"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7 </w:t>
      </w:r>
      <w:r w:rsidRPr="0004216C">
        <w:rPr>
          <w:rFonts w:ascii="Book Antiqua" w:hAnsi="Book Antiqua" w:cs="Book Antiqua"/>
          <w:b/>
          <w:bCs/>
          <w:color w:val="000000"/>
          <w:lang w:val="en-GB"/>
        </w:rPr>
        <w:t>Valdés Olmos RA</w:t>
      </w:r>
      <w:r w:rsidRPr="0004216C">
        <w:rPr>
          <w:rFonts w:ascii="Book Antiqua" w:hAnsi="Book Antiqua" w:cs="Book Antiqua"/>
          <w:color w:val="000000"/>
          <w:lang w:val="en-GB"/>
        </w:rPr>
        <w:t xml:space="preserve">, Horenblas S, Kartachova M, Hoefnagel CA, Sivro F, Baars PC. 99mTc-labelled heat-denatured erythrocyte SPET-CT matching to differentiate accessory spleen from tumour recurrence. </w:t>
      </w:r>
      <w:r w:rsidRPr="0004216C">
        <w:rPr>
          <w:rFonts w:ascii="Book Antiqua" w:hAnsi="Book Antiqua" w:cs="Book Antiqua"/>
          <w:i/>
          <w:iCs/>
          <w:color w:val="000000"/>
          <w:lang w:val="en-GB"/>
        </w:rPr>
        <w:t>Eur J Nucl Med Mol Imaging</w:t>
      </w:r>
      <w:r w:rsidRPr="0004216C">
        <w:rPr>
          <w:rFonts w:ascii="Book Antiqua" w:hAnsi="Book Antiqua" w:cs="Book Antiqua"/>
          <w:color w:val="000000"/>
          <w:lang w:val="en-GB"/>
        </w:rPr>
        <w:t xml:space="preserve"> 2004; </w:t>
      </w:r>
      <w:r w:rsidRPr="0004216C">
        <w:rPr>
          <w:rFonts w:ascii="Book Antiqua" w:hAnsi="Book Antiqua" w:cs="Book Antiqua"/>
          <w:b/>
          <w:bCs/>
          <w:color w:val="000000"/>
          <w:lang w:val="en-GB"/>
        </w:rPr>
        <w:t>31</w:t>
      </w:r>
      <w:r w:rsidRPr="0004216C">
        <w:rPr>
          <w:rFonts w:ascii="Book Antiqua" w:hAnsi="Book Antiqua" w:cs="Book Antiqua"/>
          <w:color w:val="000000"/>
          <w:lang w:val="en-GB"/>
        </w:rPr>
        <w:t>: 150 [PMID: 14652699 DOI: 10.1007/s00259-003-1419-3]</w:t>
      </w:r>
    </w:p>
    <w:p w14:paraId="7C97274A"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8 </w:t>
      </w:r>
      <w:r w:rsidRPr="0004216C">
        <w:rPr>
          <w:rFonts w:ascii="Book Antiqua" w:hAnsi="Book Antiqua" w:cs="Book Antiqua"/>
          <w:b/>
          <w:bCs/>
          <w:color w:val="000000"/>
          <w:lang w:val="en-GB"/>
        </w:rPr>
        <w:t>Demirci E</w:t>
      </w:r>
      <w:r w:rsidRPr="0004216C">
        <w:rPr>
          <w:rFonts w:ascii="Book Antiqua" w:hAnsi="Book Antiqua" w:cs="Book Antiqua"/>
          <w:color w:val="000000"/>
          <w:lang w:val="en-GB"/>
        </w:rPr>
        <w:t xml:space="preserve">, Has Simsek D, Kabasakal L, Mülazimoðlu M. Abdominal Splenosis Mimicking Peritoneal Metastasis in Prostate-Specific Membrane Antigen PET/CT, Confirmed With Selective Spleen SPECT/CT. </w:t>
      </w:r>
      <w:r w:rsidRPr="0004216C">
        <w:rPr>
          <w:rFonts w:ascii="Book Antiqua" w:hAnsi="Book Antiqua" w:cs="Book Antiqua"/>
          <w:i/>
          <w:iCs/>
          <w:color w:val="000000"/>
          <w:lang w:val="en-GB"/>
        </w:rPr>
        <w:t>Clin Nucl Med</w:t>
      </w:r>
      <w:r w:rsidRPr="0004216C">
        <w:rPr>
          <w:rFonts w:ascii="Book Antiqua" w:hAnsi="Book Antiqua" w:cs="Book Antiqua"/>
          <w:color w:val="000000"/>
          <w:lang w:val="en-GB"/>
        </w:rPr>
        <w:t xml:space="preserve"> 2017; </w:t>
      </w:r>
      <w:r w:rsidRPr="0004216C">
        <w:rPr>
          <w:rFonts w:ascii="Book Antiqua" w:hAnsi="Book Antiqua" w:cs="Book Antiqua"/>
          <w:b/>
          <w:bCs/>
          <w:color w:val="000000"/>
          <w:lang w:val="en-GB"/>
        </w:rPr>
        <w:t>42</w:t>
      </w:r>
      <w:r w:rsidRPr="0004216C">
        <w:rPr>
          <w:rFonts w:ascii="Book Antiqua" w:hAnsi="Book Antiqua" w:cs="Book Antiqua"/>
          <w:color w:val="000000"/>
          <w:lang w:val="en-GB"/>
        </w:rPr>
        <w:t>: e504-e505 [PMID: 29076911 DOI: 10.1097/RLU.0000000000001878]</w:t>
      </w:r>
    </w:p>
    <w:p w14:paraId="4DCB42D5"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9 </w:t>
      </w:r>
      <w:r w:rsidRPr="0004216C">
        <w:rPr>
          <w:rFonts w:ascii="Book Antiqua" w:hAnsi="Book Antiqua" w:cs="Book Antiqua"/>
          <w:b/>
          <w:bCs/>
          <w:color w:val="000000"/>
          <w:lang w:val="en-GB"/>
        </w:rPr>
        <w:t>Maffey-Steffan J</w:t>
      </w:r>
      <w:r w:rsidRPr="0004216C">
        <w:rPr>
          <w:rFonts w:ascii="Book Antiqua" w:hAnsi="Book Antiqua" w:cs="Book Antiqua"/>
          <w:color w:val="000000"/>
          <w:lang w:val="en-GB"/>
        </w:rPr>
        <w:t xml:space="preserve">, Uprimny C, Moncayo R, Kroiss AS, Virgolini IJ. Usefulness of combined imaging with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 xml:space="preserve">Ga-DOTATOC PET/CT and spleen scintigraphy in differentiating a neuroendocrine tumour of the pancreatic tail from splenic lesions in a patient with posttraumatic splenosis. </w:t>
      </w:r>
      <w:r w:rsidRPr="0004216C">
        <w:rPr>
          <w:rFonts w:ascii="Book Antiqua" w:hAnsi="Book Antiqua" w:cs="Book Antiqua"/>
          <w:i/>
          <w:iCs/>
          <w:color w:val="000000"/>
          <w:lang w:val="en-GB"/>
        </w:rPr>
        <w:t>Rev Esp Med Nucl Imagen Mol</w:t>
      </w:r>
      <w:r w:rsidRPr="0004216C">
        <w:rPr>
          <w:rFonts w:ascii="Book Antiqua" w:hAnsi="Book Antiqua" w:cs="Book Antiqua"/>
          <w:color w:val="000000"/>
          <w:lang w:val="en-GB"/>
        </w:rPr>
        <w:t xml:space="preserve"> 2018; </w:t>
      </w:r>
      <w:r w:rsidRPr="0004216C">
        <w:rPr>
          <w:rFonts w:ascii="Book Antiqua" w:hAnsi="Book Antiqua" w:cs="Book Antiqua"/>
          <w:b/>
          <w:bCs/>
          <w:color w:val="000000"/>
          <w:lang w:val="en-GB"/>
        </w:rPr>
        <w:t>37</w:t>
      </w:r>
      <w:r w:rsidRPr="0004216C">
        <w:rPr>
          <w:rFonts w:ascii="Book Antiqua" w:hAnsi="Book Antiqua" w:cs="Book Antiqua"/>
          <w:color w:val="000000"/>
          <w:lang w:val="en-GB"/>
        </w:rPr>
        <w:t>: 325-327 [PMID: 29739708 DOI: 10.1016/j.remn.2017.11.005]</w:t>
      </w:r>
    </w:p>
    <w:p w14:paraId="09CFD673"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10 </w:t>
      </w:r>
      <w:r w:rsidRPr="0004216C">
        <w:rPr>
          <w:rFonts w:ascii="Book Antiqua" w:hAnsi="Book Antiqua" w:cs="Book Antiqua"/>
          <w:b/>
          <w:bCs/>
          <w:color w:val="000000"/>
          <w:lang w:val="en-GB"/>
        </w:rPr>
        <w:t>Koç ZP</w:t>
      </w:r>
      <w:r w:rsidRPr="0004216C">
        <w:rPr>
          <w:rFonts w:ascii="Book Antiqua" w:hAnsi="Book Antiqua" w:cs="Book Antiqua"/>
          <w:color w:val="000000"/>
          <w:lang w:val="en-GB"/>
        </w:rPr>
        <w:t xml:space="preserve">, Özcan Kara P, Tombak A. Splenosis Mimicking Lymphoma Relapse Confirmed by </w:t>
      </w:r>
      <w:r w:rsidRPr="0004216C">
        <w:rPr>
          <w:rFonts w:ascii="Book Antiqua" w:hAnsi="Book Antiqua" w:cs="Book Antiqua"/>
          <w:color w:val="000000"/>
          <w:szCs w:val="30"/>
          <w:vertAlign w:val="superscript"/>
          <w:lang w:val="en-GB"/>
        </w:rPr>
        <w:t>18</w:t>
      </w:r>
      <w:r w:rsidRPr="0004216C">
        <w:rPr>
          <w:rFonts w:ascii="Book Antiqua" w:hAnsi="Book Antiqua" w:cs="Book Antiqua"/>
          <w:color w:val="000000"/>
          <w:lang w:val="en-GB"/>
        </w:rPr>
        <w:t xml:space="preserve">F-FDG PET/CT and Tc-99m Nano-colloid Scintigraphy Thirty Years After Splenectomy for Trauma </w:t>
      </w:r>
      <w:r w:rsidRPr="0004216C">
        <w:rPr>
          <w:rFonts w:ascii="Book Antiqua" w:hAnsi="Book Antiqua" w:cs="Book Antiqua"/>
          <w:i/>
          <w:iCs/>
          <w:color w:val="000000"/>
          <w:lang w:val="en-GB"/>
        </w:rPr>
        <w:t>Mol Imaging Radionucl Ther</w:t>
      </w:r>
      <w:r w:rsidRPr="0004216C">
        <w:rPr>
          <w:rFonts w:ascii="Book Antiqua" w:hAnsi="Book Antiqua" w:cs="Book Antiqua"/>
          <w:color w:val="000000"/>
          <w:lang w:val="en-GB"/>
        </w:rPr>
        <w:t xml:space="preserve"> 2019; </w:t>
      </w:r>
      <w:r w:rsidRPr="0004216C">
        <w:rPr>
          <w:rFonts w:ascii="Book Antiqua" w:hAnsi="Book Antiqua" w:cs="Book Antiqua"/>
          <w:b/>
          <w:bCs/>
          <w:color w:val="000000"/>
          <w:lang w:val="en-GB"/>
        </w:rPr>
        <w:t>28</w:t>
      </w:r>
      <w:r w:rsidRPr="0004216C">
        <w:rPr>
          <w:rFonts w:ascii="Book Antiqua" w:hAnsi="Book Antiqua" w:cs="Book Antiqua"/>
          <w:color w:val="000000"/>
          <w:lang w:val="en-GB"/>
        </w:rPr>
        <w:t>: 38-40 [PMID: 30942062 DOI: 10.4274/mirt.galenos.2018.44227]</w:t>
      </w:r>
    </w:p>
    <w:p w14:paraId="0562B0EE"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11 </w:t>
      </w:r>
      <w:r w:rsidRPr="0004216C">
        <w:rPr>
          <w:rFonts w:ascii="Book Antiqua" w:hAnsi="Book Antiqua" w:cs="Book Antiqua"/>
          <w:b/>
          <w:bCs/>
          <w:color w:val="000000"/>
          <w:lang w:val="en-GB"/>
        </w:rPr>
        <w:t>Harney RT</w:t>
      </w:r>
      <w:r w:rsidRPr="0004216C">
        <w:rPr>
          <w:rFonts w:ascii="Book Antiqua" w:hAnsi="Book Antiqua" w:cs="Book Antiqua"/>
          <w:color w:val="000000"/>
          <w:lang w:val="en-GB"/>
        </w:rPr>
        <w:t xml:space="preserve">, Kelly J, Aldridge M. Robotically assisted laparoscopic management of pelvic splenosis. </w:t>
      </w:r>
      <w:r w:rsidRPr="0004216C">
        <w:rPr>
          <w:rFonts w:ascii="Book Antiqua" w:hAnsi="Book Antiqua" w:cs="Book Antiqua"/>
          <w:i/>
          <w:iCs/>
          <w:color w:val="000000"/>
          <w:lang w:val="en-GB"/>
        </w:rPr>
        <w:t>J Robot Surg</w:t>
      </w:r>
      <w:r w:rsidRPr="0004216C">
        <w:rPr>
          <w:rFonts w:ascii="Book Antiqua" w:hAnsi="Book Antiqua" w:cs="Book Antiqua"/>
          <w:color w:val="000000"/>
          <w:lang w:val="en-GB"/>
        </w:rPr>
        <w:t xml:space="preserve"> 2012; </w:t>
      </w:r>
      <w:r w:rsidRPr="0004216C">
        <w:rPr>
          <w:rFonts w:ascii="Book Antiqua" w:hAnsi="Book Antiqua" w:cs="Book Antiqua"/>
          <w:b/>
          <w:bCs/>
          <w:color w:val="000000"/>
          <w:lang w:val="en-GB"/>
        </w:rPr>
        <w:t>6</w:t>
      </w:r>
      <w:r w:rsidRPr="0004216C">
        <w:rPr>
          <w:rFonts w:ascii="Book Antiqua" w:hAnsi="Book Antiqua" w:cs="Book Antiqua"/>
          <w:color w:val="000000"/>
          <w:lang w:val="en-GB"/>
        </w:rPr>
        <w:t>: 255-258 [PMID: 27638283 DOI: 10.1007/s11701-011-0283-6]</w:t>
      </w:r>
    </w:p>
    <w:bookmarkEnd w:id="1"/>
    <w:p w14:paraId="362A41F3" w14:textId="77777777" w:rsidR="00350828" w:rsidRPr="0004216C" w:rsidRDefault="00350828">
      <w:pPr>
        <w:spacing w:line="360" w:lineRule="auto"/>
        <w:jc w:val="both"/>
        <w:rPr>
          <w:lang w:val="en-GB"/>
        </w:rPr>
        <w:sectPr w:rsidR="00350828" w:rsidRPr="0004216C">
          <w:pgSz w:w="12240" w:h="15840"/>
          <w:pgMar w:top="1440" w:right="1440" w:bottom="1440" w:left="1440" w:header="720" w:footer="720" w:gutter="0"/>
          <w:cols w:space="720"/>
          <w:docGrid w:linePitch="360"/>
        </w:sectPr>
      </w:pPr>
    </w:p>
    <w:p w14:paraId="0E30D68E"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Footnotes</w:t>
      </w:r>
    </w:p>
    <w:p w14:paraId="02A3BFCF"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Informed consent statement: </w:t>
      </w:r>
      <w:r w:rsidRPr="0004216C">
        <w:rPr>
          <w:rFonts w:ascii="Book Antiqua" w:hAnsi="Book Antiqua" w:cs="Book Antiqua"/>
          <w:color w:val="000000"/>
          <w:lang w:val="en-GB"/>
        </w:rPr>
        <w:t xml:space="preserve">Informed written consent was obtained from the patient for publication of this report and any accompanying images. </w:t>
      </w:r>
    </w:p>
    <w:p w14:paraId="5F0220D8" w14:textId="77777777" w:rsidR="00350828" w:rsidRPr="0004216C" w:rsidRDefault="00350828">
      <w:pPr>
        <w:spacing w:line="360" w:lineRule="auto"/>
        <w:jc w:val="both"/>
        <w:rPr>
          <w:lang w:val="en-GB"/>
        </w:rPr>
      </w:pPr>
    </w:p>
    <w:p w14:paraId="6FB2E499"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Conflict-of-interest statement: </w:t>
      </w:r>
      <w:r w:rsidRPr="0004216C">
        <w:rPr>
          <w:rFonts w:ascii="Book Antiqua" w:hAnsi="Book Antiqua" w:cs="Book Antiqua"/>
          <w:color w:val="000000"/>
          <w:lang w:val="en-GB"/>
        </w:rPr>
        <w:t xml:space="preserve">The authors declare that they have no conflict of interest. </w:t>
      </w:r>
    </w:p>
    <w:p w14:paraId="3CF8A22A" w14:textId="77777777" w:rsidR="00350828" w:rsidRPr="0004216C" w:rsidRDefault="00350828">
      <w:pPr>
        <w:spacing w:line="360" w:lineRule="auto"/>
        <w:jc w:val="both"/>
        <w:rPr>
          <w:lang w:val="en-GB"/>
        </w:rPr>
      </w:pPr>
    </w:p>
    <w:p w14:paraId="29720458"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CARE Checklist (2016) statement: </w:t>
      </w:r>
      <w:r w:rsidRPr="0004216C">
        <w:rPr>
          <w:rFonts w:ascii="Book Antiqua" w:hAnsi="Book Antiqua" w:cs="Book Antiqua"/>
          <w:color w:val="000000"/>
          <w:lang w:val="en-GB"/>
        </w:rPr>
        <w:t>The authors have read the CARE Checklist (2016), and the manuscript was prepared and revised according to the CARE Checklist (2016).</w:t>
      </w:r>
    </w:p>
    <w:p w14:paraId="161D6AB4" w14:textId="77777777" w:rsidR="00350828" w:rsidRPr="0004216C" w:rsidRDefault="00350828">
      <w:pPr>
        <w:spacing w:line="360" w:lineRule="auto"/>
        <w:jc w:val="both"/>
        <w:rPr>
          <w:lang w:val="en-GB"/>
        </w:rPr>
      </w:pPr>
    </w:p>
    <w:p w14:paraId="019340DA"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Open-Access: </w:t>
      </w:r>
      <w:r w:rsidRPr="0004216C">
        <w:rPr>
          <w:rFonts w:ascii="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2BAD49" w14:textId="77777777" w:rsidR="00350828" w:rsidRPr="0004216C" w:rsidRDefault="00350828">
      <w:pPr>
        <w:spacing w:line="360" w:lineRule="auto"/>
        <w:jc w:val="both"/>
        <w:rPr>
          <w:lang w:val="en-GB"/>
        </w:rPr>
      </w:pPr>
    </w:p>
    <w:p w14:paraId="6BA384F0"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source: </w:t>
      </w:r>
      <w:r w:rsidRPr="0004216C">
        <w:rPr>
          <w:rFonts w:ascii="Book Antiqua" w:hAnsi="Book Antiqua" w:cs="Book Antiqua"/>
          <w:color w:val="000000"/>
          <w:lang w:val="en-GB"/>
        </w:rPr>
        <w:t>Unsolicited manuscript</w:t>
      </w:r>
    </w:p>
    <w:p w14:paraId="7B2FD219" w14:textId="77777777" w:rsidR="00350828" w:rsidRPr="0004216C" w:rsidRDefault="00350828">
      <w:pPr>
        <w:spacing w:line="360" w:lineRule="auto"/>
        <w:jc w:val="both"/>
        <w:rPr>
          <w:lang w:val="en-GB"/>
        </w:rPr>
      </w:pPr>
    </w:p>
    <w:p w14:paraId="749C08AF"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Peer-review started: </w:t>
      </w:r>
      <w:r w:rsidRPr="0004216C">
        <w:rPr>
          <w:rFonts w:ascii="Book Antiqua" w:hAnsi="Book Antiqua" w:cs="Book Antiqua"/>
          <w:color w:val="000000"/>
          <w:lang w:val="en-GB"/>
        </w:rPr>
        <w:t>November 29, 2020</w:t>
      </w:r>
    </w:p>
    <w:p w14:paraId="2106084E"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First decision: </w:t>
      </w:r>
      <w:r w:rsidRPr="0004216C">
        <w:rPr>
          <w:rFonts w:ascii="Book Antiqua" w:hAnsi="Book Antiqua" w:cs="Book Antiqua"/>
          <w:color w:val="000000"/>
          <w:lang w:val="en-GB"/>
        </w:rPr>
        <w:t>December 24, 2020</w:t>
      </w:r>
    </w:p>
    <w:p w14:paraId="7F794D02" w14:textId="590511B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Article in press: </w:t>
      </w:r>
      <w:r w:rsidR="001241B1" w:rsidRPr="002D262F">
        <w:rPr>
          <w:rFonts w:ascii="Book Antiqua" w:hAnsi="Book Antiqua" w:cs="Book Antiqua"/>
          <w:color w:val="000000"/>
        </w:rPr>
        <w:t>January 27, 2021</w:t>
      </w:r>
    </w:p>
    <w:p w14:paraId="6B8C3A2A" w14:textId="77777777" w:rsidR="00350828" w:rsidRPr="0004216C" w:rsidRDefault="00350828">
      <w:pPr>
        <w:spacing w:line="360" w:lineRule="auto"/>
        <w:jc w:val="both"/>
        <w:rPr>
          <w:lang w:val="en-GB"/>
        </w:rPr>
      </w:pPr>
    </w:p>
    <w:p w14:paraId="7DA04195"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Specialty type: </w:t>
      </w:r>
      <w:bookmarkStart w:id="2" w:name="OLE_LINK1952"/>
      <w:bookmarkStart w:id="3" w:name="OLE_LINK1953"/>
      <w:bookmarkStart w:id="4" w:name="OLE_LINK2066"/>
      <w:r w:rsidRPr="0004216C">
        <w:rPr>
          <w:rFonts w:ascii="Book Antiqua" w:eastAsia="微软雅黑" w:hAnsi="Book Antiqua" w:cs="宋体"/>
          <w:lang w:val="en-GB"/>
        </w:rPr>
        <w:t>Medicine, research and experimental</w:t>
      </w:r>
      <w:bookmarkEnd w:id="2"/>
      <w:bookmarkEnd w:id="3"/>
      <w:bookmarkEnd w:id="4"/>
    </w:p>
    <w:p w14:paraId="0800F9BA"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Country/Territory of origin: </w:t>
      </w:r>
      <w:r w:rsidRPr="0004216C">
        <w:rPr>
          <w:rFonts w:ascii="Book Antiqua" w:hAnsi="Book Antiqua" w:cs="Book Antiqua"/>
          <w:color w:val="000000"/>
          <w:lang w:val="en-GB"/>
        </w:rPr>
        <w:t>Italy</w:t>
      </w:r>
    </w:p>
    <w:p w14:paraId="28790D25"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Peer-review report’s scientific quality classification</w:t>
      </w:r>
    </w:p>
    <w:p w14:paraId="46F9FD3D"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A (Excellent): 0</w:t>
      </w:r>
    </w:p>
    <w:p w14:paraId="7F74DADB"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B (Very good): B</w:t>
      </w:r>
    </w:p>
    <w:p w14:paraId="40FD119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C (Good): 0</w:t>
      </w:r>
    </w:p>
    <w:p w14:paraId="4799E996"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D (Fair): 0</w:t>
      </w:r>
    </w:p>
    <w:p w14:paraId="76A2FDC0"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E (Poor): 0</w:t>
      </w:r>
    </w:p>
    <w:p w14:paraId="65ED9BEB" w14:textId="77777777" w:rsidR="00350828" w:rsidRPr="0004216C" w:rsidRDefault="00350828">
      <w:pPr>
        <w:spacing w:line="360" w:lineRule="auto"/>
        <w:jc w:val="both"/>
        <w:rPr>
          <w:lang w:val="en-GB"/>
        </w:rPr>
      </w:pPr>
    </w:p>
    <w:p w14:paraId="6783793C" w14:textId="1822C254" w:rsidR="00350828" w:rsidRDefault="00350828">
      <w:pPr>
        <w:spacing w:line="360" w:lineRule="auto"/>
        <w:jc w:val="both"/>
        <w:rPr>
          <w:rFonts w:ascii="Book Antiqua" w:hAnsi="Book Antiqua" w:cs="Book Antiqua"/>
          <w:b/>
          <w:color w:val="000000"/>
          <w:lang w:val="en-GB"/>
        </w:rPr>
      </w:pPr>
      <w:r w:rsidRPr="0004216C">
        <w:rPr>
          <w:rFonts w:ascii="Book Antiqua" w:hAnsi="Book Antiqua" w:cs="Book Antiqua"/>
          <w:b/>
          <w:color w:val="000000"/>
          <w:lang w:val="en-GB"/>
        </w:rPr>
        <w:t xml:space="preserve">P-Reviewer: </w:t>
      </w:r>
      <w:r w:rsidRPr="0004216C">
        <w:rPr>
          <w:rFonts w:ascii="Book Antiqua" w:hAnsi="Book Antiqua" w:cs="Book Antiqua"/>
          <w:color w:val="000000"/>
          <w:lang w:val="en-GB"/>
        </w:rPr>
        <w:t>Mutter D</w:t>
      </w:r>
      <w:r w:rsidRPr="0004216C">
        <w:rPr>
          <w:rFonts w:ascii="Book Antiqua" w:hAnsi="Book Antiqua" w:cs="Book Antiqua"/>
          <w:b/>
          <w:color w:val="000000"/>
          <w:lang w:val="en-GB"/>
        </w:rPr>
        <w:t xml:space="preserve"> S-Editor: </w:t>
      </w:r>
      <w:r w:rsidRPr="0004216C">
        <w:rPr>
          <w:rFonts w:ascii="Book Antiqua" w:hAnsi="Book Antiqua" w:cs="Book Antiqua"/>
          <w:color w:val="000000"/>
          <w:lang w:val="en-GB"/>
        </w:rPr>
        <w:t>Fan JR</w:t>
      </w:r>
      <w:r w:rsidRPr="0004216C">
        <w:rPr>
          <w:rFonts w:ascii="Book Antiqua" w:hAnsi="Book Antiqua" w:cs="Book Antiqua"/>
          <w:b/>
          <w:color w:val="000000"/>
          <w:lang w:val="en-GB"/>
        </w:rPr>
        <w:t xml:space="preserve"> L-Editor: </w:t>
      </w:r>
      <w:r w:rsidR="00F3228F" w:rsidRPr="00F3228F">
        <w:rPr>
          <w:rFonts w:ascii="Book Antiqua" w:hAnsi="Book Antiqua" w:cs="Book Antiqua"/>
          <w:bCs/>
          <w:color w:val="000000"/>
          <w:lang w:val="en-GB"/>
        </w:rPr>
        <w:t>A</w:t>
      </w:r>
      <w:r w:rsidR="00F3228F">
        <w:rPr>
          <w:rFonts w:ascii="Book Antiqua" w:hAnsi="Book Antiqua" w:cs="Book Antiqua"/>
          <w:b/>
          <w:color w:val="000000"/>
          <w:lang w:val="en-GB"/>
        </w:rPr>
        <w:t xml:space="preserve"> </w:t>
      </w:r>
      <w:r w:rsidRPr="0004216C">
        <w:rPr>
          <w:rFonts w:ascii="Book Antiqua" w:hAnsi="Book Antiqua" w:cs="Book Antiqua"/>
          <w:b/>
          <w:color w:val="000000"/>
          <w:lang w:val="en-GB"/>
        </w:rPr>
        <w:t xml:space="preserve">P-Editor: </w:t>
      </w:r>
      <w:r w:rsidR="00F3228F" w:rsidRPr="00F3228F">
        <w:rPr>
          <w:rFonts w:ascii="Book Antiqua" w:hAnsi="Book Antiqua" w:cs="Book Antiqua"/>
          <w:bCs/>
          <w:color w:val="000000"/>
          <w:lang w:val="en-GB"/>
        </w:rPr>
        <w:t>Li JH</w:t>
      </w:r>
    </w:p>
    <w:p w14:paraId="39CEDE18" w14:textId="77777777" w:rsidR="00A128B9" w:rsidRPr="0004216C" w:rsidRDefault="00A128B9">
      <w:pPr>
        <w:spacing w:line="360" w:lineRule="auto"/>
        <w:jc w:val="both"/>
        <w:rPr>
          <w:lang w:val="en-GB"/>
        </w:rPr>
        <w:sectPr w:rsidR="00A128B9" w:rsidRPr="0004216C">
          <w:pgSz w:w="12240" w:h="15840"/>
          <w:pgMar w:top="1440" w:right="1440" w:bottom="1440" w:left="1440" w:header="720" w:footer="720" w:gutter="0"/>
          <w:cols w:space="720"/>
          <w:docGrid w:linePitch="360"/>
        </w:sectPr>
      </w:pPr>
    </w:p>
    <w:p w14:paraId="502B1CC1"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Figure Legends</w:t>
      </w:r>
    </w:p>
    <w:p w14:paraId="20FAF062" w14:textId="77777777" w:rsidR="00350828" w:rsidRPr="0004216C" w:rsidRDefault="0097774A">
      <w:pPr>
        <w:spacing w:line="360" w:lineRule="auto"/>
        <w:jc w:val="both"/>
        <w:rPr>
          <w:noProof/>
          <w:lang w:val="en-GB"/>
        </w:rPr>
      </w:pPr>
      <w:r>
        <w:rPr>
          <w:noProof/>
          <w:lang w:eastAsia="zh-CN"/>
        </w:rPr>
        <w:drawing>
          <wp:inline distT="0" distB="0" distL="0" distR="0" wp14:anchorId="07C392D6" wp14:editId="74E4D6C8">
            <wp:extent cx="2903855" cy="20320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855" cy="2032000"/>
                    </a:xfrm>
                    <a:prstGeom prst="rect">
                      <a:avLst/>
                    </a:prstGeom>
                    <a:noFill/>
                    <a:ln>
                      <a:noFill/>
                    </a:ln>
                  </pic:spPr>
                </pic:pic>
              </a:graphicData>
            </a:graphic>
          </wp:inline>
        </w:drawing>
      </w:r>
      <w:r w:rsidR="00350828" w:rsidRPr="0004216C">
        <w:rPr>
          <w:noProof/>
          <w:lang w:val="en-GB"/>
        </w:rPr>
        <w:t xml:space="preserve"> </w:t>
      </w:r>
      <w:r>
        <w:rPr>
          <w:noProof/>
          <w:lang w:eastAsia="zh-CN"/>
        </w:rPr>
        <w:drawing>
          <wp:inline distT="0" distB="0" distL="0" distR="0" wp14:anchorId="0A10BBF5" wp14:editId="3F075EE0">
            <wp:extent cx="2887345" cy="2032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345" cy="2032000"/>
                    </a:xfrm>
                    <a:prstGeom prst="rect">
                      <a:avLst/>
                    </a:prstGeom>
                    <a:noFill/>
                    <a:ln>
                      <a:noFill/>
                    </a:ln>
                  </pic:spPr>
                </pic:pic>
              </a:graphicData>
            </a:graphic>
          </wp:inline>
        </w:drawing>
      </w:r>
    </w:p>
    <w:p w14:paraId="55E49207" w14:textId="77777777" w:rsidR="00350828" w:rsidRPr="0004216C" w:rsidRDefault="0097774A">
      <w:pPr>
        <w:spacing w:line="360" w:lineRule="auto"/>
        <w:jc w:val="both"/>
        <w:rPr>
          <w:rFonts w:ascii="Book Antiqua" w:hAnsi="Book Antiqua" w:cs="Book Antiqua"/>
          <w:b/>
          <w:bCs/>
          <w:color w:val="000000"/>
          <w:lang w:val="en-GB"/>
        </w:rPr>
      </w:pPr>
      <w:r>
        <w:rPr>
          <w:noProof/>
          <w:lang w:eastAsia="zh-CN"/>
        </w:rPr>
        <w:drawing>
          <wp:inline distT="0" distB="0" distL="0" distR="0" wp14:anchorId="18CF8C0C" wp14:editId="6D3C6593">
            <wp:extent cx="2929255" cy="2014855"/>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255" cy="2014855"/>
                    </a:xfrm>
                    <a:prstGeom prst="rect">
                      <a:avLst/>
                    </a:prstGeom>
                    <a:noFill/>
                    <a:ln>
                      <a:noFill/>
                    </a:ln>
                  </pic:spPr>
                </pic:pic>
              </a:graphicData>
            </a:graphic>
          </wp:inline>
        </w:drawing>
      </w:r>
      <w:r w:rsidR="00350828" w:rsidRPr="0004216C">
        <w:rPr>
          <w:noProof/>
          <w:lang w:val="en-GB"/>
        </w:rPr>
        <w:t xml:space="preserve"> </w:t>
      </w:r>
      <w:r>
        <w:rPr>
          <w:noProof/>
          <w:lang w:eastAsia="zh-CN"/>
        </w:rPr>
        <w:drawing>
          <wp:inline distT="0" distB="0" distL="0" distR="0" wp14:anchorId="4111A19A" wp14:editId="5C716BAF">
            <wp:extent cx="2853055" cy="205740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055" cy="2057400"/>
                    </a:xfrm>
                    <a:prstGeom prst="rect">
                      <a:avLst/>
                    </a:prstGeom>
                    <a:noFill/>
                    <a:ln>
                      <a:noFill/>
                    </a:ln>
                  </pic:spPr>
                </pic:pic>
              </a:graphicData>
            </a:graphic>
          </wp:inline>
        </w:drawing>
      </w:r>
    </w:p>
    <w:p w14:paraId="3CC2F9C0" w14:textId="77777777" w:rsidR="00350828" w:rsidRPr="0004216C" w:rsidRDefault="00350828">
      <w:pPr>
        <w:spacing w:line="360" w:lineRule="auto"/>
        <w:jc w:val="both"/>
        <w:rPr>
          <w:rFonts w:ascii="Book Antiqua" w:hAnsi="Book Antiqua" w:cs="Book Antiqua"/>
          <w:color w:val="000000"/>
          <w:lang w:val="en-GB"/>
        </w:rPr>
      </w:pPr>
      <w:r w:rsidRPr="0004216C">
        <w:rPr>
          <w:rFonts w:ascii="Book Antiqua" w:hAnsi="Book Antiqua" w:cs="Book Antiqua"/>
          <w:b/>
          <w:bCs/>
          <w:color w:val="000000"/>
          <w:lang w:val="en-GB"/>
        </w:rPr>
        <w:t>Figure 1 Computed tomography examination.</w:t>
      </w:r>
      <w:r w:rsidRPr="0004216C">
        <w:rPr>
          <w:rFonts w:ascii="Book Antiqua" w:hAnsi="Book Antiqua" w:cs="Book Antiqua"/>
          <w:color w:val="000000"/>
          <w:lang w:val="en-GB"/>
        </w:rPr>
        <w:t xml:space="preserve"> A: Multiphase contrast-enhanced computed tomography (CT) examination shows a rounded, smooth marginated nodule in the right recto-vesical space; B: Spleen-like vascularization, characterized by progressive contrast uptake in the arterial and venous phases and partial washout in the late phase; C and D: A further, smaller nodule with similar CT features can be seen adjacent to the left colon. HU: Hounsfield units.</w:t>
      </w:r>
    </w:p>
    <w:p w14:paraId="1EF4011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br w:type="page"/>
      </w:r>
      <w:r w:rsidR="0097774A">
        <w:rPr>
          <w:noProof/>
          <w:lang w:eastAsia="zh-CN"/>
        </w:rPr>
        <w:drawing>
          <wp:inline distT="0" distB="0" distL="0" distR="0" wp14:anchorId="063CF125" wp14:editId="6AFBC060">
            <wp:extent cx="5901055" cy="28448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055" cy="2844800"/>
                    </a:xfrm>
                    <a:prstGeom prst="rect">
                      <a:avLst/>
                    </a:prstGeom>
                    <a:noFill/>
                    <a:ln>
                      <a:noFill/>
                    </a:ln>
                  </pic:spPr>
                </pic:pic>
              </a:graphicData>
            </a:graphic>
          </wp:inline>
        </w:drawing>
      </w:r>
    </w:p>
    <w:p w14:paraId="11DB5828" w14:textId="77777777" w:rsidR="00350828" w:rsidRPr="0004216C" w:rsidRDefault="00350828">
      <w:pPr>
        <w:spacing w:line="360" w:lineRule="auto"/>
        <w:jc w:val="both"/>
        <w:rPr>
          <w:rFonts w:ascii="Book Antiqua" w:hAnsi="Book Antiqua" w:cs="Book Antiqua"/>
          <w:b/>
          <w:bCs/>
          <w:color w:val="000000"/>
          <w:lang w:val="en-GB"/>
        </w:rPr>
      </w:pPr>
      <w:r w:rsidRPr="0004216C">
        <w:rPr>
          <w:rFonts w:ascii="Book Antiqua" w:hAnsi="Book Antiqua" w:cs="Book Antiqua"/>
          <w:b/>
          <w:bCs/>
          <w:color w:val="000000"/>
          <w:lang w:val="en-GB"/>
        </w:rPr>
        <w:t>Figure 2 Further evaluation suggested by the haematologist consisted of a fluorodeoxyglucose</w:t>
      </w:r>
      <w:r w:rsidRPr="0004216C">
        <w:rPr>
          <w:rFonts w:ascii="Book Antiqua" w:hAnsi="Book Antiqua" w:cs="Book Antiqua"/>
          <w:b/>
          <w:bCs/>
          <w:color w:val="000000"/>
          <w:shd w:val="clear" w:color="auto" w:fill="FFFFFF"/>
          <w:lang w:val="en-GB"/>
        </w:rPr>
        <w:t xml:space="preserve"> positron emission tomography-computed tomography</w:t>
      </w:r>
      <w:r w:rsidRPr="0004216C">
        <w:rPr>
          <w:rFonts w:ascii="Book Antiqua" w:hAnsi="Book Antiqua" w:cs="Book Antiqua"/>
          <w:b/>
          <w:bCs/>
          <w:color w:val="000000"/>
          <w:lang w:val="en-GB"/>
        </w:rPr>
        <w:t xml:space="preserve"> scan revealing moderate uptake of the nodule.</w:t>
      </w:r>
    </w:p>
    <w:p w14:paraId="26D1A6DD" w14:textId="77777777" w:rsidR="00350828" w:rsidRPr="0004216C" w:rsidRDefault="00350828">
      <w:pPr>
        <w:spacing w:line="360" w:lineRule="auto"/>
        <w:jc w:val="both"/>
        <w:rPr>
          <w:b/>
          <w:bCs/>
          <w:lang w:val="en-GB"/>
        </w:rPr>
      </w:pPr>
      <w:r w:rsidRPr="0004216C">
        <w:rPr>
          <w:rFonts w:ascii="Book Antiqua" w:hAnsi="Book Antiqua" w:cs="Book Antiqua"/>
          <w:b/>
          <w:bCs/>
          <w:color w:val="000000"/>
          <w:lang w:val="en-GB"/>
        </w:rPr>
        <w:br w:type="page"/>
      </w:r>
      <w:r w:rsidR="0097774A">
        <w:rPr>
          <w:noProof/>
          <w:lang w:eastAsia="zh-CN"/>
        </w:rPr>
        <w:drawing>
          <wp:inline distT="0" distB="0" distL="0" distR="0" wp14:anchorId="57101BF5" wp14:editId="200D743A">
            <wp:extent cx="5901055" cy="32004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055" cy="3200400"/>
                    </a:xfrm>
                    <a:prstGeom prst="rect">
                      <a:avLst/>
                    </a:prstGeom>
                    <a:noFill/>
                    <a:ln>
                      <a:noFill/>
                    </a:ln>
                  </pic:spPr>
                </pic:pic>
              </a:graphicData>
            </a:graphic>
          </wp:inline>
        </w:drawing>
      </w:r>
    </w:p>
    <w:p w14:paraId="53FB25D4" w14:textId="77777777" w:rsidR="00350828" w:rsidRPr="0004216C" w:rsidRDefault="00350828">
      <w:pPr>
        <w:spacing w:line="360" w:lineRule="auto"/>
        <w:jc w:val="both"/>
        <w:rPr>
          <w:b/>
          <w:bCs/>
          <w:lang w:val="en-GB"/>
        </w:rPr>
      </w:pPr>
      <w:r w:rsidRPr="0004216C">
        <w:rPr>
          <w:rFonts w:ascii="Book Antiqua" w:hAnsi="Book Antiqua" w:cs="Book Antiqua"/>
          <w:b/>
          <w:bCs/>
          <w:color w:val="000000"/>
          <w:lang w:val="en-GB"/>
        </w:rPr>
        <w:t>Figure 3 Trocar placement as in robotically assisted radical prostatectomy.</w:t>
      </w:r>
    </w:p>
    <w:p w14:paraId="64E72309" w14:textId="77777777" w:rsidR="00350828" w:rsidRPr="0004216C" w:rsidRDefault="00350828">
      <w:pPr>
        <w:spacing w:line="360" w:lineRule="auto"/>
        <w:jc w:val="both"/>
        <w:rPr>
          <w:rFonts w:ascii="Book Antiqua" w:hAnsi="Book Antiqua" w:cs="Book Antiqua"/>
          <w:b/>
          <w:bCs/>
          <w:color w:val="000000"/>
          <w:lang w:val="en-GB"/>
        </w:rPr>
      </w:pPr>
      <w:r w:rsidRPr="0004216C">
        <w:rPr>
          <w:rFonts w:ascii="Book Antiqua" w:hAnsi="Book Antiqua" w:cs="Book Antiqua"/>
          <w:b/>
          <w:bCs/>
          <w:color w:val="000000"/>
          <w:lang w:val="en-GB"/>
        </w:rPr>
        <w:br w:type="page"/>
      </w:r>
      <w:r w:rsidR="0097774A">
        <w:rPr>
          <w:noProof/>
          <w:lang w:eastAsia="zh-CN"/>
        </w:rPr>
        <w:drawing>
          <wp:inline distT="0" distB="0" distL="0" distR="0" wp14:anchorId="3F308FF7" wp14:editId="450FC7BA">
            <wp:extent cx="4783455" cy="3429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3455" cy="3429000"/>
                    </a:xfrm>
                    <a:prstGeom prst="rect">
                      <a:avLst/>
                    </a:prstGeom>
                    <a:noFill/>
                    <a:ln>
                      <a:noFill/>
                    </a:ln>
                  </pic:spPr>
                </pic:pic>
              </a:graphicData>
            </a:graphic>
          </wp:inline>
        </w:drawing>
      </w:r>
    </w:p>
    <w:p w14:paraId="1237F520" w14:textId="5CA17D11" w:rsidR="009E131D" w:rsidRDefault="00350828">
      <w:pPr>
        <w:spacing w:line="360" w:lineRule="auto"/>
        <w:jc w:val="both"/>
        <w:rPr>
          <w:rFonts w:ascii="Book Antiqua" w:hAnsi="Book Antiqua" w:cs="Book Antiqua"/>
          <w:b/>
          <w:bCs/>
          <w:color w:val="000000"/>
          <w:lang w:val="en-GB"/>
        </w:rPr>
      </w:pPr>
      <w:r w:rsidRPr="0004216C">
        <w:rPr>
          <w:rFonts w:ascii="Book Antiqua" w:hAnsi="Book Antiqua" w:cs="Book Antiqua"/>
          <w:b/>
          <w:bCs/>
          <w:color w:val="000000"/>
          <w:lang w:val="en-GB"/>
        </w:rPr>
        <w:t>Figure 4 Microphotograph (haematoxylin and eosin, original magnification 4 ×): Normal splenic tissue surrounded by fibrous tissue.</w:t>
      </w:r>
    </w:p>
    <w:p w14:paraId="3A47CA85" w14:textId="77777777" w:rsidR="009E131D" w:rsidRDefault="009E131D">
      <w:pPr>
        <w:rPr>
          <w:rFonts w:ascii="Book Antiqua" w:hAnsi="Book Antiqua" w:cs="Book Antiqua"/>
          <w:b/>
          <w:bCs/>
          <w:color w:val="000000"/>
          <w:lang w:val="en-GB"/>
        </w:rPr>
      </w:pPr>
      <w:r>
        <w:rPr>
          <w:rFonts w:ascii="Book Antiqua" w:hAnsi="Book Antiqua" w:cs="Book Antiqua"/>
          <w:b/>
          <w:bCs/>
          <w:color w:val="000000"/>
          <w:lang w:val="en-GB"/>
        </w:rPr>
        <w:br w:type="page"/>
      </w:r>
    </w:p>
    <w:p w14:paraId="53D636B6" w14:textId="77777777" w:rsidR="009E131D" w:rsidRDefault="009E131D" w:rsidP="009E131D">
      <w:pPr>
        <w:jc w:val="center"/>
        <w:rPr>
          <w:rFonts w:ascii="Book Antiqua" w:hAnsi="Book Antiqua"/>
          <w:lang w:eastAsia="zh-CN"/>
        </w:rPr>
      </w:pPr>
    </w:p>
    <w:p w14:paraId="5BFDC4B3" w14:textId="77777777" w:rsidR="009E131D" w:rsidRDefault="009E131D" w:rsidP="009E131D">
      <w:pPr>
        <w:jc w:val="center"/>
        <w:rPr>
          <w:rFonts w:ascii="Book Antiqua" w:hAnsi="Book Antiqua"/>
          <w:lang w:eastAsia="zh-CN"/>
        </w:rPr>
      </w:pPr>
    </w:p>
    <w:p w14:paraId="316FE60A" w14:textId="77777777" w:rsidR="009E131D" w:rsidRDefault="009E131D" w:rsidP="009E131D">
      <w:pPr>
        <w:jc w:val="center"/>
        <w:rPr>
          <w:rFonts w:ascii="Book Antiqua" w:hAnsi="Book Antiqua"/>
          <w:lang w:eastAsia="zh-CN"/>
        </w:rPr>
      </w:pPr>
    </w:p>
    <w:p w14:paraId="2CD8CD66" w14:textId="77777777" w:rsidR="009E131D" w:rsidRDefault="009E131D" w:rsidP="009E131D">
      <w:pPr>
        <w:jc w:val="center"/>
        <w:rPr>
          <w:rFonts w:ascii="Book Antiqua" w:hAnsi="Book Antiqua"/>
          <w:lang w:eastAsia="zh-CN"/>
        </w:rPr>
      </w:pPr>
    </w:p>
    <w:p w14:paraId="144C8BA3" w14:textId="77777777" w:rsidR="009E131D" w:rsidRDefault="009E131D" w:rsidP="009E131D">
      <w:pPr>
        <w:jc w:val="center"/>
        <w:rPr>
          <w:rFonts w:ascii="Book Antiqua" w:hAnsi="Book Antiqua"/>
          <w:lang w:eastAsia="zh-CN"/>
        </w:rPr>
      </w:pPr>
    </w:p>
    <w:p w14:paraId="5795ADED" w14:textId="77777777" w:rsidR="009E131D" w:rsidRDefault="009E131D" w:rsidP="009E131D">
      <w:pPr>
        <w:jc w:val="center"/>
        <w:rPr>
          <w:rFonts w:ascii="Book Antiqua" w:hAnsi="Book Antiqua"/>
          <w:lang w:eastAsia="zh-CN"/>
        </w:rPr>
      </w:pPr>
      <w:r>
        <w:rPr>
          <w:rFonts w:ascii="Book Antiqua" w:hAnsi="Book Antiqua"/>
          <w:noProof/>
          <w:lang w:eastAsia="zh-CN"/>
        </w:rPr>
        <w:drawing>
          <wp:inline distT="0" distB="0" distL="0" distR="0" wp14:anchorId="64B0C335" wp14:editId="6C3DA5FD">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3E4267" w14:textId="77777777" w:rsidR="009E131D" w:rsidRDefault="009E131D" w:rsidP="009E131D">
      <w:pPr>
        <w:jc w:val="center"/>
        <w:rPr>
          <w:rFonts w:ascii="Book Antiqua" w:hAnsi="Book Antiqua"/>
          <w:lang w:eastAsia="zh-CN"/>
        </w:rPr>
      </w:pPr>
    </w:p>
    <w:p w14:paraId="03863314" w14:textId="77777777" w:rsidR="009E131D" w:rsidRPr="00763D22" w:rsidRDefault="009E131D" w:rsidP="009E131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622895" w14:textId="77777777" w:rsidR="009E131D" w:rsidRPr="00763D22" w:rsidRDefault="009E131D" w:rsidP="009E13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BBBD50" w14:textId="77777777" w:rsidR="009E131D" w:rsidRPr="00763D22" w:rsidRDefault="009E131D" w:rsidP="009E13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5A7018" w14:textId="77777777" w:rsidR="009E131D" w:rsidRPr="00763D22" w:rsidRDefault="009E131D" w:rsidP="009E13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78B0DE1" w14:textId="77777777" w:rsidR="009E131D" w:rsidRPr="00763D22" w:rsidRDefault="009E131D" w:rsidP="009E13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A03D51" w14:textId="77777777" w:rsidR="009E131D" w:rsidRPr="00763D22" w:rsidRDefault="009E131D" w:rsidP="009E131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A5D1854" w14:textId="77777777" w:rsidR="009E131D" w:rsidRDefault="009E131D" w:rsidP="009E131D">
      <w:pPr>
        <w:jc w:val="center"/>
        <w:rPr>
          <w:rFonts w:ascii="Book Antiqua" w:hAnsi="Book Antiqua"/>
          <w:lang w:eastAsia="zh-CN"/>
        </w:rPr>
      </w:pPr>
    </w:p>
    <w:p w14:paraId="707B286D" w14:textId="77777777" w:rsidR="009E131D" w:rsidRDefault="009E131D" w:rsidP="009E131D">
      <w:pPr>
        <w:jc w:val="center"/>
        <w:rPr>
          <w:rFonts w:ascii="Book Antiqua" w:hAnsi="Book Antiqua"/>
          <w:lang w:eastAsia="zh-CN"/>
        </w:rPr>
      </w:pPr>
    </w:p>
    <w:p w14:paraId="3FCADC9A" w14:textId="77777777" w:rsidR="009E131D" w:rsidRDefault="009E131D" w:rsidP="009E131D">
      <w:pPr>
        <w:jc w:val="center"/>
        <w:rPr>
          <w:rFonts w:ascii="Book Antiqua" w:hAnsi="Book Antiqua"/>
          <w:lang w:eastAsia="zh-CN"/>
        </w:rPr>
      </w:pPr>
    </w:p>
    <w:p w14:paraId="647DD549" w14:textId="77777777" w:rsidR="009E131D" w:rsidRDefault="009E131D" w:rsidP="009E131D">
      <w:pPr>
        <w:jc w:val="center"/>
        <w:rPr>
          <w:rFonts w:ascii="Book Antiqua" w:hAnsi="Book Antiqua"/>
          <w:lang w:eastAsia="zh-CN"/>
        </w:rPr>
      </w:pPr>
      <w:r>
        <w:rPr>
          <w:rFonts w:ascii="Book Antiqua" w:hAnsi="Book Antiqua"/>
          <w:noProof/>
          <w:lang w:eastAsia="zh-CN"/>
        </w:rPr>
        <w:drawing>
          <wp:inline distT="0" distB="0" distL="0" distR="0" wp14:anchorId="1415BDAB" wp14:editId="211A0C09">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6C4D73" w14:textId="77777777" w:rsidR="009E131D" w:rsidRDefault="009E131D" w:rsidP="009E131D">
      <w:pPr>
        <w:jc w:val="center"/>
        <w:rPr>
          <w:rFonts w:ascii="Book Antiqua" w:hAnsi="Book Antiqua"/>
          <w:lang w:eastAsia="zh-CN"/>
        </w:rPr>
      </w:pPr>
    </w:p>
    <w:p w14:paraId="37E41F40" w14:textId="77777777" w:rsidR="009E131D" w:rsidRDefault="009E131D" w:rsidP="009E131D">
      <w:pPr>
        <w:jc w:val="center"/>
        <w:rPr>
          <w:rFonts w:ascii="Book Antiqua" w:hAnsi="Book Antiqua"/>
          <w:lang w:eastAsia="zh-CN"/>
        </w:rPr>
      </w:pPr>
    </w:p>
    <w:p w14:paraId="458FB85C" w14:textId="77777777" w:rsidR="009E131D" w:rsidRDefault="009E131D" w:rsidP="009E131D">
      <w:pPr>
        <w:jc w:val="center"/>
        <w:rPr>
          <w:rFonts w:ascii="Book Antiqua" w:hAnsi="Book Antiqua"/>
          <w:lang w:eastAsia="zh-CN"/>
        </w:rPr>
      </w:pPr>
    </w:p>
    <w:p w14:paraId="35A080A8" w14:textId="77777777" w:rsidR="009E131D" w:rsidRDefault="009E131D" w:rsidP="009E131D">
      <w:pPr>
        <w:jc w:val="center"/>
        <w:rPr>
          <w:rFonts w:ascii="Book Antiqua" w:hAnsi="Book Antiqua"/>
          <w:lang w:eastAsia="zh-CN"/>
        </w:rPr>
      </w:pPr>
    </w:p>
    <w:p w14:paraId="697481B3" w14:textId="77777777" w:rsidR="009E131D" w:rsidRDefault="009E131D" w:rsidP="009E131D">
      <w:pPr>
        <w:jc w:val="center"/>
        <w:rPr>
          <w:rFonts w:ascii="Book Antiqua" w:hAnsi="Book Antiqua"/>
          <w:lang w:eastAsia="zh-CN"/>
        </w:rPr>
      </w:pPr>
    </w:p>
    <w:p w14:paraId="35A0939C" w14:textId="77777777" w:rsidR="009E131D" w:rsidRDefault="009E131D" w:rsidP="009E131D">
      <w:pPr>
        <w:jc w:val="center"/>
        <w:rPr>
          <w:rFonts w:ascii="Book Antiqua" w:hAnsi="Book Antiqua"/>
          <w:lang w:eastAsia="zh-CN"/>
        </w:rPr>
      </w:pPr>
    </w:p>
    <w:p w14:paraId="6C4B8A81" w14:textId="77777777" w:rsidR="009E131D" w:rsidRDefault="009E131D" w:rsidP="009E131D">
      <w:pPr>
        <w:jc w:val="center"/>
        <w:rPr>
          <w:rFonts w:ascii="Book Antiqua" w:hAnsi="Book Antiqua"/>
          <w:lang w:eastAsia="zh-CN"/>
        </w:rPr>
      </w:pPr>
    </w:p>
    <w:p w14:paraId="290D77F7" w14:textId="77777777" w:rsidR="009E131D" w:rsidRDefault="009E131D" w:rsidP="009E131D">
      <w:pPr>
        <w:jc w:val="center"/>
        <w:rPr>
          <w:rFonts w:ascii="Book Antiqua" w:hAnsi="Book Antiqua"/>
          <w:lang w:eastAsia="zh-CN"/>
        </w:rPr>
      </w:pPr>
    </w:p>
    <w:p w14:paraId="04C01760" w14:textId="77777777" w:rsidR="009E131D" w:rsidRDefault="009E131D" w:rsidP="009E131D">
      <w:pPr>
        <w:jc w:val="center"/>
        <w:rPr>
          <w:rFonts w:ascii="Book Antiqua" w:hAnsi="Book Antiqua"/>
          <w:lang w:eastAsia="zh-CN"/>
        </w:rPr>
      </w:pPr>
    </w:p>
    <w:p w14:paraId="584D6CC7" w14:textId="77777777" w:rsidR="009E131D" w:rsidRPr="00763D22" w:rsidRDefault="009E131D" w:rsidP="009E131D">
      <w:pPr>
        <w:jc w:val="right"/>
        <w:rPr>
          <w:rFonts w:ascii="Book Antiqua" w:hAnsi="Book Antiqua"/>
          <w:color w:val="000000" w:themeColor="text1"/>
          <w:lang w:eastAsia="zh-CN"/>
        </w:rPr>
      </w:pPr>
    </w:p>
    <w:p w14:paraId="2D530342" w14:textId="77777777" w:rsidR="009E131D" w:rsidRPr="00763D22" w:rsidRDefault="009E131D" w:rsidP="009E131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BEF767D" w14:textId="77777777" w:rsidR="00350828" w:rsidRPr="0004216C" w:rsidRDefault="00350828">
      <w:pPr>
        <w:spacing w:line="360" w:lineRule="auto"/>
        <w:jc w:val="both"/>
        <w:rPr>
          <w:b/>
          <w:bCs/>
          <w:lang w:val="en-GB"/>
        </w:rPr>
      </w:pPr>
      <w:bookmarkStart w:id="5" w:name="_GoBack"/>
      <w:bookmarkEnd w:id="5"/>
    </w:p>
    <w:sectPr w:rsidR="00350828" w:rsidRPr="0004216C" w:rsidSect="001F36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BF5A0" w14:textId="77777777" w:rsidR="00783A14" w:rsidRDefault="00783A14" w:rsidP="008F25E6">
      <w:r>
        <w:separator/>
      </w:r>
    </w:p>
  </w:endnote>
  <w:endnote w:type="continuationSeparator" w:id="0">
    <w:p w14:paraId="6D1F5DE3" w14:textId="77777777" w:rsidR="00783A14" w:rsidRDefault="00783A14" w:rsidP="008F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39BF1" w14:textId="77777777" w:rsidR="00350828" w:rsidRPr="00C600AF" w:rsidRDefault="00350828" w:rsidP="00C600AF">
    <w:pPr>
      <w:pStyle w:val="a4"/>
      <w:jc w:val="right"/>
      <w:rPr>
        <w:rFonts w:ascii="Book Antiqua" w:hAnsi="Book Antiqua"/>
        <w:color w:val="000000"/>
        <w:sz w:val="24"/>
        <w:szCs w:val="24"/>
      </w:rPr>
    </w:pPr>
    <w:r w:rsidRPr="00C600AF">
      <w:rPr>
        <w:rFonts w:ascii="Book Antiqua" w:hAnsi="Book Antiqua"/>
        <w:color w:val="000000"/>
        <w:sz w:val="24"/>
        <w:szCs w:val="24"/>
        <w:lang w:val="zh-CN" w:eastAsia="zh-CN"/>
      </w:rPr>
      <w:t xml:space="preserve"> </w:t>
    </w:r>
    <w:r w:rsidRPr="00C600AF">
      <w:rPr>
        <w:rFonts w:ascii="Book Antiqua" w:hAnsi="Book Antiqua"/>
        <w:color w:val="000000"/>
        <w:sz w:val="24"/>
        <w:szCs w:val="24"/>
      </w:rPr>
      <w:fldChar w:fldCharType="begin"/>
    </w:r>
    <w:r w:rsidRPr="00C600AF">
      <w:rPr>
        <w:rFonts w:ascii="Book Antiqua" w:hAnsi="Book Antiqua"/>
        <w:color w:val="000000"/>
        <w:sz w:val="24"/>
        <w:szCs w:val="24"/>
      </w:rPr>
      <w:instrText>PAGE  \* Arabic  \* MERGEFORMAT</w:instrText>
    </w:r>
    <w:r w:rsidRPr="00C600AF">
      <w:rPr>
        <w:rFonts w:ascii="Book Antiqua" w:hAnsi="Book Antiqua"/>
        <w:color w:val="000000"/>
        <w:sz w:val="24"/>
        <w:szCs w:val="24"/>
      </w:rPr>
      <w:fldChar w:fldCharType="separate"/>
    </w:r>
    <w:r w:rsidR="00783A14" w:rsidRPr="00783A14">
      <w:rPr>
        <w:rFonts w:ascii="Book Antiqua" w:hAnsi="Book Antiqua"/>
        <w:noProof/>
        <w:color w:val="000000"/>
        <w:sz w:val="24"/>
        <w:szCs w:val="24"/>
        <w:lang w:val="zh-CN" w:eastAsia="zh-CN"/>
      </w:rPr>
      <w:t>1</w:t>
    </w:r>
    <w:r w:rsidRPr="00C600AF">
      <w:rPr>
        <w:rFonts w:ascii="Book Antiqua" w:hAnsi="Book Antiqua"/>
        <w:color w:val="000000"/>
        <w:sz w:val="24"/>
        <w:szCs w:val="24"/>
      </w:rPr>
      <w:fldChar w:fldCharType="end"/>
    </w:r>
    <w:r w:rsidRPr="00C600AF">
      <w:rPr>
        <w:rFonts w:ascii="Book Antiqua" w:hAnsi="Book Antiqua"/>
        <w:color w:val="000000"/>
        <w:sz w:val="24"/>
        <w:szCs w:val="24"/>
        <w:lang w:val="zh-CN" w:eastAsia="zh-CN"/>
      </w:rPr>
      <w:t xml:space="preserve"> / </w:t>
    </w:r>
    <w:r w:rsidR="007B1A23">
      <w:rPr>
        <w:rFonts w:ascii="Book Antiqua" w:hAnsi="Book Antiqua"/>
        <w:noProof/>
        <w:color w:val="000000"/>
        <w:sz w:val="24"/>
        <w:szCs w:val="24"/>
        <w:lang w:val="zh-CN" w:eastAsia="zh-CN"/>
      </w:rPr>
      <w:fldChar w:fldCharType="begin"/>
    </w:r>
    <w:r w:rsidR="007B1A23">
      <w:rPr>
        <w:rFonts w:ascii="Book Antiqua" w:hAnsi="Book Antiqua"/>
        <w:noProof/>
        <w:color w:val="000000"/>
        <w:sz w:val="24"/>
        <w:szCs w:val="24"/>
        <w:lang w:val="zh-CN" w:eastAsia="zh-CN"/>
      </w:rPr>
      <w:instrText>NUMPAGES  \* Arabic  \* MERGEFORMAT</w:instrText>
    </w:r>
    <w:r w:rsidR="007B1A23">
      <w:rPr>
        <w:rFonts w:ascii="Book Antiqua" w:hAnsi="Book Antiqua"/>
        <w:noProof/>
        <w:color w:val="000000"/>
        <w:sz w:val="24"/>
        <w:szCs w:val="24"/>
        <w:lang w:val="zh-CN" w:eastAsia="zh-CN"/>
      </w:rPr>
      <w:fldChar w:fldCharType="separate"/>
    </w:r>
    <w:r w:rsidR="00783A14">
      <w:rPr>
        <w:rFonts w:ascii="Book Antiqua" w:hAnsi="Book Antiqua"/>
        <w:noProof/>
        <w:color w:val="000000"/>
        <w:sz w:val="24"/>
        <w:szCs w:val="24"/>
        <w:lang w:val="zh-CN" w:eastAsia="zh-CN"/>
      </w:rPr>
      <w:t>1</w:t>
    </w:r>
    <w:r w:rsidR="007B1A23">
      <w:rPr>
        <w:rFonts w:ascii="Book Antiqua" w:hAnsi="Book Antiqua"/>
        <w:noProof/>
        <w:color w:val="000000"/>
        <w:sz w:val="24"/>
        <w:szCs w:val="24"/>
        <w:lang w:val="zh-CN" w:eastAsia="zh-CN"/>
      </w:rPr>
      <w:fldChar w:fldCharType="end"/>
    </w:r>
  </w:p>
  <w:p w14:paraId="562245DD" w14:textId="77777777" w:rsidR="00350828" w:rsidRPr="00C600AF" w:rsidRDefault="00350828" w:rsidP="00C600AF">
    <w:pPr>
      <w:pStyle w:val="a4"/>
      <w:jc w:val="right"/>
      <w:rPr>
        <w:rFonts w:ascii="Book Antiqua" w:hAnsi="Book Antiqua"/>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31A7C" w14:textId="77777777" w:rsidR="00783A14" w:rsidRDefault="00783A14" w:rsidP="008F25E6">
      <w:r>
        <w:separator/>
      </w:r>
    </w:p>
  </w:footnote>
  <w:footnote w:type="continuationSeparator" w:id="0">
    <w:p w14:paraId="7A0FCD78" w14:textId="77777777" w:rsidR="00783A14" w:rsidRDefault="00783A14" w:rsidP="008F2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16C"/>
    <w:rsid w:val="00070403"/>
    <w:rsid w:val="000772D2"/>
    <w:rsid w:val="000B4DB1"/>
    <w:rsid w:val="000E7ABE"/>
    <w:rsid w:val="00120285"/>
    <w:rsid w:val="001241B1"/>
    <w:rsid w:val="00142E68"/>
    <w:rsid w:val="00144052"/>
    <w:rsid w:val="0019689A"/>
    <w:rsid w:val="001B6738"/>
    <w:rsid w:val="001E0C9B"/>
    <w:rsid w:val="001F364A"/>
    <w:rsid w:val="00206A5D"/>
    <w:rsid w:val="00237EE9"/>
    <w:rsid w:val="00246717"/>
    <w:rsid w:val="00285091"/>
    <w:rsid w:val="002D262F"/>
    <w:rsid w:val="002E13F4"/>
    <w:rsid w:val="0030775D"/>
    <w:rsid w:val="003333E6"/>
    <w:rsid w:val="00350828"/>
    <w:rsid w:val="00356A5B"/>
    <w:rsid w:val="00376DFA"/>
    <w:rsid w:val="003A288C"/>
    <w:rsid w:val="003F173C"/>
    <w:rsid w:val="004345AC"/>
    <w:rsid w:val="00475E5B"/>
    <w:rsid w:val="004E2923"/>
    <w:rsid w:val="004F7AF4"/>
    <w:rsid w:val="00540C16"/>
    <w:rsid w:val="005507FD"/>
    <w:rsid w:val="005524DC"/>
    <w:rsid w:val="005537D1"/>
    <w:rsid w:val="005721A0"/>
    <w:rsid w:val="005730AB"/>
    <w:rsid w:val="00593981"/>
    <w:rsid w:val="005D3864"/>
    <w:rsid w:val="005E48A7"/>
    <w:rsid w:val="00615225"/>
    <w:rsid w:val="006463A2"/>
    <w:rsid w:val="00667903"/>
    <w:rsid w:val="007137E8"/>
    <w:rsid w:val="00783A14"/>
    <w:rsid w:val="007B1A23"/>
    <w:rsid w:val="007C26D0"/>
    <w:rsid w:val="007F4F55"/>
    <w:rsid w:val="00826757"/>
    <w:rsid w:val="008330A0"/>
    <w:rsid w:val="00834DDF"/>
    <w:rsid w:val="008830ED"/>
    <w:rsid w:val="00892D9C"/>
    <w:rsid w:val="008C0EAA"/>
    <w:rsid w:val="008F25E6"/>
    <w:rsid w:val="00942554"/>
    <w:rsid w:val="00974ECB"/>
    <w:rsid w:val="0097774A"/>
    <w:rsid w:val="009E131D"/>
    <w:rsid w:val="00A128B9"/>
    <w:rsid w:val="00A77B3E"/>
    <w:rsid w:val="00AD188F"/>
    <w:rsid w:val="00AE4A46"/>
    <w:rsid w:val="00AE61B7"/>
    <w:rsid w:val="00B049AA"/>
    <w:rsid w:val="00B30C63"/>
    <w:rsid w:val="00B337CD"/>
    <w:rsid w:val="00B352FD"/>
    <w:rsid w:val="00B447EB"/>
    <w:rsid w:val="00B83039"/>
    <w:rsid w:val="00B94A88"/>
    <w:rsid w:val="00BB4CC6"/>
    <w:rsid w:val="00BE53EF"/>
    <w:rsid w:val="00C04CAC"/>
    <w:rsid w:val="00C05143"/>
    <w:rsid w:val="00C066AD"/>
    <w:rsid w:val="00C600AF"/>
    <w:rsid w:val="00CA2A55"/>
    <w:rsid w:val="00CB6D03"/>
    <w:rsid w:val="00CD4E8C"/>
    <w:rsid w:val="00D00198"/>
    <w:rsid w:val="00D04B10"/>
    <w:rsid w:val="00D12FFC"/>
    <w:rsid w:val="00D97F60"/>
    <w:rsid w:val="00DB3574"/>
    <w:rsid w:val="00E14A9A"/>
    <w:rsid w:val="00E238A4"/>
    <w:rsid w:val="00E3179F"/>
    <w:rsid w:val="00E87DE3"/>
    <w:rsid w:val="00E91210"/>
    <w:rsid w:val="00EA40E3"/>
    <w:rsid w:val="00ED486F"/>
    <w:rsid w:val="00EE0DB0"/>
    <w:rsid w:val="00F314A0"/>
    <w:rsid w:val="00F3228F"/>
    <w:rsid w:val="00F57902"/>
    <w:rsid w:val="00F7517F"/>
    <w:rsid w:val="00F95CA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C1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F364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F25E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8F25E6"/>
    <w:rPr>
      <w:rFonts w:cs="Times New Roman"/>
      <w:sz w:val="18"/>
      <w:szCs w:val="18"/>
    </w:rPr>
  </w:style>
  <w:style w:type="paragraph" w:styleId="a4">
    <w:name w:val="footer"/>
    <w:basedOn w:val="a"/>
    <w:link w:val="Char0"/>
    <w:uiPriority w:val="99"/>
    <w:rsid w:val="008F25E6"/>
    <w:pPr>
      <w:tabs>
        <w:tab w:val="center" w:pos="4153"/>
        <w:tab w:val="right" w:pos="8306"/>
      </w:tabs>
      <w:snapToGrid w:val="0"/>
    </w:pPr>
    <w:rPr>
      <w:sz w:val="18"/>
      <w:szCs w:val="18"/>
    </w:rPr>
  </w:style>
  <w:style w:type="character" w:customStyle="1" w:styleId="Char0">
    <w:name w:val="页脚 Char"/>
    <w:link w:val="a4"/>
    <w:uiPriority w:val="99"/>
    <w:locked/>
    <w:rsid w:val="008F25E6"/>
    <w:rPr>
      <w:rFonts w:cs="Times New Roman"/>
      <w:sz w:val="18"/>
      <w:szCs w:val="18"/>
    </w:rPr>
  </w:style>
  <w:style w:type="character" w:styleId="a5">
    <w:name w:val="annotation reference"/>
    <w:uiPriority w:val="99"/>
    <w:semiHidden/>
    <w:rsid w:val="000772D2"/>
    <w:rPr>
      <w:rFonts w:cs="Times New Roman"/>
      <w:sz w:val="16"/>
      <w:szCs w:val="16"/>
    </w:rPr>
  </w:style>
  <w:style w:type="paragraph" w:styleId="a6">
    <w:name w:val="annotation text"/>
    <w:basedOn w:val="a"/>
    <w:link w:val="Char1"/>
    <w:uiPriority w:val="99"/>
    <w:semiHidden/>
    <w:rsid w:val="000772D2"/>
    <w:rPr>
      <w:sz w:val="20"/>
      <w:szCs w:val="20"/>
    </w:rPr>
  </w:style>
  <w:style w:type="character" w:customStyle="1" w:styleId="Char1">
    <w:name w:val="批注文字 Char"/>
    <w:link w:val="a6"/>
    <w:uiPriority w:val="99"/>
    <w:semiHidden/>
    <w:locked/>
    <w:rPr>
      <w:rFonts w:cs="Times New Roman"/>
      <w:sz w:val="20"/>
      <w:szCs w:val="20"/>
      <w:lang w:val="en-US" w:eastAsia="en-US"/>
    </w:rPr>
  </w:style>
  <w:style w:type="paragraph" w:styleId="a7">
    <w:name w:val="annotation subject"/>
    <w:basedOn w:val="a6"/>
    <w:next w:val="a6"/>
    <w:link w:val="Char2"/>
    <w:uiPriority w:val="99"/>
    <w:semiHidden/>
    <w:rsid w:val="000772D2"/>
    <w:rPr>
      <w:b/>
      <w:bCs/>
    </w:rPr>
  </w:style>
  <w:style w:type="character" w:customStyle="1" w:styleId="Char2">
    <w:name w:val="批注主题 Char"/>
    <w:link w:val="a7"/>
    <w:uiPriority w:val="99"/>
    <w:semiHidden/>
    <w:locked/>
    <w:rPr>
      <w:rFonts w:cs="Times New Roman"/>
      <w:b/>
      <w:bCs/>
      <w:sz w:val="20"/>
      <w:szCs w:val="20"/>
      <w:lang w:val="en-US" w:eastAsia="en-US"/>
    </w:rPr>
  </w:style>
  <w:style w:type="paragraph" w:styleId="a8">
    <w:name w:val="Balloon Text"/>
    <w:basedOn w:val="a"/>
    <w:link w:val="Char3"/>
    <w:uiPriority w:val="99"/>
    <w:semiHidden/>
    <w:locked/>
    <w:rsid w:val="000772D2"/>
    <w:rPr>
      <w:rFonts w:ascii="Tahoma" w:hAnsi="Tahoma"/>
      <w:sz w:val="16"/>
      <w:szCs w:val="16"/>
    </w:rPr>
  </w:style>
  <w:style w:type="character" w:customStyle="1" w:styleId="Char3">
    <w:name w:val="批注框文本 Char"/>
    <w:link w:val="a8"/>
    <w:uiPriority w:val="99"/>
    <w:semiHidden/>
    <w:locked/>
    <w:rPr>
      <w:rFonts w:cs="Times New Roman"/>
      <w:sz w:val="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F364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F25E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8F25E6"/>
    <w:rPr>
      <w:rFonts w:cs="Times New Roman"/>
      <w:sz w:val="18"/>
      <w:szCs w:val="18"/>
    </w:rPr>
  </w:style>
  <w:style w:type="paragraph" w:styleId="a4">
    <w:name w:val="footer"/>
    <w:basedOn w:val="a"/>
    <w:link w:val="Char0"/>
    <w:uiPriority w:val="99"/>
    <w:rsid w:val="008F25E6"/>
    <w:pPr>
      <w:tabs>
        <w:tab w:val="center" w:pos="4153"/>
        <w:tab w:val="right" w:pos="8306"/>
      </w:tabs>
      <w:snapToGrid w:val="0"/>
    </w:pPr>
    <w:rPr>
      <w:sz w:val="18"/>
      <w:szCs w:val="18"/>
    </w:rPr>
  </w:style>
  <w:style w:type="character" w:customStyle="1" w:styleId="Char0">
    <w:name w:val="页脚 Char"/>
    <w:link w:val="a4"/>
    <w:uiPriority w:val="99"/>
    <w:locked/>
    <w:rsid w:val="008F25E6"/>
    <w:rPr>
      <w:rFonts w:cs="Times New Roman"/>
      <w:sz w:val="18"/>
      <w:szCs w:val="18"/>
    </w:rPr>
  </w:style>
  <w:style w:type="character" w:styleId="a5">
    <w:name w:val="annotation reference"/>
    <w:uiPriority w:val="99"/>
    <w:semiHidden/>
    <w:rsid w:val="000772D2"/>
    <w:rPr>
      <w:rFonts w:cs="Times New Roman"/>
      <w:sz w:val="16"/>
      <w:szCs w:val="16"/>
    </w:rPr>
  </w:style>
  <w:style w:type="paragraph" w:styleId="a6">
    <w:name w:val="annotation text"/>
    <w:basedOn w:val="a"/>
    <w:link w:val="Char1"/>
    <w:uiPriority w:val="99"/>
    <w:semiHidden/>
    <w:rsid w:val="000772D2"/>
    <w:rPr>
      <w:sz w:val="20"/>
      <w:szCs w:val="20"/>
    </w:rPr>
  </w:style>
  <w:style w:type="character" w:customStyle="1" w:styleId="Char1">
    <w:name w:val="批注文字 Char"/>
    <w:link w:val="a6"/>
    <w:uiPriority w:val="99"/>
    <w:semiHidden/>
    <w:locked/>
    <w:rPr>
      <w:rFonts w:cs="Times New Roman"/>
      <w:sz w:val="20"/>
      <w:szCs w:val="20"/>
      <w:lang w:val="en-US" w:eastAsia="en-US"/>
    </w:rPr>
  </w:style>
  <w:style w:type="paragraph" w:styleId="a7">
    <w:name w:val="annotation subject"/>
    <w:basedOn w:val="a6"/>
    <w:next w:val="a6"/>
    <w:link w:val="Char2"/>
    <w:uiPriority w:val="99"/>
    <w:semiHidden/>
    <w:rsid w:val="000772D2"/>
    <w:rPr>
      <w:b/>
      <w:bCs/>
    </w:rPr>
  </w:style>
  <w:style w:type="character" w:customStyle="1" w:styleId="Char2">
    <w:name w:val="批注主题 Char"/>
    <w:link w:val="a7"/>
    <w:uiPriority w:val="99"/>
    <w:semiHidden/>
    <w:locked/>
    <w:rPr>
      <w:rFonts w:cs="Times New Roman"/>
      <w:b/>
      <w:bCs/>
      <w:sz w:val="20"/>
      <w:szCs w:val="20"/>
      <w:lang w:val="en-US" w:eastAsia="en-US"/>
    </w:rPr>
  </w:style>
  <w:style w:type="paragraph" w:styleId="a8">
    <w:name w:val="Balloon Text"/>
    <w:basedOn w:val="a"/>
    <w:link w:val="Char3"/>
    <w:uiPriority w:val="99"/>
    <w:semiHidden/>
    <w:locked/>
    <w:rsid w:val="000772D2"/>
    <w:rPr>
      <w:rFonts w:ascii="Tahoma" w:hAnsi="Tahoma"/>
      <w:sz w:val="16"/>
      <w:szCs w:val="16"/>
    </w:rPr>
  </w:style>
  <w:style w:type="character" w:customStyle="1" w:styleId="Char3">
    <w:name w:val="批注框文本 Char"/>
    <w:link w:val="a8"/>
    <w:uiPriority w:val="99"/>
    <w:semiHidden/>
    <w:locked/>
    <w:rPr>
      <w:rFonts w:cs="Times New Roman"/>
      <w:sz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2807</Words>
  <Characters>16005</Characters>
  <Application>Microsoft Office Word</Application>
  <DocSecurity>0</DocSecurity>
  <Lines>133</Lines>
  <Paragraphs>37</Paragraphs>
  <ScaleCrop>false</ScaleCrop>
  <Company/>
  <LinksUpToDate>false</LinksUpToDate>
  <CharactersWithSpaces>18775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liujihong2008@qq.con</cp:lastModifiedBy>
  <cp:revision>14</cp:revision>
  <dcterms:created xsi:type="dcterms:W3CDTF">2021-01-28T04:57:00Z</dcterms:created>
  <dcterms:modified xsi:type="dcterms:W3CDTF">2021-04-13T05:49:00Z</dcterms:modified>
</cp:coreProperties>
</file>