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71913" w14:textId="77777777" w:rsidR="00A77B3E" w:rsidRDefault="0096619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25D9B41D" w14:textId="77777777" w:rsidR="00A77B3E" w:rsidRDefault="0096619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61023</w:t>
      </w:r>
    </w:p>
    <w:p w14:paraId="2BDF7795" w14:textId="77777777" w:rsidR="00A77B3E" w:rsidRDefault="0096619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6FB47B3" w14:textId="77777777" w:rsidR="00A77B3E" w:rsidRDefault="00A77B3E">
      <w:pPr>
        <w:spacing w:line="360" w:lineRule="auto"/>
        <w:jc w:val="both"/>
      </w:pPr>
    </w:p>
    <w:p w14:paraId="60FA7D2F" w14:textId="77777777" w:rsidR="00A77B3E" w:rsidRDefault="00966193">
      <w:pPr>
        <w:spacing w:line="360" w:lineRule="auto"/>
        <w:jc w:val="both"/>
      </w:pPr>
      <w:r>
        <w:rPr>
          <w:rFonts w:ascii="Book Antiqua" w:eastAsia="Book Antiqua" w:hAnsi="Book Antiqua" w:cs="Book Antiqua"/>
          <w:b/>
          <w:i/>
          <w:color w:val="000000"/>
        </w:rPr>
        <w:t>Retrospective Study</w:t>
      </w:r>
    </w:p>
    <w:p w14:paraId="04A16824" w14:textId="77777777" w:rsidR="00A77B3E" w:rsidRDefault="00966193">
      <w:pPr>
        <w:spacing w:line="360" w:lineRule="auto"/>
        <w:jc w:val="both"/>
      </w:pPr>
      <w:r>
        <w:rPr>
          <w:rFonts w:ascii="Book Antiqua" w:eastAsia="Book Antiqua" w:hAnsi="Book Antiqua" w:cs="Book Antiqua"/>
          <w:b/>
          <w:bCs/>
          <w:color w:val="000000"/>
        </w:rPr>
        <w:t>Complication rates in emergent endoscopy for foreign bodies under different sedation modalities: A large single-center retrospective review</w:t>
      </w:r>
    </w:p>
    <w:p w14:paraId="3F24EE6A" w14:textId="77777777" w:rsidR="00A77B3E" w:rsidRDefault="00A77B3E">
      <w:pPr>
        <w:spacing w:line="360" w:lineRule="auto"/>
        <w:jc w:val="both"/>
      </w:pPr>
    </w:p>
    <w:p w14:paraId="06DB4156" w14:textId="372EB544" w:rsidR="00A77B3E" w:rsidRDefault="005C11CD">
      <w:pPr>
        <w:spacing w:line="360" w:lineRule="auto"/>
        <w:jc w:val="both"/>
      </w:pPr>
      <w:r>
        <w:rPr>
          <w:rFonts w:ascii="Book Antiqua" w:eastAsia="Book Antiqua" w:hAnsi="Book Antiqua" w:cs="Book Antiqua"/>
          <w:color w:val="000000"/>
        </w:rPr>
        <w:t>Cha M</w:t>
      </w:r>
      <w:r w:rsidR="004B4F9C">
        <w:rPr>
          <w:rFonts w:ascii="Book Antiqua" w:eastAsia="Book Antiqua" w:hAnsi="Book Antiqua" w:cs="Book Antiqua"/>
          <w:color w:val="000000"/>
        </w:rPr>
        <w:t>H</w:t>
      </w:r>
      <w:r>
        <w:rPr>
          <w:rFonts w:ascii="Book Antiqua" w:eastAsia="Book Antiqua" w:hAnsi="Book Antiqua" w:cs="Book Antiqua"/>
          <w:color w:val="000000"/>
        </w:rPr>
        <w:t xml:space="preserve"> </w:t>
      </w:r>
      <w:r w:rsidRPr="00142179">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966193">
        <w:rPr>
          <w:rFonts w:ascii="Book Antiqua" w:eastAsia="Book Antiqua" w:hAnsi="Book Antiqua" w:cs="Book Antiqua"/>
          <w:color w:val="000000"/>
        </w:rPr>
        <w:t>Complication rate of emergent endoscopy</w:t>
      </w:r>
    </w:p>
    <w:p w14:paraId="24663824" w14:textId="77777777" w:rsidR="00A77B3E" w:rsidRDefault="00A77B3E">
      <w:pPr>
        <w:spacing w:line="360" w:lineRule="auto"/>
        <w:jc w:val="both"/>
      </w:pPr>
    </w:p>
    <w:p w14:paraId="008483E4" w14:textId="77777777" w:rsidR="00A77B3E" w:rsidRDefault="00966193">
      <w:pPr>
        <w:spacing w:line="360" w:lineRule="auto"/>
        <w:jc w:val="both"/>
      </w:pPr>
      <w:r>
        <w:rPr>
          <w:rFonts w:ascii="Book Antiqua" w:eastAsia="Book Antiqua" w:hAnsi="Book Antiqua" w:cs="Book Antiqua"/>
          <w:color w:val="000000"/>
        </w:rPr>
        <w:t xml:space="preserve">Ming-Han Cha, </w:t>
      </w:r>
      <w:proofErr w:type="spellStart"/>
      <w:r>
        <w:rPr>
          <w:rFonts w:ascii="Book Antiqua" w:eastAsia="Book Antiqua" w:hAnsi="Book Antiqua" w:cs="Book Antiqua"/>
          <w:color w:val="000000"/>
        </w:rPr>
        <w:t>Rashi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Sandooja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Saher</w:t>
      </w:r>
      <w:proofErr w:type="spellEnd"/>
      <w:r>
        <w:rPr>
          <w:rFonts w:ascii="Book Antiqua" w:eastAsia="Book Antiqua" w:hAnsi="Book Antiqua" w:cs="Book Antiqua"/>
          <w:color w:val="000000"/>
        </w:rPr>
        <w:t xml:space="preserve"> Khalid, Nicole Lao, Joseph Lim, </w:t>
      </w:r>
      <w:proofErr w:type="spellStart"/>
      <w:r>
        <w:rPr>
          <w:rFonts w:ascii="Book Antiqua" w:eastAsia="Book Antiqua" w:hAnsi="Book Antiqua" w:cs="Book Antiqua"/>
          <w:color w:val="000000"/>
        </w:rPr>
        <w:t>Roshan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Razik</w:t>
      </w:r>
      <w:proofErr w:type="spellEnd"/>
    </w:p>
    <w:p w14:paraId="76C467E4" w14:textId="77777777" w:rsidR="00A77B3E" w:rsidRDefault="00A77B3E">
      <w:pPr>
        <w:spacing w:line="360" w:lineRule="auto"/>
        <w:jc w:val="both"/>
      </w:pPr>
    </w:p>
    <w:p w14:paraId="67D27A28" w14:textId="77777777" w:rsidR="00A77B3E" w:rsidRDefault="00966193">
      <w:pPr>
        <w:spacing w:line="360" w:lineRule="auto"/>
        <w:jc w:val="both"/>
      </w:pPr>
      <w:r>
        <w:rPr>
          <w:rFonts w:ascii="Book Antiqua" w:eastAsia="Book Antiqua" w:hAnsi="Book Antiqua" w:cs="Book Antiqua"/>
          <w:b/>
          <w:bCs/>
          <w:color w:val="000000"/>
        </w:rPr>
        <w:t xml:space="preserve">Ming-Han Cha, </w:t>
      </w:r>
      <w:proofErr w:type="spellStart"/>
      <w:r>
        <w:rPr>
          <w:rFonts w:ascii="Book Antiqua" w:eastAsia="Book Antiqua" w:hAnsi="Book Antiqua" w:cs="Book Antiqua"/>
          <w:b/>
          <w:bCs/>
          <w:color w:val="000000"/>
        </w:rPr>
        <w:t>Rashi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Sandooja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Saher</w:t>
      </w:r>
      <w:proofErr w:type="spellEnd"/>
      <w:r>
        <w:rPr>
          <w:rFonts w:ascii="Book Antiqua" w:eastAsia="Book Antiqua" w:hAnsi="Book Antiqua" w:cs="Book Antiqua"/>
          <w:b/>
          <w:bCs/>
          <w:color w:val="000000"/>
        </w:rPr>
        <w:t xml:space="preserve"> Khalid, Nicole Lao, Joseph Lim, </w:t>
      </w:r>
      <w:r>
        <w:rPr>
          <w:rFonts w:ascii="Book Antiqua" w:eastAsia="Book Antiqua" w:hAnsi="Book Antiqua" w:cs="Book Antiqua"/>
          <w:color w:val="000000"/>
        </w:rPr>
        <w:t>Department of Internal Medicine, Cleveland Clinic Akron General, Akron, OH 44307, United States</w:t>
      </w:r>
    </w:p>
    <w:p w14:paraId="10A53E4E" w14:textId="77777777" w:rsidR="00A77B3E" w:rsidRDefault="00A77B3E">
      <w:pPr>
        <w:spacing w:line="360" w:lineRule="auto"/>
        <w:jc w:val="both"/>
      </w:pPr>
    </w:p>
    <w:p w14:paraId="2E53EDC9" w14:textId="77777777" w:rsidR="00A77B3E" w:rsidRDefault="00966193">
      <w:pPr>
        <w:spacing w:line="360" w:lineRule="auto"/>
        <w:jc w:val="both"/>
      </w:pPr>
      <w:proofErr w:type="spellStart"/>
      <w:r>
        <w:rPr>
          <w:rFonts w:ascii="Book Antiqua" w:eastAsia="Book Antiqua" w:hAnsi="Book Antiqua" w:cs="Book Antiqua"/>
          <w:b/>
          <w:bCs/>
          <w:color w:val="000000"/>
        </w:rPr>
        <w:t>Roshan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Razik</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Cleveland Clinic Akron General, Akron, OH 44307, United States</w:t>
      </w:r>
    </w:p>
    <w:p w14:paraId="64D5FB61" w14:textId="77777777" w:rsidR="00A77B3E" w:rsidRDefault="00A77B3E">
      <w:pPr>
        <w:spacing w:line="360" w:lineRule="auto"/>
        <w:jc w:val="both"/>
      </w:pPr>
    </w:p>
    <w:p w14:paraId="00199D65" w14:textId="70EE2C4F" w:rsidR="00A77B3E" w:rsidRDefault="00966193">
      <w:pPr>
        <w:spacing w:line="360" w:lineRule="auto"/>
        <w:jc w:val="both"/>
      </w:pPr>
      <w:r>
        <w:rPr>
          <w:rFonts w:ascii="Book Antiqua" w:eastAsia="Book Antiqua" w:hAnsi="Book Antiqua" w:cs="Book Antiqua"/>
          <w:b/>
          <w:bCs/>
          <w:color w:val="000000"/>
          <w:szCs w:val="22"/>
        </w:rPr>
        <w:t xml:space="preserve">Author contributions: </w:t>
      </w:r>
      <w:proofErr w:type="spellStart"/>
      <w:r w:rsidR="005C11CD">
        <w:rPr>
          <w:rFonts w:ascii="Book Antiqua" w:eastAsia="Book Antiqua" w:hAnsi="Book Antiqua" w:cs="Book Antiqua"/>
          <w:color w:val="000000"/>
        </w:rPr>
        <w:t>Razik</w:t>
      </w:r>
      <w:proofErr w:type="spellEnd"/>
      <w:r w:rsidR="005C11CD">
        <w:rPr>
          <w:rFonts w:ascii="Book Antiqua" w:eastAsia="Book Antiqua" w:hAnsi="Book Antiqua" w:cs="Book Antiqua"/>
          <w:color w:val="000000"/>
        </w:rPr>
        <w:t xml:space="preserve"> R</w:t>
      </w:r>
      <w:r>
        <w:rPr>
          <w:rFonts w:ascii="Book Antiqua" w:eastAsia="Book Antiqua" w:hAnsi="Book Antiqua" w:cs="Book Antiqua"/>
          <w:color w:val="000000"/>
        </w:rPr>
        <w:t xml:space="preserve"> and </w:t>
      </w:r>
      <w:r w:rsidR="005C11CD">
        <w:rPr>
          <w:rFonts w:ascii="Book Antiqua" w:eastAsia="Book Antiqua" w:hAnsi="Book Antiqua" w:cs="Book Antiqua"/>
          <w:color w:val="000000"/>
        </w:rPr>
        <w:t>Cha M</w:t>
      </w:r>
      <w:r w:rsidR="005D3263">
        <w:rPr>
          <w:rFonts w:ascii="Book Antiqua" w:eastAsia="Book Antiqua" w:hAnsi="Book Antiqua" w:cs="Book Antiqua"/>
          <w:color w:val="000000"/>
        </w:rPr>
        <w:t>H</w:t>
      </w:r>
      <w:r>
        <w:rPr>
          <w:rFonts w:ascii="Book Antiqua" w:eastAsia="Book Antiqua" w:hAnsi="Book Antiqua" w:cs="Book Antiqua"/>
          <w:color w:val="000000"/>
        </w:rPr>
        <w:t xml:space="preserve"> conceived and planned the retrospective chart review</w:t>
      </w:r>
      <w:r w:rsidR="005C11CD">
        <w:rPr>
          <w:rFonts w:ascii="Book Antiqua" w:eastAsia="Book Antiqua" w:hAnsi="Book Antiqua" w:cs="Book Antiqua"/>
          <w:color w:val="000000"/>
        </w:rPr>
        <w:t xml:space="preserve">; Cha </w:t>
      </w:r>
      <w:r w:rsidR="005D3263">
        <w:rPr>
          <w:rFonts w:ascii="Book Antiqua" w:eastAsia="Book Antiqua" w:hAnsi="Book Antiqua" w:cs="Book Antiqua"/>
          <w:color w:val="000000"/>
        </w:rPr>
        <w:t>MH</w:t>
      </w:r>
      <w:r>
        <w:rPr>
          <w:rFonts w:ascii="Book Antiqua" w:eastAsia="Book Antiqua" w:hAnsi="Book Antiqua" w:cs="Book Antiqua"/>
          <w:color w:val="000000"/>
        </w:rPr>
        <w:t xml:space="preserve">, </w:t>
      </w:r>
      <w:proofErr w:type="spellStart"/>
      <w:r w:rsidR="005C11CD">
        <w:rPr>
          <w:rFonts w:ascii="Book Antiqua" w:eastAsia="Book Antiqua" w:hAnsi="Book Antiqua" w:cs="Book Antiqua"/>
          <w:color w:val="000000"/>
        </w:rPr>
        <w:t>Sandooja</w:t>
      </w:r>
      <w:proofErr w:type="spellEnd"/>
      <w:r w:rsidR="005C11CD">
        <w:rPr>
          <w:rFonts w:ascii="Book Antiqua" w:eastAsia="Book Antiqua" w:hAnsi="Book Antiqua" w:cs="Book Antiqua"/>
          <w:color w:val="000000"/>
        </w:rPr>
        <w:t xml:space="preserve"> R</w:t>
      </w:r>
      <w:r>
        <w:rPr>
          <w:rFonts w:ascii="Book Antiqua" w:eastAsia="Book Antiqua" w:hAnsi="Book Antiqua" w:cs="Book Antiqua"/>
          <w:color w:val="000000"/>
        </w:rPr>
        <w:t xml:space="preserve">, </w:t>
      </w:r>
      <w:r w:rsidR="005C11CD">
        <w:rPr>
          <w:rFonts w:ascii="Book Antiqua" w:eastAsia="Book Antiqua" w:hAnsi="Book Antiqua" w:cs="Book Antiqua"/>
          <w:color w:val="000000"/>
        </w:rPr>
        <w:t>Khalid S</w:t>
      </w:r>
      <w:r>
        <w:rPr>
          <w:rFonts w:ascii="Book Antiqua" w:eastAsia="Book Antiqua" w:hAnsi="Book Antiqua" w:cs="Book Antiqua"/>
          <w:color w:val="000000"/>
        </w:rPr>
        <w:t xml:space="preserve">, </w:t>
      </w:r>
      <w:r w:rsidR="005C11CD">
        <w:rPr>
          <w:rFonts w:ascii="Book Antiqua" w:eastAsia="Book Antiqua" w:hAnsi="Book Antiqua" w:cs="Book Antiqua"/>
          <w:color w:val="000000"/>
        </w:rPr>
        <w:t>Lim J</w:t>
      </w:r>
      <w:r>
        <w:rPr>
          <w:rFonts w:ascii="Book Antiqua" w:eastAsia="Book Antiqua" w:hAnsi="Book Antiqua" w:cs="Book Antiqua"/>
          <w:color w:val="000000"/>
        </w:rPr>
        <w:t xml:space="preserve"> and </w:t>
      </w:r>
      <w:r w:rsidR="005C11CD">
        <w:rPr>
          <w:rFonts w:ascii="Book Antiqua" w:eastAsia="Book Antiqua" w:hAnsi="Book Antiqua" w:cs="Book Antiqua"/>
          <w:color w:val="000000"/>
        </w:rPr>
        <w:t>Lao N</w:t>
      </w:r>
      <w:r>
        <w:rPr>
          <w:rFonts w:ascii="Book Antiqua" w:eastAsia="Book Antiqua" w:hAnsi="Book Antiqua" w:cs="Book Antiqua"/>
          <w:color w:val="000000"/>
        </w:rPr>
        <w:t xml:space="preserve"> carried out the chart review process</w:t>
      </w:r>
      <w:r w:rsidR="005C11CD">
        <w:rPr>
          <w:rFonts w:ascii="Book Antiqua" w:eastAsia="Book Antiqua" w:hAnsi="Book Antiqua" w:cs="Book Antiqua"/>
          <w:color w:val="000000"/>
        </w:rPr>
        <w:t xml:space="preserve">; Cha </w:t>
      </w:r>
      <w:r w:rsidR="005D3263">
        <w:rPr>
          <w:rFonts w:ascii="Book Antiqua" w:eastAsia="Book Antiqua" w:hAnsi="Book Antiqua" w:cs="Book Antiqua"/>
          <w:color w:val="000000"/>
        </w:rPr>
        <w:t>MH</w:t>
      </w:r>
      <w:r>
        <w:rPr>
          <w:rFonts w:ascii="Book Antiqua" w:eastAsia="Book Antiqua" w:hAnsi="Book Antiqua" w:cs="Book Antiqua"/>
          <w:color w:val="000000"/>
        </w:rPr>
        <w:t xml:space="preserve"> and </w:t>
      </w:r>
      <w:proofErr w:type="spellStart"/>
      <w:r w:rsidR="005C11CD">
        <w:rPr>
          <w:rFonts w:ascii="Book Antiqua" w:eastAsia="Book Antiqua" w:hAnsi="Book Antiqua" w:cs="Book Antiqua"/>
          <w:color w:val="000000"/>
        </w:rPr>
        <w:t>Razik</w:t>
      </w:r>
      <w:proofErr w:type="spellEnd"/>
      <w:r w:rsidR="005C11CD">
        <w:rPr>
          <w:rFonts w:ascii="Book Antiqua" w:eastAsia="Book Antiqua" w:hAnsi="Book Antiqua" w:cs="Book Antiqua"/>
          <w:color w:val="000000"/>
        </w:rPr>
        <w:t xml:space="preserve"> R</w:t>
      </w:r>
      <w:r>
        <w:rPr>
          <w:rFonts w:ascii="Book Antiqua" w:eastAsia="Book Antiqua" w:hAnsi="Book Antiqua" w:cs="Book Antiqua"/>
          <w:color w:val="000000"/>
        </w:rPr>
        <w:t xml:space="preserve"> contributed to the interpretation of the results from the chart review</w:t>
      </w:r>
      <w:r w:rsidR="005C11CD">
        <w:rPr>
          <w:rFonts w:ascii="Book Antiqua" w:eastAsia="Book Antiqua" w:hAnsi="Book Antiqua" w:cs="Book Antiqua"/>
          <w:color w:val="000000"/>
        </w:rPr>
        <w:t xml:space="preserve">; Cha </w:t>
      </w:r>
      <w:r w:rsidR="005D3263">
        <w:rPr>
          <w:rFonts w:ascii="Book Antiqua" w:eastAsia="Book Antiqua" w:hAnsi="Book Antiqua" w:cs="Book Antiqua"/>
          <w:color w:val="000000"/>
        </w:rPr>
        <w:t>MH</w:t>
      </w:r>
      <w:r>
        <w:rPr>
          <w:rFonts w:ascii="Book Antiqua" w:eastAsia="Book Antiqua" w:hAnsi="Book Antiqua" w:cs="Book Antiqua"/>
          <w:color w:val="000000"/>
        </w:rPr>
        <w:t xml:space="preserve"> took lead in the writing of manuscript, with all other authors provided critical feedback that helped finalized the manuscript</w:t>
      </w:r>
      <w:r w:rsidR="005C11CD">
        <w:rPr>
          <w:rFonts w:ascii="Book Antiqua" w:eastAsia="Book Antiqua" w:hAnsi="Book Antiqua" w:cs="Book Antiqua"/>
          <w:color w:val="000000"/>
        </w:rPr>
        <w:t xml:space="preserve">; </w:t>
      </w:r>
      <w:proofErr w:type="spellStart"/>
      <w:r w:rsidR="005C11CD">
        <w:rPr>
          <w:rFonts w:ascii="Book Antiqua" w:eastAsia="Book Antiqua" w:hAnsi="Book Antiqua" w:cs="Book Antiqua"/>
          <w:color w:val="000000"/>
        </w:rPr>
        <w:t>Razik</w:t>
      </w:r>
      <w:proofErr w:type="spellEnd"/>
      <w:r w:rsidR="005C11CD">
        <w:rPr>
          <w:rFonts w:ascii="Book Antiqua" w:eastAsia="Book Antiqua" w:hAnsi="Book Antiqua" w:cs="Book Antiqua"/>
          <w:color w:val="000000"/>
        </w:rPr>
        <w:t xml:space="preserve"> R</w:t>
      </w:r>
      <w:r>
        <w:rPr>
          <w:rFonts w:ascii="Book Antiqua" w:eastAsia="Book Antiqua" w:hAnsi="Book Antiqua" w:cs="Book Antiqua"/>
          <w:color w:val="000000"/>
        </w:rPr>
        <w:t xml:space="preserve"> supervised the entire project.</w:t>
      </w:r>
    </w:p>
    <w:p w14:paraId="71B7E768" w14:textId="77777777" w:rsidR="00A77B3E" w:rsidRDefault="00A77B3E">
      <w:pPr>
        <w:spacing w:line="360" w:lineRule="auto"/>
        <w:jc w:val="both"/>
      </w:pPr>
    </w:p>
    <w:p w14:paraId="37357812" w14:textId="76FED8F6" w:rsidR="00A77B3E" w:rsidRDefault="00966193">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Roshan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Razik</w:t>
      </w:r>
      <w:proofErr w:type="spellEnd"/>
      <w:r>
        <w:rPr>
          <w:rFonts w:ascii="Book Antiqua" w:eastAsia="Book Antiqua" w:hAnsi="Book Antiqua" w:cs="Book Antiqua"/>
          <w:b/>
          <w:bCs/>
          <w:color w:val="000000"/>
        </w:rPr>
        <w:t xml:space="preserve">, </w:t>
      </w:r>
      <w:r w:rsidR="00401E1D">
        <w:rPr>
          <w:rFonts w:ascii="Book Antiqua" w:eastAsia="Book Antiqua" w:hAnsi="Book Antiqua" w:cs="Book Antiqua"/>
          <w:b/>
          <w:bCs/>
          <w:color w:val="000000"/>
        </w:rPr>
        <w:t xml:space="preserve">FRCPC, </w:t>
      </w:r>
      <w:r>
        <w:rPr>
          <w:rFonts w:ascii="Book Antiqua" w:eastAsia="Book Antiqua" w:hAnsi="Book Antiqua" w:cs="Book Antiqua"/>
          <w:b/>
          <w:bCs/>
          <w:color w:val="000000"/>
        </w:rPr>
        <w:t xml:space="preserve">MD, </w:t>
      </w:r>
      <w:r w:rsidR="00777843">
        <w:rPr>
          <w:rFonts w:ascii="Book Antiqua" w:eastAsia="Book Antiqua" w:hAnsi="Book Antiqua" w:cs="Book Antiqua"/>
          <w:b/>
          <w:bCs/>
          <w:color w:val="000000"/>
        </w:rPr>
        <w:t>MPH</w:t>
      </w:r>
      <w:r w:rsidR="00401E1D">
        <w:rPr>
          <w:rFonts w:ascii="Book Antiqua" w:eastAsia="Book Antiqua" w:hAnsi="Book Antiqua" w:cs="Book Antiqua"/>
          <w:b/>
          <w:bCs/>
          <w:color w:val="000000"/>
        </w:rPr>
        <w:t>,</w:t>
      </w:r>
      <w:r w:rsidR="00777843">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Attending </w:t>
      </w:r>
      <w:r w:rsidR="00777843">
        <w:rPr>
          <w:rFonts w:ascii="Book Antiqua" w:eastAsia="Book Antiqua" w:hAnsi="Book Antiqua" w:cs="Book Antiqua"/>
          <w:b/>
          <w:bCs/>
          <w:color w:val="000000"/>
        </w:rPr>
        <w:t>Physician</w:t>
      </w:r>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Cleveland Clinic Akron General, 1 Akron General Ave Akron, Akron, OH 44307, United States. razikr@ccf.org</w:t>
      </w:r>
    </w:p>
    <w:p w14:paraId="194C1266" w14:textId="77777777" w:rsidR="00A77B3E" w:rsidRDefault="00A77B3E">
      <w:pPr>
        <w:spacing w:line="360" w:lineRule="auto"/>
        <w:jc w:val="both"/>
      </w:pPr>
    </w:p>
    <w:p w14:paraId="166A8DF4" w14:textId="77777777" w:rsidR="00A77B3E" w:rsidRDefault="0096619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4, 2020</w:t>
      </w:r>
    </w:p>
    <w:p w14:paraId="10D47447" w14:textId="77777777" w:rsidR="00A77B3E" w:rsidRDefault="00966193">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December 31, 2020</w:t>
      </w:r>
    </w:p>
    <w:p w14:paraId="417D88D5" w14:textId="6D000397" w:rsidR="00A77B3E" w:rsidRDefault="00966193">
      <w:pPr>
        <w:spacing w:line="360" w:lineRule="auto"/>
        <w:jc w:val="both"/>
      </w:pPr>
      <w:r>
        <w:rPr>
          <w:rFonts w:ascii="Book Antiqua" w:eastAsia="Book Antiqua" w:hAnsi="Book Antiqua" w:cs="Book Antiqua"/>
          <w:b/>
          <w:bCs/>
          <w:color w:val="000000"/>
        </w:rPr>
        <w:t xml:space="preserve">Accepted: </w:t>
      </w:r>
      <w:r w:rsidR="005D5C53" w:rsidRPr="005D5C53">
        <w:rPr>
          <w:rFonts w:ascii="Book Antiqua" w:eastAsia="Book Antiqua" w:hAnsi="Book Antiqua" w:cs="Book Antiqua"/>
          <w:color w:val="000000"/>
        </w:rPr>
        <w:t>January 21, 2021</w:t>
      </w:r>
    </w:p>
    <w:p w14:paraId="07F72056" w14:textId="150B32E1" w:rsidR="00A77B3E" w:rsidRPr="00227D36" w:rsidRDefault="00966193">
      <w:pPr>
        <w:spacing w:line="360" w:lineRule="auto"/>
        <w:jc w:val="both"/>
        <w:rPr>
          <w:lang w:eastAsia="zh-CN"/>
        </w:rPr>
      </w:pPr>
      <w:r>
        <w:rPr>
          <w:rFonts w:ascii="Book Antiqua" w:eastAsia="Book Antiqua" w:hAnsi="Book Antiqua" w:cs="Book Antiqua"/>
          <w:b/>
          <w:bCs/>
          <w:color w:val="000000"/>
        </w:rPr>
        <w:t>Published online:</w:t>
      </w:r>
      <w:r w:rsidRPr="00227D36">
        <w:rPr>
          <w:rFonts w:ascii="Book Antiqua" w:eastAsia="Book Antiqua" w:hAnsi="Book Antiqua" w:cs="Book Antiqua"/>
          <w:bCs/>
          <w:color w:val="000000"/>
        </w:rPr>
        <w:t xml:space="preserve"> </w:t>
      </w:r>
      <w:r w:rsidR="00227D36" w:rsidRPr="00227D36">
        <w:rPr>
          <w:rFonts w:ascii="Book Antiqua" w:eastAsia="Book Antiqua" w:hAnsi="Book Antiqua" w:cs="Book Antiqua"/>
          <w:bCs/>
          <w:color w:val="000000"/>
        </w:rPr>
        <w:t>February 16</w:t>
      </w:r>
      <w:r w:rsidR="00227D36" w:rsidRPr="00227D36">
        <w:rPr>
          <w:rFonts w:ascii="Book Antiqua" w:hAnsi="Book Antiqua" w:cs="Book Antiqua" w:hint="eastAsia"/>
          <w:bCs/>
          <w:color w:val="000000"/>
          <w:lang w:eastAsia="zh-CN"/>
        </w:rPr>
        <w:t>, 2021</w:t>
      </w:r>
    </w:p>
    <w:p w14:paraId="2EA02543"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0C240A6" w14:textId="77777777" w:rsidR="00A77B3E" w:rsidRDefault="00966193">
      <w:pPr>
        <w:spacing w:line="360" w:lineRule="auto"/>
        <w:jc w:val="both"/>
      </w:pPr>
      <w:r>
        <w:rPr>
          <w:rFonts w:ascii="Book Antiqua" w:eastAsia="Book Antiqua" w:hAnsi="Book Antiqua" w:cs="Book Antiqua"/>
          <w:b/>
          <w:color w:val="000000"/>
        </w:rPr>
        <w:lastRenderedPageBreak/>
        <w:t>Abstract</w:t>
      </w:r>
    </w:p>
    <w:p w14:paraId="4736FAD1" w14:textId="77777777" w:rsidR="00A77B3E" w:rsidRDefault="00966193">
      <w:pPr>
        <w:spacing w:line="360" w:lineRule="auto"/>
        <w:jc w:val="both"/>
      </w:pPr>
      <w:r>
        <w:rPr>
          <w:rFonts w:ascii="Book Antiqua" w:eastAsia="Book Antiqua" w:hAnsi="Book Antiqua" w:cs="Book Antiqua"/>
          <w:color w:val="000000"/>
        </w:rPr>
        <w:t>BACKGROUND</w:t>
      </w:r>
    </w:p>
    <w:p w14:paraId="23410DF4" w14:textId="77777777" w:rsidR="00A77B3E" w:rsidRDefault="00966193">
      <w:pPr>
        <w:spacing w:line="360" w:lineRule="auto"/>
        <w:jc w:val="both"/>
      </w:pPr>
      <w:r>
        <w:rPr>
          <w:rFonts w:ascii="Book Antiqua" w:eastAsia="Book Antiqua" w:hAnsi="Book Antiqua" w:cs="Book Antiqua"/>
          <w:color w:val="000000"/>
        </w:rPr>
        <w:t>Foreign object ingestion (FOI) and food bolus impaction (FBI) are common causes of emergent endoscopic intervention. The choice of sedation used is often dictated by physician experience. Many endoscopists frequently prefer to use monitored anesthesia care (MAC) and general anesthesia (GA) as opposed to conscious sedation (CS) due to the concern for inadequate airway protection. However, there is insufficient data examining the safety of different sedation modalities in emergent endoscopic management of FOI and FBI.</w:t>
      </w:r>
    </w:p>
    <w:p w14:paraId="11C0FDF2" w14:textId="77777777" w:rsidR="00A77B3E" w:rsidRDefault="00A77B3E">
      <w:pPr>
        <w:spacing w:line="360" w:lineRule="auto"/>
        <w:jc w:val="both"/>
      </w:pPr>
    </w:p>
    <w:p w14:paraId="33DAD826" w14:textId="77777777" w:rsidR="00A77B3E" w:rsidRDefault="00966193">
      <w:pPr>
        <w:spacing w:line="360" w:lineRule="auto"/>
        <w:jc w:val="both"/>
      </w:pPr>
      <w:r>
        <w:rPr>
          <w:rFonts w:ascii="Book Antiqua" w:eastAsia="Book Antiqua" w:hAnsi="Book Antiqua" w:cs="Book Antiqua"/>
          <w:color w:val="000000"/>
        </w:rPr>
        <w:t>AIM</w:t>
      </w:r>
    </w:p>
    <w:p w14:paraId="6DA2FC39" w14:textId="77777777" w:rsidR="00A77B3E" w:rsidRDefault="00966193">
      <w:pPr>
        <w:spacing w:line="360" w:lineRule="auto"/>
        <w:jc w:val="both"/>
      </w:pPr>
      <w:r>
        <w:rPr>
          <w:rFonts w:ascii="Book Antiqua" w:eastAsia="Book Antiqua" w:hAnsi="Book Antiqua" w:cs="Book Antiqua"/>
          <w:color w:val="000000"/>
        </w:rPr>
        <w:t>To investigate the complication rates of emergent endoscopic extraction performed under different sedation modalities.</w:t>
      </w:r>
    </w:p>
    <w:p w14:paraId="20B30F6B" w14:textId="77777777" w:rsidR="00A77B3E" w:rsidRDefault="00A77B3E">
      <w:pPr>
        <w:spacing w:line="360" w:lineRule="auto"/>
        <w:jc w:val="both"/>
      </w:pPr>
    </w:p>
    <w:p w14:paraId="10634754" w14:textId="77777777" w:rsidR="00A77B3E" w:rsidRDefault="00966193">
      <w:pPr>
        <w:spacing w:line="360" w:lineRule="auto"/>
        <w:jc w:val="both"/>
      </w:pPr>
      <w:r>
        <w:rPr>
          <w:rFonts w:ascii="Book Antiqua" w:eastAsia="Book Antiqua" w:hAnsi="Book Antiqua" w:cs="Book Antiqua"/>
          <w:color w:val="000000"/>
        </w:rPr>
        <w:t>METHODS</w:t>
      </w:r>
    </w:p>
    <w:p w14:paraId="4BB4119F" w14:textId="77777777" w:rsidR="00A77B3E" w:rsidRDefault="00966193">
      <w:pPr>
        <w:spacing w:line="360" w:lineRule="auto"/>
        <w:jc w:val="both"/>
      </w:pPr>
      <w:r>
        <w:rPr>
          <w:rFonts w:ascii="Book Antiqua" w:eastAsia="Book Antiqua" w:hAnsi="Book Antiqua" w:cs="Book Antiqua"/>
          <w:color w:val="000000"/>
        </w:rPr>
        <w:t>We conducted a retrospective chart review of patients presenting with acute FBI and FOI between 2010 and 2018 in two hospitals. A standardized questionnaire was utilized to collect data on demographics, endoscopic details, sedation practices, hospital stay and adverse events. Complications recognized during and within 24 h of the procedure were considered early, whereas patients presenting with a procedure-related adverse event within two weeks of the index event were considered delayed complications. Complication rates of patients who underwent emergent endoscopic retrieval were compared based on sedation types, namely CS, MAC and GA. Chi-square analysis and multiple logistic regression were used to compare complication rate based on sedation type.</w:t>
      </w:r>
    </w:p>
    <w:p w14:paraId="5614CBC4" w14:textId="77777777" w:rsidR="00A77B3E" w:rsidRDefault="00A77B3E">
      <w:pPr>
        <w:spacing w:line="360" w:lineRule="auto"/>
        <w:jc w:val="both"/>
      </w:pPr>
    </w:p>
    <w:p w14:paraId="76D9F138" w14:textId="77777777" w:rsidR="00A77B3E" w:rsidRDefault="00966193">
      <w:pPr>
        <w:spacing w:line="360" w:lineRule="auto"/>
        <w:jc w:val="both"/>
      </w:pPr>
      <w:r>
        <w:rPr>
          <w:rFonts w:ascii="Book Antiqua" w:eastAsia="Book Antiqua" w:hAnsi="Book Antiqua" w:cs="Book Antiqua"/>
          <w:color w:val="000000"/>
        </w:rPr>
        <w:t>RESULTS</w:t>
      </w:r>
    </w:p>
    <w:p w14:paraId="2207FB70" w14:textId="217AFAFD" w:rsidR="00A77B3E" w:rsidRDefault="00966193">
      <w:pPr>
        <w:spacing w:line="360" w:lineRule="auto"/>
        <w:jc w:val="both"/>
      </w:pPr>
      <w:r>
        <w:rPr>
          <w:rFonts w:ascii="Book Antiqua" w:eastAsia="Book Antiqua" w:hAnsi="Book Antiqua" w:cs="Book Antiqua"/>
          <w:color w:val="000000"/>
        </w:rPr>
        <w:t xml:space="preserve">Among the 929 procedures analyzed, 353 procedures (38.0%) were performed under CS, 278 procedures (29.9%) under MAC and the rest (32.1%) under GA. The median age of </w:t>
      </w:r>
      <w:r>
        <w:rPr>
          <w:rFonts w:ascii="Book Antiqua" w:eastAsia="Book Antiqua" w:hAnsi="Book Antiqua" w:cs="Book Antiqua"/>
          <w:color w:val="000000"/>
        </w:rPr>
        <w:lastRenderedPageBreak/>
        <w:t xml:space="preserve">the subjects was 52 years old, with 57.4% being male. The majority of the procedures (64.3%) were FBI with the rest being FOI (35.7%). A total of 132 subjects (14.2%) had chronic comorbidities while 29.0% had psychiatric disorders. The most commonly observed early complications were mucosal laceration (3.8%) and bleeding (2.6%). The most common delayed complication was aspiration pneumonia (1.8%). A total of 20 patients (5.6%) could not adequately be sedated with CS and had to be converted to MAC or GA. Patient sedated with MAC and GA were more likely to require hospitalization, </w:t>
      </w:r>
      <w:r w:rsidR="005C11CD" w:rsidRPr="005C11CD">
        <w:rPr>
          <w:rFonts w:ascii="Book Antiqua" w:eastAsia="Book Antiqua" w:hAnsi="Book Antiqua" w:cs="Book Antiqua"/>
          <w:i/>
          <w:iCs/>
          <w:color w:val="000000"/>
        </w:rPr>
        <w:t>P</w:t>
      </w:r>
      <w:r>
        <w:rPr>
          <w:rFonts w:ascii="Book Antiqua" w:eastAsia="Book Antiqua" w:hAnsi="Book Antiqua" w:cs="Book Antiqua"/>
          <w:color w:val="000000"/>
        </w:rPr>
        <w:t xml:space="preserve"> &lt; 0.0001. Analysis revealed no statistically significant difference in the complication rate between patients sedated under CS (14.7%), MAC (14.7%) and GA (19.5%), </w:t>
      </w:r>
      <w:r>
        <w:rPr>
          <w:rFonts w:ascii="Book Antiqua" w:eastAsia="Book Antiqua" w:hAnsi="Book Antiqua" w:cs="Book Antiqua"/>
          <w:i/>
          <w:iCs/>
          <w:color w:val="000000"/>
        </w:rPr>
        <w:t>P</w:t>
      </w:r>
      <w:r>
        <w:rPr>
          <w:rFonts w:ascii="Book Antiqua" w:eastAsia="Book Antiqua" w:hAnsi="Book Antiqua" w:cs="Book Antiqua"/>
          <w:color w:val="000000"/>
        </w:rPr>
        <w:t xml:space="preserve"> = 0.19.</w:t>
      </w:r>
    </w:p>
    <w:p w14:paraId="2745C889" w14:textId="77777777" w:rsidR="00A77B3E" w:rsidRDefault="00A77B3E">
      <w:pPr>
        <w:spacing w:line="360" w:lineRule="auto"/>
        <w:jc w:val="both"/>
      </w:pPr>
    </w:p>
    <w:p w14:paraId="3B2B093C" w14:textId="77777777" w:rsidR="00A77B3E" w:rsidRDefault="00966193">
      <w:pPr>
        <w:spacing w:line="360" w:lineRule="auto"/>
        <w:jc w:val="both"/>
      </w:pPr>
      <w:r>
        <w:rPr>
          <w:rFonts w:ascii="Book Antiqua" w:eastAsia="Book Antiqua" w:hAnsi="Book Antiqua" w:cs="Book Antiqua"/>
          <w:color w:val="000000"/>
        </w:rPr>
        <w:t>CONCLUSION</w:t>
      </w:r>
    </w:p>
    <w:p w14:paraId="7D0E17FD" w14:textId="05FB8E56" w:rsidR="00A77B3E" w:rsidRDefault="00966193">
      <w:pPr>
        <w:spacing w:line="360" w:lineRule="auto"/>
        <w:jc w:val="both"/>
      </w:pPr>
      <w:r>
        <w:rPr>
          <w:rFonts w:ascii="Book Antiqua" w:eastAsia="Book Antiqua" w:hAnsi="Book Antiqua" w:cs="Book Antiqua"/>
          <w:color w:val="000000"/>
        </w:rPr>
        <w:t>For patients who present with FOI or FBI and undergo emergent endoscopic treatment, there is no significant difference in adverse event rates between CS, MAC and GA.</w:t>
      </w:r>
    </w:p>
    <w:p w14:paraId="20BB32E8" w14:textId="77777777" w:rsidR="00A77B3E" w:rsidRDefault="00A77B3E">
      <w:pPr>
        <w:spacing w:line="360" w:lineRule="auto"/>
        <w:jc w:val="both"/>
      </w:pPr>
    </w:p>
    <w:p w14:paraId="489CBAA2" w14:textId="77777777" w:rsidR="00A77B3E" w:rsidRDefault="0096619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Foreign body; Food bolus impaction; Endoscopy; Sedation; Anesthesia; Complications</w:t>
      </w:r>
    </w:p>
    <w:p w14:paraId="3FB0B636" w14:textId="77777777" w:rsidR="00A77B3E" w:rsidRDefault="00A77B3E">
      <w:pPr>
        <w:spacing w:line="360" w:lineRule="auto"/>
        <w:jc w:val="both"/>
        <w:rPr>
          <w:rFonts w:hint="eastAsia"/>
          <w:lang w:eastAsia="zh-CN"/>
        </w:rPr>
      </w:pPr>
    </w:p>
    <w:p w14:paraId="462418E9" w14:textId="77777777" w:rsidR="008C477D" w:rsidRDefault="008C477D" w:rsidP="008C477D">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578F0128" w14:textId="77777777" w:rsidR="00A113E1" w:rsidRDefault="00A113E1">
      <w:pPr>
        <w:spacing w:line="360" w:lineRule="auto"/>
        <w:jc w:val="both"/>
        <w:rPr>
          <w:rFonts w:hint="eastAsia"/>
          <w:lang w:eastAsia="zh-CN"/>
        </w:rPr>
      </w:pPr>
    </w:p>
    <w:p w14:paraId="796F736F" w14:textId="2481F42D" w:rsidR="008C477D" w:rsidRPr="008C477D" w:rsidRDefault="008C477D">
      <w:pPr>
        <w:spacing w:line="360" w:lineRule="auto"/>
        <w:jc w:val="both"/>
        <w:rPr>
          <w:rFonts w:ascii="Book Antiqua" w:hAnsi="Book Antiqua" w:cs="Book Antiqua" w:hint="eastAsia"/>
          <w:color w:val="000000"/>
          <w:lang w:eastAsia="zh-CN"/>
        </w:rPr>
      </w:pPr>
      <w:r w:rsidRPr="008C477D">
        <w:rPr>
          <w:rFonts w:ascii="Book Antiqua" w:hAnsi="Book Antiqua" w:cs="Book Antiqua" w:hint="eastAsia"/>
          <w:b/>
          <w:color w:val="000000"/>
          <w:lang w:eastAsia="zh-CN"/>
        </w:rPr>
        <w:t xml:space="preserve">Citation: </w:t>
      </w:r>
      <w:r w:rsidR="00966193">
        <w:rPr>
          <w:rFonts w:ascii="Book Antiqua" w:eastAsia="Book Antiqua" w:hAnsi="Book Antiqua" w:cs="Book Antiqua"/>
          <w:color w:val="000000"/>
        </w:rPr>
        <w:t xml:space="preserve">Cha MH, </w:t>
      </w:r>
      <w:proofErr w:type="spellStart"/>
      <w:r w:rsidR="00966193">
        <w:rPr>
          <w:rFonts w:ascii="Book Antiqua" w:eastAsia="Book Antiqua" w:hAnsi="Book Antiqua" w:cs="Book Antiqua"/>
          <w:color w:val="000000"/>
        </w:rPr>
        <w:t>Sandooja</w:t>
      </w:r>
      <w:proofErr w:type="spellEnd"/>
      <w:r w:rsidR="00966193">
        <w:rPr>
          <w:rFonts w:ascii="Book Antiqua" w:eastAsia="Book Antiqua" w:hAnsi="Book Antiqua" w:cs="Book Antiqua"/>
          <w:color w:val="000000"/>
        </w:rPr>
        <w:t xml:space="preserve"> R, Khalid S, Lao N, Lim J, </w:t>
      </w:r>
      <w:proofErr w:type="spellStart"/>
      <w:r w:rsidR="00966193">
        <w:rPr>
          <w:rFonts w:ascii="Book Antiqua" w:eastAsia="Book Antiqua" w:hAnsi="Book Antiqua" w:cs="Book Antiqua"/>
          <w:color w:val="000000"/>
        </w:rPr>
        <w:t>Razik</w:t>
      </w:r>
      <w:proofErr w:type="spellEnd"/>
      <w:r w:rsidR="00966193">
        <w:rPr>
          <w:rFonts w:ascii="Book Antiqua" w:eastAsia="Book Antiqua" w:hAnsi="Book Antiqua" w:cs="Book Antiqua"/>
          <w:color w:val="000000"/>
        </w:rPr>
        <w:t xml:space="preserve"> R. Complication rates in emergent endoscopy for foreign bodies under different sedation modalities: A large single-center retrospective review. </w:t>
      </w:r>
      <w:r w:rsidR="00966193">
        <w:rPr>
          <w:rFonts w:ascii="Book Antiqua" w:eastAsia="Book Antiqua" w:hAnsi="Book Antiqua" w:cs="Book Antiqua"/>
          <w:i/>
          <w:iCs/>
          <w:color w:val="000000"/>
        </w:rPr>
        <w:t xml:space="preserve">World J </w:t>
      </w:r>
      <w:proofErr w:type="spellStart"/>
      <w:r w:rsidR="00966193">
        <w:rPr>
          <w:rFonts w:ascii="Book Antiqua" w:eastAsia="Book Antiqua" w:hAnsi="Book Antiqua" w:cs="Book Antiqua"/>
          <w:i/>
          <w:iCs/>
          <w:color w:val="000000"/>
        </w:rPr>
        <w:t>Gastrointest</w:t>
      </w:r>
      <w:proofErr w:type="spellEnd"/>
      <w:r w:rsidR="00966193">
        <w:rPr>
          <w:rFonts w:ascii="Book Antiqua" w:eastAsia="Book Antiqua" w:hAnsi="Book Antiqua" w:cs="Book Antiqua"/>
          <w:i/>
          <w:iCs/>
          <w:color w:val="000000"/>
        </w:rPr>
        <w:t xml:space="preserve"> </w:t>
      </w:r>
      <w:proofErr w:type="spellStart"/>
      <w:r w:rsidR="00966193">
        <w:rPr>
          <w:rFonts w:ascii="Book Antiqua" w:eastAsia="Book Antiqua" w:hAnsi="Book Antiqua" w:cs="Book Antiqua"/>
          <w:i/>
          <w:iCs/>
          <w:color w:val="000000"/>
        </w:rPr>
        <w:t>Endosc</w:t>
      </w:r>
      <w:proofErr w:type="spellEnd"/>
      <w:r w:rsidR="00966193">
        <w:rPr>
          <w:rFonts w:ascii="Book Antiqua" w:eastAsia="Book Antiqua" w:hAnsi="Book Antiqua" w:cs="Book Antiqua"/>
          <w:color w:val="000000"/>
        </w:rPr>
        <w:t xml:space="preserve"> 2021; </w:t>
      </w:r>
      <w:r w:rsidR="006533DE" w:rsidRPr="006533DE">
        <w:rPr>
          <w:rFonts w:ascii="Book Antiqua" w:eastAsia="Book Antiqua" w:hAnsi="Book Antiqua" w:cs="Book Antiqua"/>
          <w:color w:val="000000"/>
        </w:rPr>
        <w:t>13(</w:t>
      </w:r>
      <w:r w:rsidR="006533DE">
        <w:rPr>
          <w:rFonts w:ascii="Book Antiqua" w:hAnsi="Book Antiqua" w:cs="Book Antiqua" w:hint="eastAsia"/>
          <w:color w:val="000000"/>
          <w:lang w:eastAsia="zh-CN"/>
        </w:rPr>
        <w:t>2</w:t>
      </w:r>
      <w:r w:rsidR="006533DE" w:rsidRPr="006533DE">
        <w:rPr>
          <w:rFonts w:ascii="Book Antiqua" w:eastAsia="Book Antiqua" w:hAnsi="Book Antiqua" w:cs="Book Antiqua"/>
          <w:color w:val="000000"/>
        </w:rPr>
        <w:t xml:space="preserve">): </w:t>
      </w:r>
      <w:r>
        <w:rPr>
          <w:rFonts w:ascii="Book Antiqua" w:hAnsi="Book Antiqua" w:cs="Book Antiqua" w:hint="eastAsia"/>
          <w:color w:val="000000"/>
          <w:lang w:eastAsia="zh-CN"/>
        </w:rPr>
        <w:t>45</w:t>
      </w:r>
      <w:r w:rsidR="006533DE" w:rsidRPr="006533DE">
        <w:rPr>
          <w:rFonts w:ascii="Book Antiqua" w:eastAsia="Book Antiqua" w:hAnsi="Book Antiqua" w:cs="Book Antiqua"/>
          <w:color w:val="000000"/>
        </w:rPr>
        <w:t>-</w:t>
      </w:r>
      <w:r>
        <w:rPr>
          <w:rFonts w:ascii="Book Antiqua" w:hAnsi="Book Antiqua" w:cs="Book Antiqua" w:hint="eastAsia"/>
          <w:color w:val="000000"/>
          <w:lang w:eastAsia="zh-CN"/>
        </w:rPr>
        <w:t>55</w:t>
      </w:r>
    </w:p>
    <w:p w14:paraId="4902CA16" w14:textId="0FF8525C" w:rsidR="008C477D" w:rsidRDefault="006533DE">
      <w:pPr>
        <w:spacing w:line="360" w:lineRule="auto"/>
        <w:jc w:val="both"/>
        <w:rPr>
          <w:rFonts w:ascii="Book Antiqua" w:hAnsi="Book Antiqua" w:cs="Book Antiqua" w:hint="eastAsia"/>
          <w:color w:val="000000"/>
          <w:lang w:eastAsia="zh-CN"/>
        </w:rPr>
      </w:pPr>
      <w:r w:rsidRPr="008C477D">
        <w:rPr>
          <w:rFonts w:ascii="Book Antiqua" w:hAnsi="Book Antiqua" w:cs="Book Antiqua"/>
          <w:b/>
          <w:color w:val="000000"/>
          <w:lang w:eastAsia="zh-CN"/>
        </w:rPr>
        <w:t>URL:</w:t>
      </w:r>
      <w:r w:rsidRPr="006533DE">
        <w:rPr>
          <w:rFonts w:ascii="Book Antiqua" w:eastAsia="Book Antiqua" w:hAnsi="Book Antiqua" w:cs="Book Antiqua"/>
          <w:color w:val="000000"/>
        </w:rPr>
        <w:t xml:space="preserve"> https://www.wjgnet.com/1948-5190/full/v13/i</w:t>
      </w:r>
      <w:r>
        <w:rPr>
          <w:rFonts w:ascii="Book Antiqua" w:hAnsi="Book Antiqua" w:cs="Book Antiqua" w:hint="eastAsia"/>
          <w:color w:val="000000"/>
          <w:lang w:eastAsia="zh-CN"/>
        </w:rPr>
        <w:t>2</w:t>
      </w:r>
      <w:r w:rsidRPr="006533DE">
        <w:rPr>
          <w:rFonts w:ascii="Book Antiqua" w:eastAsia="Book Antiqua" w:hAnsi="Book Antiqua" w:cs="Book Antiqua"/>
          <w:color w:val="000000"/>
        </w:rPr>
        <w:t>/</w:t>
      </w:r>
      <w:r w:rsidR="008C477D">
        <w:rPr>
          <w:rFonts w:ascii="Book Antiqua" w:hAnsi="Book Antiqua" w:cs="Book Antiqua" w:hint="eastAsia"/>
          <w:color w:val="000000"/>
          <w:lang w:eastAsia="zh-CN"/>
        </w:rPr>
        <w:t>45</w:t>
      </w:r>
      <w:r w:rsidRPr="006533DE">
        <w:rPr>
          <w:rFonts w:ascii="Book Antiqua" w:eastAsia="Book Antiqua" w:hAnsi="Book Antiqua" w:cs="Book Antiqua"/>
          <w:color w:val="000000"/>
        </w:rPr>
        <w:t xml:space="preserve">.htm  </w:t>
      </w:r>
    </w:p>
    <w:p w14:paraId="794B1BE4" w14:textId="62CF429F" w:rsidR="00A77B3E" w:rsidRPr="008C477D" w:rsidRDefault="006533DE">
      <w:pPr>
        <w:spacing w:line="360" w:lineRule="auto"/>
        <w:jc w:val="both"/>
        <w:rPr>
          <w:rFonts w:hint="eastAsia"/>
          <w:lang w:eastAsia="zh-CN"/>
        </w:rPr>
      </w:pPr>
      <w:r w:rsidRPr="008C477D">
        <w:rPr>
          <w:rFonts w:ascii="Book Antiqua" w:hAnsi="Book Antiqua" w:cs="Book Antiqua"/>
          <w:b/>
          <w:color w:val="000000"/>
          <w:lang w:eastAsia="zh-CN"/>
        </w:rPr>
        <w:t>DOI:</w:t>
      </w:r>
      <w:r w:rsidRPr="006533DE">
        <w:rPr>
          <w:rFonts w:ascii="Book Antiqua" w:eastAsia="Book Antiqua" w:hAnsi="Book Antiqua" w:cs="Book Antiqua"/>
          <w:color w:val="000000"/>
        </w:rPr>
        <w:t xml:space="preserve"> https://dx.doi.org/10.4253/wjge.v13.i</w:t>
      </w:r>
      <w:r>
        <w:rPr>
          <w:rFonts w:ascii="Book Antiqua" w:hAnsi="Book Antiqua" w:cs="Book Antiqua" w:hint="eastAsia"/>
          <w:color w:val="000000"/>
          <w:lang w:eastAsia="zh-CN"/>
        </w:rPr>
        <w:t>2</w:t>
      </w:r>
      <w:r w:rsidRPr="006533DE">
        <w:rPr>
          <w:rFonts w:ascii="Book Antiqua" w:eastAsia="Book Antiqua" w:hAnsi="Book Antiqua" w:cs="Book Antiqua"/>
          <w:color w:val="000000"/>
        </w:rPr>
        <w:t>.</w:t>
      </w:r>
      <w:r w:rsidR="008C477D">
        <w:rPr>
          <w:rFonts w:ascii="Book Antiqua" w:hAnsi="Book Antiqua" w:cs="Book Antiqua" w:hint="eastAsia"/>
          <w:color w:val="000000"/>
          <w:lang w:eastAsia="zh-CN"/>
        </w:rPr>
        <w:t>45</w:t>
      </w:r>
    </w:p>
    <w:p w14:paraId="5179F7B5" w14:textId="77777777" w:rsidR="00A77B3E" w:rsidRDefault="00A77B3E">
      <w:pPr>
        <w:spacing w:line="360" w:lineRule="auto"/>
        <w:jc w:val="both"/>
      </w:pPr>
    </w:p>
    <w:p w14:paraId="4F20BA96" w14:textId="77777777" w:rsidR="00A77B3E" w:rsidRDefault="00966193">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There is insufficient data examining the safety of different sedation modalities in emergent endoscopic management of food bolus impaction or foreign </w:t>
      </w:r>
      <w:r>
        <w:rPr>
          <w:rFonts w:ascii="Book Antiqua" w:eastAsia="Book Antiqua" w:hAnsi="Book Antiqua" w:cs="Book Antiqua"/>
          <w:color w:val="000000"/>
        </w:rPr>
        <w:lastRenderedPageBreak/>
        <w:t>object ingestion. Many endoscopists frequently perform emergent endoscopy under monitored anesthesia care or general anesthesia instead of conscious sedation. This retrospective study aims to investigate the complication rate of emergent endoscopic extraction performed under different sedation modalities. Analysis revealed no significant difference in the complication rate among patients sedated under different sedation modalities. These findings can potentially lead to sedation practices that allow more timely access to emergent endoscopy and further cost savings to the health care system.</w:t>
      </w:r>
    </w:p>
    <w:p w14:paraId="473FA778" w14:textId="1AF0ED73" w:rsidR="00A77B3E" w:rsidRDefault="005C11CD">
      <w:pPr>
        <w:spacing w:line="360" w:lineRule="auto"/>
        <w:jc w:val="both"/>
      </w:pPr>
      <w:r>
        <w:br w:type="page"/>
      </w:r>
      <w:r w:rsidR="00966193">
        <w:rPr>
          <w:rFonts w:ascii="Book Antiqua" w:eastAsia="Book Antiqua" w:hAnsi="Book Antiqua" w:cs="Book Antiqua"/>
          <w:b/>
          <w:caps/>
          <w:color w:val="000000"/>
          <w:u w:val="single"/>
        </w:rPr>
        <w:lastRenderedPageBreak/>
        <w:t>INTRODUCTION</w:t>
      </w:r>
    </w:p>
    <w:p w14:paraId="700892CA" w14:textId="76F75058" w:rsidR="00A77B3E" w:rsidRDefault="00966193">
      <w:pPr>
        <w:spacing w:line="360" w:lineRule="auto"/>
        <w:jc w:val="both"/>
      </w:pPr>
      <w:r>
        <w:rPr>
          <w:rFonts w:ascii="Book Antiqua" w:eastAsia="Book Antiqua" w:hAnsi="Book Antiqua" w:cs="Book Antiqua"/>
          <w:color w:val="000000"/>
        </w:rPr>
        <w:t xml:space="preserve">Foreign object ingestion (FOI) and food bolus impaction (FBI) represent the second most common endoscopic emergency after gastrointestinal </w:t>
      </w:r>
      <w:proofErr w:type="gramStart"/>
      <w:r>
        <w:rPr>
          <w:rFonts w:ascii="Book Antiqua" w:eastAsia="Book Antiqua" w:hAnsi="Book Antiqua" w:cs="Book Antiqua"/>
          <w:color w:val="000000"/>
        </w:rPr>
        <w:t>bleeding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FOI occurs more commonly in the pediatric population but can also affect the adult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Adults presenting with FOI frequently have underlying psychiatric disorders and may occasionally be found to be trafficking illegal </w:t>
      </w:r>
      <w:proofErr w:type="gramStart"/>
      <w:r>
        <w:rPr>
          <w:rFonts w:ascii="Book Antiqua" w:eastAsia="Book Antiqua" w:hAnsi="Book Antiqua" w:cs="Book Antiqua"/>
          <w:color w:val="000000"/>
        </w:rPr>
        <w:t>drugs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Meanwhile, pathologies in esophageal structure or motility predispose adult patients to </w:t>
      </w:r>
      <w:proofErr w:type="gramStart"/>
      <w:r>
        <w:rPr>
          <w:rFonts w:ascii="Book Antiqua" w:eastAsia="Book Antiqua" w:hAnsi="Book Antiqua" w:cs="Book Antiqua"/>
          <w:color w:val="000000"/>
        </w:rPr>
        <w:t>FBI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8-10]</w:t>
      </w:r>
      <w:r>
        <w:rPr>
          <w:rFonts w:ascii="Book Antiqua" w:eastAsia="Book Antiqua" w:hAnsi="Book Antiqua" w:cs="Book Antiqua"/>
          <w:color w:val="000000"/>
        </w:rPr>
        <w:t>. Flexible endoscopy is preferred compared to rigid endoscopy while performing endoscopic retrieval of foreign objects or food bolus due to lower adverse event rates along with other advantages like avoidance of surgery, reduced cost, ease of access, improved visualization, reduced morbidity, and high removal success rate</w:t>
      </w:r>
      <w:r>
        <w:rPr>
          <w:rFonts w:ascii="Book Antiqua" w:eastAsia="Book Antiqua" w:hAnsi="Book Antiqua" w:cs="Book Antiqua"/>
          <w:color w:val="000000"/>
          <w:szCs w:val="30"/>
          <w:vertAlign w:val="superscript"/>
        </w:rPr>
        <w:t>[11-13]</w:t>
      </w:r>
      <w:r>
        <w:rPr>
          <w:rFonts w:ascii="Book Antiqua" w:eastAsia="Book Antiqua" w:hAnsi="Book Antiqua" w:cs="Book Antiqua"/>
          <w:color w:val="000000"/>
        </w:rPr>
        <w:t xml:space="preserve">. In general, all FOI and FBI require urgent or emergent endoscopic intervention. Foreign bodies and </w:t>
      </w:r>
      <w:r w:rsidR="005C11CD">
        <w:rPr>
          <w:rFonts w:ascii="Book Antiqua" w:eastAsia="Book Antiqua" w:hAnsi="Book Antiqua" w:cs="Book Antiqua"/>
          <w:color w:val="000000"/>
        </w:rPr>
        <w:t>FBI</w:t>
      </w:r>
      <w:r>
        <w:rPr>
          <w:rFonts w:ascii="Book Antiqua" w:eastAsia="Book Antiqua" w:hAnsi="Book Antiqua" w:cs="Book Antiqua"/>
          <w:color w:val="000000"/>
        </w:rPr>
        <w:t xml:space="preserve">s in the esophagus have the highest incidence of adverse events with the adverse event rate directly proportional to the dwell time in the </w:t>
      </w:r>
      <w:proofErr w:type="gramStart"/>
      <w:r>
        <w:rPr>
          <w:rFonts w:ascii="Book Antiqua" w:eastAsia="Book Antiqua" w:hAnsi="Book Antiqua" w:cs="Book Antiqua"/>
          <w:color w:val="000000"/>
        </w:rPr>
        <w:t>esophagus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xml:space="preserve">. Perforation is most common with sharp </w:t>
      </w:r>
      <w:proofErr w:type="gramStart"/>
      <w:r>
        <w:rPr>
          <w:rFonts w:ascii="Book Antiqua" w:eastAsia="Book Antiqua" w:hAnsi="Book Antiqua" w:cs="Book Antiqua"/>
          <w:color w:val="000000"/>
        </w:rPr>
        <w:t>objects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xml:space="preserve">. Thus, they should be removed within 24 h, preferably within 6 to 12 h after </w:t>
      </w:r>
      <w:proofErr w:type="gramStart"/>
      <w:r>
        <w:rPr>
          <w:rFonts w:ascii="Book Antiqua" w:eastAsia="Book Antiqua" w:hAnsi="Book Antiqua" w:cs="Book Antiqua"/>
          <w:color w:val="000000"/>
        </w:rPr>
        <w:t>presentation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19-21]</w:t>
      </w:r>
      <w:r>
        <w:rPr>
          <w:rFonts w:ascii="Book Antiqua" w:eastAsia="Book Antiqua" w:hAnsi="Book Antiqua" w:cs="Book Antiqua"/>
          <w:color w:val="000000"/>
        </w:rPr>
        <w:t>.</w:t>
      </w:r>
    </w:p>
    <w:p w14:paraId="1A87AE51" w14:textId="09B6F92A" w:rsidR="00A77B3E" w:rsidRDefault="00966193" w:rsidP="001D0569">
      <w:pPr>
        <w:spacing w:line="360" w:lineRule="auto"/>
        <w:ind w:firstLineChars="100" w:firstLine="240"/>
        <w:jc w:val="both"/>
      </w:pPr>
      <w:r>
        <w:rPr>
          <w:rFonts w:ascii="Book Antiqua" w:eastAsia="Book Antiqua" w:hAnsi="Book Antiqua" w:cs="Book Antiqua"/>
          <w:color w:val="000000"/>
        </w:rPr>
        <w:t>Traditionally, low risk flexible endoscopy among adults is performed under conscious sedation (CS), which is more time and cost effective compared to general anesthesia (GA</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Meanwhile, GA is recommended in patients who are unable to protect their airway, uncooperative or have a long estimated duration of </w:t>
      </w:r>
      <w:proofErr w:type="gramStart"/>
      <w:r>
        <w:rPr>
          <w:rFonts w:ascii="Book Antiqua" w:eastAsia="Book Antiqua" w:hAnsi="Book Antiqua" w:cs="Book Antiqua"/>
          <w:color w:val="000000"/>
        </w:rPr>
        <w:t>procedure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21,23]</w:t>
      </w:r>
      <w:r>
        <w:rPr>
          <w:rFonts w:ascii="Book Antiqua" w:eastAsia="Book Antiqua" w:hAnsi="Book Antiqua" w:cs="Book Antiqua"/>
          <w:color w:val="000000"/>
        </w:rPr>
        <w:t xml:space="preserve">. However, GA is associated with various adverse events including cardiovascular adverse events such as hypotension, cardiac arrhythmias and myocardial infarction, and respiratory adverse events such as respiratory depression, hypoxia and aspiration </w:t>
      </w:r>
      <w:proofErr w:type="gramStart"/>
      <w:r>
        <w:rPr>
          <w:rFonts w:ascii="Book Antiqua" w:eastAsia="Book Antiqua" w:hAnsi="Book Antiqua" w:cs="Book Antiqua"/>
          <w:color w:val="000000"/>
        </w:rPr>
        <w:t>pneumonia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7686599C" w14:textId="4B8182F2" w:rsidR="00A77B3E" w:rsidRDefault="00966193" w:rsidP="001D0569">
      <w:pPr>
        <w:spacing w:line="360" w:lineRule="auto"/>
        <w:ind w:firstLineChars="100" w:firstLine="240"/>
        <w:jc w:val="both"/>
      </w:pPr>
      <w:r>
        <w:rPr>
          <w:rFonts w:ascii="Book Antiqua" w:eastAsia="Book Antiqua" w:hAnsi="Book Antiqua" w:cs="Book Antiqua"/>
          <w:color w:val="000000"/>
        </w:rPr>
        <w:t xml:space="preserve">Currently, there are no standard guidelines in the United States recommending the modality of anesthesia to use for emergent or urgent </w:t>
      </w:r>
      <w:proofErr w:type="gramStart"/>
      <w:r>
        <w:rPr>
          <w:rFonts w:ascii="Book Antiqua" w:eastAsia="Book Antiqua" w:hAnsi="Book Antiqua" w:cs="Book Antiqua"/>
          <w:color w:val="000000"/>
        </w:rPr>
        <w:t>endoscopy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Often times, the clinician’s preference to use monitored anesthesia care (MAC) and GA for emergent endoscopic procedures is due to the concern for airway protection. Some institutions have also enforced policies to mandate the use of GA for endoscopic intervention of FOI </w:t>
      </w:r>
      <w:r>
        <w:rPr>
          <w:rFonts w:ascii="Book Antiqua" w:eastAsia="Book Antiqua" w:hAnsi="Book Antiqua" w:cs="Book Antiqua"/>
          <w:color w:val="000000"/>
        </w:rPr>
        <w:lastRenderedPageBreak/>
        <w:t>and FBI for similar reasons. Despite no substantial evidence that supports the practice, many physicians frequently perform emergent endoscopic retrieval of foreign object/food bolus under MAC and GA. Recognizing the gap in knowledge, our study aims to compare the adverse event rates among patients who underwent flexible endoscopy for FOI or FBI when performed under CS, MAC and GA.</w:t>
      </w:r>
    </w:p>
    <w:p w14:paraId="1B28B80D" w14:textId="77777777" w:rsidR="00A77B3E" w:rsidRDefault="00A77B3E">
      <w:pPr>
        <w:spacing w:line="360" w:lineRule="auto"/>
        <w:jc w:val="both"/>
      </w:pPr>
    </w:p>
    <w:p w14:paraId="0429804D" w14:textId="77777777" w:rsidR="00A77B3E" w:rsidRDefault="00966193">
      <w:pPr>
        <w:spacing w:line="360" w:lineRule="auto"/>
        <w:jc w:val="both"/>
      </w:pPr>
      <w:r>
        <w:rPr>
          <w:rFonts w:ascii="Book Antiqua" w:eastAsia="Book Antiqua" w:hAnsi="Book Antiqua" w:cs="Book Antiqua"/>
          <w:b/>
          <w:caps/>
          <w:color w:val="000000"/>
          <w:u w:val="single"/>
        </w:rPr>
        <w:t>MATERIALS AND METHODS</w:t>
      </w:r>
    </w:p>
    <w:p w14:paraId="472BB894" w14:textId="77777777" w:rsidR="00A77B3E" w:rsidRPr="001D0569" w:rsidRDefault="00966193">
      <w:pPr>
        <w:spacing w:line="360" w:lineRule="auto"/>
        <w:jc w:val="both"/>
        <w:rPr>
          <w:i/>
          <w:iCs/>
        </w:rPr>
      </w:pPr>
      <w:r w:rsidRPr="001D0569">
        <w:rPr>
          <w:rFonts w:ascii="Book Antiqua" w:eastAsia="Book Antiqua" w:hAnsi="Book Antiqua" w:cs="Book Antiqua"/>
          <w:b/>
          <w:bCs/>
          <w:i/>
          <w:iCs/>
          <w:color w:val="000000"/>
        </w:rPr>
        <w:t>Subjects recruitment</w:t>
      </w:r>
    </w:p>
    <w:p w14:paraId="7354DEDA" w14:textId="247466B9" w:rsidR="00A77B3E" w:rsidRDefault="00966193">
      <w:pPr>
        <w:spacing w:line="360" w:lineRule="auto"/>
        <w:jc w:val="both"/>
      </w:pPr>
      <w:r>
        <w:rPr>
          <w:rFonts w:ascii="Book Antiqua" w:eastAsia="Book Antiqua" w:hAnsi="Book Antiqua" w:cs="Book Antiqua"/>
          <w:color w:val="000000"/>
        </w:rPr>
        <w:t>A retrospective chart review was performed examining all subjects presenting with FBI or FOI who subsequently underwent emergent endoscopy, between January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2011 to December 31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2018 in Cleveland Clinic Main Campus and Cleveland Clinic Akron General. This study was approved by the local institutional review boards of all participating centers with a waiver of informed consent because of the minimal risk to participants. A total of 2664 subjects with the relevant current procedural terminology codes and International Classification of Diseases codes were reviewed. Endoscopic procedures were excluded if subjects presented with a rectal foreign body, were less than 18 years of age or were pregnant. Subjects undergoing removal of stents, pH probes, PEG </w:t>
      </w:r>
      <w:r w:rsidR="001D0569">
        <w:rPr>
          <w:rFonts w:ascii="Book Antiqua" w:eastAsia="Book Antiqua" w:hAnsi="Book Antiqua" w:cs="Book Antiqua"/>
          <w:color w:val="000000"/>
        </w:rPr>
        <w:t>(</w:t>
      </w:r>
      <w:r w:rsidR="001D0569" w:rsidRPr="001D0569">
        <w:rPr>
          <w:rFonts w:ascii="Book Antiqua" w:eastAsia="Book Antiqua" w:hAnsi="Book Antiqua" w:cs="Book Antiqua"/>
          <w:color w:val="000000"/>
        </w:rPr>
        <w:t>percutaneous endoscopic gastrostomy</w:t>
      </w:r>
      <w:r w:rsidR="001D0569">
        <w:rPr>
          <w:rFonts w:ascii="Book Antiqua" w:eastAsia="Book Antiqua" w:hAnsi="Book Antiqua" w:cs="Book Antiqua"/>
          <w:color w:val="000000"/>
        </w:rPr>
        <w:t xml:space="preserve">) </w:t>
      </w:r>
      <w:r>
        <w:rPr>
          <w:rFonts w:ascii="Book Antiqua" w:eastAsia="Book Antiqua" w:hAnsi="Book Antiqua" w:cs="Book Antiqua"/>
          <w:color w:val="000000"/>
        </w:rPr>
        <w:t>tubes, sutures and food bezoars were similarly excluded. After excluding subjects mentioned above, a total of 929 endoscopic procedures were included for analysis.</w:t>
      </w:r>
    </w:p>
    <w:p w14:paraId="19F65047" w14:textId="77777777" w:rsidR="00A77B3E" w:rsidRDefault="00A77B3E">
      <w:pPr>
        <w:spacing w:line="360" w:lineRule="auto"/>
        <w:jc w:val="both"/>
      </w:pPr>
    </w:p>
    <w:p w14:paraId="197269AB" w14:textId="77777777" w:rsidR="00A77B3E" w:rsidRPr="00142179" w:rsidRDefault="00966193">
      <w:pPr>
        <w:spacing w:line="360" w:lineRule="auto"/>
        <w:jc w:val="both"/>
        <w:rPr>
          <w:i/>
          <w:iCs/>
        </w:rPr>
      </w:pPr>
      <w:r w:rsidRPr="00142179">
        <w:rPr>
          <w:rFonts w:ascii="Book Antiqua" w:eastAsia="Book Antiqua" w:hAnsi="Book Antiqua" w:cs="Book Antiqua"/>
          <w:b/>
          <w:bCs/>
          <w:i/>
          <w:iCs/>
          <w:color w:val="000000"/>
        </w:rPr>
        <w:t>Materials</w:t>
      </w:r>
    </w:p>
    <w:p w14:paraId="554C8F99" w14:textId="77777777" w:rsidR="00A77B3E" w:rsidRDefault="00966193">
      <w:pPr>
        <w:spacing w:line="360" w:lineRule="auto"/>
        <w:jc w:val="both"/>
      </w:pPr>
      <w:r>
        <w:rPr>
          <w:rFonts w:ascii="Book Antiqua" w:eastAsia="Book Antiqua" w:hAnsi="Book Antiqua" w:cs="Book Antiqua"/>
          <w:color w:val="000000"/>
        </w:rPr>
        <w:t>For this study, a standardized questionnaire was utilized by investigators to collect demographic, clinical and endoscopic data. This included age, sex, comorbidities, use of anticoagulation, type of impaction, location of impaction, sedation modality, instruments (</w:t>
      </w:r>
      <w:r w:rsidRPr="00142179">
        <w:rPr>
          <w:rFonts w:ascii="Book Antiqua" w:eastAsia="Book Antiqua" w:hAnsi="Book Antiqua" w:cs="Book Antiqua"/>
          <w:i/>
          <w:iCs/>
          <w:color w:val="000000"/>
        </w:rPr>
        <w:t>e.g.</w:t>
      </w:r>
      <w:r>
        <w:rPr>
          <w:rFonts w:ascii="Book Antiqua" w:eastAsia="Book Antiqua" w:hAnsi="Book Antiqua" w:cs="Book Antiqua"/>
          <w:color w:val="000000"/>
        </w:rPr>
        <w:t xml:space="preserve">, Roth net, forceps, snare, talon grasper) used for foreign object or food bolus removal and adverse events related to the endoscopic procedure. CS is defined as a “light” sedation modality which does not typically compromise patient’s respiratory function. The common medications used are midazolam, fentanyl and </w:t>
      </w:r>
      <w:r>
        <w:rPr>
          <w:rFonts w:ascii="Book Antiqua" w:eastAsia="Book Antiqua" w:hAnsi="Book Antiqua" w:cs="Book Antiqua"/>
          <w:color w:val="000000"/>
        </w:rPr>
        <w:lastRenderedPageBreak/>
        <w:t>diphenhydramine. It is administered by the endoscopist, and the endoscopist typically assumes the dual role of performing the procedure and supervising the sedation. Meanwhile, MAC is a “deeper” sedation modality that is commonly administered by a qualified anesthesia provider, such as an anesthesiologist or certified registered nurse anesthetist, who also monitors the patient’s airway and hemodynamics continuously. Although MAC includes sedatives that are frequently used in CS, propofol is exclusively used in MAC. Lastly, GA is solely administered by a qualified anesthesia provider and involves using a variety of medications to induce loss of consciousness and often impairs patient’s respiratory function. Patients who undergo GA are almost always placed on mechanical ventilation.</w:t>
      </w:r>
    </w:p>
    <w:p w14:paraId="752DCF8C" w14:textId="77777777" w:rsidR="00A77B3E" w:rsidRDefault="00A77B3E">
      <w:pPr>
        <w:spacing w:line="360" w:lineRule="auto"/>
        <w:jc w:val="both"/>
      </w:pPr>
    </w:p>
    <w:p w14:paraId="79802E6F" w14:textId="77777777" w:rsidR="00A77B3E" w:rsidRPr="00142179" w:rsidRDefault="00966193">
      <w:pPr>
        <w:spacing w:line="360" w:lineRule="auto"/>
        <w:jc w:val="both"/>
        <w:rPr>
          <w:i/>
          <w:iCs/>
        </w:rPr>
      </w:pPr>
      <w:r w:rsidRPr="00142179">
        <w:rPr>
          <w:rFonts w:ascii="Book Antiqua" w:eastAsia="Book Antiqua" w:hAnsi="Book Antiqua" w:cs="Book Antiqua"/>
          <w:b/>
          <w:bCs/>
          <w:i/>
          <w:iCs/>
          <w:color w:val="000000"/>
        </w:rPr>
        <w:t>Outcomes</w:t>
      </w:r>
    </w:p>
    <w:p w14:paraId="45824CD6" w14:textId="20959041" w:rsidR="00A77B3E" w:rsidRDefault="00966193">
      <w:pPr>
        <w:spacing w:line="360" w:lineRule="auto"/>
        <w:jc w:val="both"/>
      </w:pPr>
      <w:r>
        <w:rPr>
          <w:rFonts w:ascii="Book Antiqua" w:eastAsia="Book Antiqua" w:hAnsi="Book Antiqua" w:cs="Book Antiqua"/>
          <w:color w:val="000000"/>
        </w:rPr>
        <w:t>The primary outcome of this study is the adverse event rate for endoscopic removal of foreign object or food bolus under different sedation modalities. Adverse events within 24 h post-procedure were recorded as early adverse events whereas delayed adverse events included those occurring between 1 and 14 d after the procedure. The secondary outcomes include hospitalization rate and success rate among endoscopic procedures using different sedation modalities. Additionally, we also compared the demographic data and outcomes between patients with FOI and FBI.</w:t>
      </w:r>
    </w:p>
    <w:p w14:paraId="32CA98F7" w14:textId="77777777" w:rsidR="00A77B3E" w:rsidRDefault="00A77B3E">
      <w:pPr>
        <w:spacing w:line="360" w:lineRule="auto"/>
        <w:jc w:val="both"/>
      </w:pPr>
    </w:p>
    <w:p w14:paraId="215B12CD" w14:textId="77777777" w:rsidR="00A77B3E" w:rsidRPr="00142179" w:rsidRDefault="00966193">
      <w:pPr>
        <w:spacing w:line="360" w:lineRule="auto"/>
        <w:jc w:val="both"/>
        <w:rPr>
          <w:i/>
          <w:iCs/>
        </w:rPr>
      </w:pPr>
      <w:r w:rsidRPr="00142179">
        <w:rPr>
          <w:rFonts w:ascii="Book Antiqua" w:eastAsia="Book Antiqua" w:hAnsi="Book Antiqua" w:cs="Book Antiqua"/>
          <w:b/>
          <w:bCs/>
          <w:i/>
          <w:iCs/>
          <w:color w:val="000000"/>
        </w:rPr>
        <w:t>Statistical analysis</w:t>
      </w:r>
    </w:p>
    <w:p w14:paraId="3DECF87F" w14:textId="24CBDC07" w:rsidR="00A77B3E" w:rsidRDefault="00966193">
      <w:pPr>
        <w:spacing w:line="360" w:lineRule="auto"/>
        <w:jc w:val="both"/>
      </w:pPr>
      <w:r>
        <w:rPr>
          <w:rFonts w:ascii="Book Antiqua" w:eastAsia="Book Antiqua" w:hAnsi="Book Antiqua" w:cs="Book Antiqua"/>
          <w:color w:val="000000"/>
        </w:rPr>
        <w:t>Descriptive statistics as well as inferential statistics were performed. Categorical variables were described using frequencies and percentages, whereas continuous variables were described using medians and interquartile range. Pearson’s chi-square test was used to assess the association between type of anesthesia and whether a patient developed an adverse event during or after the procedure. Subsequently, multiple logistic regression analysis was used to estimate the effect of different variables on adverse event rates and hospitalization rates. Analyses were performed using SAS</w:t>
      </w:r>
      <w:r w:rsidRPr="0014217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Software (version 9.4; Cary, NC</w:t>
      </w:r>
      <w:r w:rsidR="001D0569">
        <w:rPr>
          <w:rFonts w:ascii="Book Antiqua" w:eastAsia="Book Antiqua" w:hAnsi="Book Antiqua" w:cs="Book Antiqua"/>
          <w:color w:val="000000"/>
        </w:rPr>
        <w:t>, United States</w:t>
      </w:r>
      <w:r>
        <w:rPr>
          <w:rFonts w:ascii="Book Antiqua" w:eastAsia="Book Antiqua" w:hAnsi="Book Antiqua" w:cs="Book Antiqua"/>
          <w:color w:val="000000"/>
        </w:rPr>
        <w:t>).</w:t>
      </w:r>
      <w:r w:rsidR="001D0569">
        <w:rPr>
          <w:rFonts w:ascii="Book Antiqua" w:eastAsia="Book Antiqua" w:hAnsi="Book Antiqua" w:cs="Book Antiqua"/>
          <w:color w:val="000000"/>
        </w:rPr>
        <w:t xml:space="preserve"> </w:t>
      </w:r>
      <w:r>
        <w:rPr>
          <w:rFonts w:ascii="Book Antiqua" w:eastAsia="Book Antiqua" w:hAnsi="Book Antiqua" w:cs="Book Antiqua"/>
          <w:color w:val="000000"/>
        </w:rPr>
        <w:t xml:space="preserve">A significance level of 0.05 was </w:t>
      </w:r>
      <w:r>
        <w:rPr>
          <w:rFonts w:ascii="Book Antiqua" w:eastAsia="Book Antiqua" w:hAnsi="Book Antiqua" w:cs="Book Antiqua"/>
          <w:color w:val="000000"/>
        </w:rPr>
        <w:lastRenderedPageBreak/>
        <w:t xml:space="preserve">assumed. The statistical analysis of this study is performed by </w:t>
      </w:r>
      <w:proofErr w:type="spellStart"/>
      <w:r>
        <w:rPr>
          <w:rFonts w:ascii="Book Antiqua" w:eastAsia="Book Antiqua" w:hAnsi="Book Antiqua" w:cs="Book Antiqua"/>
          <w:color w:val="000000"/>
        </w:rPr>
        <w:t>Mangira</w:t>
      </w:r>
      <w:proofErr w:type="spellEnd"/>
      <w:r w:rsidR="001D0569">
        <w:rPr>
          <w:rFonts w:ascii="Book Antiqua" w:eastAsia="Book Antiqua" w:hAnsi="Book Antiqua" w:cs="Book Antiqua"/>
          <w:color w:val="000000"/>
        </w:rPr>
        <w:t xml:space="preserve"> C</w:t>
      </w:r>
      <w:r>
        <w:rPr>
          <w:rFonts w:ascii="Book Antiqua" w:eastAsia="Book Antiqua" w:hAnsi="Book Antiqua" w:cs="Book Antiqua"/>
          <w:color w:val="000000"/>
        </w:rPr>
        <w:t>, biostatistician from department of research, Cleveland Clinic.</w:t>
      </w:r>
    </w:p>
    <w:p w14:paraId="4705F88D" w14:textId="77777777" w:rsidR="00A77B3E" w:rsidRDefault="00A77B3E">
      <w:pPr>
        <w:spacing w:line="360" w:lineRule="auto"/>
        <w:jc w:val="both"/>
      </w:pPr>
    </w:p>
    <w:p w14:paraId="4B1D1FF3" w14:textId="77777777" w:rsidR="00A77B3E" w:rsidRDefault="00966193">
      <w:pPr>
        <w:spacing w:line="360" w:lineRule="auto"/>
        <w:jc w:val="both"/>
      </w:pPr>
      <w:r>
        <w:rPr>
          <w:rFonts w:ascii="Book Antiqua" w:eastAsia="Book Antiqua" w:hAnsi="Book Antiqua" w:cs="Book Antiqua"/>
          <w:b/>
          <w:caps/>
          <w:color w:val="000000"/>
          <w:u w:val="single"/>
        </w:rPr>
        <w:t>RESULTS</w:t>
      </w:r>
    </w:p>
    <w:p w14:paraId="375F883E" w14:textId="77777777" w:rsidR="00A77B3E" w:rsidRPr="00142179" w:rsidRDefault="00966193">
      <w:pPr>
        <w:spacing w:line="360" w:lineRule="auto"/>
        <w:jc w:val="both"/>
        <w:rPr>
          <w:i/>
          <w:iCs/>
        </w:rPr>
      </w:pPr>
      <w:r w:rsidRPr="00142179">
        <w:rPr>
          <w:rFonts w:ascii="Book Antiqua" w:eastAsia="Book Antiqua" w:hAnsi="Book Antiqua" w:cs="Book Antiqua"/>
          <w:b/>
          <w:bCs/>
          <w:i/>
          <w:iCs/>
          <w:color w:val="000000"/>
        </w:rPr>
        <w:t>Baseline patient characteristics</w:t>
      </w:r>
    </w:p>
    <w:p w14:paraId="66FA79A1" w14:textId="69B249AE" w:rsidR="00A77B3E" w:rsidRDefault="00966193">
      <w:pPr>
        <w:spacing w:line="360" w:lineRule="auto"/>
        <w:jc w:val="both"/>
      </w:pPr>
      <w:r>
        <w:rPr>
          <w:rFonts w:ascii="Book Antiqua" w:eastAsia="Book Antiqua" w:hAnsi="Book Antiqua" w:cs="Book Antiqua"/>
          <w:color w:val="000000"/>
        </w:rPr>
        <w:t xml:space="preserve">A total of 929 procedures were included for analysis, with demographic and clinical characteristics shown in Table 1. Among these cases, male patients (57.37%) were slightly more common compared to female patients. The median age was 52, with range between 18 and 103 years. Chronic co-morbidities were recorded in 14.21% of patients, while mental health disorders were present in 28.96% of the patients. Only 13 cases (1.40%) presented with airway compromise. </w:t>
      </w:r>
    </w:p>
    <w:p w14:paraId="3218FDCA" w14:textId="77777777" w:rsidR="00A77B3E" w:rsidRDefault="00A77B3E">
      <w:pPr>
        <w:spacing w:line="360" w:lineRule="auto"/>
        <w:jc w:val="both"/>
      </w:pPr>
    </w:p>
    <w:p w14:paraId="03CD023B" w14:textId="77777777" w:rsidR="00A77B3E" w:rsidRPr="001D0569" w:rsidRDefault="00966193">
      <w:pPr>
        <w:spacing w:line="360" w:lineRule="auto"/>
        <w:jc w:val="both"/>
        <w:rPr>
          <w:i/>
          <w:iCs/>
        </w:rPr>
      </w:pPr>
      <w:r w:rsidRPr="001D0569">
        <w:rPr>
          <w:rFonts w:ascii="Book Antiqua" w:eastAsia="Book Antiqua" w:hAnsi="Book Antiqua" w:cs="Book Antiqua"/>
          <w:b/>
          <w:bCs/>
          <w:i/>
          <w:iCs/>
          <w:color w:val="000000"/>
        </w:rPr>
        <w:t>Endoscopy and anesthesia management</w:t>
      </w:r>
    </w:p>
    <w:p w14:paraId="6ADB4EB9" w14:textId="564F0B38" w:rsidR="00A77B3E" w:rsidRDefault="00966193">
      <w:pPr>
        <w:spacing w:line="360" w:lineRule="auto"/>
        <w:jc w:val="both"/>
      </w:pPr>
      <w:r>
        <w:rPr>
          <w:rFonts w:ascii="Book Antiqua" w:eastAsia="Book Antiqua" w:hAnsi="Book Antiqua" w:cs="Book Antiqua"/>
          <w:color w:val="000000"/>
        </w:rPr>
        <w:t>All the patients that were recruited underwent endoscopy for food bolus or foreign object extraction performed by gastroenterology, otolaryngology and/or the general surgery service. A total of 597 patients presented with FBI (64.26%) and the rest with FOI (</w:t>
      </w:r>
      <w:r>
        <w:rPr>
          <w:rFonts w:ascii="Book Antiqua" w:eastAsia="Book Antiqua" w:hAnsi="Book Antiqua" w:cs="Book Antiqua"/>
          <w:i/>
          <w:iCs/>
          <w:color w:val="000000"/>
        </w:rPr>
        <w:t>n</w:t>
      </w:r>
      <w:r>
        <w:rPr>
          <w:rFonts w:ascii="Book Antiqua" w:eastAsia="Book Antiqua" w:hAnsi="Book Antiqua" w:cs="Book Antiqua"/>
          <w:color w:val="000000"/>
        </w:rPr>
        <w:t xml:space="preserve"> = 332, 35.74%). The most common site of FBI and FOI was the esophagus (</w:t>
      </w:r>
      <w:r>
        <w:rPr>
          <w:rFonts w:ascii="Book Antiqua" w:eastAsia="Book Antiqua" w:hAnsi="Book Antiqua" w:cs="Book Antiqua"/>
          <w:i/>
          <w:iCs/>
          <w:color w:val="000000"/>
        </w:rPr>
        <w:t>n</w:t>
      </w:r>
      <w:r>
        <w:rPr>
          <w:rFonts w:ascii="Book Antiqua" w:eastAsia="Book Antiqua" w:hAnsi="Book Antiqua" w:cs="Book Antiqua"/>
          <w:color w:val="000000"/>
        </w:rPr>
        <w:t xml:space="preserve"> = 699, 75.24%), followed by the stomach (</w:t>
      </w:r>
      <w:r>
        <w:rPr>
          <w:rFonts w:ascii="Book Antiqua" w:eastAsia="Book Antiqua" w:hAnsi="Book Antiqua" w:cs="Book Antiqua"/>
          <w:i/>
          <w:iCs/>
          <w:color w:val="000000"/>
        </w:rPr>
        <w:t>n</w:t>
      </w:r>
      <w:r>
        <w:rPr>
          <w:rFonts w:ascii="Book Antiqua" w:eastAsia="Book Antiqua" w:hAnsi="Book Antiqua" w:cs="Book Antiqua"/>
          <w:color w:val="000000"/>
        </w:rPr>
        <w:t xml:space="preserve"> = 186, 20.02%). Food bolus or foreign objects were seen in the oropharynx in only 11 cases (1.18%). Endoscopic instruments were commonly used, with 646 procedures (69.54%) requiring use of one or more instruments. Instruments that were frequently utilized include Roth net (</w:t>
      </w:r>
      <w:r>
        <w:rPr>
          <w:rFonts w:ascii="Book Antiqua" w:eastAsia="Book Antiqua" w:hAnsi="Book Antiqua" w:cs="Book Antiqua"/>
          <w:i/>
          <w:iCs/>
          <w:color w:val="000000"/>
        </w:rPr>
        <w:t>n</w:t>
      </w:r>
      <w:r>
        <w:rPr>
          <w:rFonts w:ascii="Book Antiqua" w:eastAsia="Book Antiqua" w:hAnsi="Book Antiqua" w:cs="Book Antiqua"/>
          <w:color w:val="000000"/>
        </w:rPr>
        <w:t xml:space="preserve"> = 299, 32.18%), snare (</w:t>
      </w:r>
      <w:r>
        <w:rPr>
          <w:rFonts w:ascii="Book Antiqua" w:eastAsia="Book Antiqua" w:hAnsi="Book Antiqua" w:cs="Book Antiqua"/>
          <w:i/>
          <w:iCs/>
          <w:color w:val="000000"/>
        </w:rPr>
        <w:t>n</w:t>
      </w:r>
      <w:r>
        <w:rPr>
          <w:rFonts w:ascii="Book Antiqua" w:eastAsia="Book Antiqua" w:hAnsi="Book Antiqua" w:cs="Book Antiqua"/>
          <w:color w:val="000000"/>
        </w:rPr>
        <w:t xml:space="preserve"> = 233, 25.08%) and forceps (</w:t>
      </w:r>
      <w:r>
        <w:rPr>
          <w:rFonts w:ascii="Book Antiqua" w:eastAsia="Book Antiqua" w:hAnsi="Book Antiqua" w:cs="Book Antiqua"/>
          <w:i/>
          <w:iCs/>
          <w:color w:val="000000"/>
        </w:rPr>
        <w:t>n</w:t>
      </w:r>
      <w:r>
        <w:rPr>
          <w:rFonts w:ascii="Book Antiqua" w:eastAsia="Book Antiqua" w:hAnsi="Book Antiqua" w:cs="Book Antiqua"/>
          <w:color w:val="000000"/>
        </w:rPr>
        <w:t xml:space="preserve"> = 188, 20.24%). As some procedures required multiple endoscopic devices, the aggregate data presented may exceed 100%. Meanwhile, a total of 283 (30.46%) endoscopy procedures required only push method without the use of any instruments.</w:t>
      </w:r>
    </w:p>
    <w:p w14:paraId="02BCDC92" w14:textId="3BC4C289" w:rsidR="00A77B3E" w:rsidRDefault="00966193" w:rsidP="001D0569">
      <w:pPr>
        <w:spacing w:line="360" w:lineRule="auto"/>
        <w:ind w:firstLineChars="100" w:firstLine="240"/>
        <w:jc w:val="both"/>
      </w:pPr>
      <w:r>
        <w:rPr>
          <w:rFonts w:ascii="Book Antiqua" w:eastAsia="Book Antiqua" w:hAnsi="Book Antiqua" w:cs="Book Antiqua"/>
          <w:color w:val="000000"/>
        </w:rPr>
        <w:t>To investigate the association between sedation modality and adverse event rate, patients in the present study were divided into three groups following the sedation modalities used during endoscopy. The most commonly used sedation modality was CS (</w:t>
      </w:r>
      <w:r>
        <w:rPr>
          <w:rFonts w:ascii="Book Antiqua" w:eastAsia="Book Antiqua" w:hAnsi="Book Antiqua" w:cs="Book Antiqua"/>
          <w:i/>
          <w:iCs/>
          <w:color w:val="000000"/>
        </w:rPr>
        <w:t>n</w:t>
      </w:r>
      <w:r>
        <w:rPr>
          <w:rFonts w:ascii="Book Antiqua" w:eastAsia="Book Antiqua" w:hAnsi="Book Antiqua" w:cs="Book Antiqua"/>
          <w:color w:val="000000"/>
        </w:rPr>
        <w:t xml:space="preserve"> = 353, 38.0%), followed by GA (</w:t>
      </w:r>
      <w:r>
        <w:rPr>
          <w:rFonts w:ascii="Book Antiqua" w:eastAsia="Book Antiqua" w:hAnsi="Book Antiqua" w:cs="Book Antiqua"/>
          <w:i/>
          <w:iCs/>
          <w:color w:val="000000"/>
        </w:rPr>
        <w:t>n</w:t>
      </w:r>
      <w:r>
        <w:rPr>
          <w:rFonts w:ascii="Book Antiqua" w:eastAsia="Book Antiqua" w:hAnsi="Book Antiqua" w:cs="Book Antiqua"/>
          <w:color w:val="000000"/>
        </w:rPr>
        <w:t xml:space="preserve"> = 298, 32.08%) and MAC (</w:t>
      </w:r>
      <w:r>
        <w:rPr>
          <w:rFonts w:ascii="Book Antiqua" w:eastAsia="Book Antiqua" w:hAnsi="Book Antiqua" w:cs="Book Antiqua"/>
          <w:i/>
          <w:iCs/>
          <w:color w:val="000000"/>
        </w:rPr>
        <w:t>n</w:t>
      </w:r>
      <w:r>
        <w:rPr>
          <w:rFonts w:ascii="Book Antiqua" w:eastAsia="Book Antiqua" w:hAnsi="Book Antiqua" w:cs="Book Antiqua"/>
          <w:color w:val="000000"/>
        </w:rPr>
        <w:t xml:space="preserve"> = 278, 29.92%). Of </w:t>
      </w:r>
      <w:r>
        <w:rPr>
          <w:rFonts w:ascii="Book Antiqua" w:eastAsia="Book Antiqua" w:hAnsi="Book Antiqua" w:cs="Book Antiqua"/>
          <w:color w:val="000000"/>
        </w:rPr>
        <w:lastRenderedPageBreak/>
        <w:t>the 353 patients who underwent CS, midazolam (</w:t>
      </w:r>
      <w:r>
        <w:rPr>
          <w:rFonts w:ascii="Book Antiqua" w:eastAsia="Book Antiqua" w:hAnsi="Book Antiqua" w:cs="Book Antiqua"/>
          <w:i/>
          <w:iCs/>
          <w:color w:val="000000"/>
        </w:rPr>
        <w:t>n</w:t>
      </w:r>
      <w:r>
        <w:rPr>
          <w:rFonts w:ascii="Book Antiqua" w:eastAsia="Book Antiqua" w:hAnsi="Book Antiqua" w:cs="Book Antiqua"/>
          <w:color w:val="000000"/>
        </w:rPr>
        <w:t xml:space="preserve"> = 322, 91.22%) and fentanyl (</w:t>
      </w:r>
      <w:r>
        <w:rPr>
          <w:rFonts w:ascii="Book Antiqua" w:eastAsia="Book Antiqua" w:hAnsi="Book Antiqua" w:cs="Book Antiqua"/>
          <w:i/>
          <w:iCs/>
          <w:color w:val="000000"/>
        </w:rPr>
        <w:t>n</w:t>
      </w:r>
      <w:r>
        <w:rPr>
          <w:rFonts w:ascii="Book Antiqua" w:eastAsia="Book Antiqua" w:hAnsi="Book Antiqua" w:cs="Book Antiqua"/>
          <w:color w:val="000000"/>
        </w:rPr>
        <w:t xml:space="preserve"> = 241, 68.27%) were the most commonly used sedatives. Patients with </w:t>
      </w:r>
      <w:r w:rsidR="005C11CD">
        <w:rPr>
          <w:rFonts w:ascii="Book Antiqua" w:eastAsia="Book Antiqua" w:hAnsi="Book Antiqua" w:cs="Book Antiqua"/>
          <w:color w:val="000000"/>
        </w:rPr>
        <w:t>FBI</w:t>
      </w:r>
      <w:r>
        <w:rPr>
          <w:rFonts w:ascii="Book Antiqua" w:eastAsia="Book Antiqua" w:hAnsi="Book Antiqua" w:cs="Book Antiqua"/>
          <w:color w:val="000000"/>
        </w:rPr>
        <w:t xml:space="preserve"> more frequently underwent CS (</w:t>
      </w:r>
      <w:r>
        <w:rPr>
          <w:rFonts w:ascii="Book Antiqua" w:eastAsia="Book Antiqua" w:hAnsi="Book Antiqua" w:cs="Book Antiqua"/>
          <w:i/>
          <w:iCs/>
          <w:color w:val="000000"/>
        </w:rPr>
        <w:t>n</w:t>
      </w:r>
      <w:r>
        <w:rPr>
          <w:rFonts w:ascii="Book Antiqua" w:eastAsia="Book Antiqua" w:hAnsi="Book Antiqua" w:cs="Book Antiqua"/>
          <w:color w:val="000000"/>
        </w:rPr>
        <w:t xml:space="preserve"> = 292, 82.72%) compared to MAC (</w:t>
      </w:r>
      <w:r>
        <w:rPr>
          <w:rFonts w:ascii="Book Antiqua" w:eastAsia="Book Antiqua" w:hAnsi="Book Antiqua" w:cs="Book Antiqua"/>
          <w:i/>
          <w:iCs/>
          <w:color w:val="000000"/>
        </w:rPr>
        <w:t>n</w:t>
      </w:r>
      <w:r>
        <w:rPr>
          <w:rFonts w:ascii="Book Antiqua" w:eastAsia="Book Antiqua" w:hAnsi="Book Antiqua" w:cs="Book Antiqua"/>
          <w:color w:val="000000"/>
        </w:rPr>
        <w:t xml:space="preserve"> = 138, 49.64%) and GA (</w:t>
      </w:r>
      <w:r>
        <w:rPr>
          <w:rFonts w:ascii="Book Antiqua" w:eastAsia="Book Antiqua" w:hAnsi="Book Antiqua" w:cs="Book Antiqua"/>
          <w:i/>
          <w:iCs/>
          <w:color w:val="000000"/>
        </w:rPr>
        <w:t>n</w:t>
      </w:r>
      <w:r>
        <w:rPr>
          <w:rFonts w:ascii="Book Antiqua" w:eastAsia="Book Antiqua" w:hAnsi="Book Antiqua" w:cs="Book Antiqua"/>
          <w:color w:val="000000"/>
        </w:rPr>
        <w:t xml:space="preserve"> = 167, 56.04%), </w:t>
      </w:r>
      <w:r w:rsidR="001D0569" w:rsidRPr="001D0569">
        <w:rPr>
          <w:rFonts w:ascii="Book Antiqua" w:eastAsia="Book Antiqua" w:hAnsi="Book Antiqua" w:cs="Book Antiqua"/>
          <w:i/>
          <w:iCs/>
          <w:color w:val="000000"/>
        </w:rPr>
        <w:t>P</w:t>
      </w:r>
      <w:r>
        <w:rPr>
          <w:rFonts w:ascii="Book Antiqua" w:eastAsia="Book Antiqua" w:hAnsi="Book Antiqua" w:cs="Book Antiqua"/>
          <w:color w:val="000000"/>
        </w:rPr>
        <w:t xml:space="preserve"> &lt; 0.001. Conversely, mental health disorders were more commonly seen in patients undergoing MAC (</w:t>
      </w:r>
      <w:r>
        <w:rPr>
          <w:rFonts w:ascii="Book Antiqua" w:eastAsia="Book Antiqua" w:hAnsi="Book Antiqua" w:cs="Book Antiqua"/>
          <w:i/>
          <w:iCs/>
          <w:color w:val="000000"/>
        </w:rPr>
        <w:t>n</w:t>
      </w:r>
      <w:r>
        <w:rPr>
          <w:rFonts w:ascii="Book Antiqua" w:eastAsia="Book Antiqua" w:hAnsi="Book Antiqua" w:cs="Book Antiqua"/>
          <w:color w:val="000000"/>
        </w:rPr>
        <w:t xml:space="preserve"> = 131, 47.12%) and GA (</w:t>
      </w:r>
      <w:r>
        <w:rPr>
          <w:rFonts w:ascii="Book Antiqua" w:eastAsia="Book Antiqua" w:hAnsi="Book Antiqua" w:cs="Book Antiqua"/>
          <w:i/>
          <w:iCs/>
          <w:color w:val="000000"/>
        </w:rPr>
        <w:t>n</w:t>
      </w:r>
      <w:r>
        <w:rPr>
          <w:rFonts w:ascii="Book Antiqua" w:eastAsia="Book Antiqua" w:hAnsi="Book Antiqua" w:cs="Book Antiqua"/>
          <w:color w:val="000000"/>
        </w:rPr>
        <w:t xml:space="preserve"> = 108, 36.24%), compared to CS (</w:t>
      </w:r>
      <w:r>
        <w:rPr>
          <w:rFonts w:ascii="Book Antiqua" w:eastAsia="Book Antiqua" w:hAnsi="Book Antiqua" w:cs="Book Antiqua"/>
          <w:i/>
          <w:iCs/>
          <w:color w:val="000000"/>
        </w:rPr>
        <w:t>n</w:t>
      </w:r>
      <w:r>
        <w:rPr>
          <w:rFonts w:ascii="Book Antiqua" w:eastAsia="Book Antiqua" w:hAnsi="Book Antiqua" w:cs="Book Antiqua"/>
          <w:color w:val="000000"/>
        </w:rPr>
        <w:t xml:space="preserve"> = 30, 8.50%), </w:t>
      </w:r>
      <w:r w:rsidR="001D0569" w:rsidRPr="001D0569">
        <w:rPr>
          <w:rFonts w:ascii="Book Antiqua" w:eastAsia="Book Antiqua" w:hAnsi="Book Antiqua" w:cs="Book Antiqua"/>
          <w:i/>
          <w:iCs/>
          <w:color w:val="000000"/>
        </w:rPr>
        <w:t>P</w:t>
      </w:r>
      <w:r>
        <w:rPr>
          <w:rFonts w:ascii="Book Antiqua" w:eastAsia="Book Antiqua" w:hAnsi="Book Antiqua" w:cs="Book Antiqua"/>
          <w:color w:val="000000"/>
        </w:rPr>
        <w:t xml:space="preserve"> &lt; 0.001. The majority of patients that presented with airway compromise due to their FBI/FOI, underwent endoscopy with either MAC (</w:t>
      </w:r>
      <w:r>
        <w:rPr>
          <w:rFonts w:ascii="Book Antiqua" w:eastAsia="Book Antiqua" w:hAnsi="Book Antiqua" w:cs="Book Antiqua"/>
          <w:i/>
          <w:iCs/>
          <w:color w:val="000000"/>
        </w:rPr>
        <w:t>n</w:t>
      </w:r>
      <w:r>
        <w:rPr>
          <w:rFonts w:ascii="Book Antiqua" w:eastAsia="Book Antiqua" w:hAnsi="Book Antiqua" w:cs="Book Antiqua"/>
          <w:color w:val="000000"/>
        </w:rPr>
        <w:t xml:space="preserve"> = 5, 1.80%) or GA (</w:t>
      </w:r>
      <w:r>
        <w:rPr>
          <w:rFonts w:ascii="Book Antiqua" w:eastAsia="Book Antiqua" w:hAnsi="Book Antiqua" w:cs="Book Antiqua"/>
          <w:i/>
          <w:iCs/>
          <w:color w:val="000000"/>
        </w:rPr>
        <w:t>n</w:t>
      </w:r>
      <w:r>
        <w:rPr>
          <w:rFonts w:ascii="Book Antiqua" w:eastAsia="Book Antiqua" w:hAnsi="Book Antiqua" w:cs="Book Antiqua"/>
          <w:color w:val="000000"/>
        </w:rPr>
        <w:t xml:space="preserve"> = 6, 2.01%). </w:t>
      </w:r>
    </w:p>
    <w:p w14:paraId="226686A9" w14:textId="77777777" w:rsidR="00A77B3E" w:rsidRDefault="00A77B3E">
      <w:pPr>
        <w:spacing w:line="360" w:lineRule="auto"/>
        <w:jc w:val="both"/>
      </w:pPr>
    </w:p>
    <w:p w14:paraId="5248CF06" w14:textId="77777777" w:rsidR="00A77B3E" w:rsidRPr="001D0569" w:rsidRDefault="00966193">
      <w:pPr>
        <w:spacing w:line="360" w:lineRule="auto"/>
        <w:jc w:val="both"/>
        <w:rPr>
          <w:i/>
          <w:iCs/>
        </w:rPr>
      </w:pPr>
      <w:r w:rsidRPr="001D0569">
        <w:rPr>
          <w:rFonts w:ascii="Book Antiqua" w:eastAsia="Book Antiqua" w:hAnsi="Book Antiqua" w:cs="Book Antiqua"/>
          <w:b/>
          <w:bCs/>
          <w:i/>
          <w:iCs/>
          <w:color w:val="000000"/>
        </w:rPr>
        <w:t>Comparison between FOI and FBI</w:t>
      </w:r>
    </w:p>
    <w:p w14:paraId="4E3AEA8D" w14:textId="71ED3B97" w:rsidR="00A77B3E" w:rsidRDefault="00966193">
      <w:pPr>
        <w:spacing w:line="360" w:lineRule="auto"/>
        <w:jc w:val="both"/>
      </w:pPr>
      <w:r>
        <w:rPr>
          <w:rFonts w:ascii="Book Antiqua" w:eastAsia="Book Antiqua" w:hAnsi="Book Antiqua" w:cs="Book Antiqua"/>
          <w:color w:val="000000"/>
        </w:rPr>
        <w:t xml:space="preserve">Patients with FOI were found to be younger (median age 33) compared to FBI patients (median age 61), </w:t>
      </w:r>
      <w:r w:rsidR="001D0569" w:rsidRPr="001D0569">
        <w:rPr>
          <w:rFonts w:ascii="Book Antiqua" w:eastAsia="Book Antiqua" w:hAnsi="Book Antiqua" w:cs="Book Antiqua"/>
          <w:i/>
          <w:iCs/>
          <w:color w:val="000000"/>
        </w:rPr>
        <w:t>P</w:t>
      </w:r>
      <w:r>
        <w:rPr>
          <w:rFonts w:ascii="Book Antiqua" w:eastAsia="Book Antiqua" w:hAnsi="Book Antiqua" w:cs="Book Antiqua"/>
          <w:color w:val="000000"/>
        </w:rPr>
        <w:t xml:space="preserve"> &lt; 0.001. They also had less co-morbidities (</w:t>
      </w:r>
      <w:r>
        <w:rPr>
          <w:rFonts w:ascii="Book Antiqua" w:eastAsia="Book Antiqua" w:hAnsi="Book Antiqua" w:cs="Book Antiqua"/>
          <w:i/>
          <w:iCs/>
          <w:color w:val="000000"/>
        </w:rPr>
        <w:t>n</w:t>
      </w:r>
      <w:r>
        <w:rPr>
          <w:rFonts w:ascii="Book Antiqua" w:eastAsia="Book Antiqua" w:hAnsi="Book Antiqua" w:cs="Book Antiqua"/>
          <w:color w:val="000000"/>
        </w:rPr>
        <w:t xml:space="preserve"> = 32, 9.64%) compared to patients with FBI (</w:t>
      </w:r>
      <w:r>
        <w:rPr>
          <w:rFonts w:ascii="Book Antiqua" w:eastAsia="Book Antiqua" w:hAnsi="Book Antiqua" w:cs="Book Antiqua"/>
          <w:i/>
          <w:iCs/>
          <w:color w:val="000000"/>
        </w:rPr>
        <w:t>n</w:t>
      </w:r>
      <w:r>
        <w:rPr>
          <w:rFonts w:ascii="Book Antiqua" w:eastAsia="Book Antiqua" w:hAnsi="Book Antiqua" w:cs="Book Antiqua"/>
          <w:color w:val="000000"/>
        </w:rPr>
        <w:t xml:space="preserve"> = 100, 16.75%), </w:t>
      </w:r>
      <w:r>
        <w:rPr>
          <w:rFonts w:ascii="Book Antiqua" w:eastAsia="Book Antiqua" w:hAnsi="Book Antiqua" w:cs="Book Antiqua"/>
          <w:i/>
          <w:iCs/>
          <w:color w:val="000000"/>
        </w:rPr>
        <w:t>P</w:t>
      </w:r>
      <w:r>
        <w:rPr>
          <w:rFonts w:ascii="Book Antiqua" w:eastAsia="Book Antiqua" w:hAnsi="Book Antiqua" w:cs="Book Antiqua"/>
          <w:color w:val="000000"/>
        </w:rPr>
        <w:t xml:space="preserve"> = 0.0029. However, prevalence of psychiatric disorder was higher among FOI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235, 70.78%) compared to FBI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34, 5.70%), </w:t>
      </w:r>
      <w:r w:rsidR="001D0569" w:rsidRPr="001D0569">
        <w:rPr>
          <w:rFonts w:ascii="Book Antiqua" w:eastAsia="Book Antiqua" w:hAnsi="Book Antiqua" w:cs="Book Antiqua"/>
          <w:i/>
          <w:iCs/>
          <w:color w:val="000000"/>
        </w:rPr>
        <w:t>P</w:t>
      </w:r>
      <w:r>
        <w:rPr>
          <w:rFonts w:ascii="Book Antiqua" w:eastAsia="Book Antiqua" w:hAnsi="Book Antiqua" w:cs="Book Antiqua"/>
          <w:color w:val="000000"/>
        </w:rPr>
        <w:t xml:space="preserve"> &lt; 0.0001. When comparing between the two groups, the FOI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67, 20.18%) was found to have a higher total adverse event rate compared to the FBI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84, 14.07%), </w:t>
      </w:r>
      <w:r>
        <w:rPr>
          <w:rFonts w:ascii="Book Antiqua" w:eastAsia="Book Antiqua" w:hAnsi="Book Antiqua" w:cs="Book Antiqua"/>
          <w:i/>
          <w:iCs/>
          <w:color w:val="000000"/>
        </w:rPr>
        <w:t>P</w:t>
      </w:r>
      <w:r>
        <w:rPr>
          <w:rFonts w:ascii="Book Antiqua" w:eastAsia="Book Antiqua" w:hAnsi="Book Antiqua" w:cs="Book Antiqua"/>
          <w:color w:val="000000"/>
        </w:rPr>
        <w:t xml:space="preserve"> = 0.0156.</w:t>
      </w:r>
    </w:p>
    <w:p w14:paraId="4545071A" w14:textId="77777777" w:rsidR="00A77B3E" w:rsidRDefault="00A77B3E">
      <w:pPr>
        <w:spacing w:line="360" w:lineRule="auto"/>
        <w:jc w:val="both"/>
      </w:pPr>
    </w:p>
    <w:p w14:paraId="042E4F29" w14:textId="77777777" w:rsidR="00A77B3E" w:rsidRPr="001D0569" w:rsidRDefault="00966193">
      <w:pPr>
        <w:spacing w:line="360" w:lineRule="auto"/>
        <w:jc w:val="both"/>
        <w:rPr>
          <w:i/>
          <w:iCs/>
        </w:rPr>
      </w:pPr>
      <w:r w:rsidRPr="001D0569">
        <w:rPr>
          <w:rFonts w:ascii="Book Antiqua" w:eastAsia="Book Antiqua" w:hAnsi="Book Antiqua" w:cs="Book Antiqua"/>
          <w:b/>
          <w:bCs/>
          <w:i/>
          <w:iCs/>
          <w:color w:val="000000"/>
        </w:rPr>
        <w:t>Outcomes and adverse events of endoscopy</w:t>
      </w:r>
    </w:p>
    <w:p w14:paraId="7F9F7BC8" w14:textId="6C809AD5" w:rsidR="00A77B3E" w:rsidRDefault="00966193">
      <w:pPr>
        <w:spacing w:line="360" w:lineRule="auto"/>
        <w:jc w:val="both"/>
      </w:pPr>
      <w:r>
        <w:rPr>
          <w:rFonts w:ascii="Book Antiqua" w:eastAsia="Book Antiqua" w:hAnsi="Book Antiqua" w:cs="Book Antiqua"/>
          <w:color w:val="000000"/>
        </w:rPr>
        <w:t>In total, 151 adverse events (16.3%) were recorded, with the majority of adverse events reported within 24 h of endoscopy (</w:t>
      </w:r>
      <w:r>
        <w:rPr>
          <w:rFonts w:ascii="Book Antiqua" w:eastAsia="Book Antiqua" w:hAnsi="Book Antiqua" w:cs="Book Antiqua"/>
          <w:i/>
          <w:iCs/>
          <w:color w:val="000000"/>
        </w:rPr>
        <w:t>n</w:t>
      </w:r>
      <w:r>
        <w:rPr>
          <w:rFonts w:ascii="Book Antiqua" w:eastAsia="Book Antiqua" w:hAnsi="Book Antiqua" w:cs="Book Antiqua"/>
          <w:color w:val="000000"/>
        </w:rPr>
        <w:t xml:space="preserve"> = 110). Types of adverse events are shown in Table 2. The most common early adverse events included mucosal laceration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35, 3.77%), bleeding (</w:t>
      </w:r>
      <w:r>
        <w:rPr>
          <w:rFonts w:ascii="Book Antiqua" w:eastAsia="Book Antiqua" w:hAnsi="Book Antiqua" w:cs="Book Antiqua"/>
          <w:i/>
          <w:iCs/>
          <w:color w:val="000000"/>
        </w:rPr>
        <w:t>n</w:t>
      </w:r>
      <w:r>
        <w:rPr>
          <w:rFonts w:ascii="Book Antiqua" w:eastAsia="Book Antiqua" w:hAnsi="Book Antiqua" w:cs="Book Antiqua"/>
          <w:color w:val="000000"/>
        </w:rPr>
        <w:t xml:space="preserve"> = 24, 2.58%), and hypoxia (</w:t>
      </w:r>
      <w:r>
        <w:rPr>
          <w:rFonts w:ascii="Book Antiqua" w:eastAsia="Book Antiqua" w:hAnsi="Book Antiqua" w:cs="Book Antiqua"/>
          <w:i/>
          <w:iCs/>
          <w:color w:val="000000"/>
        </w:rPr>
        <w:t>n</w:t>
      </w:r>
      <w:r>
        <w:rPr>
          <w:rFonts w:ascii="Book Antiqua" w:eastAsia="Book Antiqua" w:hAnsi="Book Antiqua" w:cs="Book Antiqua"/>
          <w:color w:val="000000"/>
        </w:rPr>
        <w:t xml:space="preserve"> = 12, 1.29%). A total of 53 cases of delayed adverse events were recorded, which primarily included aspiration pneumonia (</w:t>
      </w:r>
      <w:r>
        <w:rPr>
          <w:rFonts w:ascii="Book Antiqua" w:eastAsia="Book Antiqua" w:hAnsi="Book Antiqua" w:cs="Book Antiqua"/>
          <w:i/>
          <w:iCs/>
          <w:color w:val="000000"/>
        </w:rPr>
        <w:t>n</w:t>
      </w:r>
      <w:r>
        <w:rPr>
          <w:rFonts w:ascii="Book Antiqua" w:eastAsia="Book Antiqua" w:hAnsi="Book Antiqua" w:cs="Book Antiqua"/>
          <w:color w:val="000000"/>
        </w:rPr>
        <w:t xml:space="preserve"> = 17, 1.83%) and abdominal pain (</w:t>
      </w:r>
      <w:r>
        <w:rPr>
          <w:rFonts w:ascii="Book Antiqua" w:eastAsia="Book Antiqua" w:hAnsi="Book Antiqua" w:cs="Book Antiqua"/>
          <w:i/>
          <w:iCs/>
          <w:color w:val="000000"/>
        </w:rPr>
        <w:t>n</w:t>
      </w:r>
      <w:r>
        <w:rPr>
          <w:rFonts w:ascii="Book Antiqua" w:eastAsia="Book Antiqua" w:hAnsi="Book Antiqua" w:cs="Book Antiqua"/>
          <w:color w:val="000000"/>
        </w:rPr>
        <w:t xml:space="preserve"> = 15, 1.61%). Some endoscopy procedures were complicated by both early and delayed adverse events (</w:t>
      </w:r>
      <w:r>
        <w:rPr>
          <w:rFonts w:ascii="Book Antiqua" w:eastAsia="Book Antiqua" w:hAnsi="Book Antiqua" w:cs="Book Antiqua"/>
          <w:i/>
          <w:iCs/>
          <w:color w:val="000000"/>
        </w:rPr>
        <w:t>n</w:t>
      </w:r>
      <w:r>
        <w:rPr>
          <w:rFonts w:ascii="Book Antiqua" w:eastAsia="Book Antiqua" w:hAnsi="Book Antiqua" w:cs="Book Antiqua"/>
          <w:color w:val="000000"/>
        </w:rPr>
        <w:t xml:space="preserve"> = 12, 1.29%). Most of the adverse events were monitored and managed with supportive care with less than half of the cases requiring directed treatments (</w:t>
      </w:r>
      <w:r>
        <w:rPr>
          <w:rFonts w:ascii="Book Antiqua" w:eastAsia="Book Antiqua" w:hAnsi="Book Antiqua" w:cs="Book Antiqua"/>
          <w:i/>
          <w:iCs/>
          <w:color w:val="000000"/>
        </w:rPr>
        <w:t>n</w:t>
      </w:r>
      <w:r>
        <w:rPr>
          <w:rFonts w:ascii="Book Antiqua" w:eastAsia="Book Antiqua" w:hAnsi="Book Antiqua" w:cs="Book Antiqua"/>
          <w:color w:val="000000"/>
        </w:rPr>
        <w:t xml:space="preserve"> = 62, 41.05%), including antibiotics (</w:t>
      </w:r>
      <w:r>
        <w:rPr>
          <w:rFonts w:ascii="Book Antiqua" w:eastAsia="Book Antiqua" w:hAnsi="Book Antiqua" w:cs="Book Antiqua"/>
          <w:i/>
          <w:iCs/>
          <w:color w:val="000000"/>
        </w:rPr>
        <w:t>n</w:t>
      </w:r>
      <w:r>
        <w:rPr>
          <w:rFonts w:ascii="Book Antiqua" w:eastAsia="Book Antiqua" w:hAnsi="Book Antiqua" w:cs="Book Antiqua"/>
          <w:color w:val="000000"/>
        </w:rPr>
        <w:t xml:space="preserve"> = 34) and pain medications (</w:t>
      </w:r>
      <w:r>
        <w:rPr>
          <w:rFonts w:ascii="Book Antiqua" w:eastAsia="Book Antiqua" w:hAnsi="Book Antiqua" w:cs="Book Antiqua"/>
          <w:i/>
          <w:iCs/>
          <w:color w:val="000000"/>
        </w:rPr>
        <w:t>n</w:t>
      </w:r>
      <w:r>
        <w:rPr>
          <w:rFonts w:ascii="Book Antiqua" w:eastAsia="Book Antiqua" w:hAnsi="Book Antiqua" w:cs="Book Antiqua"/>
          <w:color w:val="000000"/>
        </w:rPr>
        <w:t xml:space="preserve"> = 17). The vast majority of endoscopic extraction procedures </w:t>
      </w:r>
      <w:r>
        <w:rPr>
          <w:rFonts w:ascii="Book Antiqua" w:eastAsia="Book Antiqua" w:hAnsi="Book Antiqua" w:cs="Book Antiqua"/>
          <w:color w:val="000000"/>
        </w:rPr>
        <w:lastRenderedPageBreak/>
        <w:t xml:space="preserve">were successful, with only 45 procedures (4.84%) resulting in inability to remove some or any of the food bolus or foreign object. Only one endoscopic procedure (0.11%) needed conversion to surgical intervention for foreign body removal. </w:t>
      </w:r>
    </w:p>
    <w:p w14:paraId="11A9145C" w14:textId="6BC8E428" w:rsidR="00A77B3E" w:rsidRDefault="00966193" w:rsidP="00FF0FB9">
      <w:pPr>
        <w:spacing w:line="360" w:lineRule="auto"/>
        <w:ind w:firstLineChars="100" w:firstLine="240"/>
        <w:jc w:val="both"/>
      </w:pPr>
      <w:r>
        <w:rPr>
          <w:rFonts w:ascii="Book Antiqua" w:eastAsia="Book Antiqua" w:hAnsi="Book Antiqua" w:cs="Book Antiqua"/>
          <w:color w:val="000000"/>
        </w:rPr>
        <w:t>When comparing among the sedation modalities, there was no significant difference in the overall adverse event rate observed among CS (</w:t>
      </w:r>
      <w:r>
        <w:rPr>
          <w:rFonts w:ascii="Book Antiqua" w:eastAsia="Book Antiqua" w:hAnsi="Book Antiqua" w:cs="Book Antiqua"/>
          <w:i/>
          <w:iCs/>
          <w:color w:val="000000"/>
        </w:rPr>
        <w:t>n</w:t>
      </w:r>
      <w:r>
        <w:rPr>
          <w:rFonts w:ascii="Book Antiqua" w:eastAsia="Book Antiqua" w:hAnsi="Book Antiqua" w:cs="Book Antiqua"/>
          <w:color w:val="000000"/>
        </w:rPr>
        <w:t xml:space="preserve"> = 52, 14.73%), MAC (</w:t>
      </w:r>
      <w:r>
        <w:rPr>
          <w:rFonts w:ascii="Book Antiqua" w:eastAsia="Book Antiqua" w:hAnsi="Book Antiqua" w:cs="Book Antiqua"/>
          <w:i/>
          <w:iCs/>
          <w:color w:val="000000"/>
        </w:rPr>
        <w:t>n</w:t>
      </w:r>
      <w:r>
        <w:rPr>
          <w:rFonts w:ascii="Book Antiqua" w:eastAsia="Book Antiqua" w:hAnsi="Book Antiqua" w:cs="Book Antiqua"/>
          <w:color w:val="000000"/>
        </w:rPr>
        <w:t xml:space="preserve"> = 41, 14.75%) and GA (</w:t>
      </w:r>
      <w:r>
        <w:rPr>
          <w:rFonts w:ascii="Book Antiqua" w:eastAsia="Book Antiqua" w:hAnsi="Book Antiqua" w:cs="Book Antiqua"/>
          <w:i/>
          <w:iCs/>
          <w:color w:val="000000"/>
        </w:rPr>
        <w:t>n</w:t>
      </w:r>
      <w:r>
        <w:rPr>
          <w:rFonts w:ascii="Book Antiqua" w:eastAsia="Book Antiqua" w:hAnsi="Book Antiqua" w:cs="Book Antiqua"/>
          <w:color w:val="000000"/>
        </w:rPr>
        <w:t xml:space="preserve"> = 58, 19.46%), </w:t>
      </w:r>
      <w:r>
        <w:rPr>
          <w:rFonts w:ascii="Book Antiqua" w:eastAsia="Book Antiqua" w:hAnsi="Book Antiqua" w:cs="Book Antiqua"/>
          <w:i/>
          <w:iCs/>
          <w:color w:val="000000"/>
        </w:rPr>
        <w:t>P</w:t>
      </w:r>
      <w:r>
        <w:rPr>
          <w:rFonts w:ascii="Book Antiqua" w:eastAsia="Book Antiqua" w:hAnsi="Book Antiqua" w:cs="Book Antiqua"/>
          <w:color w:val="000000"/>
        </w:rPr>
        <w:t xml:space="preserve"> = 0.1902. Comparison of adverse event rates and hospitalization rates among different sedation modalities and other patient characteristics are shown in Table 3. Patients presenting with FOI and procedures requiring the use of instruments were found to have higher rates of adverse events. Conversely, the presence of chronic comorbidities was not associated with a significant difference in adverse event rates. Although adverse event rates did not differ significantly among different sedation modalities, patients who required hospitalization were significantly more common among patients who underwent MAC (51.45%) and GA (50.35%) when compared to CS (25.44%), </w:t>
      </w:r>
      <w:r w:rsidR="00FF0FB9" w:rsidRPr="001D0569">
        <w:rPr>
          <w:rFonts w:ascii="Book Antiqua" w:eastAsia="Book Antiqua" w:hAnsi="Book Antiqua" w:cs="Book Antiqua"/>
          <w:i/>
          <w:iCs/>
          <w:color w:val="000000"/>
        </w:rPr>
        <w:t>P</w:t>
      </w:r>
      <w:r>
        <w:rPr>
          <w:rFonts w:ascii="Book Antiqua" w:eastAsia="Book Antiqua" w:hAnsi="Book Antiqua" w:cs="Book Antiqua"/>
          <w:color w:val="000000"/>
        </w:rPr>
        <w:t xml:space="preserve"> &lt; 0.001. Similarly, a significantly higher number of patients who needed hospitalization were seen among patients that presented with FOI and endoscopic procedures that required instrumentation for extraction (</w:t>
      </w:r>
      <w:r w:rsidR="00FF0FB9" w:rsidRPr="001D0569">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
    <w:p w14:paraId="7FE62748" w14:textId="1DC6B98C" w:rsidR="00A77B3E" w:rsidRDefault="00966193" w:rsidP="00FF0FB9">
      <w:pPr>
        <w:spacing w:line="360" w:lineRule="auto"/>
        <w:ind w:firstLineChars="100" w:firstLine="240"/>
        <w:jc w:val="both"/>
      </w:pPr>
      <w:r>
        <w:rPr>
          <w:rFonts w:ascii="Book Antiqua" w:eastAsia="Book Antiqua" w:hAnsi="Book Antiqua" w:cs="Book Antiqua"/>
          <w:color w:val="000000"/>
        </w:rPr>
        <w:t>Among 353 patients who underwent CS, 20 patients (5.67%) needed escalation of sedation modalities to either MAC or GA. However, only 6 patients (2.16%) who underwent MAC needed conversion to GA during endoscopic removal of foreign object or food bolus.</w:t>
      </w:r>
    </w:p>
    <w:p w14:paraId="6C656322" w14:textId="14E5CA7F" w:rsidR="00A77B3E" w:rsidRDefault="00966193" w:rsidP="00FF0FB9">
      <w:pPr>
        <w:spacing w:line="360" w:lineRule="auto"/>
        <w:ind w:firstLineChars="100" w:firstLine="240"/>
        <w:jc w:val="both"/>
      </w:pPr>
      <w:r>
        <w:rPr>
          <w:rFonts w:ascii="Book Antiqua" w:eastAsia="Book Antiqua" w:hAnsi="Book Antiqua" w:cs="Book Antiqua"/>
          <w:color w:val="000000"/>
        </w:rPr>
        <w:t xml:space="preserve">After controlling for potential confounding factors including type of impaction, presence of chronic comorbidities and use of instruments, there was no difference in complication rates between the three sedation modalities. However, subjects who underwent GA were 2.43 times more likely to be admitted to the hospital as compared to those underwent CS. Similarly, subjects who underwent MAC were 2.22 times more likely to be hospitalized as compared to those who underwent CS after controlling for potential confounding variables. Lastly, success rate of endoscopic removal of foreign </w:t>
      </w:r>
      <w:r>
        <w:rPr>
          <w:rFonts w:ascii="Book Antiqua" w:eastAsia="Book Antiqua" w:hAnsi="Book Antiqua" w:cs="Book Antiqua"/>
          <w:color w:val="000000"/>
        </w:rPr>
        <w:lastRenderedPageBreak/>
        <w:t>object and food bolus was significantly higher in patients who underwent CS (</w:t>
      </w:r>
      <w:r>
        <w:rPr>
          <w:rFonts w:ascii="Book Antiqua" w:eastAsia="Book Antiqua" w:hAnsi="Book Antiqua" w:cs="Book Antiqua"/>
          <w:i/>
          <w:iCs/>
          <w:color w:val="000000"/>
        </w:rPr>
        <w:t>n</w:t>
      </w:r>
      <w:r>
        <w:rPr>
          <w:rFonts w:ascii="Book Antiqua" w:eastAsia="Book Antiqua" w:hAnsi="Book Antiqua" w:cs="Book Antiqua"/>
          <w:color w:val="000000"/>
        </w:rPr>
        <w:t xml:space="preserve"> = 344, 97.45%) compared to MAC (</w:t>
      </w:r>
      <w:r>
        <w:rPr>
          <w:rFonts w:ascii="Book Antiqua" w:eastAsia="Book Antiqua" w:hAnsi="Book Antiqua" w:cs="Book Antiqua"/>
          <w:i/>
          <w:iCs/>
          <w:color w:val="000000"/>
        </w:rPr>
        <w:t>n</w:t>
      </w:r>
      <w:r>
        <w:rPr>
          <w:rFonts w:ascii="Book Antiqua" w:eastAsia="Book Antiqua" w:hAnsi="Book Antiqua" w:cs="Book Antiqua"/>
          <w:color w:val="000000"/>
        </w:rPr>
        <w:t xml:space="preserve"> = 259, 93.17%) and GA (</w:t>
      </w:r>
      <w:r>
        <w:rPr>
          <w:rFonts w:ascii="Book Antiqua" w:eastAsia="Book Antiqua" w:hAnsi="Book Antiqua" w:cs="Book Antiqua"/>
          <w:i/>
          <w:iCs/>
          <w:color w:val="000000"/>
        </w:rPr>
        <w:t>n</w:t>
      </w:r>
      <w:r>
        <w:rPr>
          <w:rFonts w:ascii="Book Antiqua" w:eastAsia="Book Antiqua" w:hAnsi="Book Antiqua" w:cs="Book Antiqua"/>
          <w:color w:val="000000"/>
        </w:rPr>
        <w:t xml:space="preserve"> = 281, 94.30%), </w:t>
      </w:r>
      <w:r>
        <w:rPr>
          <w:rFonts w:ascii="Book Antiqua" w:eastAsia="Book Antiqua" w:hAnsi="Book Antiqua" w:cs="Book Antiqua"/>
          <w:i/>
          <w:iCs/>
          <w:color w:val="000000"/>
        </w:rPr>
        <w:t>P</w:t>
      </w:r>
      <w:r>
        <w:rPr>
          <w:rFonts w:ascii="Book Antiqua" w:eastAsia="Book Antiqua" w:hAnsi="Book Antiqua" w:cs="Book Antiqua"/>
          <w:color w:val="000000"/>
        </w:rPr>
        <w:t xml:space="preserve"> = 0.0317.</w:t>
      </w:r>
    </w:p>
    <w:p w14:paraId="0898F303" w14:textId="77777777" w:rsidR="00A77B3E" w:rsidRDefault="00A77B3E">
      <w:pPr>
        <w:spacing w:line="360" w:lineRule="auto"/>
        <w:jc w:val="both"/>
      </w:pPr>
    </w:p>
    <w:p w14:paraId="6EAF5DAE" w14:textId="77777777" w:rsidR="00A77B3E" w:rsidRDefault="00966193">
      <w:pPr>
        <w:spacing w:line="360" w:lineRule="auto"/>
        <w:jc w:val="both"/>
      </w:pPr>
      <w:r>
        <w:rPr>
          <w:rFonts w:ascii="Book Antiqua" w:eastAsia="Book Antiqua" w:hAnsi="Book Antiqua" w:cs="Book Antiqua"/>
          <w:b/>
          <w:caps/>
          <w:color w:val="000000"/>
          <w:u w:val="single"/>
        </w:rPr>
        <w:t>DISCUSSION</w:t>
      </w:r>
    </w:p>
    <w:p w14:paraId="58A9C0C3" w14:textId="0667D6A1" w:rsidR="00A77B3E" w:rsidRDefault="00966193">
      <w:pPr>
        <w:spacing w:line="360" w:lineRule="auto"/>
        <w:jc w:val="both"/>
      </w:pPr>
      <w:r>
        <w:rPr>
          <w:rFonts w:ascii="Book Antiqua" w:eastAsia="Book Antiqua" w:hAnsi="Book Antiqua" w:cs="Book Antiqua"/>
          <w:color w:val="000000"/>
        </w:rPr>
        <w:t xml:space="preserve">FOI and FBI remain a common clinical problem faced by gastroenterologists worldwide. The most frequently ingested foreign bodies in the pediatric population include coins, toys, jewelry and </w:t>
      </w:r>
      <w:proofErr w:type="gramStart"/>
      <w:r>
        <w:rPr>
          <w:rFonts w:ascii="Book Antiqua" w:eastAsia="Book Antiqua" w:hAnsi="Book Antiqua" w:cs="Book Antiqua"/>
          <w:color w:val="000000"/>
        </w:rPr>
        <w:t>batteries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In adults, most impactions occur during eating, leading to impaction of either bone and/or meat. Adult patients who intentionally swallow a true foreign body are typically younger, and more likely to have a history of psychiatric illness or possibly drug </w:t>
      </w:r>
      <w:proofErr w:type="gramStart"/>
      <w:r>
        <w:rPr>
          <w:rFonts w:ascii="Book Antiqua" w:eastAsia="Book Antiqua" w:hAnsi="Book Antiqua" w:cs="Book Antiqua"/>
          <w:color w:val="000000"/>
        </w:rPr>
        <w:t>trafficking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7,26,27]</w:t>
      </w:r>
      <w:r>
        <w:rPr>
          <w:rFonts w:ascii="Book Antiqua" w:eastAsia="Book Antiqua" w:hAnsi="Book Antiqua" w:cs="Book Antiqua"/>
          <w:color w:val="000000"/>
        </w:rPr>
        <w:t xml:space="preserve">. Unintentional FOI, however, is more commonly seen in the </w:t>
      </w:r>
      <w:proofErr w:type="gramStart"/>
      <w:r>
        <w:rPr>
          <w:rFonts w:ascii="Book Antiqua" w:eastAsia="Book Antiqua" w:hAnsi="Book Antiqua" w:cs="Book Antiqua"/>
          <w:color w:val="000000"/>
        </w:rPr>
        <w:t>elderly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It has been estimated that the annual incidence of </w:t>
      </w:r>
      <w:r w:rsidR="005C11CD">
        <w:rPr>
          <w:rFonts w:ascii="Book Antiqua" w:eastAsia="Book Antiqua" w:hAnsi="Book Antiqua" w:cs="Book Antiqua"/>
          <w:color w:val="000000"/>
        </w:rPr>
        <w:t>FBI</w:t>
      </w:r>
      <w:r>
        <w:rPr>
          <w:rFonts w:ascii="Book Antiqua" w:eastAsia="Book Antiqua" w:hAnsi="Book Antiqua" w:cs="Book Antiqua"/>
          <w:color w:val="000000"/>
        </w:rPr>
        <w:t xml:space="preserve"> is 13 per 100000 in the United </w:t>
      </w:r>
      <w:proofErr w:type="gramStart"/>
      <w:r>
        <w:rPr>
          <w:rFonts w:ascii="Book Antiqua" w:eastAsia="Book Antiqua" w:hAnsi="Book Antiqua" w:cs="Book Antiqua"/>
          <w:color w:val="000000"/>
        </w:rPr>
        <w:t>States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6C89FC2F" w14:textId="1A739AF6" w:rsidR="00A77B3E" w:rsidRDefault="00966193" w:rsidP="00FF0FB9">
      <w:pPr>
        <w:spacing w:line="360" w:lineRule="auto"/>
        <w:ind w:firstLineChars="100" w:firstLine="240"/>
        <w:jc w:val="both"/>
      </w:pPr>
      <w:r>
        <w:rPr>
          <w:rFonts w:ascii="Book Antiqua" w:eastAsia="Book Antiqua" w:hAnsi="Book Antiqua" w:cs="Book Antiqua"/>
          <w:color w:val="000000"/>
        </w:rPr>
        <w:t>FBI and FOI can be associated with serious complications including, but not limited to, mucosal ulceration, esophageal perforation, mediastinitis, vascular trauma, pneumothorax, pericarditis and</w:t>
      </w:r>
      <w:r w:rsidR="00FF0F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aorto</w:t>
      </w:r>
      <w:proofErr w:type="spellEnd"/>
      <w:r>
        <w:rPr>
          <w:rFonts w:ascii="Book Antiqua" w:eastAsia="Book Antiqua" w:hAnsi="Book Antiqua" w:cs="Book Antiqua"/>
          <w:color w:val="000000"/>
        </w:rPr>
        <w:t xml:space="preserve">-esophageal or </w:t>
      </w:r>
      <w:proofErr w:type="spellStart"/>
      <w:r>
        <w:rPr>
          <w:rFonts w:ascii="Book Antiqua" w:eastAsia="Book Antiqua" w:hAnsi="Book Antiqua" w:cs="Book Antiqua"/>
          <w:color w:val="000000"/>
        </w:rPr>
        <w:t>tracheo</w:t>
      </w:r>
      <w:proofErr w:type="spellEnd"/>
      <w:r>
        <w:rPr>
          <w:rFonts w:ascii="Book Antiqua" w:eastAsia="Book Antiqua" w:hAnsi="Book Antiqua" w:cs="Book Antiqua"/>
          <w:color w:val="000000"/>
        </w:rPr>
        <w:t xml:space="preserve">-esophageal </w:t>
      </w:r>
      <w:proofErr w:type="gramStart"/>
      <w:r>
        <w:rPr>
          <w:rFonts w:ascii="Book Antiqua" w:eastAsia="Book Antiqua" w:hAnsi="Book Antiqua" w:cs="Book Antiqua"/>
          <w:color w:val="000000"/>
        </w:rPr>
        <w:t>fistula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15,16</w:t>
      </w:r>
      <w:r w:rsidR="00FF0FB9">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r w:rsidR="00FF0FB9">
        <w:rPr>
          <w:rFonts w:ascii="Book Antiqua" w:eastAsia="Book Antiqua" w:hAnsi="Book Antiqua" w:cs="Book Antiqua"/>
          <w:color w:val="000000"/>
        </w:rPr>
        <w:t xml:space="preserve"> </w:t>
      </w:r>
      <w:r>
        <w:rPr>
          <w:rFonts w:ascii="Book Antiqua" w:eastAsia="Book Antiqua" w:hAnsi="Book Antiqua" w:cs="Book Antiqua"/>
          <w:color w:val="000000"/>
        </w:rPr>
        <w:t>In an early review of cases, an algorithm for management of these patients was developed depending upon the location of the ingested body. Per this algorithm, patients either underwent spontaneous passage, endoscopic removal or operative management based on the</w:t>
      </w:r>
      <w:r w:rsidR="00FF0FB9">
        <w:rPr>
          <w:rFonts w:ascii="Book Antiqua" w:eastAsia="Book Antiqua" w:hAnsi="Book Antiqua" w:cs="Book Antiqua"/>
          <w:color w:val="000000"/>
        </w:rPr>
        <w:t xml:space="preserve"> </w:t>
      </w:r>
      <w:r>
        <w:rPr>
          <w:rFonts w:ascii="Book Antiqua" w:eastAsia="Book Antiqua" w:hAnsi="Book Antiqua" w:cs="Book Antiqua"/>
          <w:color w:val="000000"/>
        </w:rPr>
        <w:t xml:space="preserve">location of the </w:t>
      </w:r>
      <w:proofErr w:type="gramStart"/>
      <w:r>
        <w:rPr>
          <w:rFonts w:ascii="Book Antiqua" w:eastAsia="Book Antiqua" w:hAnsi="Book Antiqua" w:cs="Book Antiqua"/>
          <w:color w:val="000000"/>
        </w:rPr>
        <w:t>obstruction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Ultimately, the choice of treatment modality is largely dependent on several factors including the patient’s age, clinical condition, comorbidities, type of ingested body, location of the ingested body, anatomical considerations, physician/institutional experience/preference and availability of resources.</w:t>
      </w:r>
      <w:r w:rsidR="00FF0FB9">
        <w:rPr>
          <w:rFonts w:ascii="Book Antiqua" w:eastAsia="Book Antiqua" w:hAnsi="Book Antiqua" w:cs="Book Antiqua"/>
          <w:color w:val="000000"/>
        </w:rPr>
        <w:t xml:space="preserve"> </w:t>
      </w:r>
      <w:r>
        <w:rPr>
          <w:rFonts w:ascii="Book Antiqua" w:eastAsia="Book Antiqua" w:hAnsi="Book Antiqua" w:cs="Book Antiqua"/>
          <w:color w:val="000000"/>
        </w:rPr>
        <w:t xml:space="preserve">For example, sharper objects like toothpicks or chicken bones had the highest risk of perforation and favored early endoscopic removal. Furthermore, Zhang </w:t>
      </w:r>
      <w:r w:rsidR="00FF0FB9" w:rsidRPr="00FF0FB9">
        <w:rPr>
          <w:rFonts w:ascii="Book Antiqua" w:eastAsia="Book Antiqua" w:hAnsi="Book Antiqua" w:cs="Book Antiqua"/>
          <w:i/>
          <w:iCs/>
          <w:color w:val="000000"/>
        </w:rPr>
        <w:t xml:space="preserve">et </w:t>
      </w:r>
      <w:proofErr w:type="gramStart"/>
      <w:r w:rsidR="00FF0FB9" w:rsidRPr="00FF0FB9">
        <w:rPr>
          <w:rFonts w:ascii="Book Antiqua" w:eastAsia="Book Antiqua" w:hAnsi="Book Antiqua" w:cs="Book Antiqua"/>
          <w:i/>
          <w:iCs/>
          <w:color w:val="000000"/>
        </w:rPr>
        <w:t>al</w:t>
      </w:r>
      <w:r w:rsidR="00FF0FB9">
        <w:rPr>
          <w:rFonts w:ascii="Book Antiqua" w:eastAsia="Book Antiqua" w:hAnsi="Book Antiqua" w:cs="Book Antiqua"/>
          <w:color w:val="000000"/>
          <w:szCs w:val="30"/>
          <w:vertAlign w:val="superscript"/>
        </w:rPr>
        <w:t>[</w:t>
      </w:r>
      <w:proofErr w:type="gramEnd"/>
      <w:r w:rsidR="00FF0FB9">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also observed lower rates of complications in patients presenting with esophageal FBI or FOI within the first 24 h of ingestion. This emphasizes the importance of early endoscopic removal of retained objects, preferably within the first 24 h.</w:t>
      </w:r>
    </w:p>
    <w:p w14:paraId="05B22F7D" w14:textId="58A199FB" w:rsidR="00A77B3E" w:rsidRDefault="00966193" w:rsidP="00FF0FB9">
      <w:pPr>
        <w:spacing w:line="360" w:lineRule="auto"/>
        <w:ind w:firstLineChars="100" w:firstLine="240"/>
        <w:jc w:val="both"/>
      </w:pPr>
      <w:r>
        <w:rPr>
          <w:rFonts w:ascii="Book Antiqua" w:eastAsia="Book Antiqua" w:hAnsi="Book Antiqua" w:cs="Book Antiqua"/>
          <w:color w:val="000000"/>
        </w:rPr>
        <w:t xml:space="preserve">Present guidelines, however, make no recommendations on the modality of anesthesia for emergent endoscopic management of FOI and FBI. Endoscopic removal, </w:t>
      </w:r>
      <w:r>
        <w:rPr>
          <w:rFonts w:ascii="Book Antiqua" w:eastAsia="Book Antiqua" w:hAnsi="Book Antiqua" w:cs="Book Antiqua"/>
          <w:color w:val="000000"/>
        </w:rPr>
        <w:lastRenderedPageBreak/>
        <w:t xml:space="preserve">like all other endoscopic procedures, needs pre-procedural patient evaluation to assess the risk of sedation on a case-by-case basis. This includes a good medical history to determine relevant risk factors like history of obstructive sleep apnea, specific allergies or potential drug interactions, history of adverse reaction to various sedatives, history of drug or alcohol abuse and time of last oral </w:t>
      </w:r>
      <w:proofErr w:type="gramStart"/>
      <w:r>
        <w:rPr>
          <w:rFonts w:ascii="Book Antiqua" w:eastAsia="Book Antiqua" w:hAnsi="Book Antiqua" w:cs="Book Antiqua"/>
          <w:color w:val="000000"/>
        </w:rPr>
        <w:t>intake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r w:rsidR="00FF0FB9">
        <w:rPr>
          <w:rFonts w:ascii="Book Antiqua" w:eastAsia="Book Antiqua" w:hAnsi="Book Antiqua" w:cs="Book Antiqua"/>
          <w:color w:val="000000"/>
        </w:rPr>
        <w:t xml:space="preserve"> </w:t>
      </w:r>
      <w:r>
        <w:rPr>
          <w:rFonts w:ascii="Book Antiqua" w:eastAsia="Book Antiqua" w:hAnsi="Book Antiqua" w:cs="Book Antiqua"/>
          <w:color w:val="000000"/>
        </w:rPr>
        <w:t>Although endoscopic removal of foreign bodies or food boluses under CS may prove to be similarly effective and less time consuming, many clinicians may prefer performing these procedures under MAC or GA.</w:t>
      </w:r>
      <w:r w:rsidR="00FF0FB9">
        <w:rPr>
          <w:rFonts w:ascii="Book Antiqua" w:eastAsia="Book Antiqua" w:hAnsi="Book Antiqua" w:cs="Book Antiqua"/>
          <w:color w:val="000000"/>
        </w:rPr>
        <w:t xml:space="preserve"> </w:t>
      </w:r>
      <w:r>
        <w:rPr>
          <w:rFonts w:ascii="Book Antiqua" w:eastAsia="Book Antiqua" w:hAnsi="Book Antiqua" w:cs="Book Antiqua"/>
          <w:color w:val="000000"/>
        </w:rPr>
        <w:t>However, no study has shown conclusive benefit of using GA or MAC as compared to CS.</w:t>
      </w:r>
      <w:r w:rsidR="00FF0FB9">
        <w:rPr>
          <w:rFonts w:ascii="Book Antiqua" w:eastAsia="Book Antiqua" w:hAnsi="Book Antiqua" w:cs="Book Antiqua"/>
          <w:color w:val="000000"/>
        </w:rPr>
        <w:t xml:space="preserve"> </w:t>
      </w:r>
      <w:r>
        <w:rPr>
          <w:rFonts w:ascii="Book Antiqua" w:eastAsia="Book Antiqua" w:hAnsi="Book Antiqua" w:cs="Book Antiqua"/>
          <w:color w:val="000000"/>
        </w:rPr>
        <w:t xml:space="preserve">In fact, the frequent use of GA, can potentially prolong the duration of foreign object or </w:t>
      </w:r>
      <w:r w:rsidR="005C11CD">
        <w:rPr>
          <w:rFonts w:ascii="Book Antiqua" w:eastAsia="Book Antiqua" w:hAnsi="Book Antiqua" w:cs="Book Antiqua"/>
          <w:color w:val="000000"/>
        </w:rPr>
        <w:t>FBI</w:t>
      </w:r>
      <w:r>
        <w:rPr>
          <w:rFonts w:ascii="Book Antiqua" w:eastAsia="Book Antiqua" w:hAnsi="Book Antiqua" w:cs="Book Antiqua"/>
          <w:color w:val="000000"/>
        </w:rPr>
        <w:t xml:space="preserve"> especially in resource-limited hospitals or due to the absence of in-house anesthesia service during night shifts in smaller community hospitals. This is clinically important as previous studies have shown that early endoscopic intervention increases the rate of successful esophageal foreign object/food bolus </w:t>
      </w:r>
      <w:proofErr w:type="gramStart"/>
      <w:r>
        <w:rPr>
          <w:rFonts w:ascii="Book Antiqua" w:eastAsia="Book Antiqua" w:hAnsi="Book Antiqua" w:cs="Book Antiqua"/>
          <w:color w:val="000000"/>
        </w:rPr>
        <w:t>removal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sidR="00FF0FB9">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16,31]</w:t>
      </w:r>
      <w:r>
        <w:rPr>
          <w:rFonts w:ascii="Book Antiqua" w:eastAsia="Book Antiqua" w:hAnsi="Book Antiqua" w:cs="Book Antiqua"/>
          <w:color w:val="000000"/>
        </w:rPr>
        <w:t>.</w:t>
      </w:r>
    </w:p>
    <w:p w14:paraId="38E637DA" w14:textId="1ED89958" w:rsidR="00A77B3E" w:rsidRDefault="00966193" w:rsidP="00FF0FB9">
      <w:pPr>
        <w:spacing w:line="360" w:lineRule="auto"/>
        <w:ind w:firstLineChars="100" w:firstLine="240"/>
        <w:jc w:val="both"/>
      </w:pPr>
      <w:r>
        <w:rPr>
          <w:rFonts w:ascii="Book Antiqua" w:eastAsia="Book Antiqua" w:hAnsi="Book Antiqua" w:cs="Book Antiqua"/>
          <w:color w:val="000000"/>
        </w:rPr>
        <w:t xml:space="preserve">Another factor to be considered in choosing the sedation modality for such patients is the cost. Currently the cost of MAC, which necessitates formal anesthesia assistance can range from an additional $150-$1500 per endoscopic case. This increased cost, however, is not associated with significant increase in safety profile of most procedures as compared to endoscopist-directed sedation or </w:t>
      </w:r>
      <w:proofErr w:type="gramStart"/>
      <w:r>
        <w:rPr>
          <w:rFonts w:ascii="Book Antiqua" w:eastAsia="Book Antiqua" w:hAnsi="Book Antiqua" w:cs="Book Antiqua"/>
          <w:color w:val="000000"/>
        </w:rPr>
        <w:t>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64CC37D1" w14:textId="424589F3" w:rsidR="00A77B3E" w:rsidRDefault="00966193" w:rsidP="00FF0FB9">
      <w:pPr>
        <w:spacing w:line="360" w:lineRule="auto"/>
        <w:ind w:firstLineChars="100" w:firstLine="240"/>
        <w:jc w:val="both"/>
      </w:pPr>
      <w:r>
        <w:rPr>
          <w:rFonts w:ascii="Book Antiqua" w:eastAsia="Book Antiqua" w:hAnsi="Book Antiqua" w:cs="Book Antiqua"/>
          <w:color w:val="000000"/>
        </w:rPr>
        <w:t xml:space="preserve">In the current study, a total of 929 emergent endoscopy procedures for FOI and FBI were reviewed and analyzed. The choice of sedation modality was clinician-directed, based on individual preference and clinical judgements. Most of the emergent endoscopies reviewed were performed under CS administered by the endoscopist (38.0%), while the remaining procedures were performed under MAC or GA, with the assistance of a dedicated anesthesia provider. This study found fewer patients underwent GA compared to a previous case series conducted in a Chinese university hospital by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F0FB9">
        <w:rPr>
          <w:rFonts w:ascii="Book Antiqua" w:eastAsia="Book Antiqua" w:hAnsi="Book Antiqua" w:cs="Book Antiqua"/>
          <w:color w:val="000000"/>
          <w:szCs w:val="30"/>
          <w:vertAlign w:val="superscript"/>
        </w:rPr>
        <w:t>[</w:t>
      </w:r>
      <w:proofErr w:type="gramEnd"/>
      <w:r w:rsidR="00FF0FB9">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where approximately 50% of patients who underwent foreign object or food bolus retrieval had GA. In the case series, endoscopic foreign object removal under GA was associated with neither higher success rate nor lower adverse event rate as compared to topical pharyngeal anesthesia only. However, unlike the </w:t>
      </w:r>
      <w:r>
        <w:rPr>
          <w:rFonts w:ascii="Book Antiqua" w:eastAsia="Book Antiqua" w:hAnsi="Book Antiqua" w:cs="Book Antiqua"/>
          <w:color w:val="000000"/>
        </w:rPr>
        <w:lastRenderedPageBreak/>
        <w:t xml:space="preserve">study by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FF0FB9">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where 10.6% of the patients were children less than 14 years old, our study excluded patients less than 18 years of age. This could potentially explain the lower percentage of patients undergoing GA in our study. Interestingly, the aforementioned study observed almost 65.3% of impacted cases being bony foreign body, indicating a potential cultural and geographical variation in these cases.</w:t>
      </w:r>
    </w:p>
    <w:p w14:paraId="7C10ED49" w14:textId="21E4EFAF" w:rsidR="00A77B3E" w:rsidRDefault="00966193" w:rsidP="00FF0FB9">
      <w:pPr>
        <w:spacing w:line="360" w:lineRule="auto"/>
        <w:ind w:firstLineChars="100" w:firstLine="240"/>
        <w:jc w:val="both"/>
      </w:pPr>
      <w:r>
        <w:rPr>
          <w:rFonts w:ascii="Book Antiqua" w:eastAsia="Book Antiqua" w:hAnsi="Book Antiqua" w:cs="Book Antiqua"/>
          <w:color w:val="000000"/>
        </w:rPr>
        <w:t xml:space="preserve">Meanwhile, </w:t>
      </w:r>
      <w:r w:rsidR="00777843">
        <w:rPr>
          <w:rFonts w:ascii="Book Antiqua" w:eastAsia="Book Antiqua" w:hAnsi="Book Antiqua" w:cs="Book Antiqua"/>
          <w:color w:val="000000"/>
        </w:rPr>
        <w:t xml:space="preserve">two </w:t>
      </w:r>
      <w:r w:rsidR="006F6F1A">
        <w:rPr>
          <w:rFonts w:ascii="Book Antiqua" w:eastAsia="Book Antiqua" w:hAnsi="Book Antiqua" w:cs="Book Antiqua"/>
          <w:color w:val="000000"/>
        </w:rPr>
        <w:t>published</w:t>
      </w:r>
      <w:r>
        <w:rPr>
          <w:rFonts w:ascii="Book Antiqua" w:eastAsia="Book Antiqua" w:hAnsi="Book Antiqua" w:cs="Book Antiqua"/>
          <w:color w:val="000000"/>
        </w:rPr>
        <w:t xml:space="preserve"> case series in Italy reported only 0% to 13.2% of the food bolus and foreign object removals were performed with </w:t>
      </w:r>
      <w:proofErr w:type="gramStart"/>
      <w:r>
        <w:rPr>
          <w:rFonts w:ascii="Book Antiqua" w:eastAsia="Book Antiqua" w:hAnsi="Book Antiqua" w:cs="Book Antiqua"/>
          <w:color w:val="000000"/>
        </w:rPr>
        <w:t>GA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1,22]</w:t>
      </w:r>
      <w:r>
        <w:rPr>
          <w:rFonts w:ascii="Book Antiqua" w:eastAsia="Book Antiqua" w:hAnsi="Book Antiqua" w:cs="Book Antiqua"/>
          <w:color w:val="000000"/>
        </w:rPr>
        <w:t xml:space="preserve">. </w:t>
      </w:r>
      <w:r w:rsidR="006F6F1A">
        <w:rPr>
          <w:rFonts w:ascii="Book Antiqua" w:eastAsia="Book Antiqua" w:hAnsi="Book Antiqua" w:cs="Book Antiqua"/>
          <w:color w:val="000000"/>
        </w:rPr>
        <w:t>These</w:t>
      </w:r>
      <w:r>
        <w:rPr>
          <w:rFonts w:ascii="Book Antiqua" w:eastAsia="Book Antiqua" w:hAnsi="Book Antiqua" w:cs="Book Antiqua"/>
          <w:color w:val="000000"/>
        </w:rPr>
        <w:t xml:space="preserve"> </w:t>
      </w:r>
      <w:r w:rsidR="00777843">
        <w:rPr>
          <w:rFonts w:ascii="Book Antiqua" w:eastAsia="Book Antiqua" w:hAnsi="Book Antiqua" w:cs="Book Antiqua"/>
          <w:color w:val="000000"/>
        </w:rPr>
        <w:t>studies</w:t>
      </w:r>
      <w:r>
        <w:rPr>
          <w:rFonts w:ascii="Book Antiqua" w:eastAsia="Book Antiqua" w:hAnsi="Book Antiqua" w:cs="Book Antiqua"/>
          <w:color w:val="000000"/>
        </w:rPr>
        <w:t xml:space="preserve"> also reported low rate</w:t>
      </w:r>
      <w:r w:rsidR="00777843">
        <w:rPr>
          <w:rFonts w:ascii="Book Antiqua" w:eastAsia="Book Antiqua" w:hAnsi="Book Antiqua" w:cs="Book Antiqua"/>
          <w:color w:val="000000"/>
        </w:rPr>
        <w:t>s</w:t>
      </w:r>
      <w:r>
        <w:rPr>
          <w:rFonts w:ascii="Book Antiqua" w:eastAsia="Book Antiqua" w:hAnsi="Book Antiqua" w:cs="Book Antiqua"/>
          <w:color w:val="000000"/>
        </w:rPr>
        <w:t xml:space="preserve"> of adverse events ranging between none to 7%. Conversely, in our current study, more than double that number of patients with FOI and FBI, underwent GA. When including only patients with FOI, a case series in a US-based university hospital found that GA and MAC were used in 86%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This finding is similar to our study as more than 80% of examined patients with FOI also underwent GA or MAC. The vast difference in the sedation practices for emergent endoscopic removal of foreign object and food bolus seen in various studies reflected the lack of research and guidelines in this area. This further highlights the need for more studies in order to understand the benefits and risks of different sedation modalities in these settings.</w:t>
      </w:r>
    </w:p>
    <w:p w14:paraId="382BB915" w14:textId="2FF6CF74" w:rsidR="00A77B3E" w:rsidRDefault="00966193" w:rsidP="00FF0FB9">
      <w:pPr>
        <w:spacing w:line="360" w:lineRule="auto"/>
        <w:ind w:firstLineChars="100" w:firstLine="240"/>
        <w:jc w:val="both"/>
      </w:pPr>
      <w:r>
        <w:rPr>
          <w:rFonts w:ascii="Book Antiqua" w:eastAsia="Book Antiqua" w:hAnsi="Book Antiqua" w:cs="Book Antiqua"/>
          <w:color w:val="000000"/>
        </w:rPr>
        <w:t xml:space="preserve">In the present study, the majority of emergent endoscopic interventions were performed for FBI. FBI in adults are most common at sites of narrowing or angulation due to an underlying esophageal pathology. This disrupts the normal anatomy and may cause impaction of food. These pathologies may include but are not limited to benign and malignant strictures, eosinophilic esophagitis, lymphocytic esophagitis, hiatal hernias, Schatzki’s rings and esophageal </w:t>
      </w:r>
      <w:proofErr w:type="gramStart"/>
      <w:r>
        <w:rPr>
          <w:rFonts w:ascii="Book Antiqua" w:eastAsia="Book Antiqua" w:hAnsi="Book Antiqua" w:cs="Book Antiqua"/>
          <w:color w:val="000000"/>
        </w:rPr>
        <w:t>webs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In patients without structural abnormalities, seasonal variation has been reported in patients with FBI in previous studies. This may be attributed to seasonal variation of eosinophilic esophagitis especially in patients with concomitant atopic </w:t>
      </w:r>
      <w:proofErr w:type="gramStart"/>
      <w:r>
        <w:rPr>
          <w:rFonts w:ascii="Book Antiqua" w:eastAsia="Book Antiqua" w:hAnsi="Book Antiqua" w:cs="Book Antiqua"/>
          <w:color w:val="000000"/>
        </w:rPr>
        <w:t>diathesis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34D7BDA0" w14:textId="07228DD3" w:rsidR="00A77B3E" w:rsidRDefault="00966193" w:rsidP="00FF0FB9">
      <w:pPr>
        <w:spacing w:line="360" w:lineRule="auto"/>
        <w:ind w:firstLineChars="100" w:firstLine="240"/>
        <w:jc w:val="both"/>
      </w:pPr>
      <w:r>
        <w:rPr>
          <w:rFonts w:ascii="Book Antiqua" w:eastAsia="Book Antiqua" w:hAnsi="Book Antiqua" w:cs="Book Antiqua"/>
          <w:color w:val="000000"/>
        </w:rPr>
        <w:t xml:space="preserve">In the present study, patients who presented with FBI were older and had more medical co-morbidities compared to patients with FOI. This could be attributed to poorly chewed food, esophageal narrowing or dysmotility, which are more commonly </w:t>
      </w:r>
      <w:r>
        <w:rPr>
          <w:rFonts w:ascii="Book Antiqua" w:eastAsia="Book Antiqua" w:hAnsi="Book Antiqua" w:cs="Book Antiqua"/>
          <w:color w:val="000000"/>
        </w:rPr>
        <w:lastRenderedPageBreak/>
        <w:t xml:space="preserve">seen in the older population. Interestingly, patients with FBI who underwent emergent endoscopy were found to have lower adverse event rates compared to patients with FOI despite being in an older age group and having multiple co-morbidities. In contrast, patients who presented with FOI were younger and frequently had underlying psychiatric disorders. The higher adverse event rate among FOI patients may be explained by the sharp nature of many ingested foreign bodies. In addition, they also contributed to frequent re-admission, with one of the patients undergoing a total of 93 endoscopies for foreign object extraction between 2011 and 2018. Unlike FBI, many patients with FOI have underlying psychiatric conditions that are frequently </w:t>
      </w:r>
      <w:proofErr w:type="gramStart"/>
      <w:r>
        <w:rPr>
          <w:rFonts w:ascii="Book Antiqua" w:eastAsia="Book Antiqua" w:hAnsi="Book Antiqua" w:cs="Book Antiqua"/>
          <w:color w:val="000000"/>
        </w:rPr>
        <w:t>irreversible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Patients with pica do not have effective treatment and frequently have the urge to swallow foreign objects despite support from multidisciplinary teams. As psychiatric patients frequently also have underlying anxiety and can be uncooperative during endoscopy, GA is frequently used in this population. </w:t>
      </w:r>
    </w:p>
    <w:p w14:paraId="34DC9AC8" w14:textId="6C223F5E" w:rsidR="00A77B3E" w:rsidRDefault="00966193" w:rsidP="00FF0FB9">
      <w:pPr>
        <w:spacing w:line="360" w:lineRule="auto"/>
        <w:ind w:firstLineChars="100" w:firstLine="240"/>
        <w:jc w:val="both"/>
      </w:pPr>
      <w:r>
        <w:rPr>
          <w:rFonts w:ascii="Book Antiqua" w:eastAsia="Book Antiqua" w:hAnsi="Book Antiqua" w:cs="Book Antiqua"/>
          <w:color w:val="000000"/>
        </w:rPr>
        <w:t xml:space="preserve">The most common early adverse events observed in this study were mucosal laceration and bleeding. Theoretically, patients undergoing endoscopy under CS may be at higher risk of laceration due to patient movements due to use of “lighter” anesthesia. However, this study did not show higher complication rates in this patient population, possibly due to proper use of rubber hoods and </w:t>
      </w:r>
      <w:proofErr w:type="spellStart"/>
      <w:r>
        <w:rPr>
          <w:rFonts w:ascii="Book Antiqua" w:eastAsia="Book Antiqua" w:hAnsi="Book Antiqua" w:cs="Book Antiqua"/>
          <w:color w:val="000000"/>
        </w:rPr>
        <w:t>overtubes</w:t>
      </w:r>
      <w:proofErr w:type="spellEnd"/>
      <w:r>
        <w:rPr>
          <w:rFonts w:ascii="Book Antiqua" w:eastAsia="Book Antiqua" w:hAnsi="Book Antiqua" w:cs="Book Antiqua"/>
          <w:color w:val="000000"/>
        </w:rPr>
        <w:t xml:space="preserve">. Also, the majority of sedation-related complications can be minimized through a detailed pre-operative assessment, preparation, intraoperative monitoring and support, and post-sedation </w:t>
      </w:r>
      <w:proofErr w:type="gramStart"/>
      <w:r>
        <w:rPr>
          <w:rFonts w:ascii="Book Antiqua" w:eastAsia="Book Antiqua" w:hAnsi="Book Antiqua" w:cs="Book Antiqua"/>
          <w:color w:val="000000"/>
        </w:rPr>
        <w:t>management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In a similar vein, patients who underwent GA and MAC were more likely to be hospitalized. This is in part due to longer inpatient psychiatric monitoring as many patients who underwent emergent endoscopy under GA frequently presented with FOI with underlying psychiatric disorder. Interestingly, incidence of failure or incomplete removal of foreign object or food bolus is significantly lower in patients who underwent CS compared to other sedation modalities. The higher success rate observed in the CS group may be attributed to the higher proportion of patients with FBI in that group, which may present with lesser technical challenges compared to FOI removal. Although patients who underwent CS had higher success </w:t>
      </w:r>
      <w:r>
        <w:rPr>
          <w:rFonts w:ascii="Book Antiqua" w:eastAsia="Book Antiqua" w:hAnsi="Book Antiqua" w:cs="Book Antiqua"/>
          <w:color w:val="000000"/>
        </w:rPr>
        <w:lastRenderedPageBreak/>
        <w:t>rates and no significant difference in adverse event rates compared to other sedation modalities, up to 5.67% of patients who underwent CS needed escalation of sedation modality to MAC or GA. This is often caused by inadequate sedation or prolonged procedure time due to difficult extraction. This is an important factor that may influence clinicians’ decision to perform emergent endoscopy under CS or wait for support from anesthesia service.</w:t>
      </w:r>
    </w:p>
    <w:p w14:paraId="19B86E33" w14:textId="77777777" w:rsidR="00A77B3E" w:rsidRDefault="00966193" w:rsidP="00FF0FB9">
      <w:pPr>
        <w:spacing w:line="360" w:lineRule="auto"/>
        <w:ind w:firstLineChars="100" w:firstLine="240"/>
        <w:jc w:val="both"/>
      </w:pPr>
      <w:r>
        <w:rPr>
          <w:rFonts w:ascii="Book Antiqua" w:eastAsia="Book Antiqua" w:hAnsi="Book Antiqua" w:cs="Book Antiqua"/>
          <w:color w:val="000000"/>
        </w:rPr>
        <w:t xml:space="preserve">Our study has several limitations. First, the retrospective nature of the study limits the control over selection bias. Retrospective chart review also lacks the ability to detect adverse events that were not appropriately documented. Second, patients who presented with FOI often have high readmission rates for the same chief complaint due to an underlying psychiatric condition. This may have led to over-representation of FOI procedures in this study. Third, patients that presented with FBI and FOI were analyzed together. The nature of the impaction may contribute as a confounding factor which affects the measured outcome. Fourth, patients presenting with FBI or FOI may be hospitalized for various reasons, including psychiatric assessments and behavioral monitoring which are unrelated to the endoscopy. Thus, the high hospitalization rate observed in patient undergoing GA may not have a direct causal relationship with the sedation modalities. Finally, the decision to use a specific sedation modality was usually attributed to endoscopist judgement. However, institutional policy change may affect outcomes. Within the Cleveland Clinic Health System where this study was based, there has been a slow paradigm shift towards favoring GA for all patients with FBI/FOI. This may lead to confounding of the results as the decision on sedation modality may not be entirely at the discretion of the endoscopist. </w:t>
      </w:r>
    </w:p>
    <w:p w14:paraId="536859EA" w14:textId="77777777" w:rsidR="00A77B3E" w:rsidRDefault="00A77B3E">
      <w:pPr>
        <w:spacing w:line="360" w:lineRule="auto"/>
        <w:jc w:val="both"/>
      </w:pPr>
    </w:p>
    <w:p w14:paraId="654E5978" w14:textId="77777777" w:rsidR="00A77B3E" w:rsidRDefault="00966193">
      <w:pPr>
        <w:spacing w:line="360" w:lineRule="auto"/>
        <w:jc w:val="both"/>
      </w:pPr>
      <w:r>
        <w:rPr>
          <w:rFonts w:ascii="Book Antiqua" w:eastAsia="Book Antiqua" w:hAnsi="Book Antiqua" w:cs="Book Antiqua"/>
          <w:b/>
          <w:caps/>
          <w:color w:val="000000"/>
          <w:u w:val="single"/>
        </w:rPr>
        <w:t>CONCLUSION</w:t>
      </w:r>
    </w:p>
    <w:p w14:paraId="09CB4D47" w14:textId="77777777" w:rsidR="00A77B3E" w:rsidRDefault="00966193">
      <w:pPr>
        <w:spacing w:line="360" w:lineRule="auto"/>
        <w:jc w:val="both"/>
      </w:pPr>
      <w:r>
        <w:rPr>
          <w:rFonts w:ascii="Book Antiqua" w:eastAsia="Book Antiqua" w:hAnsi="Book Antiqua" w:cs="Book Antiqua"/>
          <w:color w:val="000000"/>
        </w:rPr>
        <w:t xml:space="preserve">In the setting of increasingly common use of GA for emergent endoscopy, this study has shed some light on the outcomes of emergent endoscopic removal of food bolus or foreign objects in the upper gastrointestinal tract under different sedation modalities. In conclusion, patients who underwent emergent endoscopic foreign object or food bolus </w:t>
      </w:r>
      <w:r>
        <w:rPr>
          <w:rFonts w:ascii="Book Antiqua" w:eastAsia="Book Antiqua" w:hAnsi="Book Antiqua" w:cs="Book Antiqua"/>
          <w:color w:val="000000"/>
        </w:rPr>
        <w:lastRenderedPageBreak/>
        <w:t>retrieval under CS were not associated with higher adverse event rates when compared to MAC or GA. Patients presenting with FOI and those who underwent endoscopic removal with the use of instruments were associated with high adverse events rate. However, the hospitalization rate was higher among patients who underwent endoscopy with MAC and GA, patients with FOI, patients with chronic comorbidities, and endoscopies requiring instrumentation. These findings can potentially lead to sedation practices that allow more timely access to emergent endoscopy and further cost savings to the health care system.</w:t>
      </w:r>
    </w:p>
    <w:p w14:paraId="576059DC" w14:textId="77777777" w:rsidR="00A77B3E" w:rsidRDefault="00A77B3E">
      <w:pPr>
        <w:spacing w:line="360" w:lineRule="auto"/>
        <w:jc w:val="both"/>
      </w:pPr>
    </w:p>
    <w:p w14:paraId="26642830" w14:textId="77777777" w:rsidR="00A77B3E" w:rsidRDefault="00966193">
      <w:pPr>
        <w:spacing w:line="360" w:lineRule="auto"/>
        <w:jc w:val="both"/>
      </w:pPr>
      <w:r>
        <w:rPr>
          <w:rFonts w:ascii="Book Antiqua" w:eastAsia="Book Antiqua" w:hAnsi="Book Antiqua" w:cs="Book Antiqua"/>
          <w:b/>
          <w:caps/>
          <w:color w:val="000000"/>
          <w:u w:val="single"/>
        </w:rPr>
        <w:t>ARTICLE HIGHLIGHTS</w:t>
      </w:r>
    </w:p>
    <w:p w14:paraId="6B66760D" w14:textId="77777777" w:rsidR="00A77B3E" w:rsidRDefault="00966193">
      <w:pPr>
        <w:spacing w:line="360" w:lineRule="auto"/>
        <w:jc w:val="both"/>
      </w:pPr>
      <w:r>
        <w:rPr>
          <w:rFonts w:ascii="Book Antiqua" w:eastAsia="Book Antiqua" w:hAnsi="Book Antiqua" w:cs="Book Antiqua"/>
          <w:b/>
          <w:i/>
          <w:color w:val="000000"/>
        </w:rPr>
        <w:t>Research background</w:t>
      </w:r>
    </w:p>
    <w:p w14:paraId="54CBCEE7" w14:textId="70F955B5" w:rsidR="00A77B3E" w:rsidRDefault="00966193">
      <w:pPr>
        <w:spacing w:line="360" w:lineRule="auto"/>
        <w:jc w:val="both"/>
      </w:pPr>
      <w:r>
        <w:rPr>
          <w:rFonts w:ascii="Book Antiqua" w:eastAsia="Book Antiqua" w:hAnsi="Book Antiqua" w:cs="Book Antiqua"/>
          <w:color w:val="000000"/>
        </w:rPr>
        <w:t>Foreign object ingestion (FOI) and food bolus impaction (FBI) are common causes of emergent endoscopic intervention. However, the choice of sedation used during emergent endoscopy for foreign bodies is often dictated by physician experience.</w:t>
      </w:r>
    </w:p>
    <w:p w14:paraId="29CD4943" w14:textId="77777777" w:rsidR="00A77B3E" w:rsidRDefault="00A77B3E">
      <w:pPr>
        <w:spacing w:line="360" w:lineRule="auto"/>
        <w:jc w:val="both"/>
      </w:pPr>
    </w:p>
    <w:p w14:paraId="438064E8" w14:textId="77777777" w:rsidR="00A77B3E" w:rsidRDefault="00966193">
      <w:pPr>
        <w:spacing w:line="360" w:lineRule="auto"/>
        <w:jc w:val="both"/>
      </w:pPr>
      <w:r>
        <w:rPr>
          <w:rFonts w:ascii="Book Antiqua" w:eastAsia="Book Antiqua" w:hAnsi="Book Antiqua" w:cs="Book Antiqua"/>
          <w:b/>
          <w:i/>
          <w:color w:val="000000"/>
        </w:rPr>
        <w:t>Research motivation</w:t>
      </w:r>
    </w:p>
    <w:p w14:paraId="2FAC02C1" w14:textId="4A9D1490" w:rsidR="00A77B3E" w:rsidRDefault="00966193">
      <w:pPr>
        <w:spacing w:line="360" w:lineRule="auto"/>
        <w:jc w:val="both"/>
      </w:pPr>
      <w:r>
        <w:rPr>
          <w:rFonts w:ascii="Book Antiqua" w:eastAsia="Book Antiqua" w:hAnsi="Book Antiqua" w:cs="Book Antiqua"/>
          <w:color w:val="000000"/>
        </w:rPr>
        <w:t xml:space="preserve">Currently, there is insufficient data examining the safety of different sedation modalities in emergent endoscopy for removal of ingested foreign objects or </w:t>
      </w:r>
      <w:r w:rsidR="005C11CD">
        <w:rPr>
          <w:rFonts w:ascii="Book Antiqua" w:eastAsia="Book Antiqua" w:hAnsi="Book Antiqua" w:cs="Book Antiqua"/>
          <w:color w:val="000000"/>
        </w:rPr>
        <w:t>FBI</w:t>
      </w:r>
      <w:r>
        <w:rPr>
          <w:rFonts w:ascii="Book Antiqua" w:eastAsia="Book Antiqua" w:hAnsi="Book Antiqua" w:cs="Book Antiqua"/>
          <w:color w:val="000000"/>
        </w:rPr>
        <w:t>.</w:t>
      </w:r>
    </w:p>
    <w:p w14:paraId="74F28438" w14:textId="77777777" w:rsidR="00A77B3E" w:rsidRDefault="00A77B3E">
      <w:pPr>
        <w:spacing w:line="360" w:lineRule="auto"/>
        <w:jc w:val="both"/>
      </w:pPr>
    </w:p>
    <w:p w14:paraId="16C75DF2" w14:textId="77777777" w:rsidR="00A77B3E" w:rsidRDefault="00966193">
      <w:pPr>
        <w:spacing w:line="360" w:lineRule="auto"/>
        <w:jc w:val="both"/>
      </w:pPr>
      <w:r>
        <w:rPr>
          <w:rFonts w:ascii="Book Antiqua" w:eastAsia="Book Antiqua" w:hAnsi="Book Antiqua" w:cs="Book Antiqua"/>
          <w:b/>
          <w:i/>
          <w:color w:val="000000"/>
        </w:rPr>
        <w:t>Research objectives</w:t>
      </w:r>
    </w:p>
    <w:p w14:paraId="796BBB4B" w14:textId="77777777" w:rsidR="00A77B3E" w:rsidRDefault="00966193">
      <w:pPr>
        <w:spacing w:line="360" w:lineRule="auto"/>
        <w:jc w:val="both"/>
      </w:pPr>
      <w:r>
        <w:rPr>
          <w:rFonts w:ascii="Book Antiqua" w:eastAsia="Book Antiqua" w:hAnsi="Book Antiqua" w:cs="Book Antiqua"/>
          <w:color w:val="000000"/>
        </w:rPr>
        <w:t xml:space="preserve">To investigate the complication rates of emergent endoscopic extraction performed under different sedation modalities, namely conscious sedation (CS), monitored anesthesia care (MAC) and general anesthesia (GA). </w:t>
      </w:r>
    </w:p>
    <w:p w14:paraId="34FD16CC" w14:textId="77777777" w:rsidR="00A77B3E" w:rsidRDefault="00A77B3E">
      <w:pPr>
        <w:spacing w:line="360" w:lineRule="auto"/>
        <w:jc w:val="both"/>
      </w:pPr>
    </w:p>
    <w:p w14:paraId="6C604EF9" w14:textId="77777777" w:rsidR="00A77B3E" w:rsidRDefault="00966193">
      <w:pPr>
        <w:spacing w:line="360" w:lineRule="auto"/>
        <w:jc w:val="both"/>
      </w:pPr>
      <w:r>
        <w:rPr>
          <w:rFonts w:ascii="Book Antiqua" w:eastAsia="Book Antiqua" w:hAnsi="Book Antiqua" w:cs="Book Antiqua"/>
          <w:b/>
          <w:i/>
          <w:color w:val="000000"/>
        </w:rPr>
        <w:t>Research methods</w:t>
      </w:r>
    </w:p>
    <w:p w14:paraId="45C28F82" w14:textId="2859ED2D" w:rsidR="00A77B3E" w:rsidRDefault="00966193">
      <w:pPr>
        <w:spacing w:line="360" w:lineRule="auto"/>
        <w:jc w:val="both"/>
      </w:pPr>
      <w:r>
        <w:rPr>
          <w:rFonts w:ascii="Book Antiqua" w:eastAsia="Book Antiqua" w:hAnsi="Book Antiqua" w:cs="Book Antiqua"/>
          <w:color w:val="000000"/>
        </w:rPr>
        <w:t>A standardized questionnaire was utilized to collect data on demographics, endoscopic details, sedation practices, hospital stay and adverse events of endoscopic procedures for foreign body removal. Subsequently, complication rates of patients who underwent emergent endoscopic retrieval were compared based on sedation modalities.</w:t>
      </w:r>
    </w:p>
    <w:p w14:paraId="54083B2D" w14:textId="77777777" w:rsidR="00A77B3E" w:rsidRDefault="00A77B3E">
      <w:pPr>
        <w:spacing w:line="360" w:lineRule="auto"/>
        <w:jc w:val="both"/>
      </w:pPr>
    </w:p>
    <w:p w14:paraId="5AD31C17" w14:textId="77777777" w:rsidR="00A77B3E" w:rsidRDefault="00966193">
      <w:pPr>
        <w:spacing w:line="360" w:lineRule="auto"/>
        <w:jc w:val="both"/>
      </w:pPr>
      <w:r>
        <w:rPr>
          <w:rFonts w:ascii="Book Antiqua" w:eastAsia="Book Antiqua" w:hAnsi="Book Antiqua" w:cs="Book Antiqua"/>
          <w:b/>
          <w:i/>
          <w:color w:val="000000"/>
        </w:rPr>
        <w:t>Research results</w:t>
      </w:r>
    </w:p>
    <w:p w14:paraId="6FE98A06" w14:textId="77777777" w:rsidR="00A77B3E" w:rsidRDefault="00966193">
      <w:pPr>
        <w:spacing w:line="360" w:lineRule="auto"/>
        <w:jc w:val="both"/>
      </w:pPr>
      <w:r>
        <w:rPr>
          <w:rFonts w:ascii="Book Antiqua" w:eastAsia="Book Antiqua" w:hAnsi="Book Antiqua" w:cs="Book Antiqua"/>
          <w:color w:val="000000"/>
        </w:rPr>
        <w:t xml:space="preserve">Among the 929 procedures analyzed, 353 procedures (38.0%) were performed under CS, 278 procedures (29.9%) under MAC and the rest (32.1%) under GA. Analysis revealed no statistically significant difference in the complication rate between patients sedated under CS (14.7%), MAC (14.7%) and GA (19.5%), </w:t>
      </w:r>
      <w:r>
        <w:rPr>
          <w:rFonts w:ascii="Book Antiqua" w:eastAsia="Book Antiqua" w:hAnsi="Book Antiqua" w:cs="Book Antiqua"/>
          <w:i/>
          <w:iCs/>
          <w:color w:val="000000"/>
        </w:rPr>
        <w:t>P</w:t>
      </w:r>
      <w:r>
        <w:rPr>
          <w:rFonts w:ascii="Book Antiqua" w:eastAsia="Book Antiqua" w:hAnsi="Book Antiqua" w:cs="Book Antiqua"/>
          <w:color w:val="000000"/>
        </w:rPr>
        <w:t xml:space="preserve"> = 0.19. However, patients that underwent MAC and GA were found to be more likely to require hospitalization. This may be due to longer inpatient psychiatric monitoring as many patients who underwent MAC and GA presented with FOI due to underlying psychiatric disorder.</w:t>
      </w:r>
    </w:p>
    <w:p w14:paraId="6D61090E" w14:textId="77777777" w:rsidR="00A77B3E" w:rsidRDefault="00A77B3E">
      <w:pPr>
        <w:spacing w:line="360" w:lineRule="auto"/>
        <w:jc w:val="both"/>
      </w:pPr>
    </w:p>
    <w:p w14:paraId="3EA5481C" w14:textId="77777777" w:rsidR="00A77B3E" w:rsidRDefault="00966193">
      <w:pPr>
        <w:spacing w:line="360" w:lineRule="auto"/>
        <w:jc w:val="both"/>
      </w:pPr>
      <w:r>
        <w:rPr>
          <w:rFonts w:ascii="Book Antiqua" w:eastAsia="Book Antiqua" w:hAnsi="Book Antiqua" w:cs="Book Antiqua"/>
          <w:b/>
          <w:i/>
          <w:color w:val="000000"/>
        </w:rPr>
        <w:t>Research conclusions</w:t>
      </w:r>
    </w:p>
    <w:p w14:paraId="65CC34E8" w14:textId="77777777" w:rsidR="00A77B3E" w:rsidRDefault="00966193">
      <w:pPr>
        <w:spacing w:line="360" w:lineRule="auto"/>
        <w:jc w:val="both"/>
      </w:pPr>
      <w:r>
        <w:rPr>
          <w:rFonts w:ascii="Book Antiqua" w:eastAsia="Book Antiqua" w:hAnsi="Book Antiqua" w:cs="Book Antiqua"/>
          <w:color w:val="000000"/>
        </w:rPr>
        <w:t>Emergent endoscopy for foreign body removal under CS is not associated with significantly higher complication rates compared to MAC and GA.</w:t>
      </w:r>
    </w:p>
    <w:p w14:paraId="6616A735" w14:textId="77777777" w:rsidR="00A77B3E" w:rsidRDefault="00A77B3E">
      <w:pPr>
        <w:spacing w:line="360" w:lineRule="auto"/>
        <w:jc w:val="both"/>
      </w:pPr>
    </w:p>
    <w:p w14:paraId="0E1990EC" w14:textId="77777777" w:rsidR="00A77B3E" w:rsidRDefault="00966193">
      <w:pPr>
        <w:spacing w:line="360" w:lineRule="auto"/>
        <w:jc w:val="both"/>
      </w:pPr>
      <w:r>
        <w:rPr>
          <w:rFonts w:ascii="Book Antiqua" w:eastAsia="Book Antiqua" w:hAnsi="Book Antiqua" w:cs="Book Antiqua"/>
          <w:b/>
          <w:i/>
          <w:color w:val="000000"/>
        </w:rPr>
        <w:t>Research perspectives</w:t>
      </w:r>
    </w:p>
    <w:p w14:paraId="05D95A19" w14:textId="77777777" w:rsidR="00A77B3E" w:rsidRDefault="00966193">
      <w:pPr>
        <w:spacing w:line="360" w:lineRule="auto"/>
        <w:jc w:val="both"/>
      </w:pPr>
      <w:r>
        <w:rPr>
          <w:rFonts w:ascii="Book Antiqua" w:eastAsia="Book Antiqua" w:hAnsi="Book Antiqua" w:cs="Book Antiqua"/>
          <w:color w:val="000000"/>
        </w:rPr>
        <w:t>Future prospective studies are needed to identify various clinical factors that contributes to higher risk for endoscopy-related adverse events.</w:t>
      </w:r>
    </w:p>
    <w:p w14:paraId="7E621292" w14:textId="77777777" w:rsidR="00A77B3E" w:rsidRDefault="00A77B3E">
      <w:pPr>
        <w:spacing w:line="360" w:lineRule="auto"/>
        <w:jc w:val="both"/>
      </w:pPr>
    </w:p>
    <w:p w14:paraId="136F72AA" w14:textId="77777777" w:rsidR="00A77B3E" w:rsidRDefault="00966193">
      <w:pPr>
        <w:spacing w:line="360" w:lineRule="auto"/>
        <w:jc w:val="both"/>
      </w:pPr>
      <w:r>
        <w:rPr>
          <w:rFonts w:ascii="Book Antiqua" w:eastAsia="Book Antiqua" w:hAnsi="Book Antiqua" w:cs="Book Antiqua"/>
          <w:b/>
          <w:color w:val="000000"/>
        </w:rPr>
        <w:t>REFERENCES</w:t>
      </w:r>
    </w:p>
    <w:p w14:paraId="358E8E8B" w14:textId="78F676CE" w:rsidR="00A77B3E" w:rsidRDefault="00966193">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Geraci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Sciume</w:t>
      </w:r>
      <w:proofErr w:type="spellEnd"/>
      <w:r>
        <w:rPr>
          <w:rFonts w:ascii="Book Antiqua" w:eastAsia="Book Antiqua" w:hAnsi="Book Antiqua" w:cs="Book Antiqua"/>
          <w:color w:val="000000"/>
        </w:rPr>
        <w:t xml:space="preserve"> C, Di Carlo G, </w:t>
      </w:r>
      <w:proofErr w:type="spellStart"/>
      <w:r>
        <w:rPr>
          <w:rFonts w:ascii="Book Antiqua" w:eastAsia="Book Antiqua" w:hAnsi="Book Antiqua" w:cs="Book Antiqua"/>
          <w:color w:val="000000"/>
        </w:rPr>
        <w:t>Picciurro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Modica</w:t>
      </w:r>
      <w:proofErr w:type="spellEnd"/>
      <w:r>
        <w:rPr>
          <w:rFonts w:ascii="Book Antiqua" w:eastAsia="Book Antiqua" w:hAnsi="Book Antiqua" w:cs="Book Antiqua"/>
          <w:color w:val="000000"/>
        </w:rPr>
        <w:t xml:space="preserve"> G. Retrospective analysis of management of ingested foreign bodies and food impactions in emergency endoscopic setting in adults.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42 [PMID: 27809769 DOI: 10.1186/s12873-016-0104-3]</w:t>
      </w:r>
    </w:p>
    <w:p w14:paraId="38FF3979" w14:textId="77777777" w:rsidR="00A77B3E" w:rsidRDefault="00966193">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Cevik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Gókdemir</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Boleken</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Sogut</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Kurkcuoglu</w:t>
      </w:r>
      <w:proofErr w:type="spellEnd"/>
      <w:r>
        <w:rPr>
          <w:rFonts w:ascii="Book Antiqua" w:eastAsia="Book Antiqua" w:hAnsi="Book Antiqua" w:cs="Book Antiqua"/>
          <w:color w:val="000000"/>
        </w:rPr>
        <w:t xml:space="preserve"> C. The characteristics and outcomes of foreign body ingestion and aspiration in children due to lodged foreign body in the aerodigestive tract.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2013; </w:t>
      </w:r>
      <w:r>
        <w:rPr>
          <w:rFonts w:ascii="Book Antiqua" w:eastAsia="Book Antiqua" w:hAnsi="Book Antiqua" w:cs="Book Antiqua"/>
          <w:b/>
          <w:bCs/>
          <w:color w:val="000000"/>
        </w:rPr>
        <w:t>29</w:t>
      </w:r>
      <w:r>
        <w:rPr>
          <w:rFonts w:ascii="Book Antiqua" w:eastAsia="Book Antiqua" w:hAnsi="Book Antiqua" w:cs="Book Antiqua"/>
          <w:color w:val="000000"/>
        </w:rPr>
        <w:t>: 53-57 [PMID: 23283264 DOI: 10.1097/PEC.0b013e31827b5374]</w:t>
      </w:r>
    </w:p>
    <w:p w14:paraId="324C9BAB" w14:textId="77777777" w:rsidR="00A77B3E" w:rsidRDefault="00966193">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Fung BM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Sweetser</w:t>
      </w:r>
      <w:proofErr w:type="spellEnd"/>
      <w:r>
        <w:rPr>
          <w:rFonts w:ascii="Book Antiqua" w:eastAsia="Book Antiqua" w:hAnsi="Book Antiqua" w:cs="Book Antiqua"/>
          <w:color w:val="000000"/>
        </w:rPr>
        <w:t xml:space="preserve"> S, Wong </w:t>
      </w:r>
      <w:proofErr w:type="spellStart"/>
      <w:r>
        <w:rPr>
          <w:rFonts w:ascii="Book Antiqua" w:eastAsia="Book Antiqua" w:hAnsi="Book Antiqua" w:cs="Book Antiqua"/>
          <w:color w:val="000000"/>
        </w:rPr>
        <w:t>Kee</w:t>
      </w:r>
      <w:proofErr w:type="spellEnd"/>
      <w:r>
        <w:rPr>
          <w:rFonts w:ascii="Book Antiqua" w:eastAsia="Book Antiqua" w:hAnsi="Book Antiqua" w:cs="Book Antiqua"/>
          <w:color w:val="000000"/>
        </w:rPr>
        <w:t xml:space="preserve"> Song LM, </w:t>
      </w:r>
      <w:proofErr w:type="spellStart"/>
      <w:r>
        <w:rPr>
          <w:rFonts w:ascii="Book Antiqua" w:eastAsia="Book Antiqua" w:hAnsi="Book Antiqua" w:cs="Book Antiqua"/>
          <w:color w:val="000000"/>
        </w:rPr>
        <w:t>Tabibian</w:t>
      </w:r>
      <w:proofErr w:type="spellEnd"/>
      <w:r>
        <w:rPr>
          <w:rFonts w:ascii="Book Antiqua" w:eastAsia="Book Antiqua" w:hAnsi="Book Antiqua" w:cs="Book Antiqua"/>
          <w:color w:val="000000"/>
        </w:rPr>
        <w:t xml:space="preserve"> JH. Foreign object ingestion and esophageal food impaction: An update and review on endoscopic management.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174-192 [PMID: 30918584 DOI: 10.4253/wjge.v11.i3.174]</w:t>
      </w:r>
    </w:p>
    <w:p w14:paraId="3FFCB840" w14:textId="77777777" w:rsidR="00A77B3E" w:rsidRDefault="00966193">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Palta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Sahota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Bemarki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Salama</w:t>
      </w:r>
      <w:proofErr w:type="spellEnd"/>
      <w:r>
        <w:rPr>
          <w:rFonts w:ascii="Book Antiqua" w:eastAsia="Book Antiqua" w:hAnsi="Book Antiqua" w:cs="Book Antiqua"/>
          <w:color w:val="000000"/>
        </w:rPr>
        <w:t xml:space="preserve"> P, Simpson N, Laine L. Foreign-body ingestion: characteristics and outcomes in a lower socioeconomic population with predominantly intentional ingestion.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426-433 [PMID: 19019363 DOI: 10.1016/j.gie.2008.05.072]</w:t>
      </w:r>
    </w:p>
    <w:p w14:paraId="5D3553E1" w14:textId="77777777" w:rsidR="00A77B3E" w:rsidRDefault="00966193">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Poynter BA</w:t>
      </w:r>
      <w:r>
        <w:rPr>
          <w:rFonts w:ascii="Book Antiqua" w:eastAsia="Book Antiqua" w:hAnsi="Book Antiqua" w:cs="Book Antiqua"/>
          <w:color w:val="000000"/>
        </w:rPr>
        <w:t xml:space="preserve">, Hunter JJ, Coverdale JH, </w:t>
      </w:r>
      <w:proofErr w:type="spellStart"/>
      <w:r>
        <w:rPr>
          <w:rFonts w:ascii="Book Antiqua" w:eastAsia="Book Antiqua" w:hAnsi="Book Antiqua" w:cs="Book Antiqua"/>
          <w:color w:val="000000"/>
        </w:rPr>
        <w:t>Kempinsky</w:t>
      </w:r>
      <w:proofErr w:type="spellEnd"/>
      <w:r>
        <w:rPr>
          <w:rFonts w:ascii="Book Antiqua" w:eastAsia="Book Antiqua" w:hAnsi="Book Antiqua" w:cs="Book Antiqua"/>
          <w:color w:val="000000"/>
        </w:rPr>
        <w:t xml:space="preserve"> CA. Hard to swallow: a systematic review of deliberate foreign body ingestion. </w:t>
      </w:r>
      <w:r>
        <w:rPr>
          <w:rFonts w:ascii="Book Antiqua" w:eastAsia="Book Antiqua" w:hAnsi="Book Antiqua" w:cs="Book Antiqua"/>
          <w:i/>
          <w:iCs/>
          <w:color w:val="000000"/>
        </w:rPr>
        <w:t>Gen Hosp Psychiatry</w:t>
      </w:r>
      <w:r>
        <w:rPr>
          <w:rFonts w:ascii="Book Antiqua" w:eastAsia="Book Antiqua" w:hAnsi="Book Antiqua" w:cs="Book Antiqua"/>
          <w:color w:val="000000"/>
        </w:rPr>
        <w:t xml:space="preserve"> 2011; </w:t>
      </w:r>
      <w:r>
        <w:rPr>
          <w:rFonts w:ascii="Book Antiqua" w:eastAsia="Book Antiqua" w:hAnsi="Book Antiqua" w:cs="Book Antiqua"/>
          <w:b/>
          <w:bCs/>
          <w:color w:val="000000"/>
        </w:rPr>
        <w:t>33</w:t>
      </w:r>
      <w:r>
        <w:rPr>
          <w:rFonts w:ascii="Book Antiqua" w:eastAsia="Book Antiqua" w:hAnsi="Book Antiqua" w:cs="Book Antiqua"/>
          <w:color w:val="000000"/>
        </w:rPr>
        <w:t>: 518-524 [PMID: 21851984 DOI: 10.1016/j.genhosppsych.2011.06.011]</w:t>
      </w:r>
    </w:p>
    <w:p w14:paraId="61DFB667" w14:textId="77777777" w:rsidR="00A77B3E" w:rsidRDefault="00966193">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Lancashire MJ</w:t>
      </w:r>
      <w:r>
        <w:rPr>
          <w:rFonts w:ascii="Book Antiqua" w:eastAsia="Book Antiqua" w:hAnsi="Book Antiqua" w:cs="Book Antiqua"/>
          <w:color w:val="000000"/>
        </w:rPr>
        <w:t xml:space="preserve">, Legg PK, Lowe M, Davidson SM, Ellis BW. Surgical aspects of international drug smuggling. </w:t>
      </w:r>
      <w:r>
        <w:rPr>
          <w:rFonts w:ascii="Book Antiqua" w:eastAsia="Book Antiqua" w:hAnsi="Book Antiqua" w:cs="Book Antiqua"/>
          <w:i/>
          <w:iCs/>
          <w:color w:val="000000"/>
        </w:rPr>
        <w:t>Br Med J (Clin Res Ed)</w:t>
      </w:r>
      <w:r>
        <w:rPr>
          <w:rFonts w:ascii="Book Antiqua" w:eastAsia="Book Antiqua" w:hAnsi="Book Antiqua" w:cs="Book Antiqua"/>
          <w:color w:val="000000"/>
        </w:rPr>
        <w:t xml:space="preserve"> 1988; </w:t>
      </w:r>
      <w:r>
        <w:rPr>
          <w:rFonts w:ascii="Book Antiqua" w:eastAsia="Book Antiqua" w:hAnsi="Book Antiqua" w:cs="Book Antiqua"/>
          <w:b/>
          <w:bCs/>
          <w:color w:val="000000"/>
        </w:rPr>
        <w:t>296</w:t>
      </w:r>
      <w:r>
        <w:rPr>
          <w:rFonts w:ascii="Book Antiqua" w:eastAsia="Book Antiqua" w:hAnsi="Book Antiqua" w:cs="Book Antiqua"/>
          <w:color w:val="000000"/>
        </w:rPr>
        <w:t>: 1035-1037 [PMID: 3130126 DOI: 10.1136/bmj.296.6628.1035]</w:t>
      </w:r>
    </w:p>
    <w:p w14:paraId="5E657B30" w14:textId="77777777" w:rsidR="00A77B3E" w:rsidRDefault="0096619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Booker RJ</w:t>
      </w:r>
      <w:r>
        <w:rPr>
          <w:rFonts w:ascii="Book Antiqua" w:eastAsia="Book Antiqua" w:hAnsi="Book Antiqua" w:cs="Book Antiqua"/>
          <w:color w:val="000000"/>
        </w:rPr>
        <w:t xml:space="preserve">, Smith JE, Rodger MP. Packers, pushers and stuffers--managing patients with concealed drugs in UK emergency departments: a clinical and medicolegal review.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 J</w:t>
      </w:r>
      <w:r>
        <w:rPr>
          <w:rFonts w:ascii="Book Antiqua" w:eastAsia="Book Antiqua" w:hAnsi="Book Antiqua" w:cs="Book Antiqua"/>
          <w:color w:val="000000"/>
        </w:rPr>
        <w:t xml:space="preserve"> 2009; </w:t>
      </w:r>
      <w:r>
        <w:rPr>
          <w:rFonts w:ascii="Book Antiqua" w:eastAsia="Book Antiqua" w:hAnsi="Book Antiqua" w:cs="Book Antiqua"/>
          <w:b/>
          <w:bCs/>
          <w:color w:val="000000"/>
        </w:rPr>
        <w:t>26</w:t>
      </w:r>
      <w:r>
        <w:rPr>
          <w:rFonts w:ascii="Book Antiqua" w:eastAsia="Book Antiqua" w:hAnsi="Book Antiqua" w:cs="Book Antiqua"/>
          <w:color w:val="000000"/>
        </w:rPr>
        <w:t>: 316-320 [PMID: 19386860 DOI: 10.1136/emj.2008.057695]</w:t>
      </w:r>
    </w:p>
    <w:p w14:paraId="7633BE3F" w14:textId="77777777" w:rsidR="00A77B3E" w:rsidRDefault="00966193">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Sperry SL</w:t>
      </w:r>
      <w:r>
        <w:rPr>
          <w:rFonts w:ascii="Book Antiqua" w:eastAsia="Book Antiqua" w:hAnsi="Book Antiqua" w:cs="Book Antiqua"/>
          <w:color w:val="000000"/>
        </w:rPr>
        <w:t xml:space="preserve">, Crockett SD, Miller CB, </w:t>
      </w:r>
      <w:proofErr w:type="spellStart"/>
      <w:r>
        <w:rPr>
          <w:rFonts w:ascii="Book Antiqua" w:eastAsia="Book Antiqua" w:hAnsi="Book Antiqua" w:cs="Book Antiqua"/>
          <w:color w:val="000000"/>
        </w:rPr>
        <w:t>Shaheen</w:t>
      </w:r>
      <w:proofErr w:type="spellEnd"/>
      <w:r>
        <w:rPr>
          <w:rFonts w:ascii="Book Antiqua" w:eastAsia="Book Antiqua" w:hAnsi="Book Antiqua" w:cs="Book Antiqua"/>
          <w:color w:val="000000"/>
        </w:rPr>
        <w:t xml:space="preserve"> NJ, </w:t>
      </w:r>
      <w:proofErr w:type="spellStart"/>
      <w:r>
        <w:rPr>
          <w:rFonts w:ascii="Book Antiqua" w:eastAsia="Book Antiqua" w:hAnsi="Book Antiqua" w:cs="Book Antiqua"/>
          <w:color w:val="000000"/>
        </w:rPr>
        <w:t>Dellon</w:t>
      </w:r>
      <w:proofErr w:type="spellEnd"/>
      <w:r>
        <w:rPr>
          <w:rFonts w:ascii="Book Antiqua" w:eastAsia="Book Antiqua" w:hAnsi="Book Antiqua" w:cs="Book Antiqua"/>
          <w:color w:val="000000"/>
        </w:rPr>
        <w:t xml:space="preserve"> ES. Esophageal foreign-body impactions: epidemiology, time trends, and the impact of the increasing prevalence of eosinophilic esophagitis.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74</w:t>
      </w:r>
      <w:r>
        <w:rPr>
          <w:rFonts w:ascii="Book Antiqua" w:eastAsia="Book Antiqua" w:hAnsi="Book Antiqua" w:cs="Book Antiqua"/>
          <w:color w:val="000000"/>
        </w:rPr>
        <w:t>: 985-991 [PMID: 21889135 DOI: 10.1016/j.gie.2011.06.029]</w:t>
      </w:r>
    </w:p>
    <w:p w14:paraId="3A16609C" w14:textId="77777777" w:rsidR="00A77B3E" w:rsidRDefault="00966193">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Longstreth</w:t>
      </w:r>
      <w:proofErr w:type="spellEnd"/>
      <w:r>
        <w:rPr>
          <w:rFonts w:ascii="Book Antiqua" w:eastAsia="Book Antiqua" w:hAnsi="Book Antiqua" w:cs="Book Antiqua"/>
          <w:b/>
          <w:bCs/>
          <w:color w:val="000000"/>
        </w:rPr>
        <w:t xml:space="preserve"> GF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Longstreth</w:t>
      </w:r>
      <w:proofErr w:type="spellEnd"/>
      <w:r>
        <w:rPr>
          <w:rFonts w:ascii="Book Antiqua" w:eastAsia="Book Antiqua" w:hAnsi="Book Antiqua" w:cs="Book Antiqua"/>
          <w:color w:val="000000"/>
        </w:rPr>
        <w:t xml:space="preserve"> KJ, Yao JF. Esophageal food impaction: epidemiology and therapy. A retrospective, observational study.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53</w:t>
      </w:r>
      <w:r>
        <w:rPr>
          <w:rFonts w:ascii="Book Antiqua" w:eastAsia="Book Antiqua" w:hAnsi="Book Antiqua" w:cs="Book Antiqua"/>
          <w:color w:val="000000"/>
        </w:rPr>
        <w:t>: 193-198 [PMID: 11174291 DOI: 10.1067/mge.2001.112709]</w:t>
      </w:r>
    </w:p>
    <w:p w14:paraId="078525E7" w14:textId="77777777" w:rsidR="00A77B3E" w:rsidRDefault="00966193">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Cook IJ</w:t>
      </w:r>
      <w:r>
        <w:rPr>
          <w:rFonts w:ascii="Book Antiqua" w:eastAsia="Book Antiqua" w:hAnsi="Book Antiqua" w:cs="Book Antiqua"/>
          <w:color w:val="000000"/>
        </w:rPr>
        <w:t xml:space="preserve">. Diagnostic evaluation of dysphagia.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5</w:t>
      </w:r>
      <w:r>
        <w:rPr>
          <w:rFonts w:ascii="Book Antiqua" w:eastAsia="Book Antiqua" w:hAnsi="Book Antiqua" w:cs="Book Antiqua"/>
          <w:color w:val="000000"/>
        </w:rPr>
        <w:t>: 393-403 [PMID: 18542115 DOI: 10.1038/ncpgasthep1153]</w:t>
      </w:r>
    </w:p>
    <w:p w14:paraId="1A0BD19B" w14:textId="77777777" w:rsidR="00A77B3E" w:rsidRDefault="00966193">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Berggreen</w:t>
      </w:r>
      <w:proofErr w:type="spellEnd"/>
      <w:r>
        <w:rPr>
          <w:rFonts w:ascii="Book Antiqua" w:eastAsia="Book Antiqua" w:hAnsi="Book Antiqua" w:cs="Book Antiqua"/>
          <w:b/>
          <w:bCs/>
          <w:color w:val="000000"/>
        </w:rPr>
        <w:t xml:space="preserve"> PJ</w:t>
      </w:r>
      <w:r>
        <w:rPr>
          <w:rFonts w:ascii="Book Antiqua" w:eastAsia="Book Antiqua" w:hAnsi="Book Antiqua" w:cs="Book Antiqua"/>
          <w:color w:val="000000"/>
        </w:rPr>
        <w:t xml:space="preserve">, Harrison E, </w:t>
      </w:r>
      <w:proofErr w:type="spellStart"/>
      <w:r>
        <w:rPr>
          <w:rFonts w:ascii="Book Antiqua" w:eastAsia="Book Antiqua" w:hAnsi="Book Antiqua" w:cs="Book Antiqua"/>
          <w:color w:val="000000"/>
        </w:rPr>
        <w:t>Sanowski</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Ingebo</w:t>
      </w:r>
      <w:proofErr w:type="spellEnd"/>
      <w:r>
        <w:rPr>
          <w:rFonts w:ascii="Book Antiqua" w:eastAsia="Book Antiqua" w:hAnsi="Book Antiqua" w:cs="Book Antiqua"/>
          <w:color w:val="000000"/>
        </w:rPr>
        <w:t xml:space="preserve"> K, Noland B, </w:t>
      </w:r>
      <w:proofErr w:type="spellStart"/>
      <w:r>
        <w:rPr>
          <w:rFonts w:ascii="Book Antiqua" w:eastAsia="Book Antiqua" w:hAnsi="Book Antiqua" w:cs="Book Antiqua"/>
          <w:color w:val="000000"/>
        </w:rPr>
        <w:t>Zierer</w:t>
      </w:r>
      <w:proofErr w:type="spellEnd"/>
      <w:r>
        <w:rPr>
          <w:rFonts w:ascii="Book Antiqua" w:eastAsia="Book Antiqua" w:hAnsi="Book Antiqua" w:cs="Book Antiqua"/>
          <w:color w:val="000000"/>
        </w:rPr>
        <w:t xml:space="preserve"> S. Techniques and complications of esophageal foreign body extraction in children and adults.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1993; </w:t>
      </w:r>
      <w:r>
        <w:rPr>
          <w:rFonts w:ascii="Book Antiqua" w:eastAsia="Book Antiqua" w:hAnsi="Book Antiqua" w:cs="Book Antiqua"/>
          <w:b/>
          <w:bCs/>
          <w:color w:val="000000"/>
        </w:rPr>
        <w:t>39</w:t>
      </w:r>
      <w:r>
        <w:rPr>
          <w:rFonts w:ascii="Book Antiqua" w:eastAsia="Book Antiqua" w:hAnsi="Book Antiqua" w:cs="Book Antiqua"/>
          <w:color w:val="000000"/>
        </w:rPr>
        <w:t>: 626-630 [PMID: 8224682 DOI: 10.1016/s0016-5107(93)70212-6</w:t>
      </w:r>
      <w:bookmarkStart w:id="0" w:name="_GoBack"/>
      <w:bookmarkEnd w:id="0"/>
      <w:r>
        <w:rPr>
          <w:rFonts w:ascii="Book Antiqua" w:eastAsia="Book Antiqua" w:hAnsi="Book Antiqua" w:cs="Book Antiqua"/>
          <w:color w:val="000000"/>
        </w:rPr>
        <w:t>]</w:t>
      </w:r>
    </w:p>
    <w:p w14:paraId="5274F41C" w14:textId="58D96388" w:rsidR="00A77B3E" w:rsidRDefault="00966193">
      <w:pPr>
        <w:spacing w:line="360" w:lineRule="auto"/>
        <w:jc w:val="both"/>
      </w:pPr>
      <w:r>
        <w:rPr>
          <w:rFonts w:ascii="Book Antiqua" w:eastAsia="Book Antiqua" w:hAnsi="Book Antiqua" w:cs="Book Antiqua"/>
          <w:color w:val="000000"/>
        </w:rPr>
        <w:lastRenderedPageBreak/>
        <w:t xml:space="preserve">12 </w:t>
      </w:r>
      <w:proofErr w:type="spellStart"/>
      <w:r>
        <w:rPr>
          <w:rFonts w:ascii="Book Antiqua" w:eastAsia="Book Antiqua" w:hAnsi="Book Antiqua" w:cs="Book Antiqua"/>
          <w:b/>
          <w:bCs/>
          <w:color w:val="000000"/>
        </w:rPr>
        <w:t>Gmeiner</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von </w:t>
      </w:r>
      <w:proofErr w:type="spellStart"/>
      <w:r>
        <w:rPr>
          <w:rFonts w:ascii="Book Antiqua" w:eastAsia="Book Antiqua" w:hAnsi="Book Antiqua" w:cs="Book Antiqua"/>
          <w:color w:val="000000"/>
        </w:rPr>
        <w:t>Rahden</w:t>
      </w:r>
      <w:proofErr w:type="spellEnd"/>
      <w:r>
        <w:rPr>
          <w:rFonts w:ascii="Book Antiqua" w:eastAsia="Book Antiqua" w:hAnsi="Book Antiqua" w:cs="Book Antiqua"/>
          <w:color w:val="000000"/>
        </w:rPr>
        <w:t xml:space="preserve"> BH, </w:t>
      </w:r>
      <w:proofErr w:type="spellStart"/>
      <w:r>
        <w:rPr>
          <w:rFonts w:ascii="Book Antiqua" w:eastAsia="Book Antiqua" w:hAnsi="Book Antiqua" w:cs="Book Antiqua"/>
          <w:color w:val="000000"/>
        </w:rPr>
        <w:t>Meco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Hutter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Oberascher</w:t>
      </w:r>
      <w:proofErr w:type="spellEnd"/>
      <w:r>
        <w:rPr>
          <w:rFonts w:ascii="Book Antiqua" w:eastAsia="Book Antiqua" w:hAnsi="Book Antiqua" w:cs="Book Antiqua"/>
          <w:color w:val="000000"/>
        </w:rPr>
        <w:t xml:space="preserve"> G, Stein HJ. Flexible </w:t>
      </w:r>
      <w:r w:rsidRPr="009A7174">
        <w:rPr>
          <w:rFonts w:ascii="Book Antiqua" w:eastAsia="Book Antiqua" w:hAnsi="Book Antiqua" w:cs="Book Antiqua"/>
          <w:color w:val="000000"/>
        </w:rPr>
        <w:t>v</w:t>
      </w:r>
      <w:r w:rsidR="009A7174">
        <w:rPr>
          <w:rFonts w:ascii="Book Antiqua" w:eastAsia="Book Antiqua" w:hAnsi="Book Antiqua" w:cs="Book Antiqua"/>
          <w:color w:val="000000"/>
        </w:rPr>
        <w:t>ersu</w:t>
      </w:r>
      <w:r w:rsidRPr="009A7174">
        <w:rPr>
          <w:rFonts w:ascii="Book Antiqua" w:eastAsia="Book Antiqua" w:hAnsi="Book Antiqua" w:cs="Book Antiqua"/>
          <w:color w:val="000000"/>
        </w:rPr>
        <w:t>s</w:t>
      </w:r>
      <w:r>
        <w:rPr>
          <w:rFonts w:ascii="Book Antiqua" w:eastAsia="Book Antiqua" w:hAnsi="Book Antiqua" w:cs="Book Antiqua"/>
          <w:color w:val="000000"/>
        </w:rPr>
        <w:t xml:space="preserve"> rigid endoscopy for treatment of foreign body impaction in the esophagus.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21</w:t>
      </w:r>
      <w:r>
        <w:rPr>
          <w:rFonts w:ascii="Book Antiqua" w:eastAsia="Book Antiqua" w:hAnsi="Book Antiqua" w:cs="Book Antiqua"/>
          <w:color w:val="000000"/>
        </w:rPr>
        <w:t>: 2026-2029 [PMID: 17393244 DOI: 10.1007/s00464-007-9252-6]</w:t>
      </w:r>
    </w:p>
    <w:p w14:paraId="6BC5B6FA" w14:textId="77777777" w:rsidR="00A77B3E" w:rsidRDefault="00966193">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Magalhães</w:t>
      </w:r>
      <w:proofErr w:type="spellEnd"/>
      <w:r>
        <w:rPr>
          <w:rFonts w:ascii="Book Antiqua" w:eastAsia="Book Antiqua" w:hAnsi="Book Antiqua" w:cs="Book Antiqua"/>
          <w:b/>
          <w:bCs/>
          <w:color w:val="000000"/>
        </w:rPr>
        <w:t>-Costa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Carvalho</w:t>
      </w:r>
      <w:proofErr w:type="spellEnd"/>
      <w:r>
        <w:rPr>
          <w:rFonts w:ascii="Book Antiqua" w:eastAsia="Book Antiqua" w:hAnsi="Book Antiqua" w:cs="Book Antiqua"/>
          <w:color w:val="000000"/>
        </w:rPr>
        <w:t xml:space="preserve"> L, Rodrigues JP, </w:t>
      </w:r>
      <w:proofErr w:type="spellStart"/>
      <w:r>
        <w:rPr>
          <w:rFonts w:ascii="Book Antiqua" w:eastAsia="Book Antiqua" w:hAnsi="Book Antiqua" w:cs="Book Antiqua"/>
          <w:color w:val="000000"/>
        </w:rPr>
        <w:t>Túlio</w:t>
      </w:r>
      <w:proofErr w:type="spellEnd"/>
      <w:r>
        <w:rPr>
          <w:rFonts w:ascii="Book Antiqua" w:eastAsia="Book Antiqua" w:hAnsi="Book Antiqua" w:cs="Book Antiqua"/>
          <w:color w:val="000000"/>
        </w:rPr>
        <w:t xml:space="preserve"> MA, Marques S, </w:t>
      </w:r>
      <w:proofErr w:type="spellStart"/>
      <w:r>
        <w:rPr>
          <w:rFonts w:ascii="Book Antiqua" w:eastAsia="Book Antiqua" w:hAnsi="Book Antiqua" w:cs="Book Antiqua"/>
          <w:color w:val="000000"/>
        </w:rPr>
        <w:t>Carmo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Bispo</w:t>
      </w:r>
      <w:proofErr w:type="spellEnd"/>
      <w:r>
        <w:rPr>
          <w:rFonts w:ascii="Book Antiqua" w:eastAsia="Book Antiqua" w:hAnsi="Book Antiqua" w:cs="Book Antiqua"/>
          <w:color w:val="000000"/>
        </w:rPr>
        <w:t xml:space="preserve"> M, Chagas C. Endoscopic Management of Foreign Bodies in the Upper Gastrointestinal Tract: An Evidence-Based Review Article. </w:t>
      </w:r>
      <w:r>
        <w:rPr>
          <w:rFonts w:ascii="Book Antiqua" w:eastAsia="Book Antiqua" w:hAnsi="Book Antiqua" w:cs="Book Antiqua"/>
          <w:i/>
          <w:iCs/>
          <w:color w:val="000000"/>
        </w:rPr>
        <w:t>GE Port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142-152 [PMID: 28868450 DOI: 10.1016/j.jpge.2015.09.002]</w:t>
      </w:r>
    </w:p>
    <w:p w14:paraId="1B0988BD" w14:textId="77777777" w:rsidR="00A77B3E" w:rsidRDefault="00966193">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Geng</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Li X, Luo R, Cai L, Lei X, Wang C. Endoscopic management of foreign bodies in the upper gastrointestinal tract: a retrospective study of 1294 cases.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1286-1291 [PMID: 28691540 DOI: 10.1080/00365521.2017.1350284]</w:t>
      </w:r>
    </w:p>
    <w:p w14:paraId="57CF6E23" w14:textId="77777777" w:rsidR="00A77B3E" w:rsidRDefault="00966193">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Jiang Y, Fu T, Zhang X, Li N, Tu C. Esophageal foreign bodies in adults with different durations of time from ingestion to effective treatment. </w:t>
      </w:r>
      <w:r>
        <w:rPr>
          <w:rFonts w:ascii="Book Antiqua" w:eastAsia="Book Antiqua" w:hAnsi="Book Antiqua" w:cs="Book Antiqua"/>
          <w:i/>
          <w:iCs/>
          <w:color w:val="000000"/>
        </w:rPr>
        <w:t>J Int Med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1386-1393 [PMID: 28606025 DOI: 10.1177/0300060517706827]</w:t>
      </w:r>
    </w:p>
    <w:p w14:paraId="4BC10663" w14:textId="77777777" w:rsidR="00A77B3E" w:rsidRDefault="00966193">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Hong KH</w:t>
      </w:r>
      <w:r>
        <w:rPr>
          <w:rFonts w:ascii="Book Antiqua" w:eastAsia="Book Antiqua" w:hAnsi="Book Antiqua" w:cs="Book Antiqua"/>
          <w:color w:val="000000"/>
        </w:rPr>
        <w:t xml:space="preserve">, Kim YJ, Kim JH, Chun SW, Kim HM, Cho JH. Risk factors for complications associated with upper gastrointestinal foreign bodies.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8125-8131 [PMID: 26185385 DOI: 10.3748/wjg.v21.i26.8125]</w:t>
      </w:r>
    </w:p>
    <w:p w14:paraId="471EDD5B" w14:textId="77777777" w:rsidR="00A77B3E" w:rsidRDefault="00966193">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Sung SH</w:t>
      </w:r>
      <w:r>
        <w:rPr>
          <w:rFonts w:ascii="Book Antiqua" w:eastAsia="Book Antiqua" w:hAnsi="Book Antiqua" w:cs="Book Antiqua"/>
          <w:color w:val="000000"/>
        </w:rPr>
        <w:t xml:space="preserve">, Jeon SW, Son HS, Kim SK, Jung MK, Cho CM, </w:t>
      </w:r>
      <w:proofErr w:type="spellStart"/>
      <w:r>
        <w:rPr>
          <w:rFonts w:ascii="Book Antiqua" w:eastAsia="Book Antiqua" w:hAnsi="Book Antiqua" w:cs="Book Antiqua"/>
          <w:color w:val="000000"/>
        </w:rPr>
        <w:t>Tak</w:t>
      </w:r>
      <w:proofErr w:type="spellEnd"/>
      <w:r>
        <w:rPr>
          <w:rFonts w:ascii="Book Antiqua" w:eastAsia="Book Antiqua" w:hAnsi="Book Antiqua" w:cs="Book Antiqua"/>
          <w:color w:val="000000"/>
        </w:rPr>
        <w:t xml:space="preserve"> WY, </w:t>
      </w:r>
      <w:proofErr w:type="spellStart"/>
      <w:r>
        <w:rPr>
          <w:rFonts w:ascii="Book Antiqua" w:eastAsia="Book Antiqua" w:hAnsi="Book Antiqua" w:cs="Book Antiqua"/>
          <w:color w:val="000000"/>
        </w:rPr>
        <w:t>Kweon</w:t>
      </w:r>
      <w:proofErr w:type="spellEnd"/>
      <w:r>
        <w:rPr>
          <w:rFonts w:ascii="Book Antiqua" w:eastAsia="Book Antiqua" w:hAnsi="Book Antiqua" w:cs="Book Antiqua"/>
          <w:color w:val="000000"/>
        </w:rPr>
        <w:t xml:space="preserve"> YO. Factors predictive of risk for complications in patients with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foreign bodies.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43</w:t>
      </w:r>
      <w:r>
        <w:rPr>
          <w:rFonts w:ascii="Book Antiqua" w:eastAsia="Book Antiqua" w:hAnsi="Book Antiqua" w:cs="Book Antiqua"/>
          <w:color w:val="000000"/>
        </w:rPr>
        <w:t>: 632-635 [PMID: 21466978 DOI: 10.1016/j.dld.2011.02.018]</w:t>
      </w:r>
    </w:p>
    <w:p w14:paraId="061EBA4A" w14:textId="77777777" w:rsidR="00A77B3E" w:rsidRDefault="00966193">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Erbil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Karaca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Aslaner</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Ibrahimov</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Kunt</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Akpinar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Özmen</w:t>
      </w:r>
      <w:proofErr w:type="spellEnd"/>
      <w:r>
        <w:rPr>
          <w:rFonts w:ascii="Book Antiqua" w:eastAsia="Book Antiqua" w:hAnsi="Book Antiqua" w:cs="Book Antiqua"/>
          <w:color w:val="000000"/>
        </w:rPr>
        <w:t xml:space="preserve"> MM. Emergency admissions due to swallowed foreign bodies in adults.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6447-6452 [PMID: 24151363 DOI: 10.3748/wjg.v19.i38.6447]</w:t>
      </w:r>
    </w:p>
    <w:p w14:paraId="63DD4E45" w14:textId="189B0B56" w:rsidR="00A77B3E" w:rsidRDefault="00966193">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ASGE Standards of Practice Committee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Ikenberry</w:t>
      </w:r>
      <w:proofErr w:type="spellEnd"/>
      <w:r>
        <w:rPr>
          <w:rFonts w:ascii="Book Antiqua" w:eastAsia="Book Antiqua" w:hAnsi="Book Antiqua" w:cs="Book Antiqua"/>
          <w:color w:val="000000"/>
        </w:rPr>
        <w:t xml:space="preserve"> SO, </w:t>
      </w:r>
      <w:proofErr w:type="spellStart"/>
      <w:r>
        <w:rPr>
          <w:rFonts w:ascii="Book Antiqua" w:eastAsia="Book Antiqua" w:hAnsi="Book Antiqua" w:cs="Book Antiqua"/>
          <w:color w:val="000000"/>
        </w:rPr>
        <w:t>Jue</w:t>
      </w:r>
      <w:proofErr w:type="spellEnd"/>
      <w:r>
        <w:rPr>
          <w:rFonts w:ascii="Book Antiqua" w:eastAsia="Book Antiqua" w:hAnsi="Book Antiqua" w:cs="Book Antiqua"/>
          <w:color w:val="000000"/>
        </w:rPr>
        <w:t xml:space="preserve"> TL, Anderson MA, </w:t>
      </w:r>
      <w:proofErr w:type="spellStart"/>
      <w:r>
        <w:rPr>
          <w:rFonts w:ascii="Book Antiqua" w:eastAsia="Book Antiqua" w:hAnsi="Book Antiqua" w:cs="Book Antiqua"/>
          <w:color w:val="000000"/>
        </w:rPr>
        <w:t>Appalaneni</w:t>
      </w:r>
      <w:proofErr w:type="spellEnd"/>
      <w:r>
        <w:rPr>
          <w:rFonts w:ascii="Book Antiqua" w:eastAsia="Book Antiqua" w:hAnsi="Book Antiqua" w:cs="Book Antiqua"/>
          <w:color w:val="000000"/>
        </w:rPr>
        <w:t xml:space="preserve"> V, Banerjee S, Ben-Menachem T, Decker GA, Fanelli RD, Fisher LR, </w:t>
      </w:r>
      <w:proofErr w:type="spellStart"/>
      <w:r>
        <w:rPr>
          <w:rFonts w:ascii="Book Antiqua" w:eastAsia="Book Antiqua" w:hAnsi="Book Antiqua" w:cs="Book Antiqua"/>
          <w:color w:val="000000"/>
        </w:rPr>
        <w:t>Fukami</w:t>
      </w:r>
      <w:proofErr w:type="spellEnd"/>
      <w:r>
        <w:rPr>
          <w:rFonts w:ascii="Book Antiqua" w:eastAsia="Book Antiqua" w:hAnsi="Book Antiqua" w:cs="Book Antiqua"/>
          <w:color w:val="000000"/>
        </w:rPr>
        <w:t xml:space="preserve"> N, Harrison ME, Jain R, Khan KM, </w:t>
      </w:r>
      <w:proofErr w:type="spellStart"/>
      <w:r>
        <w:rPr>
          <w:rFonts w:ascii="Book Antiqua" w:eastAsia="Book Antiqua" w:hAnsi="Book Antiqua" w:cs="Book Antiqua"/>
          <w:color w:val="000000"/>
        </w:rPr>
        <w:t>Krinsky</w:t>
      </w:r>
      <w:proofErr w:type="spellEnd"/>
      <w:r>
        <w:rPr>
          <w:rFonts w:ascii="Book Antiqua" w:eastAsia="Book Antiqua" w:hAnsi="Book Antiqua" w:cs="Book Antiqua"/>
          <w:color w:val="000000"/>
        </w:rPr>
        <w:t xml:space="preserve"> ML, Maple JT, </w:t>
      </w:r>
      <w:proofErr w:type="spellStart"/>
      <w:r>
        <w:rPr>
          <w:rFonts w:ascii="Book Antiqua" w:eastAsia="Book Antiqua" w:hAnsi="Book Antiqua" w:cs="Book Antiqua"/>
          <w:color w:val="000000"/>
        </w:rPr>
        <w:t>Sharaf</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Strohmeyer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Dominitz</w:t>
      </w:r>
      <w:proofErr w:type="spellEnd"/>
      <w:r>
        <w:rPr>
          <w:rFonts w:ascii="Book Antiqua" w:eastAsia="Book Antiqua" w:hAnsi="Book Antiqua" w:cs="Book Antiqua"/>
          <w:color w:val="000000"/>
        </w:rPr>
        <w:t xml:space="preserve"> JA. Management of ingested foreign bodies and food impactions.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73</w:t>
      </w:r>
      <w:r>
        <w:rPr>
          <w:rFonts w:ascii="Book Antiqua" w:eastAsia="Book Antiqua" w:hAnsi="Book Antiqua" w:cs="Book Antiqua"/>
          <w:color w:val="000000"/>
        </w:rPr>
        <w:t>: 1085-1091 [PMID: 21628009 DOI: 10.1016/j.gie.2010.11.010]</w:t>
      </w:r>
    </w:p>
    <w:p w14:paraId="3C109F68" w14:textId="77777777" w:rsidR="00A77B3E" w:rsidRDefault="00966193">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Birk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Bauerfeind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Deprez</w:t>
      </w:r>
      <w:proofErr w:type="spellEnd"/>
      <w:r>
        <w:rPr>
          <w:rFonts w:ascii="Book Antiqua" w:eastAsia="Book Antiqua" w:hAnsi="Book Antiqua" w:cs="Book Antiqua"/>
          <w:color w:val="000000"/>
        </w:rPr>
        <w:t xml:space="preserve"> PH, </w:t>
      </w:r>
      <w:proofErr w:type="spellStart"/>
      <w:r>
        <w:rPr>
          <w:rFonts w:ascii="Book Antiqua" w:eastAsia="Book Antiqua" w:hAnsi="Book Antiqua" w:cs="Book Antiqua"/>
          <w:color w:val="000000"/>
        </w:rPr>
        <w:t>Häfner</w:t>
      </w:r>
      <w:proofErr w:type="spellEnd"/>
      <w:r>
        <w:rPr>
          <w:rFonts w:ascii="Book Antiqua" w:eastAsia="Book Antiqua" w:hAnsi="Book Antiqua" w:cs="Book Antiqua"/>
          <w:color w:val="000000"/>
        </w:rPr>
        <w:t xml:space="preserve"> M, Hartmann D, Hassan C, </w:t>
      </w:r>
      <w:proofErr w:type="spellStart"/>
      <w:r>
        <w:rPr>
          <w:rFonts w:ascii="Book Antiqua" w:eastAsia="Book Antiqua" w:hAnsi="Book Antiqua" w:cs="Book Antiqua"/>
          <w:color w:val="000000"/>
        </w:rPr>
        <w:t>Hucl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Lesur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Aabakken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Meining</w:t>
      </w:r>
      <w:proofErr w:type="spellEnd"/>
      <w:r>
        <w:rPr>
          <w:rFonts w:ascii="Book Antiqua" w:eastAsia="Book Antiqua" w:hAnsi="Book Antiqua" w:cs="Book Antiqua"/>
          <w:color w:val="000000"/>
        </w:rPr>
        <w:t xml:space="preserve"> A. Removal of foreign bodies in the upper gastrointestinal </w:t>
      </w:r>
      <w:r>
        <w:rPr>
          <w:rFonts w:ascii="Book Antiqua" w:eastAsia="Book Antiqua" w:hAnsi="Book Antiqua" w:cs="Book Antiqua"/>
          <w:color w:val="000000"/>
        </w:rPr>
        <w:lastRenderedPageBreak/>
        <w:t xml:space="preserve">tract in adults: European Society of Gastrointestinal Endoscopy (ESGE) Clinical Guideline.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489-496 [PMID: 26862844 DOI: 10.1055/s-0042-100456]</w:t>
      </w:r>
    </w:p>
    <w:p w14:paraId="64C039A9" w14:textId="77777777" w:rsidR="00A77B3E" w:rsidRDefault="00966193">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Sugawa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Ono H, </w:t>
      </w:r>
      <w:proofErr w:type="spellStart"/>
      <w:r>
        <w:rPr>
          <w:rFonts w:ascii="Book Antiqua" w:eastAsia="Book Antiqua" w:hAnsi="Book Antiqua" w:cs="Book Antiqua"/>
          <w:color w:val="000000"/>
        </w:rPr>
        <w:t>Taleb</w:t>
      </w:r>
      <w:proofErr w:type="spellEnd"/>
      <w:r>
        <w:rPr>
          <w:rFonts w:ascii="Book Antiqua" w:eastAsia="Book Antiqua" w:hAnsi="Book Antiqua" w:cs="Book Antiqua"/>
          <w:color w:val="000000"/>
        </w:rPr>
        <w:t xml:space="preserve"> M, Lucas CE. Endoscopic management of foreign bodies in the upper gastrointestinal tract: A review.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475-481 [PMID: 25324918 DOI: 10.4253/wjge.v6.i10.475]</w:t>
      </w:r>
    </w:p>
    <w:p w14:paraId="3D710347" w14:textId="77777777" w:rsidR="00A77B3E" w:rsidRDefault="00966193">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Mosca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Manes G, Martino R, </w:t>
      </w:r>
      <w:proofErr w:type="spellStart"/>
      <w:r>
        <w:rPr>
          <w:rFonts w:ascii="Book Antiqua" w:eastAsia="Book Antiqua" w:hAnsi="Book Antiqua" w:cs="Book Antiqua"/>
          <w:color w:val="000000"/>
        </w:rPr>
        <w:t>Amitrano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Bottino</w:t>
      </w:r>
      <w:proofErr w:type="spellEnd"/>
      <w:r>
        <w:rPr>
          <w:rFonts w:ascii="Book Antiqua" w:eastAsia="Book Antiqua" w:hAnsi="Book Antiqua" w:cs="Book Antiqua"/>
          <w:color w:val="000000"/>
        </w:rPr>
        <w:t xml:space="preserve"> V, Bove A, Camera A, De Nucci C, Di Costanzo G, </w:t>
      </w:r>
      <w:proofErr w:type="spellStart"/>
      <w:r>
        <w:rPr>
          <w:rFonts w:ascii="Book Antiqua" w:eastAsia="Book Antiqua" w:hAnsi="Book Antiqua" w:cs="Book Antiqua"/>
          <w:color w:val="000000"/>
        </w:rPr>
        <w:t>Guardascione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Lampasi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Picascia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Picciotto</w:t>
      </w:r>
      <w:proofErr w:type="spellEnd"/>
      <w:r>
        <w:rPr>
          <w:rFonts w:ascii="Book Antiqua" w:eastAsia="Book Antiqua" w:hAnsi="Book Antiqua" w:cs="Book Antiqua"/>
          <w:color w:val="000000"/>
        </w:rPr>
        <w:t xml:space="preserve"> FP, Riccio E, Rocco VP, </w:t>
      </w:r>
      <w:proofErr w:type="spellStart"/>
      <w:r>
        <w:rPr>
          <w:rFonts w:ascii="Book Antiqua" w:eastAsia="Book Antiqua" w:hAnsi="Book Antiqua" w:cs="Book Antiqua"/>
          <w:color w:val="000000"/>
        </w:rPr>
        <w:t>Uomo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Balzano</w:t>
      </w:r>
      <w:proofErr w:type="spellEnd"/>
      <w:r>
        <w:rPr>
          <w:rFonts w:ascii="Book Antiqua" w:eastAsia="Book Antiqua" w:hAnsi="Book Antiqua" w:cs="Book Antiqua"/>
          <w:color w:val="000000"/>
        </w:rPr>
        <w:t xml:space="preserve"> A. Endoscopic management of foreign bodies in the upper gastrointestinal tract: report on a series of 414 adult patients.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2001; </w:t>
      </w:r>
      <w:r>
        <w:rPr>
          <w:rFonts w:ascii="Book Antiqua" w:eastAsia="Book Antiqua" w:hAnsi="Book Antiqua" w:cs="Book Antiqua"/>
          <w:b/>
          <w:bCs/>
          <w:color w:val="000000"/>
        </w:rPr>
        <w:t>33</w:t>
      </w:r>
      <w:r>
        <w:rPr>
          <w:rFonts w:ascii="Book Antiqua" w:eastAsia="Book Antiqua" w:hAnsi="Book Antiqua" w:cs="Book Antiqua"/>
          <w:color w:val="000000"/>
        </w:rPr>
        <w:t>: 692-696 [PMID: 11490386 DOI: 10.1055/s-2001-16212]</w:t>
      </w:r>
    </w:p>
    <w:p w14:paraId="33979070" w14:textId="0F0E9D4A" w:rsidR="00A77B3E" w:rsidRDefault="00966193">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ASGE Standards of Practice Committee</w:t>
      </w:r>
      <w:r>
        <w:rPr>
          <w:rFonts w:ascii="Book Antiqua" w:eastAsia="Book Antiqua" w:hAnsi="Book Antiqua" w:cs="Book Antiqua"/>
          <w:color w:val="000000"/>
        </w:rPr>
        <w:t xml:space="preserve">, Early DS, </w:t>
      </w:r>
      <w:proofErr w:type="spellStart"/>
      <w:r>
        <w:rPr>
          <w:rFonts w:ascii="Book Antiqua" w:eastAsia="Book Antiqua" w:hAnsi="Book Antiqua" w:cs="Book Antiqua"/>
          <w:color w:val="000000"/>
        </w:rPr>
        <w:t>Lightdale</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Vargo</w:t>
      </w:r>
      <w:proofErr w:type="spellEnd"/>
      <w:r>
        <w:rPr>
          <w:rFonts w:ascii="Book Antiqua" w:eastAsia="Book Antiqua" w:hAnsi="Book Antiqua" w:cs="Book Antiqua"/>
          <w:color w:val="000000"/>
        </w:rPr>
        <w:t xml:space="preserve"> JJ 2nd, Acosta RD, </w:t>
      </w:r>
      <w:proofErr w:type="spellStart"/>
      <w:r>
        <w:rPr>
          <w:rFonts w:ascii="Book Antiqua" w:eastAsia="Book Antiqua" w:hAnsi="Book Antiqua" w:cs="Book Antiqua"/>
          <w:color w:val="000000"/>
        </w:rPr>
        <w:t>Chandrasekhara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Chathadi</w:t>
      </w:r>
      <w:proofErr w:type="spellEnd"/>
      <w:r>
        <w:rPr>
          <w:rFonts w:ascii="Book Antiqua" w:eastAsia="Book Antiqua" w:hAnsi="Book Antiqua" w:cs="Book Antiqua"/>
          <w:color w:val="000000"/>
        </w:rPr>
        <w:t xml:space="preserve"> KV, Evans JA, Fisher DA, </w:t>
      </w:r>
      <w:proofErr w:type="spellStart"/>
      <w:r>
        <w:rPr>
          <w:rFonts w:ascii="Book Antiqua" w:eastAsia="Book Antiqua" w:hAnsi="Book Antiqua" w:cs="Book Antiqua"/>
          <w:color w:val="000000"/>
        </w:rPr>
        <w:t>Fonkalsrud</w:t>
      </w:r>
      <w:proofErr w:type="spellEnd"/>
      <w:r>
        <w:rPr>
          <w:rFonts w:ascii="Book Antiqua" w:eastAsia="Book Antiqua" w:hAnsi="Book Antiqua" w:cs="Book Antiqua"/>
          <w:color w:val="000000"/>
        </w:rPr>
        <w:t xml:space="preserve"> L, Hwang JH, </w:t>
      </w:r>
      <w:proofErr w:type="spellStart"/>
      <w:r>
        <w:rPr>
          <w:rFonts w:ascii="Book Antiqua" w:eastAsia="Book Antiqua" w:hAnsi="Book Antiqua" w:cs="Book Antiqua"/>
          <w:color w:val="000000"/>
        </w:rPr>
        <w:t>Khashab</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Muthusamy</w:t>
      </w:r>
      <w:proofErr w:type="spellEnd"/>
      <w:r>
        <w:rPr>
          <w:rFonts w:ascii="Book Antiqua" w:eastAsia="Book Antiqua" w:hAnsi="Book Antiqua" w:cs="Book Antiqua"/>
          <w:color w:val="000000"/>
        </w:rPr>
        <w:t xml:space="preserve"> VR, Pasha SF, Saltzman JR, </w:t>
      </w:r>
      <w:proofErr w:type="spellStart"/>
      <w:r>
        <w:rPr>
          <w:rFonts w:ascii="Book Antiqua" w:eastAsia="Book Antiqua" w:hAnsi="Book Antiqua" w:cs="Book Antiqua"/>
          <w:color w:val="000000"/>
        </w:rPr>
        <w:t>Shergill</w:t>
      </w:r>
      <w:proofErr w:type="spellEnd"/>
      <w:r>
        <w:rPr>
          <w:rFonts w:ascii="Book Antiqua" w:eastAsia="Book Antiqua" w:hAnsi="Book Antiqua" w:cs="Book Antiqua"/>
          <w:color w:val="000000"/>
        </w:rPr>
        <w:t xml:space="preserve"> AK, Cash BD, DeWitt JM. Guidelines for sedation and anesthesia in GI endoscopy.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87</w:t>
      </w:r>
      <w:r>
        <w:rPr>
          <w:rFonts w:ascii="Book Antiqua" w:eastAsia="Book Antiqua" w:hAnsi="Book Antiqua" w:cs="Book Antiqua"/>
          <w:color w:val="000000"/>
        </w:rPr>
        <w:t>: 327-337 [PMID: 29306520 DOI: 10.1016/j.gie.2017.07.018]</w:t>
      </w:r>
    </w:p>
    <w:p w14:paraId="588CE3C4" w14:textId="77777777" w:rsidR="00A77B3E" w:rsidRDefault="00966193">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Amornyotin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Sedation-related complications in gastrointestinal endoscopy.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527-533 [PMID: 24255744 DOI: 10.4253/wjge.v5.i11.527]</w:t>
      </w:r>
    </w:p>
    <w:p w14:paraId="300AB031" w14:textId="77777777" w:rsidR="00A77B3E" w:rsidRDefault="00966193">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Orsagh-Yentis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McAdams RJ, Roberts KJ, McKenzie LB. Foreign-Body Ingestions of Young Children Treated in US Emergency Departments: 1995-2015.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2019; </w:t>
      </w:r>
      <w:r>
        <w:rPr>
          <w:rFonts w:ascii="Book Antiqua" w:eastAsia="Book Antiqua" w:hAnsi="Book Antiqua" w:cs="Book Antiqua"/>
          <w:b/>
          <w:bCs/>
          <w:color w:val="000000"/>
        </w:rPr>
        <w:t>143</w:t>
      </w:r>
      <w:r>
        <w:rPr>
          <w:rFonts w:ascii="Book Antiqua" w:eastAsia="Book Antiqua" w:hAnsi="Book Antiqua" w:cs="Book Antiqua"/>
          <w:color w:val="000000"/>
        </w:rPr>
        <w:t xml:space="preserve"> [PMID: 30979810 DOI: 10.1542/peds.2018-1988]</w:t>
      </w:r>
    </w:p>
    <w:p w14:paraId="25162769" w14:textId="77777777" w:rsidR="00A77B3E" w:rsidRDefault="00966193">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Huang BL</w:t>
      </w:r>
      <w:r>
        <w:rPr>
          <w:rFonts w:ascii="Book Antiqua" w:eastAsia="Book Antiqua" w:hAnsi="Book Antiqua" w:cs="Book Antiqua"/>
          <w:color w:val="000000"/>
        </w:rPr>
        <w:t xml:space="preserve">, Rich HG, </w:t>
      </w:r>
      <w:proofErr w:type="spellStart"/>
      <w:r>
        <w:rPr>
          <w:rFonts w:ascii="Book Antiqua" w:eastAsia="Book Antiqua" w:hAnsi="Book Antiqua" w:cs="Book Antiqua"/>
          <w:color w:val="000000"/>
        </w:rPr>
        <w:t>Simundson</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Dhingana</w:t>
      </w:r>
      <w:proofErr w:type="spellEnd"/>
      <w:r>
        <w:rPr>
          <w:rFonts w:ascii="Book Antiqua" w:eastAsia="Book Antiqua" w:hAnsi="Book Antiqua" w:cs="Book Antiqua"/>
          <w:color w:val="000000"/>
        </w:rPr>
        <w:t xml:space="preserve"> MK, Harrington C, Moss SF. Intentional swallowing of foreign bodies is a recurrent and costly problem that rarely causes endoscopy complications.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8</w:t>
      </w:r>
      <w:r>
        <w:rPr>
          <w:rFonts w:ascii="Book Antiqua" w:eastAsia="Book Antiqua" w:hAnsi="Book Antiqua" w:cs="Book Antiqua"/>
          <w:color w:val="000000"/>
        </w:rPr>
        <w:t>: 941-946 [PMID: 20692368 DOI: 10.1016/j.cgh.2010.07.013]</w:t>
      </w:r>
    </w:p>
    <w:p w14:paraId="5DF2B84A" w14:textId="77777777" w:rsidR="00A77B3E" w:rsidRDefault="00966193">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Elkbuli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Ehrhardt</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McKenney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Boneva</w:t>
      </w:r>
      <w:proofErr w:type="spellEnd"/>
      <w:r>
        <w:rPr>
          <w:rFonts w:ascii="Book Antiqua" w:eastAsia="Book Antiqua" w:hAnsi="Book Antiqua" w:cs="Book Antiqua"/>
          <w:color w:val="000000"/>
        </w:rPr>
        <w:t xml:space="preserve"> D. Surgical care for ingested cocaine packets: Case report and literature review. </w:t>
      </w:r>
      <w:r>
        <w:rPr>
          <w:rFonts w:ascii="Book Antiqua" w:eastAsia="Book Antiqua" w:hAnsi="Book Antiqua" w:cs="Book Antiqua"/>
          <w:i/>
          <w:iCs/>
          <w:color w:val="000000"/>
        </w:rPr>
        <w:t>Int J Surg Case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55</w:t>
      </w:r>
      <w:r>
        <w:rPr>
          <w:rFonts w:ascii="Book Antiqua" w:eastAsia="Book Antiqua" w:hAnsi="Book Antiqua" w:cs="Book Antiqua"/>
          <w:color w:val="000000"/>
        </w:rPr>
        <w:t>: 84-87 [PMID: 30716708 DOI: 10.1016/j.ijscr.2019.01.013]</w:t>
      </w:r>
    </w:p>
    <w:p w14:paraId="4394E438" w14:textId="77777777" w:rsidR="00A77B3E" w:rsidRDefault="00966193">
      <w:pPr>
        <w:spacing w:line="360" w:lineRule="auto"/>
        <w:jc w:val="both"/>
      </w:pPr>
      <w:r>
        <w:rPr>
          <w:rFonts w:ascii="Book Antiqua" w:eastAsia="Book Antiqua" w:hAnsi="Book Antiqua" w:cs="Book Antiqua"/>
          <w:color w:val="000000"/>
        </w:rPr>
        <w:lastRenderedPageBreak/>
        <w:t xml:space="preserve">28 </w:t>
      </w:r>
      <w:proofErr w:type="spellStart"/>
      <w:r>
        <w:rPr>
          <w:rFonts w:ascii="Book Antiqua" w:eastAsia="Book Antiqua" w:hAnsi="Book Antiqua" w:cs="Book Antiqua"/>
          <w:b/>
          <w:bCs/>
          <w:color w:val="000000"/>
        </w:rPr>
        <w:t>Tortajada-Laureiro</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Poza-</w:t>
      </w:r>
      <w:proofErr w:type="spellStart"/>
      <w:r>
        <w:rPr>
          <w:rFonts w:ascii="Book Antiqua" w:eastAsia="Book Antiqua" w:hAnsi="Book Antiqua" w:cs="Book Antiqua"/>
          <w:color w:val="000000"/>
        </w:rPr>
        <w:t>Cordón</w:t>
      </w:r>
      <w:proofErr w:type="spellEnd"/>
      <w:r>
        <w:rPr>
          <w:rFonts w:ascii="Book Antiqua" w:eastAsia="Book Antiqua" w:hAnsi="Book Antiqua" w:cs="Book Antiqua"/>
          <w:color w:val="000000"/>
        </w:rPr>
        <w:t xml:space="preserve"> J, Gonzalo-Bada N, Suárez-Parga JM. Incidental foreign body: watch out for the elderly.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81</w:t>
      </w:r>
      <w:r>
        <w:rPr>
          <w:rFonts w:ascii="Book Antiqua" w:eastAsia="Book Antiqua" w:hAnsi="Book Antiqua" w:cs="Book Antiqua"/>
          <w:color w:val="000000"/>
        </w:rPr>
        <w:t>: 1489-91; discussion 1491-2 [PMID: 25986117 DOI: 10.1016/j.gie.2014.12.017]</w:t>
      </w:r>
    </w:p>
    <w:p w14:paraId="4204236B" w14:textId="77777777" w:rsidR="00A77B3E" w:rsidRDefault="00966193">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Ambe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Weber SA, </w:t>
      </w:r>
      <w:proofErr w:type="spellStart"/>
      <w:r>
        <w:rPr>
          <w:rFonts w:ascii="Book Antiqua" w:eastAsia="Book Antiqua" w:hAnsi="Book Antiqua" w:cs="Book Antiqua"/>
          <w:color w:val="000000"/>
        </w:rPr>
        <w:t>Schauer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Knoefel</w:t>
      </w:r>
      <w:proofErr w:type="spellEnd"/>
      <w:r>
        <w:rPr>
          <w:rFonts w:ascii="Book Antiqua" w:eastAsia="Book Antiqua" w:hAnsi="Book Antiqua" w:cs="Book Antiqua"/>
          <w:color w:val="000000"/>
        </w:rPr>
        <w:t xml:space="preserve"> WT. Swallowed foreign bodies in adults. </w:t>
      </w:r>
      <w:proofErr w:type="spellStart"/>
      <w:r>
        <w:rPr>
          <w:rFonts w:ascii="Book Antiqua" w:eastAsia="Book Antiqua" w:hAnsi="Book Antiqua" w:cs="Book Antiqua"/>
          <w:i/>
          <w:iCs/>
          <w:color w:val="000000"/>
        </w:rPr>
        <w:t>Dtsch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Arztebl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109</w:t>
      </w:r>
      <w:r>
        <w:rPr>
          <w:rFonts w:ascii="Book Antiqua" w:eastAsia="Book Antiqua" w:hAnsi="Book Antiqua" w:cs="Book Antiqua"/>
          <w:color w:val="000000"/>
        </w:rPr>
        <w:t>: 869-875 [PMID: 23293675 DOI: 10.3238/arztebl.2012.0869]</w:t>
      </w:r>
    </w:p>
    <w:p w14:paraId="33CF8901" w14:textId="77777777" w:rsidR="00A77B3E" w:rsidRDefault="00966193">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Selivanov</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Sheldon GF, Cello JP, Crass RA. Management of foreign body ingestion.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1984; </w:t>
      </w:r>
      <w:r>
        <w:rPr>
          <w:rFonts w:ascii="Book Antiqua" w:eastAsia="Book Antiqua" w:hAnsi="Book Antiqua" w:cs="Book Antiqua"/>
          <w:b/>
          <w:bCs/>
          <w:color w:val="000000"/>
        </w:rPr>
        <w:t>199</w:t>
      </w:r>
      <w:r>
        <w:rPr>
          <w:rFonts w:ascii="Book Antiqua" w:eastAsia="Book Antiqua" w:hAnsi="Book Antiqua" w:cs="Book Antiqua"/>
          <w:color w:val="000000"/>
        </w:rPr>
        <w:t>: 187-191 [PMID: 6696536 DOI: 10.1097/00000658-198402000-00010]</w:t>
      </w:r>
    </w:p>
    <w:p w14:paraId="3BC7A9A1" w14:textId="77777777" w:rsidR="00A77B3E" w:rsidRDefault="00966193">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Park JH</w:t>
      </w:r>
      <w:r>
        <w:rPr>
          <w:rFonts w:ascii="Book Antiqua" w:eastAsia="Book Antiqua" w:hAnsi="Book Antiqua" w:cs="Book Antiqua"/>
          <w:color w:val="000000"/>
        </w:rPr>
        <w:t xml:space="preserve">, Park CH, Park JH, Lee SJ, Lee WS, </w:t>
      </w:r>
      <w:proofErr w:type="spellStart"/>
      <w:r>
        <w:rPr>
          <w:rFonts w:ascii="Book Antiqua" w:eastAsia="Book Antiqua" w:hAnsi="Book Antiqua" w:cs="Book Antiqua"/>
          <w:color w:val="000000"/>
        </w:rPr>
        <w:t>Joo</w:t>
      </w:r>
      <w:proofErr w:type="spellEnd"/>
      <w:r>
        <w:rPr>
          <w:rFonts w:ascii="Book Antiqua" w:eastAsia="Book Antiqua" w:hAnsi="Book Antiqua" w:cs="Book Antiqua"/>
          <w:color w:val="000000"/>
        </w:rPr>
        <w:t xml:space="preserve"> YE, Kim HS, Choi SK, </w:t>
      </w:r>
      <w:proofErr w:type="spellStart"/>
      <w:r>
        <w:rPr>
          <w:rFonts w:ascii="Book Antiqua" w:eastAsia="Book Antiqua" w:hAnsi="Book Antiqua" w:cs="Book Antiqua"/>
          <w:color w:val="000000"/>
        </w:rPr>
        <w:t>Rew</w:t>
      </w:r>
      <w:proofErr w:type="spellEnd"/>
      <w:r>
        <w:rPr>
          <w:rFonts w:ascii="Book Antiqua" w:eastAsia="Book Antiqua" w:hAnsi="Book Antiqua" w:cs="Book Antiqua"/>
          <w:color w:val="000000"/>
        </w:rPr>
        <w:t xml:space="preserve"> JS, Kim SJ. [Review of 209 cases of foreign bodies in the upper gastrointestinal tract and clinical factors for successful endoscopic removal]. </w:t>
      </w:r>
      <w:r>
        <w:rPr>
          <w:rFonts w:ascii="Book Antiqua" w:eastAsia="Book Antiqua" w:hAnsi="Book Antiqua" w:cs="Book Antiqua"/>
          <w:i/>
          <w:iCs/>
          <w:color w:val="000000"/>
        </w:rPr>
        <w:t>Korean J Gastroenterol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43</w:t>
      </w:r>
      <w:r>
        <w:rPr>
          <w:rFonts w:ascii="Book Antiqua" w:eastAsia="Book Antiqua" w:hAnsi="Book Antiqua" w:cs="Book Antiqua"/>
          <w:color w:val="000000"/>
        </w:rPr>
        <w:t>: 226-233 [PMID: 15100486]</w:t>
      </w:r>
    </w:p>
    <w:p w14:paraId="75C35D27" w14:textId="77777777" w:rsidR="00A77B3E" w:rsidRDefault="00966193">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Nassar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Yacoub</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Raad</w:t>
      </w:r>
      <w:proofErr w:type="spellEnd"/>
      <w:r>
        <w:rPr>
          <w:rFonts w:ascii="Book Antiqua" w:eastAsia="Book Antiqua" w:hAnsi="Book Antiqua" w:cs="Book Antiqua"/>
          <w:color w:val="000000"/>
        </w:rPr>
        <w:t xml:space="preserve"> D, Hallman J, Novak J. Foreign Body Endoscopy Experience of a University Based Hospital. </w:t>
      </w:r>
      <w:r>
        <w:rPr>
          <w:rFonts w:ascii="Book Antiqua" w:eastAsia="Book Antiqua" w:hAnsi="Book Antiqua" w:cs="Book Antiqua"/>
          <w:i/>
          <w:iCs/>
          <w:color w:val="000000"/>
        </w:rPr>
        <w:t>Gastroenterology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4-9 [PMID: 27785219 DOI: 10.4021/gr517w]</w:t>
      </w:r>
    </w:p>
    <w:p w14:paraId="62D98EF0" w14:textId="77777777" w:rsidR="00A77B3E" w:rsidRDefault="00966193">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Long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Koyfman</w:t>
      </w:r>
      <w:proofErr w:type="spellEnd"/>
      <w:r>
        <w:rPr>
          <w:rFonts w:ascii="Book Antiqua" w:eastAsia="Book Antiqua" w:hAnsi="Book Antiqua" w:cs="Book Antiqua"/>
          <w:color w:val="000000"/>
        </w:rPr>
        <w:t xml:space="preserve"> A, Gottlieb M. Esophageal Foreign Bodies and Obstruction in the Emergency Department Setting: An Evidence-Based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56</w:t>
      </w:r>
      <w:r>
        <w:rPr>
          <w:rFonts w:ascii="Book Antiqua" w:eastAsia="Book Antiqua" w:hAnsi="Book Antiqua" w:cs="Book Antiqua"/>
          <w:color w:val="000000"/>
        </w:rPr>
        <w:t>: 499-511 [PMID: 30910368 DOI: 10.1016/j.jemermed.2019.01.025]</w:t>
      </w:r>
    </w:p>
    <w:p w14:paraId="4F4D6B12" w14:textId="77777777" w:rsidR="00A77B3E" w:rsidRDefault="00966193">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Larsson H</w:t>
      </w:r>
      <w:r>
        <w:rPr>
          <w:rFonts w:ascii="Book Antiqua" w:eastAsia="Book Antiqua" w:hAnsi="Book Antiqua" w:cs="Book Antiqua"/>
          <w:color w:val="000000"/>
        </w:rPr>
        <w:t xml:space="preserve">, Bergquist H, Bove M. The incidence of esophageal bolus impaction: is there a seasonal variation?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Head Neck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144</w:t>
      </w:r>
      <w:r>
        <w:rPr>
          <w:rFonts w:ascii="Book Antiqua" w:eastAsia="Book Antiqua" w:hAnsi="Book Antiqua" w:cs="Book Antiqua"/>
          <w:color w:val="000000"/>
        </w:rPr>
        <w:t>: 186-190 [PMID: 21493413 DOI: 10.1177/0194599810392655]</w:t>
      </w:r>
    </w:p>
    <w:p w14:paraId="6811823B" w14:textId="77777777" w:rsidR="00A77B3E" w:rsidRDefault="00966193">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Amornyotin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Sedation and monitoring for gastrointestinal endoscopy.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47-55 [PMID: 23424050 DOI: 10.4253/wjge.v5.i2.47]</w:t>
      </w:r>
    </w:p>
    <w:p w14:paraId="02BDF27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C0BA1B0" w14:textId="77777777" w:rsidR="00A77B3E" w:rsidRDefault="00966193">
      <w:pPr>
        <w:spacing w:line="360" w:lineRule="auto"/>
        <w:jc w:val="both"/>
      </w:pPr>
      <w:r>
        <w:rPr>
          <w:rFonts w:ascii="Book Antiqua" w:eastAsia="Book Antiqua" w:hAnsi="Book Antiqua" w:cs="Book Antiqua"/>
          <w:b/>
          <w:color w:val="000000"/>
        </w:rPr>
        <w:lastRenderedPageBreak/>
        <w:t>Footnotes</w:t>
      </w:r>
    </w:p>
    <w:p w14:paraId="7546AA56" w14:textId="77777777" w:rsidR="00A77B3E" w:rsidRDefault="00966193">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The study was reviewed and approved by the Cleveland Clinic Akron General Institutional Review Board (Approval No. 19007).</w:t>
      </w:r>
    </w:p>
    <w:p w14:paraId="3301AE70" w14:textId="77777777" w:rsidR="00A77B3E" w:rsidRDefault="00A77B3E">
      <w:pPr>
        <w:spacing w:line="360" w:lineRule="auto"/>
        <w:jc w:val="both"/>
      </w:pPr>
    </w:p>
    <w:p w14:paraId="628DC8A4" w14:textId="77777777" w:rsidR="00A77B3E" w:rsidRDefault="00966193">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zCs w:val="22"/>
        </w:rPr>
        <w:t>A waiver of informed consent is granted by the Institutional Review Board at Cleveland Clinic Akron General as this study may not be practicably conducted due to the number of patients lost to follow up and/or expired since the procedure. Please refer to IRB approval letter for further details.</w:t>
      </w:r>
    </w:p>
    <w:p w14:paraId="74572021" w14:textId="77777777" w:rsidR="00A77B3E" w:rsidRDefault="00A77B3E">
      <w:pPr>
        <w:spacing w:line="360" w:lineRule="auto"/>
        <w:jc w:val="both"/>
      </w:pPr>
    </w:p>
    <w:p w14:paraId="4D78890D" w14:textId="04EFCB58" w:rsidR="00A77B3E" w:rsidRDefault="0096619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are no conflict of interest pertaining to this manuscript</w:t>
      </w:r>
      <w:r w:rsidR="003039EE">
        <w:rPr>
          <w:rFonts w:ascii="Book Antiqua" w:eastAsia="Book Antiqua" w:hAnsi="Book Antiqua" w:cs="Book Antiqua"/>
          <w:color w:val="000000"/>
        </w:rPr>
        <w:t>.</w:t>
      </w:r>
    </w:p>
    <w:p w14:paraId="242E8354" w14:textId="77777777" w:rsidR="00A77B3E" w:rsidRDefault="00A77B3E">
      <w:pPr>
        <w:spacing w:line="360" w:lineRule="auto"/>
        <w:jc w:val="both"/>
      </w:pPr>
    </w:p>
    <w:p w14:paraId="2770EB8F" w14:textId="77777777" w:rsidR="00A77B3E" w:rsidRDefault="00966193">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Technical appendix, statistical code, and dataset available from the corresponding author at razikr@ccf.org. Consent was not obtained but the presented data are anonymized and risk of identification is low. No additional data are available.</w:t>
      </w:r>
    </w:p>
    <w:p w14:paraId="32098FB6" w14:textId="77777777" w:rsidR="00A77B3E" w:rsidRDefault="00A77B3E">
      <w:pPr>
        <w:spacing w:line="360" w:lineRule="auto"/>
        <w:jc w:val="both"/>
      </w:pPr>
    </w:p>
    <w:p w14:paraId="33DB0CE3" w14:textId="77777777" w:rsidR="00A77B3E" w:rsidRDefault="0096619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58A3D26" w14:textId="77777777" w:rsidR="00A77B3E" w:rsidRDefault="00A77B3E">
      <w:pPr>
        <w:spacing w:line="360" w:lineRule="auto"/>
        <w:jc w:val="both"/>
      </w:pPr>
    </w:p>
    <w:p w14:paraId="5358CF18" w14:textId="71E6ECC4" w:rsidR="00A77B3E" w:rsidRDefault="0096619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5C11CD">
        <w:rPr>
          <w:rFonts w:ascii="Book Antiqua" w:eastAsia="Book Antiqua" w:hAnsi="Book Antiqua" w:cs="Book Antiqua"/>
          <w:color w:val="000000"/>
        </w:rPr>
        <w:t>ma</w:t>
      </w:r>
      <w:r>
        <w:rPr>
          <w:rFonts w:ascii="Book Antiqua" w:eastAsia="Book Antiqua" w:hAnsi="Book Antiqua" w:cs="Book Antiqua"/>
          <w:color w:val="000000"/>
        </w:rPr>
        <w:t>nuscript</w:t>
      </w:r>
    </w:p>
    <w:p w14:paraId="530B36D4" w14:textId="77777777" w:rsidR="00A77B3E" w:rsidRDefault="00A77B3E">
      <w:pPr>
        <w:spacing w:line="360" w:lineRule="auto"/>
        <w:jc w:val="both"/>
      </w:pPr>
    </w:p>
    <w:p w14:paraId="70434266" w14:textId="77777777" w:rsidR="00A77B3E" w:rsidRDefault="0096619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4, 2020</w:t>
      </w:r>
    </w:p>
    <w:p w14:paraId="5F5725A9" w14:textId="77777777" w:rsidR="00A77B3E" w:rsidRDefault="0096619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18, 2020</w:t>
      </w:r>
    </w:p>
    <w:p w14:paraId="2D4C9FBC" w14:textId="31BDAC53" w:rsidR="00A77B3E" w:rsidRDefault="00966193">
      <w:pPr>
        <w:spacing w:line="360" w:lineRule="auto"/>
        <w:jc w:val="both"/>
      </w:pPr>
      <w:r>
        <w:rPr>
          <w:rFonts w:ascii="Book Antiqua" w:eastAsia="Book Antiqua" w:hAnsi="Book Antiqua" w:cs="Book Antiqua"/>
          <w:b/>
          <w:color w:val="000000"/>
        </w:rPr>
        <w:t xml:space="preserve">Article in press: </w:t>
      </w:r>
      <w:r w:rsidR="00125DE2" w:rsidRPr="005D5C53">
        <w:rPr>
          <w:rFonts w:ascii="Book Antiqua" w:eastAsia="Book Antiqua" w:hAnsi="Book Antiqua" w:cs="Book Antiqua"/>
          <w:color w:val="000000"/>
        </w:rPr>
        <w:t>January 21, 2021</w:t>
      </w:r>
    </w:p>
    <w:p w14:paraId="6F98B2E1" w14:textId="77777777" w:rsidR="00A77B3E" w:rsidRDefault="00A77B3E">
      <w:pPr>
        <w:spacing w:line="360" w:lineRule="auto"/>
        <w:jc w:val="both"/>
      </w:pPr>
    </w:p>
    <w:p w14:paraId="50135BCC" w14:textId="4214F74E" w:rsidR="00A77B3E" w:rsidRDefault="0096619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w:t>
      </w:r>
      <w:r w:rsidR="005C11CD">
        <w:rPr>
          <w:rFonts w:ascii="Book Antiqua" w:eastAsia="Book Antiqua" w:hAnsi="Book Antiqua" w:cs="Book Antiqua"/>
          <w:color w:val="000000"/>
        </w:rPr>
        <w:t xml:space="preserve"> he</w:t>
      </w:r>
      <w:r>
        <w:rPr>
          <w:rFonts w:ascii="Book Antiqua" w:eastAsia="Book Antiqua" w:hAnsi="Book Antiqua" w:cs="Book Antiqua"/>
          <w:color w:val="000000"/>
        </w:rPr>
        <w:t>patology</w:t>
      </w:r>
    </w:p>
    <w:p w14:paraId="11B576E8" w14:textId="77777777" w:rsidR="00A77B3E" w:rsidRDefault="0096619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99F54EE" w14:textId="77777777" w:rsidR="00A77B3E" w:rsidRDefault="00966193">
      <w:pPr>
        <w:spacing w:line="360" w:lineRule="auto"/>
        <w:jc w:val="both"/>
      </w:pPr>
      <w:r>
        <w:rPr>
          <w:rFonts w:ascii="Book Antiqua" w:eastAsia="Book Antiqua" w:hAnsi="Book Antiqua" w:cs="Book Antiqua"/>
          <w:b/>
          <w:color w:val="000000"/>
        </w:rPr>
        <w:t>Peer-review report’s scientific quality classification</w:t>
      </w:r>
    </w:p>
    <w:p w14:paraId="708A2691" w14:textId="77777777" w:rsidR="00A77B3E" w:rsidRDefault="00966193">
      <w:pPr>
        <w:spacing w:line="360" w:lineRule="auto"/>
        <w:jc w:val="both"/>
      </w:pPr>
      <w:r>
        <w:rPr>
          <w:rFonts w:ascii="Book Antiqua" w:eastAsia="Book Antiqua" w:hAnsi="Book Antiqua" w:cs="Book Antiqua"/>
          <w:color w:val="000000"/>
        </w:rPr>
        <w:t>Grade A (Excellent): 0</w:t>
      </w:r>
    </w:p>
    <w:p w14:paraId="7EF68F78" w14:textId="77777777" w:rsidR="00A77B3E" w:rsidRDefault="00966193">
      <w:pPr>
        <w:spacing w:line="360" w:lineRule="auto"/>
        <w:jc w:val="both"/>
      </w:pPr>
      <w:r>
        <w:rPr>
          <w:rFonts w:ascii="Book Antiqua" w:eastAsia="Book Antiqua" w:hAnsi="Book Antiqua" w:cs="Book Antiqua"/>
          <w:color w:val="000000"/>
        </w:rPr>
        <w:t>Grade B (Very good): B</w:t>
      </w:r>
    </w:p>
    <w:p w14:paraId="53EAE61A" w14:textId="77777777" w:rsidR="00A77B3E" w:rsidRDefault="00966193">
      <w:pPr>
        <w:spacing w:line="360" w:lineRule="auto"/>
        <w:jc w:val="both"/>
      </w:pPr>
      <w:r>
        <w:rPr>
          <w:rFonts w:ascii="Book Antiqua" w:eastAsia="Book Antiqua" w:hAnsi="Book Antiqua" w:cs="Book Antiqua"/>
          <w:color w:val="000000"/>
        </w:rPr>
        <w:t>Grade C (Good): C</w:t>
      </w:r>
    </w:p>
    <w:p w14:paraId="758A68DB" w14:textId="77777777" w:rsidR="00A77B3E" w:rsidRDefault="00966193">
      <w:pPr>
        <w:spacing w:line="360" w:lineRule="auto"/>
        <w:jc w:val="both"/>
      </w:pPr>
      <w:r>
        <w:rPr>
          <w:rFonts w:ascii="Book Antiqua" w:eastAsia="Book Antiqua" w:hAnsi="Book Antiqua" w:cs="Book Antiqua"/>
          <w:color w:val="000000"/>
        </w:rPr>
        <w:t>Grade D (Fair): D</w:t>
      </w:r>
    </w:p>
    <w:p w14:paraId="59E58B99" w14:textId="77777777" w:rsidR="00A77B3E" w:rsidRDefault="00966193">
      <w:pPr>
        <w:spacing w:line="360" w:lineRule="auto"/>
        <w:jc w:val="both"/>
      </w:pPr>
      <w:r>
        <w:rPr>
          <w:rFonts w:ascii="Book Antiqua" w:eastAsia="Book Antiqua" w:hAnsi="Book Antiqua" w:cs="Book Antiqua"/>
          <w:color w:val="000000"/>
        </w:rPr>
        <w:t>Grade E (Poor): 0</w:t>
      </w:r>
    </w:p>
    <w:p w14:paraId="5629581A" w14:textId="77777777" w:rsidR="00A77B3E" w:rsidRDefault="00A77B3E">
      <w:pPr>
        <w:spacing w:line="360" w:lineRule="auto"/>
        <w:jc w:val="both"/>
      </w:pPr>
    </w:p>
    <w:p w14:paraId="0B25D064" w14:textId="725E57F3" w:rsidR="003039EE" w:rsidRPr="0053562C" w:rsidRDefault="00966193">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Fusaroli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Muguruma</w:t>
      </w:r>
      <w:proofErr w:type="spellEnd"/>
      <w:r>
        <w:rPr>
          <w:rFonts w:ascii="Book Antiqua" w:eastAsia="Book Antiqua" w:hAnsi="Book Antiqua" w:cs="Book Antiqua"/>
          <w:color w:val="000000"/>
        </w:rPr>
        <w:t xml:space="preserve"> N</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w:t>
      </w:r>
      <w:r w:rsidRPr="0053562C">
        <w:rPr>
          <w:rFonts w:ascii="Book Antiqua" w:eastAsia="Book Antiqua" w:hAnsi="Book Antiqua" w:cs="Book Antiqua"/>
          <w:color w:val="000000"/>
        </w:rPr>
        <w:t xml:space="preserve"> </w:t>
      </w:r>
      <w:r w:rsidR="0053562C" w:rsidRPr="0053562C">
        <w:rPr>
          <w:rFonts w:ascii="Book Antiqua" w:hAnsi="Book Antiqua" w:cs="Book Antiqua" w:hint="eastAsia"/>
          <w:color w:val="000000"/>
          <w:lang w:eastAsia="zh-CN"/>
        </w:rPr>
        <w:t>A</w:t>
      </w:r>
      <w:r w:rsidRPr="0053562C">
        <w:rPr>
          <w:rFonts w:ascii="Book Antiqua" w:eastAsia="Book Antiqua" w:hAnsi="Book Antiqua" w:cs="Book Antiqua"/>
          <w:color w:val="000000"/>
        </w:rPr>
        <w:t xml:space="preserve"> </w:t>
      </w:r>
      <w:r>
        <w:rPr>
          <w:rFonts w:ascii="Book Antiqua" w:eastAsia="Book Antiqua" w:hAnsi="Book Antiqua" w:cs="Book Antiqua"/>
          <w:b/>
          <w:color w:val="000000"/>
        </w:rPr>
        <w:t>P-Editor:</w:t>
      </w:r>
      <w:r w:rsidRPr="0053562C">
        <w:rPr>
          <w:rFonts w:ascii="Book Antiqua" w:eastAsia="Book Antiqua" w:hAnsi="Book Antiqua" w:cs="Book Antiqua"/>
          <w:color w:val="000000"/>
        </w:rPr>
        <w:t xml:space="preserve"> </w:t>
      </w:r>
      <w:r w:rsidR="0053562C" w:rsidRPr="0053562C">
        <w:rPr>
          <w:rFonts w:ascii="Book Antiqua" w:hAnsi="Book Antiqua" w:cs="Book Antiqua" w:hint="eastAsia"/>
          <w:color w:val="000000"/>
          <w:lang w:eastAsia="zh-CN"/>
        </w:rPr>
        <w:t>Wang LL</w:t>
      </w:r>
    </w:p>
    <w:p w14:paraId="3C924A3E" w14:textId="3CB90A8E" w:rsidR="00A77B3E" w:rsidRDefault="003039E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3039EE">
        <w:rPr>
          <w:rFonts w:ascii="Book Antiqua" w:eastAsia="Book Antiqua" w:hAnsi="Book Antiqua" w:cs="Book Antiqua"/>
          <w:b/>
          <w:color w:val="000000"/>
        </w:rPr>
        <w:lastRenderedPageBreak/>
        <w:t>Table 1</w:t>
      </w:r>
      <w:r>
        <w:rPr>
          <w:rFonts w:ascii="Book Antiqua" w:eastAsia="Book Antiqua" w:hAnsi="Book Antiqua" w:cs="Book Antiqua"/>
          <w:b/>
          <w:color w:val="000000"/>
        </w:rPr>
        <w:t xml:space="preserve"> </w:t>
      </w:r>
      <w:r w:rsidRPr="003039EE">
        <w:rPr>
          <w:rFonts w:ascii="Book Antiqua" w:eastAsia="Book Antiqua" w:hAnsi="Book Antiqua" w:cs="Book Antiqua"/>
          <w:b/>
          <w:color w:val="000000"/>
        </w:rPr>
        <w:t>Comparison of baseline characteristics among different sedation modalities</w:t>
      </w:r>
      <w:r>
        <w:rPr>
          <w:rFonts w:ascii="Book Antiqua" w:eastAsia="Book Antiqua" w:hAnsi="Book Antiqua" w:cs="Book Antiqua"/>
          <w:b/>
          <w:color w:val="000000"/>
        </w:rPr>
        <w:t xml:space="preserve"> </w:t>
      </w:r>
      <w:r w:rsidRPr="003039EE">
        <w:rPr>
          <w:rFonts w:ascii="Book Antiqua" w:eastAsia="Book Antiqua" w:hAnsi="Book Antiqua" w:cs="Book Antiqua"/>
          <w:b/>
          <w:color w:val="000000"/>
        </w:rPr>
        <w:t>(</w:t>
      </w:r>
      <w:r w:rsidRPr="003039EE">
        <w:rPr>
          <w:rFonts w:ascii="Book Antiqua" w:eastAsia="Book Antiqua" w:hAnsi="Book Antiqua" w:cs="Book Antiqua"/>
          <w:b/>
          <w:i/>
          <w:iCs/>
          <w:color w:val="000000"/>
        </w:rPr>
        <w:t>n</w:t>
      </w:r>
      <w:r w:rsidRPr="003039EE">
        <w:rPr>
          <w:rFonts w:ascii="Book Antiqua" w:eastAsia="Book Antiqua" w:hAnsi="Book Antiqua" w:cs="Book Antiqua"/>
          <w:b/>
          <w:color w:val="000000"/>
        </w:rPr>
        <w:t xml:space="preserve"> = 929)</w:t>
      </w:r>
    </w:p>
    <w:tbl>
      <w:tblPr>
        <w:tblStyle w:val="TableGrid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1620"/>
        <w:gridCol w:w="1530"/>
        <w:gridCol w:w="1530"/>
        <w:gridCol w:w="1473"/>
        <w:gridCol w:w="1208"/>
      </w:tblGrid>
      <w:tr w:rsidR="003039EE" w:rsidRPr="003039EE" w14:paraId="023E589F" w14:textId="77777777" w:rsidTr="00C511D5">
        <w:tc>
          <w:tcPr>
            <w:tcW w:w="2245" w:type="dxa"/>
            <w:tcBorders>
              <w:top w:val="single" w:sz="4" w:space="0" w:color="auto"/>
              <w:bottom w:val="single" w:sz="4" w:space="0" w:color="auto"/>
            </w:tcBorders>
          </w:tcPr>
          <w:p w14:paraId="6CA1D8CC" w14:textId="77777777" w:rsidR="003039EE" w:rsidRPr="00C511D5" w:rsidRDefault="003039EE" w:rsidP="003039EE">
            <w:pPr>
              <w:pStyle w:val="a5"/>
              <w:spacing w:line="360" w:lineRule="auto"/>
              <w:jc w:val="both"/>
              <w:rPr>
                <w:rFonts w:ascii="Book Antiqua" w:hAnsi="Book Antiqua" w:cs="Times New Roman"/>
                <w:sz w:val="24"/>
                <w:szCs w:val="24"/>
              </w:rPr>
            </w:pPr>
          </w:p>
        </w:tc>
        <w:tc>
          <w:tcPr>
            <w:tcW w:w="1620" w:type="dxa"/>
            <w:tcBorders>
              <w:top w:val="single" w:sz="4" w:space="0" w:color="auto"/>
              <w:bottom w:val="single" w:sz="4" w:space="0" w:color="auto"/>
            </w:tcBorders>
          </w:tcPr>
          <w:p w14:paraId="6CCD06E8" w14:textId="10276AAE" w:rsidR="003039EE" w:rsidRPr="003039EE" w:rsidRDefault="003039EE" w:rsidP="003039EE">
            <w:pPr>
              <w:pStyle w:val="a5"/>
              <w:spacing w:line="360" w:lineRule="auto"/>
              <w:jc w:val="both"/>
              <w:rPr>
                <w:rFonts w:ascii="Book Antiqua" w:hAnsi="Book Antiqua" w:cs="Times New Roman"/>
                <w:b/>
                <w:sz w:val="24"/>
                <w:szCs w:val="24"/>
              </w:rPr>
            </w:pPr>
            <w:r w:rsidRPr="003039EE">
              <w:rPr>
                <w:rFonts w:ascii="Book Antiqua" w:hAnsi="Book Antiqua" w:cs="Times New Roman"/>
                <w:b/>
                <w:sz w:val="24"/>
                <w:szCs w:val="24"/>
              </w:rPr>
              <w:t>Conscious sedation</w:t>
            </w:r>
            <w:r>
              <w:rPr>
                <w:rFonts w:ascii="Book Antiqua" w:hAnsi="Book Antiqua" w:cs="Times New Roman"/>
                <w:b/>
                <w:sz w:val="24"/>
                <w:szCs w:val="24"/>
              </w:rPr>
              <w:t xml:space="preserve"> </w:t>
            </w:r>
            <w:r w:rsidRPr="003039EE">
              <w:rPr>
                <w:rFonts w:ascii="Book Antiqua" w:hAnsi="Book Antiqua" w:cs="Times New Roman"/>
                <w:b/>
                <w:sz w:val="24"/>
                <w:szCs w:val="24"/>
              </w:rPr>
              <w:t>(</w:t>
            </w:r>
            <w:r w:rsidRPr="003039EE">
              <w:rPr>
                <w:rFonts w:ascii="Book Antiqua" w:hAnsi="Book Antiqua" w:cs="Times New Roman"/>
                <w:b/>
                <w:i/>
                <w:iCs/>
                <w:sz w:val="24"/>
                <w:szCs w:val="24"/>
              </w:rPr>
              <w:t>n</w:t>
            </w:r>
            <w:r w:rsidRPr="003039EE">
              <w:rPr>
                <w:rFonts w:ascii="Book Antiqua" w:hAnsi="Book Antiqua" w:cs="Times New Roman"/>
                <w:b/>
                <w:sz w:val="24"/>
                <w:szCs w:val="24"/>
              </w:rPr>
              <w:t xml:space="preserve"> = 353)</w:t>
            </w:r>
            <w:r>
              <w:rPr>
                <w:rFonts w:ascii="Book Antiqua" w:hAnsi="Book Antiqua" w:cs="Times New Roman"/>
                <w:b/>
                <w:sz w:val="24"/>
                <w:szCs w:val="24"/>
              </w:rPr>
              <w:t xml:space="preserve">, </w:t>
            </w:r>
            <w:r w:rsidRPr="003039EE">
              <w:rPr>
                <w:rFonts w:ascii="Book Antiqua" w:hAnsi="Book Antiqua" w:cs="Times New Roman"/>
                <w:b/>
                <w:i/>
                <w:iCs/>
                <w:sz w:val="24"/>
                <w:szCs w:val="24"/>
              </w:rPr>
              <w:t>n</w:t>
            </w:r>
            <w:r w:rsidRPr="003039EE">
              <w:rPr>
                <w:rFonts w:ascii="Book Antiqua" w:hAnsi="Book Antiqua" w:cs="Times New Roman"/>
                <w:b/>
                <w:sz w:val="24"/>
                <w:szCs w:val="24"/>
              </w:rPr>
              <w:t xml:space="preserve"> (%)</w:t>
            </w:r>
          </w:p>
        </w:tc>
        <w:tc>
          <w:tcPr>
            <w:tcW w:w="1530" w:type="dxa"/>
            <w:tcBorders>
              <w:top w:val="single" w:sz="4" w:space="0" w:color="auto"/>
              <w:bottom w:val="single" w:sz="4" w:space="0" w:color="auto"/>
            </w:tcBorders>
          </w:tcPr>
          <w:p w14:paraId="75265E7F" w14:textId="18B46F29" w:rsidR="003039EE" w:rsidRPr="003039EE" w:rsidRDefault="003039EE" w:rsidP="003039EE">
            <w:pPr>
              <w:pStyle w:val="a5"/>
              <w:spacing w:line="360" w:lineRule="auto"/>
              <w:jc w:val="both"/>
              <w:rPr>
                <w:rFonts w:ascii="Book Antiqua" w:hAnsi="Book Antiqua" w:cs="Times New Roman"/>
                <w:b/>
                <w:sz w:val="24"/>
                <w:szCs w:val="24"/>
              </w:rPr>
            </w:pPr>
            <w:r w:rsidRPr="003039EE">
              <w:rPr>
                <w:rFonts w:ascii="Book Antiqua" w:hAnsi="Book Antiqua" w:cs="Times New Roman"/>
                <w:b/>
                <w:sz w:val="24"/>
                <w:szCs w:val="24"/>
              </w:rPr>
              <w:t>Monitored anesthesia care</w:t>
            </w:r>
            <w:r>
              <w:rPr>
                <w:rFonts w:ascii="Book Antiqua" w:hAnsi="Book Antiqua" w:cs="Times New Roman"/>
                <w:b/>
                <w:sz w:val="24"/>
                <w:szCs w:val="24"/>
              </w:rPr>
              <w:t xml:space="preserve"> </w:t>
            </w:r>
            <w:r w:rsidRPr="003039EE">
              <w:rPr>
                <w:rFonts w:ascii="Book Antiqua" w:hAnsi="Book Antiqua" w:cs="Times New Roman"/>
                <w:b/>
                <w:sz w:val="24"/>
                <w:szCs w:val="24"/>
              </w:rPr>
              <w:t>(</w:t>
            </w:r>
            <w:r w:rsidRPr="003039EE">
              <w:rPr>
                <w:rFonts w:ascii="Book Antiqua" w:hAnsi="Book Antiqua" w:cs="Times New Roman"/>
                <w:b/>
                <w:i/>
                <w:iCs/>
                <w:sz w:val="24"/>
                <w:szCs w:val="24"/>
              </w:rPr>
              <w:t>n</w:t>
            </w:r>
            <w:r w:rsidRPr="003039EE">
              <w:rPr>
                <w:rFonts w:ascii="Book Antiqua" w:hAnsi="Book Antiqua" w:cs="Times New Roman"/>
                <w:b/>
                <w:sz w:val="24"/>
                <w:szCs w:val="24"/>
              </w:rPr>
              <w:t xml:space="preserve"> = 278)</w:t>
            </w:r>
            <w:r>
              <w:rPr>
                <w:rFonts w:ascii="Book Antiqua" w:hAnsi="Book Antiqua" w:cs="Times New Roman"/>
                <w:b/>
                <w:sz w:val="24"/>
                <w:szCs w:val="24"/>
              </w:rPr>
              <w:t xml:space="preserve">, </w:t>
            </w:r>
            <w:r w:rsidRPr="003039EE">
              <w:rPr>
                <w:rFonts w:ascii="Book Antiqua" w:hAnsi="Book Antiqua" w:cs="Times New Roman"/>
                <w:b/>
                <w:i/>
                <w:iCs/>
                <w:sz w:val="24"/>
                <w:szCs w:val="24"/>
              </w:rPr>
              <w:t>n</w:t>
            </w:r>
            <w:r w:rsidRPr="003039EE">
              <w:rPr>
                <w:rFonts w:ascii="Book Antiqua" w:hAnsi="Book Antiqua" w:cs="Times New Roman"/>
                <w:b/>
                <w:sz w:val="24"/>
                <w:szCs w:val="24"/>
              </w:rPr>
              <w:t xml:space="preserve"> (%)</w:t>
            </w:r>
          </w:p>
        </w:tc>
        <w:tc>
          <w:tcPr>
            <w:tcW w:w="1530" w:type="dxa"/>
            <w:tcBorders>
              <w:top w:val="single" w:sz="4" w:space="0" w:color="auto"/>
              <w:bottom w:val="single" w:sz="4" w:space="0" w:color="auto"/>
            </w:tcBorders>
          </w:tcPr>
          <w:p w14:paraId="5FA4910D" w14:textId="1D6BDF62" w:rsidR="003039EE" w:rsidRPr="003039EE" w:rsidRDefault="003039EE" w:rsidP="003039EE">
            <w:pPr>
              <w:pStyle w:val="a5"/>
              <w:spacing w:line="360" w:lineRule="auto"/>
              <w:jc w:val="both"/>
              <w:rPr>
                <w:rFonts w:ascii="Book Antiqua" w:hAnsi="Book Antiqua" w:cs="Times New Roman"/>
                <w:b/>
                <w:sz w:val="24"/>
                <w:szCs w:val="24"/>
              </w:rPr>
            </w:pPr>
            <w:r w:rsidRPr="003039EE">
              <w:rPr>
                <w:rFonts w:ascii="Book Antiqua" w:hAnsi="Book Antiqua" w:cs="Times New Roman"/>
                <w:b/>
                <w:sz w:val="24"/>
                <w:szCs w:val="24"/>
              </w:rPr>
              <w:t>General anesthesia</w:t>
            </w:r>
            <w:r>
              <w:rPr>
                <w:rFonts w:ascii="Book Antiqua" w:hAnsi="Book Antiqua" w:cs="Times New Roman"/>
                <w:b/>
                <w:sz w:val="24"/>
                <w:szCs w:val="24"/>
              </w:rPr>
              <w:t xml:space="preserve"> </w:t>
            </w:r>
            <w:r w:rsidRPr="003039EE">
              <w:rPr>
                <w:rFonts w:ascii="Book Antiqua" w:hAnsi="Book Antiqua" w:cs="Times New Roman"/>
                <w:b/>
                <w:sz w:val="24"/>
                <w:szCs w:val="24"/>
              </w:rPr>
              <w:t>(</w:t>
            </w:r>
            <w:r w:rsidRPr="003039EE">
              <w:rPr>
                <w:rFonts w:ascii="Book Antiqua" w:hAnsi="Book Antiqua" w:cs="Times New Roman"/>
                <w:b/>
                <w:i/>
                <w:iCs/>
                <w:sz w:val="24"/>
                <w:szCs w:val="24"/>
              </w:rPr>
              <w:t>n</w:t>
            </w:r>
            <w:r w:rsidRPr="003039EE">
              <w:rPr>
                <w:rFonts w:ascii="Book Antiqua" w:hAnsi="Book Antiqua" w:cs="Times New Roman"/>
                <w:b/>
                <w:sz w:val="24"/>
                <w:szCs w:val="24"/>
              </w:rPr>
              <w:t xml:space="preserve"> = 298)</w:t>
            </w:r>
            <w:r>
              <w:rPr>
                <w:rFonts w:ascii="Book Antiqua" w:hAnsi="Book Antiqua" w:cs="Times New Roman"/>
                <w:b/>
                <w:sz w:val="24"/>
                <w:szCs w:val="24"/>
              </w:rPr>
              <w:t xml:space="preserve">, </w:t>
            </w:r>
            <w:r w:rsidRPr="003039EE">
              <w:rPr>
                <w:rFonts w:ascii="Book Antiqua" w:hAnsi="Book Antiqua" w:cs="Times New Roman"/>
                <w:b/>
                <w:i/>
                <w:iCs/>
                <w:sz w:val="24"/>
                <w:szCs w:val="24"/>
              </w:rPr>
              <w:t>n</w:t>
            </w:r>
            <w:r w:rsidRPr="003039EE">
              <w:rPr>
                <w:rFonts w:ascii="Book Antiqua" w:hAnsi="Book Antiqua" w:cs="Times New Roman"/>
                <w:b/>
                <w:sz w:val="24"/>
                <w:szCs w:val="24"/>
              </w:rPr>
              <w:t xml:space="preserve"> (%)</w:t>
            </w:r>
          </w:p>
        </w:tc>
        <w:tc>
          <w:tcPr>
            <w:tcW w:w="1473" w:type="dxa"/>
            <w:tcBorders>
              <w:top w:val="single" w:sz="4" w:space="0" w:color="auto"/>
              <w:bottom w:val="single" w:sz="4" w:space="0" w:color="auto"/>
            </w:tcBorders>
          </w:tcPr>
          <w:p w14:paraId="2274DCE8" w14:textId="41E3643E" w:rsidR="003039EE" w:rsidRPr="003039EE" w:rsidRDefault="003039EE" w:rsidP="003039EE">
            <w:pPr>
              <w:pStyle w:val="a5"/>
              <w:spacing w:line="360" w:lineRule="auto"/>
              <w:jc w:val="both"/>
              <w:rPr>
                <w:rFonts w:ascii="Book Antiqua" w:hAnsi="Book Antiqua" w:cs="Times New Roman"/>
                <w:b/>
                <w:sz w:val="24"/>
                <w:szCs w:val="24"/>
              </w:rPr>
            </w:pPr>
            <w:r w:rsidRPr="003039EE">
              <w:rPr>
                <w:rFonts w:ascii="Book Antiqua" w:hAnsi="Book Antiqua" w:cs="Times New Roman"/>
                <w:b/>
                <w:sz w:val="24"/>
                <w:szCs w:val="24"/>
              </w:rPr>
              <w:t>Total</w:t>
            </w:r>
            <w:r>
              <w:rPr>
                <w:rFonts w:ascii="Book Antiqua" w:hAnsi="Book Antiqua" w:cs="Times New Roman"/>
                <w:b/>
                <w:sz w:val="24"/>
                <w:szCs w:val="24"/>
              </w:rPr>
              <w:t xml:space="preserve"> </w:t>
            </w:r>
            <w:r w:rsidRPr="003039EE">
              <w:rPr>
                <w:rFonts w:ascii="Book Antiqua" w:hAnsi="Book Antiqua" w:cs="Times New Roman"/>
                <w:b/>
                <w:sz w:val="24"/>
                <w:szCs w:val="24"/>
              </w:rPr>
              <w:t>(</w:t>
            </w:r>
            <w:r w:rsidRPr="003039EE">
              <w:rPr>
                <w:rFonts w:ascii="Book Antiqua" w:hAnsi="Book Antiqua" w:cs="Times New Roman"/>
                <w:b/>
                <w:i/>
                <w:iCs/>
                <w:sz w:val="24"/>
                <w:szCs w:val="24"/>
              </w:rPr>
              <w:t>n</w:t>
            </w:r>
            <w:r w:rsidRPr="003039EE">
              <w:rPr>
                <w:rFonts w:ascii="Book Antiqua" w:hAnsi="Book Antiqua" w:cs="Times New Roman"/>
                <w:b/>
                <w:sz w:val="24"/>
                <w:szCs w:val="24"/>
              </w:rPr>
              <w:t xml:space="preserve"> = 929)</w:t>
            </w:r>
            <w:r>
              <w:rPr>
                <w:rFonts w:ascii="Book Antiqua" w:hAnsi="Book Antiqua" w:cs="Times New Roman"/>
                <w:b/>
                <w:sz w:val="24"/>
                <w:szCs w:val="24"/>
              </w:rPr>
              <w:t xml:space="preserve">, </w:t>
            </w:r>
            <w:r w:rsidRPr="003039EE">
              <w:rPr>
                <w:rFonts w:ascii="Book Antiqua" w:hAnsi="Book Antiqua" w:cs="Times New Roman"/>
                <w:b/>
                <w:i/>
                <w:iCs/>
                <w:sz w:val="24"/>
                <w:szCs w:val="24"/>
              </w:rPr>
              <w:t>n</w:t>
            </w:r>
            <w:r w:rsidRPr="003039EE">
              <w:rPr>
                <w:rFonts w:ascii="Book Antiqua" w:hAnsi="Book Antiqua" w:cs="Times New Roman"/>
                <w:b/>
                <w:sz w:val="24"/>
                <w:szCs w:val="24"/>
              </w:rPr>
              <w:t xml:space="preserve"> (%)</w:t>
            </w:r>
          </w:p>
        </w:tc>
        <w:tc>
          <w:tcPr>
            <w:tcW w:w="1208" w:type="dxa"/>
            <w:tcBorders>
              <w:top w:val="single" w:sz="4" w:space="0" w:color="auto"/>
              <w:bottom w:val="single" w:sz="4" w:space="0" w:color="auto"/>
            </w:tcBorders>
          </w:tcPr>
          <w:p w14:paraId="784B77C2" w14:textId="7DFD5907" w:rsidR="003039EE" w:rsidRPr="003039EE" w:rsidRDefault="003039EE" w:rsidP="003039EE">
            <w:pPr>
              <w:pStyle w:val="a5"/>
              <w:spacing w:line="360" w:lineRule="auto"/>
              <w:jc w:val="both"/>
              <w:rPr>
                <w:rFonts w:ascii="Book Antiqua" w:hAnsi="Book Antiqua" w:cs="Times New Roman"/>
                <w:b/>
                <w:sz w:val="24"/>
                <w:szCs w:val="24"/>
              </w:rPr>
            </w:pPr>
            <w:r w:rsidRPr="003039EE">
              <w:rPr>
                <w:rFonts w:ascii="Book Antiqua" w:hAnsi="Book Antiqua" w:cs="Times New Roman"/>
                <w:b/>
                <w:i/>
                <w:iCs/>
                <w:sz w:val="24"/>
                <w:szCs w:val="24"/>
              </w:rPr>
              <w:t>P</w:t>
            </w:r>
            <w:r>
              <w:rPr>
                <w:rFonts w:ascii="Book Antiqua" w:hAnsi="Book Antiqua" w:cs="Times New Roman"/>
                <w:b/>
                <w:sz w:val="24"/>
                <w:szCs w:val="24"/>
              </w:rPr>
              <w:t xml:space="preserve"> </w:t>
            </w:r>
            <w:r w:rsidRPr="003039EE">
              <w:rPr>
                <w:rFonts w:ascii="Book Antiqua" w:hAnsi="Book Antiqua" w:cs="Times New Roman"/>
                <w:b/>
                <w:sz w:val="24"/>
                <w:szCs w:val="24"/>
              </w:rPr>
              <w:t>value</w:t>
            </w:r>
          </w:p>
        </w:tc>
      </w:tr>
      <w:tr w:rsidR="003039EE" w:rsidRPr="003039EE" w14:paraId="18178F70" w14:textId="77777777" w:rsidTr="00C511D5">
        <w:tc>
          <w:tcPr>
            <w:tcW w:w="2245" w:type="dxa"/>
            <w:tcBorders>
              <w:top w:val="single" w:sz="4" w:space="0" w:color="auto"/>
            </w:tcBorders>
          </w:tcPr>
          <w:p w14:paraId="0C4AEE80" w14:textId="69D418FF" w:rsidR="003039EE" w:rsidRPr="00C511D5" w:rsidRDefault="003039EE" w:rsidP="003039EE">
            <w:pPr>
              <w:pStyle w:val="a5"/>
              <w:spacing w:line="360" w:lineRule="auto"/>
              <w:jc w:val="both"/>
              <w:rPr>
                <w:rFonts w:ascii="Book Antiqua" w:eastAsiaTheme="minorEastAsia" w:hAnsi="Book Antiqua" w:cs="Times New Roman"/>
                <w:sz w:val="24"/>
                <w:szCs w:val="24"/>
              </w:rPr>
            </w:pPr>
            <w:r w:rsidRPr="00C511D5">
              <w:rPr>
                <w:rFonts w:ascii="Book Antiqua" w:hAnsi="Book Antiqua" w:cs="Times New Roman"/>
                <w:sz w:val="24"/>
                <w:szCs w:val="24"/>
              </w:rPr>
              <w:t>Gender</w:t>
            </w:r>
          </w:p>
        </w:tc>
        <w:tc>
          <w:tcPr>
            <w:tcW w:w="1620" w:type="dxa"/>
            <w:tcBorders>
              <w:top w:val="single" w:sz="4" w:space="0" w:color="auto"/>
            </w:tcBorders>
          </w:tcPr>
          <w:p w14:paraId="3BBDA33C" w14:textId="3B5908FD" w:rsidR="003039EE" w:rsidRPr="003039EE" w:rsidRDefault="003039EE" w:rsidP="003039EE">
            <w:pPr>
              <w:pStyle w:val="a5"/>
              <w:spacing w:line="360" w:lineRule="auto"/>
              <w:ind w:right="480"/>
              <w:jc w:val="both"/>
              <w:rPr>
                <w:rFonts w:ascii="Book Antiqua" w:hAnsi="Book Antiqua" w:cs="Times New Roman"/>
                <w:sz w:val="24"/>
                <w:szCs w:val="24"/>
              </w:rPr>
            </w:pPr>
          </w:p>
        </w:tc>
        <w:tc>
          <w:tcPr>
            <w:tcW w:w="1530" w:type="dxa"/>
            <w:tcBorders>
              <w:top w:val="single" w:sz="4" w:space="0" w:color="auto"/>
            </w:tcBorders>
          </w:tcPr>
          <w:p w14:paraId="34ECE3E4" w14:textId="61BA9CD6" w:rsidR="003039EE" w:rsidRPr="003039EE" w:rsidRDefault="003039EE" w:rsidP="003039EE">
            <w:pPr>
              <w:pStyle w:val="a5"/>
              <w:spacing w:line="360" w:lineRule="auto"/>
              <w:ind w:right="120"/>
              <w:jc w:val="both"/>
              <w:rPr>
                <w:rFonts w:ascii="Book Antiqua" w:hAnsi="Book Antiqua" w:cs="Times New Roman"/>
                <w:sz w:val="24"/>
                <w:szCs w:val="24"/>
              </w:rPr>
            </w:pPr>
          </w:p>
        </w:tc>
        <w:tc>
          <w:tcPr>
            <w:tcW w:w="1530" w:type="dxa"/>
            <w:tcBorders>
              <w:top w:val="single" w:sz="4" w:space="0" w:color="auto"/>
            </w:tcBorders>
          </w:tcPr>
          <w:p w14:paraId="41434501" w14:textId="78B3E25E" w:rsidR="003039EE" w:rsidRPr="003039EE" w:rsidRDefault="003039EE" w:rsidP="003039EE">
            <w:pPr>
              <w:pStyle w:val="a5"/>
              <w:spacing w:line="360" w:lineRule="auto"/>
              <w:jc w:val="both"/>
              <w:rPr>
                <w:rFonts w:ascii="Book Antiqua" w:hAnsi="Book Antiqua" w:cs="Times New Roman"/>
                <w:sz w:val="24"/>
                <w:szCs w:val="24"/>
              </w:rPr>
            </w:pPr>
          </w:p>
        </w:tc>
        <w:tc>
          <w:tcPr>
            <w:tcW w:w="1473" w:type="dxa"/>
            <w:tcBorders>
              <w:top w:val="single" w:sz="4" w:space="0" w:color="auto"/>
            </w:tcBorders>
          </w:tcPr>
          <w:p w14:paraId="3FF744E8" w14:textId="280031B4" w:rsidR="003039EE" w:rsidRPr="003039EE" w:rsidRDefault="003039EE" w:rsidP="003039EE">
            <w:pPr>
              <w:pStyle w:val="a5"/>
              <w:spacing w:line="360" w:lineRule="auto"/>
              <w:jc w:val="both"/>
              <w:rPr>
                <w:rFonts w:ascii="Book Antiqua" w:hAnsi="Book Antiqua" w:cs="Times New Roman"/>
                <w:sz w:val="24"/>
                <w:szCs w:val="24"/>
              </w:rPr>
            </w:pPr>
          </w:p>
        </w:tc>
        <w:tc>
          <w:tcPr>
            <w:tcW w:w="1208" w:type="dxa"/>
            <w:tcBorders>
              <w:top w:val="single" w:sz="4" w:space="0" w:color="auto"/>
            </w:tcBorders>
          </w:tcPr>
          <w:p w14:paraId="0FDC78EB" w14:textId="2A7F7C1E" w:rsidR="003039EE" w:rsidRPr="003039EE" w:rsidRDefault="003039EE" w:rsidP="003039EE">
            <w:pPr>
              <w:pStyle w:val="a5"/>
              <w:spacing w:line="360" w:lineRule="auto"/>
              <w:jc w:val="both"/>
              <w:rPr>
                <w:rFonts w:ascii="Book Antiqua" w:hAnsi="Book Antiqua" w:cs="Times New Roman"/>
                <w:sz w:val="24"/>
                <w:szCs w:val="24"/>
              </w:rPr>
            </w:pPr>
          </w:p>
        </w:tc>
      </w:tr>
      <w:tr w:rsidR="003039EE" w:rsidRPr="003039EE" w14:paraId="23DB5336" w14:textId="77777777" w:rsidTr="00C511D5">
        <w:tc>
          <w:tcPr>
            <w:tcW w:w="2245" w:type="dxa"/>
          </w:tcPr>
          <w:p w14:paraId="2E1A03B4" w14:textId="77C94770" w:rsidR="003039EE" w:rsidRPr="00C511D5" w:rsidRDefault="003039EE" w:rsidP="003039EE">
            <w:pPr>
              <w:pStyle w:val="a5"/>
              <w:spacing w:line="360" w:lineRule="auto"/>
              <w:ind w:firstLineChars="100" w:firstLine="240"/>
              <w:jc w:val="both"/>
              <w:rPr>
                <w:rFonts w:ascii="Book Antiqua" w:eastAsiaTheme="minorEastAsia" w:hAnsi="Book Antiqua" w:cs="Times New Roman"/>
                <w:sz w:val="24"/>
                <w:szCs w:val="24"/>
              </w:rPr>
            </w:pPr>
            <w:r w:rsidRPr="00C511D5">
              <w:rPr>
                <w:rFonts w:ascii="Book Antiqua" w:hAnsi="Book Antiqua" w:cs="Times New Roman"/>
                <w:sz w:val="24"/>
                <w:szCs w:val="24"/>
              </w:rPr>
              <w:t>Male</w:t>
            </w:r>
          </w:p>
        </w:tc>
        <w:tc>
          <w:tcPr>
            <w:tcW w:w="1620" w:type="dxa"/>
          </w:tcPr>
          <w:p w14:paraId="370CE68F" w14:textId="48C8CC76" w:rsidR="003039EE" w:rsidRPr="003039EE" w:rsidRDefault="003039EE" w:rsidP="003039EE">
            <w:pPr>
              <w:pStyle w:val="a5"/>
              <w:spacing w:line="360" w:lineRule="auto"/>
              <w:jc w:val="both"/>
              <w:rPr>
                <w:rFonts w:ascii="Book Antiqua" w:hAnsi="Book Antiqua" w:cs="Times New Roman"/>
                <w:sz w:val="24"/>
                <w:szCs w:val="24"/>
              </w:rPr>
            </w:pPr>
            <w:r w:rsidRPr="003039EE">
              <w:rPr>
                <w:rFonts w:ascii="Book Antiqua" w:hAnsi="Book Antiqua" w:cs="Times New Roman"/>
                <w:sz w:val="24"/>
                <w:szCs w:val="24"/>
              </w:rPr>
              <w:t>226 (64.02)</w:t>
            </w:r>
          </w:p>
        </w:tc>
        <w:tc>
          <w:tcPr>
            <w:tcW w:w="1530" w:type="dxa"/>
          </w:tcPr>
          <w:p w14:paraId="04F5D172" w14:textId="15DEA37D" w:rsidR="003039EE" w:rsidRPr="003039EE" w:rsidRDefault="003039EE" w:rsidP="003039EE">
            <w:pPr>
              <w:pStyle w:val="a5"/>
              <w:spacing w:line="360" w:lineRule="auto"/>
              <w:jc w:val="both"/>
              <w:rPr>
                <w:rFonts w:ascii="Book Antiqua" w:hAnsi="Book Antiqua" w:cs="Times New Roman"/>
                <w:sz w:val="24"/>
                <w:szCs w:val="24"/>
              </w:rPr>
            </w:pPr>
            <w:r w:rsidRPr="003039EE">
              <w:rPr>
                <w:rFonts w:ascii="Book Antiqua" w:hAnsi="Book Antiqua" w:cs="Times New Roman"/>
                <w:sz w:val="24"/>
                <w:szCs w:val="24"/>
              </w:rPr>
              <w:t>131 (47.12)</w:t>
            </w:r>
          </w:p>
        </w:tc>
        <w:tc>
          <w:tcPr>
            <w:tcW w:w="1530" w:type="dxa"/>
          </w:tcPr>
          <w:p w14:paraId="6570BF8E" w14:textId="493D8E2D" w:rsidR="003039EE" w:rsidRPr="003039EE" w:rsidRDefault="003039EE" w:rsidP="003039EE">
            <w:pPr>
              <w:pStyle w:val="a5"/>
              <w:spacing w:line="360" w:lineRule="auto"/>
              <w:jc w:val="both"/>
              <w:rPr>
                <w:rFonts w:ascii="Book Antiqua" w:hAnsi="Book Antiqua" w:cs="Times New Roman"/>
                <w:sz w:val="24"/>
                <w:szCs w:val="24"/>
              </w:rPr>
            </w:pPr>
            <w:r w:rsidRPr="003039EE">
              <w:rPr>
                <w:rFonts w:ascii="Book Antiqua" w:hAnsi="Book Antiqua" w:cs="Times New Roman"/>
                <w:sz w:val="24"/>
                <w:szCs w:val="24"/>
              </w:rPr>
              <w:t>176 (59.06)</w:t>
            </w:r>
          </w:p>
        </w:tc>
        <w:tc>
          <w:tcPr>
            <w:tcW w:w="1473" w:type="dxa"/>
          </w:tcPr>
          <w:p w14:paraId="31718CD1" w14:textId="4065482B" w:rsidR="003039EE" w:rsidRPr="003039EE" w:rsidRDefault="003039EE" w:rsidP="003039EE">
            <w:pPr>
              <w:pStyle w:val="a5"/>
              <w:spacing w:line="360" w:lineRule="auto"/>
              <w:jc w:val="both"/>
              <w:rPr>
                <w:rFonts w:ascii="Book Antiqua" w:hAnsi="Book Antiqua" w:cs="Times New Roman"/>
                <w:sz w:val="24"/>
                <w:szCs w:val="24"/>
              </w:rPr>
            </w:pPr>
            <w:r w:rsidRPr="003039EE">
              <w:rPr>
                <w:rFonts w:ascii="Book Antiqua" w:hAnsi="Book Antiqua" w:cs="Times New Roman"/>
                <w:sz w:val="24"/>
                <w:szCs w:val="24"/>
              </w:rPr>
              <w:t>533 (57.37)</w:t>
            </w:r>
          </w:p>
        </w:tc>
        <w:tc>
          <w:tcPr>
            <w:tcW w:w="1208" w:type="dxa"/>
          </w:tcPr>
          <w:p w14:paraId="6C340CC8" w14:textId="5C8F18B6" w:rsidR="003039EE" w:rsidRPr="003039EE" w:rsidRDefault="003039EE" w:rsidP="003039EE">
            <w:pPr>
              <w:pStyle w:val="a5"/>
              <w:spacing w:line="360" w:lineRule="auto"/>
              <w:jc w:val="both"/>
              <w:rPr>
                <w:rFonts w:ascii="Book Antiqua" w:hAnsi="Book Antiqua" w:cs="Times New Roman"/>
                <w:sz w:val="24"/>
                <w:szCs w:val="24"/>
              </w:rPr>
            </w:pPr>
            <w:r w:rsidRPr="003039EE">
              <w:rPr>
                <w:rFonts w:ascii="Book Antiqua" w:hAnsi="Book Antiqua" w:cs="Times New Roman"/>
                <w:sz w:val="24"/>
                <w:szCs w:val="24"/>
              </w:rPr>
              <w:t>&lt;</w:t>
            </w:r>
            <w:r>
              <w:rPr>
                <w:rFonts w:ascii="Book Antiqua" w:hAnsi="Book Antiqua" w:cs="Times New Roman"/>
                <w:sz w:val="24"/>
                <w:szCs w:val="24"/>
              </w:rPr>
              <w:t xml:space="preserve"> </w:t>
            </w:r>
            <w:r w:rsidRPr="003039EE">
              <w:rPr>
                <w:rFonts w:ascii="Book Antiqua" w:hAnsi="Book Antiqua" w:cs="Times New Roman"/>
                <w:sz w:val="24"/>
                <w:szCs w:val="24"/>
              </w:rPr>
              <w:t>0.0001</w:t>
            </w:r>
          </w:p>
        </w:tc>
      </w:tr>
      <w:tr w:rsidR="003039EE" w:rsidRPr="003039EE" w14:paraId="2CA5D4CE" w14:textId="77777777" w:rsidTr="00C511D5">
        <w:tc>
          <w:tcPr>
            <w:tcW w:w="2245" w:type="dxa"/>
          </w:tcPr>
          <w:p w14:paraId="5700FBE2" w14:textId="29356372" w:rsidR="003039EE" w:rsidRPr="00C511D5" w:rsidRDefault="003039EE" w:rsidP="00C511D5">
            <w:pPr>
              <w:pStyle w:val="a5"/>
              <w:spacing w:line="360" w:lineRule="auto"/>
              <w:jc w:val="both"/>
              <w:rPr>
                <w:rFonts w:ascii="Book Antiqua" w:eastAsiaTheme="minorEastAsia" w:hAnsi="Book Antiqua" w:cs="Times New Roman"/>
                <w:sz w:val="24"/>
                <w:szCs w:val="24"/>
              </w:rPr>
            </w:pPr>
            <w:r w:rsidRPr="00C511D5">
              <w:rPr>
                <w:rFonts w:ascii="Book Antiqua" w:hAnsi="Book Antiqua" w:cs="Times New Roman"/>
                <w:sz w:val="24"/>
                <w:szCs w:val="24"/>
              </w:rPr>
              <w:t>Median age</w:t>
            </w:r>
          </w:p>
        </w:tc>
        <w:tc>
          <w:tcPr>
            <w:tcW w:w="1620" w:type="dxa"/>
          </w:tcPr>
          <w:p w14:paraId="5BCBF3E7" w14:textId="77777777" w:rsidR="003039EE" w:rsidRPr="003039EE" w:rsidRDefault="003039EE" w:rsidP="00C511D5">
            <w:pPr>
              <w:pStyle w:val="a5"/>
              <w:spacing w:line="360" w:lineRule="auto"/>
              <w:jc w:val="both"/>
              <w:rPr>
                <w:rFonts w:ascii="Book Antiqua" w:hAnsi="Book Antiqua" w:cs="Times New Roman"/>
                <w:sz w:val="24"/>
                <w:szCs w:val="24"/>
              </w:rPr>
            </w:pPr>
            <w:r w:rsidRPr="003039EE">
              <w:rPr>
                <w:rFonts w:ascii="Book Antiqua" w:hAnsi="Book Antiqua" w:cs="Times New Roman"/>
                <w:sz w:val="24"/>
                <w:szCs w:val="24"/>
              </w:rPr>
              <w:t>58 (45-74)</w:t>
            </w:r>
          </w:p>
        </w:tc>
        <w:tc>
          <w:tcPr>
            <w:tcW w:w="1530" w:type="dxa"/>
          </w:tcPr>
          <w:p w14:paraId="3A58C6DA" w14:textId="77777777" w:rsidR="003039EE" w:rsidRPr="003039EE" w:rsidRDefault="003039EE" w:rsidP="00C511D5">
            <w:pPr>
              <w:pStyle w:val="a5"/>
              <w:spacing w:line="360" w:lineRule="auto"/>
              <w:jc w:val="both"/>
              <w:rPr>
                <w:rFonts w:ascii="Book Antiqua" w:hAnsi="Book Antiqua" w:cs="Times New Roman"/>
                <w:sz w:val="24"/>
                <w:szCs w:val="24"/>
              </w:rPr>
            </w:pPr>
            <w:r w:rsidRPr="003039EE">
              <w:rPr>
                <w:rFonts w:ascii="Book Antiqua" w:hAnsi="Book Antiqua" w:cs="Times New Roman"/>
                <w:sz w:val="24"/>
                <w:szCs w:val="24"/>
              </w:rPr>
              <w:t>39 (33-64)</w:t>
            </w:r>
          </w:p>
        </w:tc>
        <w:tc>
          <w:tcPr>
            <w:tcW w:w="1530" w:type="dxa"/>
          </w:tcPr>
          <w:p w14:paraId="7AD15C2E" w14:textId="77777777" w:rsidR="003039EE" w:rsidRPr="003039EE" w:rsidRDefault="003039EE" w:rsidP="00C511D5">
            <w:pPr>
              <w:pStyle w:val="a5"/>
              <w:spacing w:line="360" w:lineRule="auto"/>
              <w:jc w:val="both"/>
              <w:rPr>
                <w:rFonts w:ascii="Book Antiqua" w:hAnsi="Book Antiqua" w:cs="Times New Roman"/>
                <w:sz w:val="24"/>
                <w:szCs w:val="24"/>
              </w:rPr>
            </w:pPr>
            <w:r w:rsidRPr="003039EE">
              <w:rPr>
                <w:rFonts w:ascii="Book Antiqua" w:hAnsi="Book Antiqua" w:cs="Times New Roman"/>
                <w:sz w:val="24"/>
                <w:szCs w:val="24"/>
              </w:rPr>
              <w:t>46 (33-67)</w:t>
            </w:r>
          </w:p>
        </w:tc>
        <w:tc>
          <w:tcPr>
            <w:tcW w:w="1473" w:type="dxa"/>
          </w:tcPr>
          <w:p w14:paraId="4CCA3963" w14:textId="77777777" w:rsidR="003039EE" w:rsidRPr="003039EE" w:rsidRDefault="003039EE" w:rsidP="00C511D5">
            <w:pPr>
              <w:pStyle w:val="a5"/>
              <w:spacing w:line="360" w:lineRule="auto"/>
              <w:jc w:val="both"/>
              <w:rPr>
                <w:rFonts w:ascii="Book Antiqua" w:hAnsi="Book Antiqua" w:cs="Times New Roman"/>
                <w:sz w:val="24"/>
                <w:szCs w:val="24"/>
              </w:rPr>
            </w:pPr>
            <w:r w:rsidRPr="003039EE">
              <w:rPr>
                <w:rFonts w:ascii="Book Antiqua" w:hAnsi="Book Antiqua" w:cs="Times New Roman"/>
                <w:sz w:val="24"/>
                <w:szCs w:val="24"/>
              </w:rPr>
              <w:t>52 (33-69)</w:t>
            </w:r>
          </w:p>
        </w:tc>
        <w:tc>
          <w:tcPr>
            <w:tcW w:w="1208" w:type="dxa"/>
          </w:tcPr>
          <w:p w14:paraId="05085B5E" w14:textId="31834BE0" w:rsidR="003039EE" w:rsidRPr="003039EE" w:rsidRDefault="003039EE" w:rsidP="00C511D5">
            <w:pPr>
              <w:pStyle w:val="a5"/>
              <w:spacing w:line="360" w:lineRule="auto"/>
              <w:jc w:val="both"/>
              <w:rPr>
                <w:rFonts w:ascii="Book Antiqua" w:hAnsi="Book Antiqua" w:cs="Times New Roman"/>
                <w:sz w:val="24"/>
                <w:szCs w:val="24"/>
              </w:rPr>
            </w:pPr>
            <w:r w:rsidRPr="003039EE">
              <w:rPr>
                <w:rFonts w:ascii="Book Antiqua" w:hAnsi="Book Antiqua" w:cs="Times New Roman"/>
                <w:sz w:val="24"/>
                <w:szCs w:val="24"/>
              </w:rPr>
              <w:t>&lt;</w:t>
            </w:r>
            <w:r w:rsidR="00C511D5">
              <w:rPr>
                <w:rFonts w:ascii="Book Antiqua" w:hAnsi="Book Antiqua" w:cs="Times New Roman"/>
                <w:sz w:val="24"/>
                <w:szCs w:val="24"/>
              </w:rPr>
              <w:t xml:space="preserve"> </w:t>
            </w:r>
            <w:r w:rsidRPr="003039EE">
              <w:rPr>
                <w:rFonts w:ascii="Book Antiqua" w:hAnsi="Book Antiqua" w:cs="Times New Roman"/>
                <w:sz w:val="24"/>
                <w:szCs w:val="24"/>
              </w:rPr>
              <w:t>0.0001</w:t>
            </w:r>
          </w:p>
        </w:tc>
      </w:tr>
      <w:tr w:rsidR="003039EE" w:rsidRPr="003039EE" w14:paraId="4ADEFC50" w14:textId="77777777" w:rsidTr="00C511D5">
        <w:tc>
          <w:tcPr>
            <w:tcW w:w="2245" w:type="dxa"/>
          </w:tcPr>
          <w:p w14:paraId="5FDD613E" w14:textId="1E593749" w:rsidR="003039EE" w:rsidRPr="00C511D5" w:rsidRDefault="003039EE" w:rsidP="00C511D5">
            <w:pPr>
              <w:pStyle w:val="a5"/>
              <w:spacing w:line="360" w:lineRule="auto"/>
              <w:jc w:val="both"/>
              <w:rPr>
                <w:rFonts w:ascii="Book Antiqua" w:eastAsiaTheme="minorEastAsia" w:hAnsi="Book Antiqua" w:cs="Times New Roman"/>
                <w:sz w:val="24"/>
                <w:szCs w:val="24"/>
              </w:rPr>
            </w:pPr>
            <w:r w:rsidRPr="00C511D5">
              <w:rPr>
                <w:rFonts w:ascii="Book Antiqua" w:hAnsi="Book Antiqua" w:cs="Times New Roman"/>
                <w:sz w:val="24"/>
                <w:szCs w:val="24"/>
              </w:rPr>
              <w:t>Type of impaction</w:t>
            </w:r>
          </w:p>
        </w:tc>
        <w:tc>
          <w:tcPr>
            <w:tcW w:w="1620" w:type="dxa"/>
          </w:tcPr>
          <w:p w14:paraId="3A868E31" w14:textId="5FAA9CD2" w:rsidR="003039EE" w:rsidRPr="003039EE" w:rsidRDefault="003039EE" w:rsidP="00C511D5">
            <w:pPr>
              <w:pStyle w:val="a5"/>
              <w:spacing w:line="360" w:lineRule="auto"/>
              <w:jc w:val="both"/>
              <w:rPr>
                <w:rFonts w:ascii="Book Antiqua" w:hAnsi="Book Antiqua" w:cs="Times New Roman"/>
                <w:sz w:val="24"/>
                <w:szCs w:val="24"/>
              </w:rPr>
            </w:pPr>
          </w:p>
        </w:tc>
        <w:tc>
          <w:tcPr>
            <w:tcW w:w="1530" w:type="dxa"/>
          </w:tcPr>
          <w:p w14:paraId="5F2DA2FE" w14:textId="2F4F120F" w:rsidR="003039EE" w:rsidRPr="003039EE" w:rsidRDefault="003039EE" w:rsidP="00C511D5">
            <w:pPr>
              <w:pStyle w:val="a5"/>
              <w:spacing w:line="360" w:lineRule="auto"/>
              <w:jc w:val="both"/>
              <w:rPr>
                <w:rFonts w:ascii="Book Antiqua" w:hAnsi="Book Antiqua" w:cs="Times New Roman"/>
                <w:sz w:val="24"/>
                <w:szCs w:val="24"/>
              </w:rPr>
            </w:pPr>
          </w:p>
        </w:tc>
        <w:tc>
          <w:tcPr>
            <w:tcW w:w="1530" w:type="dxa"/>
          </w:tcPr>
          <w:p w14:paraId="005AAF8F" w14:textId="0774A743" w:rsidR="003039EE" w:rsidRPr="003039EE" w:rsidRDefault="003039EE" w:rsidP="00C511D5">
            <w:pPr>
              <w:pStyle w:val="a5"/>
              <w:spacing w:line="360" w:lineRule="auto"/>
              <w:jc w:val="both"/>
              <w:rPr>
                <w:rFonts w:ascii="Book Antiqua" w:hAnsi="Book Antiqua" w:cs="Times New Roman"/>
                <w:sz w:val="24"/>
                <w:szCs w:val="24"/>
              </w:rPr>
            </w:pPr>
          </w:p>
        </w:tc>
        <w:tc>
          <w:tcPr>
            <w:tcW w:w="1473" w:type="dxa"/>
          </w:tcPr>
          <w:p w14:paraId="753EF233" w14:textId="214178B4" w:rsidR="003039EE" w:rsidRPr="003039EE" w:rsidRDefault="003039EE" w:rsidP="00C511D5">
            <w:pPr>
              <w:pStyle w:val="a5"/>
              <w:spacing w:line="360" w:lineRule="auto"/>
              <w:jc w:val="both"/>
              <w:rPr>
                <w:rFonts w:ascii="Book Antiqua" w:hAnsi="Book Antiqua" w:cs="Times New Roman"/>
                <w:sz w:val="24"/>
                <w:szCs w:val="24"/>
              </w:rPr>
            </w:pPr>
          </w:p>
        </w:tc>
        <w:tc>
          <w:tcPr>
            <w:tcW w:w="1208" w:type="dxa"/>
          </w:tcPr>
          <w:p w14:paraId="1578804E" w14:textId="67C0502E" w:rsidR="003039EE" w:rsidRPr="003039EE" w:rsidRDefault="003039EE" w:rsidP="00C511D5">
            <w:pPr>
              <w:pStyle w:val="a5"/>
              <w:spacing w:line="360" w:lineRule="auto"/>
              <w:jc w:val="both"/>
              <w:rPr>
                <w:rFonts w:ascii="Book Antiqua" w:hAnsi="Book Antiqua" w:cs="Times New Roman"/>
                <w:sz w:val="24"/>
                <w:szCs w:val="24"/>
              </w:rPr>
            </w:pPr>
          </w:p>
        </w:tc>
      </w:tr>
      <w:tr w:rsidR="00C511D5" w:rsidRPr="003039EE" w14:paraId="773EC144" w14:textId="77777777" w:rsidTr="00C511D5">
        <w:tc>
          <w:tcPr>
            <w:tcW w:w="2245" w:type="dxa"/>
          </w:tcPr>
          <w:p w14:paraId="55D46CF9" w14:textId="57D0D6CA" w:rsidR="00C511D5" w:rsidRPr="00C511D5" w:rsidRDefault="00C511D5" w:rsidP="00C511D5">
            <w:pPr>
              <w:pStyle w:val="a5"/>
              <w:spacing w:line="360" w:lineRule="auto"/>
              <w:ind w:firstLineChars="100" w:firstLine="240"/>
              <w:jc w:val="both"/>
              <w:rPr>
                <w:rFonts w:ascii="Book Antiqua" w:eastAsiaTheme="minorEastAsia" w:hAnsi="Book Antiqua" w:cs="Times New Roman"/>
                <w:sz w:val="24"/>
                <w:szCs w:val="24"/>
              </w:rPr>
            </w:pPr>
            <w:r w:rsidRPr="00C511D5">
              <w:rPr>
                <w:rFonts w:ascii="Book Antiqua" w:hAnsi="Book Antiqua" w:cs="Times New Roman"/>
                <w:sz w:val="24"/>
                <w:szCs w:val="24"/>
              </w:rPr>
              <w:t>Food bolus</w:t>
            </w:r>
          </w:p>
        </w:tc>
        <w:tc>
          <w:tcPr>
            <w:tcW w:w="1620" w:type="dxa"/>
          </w:tcPr>
          <w:p w14:paraId="51657D99" w14:textId="01CCFAAC" w:rsidR="00C511D5" w:rsidRPr="00C511D5" w:rsidRDefault="00C511D5" w:rsidP="00C511D5">
            <w:pPr>
              <w:pStyle w:val="a5"/>
              <w:spacing w:line="360" w:lineRule="auto"/>
              <w:jc w:val="both"/>
              <w:rPr>
                <w:rFonts w:ascii="Book Antiqua" w:eastAsiaTheme="minorEastAsia" w:hAnsi="Book Antiqua" w:cs="Times New Roman"/>
                <w:sz w:val="24"/>
                <w:szCs w:val="24"/>
              </w:rPr>
            </w:pPr>
            <w:r w:rsidRPr="003039EE">
              <w:rPr>
                <w:rFonts w:ascii="Book Antiqua" w:hAnsi="Book Antiqua" w:cs="Times New Roman"/>
                <w:sz w:val="24"/>
                <w:szCs w:val="24"/>
              </w:rPr>
              <w:t>292 (82.72)</w:t>
            </w:r>
          </w:p>
        </w:tc>
        <w:tc>
          <w:tcPr>
            <w:tcW w:w="1530" w:type="dxa"/>
          </w:tcPr>
          <w:p w14:paraId="3D903B10" w14:textId="2FB9528E" w:rsidR="00C511D5" w:rsidRPr="00C511D5" w:rsidRDefault="00C511D5" w:rsidP="00C511D5">
            <w:pPr>
              <w:pStyle w:val="a5"/>
              <w:spacing w:line="360" w:lineRule="auto"/>
              <w:jc w:val="both"/>
              <w:rPr>
                <w:rFonts w:ascii="Book Antiqua" w:eastAsiaTheme="minorEastAsia" w:hAnsi="Book Antiqua" w:cs="Times New Roman"/>
                <w:sz w:val="24"/>
                <w:szCs w:val="24"/>
              </w:rPr>
            </w:pPr>
            <w:r w:rsidRPr="003039EE">
              <w:rPr>
                <w:rFonts w:ascii="Book Antiqua" w:hAnsi="Book Antiqua" w:cs="Times New Roman"/>
                <w:sz w:val="24"/>
                <w:szCs w:val="24"/>
              </w:rPr>
              <w:t>138(49.64)</w:t>
            </w:r>
          </w:p>
        </w:tc>
        <w:tc>
          <w:tcPr>
            <w:tcW w:w="1530" w:type="dxa"/>
          </w:tcPr>
          <w:p w14:paraId="61369E8A" w14:textId="73A0E2A8" w:rsidR="00C511D5" w:rsidRPr="00C511D5" w:rsidRDefault="00C511D5" w:rsidP="00C511D5">
            <w:pPr>
              <w:pStyle w:val="a5"/>
              <w:spacing w:line="360" w:lineRule="auto"/>
              <w:jc w:val="both"/>
              <w:rPr>
                <w:rFonts w:ascii="Book Antiqua" w:eastAsiaTheme="minorEastAsia" w:hAnsi="Book Antiqua" w:cs="Times New Roman"/>
                <w:sz w:val="24"/>
                <w:szCs w:val="24"/>
              </w:rPr>
            </w:pPr>
            <w:r w:rsidRPr="003039EE">
              <w:rPr>
                <w:rFonts w:ascii="Book Antiqua" w:hAnsi="Book Antiqua" w:cs="Times New Roman"/>
                <w:sz w:val="24"/>
                <w:szCs w:val="24"/>
              </w:rPr>
              <w:t>167 (56.04)</w:t>
            </w:r>
          </w:p>
        </w:tc>
        <w:tc>
          <w:tcPr>
            <w:tcW w:w="1473" w:type="dxa"/>
          </w:tcPr>
          <w:p w14:paraId="076D0A26" w14:textId="7E244C66" w:rsidR="00C511D5" w:rsidRPr="00C511D5" w:rsidRDefault="00C511D5" w:rsidP="00C511D5">
            <w:pPr>
              <w:pStyle w:val="a5"/>
              <w:spacing w:line="360" w:lineRule="auto"/>
              <w:jc w:val="both"/>
              <w:rPr>
                <w:rFonts w:ascii="Book Antiqua" w:eastAsiaTheme="minorEastAsia" w:hAnsi="Book Antiqua" w:cs="Times New Roman"/>
                <w:sz w:val="24"/>
                <w:szCs w:val="24"/>
              </w:rPr>
            </w:pPr>
            <w:r w:rsidRPr="003039EE">
              <w:rPr>
                <w:rFonts w:ascii="Book Antiqua" w:hAnsi="Book Antiqua" w:cs="Times New Roman"/>
                <w:sz w:val="24"/>
                <w:szCs w:val="24"/>
              </w:rPr>
              <w:t>597(64.26)</w:t>
            </w:r>
          </w:p>
        </w:tc>
        <w:tc>
          <w:tcPr>
            <w:tcW w:w="1208" w:type="dxa"/>
          </w:tcPr>
          <w:p w14:paraId="7D2B0A80" w14:textId="36F43CB1" w:rsidR="00C511D5" w:rsidRPr="003039EE" w:rsidRDefault="00C511D5" w:rsidP="00C511D5">
            <w:pPr>
              <w:pStyle w:val="a5"/>
              <w:spacing w:line="360" w:lineRule="auto"/>
              <w:jc w:val="both"/>
              <w:rPr>
                <w:rFonts w:ascii="Book Antiqua" w:hAnsi="Book Antiqua" w:cs="Times New Roman"/>
                <w:sz w:val="24"/>
                <w:szCs w:val="24"/>
              </w:rPr>
            </w:pPr>
            <w:r w:rsidRPr="003039EE">
              <w:rPr>
                <w:rFonts w:ascii="Book Antiqua" w:hAnsi="Book Antiqua" w:cs="Times New Roman"/>
                <w:sz w:val="24"/>
                <w:szCs w:val="24"/>
              </w:rPr>
              <w:t>&lt;</w:t>
            </w:r>
            <w:r w:rsidR="004847FF">
              <w:rPr>
                <w:rFonts w:ascii="Book Antiqua" w:hAnsi="Book Antiqua" w:cs="Times New Roman"/>
                <w:sz w:val="24"/>
                <w:szCs w:val="24"/>
              </w:rPr>
              <w:t xml:space="preserve"> </w:t>
            </w:r>
            <w:r w:rsidRPr="003039EE">
              <w:rPr>
                <w:rFonts w:ascii="Book Antiqua" w:hAnsi="Book Antiqua" w:cs="Times New Roman"/>
                <w:sz w:val="24"/>
                <w:szCs w:val="24"/>
              </w:rPr>
              <w:t>0.0001</w:t>
            </w:r>
          </w:p>
        </w:tc>
      </w:tr>
      <w:tr w:rsidR="00C511D5" w:rsidRPr="003039EE" w14:paraId="0C57DC8D" w14:textId="77777777" w:rsidTr="00C511D5">
        <w:tc>
          <w:tcPr>
            <w:tcW w:w="2245" w:type="dxa"/>
          </w:tcPr>
          <w:p w14:paraId="10AB9C00" w14:textId="5193F18B" w:rsidR="00C511D5" w:rsidRPr="00C511D5" w:rsidRDefault="00C511D5" w:rsidP="00C511D5">
            <w:pPr>
              <w:pStyle w:val="a5"/>
              <w:spacing w:line="360" w:lineRule="auto"/>
              <w:ind w:firstLineChars="100" w:firstLine="240"/>
              <w:jc w:val="both"/>
              <w:rPr>
                <w:rFonts w:ascii="Book Antiqua" w:eastAsiaTheme="minorEastAsia" w:hAnsi="Book Antiqua" w:cs="Times New Roman"/>
                <w:sz w:val="24"/>
                <w:szCs w:val="24"/>
              </w:rPr>
            </w:pPr>
            <w:r w:rsidRPr="00C511D5">
              <w:rPr>
                <w:rFonts w:ascii="Book Antiqua" w:hAnsi="Book Antiqua" w:cs="Times New Roman"/>
                <w:sz w:val="24"/>
                <w:szCs w:val="24"/>
              </w:rPr>
              <w:t>Foreign object</w:t>
            </w:r>
          </w:p>
        </w:tc>
        <w:tc>
          <w:tcPr>
            <w:tcW w:w="1620" w:type="dxa"/>
          </w:tcPr>
          <w:p w14:paraId="228C609A" w14:textId="75E7B8A1" w:rsidR="00C511D5" w:rsidRPr="003039EE" w:rsidRDefault="00C511D5" w:rsidP="00C511D5">
            <w:pPr>
              <w:pStyle w:val="a5"/>
              <w:spacing w:line="360" w:lineRule="auto"/>
              <w:jc w:val="both"/>
              <w:rPr>
                <w:rFonts w:ascii="Book Antiqua" w:hAnsi="Book Antiqua" w:cs="Times New Roman"/>
                <w:sz w:val="24"/>
                <w:szCs w:val="24"/>
              </w:rPr>
            </w:pPr>
            <w:r w:rsidRPr="003039EE">
              <w:rPr>
                <w:rFonts w:ascii="Book Antiqua" w:hAnsi="Book Antiqua" w:cs="Times New Roman"/>
                <w:sz w:val="24"/>
                <w:szCs w:val="24"/>
              </w:rPr>
              <w:t>61 (17.28)</w:t>
            </w:r>
          </w:p>
        </w:tc>
        <w:tc>
          <w:tcPr>
            <w:tcW w:w="1530" w:type="dxa"/>
          </w:tcPr>
          <w:p w14:paraId="7E62BB0C" w14:textId="77623A66" w:rsidR="00C511D5" w:rsidRPr="003039EE" w:rsidRDefault="00C511D5" w:rsidP="00C511D5">
            <w:pPr>
              <w:pStyle w:val="a5"/>
              <w:spacing w:line="360" w:lineRule="auto"/>
              <w:jc w:val="both"/>
              <w:rPr>
                <w:rFonts w:ascii="Book Antiqua" w:hAnsi="Book Antiqua" w:cs="Times New Roman"/>
                <w:sz w:val="24"/>
                <w:szCs w:val="24"/>
              </w:rPr>
            </w:pPr>
            <w:r w:rsidRPr="003039EE">
              <w:rPr>
                <w:rFonts w:ascii="Book Antiqua" w:hAnsi="Book Antiqua" w:cs="Times New Roman"/>
                <w:sz w:val="24"/>
                <w:szCs w:val="24"/>
              </w:rPr>
              <w:t>140(50.36)</w:t>
            </w:r>
          </w:p>
        </w:tc>
        <w:tc>
          <w:tcPr>
            <w:tcW w:w="1530" w:type="dxa"/>
          </w:tcPr>
          <w:p w14:paraId="2CAECA06" w14:textId="6A36BEF4" w:rsidR="00C511D5" w:rsidRPr="003039EE" w:rsidRDefault="00C511D5" w:rsidP="00C511D5">
            <w:pPr>
              <w:pStyle w:val="a5"/>
              <w:spacing w:line="360" w:lineRule="auto"/>
              <w:jc w:val="both"/>
              <w:rPr>
                <w:rFonts w:ascii="Book Antiqua" w:hAnsi="Book Antiqua" w:cs="Times New Roman"/>
                <w:sz w:val="24"/>
                <w:szCs w:val="24"/>
              </w:rPr>
            </w:pPr>
            <w:r w:rsidRPr="003039EE">
              <w:rPr>
                <w:rFonts w:ascii="Book Antiqua" w:hAnsi="Book Antiqua" w:cs="Times New Roman"/>
                <w:sz w:val="24"/>
                <w:szCs w:val="24"/>
              </w:rPr>
              <w:t>131 (43.96)</w:t>
            </w:r>
          </w:p>
        </w:tc>
        <w:tc>
          <w:tcPr>
            <w:tcW w:w="1473" w:type="dxa"/>
          </w:tcPr>
          <w:p w14:paraId="48891C06" w14:textId="4D595055" w:rsidR="00C511D5" w:rsidRPr="003039EE" w:rsidRDefault="00C511D5" w:rsidP="00C511D5">
            <w:pPr>
              <w:pStyle w:val="a5"/>
              <w:spacing w:line="360" w:lineRule="auto"/>
              <w:jc w:val="both"/>
              <w:rPr>
                <w:rFonts w:ascii="Book Antiqua" w:hAnsi="Book Antiqua" w:cs="Times New Roman"/>
                <w:sz w:val="24"/>
                <w:szCs w:val="24"/>
              </w:rPr>
            </w:pPr>
            <w:r w:rsidRPr="003039EE">
              <w:rPr>
                <w:rFonts w:ascii="Book Antiqua" w:hAnsi="Book Antiqua" w:cs="Times New Roman"/>
                <w:sz w:val="24"/>
                <w:szCs w:val="24"/>
              </w:rPr>
              <w:t>332(35.74)</w:t>
            </w:r>
          </w:p>
        </w:tc>
        <w:tc>
          <w:tcPr>
            <w:tcW w:w="1208" w:type="dxa"/>
          </w:tcPr>
          <w:p w14:paraId="4F04F5D5" w14:textId="77777777" w:rsidR="00C511D5" w:rsidRPr="00C511D5" w:rsidRDefault="00C511D5" w:rsidP="00C511D5">
            <w:pPr>
              <w:pStyle w:val="a5"/>
              <w:spacing w:line="360" w:lineRule="auto"/>
              <w:jc w:val="both"/>
              <w:rPr>
                <w:rFonts w:ascii="Book Antiqua" w:eastAsiaTheme="minorEastAsia" w:hAnsi="Book Antiqua" w:cs="Times New Roman"/>
                <w:sz w:val="24"/>
                <w:szCs w:val="24"/>
              </w:rPr>
            </w:pPr>
          </w:p>
        </w:tc>
      </w:tr>
      <w:tr w:rsidR="003039EE" w:rsidRPr="003039EE" w14:paraId="7EAE6EB7" w14:textId="77777777" w:rsidTr="00C511D5">
        <w:tc>
          <w:tcPr>
            <w:tcW w:w="2245" w:type="dxa"/>
          </w:tcPr>
          <w:p w14:paraId="678269F1" w14:textId="77777777" w:rsidR="003039EE" w:rsidRPr="00C511D5" w:rsidRDefault="003039EE" w:rsidP="00C511D5">
            <w:pPr>
              <w:pStyle w:val="a5"/>
              <w:spacing w:line="360" w:lineRule="auto"/>
              <w:jc w:val="both"/>
              <w:rPr>
                <w:rFonts w:ascii="Book Antiqua" w:hAnsi="Book Antiqua" w:cs="Times New Roman"/>
                <w:sz w:val="24"/>
                <w:szCs w:val="24"/>
              </w:rPr>
            </w:pPr>
            <w:r w:rsidRPr="00C511D5">
              <w:rPr>
                <w:rFonts w:ascii="Book Antiqua" w:hAnsi="Book Antiqua" w:cs="Times New Roman"/>
                <w:sz w:val="24"/>
                <w:szCs w:val="24"/>
              </w:rPr>
              <w:t>Presence of chronic co-morbidities</w:t>
            </w:r>
          </w:p>
        </w:tc>
        <w:tc>
          <w:tcPr>
            <w:tcW w:w="1620" w:type="dxa"/>
          </w:tcPr>
          <w:p w14:paraId="4768152C" w14:textId="3D1C75DA" w:rsidR="003039EE" w:rsidRPr="00C511D5" w:rsidRDefault="003039EE" w:rsidP="00C511D5">
            <w:pPr>
              <w:pStyle w:val="a5"/>
              <w:spacing w:line="360" w:lineRule="auto"/>
              <w:jc w:val="both"/>
              <w:rPr>
                <w:rFonts w:ascii="Book Antiqua" w:eastAsiaTheme="minorEastAsia" w:hAnsi="Book Antiqua" w:cs="Times New Roman"/>
                <w:sz w:val="24"/>
                <w:szCs w:val="24"/>
              </w:rPr>
            </w:pPr>
            <w:r w:rsidRPr="003039EE">
              <w:rPr>
                <w:rFonts w:ascii="Book Antiqua" w:hAnsi="Book Antiqua" w:cs="Times New Roman"/>
                <w:sz w:val="24"/>
                <w:szCs w:val="24"/>
              </w:rPr>
              <w:t>58 (16.43)</w:t>
            </w:r>
          </w:p>
        </w:tc>
        <w:tc>
          <w:tcPr>
            <w:tcW w:w="1530" w:type="dxa"/>
          </w:tcPr>
          <w:p w14:paraId="6741BA10" w14:textId="77777777" w:rsidR="003039EE" w:rsidRPr="003039EE" w:rsidRDefault="003039EE" w:rsidP="00C511D5">
            <w:pPr>
              <w:pStyle w:val="a5"/>
              <w:spacing w:line="360" w:lineRule="auto"/>
              <w:jc w:val="both"/>
              <w:rPr>
                <w:rFonts w:ascii="Book Antiqua" w:hAnsi="Book Antiqua" w:cs="Times New Roman"/>
                <w:sz w:val="24"/>
                <w:szCs w:val="24"/>
              </w:rPr>
            </w:pPr>
            <w:r w:rsidRPr="003039EE">
              <w:rPr>
                <w:rFonts w:ascii="Book Antiqua" w:hAnsi="Book Antiqua" w:cs="Times New Roman"/>
                <w:sz w:val="24"/>
                <w:szCs w:val="24"/>
              </w:rPr>
              <w:t>45 (16.19)</w:t>
            </w:r>
          </w:p>
        </w:tc>
        <w:tc>
          <w:tcPr>
            <w:tcW w:w="1530" w:type="dxa"/>
          </w:tcPr>
          <w:p w14:paraId="16691221" w14:textId="77777777" w:rsidR="003039EE" w:rsidRPr="003039EE" w:rsidRDefault="003039EE" w:rsidP="00C511D5">
            <w:pPr>
              <w:pStyle w:val="a5"/>
              <w:spacing w:line="360" w:lineRule="auto"/>
              <w:jc w:val="both"/>
              <w:rPr>
                <w:rFonts w:ascii="Book Antiqua" w:hAnsi="Book Antiqua" w:cs="Times New Roman"/>
                <w:sz w:val="24"/>
                <w:szCs w:val="24"/>
              </w:rPr>
            </w:pPr>
            <w:r w:rsidRPr="003039EE">
              <w:rPr>
                <w:rFonts w:ascii="Book Antiqua" w:hAnsi="Book Antiqua" w:cs="Times New Roman"/>
                <w:sz w:val="24"/>
                <w:szCs w:val="24"/>
              </w:rPr>
              <w:t>29(9.73)</w:t>
            </w:r>
          </w:p>
        </w:tc>
        <w:tc>
          <w:tcPr>
            <w:tcW w:w="1473" w:type="dxa"/>
          </w:tcPr>
          <w:p w14:paraId="2A63DC29" w14:textId="77777777" w:rsidR="003039EE" w:rsidRPr="003039EE" w:rsidRDefault="003039EE" w:rsidP="00C511D5">
            <w:pPr>
              <w:pStyle w:val="a5"/>
              <w:spacing w:line="360" w:lineRule="auto"/>
              <w:jc w:val="both"/>
              <w:rPr>
                <w:rFonts w:ascii="Book Antiqua" w:hAnsi="Book Antiqua" w:cs="Times New Roman"/>
                <w:sz w:val="24"/>
                <w:szCs w:val="24"/>
              </w:rPr>
            </w:pPr>
            <w:r w:rsidRPr="003039EE">
              <w:rPr>
                <w:rFonts w:ascii="Book Antiqua" w:hAnsi="Book Antiqua" w:cs="Times New Roman"/>
                <w:sz w:val="24"/>
                <w:szCs w:val="24"/>
              </w:rPr>
              <w:t>132(14.21)</w:t>
            </w:r>
          </w:p>
        </w:tc>
        <w:tc>
          <w:tcPr>
            <w:tcW w:w="1208" w:type="dxa"/>
          </w:tcPr>
          <w:p w14:paraId="64752F8F" w14:textId="77777777" w:rsidR="003039EE" w:rsidRPr="003039EE" w:rsidRDefault="003039EE" w:rsidP="00C511D5">
            <w:pPr>
              <w:pStyle w:val="a5"/>
              <w:spacing w:line="360" w:lineRule="auto"/>
              <w:jc w:val="both"/>
              <w:rPr>
                <w:rFonts w:ascii="Book Antiqua" w:hAnsi="Book Antiqua" w:cs="Times New Roman"/>
                <w:sz w:val="24"/>
                <w:szCs w:val="24"/>
              </w:rPr>
            </w:pPr>
            <w:r w:rsidRPr="003039EE">
              <w:rPr>
                <w:rFonts w:ascii="Book Antiqua" w:hAnsi="Book Antiqua" w:cs="Times New Roman"/>
                <w:sz w:val="24"/>
                <w:szCs w:val="24"/>
              </w:rPr>
              <w:t>0.0270</w:t>
            </w:r>
          </w:p>
        </w:tc>
      </w:tr>
      <w:tr w:rsidR="003039EE" w:rsidRPr="003039EE" w14:paraId="1069297B" w14:textId="77777777" w:rsidTr="00C511D5">
        <w:tc>
          <w:tcPr>
            <w:tcW w:w="2245" w:type="dxa"/>
          </w:tcPr>
          <w:p w14:paraId="49A0FE64" w14:textId="0FA4B64B" w:rsidR="003039EE" w:rsidRPr="00C511D5" w:rsidRDefault="003039EE" w:rsidP="00C511D5">
            <w:pPr>
              <w:pStyle w:val="a5"/>
              <w:spacing w:line="360" w:lineRule="auto"/>
              <w:jc w:val="both"/>
              <w:rPr>
                <w:rFonts w:ascii="Book Antiqua" w:eastAsiaTheme="minorEastAsia" w:hAnsi="Book Antiqua" w:cs="Times New Roman"/>
                <w:sz w:val="24"/>
                <w:szCs w:val="24"/>
              </w:rPr>
            </w:pPr>
            <w:r w:rsidRPr="00C511D5">
              <w:rPr>
                <w:rFonts w:ascii="Book Antiqua" w:hAnsi="Book Antiqua" w:cs="Times New Roman"/>
                <w:sz w:val="24"/>
                <w:szCs w:val="24"/>
              </w:rPr>
              <w:t>Patient with mental health disorder</w:t>
            </w:r>
          </w:p>
        </w:tc>
        <w:tc>
          <w:tcPr>
            <w:tcW w:w="1620" w:type="dxa"/>
          </w:tcPr>
          <w:p w14:paraId="44937BC4" w14:textId="77777777" w:rsidR="003039EE" w:rsidRPr="003039EE" w:rsidRDefault="003039EE" w:rsidP="00C511D5">
            <w:pPr>
              <w:pStyle w:val="a5"/>
              <w:spacing w:line="360" w:lineRule="auto"/>
              <w:jc w:val="both"/>
              <w:rPr>
                <w:rFonts w:ascii="Book Antiqua" w:hAnsi="Book Antiqua" w:cs="Times New Roman"/>
                <w:sz w:val="24"/>
                <w:szCs w:val="24"/>
              </w:rPr>
            </w:pPr>
            <w:r w:rsidRPr="003039EE">
              <w:rPr>
                <w:rFonts w:ascii="Book Antiqua" w:hAnsi="Book Antiqua" w:cs="Times New Roman"/>
                <w:sz w:val="24"/>
                <w:szCs w:val="24"/>
              </w:rPr>
              <w:t>30 (8.50)</w:t>
            </w:r>
          </w:p>
        </w:tc>
        <w:tc>
          <w:tcPr>
            <w:tcW w:w="1530" w:type="dxa"/>
          </w:tcPr>
          <w:p w14:paraId="3B1FAF0F" w14:textId="77777777" w:rsidR="003039EE" w:rsidRPr="003039EE" w:rsidRDefault="003039EE" w:rsidP="00C511D5">
            <w:pPr>
              <w:pStyle w:val="a5"/>
              <w:spacing w:line="360" w:lineRule="auto"/>
              <w:jc w:val="both"/>
              <w:rPr>
                <w:rFonts w:ascii="Book Antiqua" w:hAnsi="Book Antiqua" w:cs="Times New Roman"/>
                <w:sz w:val="24"/>
                <w:szCs w:val="24"/>
              </w:rPr>
            </w:pPr>
            <w:r w:rsidRPr="003039EE">
              <w:rPr>
                <w:rFonts w:ascii="Book Antiqua" w:hAnsi="Book Antiqua" w:cs="Times New Roman"/>
                <w:sz w:val="24"/>
                <w:szCs w:val="24"/>
              </w:rPr>
              <w:t>131 (47.12)</w:t>
            </w:r>
          </w:p>
        </w:tc>
        <w:tc>
          <w:tcPr>
            <w:tcW w:w="1530" w:type="dxa"/>
          </w:tcPr>
          <w:p w14:paraId="0D0D13B0" w14:textId="77777777" w:rsidR="003039EE" w:rsidRPr="003039EE" w:rsidRDefault="003039EE" w:rsidP="00C511D5">
            <w:pPr>
              <w:pStyle w:val="a5"/>
              <w:spacing w:line="360" w:lineRule="auto"/>
              <w:jc w:val="both"/>
              <w:rPr>
                <w:rFonts w:ascii="Book Antiqua" w:hAnsi="Book Antiqua" w:cs="Times New Roman"/>
                <w:sz w:val="24"/>
                <w:szCs w:val="24"/>
              </w:rPr>
            </w:pPr>
            <w:r w:rsidRPr="003039EE">
              <w:rPr>
                <w:rFonts w:ascii="Book Antiqua" w:hAnsi="Book Antiqua" w:cs="Times New Roman"/>
                <w:sz w:val="24"/>
                <w:szCs w:val="24"/>
              </w:rPr>
              <w:t>108(36.24)</w:t>
            </w:r>
          </w:p>
        </w:tc>
        <w:tc>
          <w:tcPr>
            <w:tcW w:w="1473" w:type="dxa"/>
          </w:tcPr>
          <w:p w14:paraId="5B9EC152" w14:textId="77777777" w:rsidR="003039EE" w:rsidRPr="003039EE" w:rsidRDefault="003039EE" w:rsidP="00C511D5">
            <w:pPr>
              <w:pStyle w:val="a5"/>
              <w:spacing w:line="360" w:lineRule="auto"/>
              <w:jc w:val="both"/>
              <w:rPr>
                <w:rFonts w:ascii="Book Antiqua" w:hAnsi="Book Antiqua" w:cs="Times New Roman"/>
                <w:sz w:val="24"/>
                <w:szCs w:val="24"/>
              </w:rPr>
            </w:pPr>
            <w:r w:rsidRPr="003039EE">
              <w:rPr>
                <w:rFonts w:ascii="Book Antiqua" w:hAnsi="Book Antiqua" w:cs="Times New Roman"/>
                <w:sz w:val="24"/>
                <w:szCs w:val="24"/>
              </w:rPr>
              <w:t>269(28.96)</w:t>
            </w:r>
          </w:p>
        </w:tc>
        <w:tc>
          <w:tcPr>
            <w:tcW w:w="1208" w:type="dxa"/>
          </w:tcPr>
          <w:p w14:paraId="53C03975" w14:textId="3CF21863" w:rsidR="003039EE" w:rsidRPr="003039EE" w:rsidRDefault="003039EE" w:rsidP="00C511D5">
            <w:pPr>
              <w:pStyle w:val="a5"/>
              <w:spacing w:line="360" w:lineRule="auto"/>
              <w:jc w:val="both"/>
              <w:rPr>
                <w:rFonts w:ascii="Book Antiqua" w:hAnsi="Book Antiqua" w:cs="Times New Roman"/>
                <w:sz w:val="24"/>
                <w:szCs w:val="24"/>
              </w:rPr>
            </w:pPr>
            <w:r w:rsidRPr="003039EE">
              <w:rPr>
                <w:rFonts w:ascii="Book Antiqua" w:hAnsi="Book Antiqua" w:cs="Times New Roman"/>
                <w:sz w:val="24"/>
                <w:szCs w:val="24"/>
              </w:rPr>
              <w:t>&lt;</w:t>
            </w:r>
            <w:r w:rsidR="00C511D5">
              <w:rPr>
                <w:rFonts w:ascii="Book Antiqua" w:hAnsi="Book Antiqua" w:cs="Times New Roman"/>
                <w:sz w:val="24"/>
                <w:szCs w:val="24"/>
              </w:rPr>
              <w:t xml:space="preserve"> </w:t>
            </w:r>
            <w:r w:rsidRPr="003039EE">
              <w:rPr>
                <w:rFonts w:ascii="Book Antiqua" w:hAnsi="Book Antiqua" w:cs="Times New Roman"/>
                <w:sz w:val="24"/>
                <w:szCs w:val="24"/>
              </w:rPr>
              <w:t>0.0001</w:t>
            </w:r>
          </w:p>
        </w:tc>
      </w:tr>
      <w:tr w:rsidR="003039EE" w:rsidRPr="003039EE" w14:paraId="26451300" w14:textId="77777777" w:rsidTr="00C511D5">
        <w:tc>
          <w:tcPr>
            <w:tcW w:w="2245" w:type="dxa"/>
          </w:tcPr>
          <w:p w14:paraId="2FCBF282" w14:textId="0F430D07" w:rsidR="003039EE" w:rsidRPr="00C511D5" w:rsidRDefault="003039EE" w:rsidP="00C511D5">
            <w:pPr>
              <w:pStyle w:val="a5"/>
              <w:spacing w:line="360" w:lineRule="auto"/>
              <w:jc w:val="both"/>
              <w:rPr>
                <w:rFonts w:ascii="Book Antiqua" w:eastAsiaTheme="minorEastAsia" w:hAnsi="Book Antiqua" w:cs="Times New Roman"/>
                <w:sz w:val="24"/>
                <w:szCs w:val="24"/>
              </w:rPr>
            </w:pPr>
            <w:r w:rsidRPr="00C511D5">
              <w:rPr>
                <w:rFonts w:ascii="Book Antiqua" w:hAnsi="Book Antiqua" w:cs="Times New Roman"/>
                <w:sz w:val="24"/>
                <w:szCs w:val="24"/>
              </w:rPr>
              <w:t>Periprocedural airway compromise</w:t>
            </w:r>
          </w:p>
        </w:tc>
        <w:tc>
          <w:tcPr>
            <w:tcW w:w="1620" w:type="dxa"/>
          </w:tcPr>
          <w:p w14:paraId="69905CD6" w14:textId="77777777" w:rsidR="003039EE" w:rsidRPr="003039EE" w:rsidRDefault="003039EE" w:rsidP="00C511D5">
            <w:pPr>
              <w:pStyle w:val="a5"/>
              <w:spacing w:line="360" w:lineRule="auto"/>
              <w:jc w:val="both"/>
              <w:rPr>
                <w:rFonts w:ascii="Book Antiqua" w:hAnsi="Book Antiqua" w:cs="Times New Roman"/>
                <w:sz w:val="24"/>
                <w:szCs w:val="24"/>
              </w:rPr>
            </w:pPr>
            <w:r w:rsidRPr="003039EE">
              <w:rPr>
                <w:rFonts w:ascii="Book Antiqua" w:hAnsi="Book Antiqua" w:cs="Times New Roman"/>
                <w:sz w:val="24"/>
                <w:szCs w:val="24"/>
              </w:rPr>
              <w:t>2 (0.57)</w:t>
            </w:r>
          </w:p>
        </w:tc>
        <w:tc>
          <w:tcPr>
            <w:tcW w:w="1530" w:type="dxa"/>
          </w:tcPr>
          <w:p w14:paraId="43637538" w14:textId="77777777" w:rsidR="003039EE" w:rsidRPr="003039EE" w:rsidRDefault="003039EE" w:rsidP="00C511D5">
            <w:pPr>
              <w:pStyle w:val="a5"/>
              <w:spacing w:line="360" w:lineRule="auto"/>
              <w:jc w:val="both"/>
              <w:rPr>
                <w:rFonts w:ascii="Book Antiqua" w:hAnsi="Book Antiqua" w:cs="Times New Roman"/>
                <w:sz w:val="24"/>
                <w:szCs w:val="24"/>
              </w:rPr>
            </w:pPr>
            <w:r w:rsidRPr="003039EE">
              <w:rPr>
                <w:rFonts w:ascii="Book Antiqua" w:hAnsi="Book Antiqua" w:cs="Times New Roman"/>
                <w:sz w:val="24"/>
                <w:szCs w:val="24"/>
              </w:rPr>
              <w:t>5 (1.80)</w:t>
            </w:r>
          </w:p>
        </w:tc>
        <w:tc>
          <w:tcPr>
            <w:tcW w:w="1530" w:type="dxa"/>
          </w:tcPr>
          <w:p w14:paraId="393DEDD8" w14:textId="77777777" w:rsidR="003039EE" w:rsidRPr="003039EE" w:rsidRDefault="003039EE" w:rsidP="00C511D5">
            <w:pPr>
              <w:pStyle w:val="a5"/>
              <w:spacing w:line="360" w:lineRule="auto"/>
              <w:jc w:val="both"/>
              <w:rPr>
                <w:rFonts w:ascii="Book Antiqua" w:hAnsi="Book Antiqua" w:cs="Times New Roman"/>
                <w:sz w:val="24"/>
                <w:szCs w:val="24"/>
              </w:rPr>
            </w:pPr>
            <w:r w:rsidRPr="003039EE">
              <w:rPr>
                <w:rFonts w:ascii="Book Antiqua" w:hAnsi="Book Antiqua" w:cs="Times New Roman"/>
                <w:sz w:val="24"/>
                <w:szCs w:val="24"/>
              </w:rPr>
              <w:t>6 (2.01)</w:t>
            </w:r>
          </w:p>
        </w:tc>
        <w:tc>
          <w:tcPr>
            <w:tcW w:w="1473" w:type="dxa"/>
          </w:tcPr>
          <w:p w14:paraId="2BB0896B" w14:textId="77777777" w:rsidR="003039EE" w:rsidRPr="003039EE" w:rsidRDefault="003039EE" w:rsidP="00C511D5">
            <w:pPr>
              <w:pStyle w:val="a5"/>
              <w:spacing w:line="360" w:lineRule="auto"/>
              <w:jc w:val="both"/>
              <w:rPr>
                <w:rFonts w:ascii="Book Antiqua" w:hAnsi="Book Antiqua" w:cs="Times New Roman"/>
                <w:sz w:val="24"/>
                <w:szCs w:val="24"/>
              </w:rPr>
            </w:pPr>
            <w:r w:rsidRPr="003039EE">
              <w:rPr>
                <w:rFonts w:ascii="Book Antiqua" w:hAnsi="Book Antiqua" w:cs="Times New Roman"/>
                <w:sz w:val="24"/>
                <w:szCs w:val="24"/>
              </w:rPr>
              <w:t>13(1.40)</w:t>
            </w:r>
          </w:p>
        </w:tc>
        <w:tc>
          <w:tcPr>
            <w:tcW w:w="1208" w:type="dxa"/>
          </w:tcPr>
          <w:p w14:paraId="15DEFAB8" w14:textId="77777777" w:rsidR="003039EE" w:rsidRPr="003039EE" w:rsidRDefault="003039EE" w:rsidP="00C511D5">
            <w:pPr>
              <w:pStyle w:val="a5"/>
              <w:spacing w:line="360" w:lineRule="auto"/>
              <w:jc w:val="both"/>
              <w:rPr>
                <w:rFonts w:ascii="Book Antiqua" w:hAnsi="Book Antiqua" w:cs="Times New Roman"/>
                <w:sz w:val="24"/>
                <w:szCs w:val="24"/>
              </w:rPr>
            </w:pPr>
            <w:r w:rsidRPr="003039EE">
              <w:rPr>
                <w:rFonts w:ascii="Book Antiqua" w:hAnsi="Book Antiqua" w:cs="Times New Roman"/>
                <w:sz w:val="24"/>
                <w:szCs w:val="24"/>
              </w:rPr>
              <w:t>0.2449</w:t>
            </w:r>
          </w:p>
        </w:tc>
      </w:tr>
      <w:tr w:rsidR="003039EE" w:rsidRPr="003039EE" w14:paraId="49C38497" w14:textId="77777777" w:rsidTr="00C511D5">
        <w:tc>
          <w:tcPr>
            <w:tcW w:w="2245" w:type="dxa"/>
            <w:tcBorders>
              <w:bottom w:val="single" w:sz="4" w:space="0" w:color="auto"/>
            </w:tcBorders>
            <w:shd w:val="clear" w:color="auto" w:fill="auto"/>
          </w:tcPr>
          <w:p w14:paraId="42F6BCA5" w14:textId="77777777" w:rsidR="003039EE" w:rsidRPr="00C511D5" w:rsidRDefault="003039EE" w:rsidP="00C511D5">
            <w:pPr>
              <w:pStyle w:val="a5"/>
              <w:spacing w:line="360" w:lineRule="auto"/>
              <w:jc w:val="both"/>
              <w:rPr>
                <w:rFonts w:ascii="Book Antiqua" w:hAnsi="Book Antiqua" w:cs="Times New Roman"/>
                <w:sz w:val="24"/>
                <w:szCs w:val="24"/>
              </w:rPr>
            </w:pPr>
            <w:proofErr w:type="spellStart"/>
            <w:r w:rsidRPr="00C511D5">
              <w:rPr>
                <w:rFonts w:ascii="Book Antiqua" w:hAnsi="Book Antiqua" w:cs="Times New Roman"/>
                <w:sz w:val="24"/>
                <w:szCs w:val="24"/>
              </w:rPr>
              <w:t>Overtube</w:t>
            </w:r>
            <w:proofErr w:type="spellEnd"/>
            <w:r w:rsidRPr="00C511D5">
              <w:rPr>
                <w:rFonts w:ascii="Book Antiqua" w:hAnsi="Book Antiqua" w:cs="Times New Roman"/>
                <w:sz w:val="24"/>
                <w:szCs w:val="24"/>
              </w:rPr>
              <w:t xml:space="preserve"> used</w:t>
            </w:r>
          </w:p>
        </w:tc>
        <w:tc>
          <w:tcPr>
            <w:tcW w:w="1620" w:type="dxa"/>
            <w:tcBorders>
              <w:bottom w:val="single" w:sz="4" w:space="0" w:color="auto"/>
            </w:tcBorders>
            <w:shd w:val="clear" w:color="auto" w:fill="auto"/>
          </w:tcPr>
          <w:p w14:paraId="0EAFD106" w14:textId="77777777" w:rsidR="003039EE" w:rsidRPr="003039EE" w:rsidRDefault="003039EE" w:rsidP="00C511D5">
            <w:pPr>
              <w:pStyle w:val="a5"/>
              <w:spacing w:line="360" w:lineRule="auto"/>
              <w:jc w:val="both"/>
              <w:rPr>
                <w:rFonts w:ascii="Book Antiqua" w:hAnsi="Book Antiqua" w:cs="Times New Roman"/>
                <w:sz w:val="24"/>
                <w:szCs w:val="24"/>
              </w:rPr>
            </w:pPr>
            <w:r w:rsidRPr="003039EE">
              <w:rPr>
                <w:rFonts w:ascii="Book Antiqua" w:hAnsi="Book Antiqua" w:cs="Times New Roman"/>
                <w:sz w:val="24"/>
                <w:szCs w:val="24"/>
              </w:rPr>
              <w:t>16 (4.53)</w:t>
            </w:r>
          </w:p>
        </w:tc>
        <w:tc>
          <w:tcPr>
            <w:tcW w:w="1530" w:type="dxa"/>
            <w:tcBorders>
              <w:bottom w:val="single" w:sz="4" w:space="0" w:color="auto"/>
            </w:tcBorders>
            <w:shd w:val="clear" w:color="auto" w:fill="auto"/>
          </w:tcPr>
          <w:p w14:paraId="09F286CF" w14:textId="77777777" w:rsidR="003039EE" w:rsidRPr="003039EE" w:rsidRDefault="003039EE" w:rsidP="00C511D5">
            <w:pPr>
              <w:pStyle w:val="a5"/>
              <w:spacing w:line="360" w:lineRule="auto"/>
              <w:jc w:val="both"/>
              <w:rPr>
                <w:rFonts w:ascii="Book Antiqua" w:hAnsi="Book Antiqua" w:cs="Times New Roman"/>
                <w:sz w:val="24"/>
                <w:szCs w:val="24"/>
              </w:rPr>
            </w:pPr>
            <w:r w:rsidRPr="003039EE">
              <w:rPr>
                <w:rFonts w:ascii="Book Antiqua" w:hAnsi="Book Antiqua" w:cs="Times New Roman"/>
                <w:sz w:val="24"/>
                <w:szCs w:val="24"/>
              </w:rPr>
              <w:t>41 (14.75)</w:t>
            </w:r>
          </w:p>
        </w:tc>
        <w:tc>
          <w:tcPr>
            <w:tcW w:w="1530" w:type="dxa"/>
            <w:tcBorders>
              <w:bottom w:val="single" w:sz="4" w:space="0" w:color="auto"/>
            </w:tcBorders>
            <w:shd w:val="clear" w:color="auto" w:fill="auto"/>
          </w:tcPr>
          <w:p w14:paraId="382A6C72" w14:textId="77777777" w:rsidR="003039EE" w:rsidRPr="003039EE" w:rsidRDefault="003039EE" w:rsidP="00C511D5">
            <w:pPr>
              <w:pStyle w:val="a5"/>
              <w:spacing w:line="360" w:lineRule="auto"/>
              <w:jc w:val="both"/>
              <w:rPr>
                <w:rFonts w:ascii="Book Antiqua" w:hAnsi="Book Antiqua" w:cs="Times New Roman"/>
                <w:sz w:val="24"/>
                <w:szCs w:val="24"/>
              </w:rPr>
            </w:pPr>
            <w:r w:rsidRPr="003039EE">
              <w:rPr>
                <w:rFonts w:ascii="Book Antiqua" w:hAnsi="Book Antiqua" w:cs="Times New Roman"/>
                <w:sz w:val="24"/>
                <w:szCs w:val="24"/>
              </w:rPr>
              <w:t>45 (15.10)</w:t>
            </w:r>
          </w:p>
        </w:tc>
        <w:tc>
          <w:tcPr>
            <w:tcW w:w="1473" w:type="dxa"/>
            <w:tcBorders>
              <w:bottom w:val="single" w:sz="4" w:space="0" w:color="auto"/>
            </w:tcBorders>
            <w:shd w:val="clear" w:color="auto" w:fill="auto"/>
          </w:tcPr>
          <w:p w14:paraId="4E8F2290" w14:textId="77777777" w:rsidR="003039EE" w:rsidRPr="003039EE" w:rsidRDefault="003039EE" w:rsidP="00C511D5">
            <w:pPr>
              <w:pStyle w:val="a5"/>
              <w:spacing w:line="360" w:lineRule="auto"/>
              <w:jc w:val="both"/>
              <w:rPr>
                <w:rFonts w:ascii="Book Antiqua" w:hAnsi="Book Antiqua" w:cs="Times New Roman"/>
                <w:sz w:val="24"/>
                <w:szCs w:val="24"/>
              </w:rPr>
            </w:pPr>
            <w:r w:rsidRPr="003039EE">
              <w:rPr>
                <w:rFonts w:ascii="Book Antiqua" w:hAnsi="Book Antiqua" w:cs="Times New Roman"/>
                <w:sz w:val="24"/>
                <w:szCs w:val="24"/>
              </w:rPr>
              <w:t>102 (10.98)</w:t>
            </w:r>
          </w:p>
        </w:tc>
        <w:tc>
          <w:tcPr>
            <w:tcW w:w="1208" w:type="dxa"/>
            <w:tcBorders>
              <w:bottom w:val="single" w:sz="4" w:space="0" w:color="auto"/>
            </w:tcBorders>
            <w:shd w:val="clear" w:color="auto" w:fill="auto"/>
          </w:tcPr>
          <w:p w14:paraId="642DBD49" w14:textId="1A57775F" w:rsidR="003039EE" w:rsidRPr="003039EE" w:rsidRDefault="003039EE" w:rsidP="00C511D5">
            <w:pPr>
              <w:pStyle w:val="a5"/>
              <w:spacing w:line="360" w:lineRule="auto"/>
              <w:jc w:val="both"/>
              <w:rPr>
                <w:rFonts w:ascii="Book Antiqua" w:hAnsi="Book Antiqua" w:cs="Times New Roman"/>
                <w:sz w:val="24"/>
                <w:szCs w:val="24"/>
              </w:rPr>
            </w:pPr>
            <w:r w:rsidRPr="003039EE">
              <w:rPr>
                <w:rFonts w:ascii="Book Antiqua" w:hAnsi="Book Antiqua" w:cs="Times New Roman"/>
                <w:sz w:val="24"/>
                <w:szCs w:val="24"/>
              </w:rPr>
              <w:t>&lt;</w:t>
            </w:r>
            <w:r w:rsidR="00C511D5">
              <w:rPr>
                <w:rFonts w:ascii="Book Antiqua" w:hAnsi="Book Antiqua" w:cs="Times New Roman"/>
                <w:sz w:val="24"/>
                <w:szCs w:val="24"/>
              </w:rPr>
              <w:t xml:space="preserve"> </w:t>
            </w:r>
            <w:r w:rsidRPr="003039EE">
              <w:rPr>
                <w:rFonts w:ascii="Book Antiqua" w:hAnsi="Book Antiqua" w:cs="Times New Roman"/>
                <w:sz w:val="24"/>
                <w:szCs w:val="24"/>
              </w:rPr>
              <w:t>0.001</w:t>
            </w:r>
          </w:p>
        </w:tc>
      </w:tr>
    </w:tbl>
    <w:p w14:paraId="31BEC761" w14:textId="5EDEE16B" w:rsidR="00C511D5" w:rsidRDefault="00C511D5">
      <w:pPr>
        <w:spacing w:line="360" w:lineRule="auto"/>
        <w:jc w:val="both"/>
      </w:pPr>
    </w:p>
    <w:p w14:paraId="6CFDC797" w14:textId="30E01D84" w:rsidR="003039EE" w:rsidRDefault="00C511D5">
      <w:pPr>
        <w:spacing w:line="360" w:lineRule="auto"/>
        <w:jc w:val="both"/>
        <w:rPr>
          <w:rFonts w:ascii="Book Antiqua" w:hAnsi="Book Antiqua"/>
          <w:b/>
          <w:bCs/>
        </w:rPr>
      </w:pPr>
      <w:r>
        <w:br w:type="page"/>
      </w:r>
      <w:r w:rsidRPr="00C511D5">
        <w:rPr>
          <w:rFonts w:ascii="Book Antiqua" w:hAnsi="Book Antiqua"/>
          <w:b/>
          <w:bCs/>
        </w:rPr>
        <w:lastRenderedPageBreak/>
        <w:t>Table 2</w:t>
      </w:r>
      <w:r>
        <w:rPr>
          <w:rFonts w:ascii="Book Antiqua" w:hAnsi="Book Antiqua"/>
          <w:b/>
          <w:bCs/>
        </w:rPr>
        <w:t xml:space="preserve"> </w:t>
      </w:r>
      <w:r w:rsidRPr="00C511D5">
        <w:rPr>
          <w:rFonts w:ascii="Book Antiqua" w:hAnsi="Book Antiqua"/>
          <w:b/>
          <w:bCs/>
        </w:rPr>
        <w:t>Types of adverse events encountered during/after emergent endoscopy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5"/>
        <w:gridCol w:w="2250"/>
      </w:tblGrid>
      <w:tr w:rsidR="00C511D5" w:rsidRPr="00C511D5" w14:paraId="2849BB0E" w14:textId="77777777" w:rsidTr="00966193">
        <w:tc>
          <w:tcPr>
            <w:tcW w:w="5845" w:type="dxa"/>
            <w:tcBorders>
              <w:top w:val="single" w:sz="4" w:space="0" w:color="auto"/>
              <w:bottom w:val="single" w:sz="4" w:space="0" w:color="auto"/>
            </w:tcBorders>
          </w:tcPr>
          <w:p w14:paraId="4184EB6B" w14:textId="0C9DDCCC" w:rsidR="00C511D5" w:rsidRPr="00966193" w:rsidRDefault="00C511D5" w:rsidP="00C511D5">
            <w:pPr>
              <w:spacing w:line="360" w:lineRule="auto"/>
              <w:jc w:val="both"/>
              <w:rPr>
                <w:rFonts w:ascii="Book Antiqua" w:hAnsi="Book Antiqua"/>
                <w:b/>
              </w:rPr>
            </w:pPr>
            <w:r w:rsidRPr="00966193">
              <w:rPr>
                <w:rFonts w:ascii="Book Antiqua" w:hAnsi="Book Antiqua"/>
                <w:b/>
              </w:rPr>
              <w:t>Endoscopic adverse events</w:t>
            </w:r>
          </w:p>
        </w:tc>
        <w:tc>
          <w:tcPr>
            <w:tcW w:w="2250" w:type="dxa"/>
            <w:tcBorders>
              <w:top w:val="single" w:sz="4" w:space="0" w:color="auto"/>
              <w:bottom w:val="single" w:sz="4" w:space="0" w:color="auto"/>
            </w:tcBorders>
          </w:tcPr>
          <w:p w14:paraId="2348509F" w14:textId="7C7FE448" w:rsidR="00C511D5" w:rsidRPr="00966193" w:rsidRDefault="00C511D5" w:rsidP="00C511D5">
            <w:pPr>
              <w:spacing w:line="360" w:lineRule="auto"/>
              <w:jc w:val="both"/>
              <w:rPr>
                <w:rFonts w:ascii="Book Antiqua" w:hAnsi="Book Antiqua"/>
                <w:b/>
              </w:rPr>
            </w:pPr>
            <w:r w:rsidRPr="00966193">
              <w:rPr>
                <w:rFonts w:ascii="Book Antiqua" w:hAnsi="Book Antiqua"/>
                <w:b/>
                <w:i/>
                <w:iCs/>
              </w:rPr>
              <w:t>n</w:t>
            </w:r>
            <w:r w:rsidRPr="00966193">
              <w:rPr>
                <w:rFonts w:ascii="Book Antiqua" w:hAnsi="Book Antiqua"/>
                <w:b/>
              </w:rPr>
              <w:t xml:space="preserve"> (%)</w:t>
            </w:r>
          </w:p>
        </w:tc>
      </w:tr>
      <w:tr w:rsidR="00C511D5" w:rsidRPr="00C511D5" w14:paraId="21FB8EC5" w14:textId="77777777" w:rsidTr="00966193">
        <w:tc>
          <w:tcPr>
            <w:tcW w:w="5845" w:type="dxa"/>
            <w:tcBorders>
              <w:top w:val="single" w:sz="4" w:space="0" w:color="auto"/>
            </w:tcBorders>
          </w:tcPr>
          <w:p w14:paraId="55E95001" w14:textId="6B4B8061" w:rsidR="00C511D5" w:rsidRPr="00966193" w:rsidRDefault="00C511D5" w:rsidP="00966193">
            <w:pPr>
              <w:spacing w:line="360" w:lineRule="auto"/>
              <w:jc w:val="both"/>
              <w:rPr>
                <w:rFonts w:ascii="Book Antiqua" w:hAnsi="Book Antiqua"/>
                <w:bCs/>
              </w:rPr>
            </w:pPr>
            <w:r w:rsidRPr="00966193">
              <w:rPr>
                <w:rFonts w:ascii="Book Antiqua" w:hAnsi="Book Antiqua"/>
                <w:bCs/>
              </w:rPr>
              <w:t xml:space="preserve">Early </w:t>
            </w:r>
            <w:r w:rsidR="00966193" w:rsidRPr="00966193">
              <w:rPr>
                <w:rFonts w:ascii="Book Antiqua" w:hAnsi="Book Antiqua"/>
                <w:bCs/>
              </w:rPr>
              <w:t>a</w:t>
            </w:r>
            <w:r w:rsidRPr="00966193">
              <w:rPr>
                <w:rFonts w:ascii="Book Antiqua" w:hAnsi="Book Antiqua"/>
                <w:bCs/>
              </w:rPr>
              <w:t>dverse events (</w:t>
            </w:r>
            <w:r w:rsidR="00966193" w:rsidRPr="00966193">
              <w:rPr>
                <w:rFonts w:ascii="Book Antiqua" w:hAnsi="Book Antiqua"/>
                <w:bCs/>
                <w:i/>
                <w:iCs/>
              </w:rPr>
              <w:t>n</w:t>
            </w:r>
            <w:r w:rsidR="00966193">
              <w:rPr>
                <w:rFonts w:ascii="Book Antiqua" w:hAnsi="Book Antiqua"/>
                <w:bCs/>
                <w:i/>
                <w:iCs/>
              </w:rPr>
              <w:t xml:space="preserve"> </w:t>
            </w:r>
            <w:r w:rsidRPr="00966193">
              <w:rPr>
                <w:rFonts w:ascii="Book Antiqua" w:hAnsi="Book Antiqua"/>
                <w:bCs/>
              </w:rPr>
              <w:t>=</w:t>
            </w:r>
            <w:r w:rsidR="00966193">
              <w:rPr>
                <w:rFonts w:ascii="Book Antiqua" w:hAnsi="Book Antiqua"/>
                <w:bCs/>
              </w:rPr>
              <w:t xml:space="preserve"> </w:t>
            </w:r>
            <w:r w:rsidRPr="00966193">
              <w:rPr>
                <w:rFonts w:ascii="Book Antiqua" w:hAnsi="Book Antiqua"/>
                <w:bCs/>
              </w:rPr>
              <w:t>110)</w:t>
            </w:r>
          </w:p>
        </w:tc>
        <w:tc>
          <w:tcPr>
            <w:tcW w:w="2250" w:type="dxa"/>
            <w:tcBorders>
              <w:top w:val="single" w:sz="4" w:space="0" w:color="auto"/>
            </w:tcBorders>
          </w:tcPr>
          <w:p w14:paraId="4EDA2649" w14:textId="627E842A" w:rsidR="00C511D5" w:rsidRPr="00C511D5" w:rsidRDefault="00C511D5" w:rsidP="00966193">
            <w:pPr>
              <w:spacing w:line="360" w:lineRule="auto"/>
              <w:jc w:val="both"/>
              <w:rPr>
                <w:rFonts w:ascii="Book Antiqua" w:hAnsi="Book Antiqua"/>
              </w:rPr>
            </w:pPr>
          </w:p>
        </w:tc>
      </w:tr>
      <w:tr w:rsidR="00966193" w:rsidRPr="00C511D5" w14:paraId="41564FC2" w14:textId="77777777" w:rsidTr="00966193">
        <w:tc>
          <w:tcPr>
            <w:tcW w:w="5845" w:type="dxa"/>
          </w:tcPr>
          <w:p w14:paraId="5C2A90A4" w14:textId="05FCC8A6" w:rsidR="00966193" w:rsidRPr="00966193" w:rsidRDefault="00966193" w:rsidP="00966193">
            <w:pPr>
              <w:spacing w:line="360" w:lineRule="auto"/>
              <w:ind w:firstLineChars="100" w:firstLine="240"/>
              <w:jc w:val="both"/>
              <w:rPr>
                <w:rFonts w:ascii="Book Antiqua" w:hAnsi="Book Antiqua"/>
                <w:bCs/>
              </w:rPr>
            </w:pPr>
            <w:r w:rsidRPr="00966193">
              <w:rPr>
                <w:rFonts w:ascii="Book Antiqua" w:hAnsi="Book Antiqua"/>
                <w:bCs/>
              </w:rPr>
              <w:t>Local adverse events</w:t>
            </w:r>
          </w:p>
        </w:tc>
        <w:tc>
          <w:tcPr>
            <w:tcW w:w="2250" w:type="dxa"/>
          </w:tcPr>
          <w:p w14:paraId="67FBC8E1" w14:textId="77777777" w:rsidR="00966193" w:rsidRPr="00C511D5" w:rsidRDefault="00966193" w:rsidP="00C511D5">
            <w:pPr>
              <w:spacing w:line="360" w:lineRule="auto"/>
              <w:jc w:val="both"/>
              <w:rPr>
                <w:rFonts w:ascii="Book Antiqua" w:hAnsi="Book Antiqua"/>
              </w:rPr>
            </w:pPr>
          </w:p>
        </w:tc>
      </w:tr>
      <w:tr w:rsidR="00966193" w:rsidRPr="00C511D5" w14:paraId="67752A97" w14:textId="77777777" w:rsidTr="00966193">
        <w:tc>
          <w:tcPr>
            <w:tcW w:w="5845" w:type="dxa"/>
          </w:tcPr>
          <w:p w14:paraId="22F24166" w14:textId="3F7D6D9C" w:rsidR="00966193" w:rsidRPr="00966193" w:rsidRDefault="00966193" w:rsidP="00966193">
            <w:pPr>
              <w:spacing w:line="360" w:lineRule="auto"/>
              <w:ind w:firstLineChars="200" w:firstLine="480"/>
              <w:jc w:val="both"/>
              <w:rPr>
                <w:rFonts w:ascii="Book Antiqua" w:hAnsi="Book Antiqua"/>
              </w:rPr>
            </w:pPr>
            <w:r w:rsidRPr="00C511D5">
              <w:rPr>
                <w:rFonts w:ascii="Book Antiqua" w:hAnsi="Book Antiqua"/>
              </w:rPr>
              <w:t>Bleeding</w:t>
            </w:r>
          </w:p>
        </w:tc>
        <w:tc>
          <w:tcPr>
            <w:tcW w:w="2250" w:type="dxa"/>
          </w:tcPr>
          <w:p w14:paraId="42C3AA9D" w14:textId="49E2DDED" w:rsidR="00966193" w:rsidRPr="00C511D5" w:rsidRDefault="00966193" w:rsidP="00C511D5">
            <w:pPr>
              <w:spacing w:line="360" w:lineRule="auto"/>
              <w:jc w:val="both"/>
              <w:rPr>
                <w:rFonts w:ascii="Book Antiqua" w:hAnsi="Book Antiqua"/>
              </w:rPr>
            </w:pPr>
            <w:r w:rsidRPr="00C511D5">
              <w:rPr>
                <w:rFonts w:ascii="Book Antiqua" w:hAnsi="Book Antiqua"/>
              </w:rPr>
              <w:t>24 (2.58)</w:t>
            </w:r>
          </w:p>
        </w:tc>
      </w:tr>
      <w:tr w:rsidR="00966193" w:rsidRPr="00C511D5" w14:paraId="6329D115" w14:textId="77777777" w:rsidTr="00966193">
        <w:tc>
          <w:tcPr>
            <w:tcW w:w="5845" w:type="dxa"/>
          </w:tcPr>
          <w:p w14:paraId="688E6314" w14:textId="1F68A84A" w:rsidR="00966193" w:rsidRPr="00966193" w:rsidRDefault="00966193" w:rsidP="00966193">
            <w:pPr>
              <w:spacing w:line="360" w:lineRule="auto"/>
              <w:ind w:firstLineChars="200" w:firstLine="480"/>
              <w:jc w:val="both"/>
              <w:rPr>
                <w:rFonts w:ascii="Book Antiqua" w:hAnsi="Book Antiqua"/>
              </w:rPr>
            </w:pPr>
            <w:r w:rsidRPr="00C511D5">
              <w:rPr>
                <w:rFonts w:ascii="Book Antiqua" w:hAnsi="Book Antiqua"/>
              </w:rPr>
              <w:t>Mucosal Lacerations</w:t>
            </w:r>
          </w:p>
        </w:tc>
        <w:tc>
          <w:tcPr>
            <w:tcW w:w="2250" w:type="dxa"/>
          </w:tcPr>
          <w:p w14:paraId="397BF319" w14:textId="083BF096" w:rsidR="00966193" w:rsidRPr="00C511D5" w:rsidRDefault="00966193" w:rsidP="00C511D5">
            <w:pPr>
              <w:spacing w:line="360" w:lineRule="auto"/>
              <w:jc w:val="both"/>
              <w:rPr>
                <w:rFonts w:ascii="Book Antiqua" w:hAnsi="Book Antiqua"/>
              </w:rPr>
            </w:pPr>
            <w:r w:rsidRPr="00C511D5">
              <w:rPr>
                <w:rFonts w:ascii="Book Antiqua" w:hAnsi="Book Antiqua"/>
              </w:rPr>
              <w:t>35 (3.77)</w:t>
            </w:r>
          </w:p>
        </w:tc>
      </w:tr>
      <w:tr w:rsidR="00966193" w:rsidRPr="00C511D5" w14:paraId="4B45585D" w14:textId="77777777" w:rsidTr="00966193">
        <w:tc>
          <w:tcPr>
            <w:tcW w:w="5845" w:type="dxa"/>
          </w:tcPr>
          <w:p w14:paraId="681895F0" w14:textId="5EC70F48" w:rsidR="00966193" w:rsidRPr="00966193" w:rsidRDefault="00966193" w:rsidP="00966193">
            <w:pPr>
              <w:spacing w:line="360" w:lineRule="auto"/>
              <w:ind w:firstLineChars="200" w:firstLine="480"/>
              <w:jc w:val="both"/>
              <w:rPr>
                <w:rFonts w:ascii="Book Antiqua" w:hAnsi="Book Antiqua"/>
              </w:rPr>
            </w:pPr>
            <w:r w:rsidRPr="00C511D5">
              <w:rPr>
                <w:rFonts w:ascii="Book Antiqua" w:hAnsi="Book Antiqua"/>
              </w:rPr>
              <w:t>Perforation</w:t>
            </w:r>
          </w:p>
        </w:tc>
        <w:tc>
          <w:tcPr>
            <w:tcW w:w="2250" w:type="dxa"/>
          </w:tcPr>
          <w:p w14:paraId="123D0DC1" w14:textId="15A22396" w:rsidR="00966193" w:rsidRPr="00C511D5" w:rsidRDefault="00966193" w:rsidP="00C511D5">
            <w:pPr>
              <w:spacing w:line="360" w:lineRule="auto"/>
              <w:jc w:val="both"/>
              <w:rPr>
                <w:rFonts w:ascii="Book Antiqua" w:hAnsi="Book Antiqua"/>
              </w:rPr>
            </w:pPr>
            <w:r w:rsidRPr="00C511D5">
              <w:rPr>
                <w:rFonts w:ascii="Book Antiqua" w:hAnsi="Book Antiqua"/>
              </w:rPr>
              <w:t>4 (0.43)</w:t>
            </w:r>
          </w:p>
        </w:tc>
      </w:tr>
      <w:tr w:rsidR="00C511D5" w:rsidRPr="00C511D5" w14:paraId="3B613BD3" w14:textId="77777777" w:rsidTr="00966193">
        <w:tc>
          <w:tcPr>
            <w:tcW w:w="5845" w:type="dxa"/>
          </w:tcPr>
          <w:p w14:paraId="68B906CC" w14:textId="7E895BB7" w:rsidR="00C511D5" w:rsidRPr="00966193" w:rsidRDefault="00C511D5" w:rsidP="00966193">
            <w:pPr>
              <w:spacing w:line="360" w:lineRule="auto"/>
              <w:ind w:firstLineChars="100" w:firstLine="240"/>
              <w:jc w:val="both"/>
              <w:rPr>
                <w:rFonts w:ascii="Book Antiqua" w:hAnsi="Book Antiqua"/>
                <w:bCs/>
                <w:u w:val="single"/>
              </w:rPr>
            </w:pPr>
            <w:r w:rsidRPr="00966193">
              <w:rPr>
                <w:rFonts w:ascii="Book Antiqua" w:hAnsi="Book Antiqua"/>
                <w:bCs/>
              </w:rPr>
              <w:t>Respiratory associated adverse events</w:t>
            </w:r>
          </w:p>
        </w:tc>
        <w:tc>
          <w:tcPr>
            <w:tcW w:w="2250" w:type="dxa"/>
          </w:tcPr>
          <w:p w14:paraId="1D46ACD5" w14:textId="77777777" w:rsidR="00C511D5" w:rsidRPr="00C511D5" w:rsidRDefault="00C511D5" w:rsidP="00C511D5">
            <w:pPr>
              <w:spacing w:line="360" w:lineRule="auto"/>
              <w:jc w:val="both"/>
              <w:rPr>
                <w:rFonts w:ascii="Book Antiqua" w:hAnsi="Book Antiqua"/>
              </w:rPr>
            </w:pPr>
          </w:p>
        </w:tc>
      </w:tr>
      <w:tr w:rsidR="00C511D5" w:rsidRPr="00C511D5" w14:paraId="364AC338" w14:textId="77777777" w:rsidTr="00966193">
        <w:tc>
          <w:tcPr>
            <w:tcW w:w="5845" w:type="dxa"/>
          </w:tcPr>
          <w:p w14:paraId="75234CA1" w14:textId="322F7A95" w:rsidR="00C511D5" w:rsidRPr="00C511D5" w:rsidRDefault="00C511D5" w:rsidP="00966193">
            <w:pPr>
              <w:spacing w:line="360" w:lineRule="auto"/>
              <w:ind w:firstLineChars="200" w:firstLine="480"/>
              <w:jc w:val="both"/>
              <w:rPr>
                <w:rFonts w:ascii="Book Antiqua" w:hAnsi="Book Antiqua"/>
              </w:rPr>
            </w:pPr>
            <w:r w:rsidRPr="00C511D5">
              <w:rPr>
                <w:rFonts w:ascii="Book Antiqua" w:hAnsi="Book Antiqua"/>
              </w:rPr>
              <w:t>Failure to extubate</w:t>
            </w:r>
          </w:p>
        </w:tc>
        <w:tc>
          <w:tcPr>
            <w:tcW w:w="2250" w:type="dxa"/>
          </w:tcPr>
          <w:p w14:paraId="663FBD37" w14:textId="70C434EE" w:rsidR="00C511D5" w:rsidRPr="00C511D5" w:rsidRDefault="00C511D5" w:rsidP="00C511D5">
            <w:pPr>
              <w:spacing w:line="360" w:lineRule="auto"/>
              <w:jc w:val="both"/>
              <w:rPr>
                <w:rFonts w:ascii="Book Antiqua" w:hAnsi="Book Antiqua"/>
              </w:rPr>
            </w:pPr>
            <w:r w:rsidRPr="00C511D5">
              <w:rPr>
                <w:rFonts w:ascii="Book Antiqua" w:hAnsi="Book Antiqua"/>
              </w:rPr>
              <w:t>3 (0.32)</w:t>
            </w:r>
          </w:p>
        </w:tc>
      </w:tr>
      <w:tr w:rsidR="00C511D5" w:rsidRPr="00C511D5" w14:paraId="6AC285CD" w14:textId="77777777" w:rsidTr="00966193">
        <w:tc>
          <w:tcPr>
            <w:tcW w:w="5845" w:type="dxa"/>
          </w:tcPr>
          <w:p w14:paraId="2C69FF8F" w14:textId="20C8D1E7" w:rsidR="00C511D5" w:rsidRPr="00C511D5" w:rsidRDefault="00C511D5" w:rsidP="00966193">
            <w:pPr>
              <w:spacing w:line="360" w:lineRule="auto"/>
              <w:ind w:firstLineChars="200" w:firstLine="480"/>
              <w:jc w:val="both"/>
              <w:rPr>
                <w:rFonts w:ascii="Book Antiqua" w:hAnsi="Book Antiqua"/>
              </w:rPr>
            </w:pPr>
            <w:r w:rsidRPr="00C511D5">
              <w:rPr>
                <w:rFonts w:ascii="Book Antiqua" w:hAnsi="Book Antiqua"/>
              </w:rPr>
              <w:t>Hypoxia</w:t>
            </w:r>
          </w:p>
        </w:tc>
        <w:tc>
          <w:tcPr>
            <w:tcW w:w="2250" w:type="dxa"/>
          </w:tcPr>
          <w:p w14:paraId="797DD0DC" w14:textId="5329418A" w:rsidR="00C511D5" w:rsidRPr="00C511D5" w:rsidRDefault="00C511D5" w:rsidP="00C511D5">
            <w:pPr>
              <w:spacing w:line="360" w:lineRule="auto"/>
              <w:jc w:val="both"/>
              <w:rPr>
                <w:rFonts w:ascii="Book Antiqua" w:hAnsi="Book Antiqua"/>
              </w:rPr>
            </w:pPr>
            <w:r w:rsidRPr="00C511D5">
              <w:rPr>
                <w:rFonts w:ascii="Book Antiqua" w:hAnsi="Book Antiqua"/>
              </w:rPr>
              <w:t>12 (1.29)</w:t>
            </w:r>
          </w:p>
        </w:tc>
      </w:tr>
      <w:tr w:rsidR="00C511D5" w:rsidRPr="00C511D5" w14:paraId="61D11C20" w14:textId="77777777" w:rsidTr="00966193">
        <w:tc>
          <w:tcPr>
            <w:tcW w:w="5845" w:type="dxa"/>
          </w:tcPr>
          <w:p w14:paraId="731947C9" w14:textId="61F57650" w:rsidR="00C511D5" w:rsidRPr="00C511D5" w:rsidRDefault="00C511D5" w:rsidP="00966193">
            <w:pPr>
              <w:spacing w:line="360" w:lineRule="auto"/>
              <w:ind w:firstLineChars="200" w:firstLine="480"/>
              <w:jc w:val="both"/>
              <w:rPr>
                <w:rFonts w:ascii="Book Antiqua" w:hAnsi="Book Antiqua"/>
              </w:rPr>
            </w:pPr>
            <w:r w:rsidRPr="00C511D5">
              <w:rPr>
                <w:rFonts w:ascii="Book Antiqua" w:hAnsi="Book Antiqua"/>
              </w:rPr>
              <w:t>Aspiration</w:t>
            </w:r>
          </w:p>
        </w:tc>
        <w:tc>
          <w:tcPr>
            <w:tcW w:w="2250" w:type="dxa"/>
          </w:tcPr>
          <w:p w14:paraId="2BE3EB92" w14:textId="28ED3376" w:rsidR="00C511D5" w:rsidRPr="00C511D5" w:rsidRDefault="00C511D5" w:rsidP="00C511D5">
            <w:pPr>
              <w:spacing w:line="360" w:lineRule="auto"/>
              <w:jc w:val="both"/>
              <w:rPr>
                <w:rFonts w:ascii="Book Antiqua" w:hAnsi="Book Antiqua"/>
              </w:rPr>
            </w:pPr>
            <w:r w:rsidRPr="00C511D5">
              <w:rPr>
                <w:rFonts w:ascii="Book Antiqua" w:hAnsi="Book Antiqua"/>
              </w:rPr>
              <w:t>10 (1.08)</w:t>
            </w:r>
          </w:p>
        </w:tc>
      </w:tr>
      <w:tr w:rsidR="00C511D5" w:rsidRPr="00C511D5" w14:paraId="77707E16" w14:textId="77777777" w:rsidTr="00966193">
        <w:tc>
          <w:tcPr>
            <w:tcW w:w="5845" w:type="dxa"/>
          </w:tcPr>
          <w:p w14:paraId="0A7EF33E" w14:textId="1FACD7BB" w:rsidR="00C511D5" w:rsidRPr="00966193" w:rsidRDefault="00C511D5" w:rsidP="00966193">
            <w:pPr>
              <w:spacing w:line="360" w:lineRule="auto"/>
              <w:ind w:firstLineChars="100" w:firstLine="240"/>
              <w:jc w:val="both"/>
              <w:rPr>
                <w:rFonts w:ascii="Book Antiqua" w:hAnsi="Book Antiqua"/>
                <w:bCs/>
              </w:rPr>
            </w:pPr>
            <w:r w:rsidRPr="00966193">
              <w:rPr>
                <w:rFonts w:ascii="Book Antiqua" w:hAnsi="Book Antiqua"/>
                <w:bCs/>
              </w:rPr>
              <w:t>Pain</w:t>
            </w:r>
          </w:p>
        </w:tc>
        <w:tc>
          <w:tcPr>
            <w:tcW w:w="2250" w:type="dxa"/>
          </w:tcPr>
          <w:p w14:paraId="4346351D" w14:textId="77777777" w:rsidR="00C511D5" w:rsidRPr="00C511D5" w:rsidRDefault="00C511D5" w:rsidP="00C511D5">
            <w:pPr>
              <w:spacing w:line="360" w:lineRule="auto"/>
              <w:jc w:val="both"/>
              <w:rPr>
                <w:rFonts w:ascii="Book Antiqua" w:hAnsi="Book Antiqua"/>
              </w:rPr>
            </w:pPr>
          </w:p>
        </w:tc>
      </w:tr>
      <w:tr w:rsidR="00C511D5" w:rsidRPr="00C511D5" w14:paraId="5F299696" w14:textId="77777777" w:rsidTr="00966193">
        <w:tc>
          <w:tcPr>
            <w:tcW w:w="5845" w:type="dxa"/>
          </w:tcPr>
          <w:p w14:paraId="75040957" w14:textId="596C94F5" w:rsidR="00C511D5" w:rsidRPr="00C511D5" w:rsidRDefault="00966193" w:rsidP="00966193">
            <w:pPr>
              <w:spacing w:line="360" w:lineRule="auto"/>
              <w:ind w:firstLineChars="200" w:firstLine="480"/>
              <w:jc w:val="both"/>
              <w:rPr>
                <w:rFonts w:ascii="Book Antiqua" w:hAnsi="Book Antiqua"/>
                <w:b/>
                <w:u w:val="single"/>
              </w:rPr>
            </w:pPr>
            <w:r w:rsidRPr="00C511D5">
              <w:rPr>
                <w:rFonts w:ascii="Book Antiqua" w:hAnsi="Book Antiqua"/>
              </w:rPr>
              <w:t>Chest pain</w:t>
            </w:r>
          </w:p>
        </w:tc>
        <w:tc>
          <w:tcPr>
            <w:tcW w:w="2250" w:type="dxa"/>
          </w:tcPr>
          <w:p w14:paraId="36E736AF" w14:textId="5C18C44D" w:rsidR="00C511D5" w:rsidRPr="00C511D5" w:rsidRDefault="00C511D5" w:rsidP="00C511D5">
            <w:pPr>
              <w:spacing w:line="360" w:lineRule="auto"/>
              <w:jc w:val="both"/>
              <w:rPr>
                <w:rFonts w:ascii="Book Antiqua" w:hAnsi="Book Antiqua"/>
              </w:rPr>
            </w:pPr>
            <w:r w:rsidRPr="00C511D5">
              <w:rPr>
                <w:rFonts w:ascii="Book Antiqua" w:hAnsi="Book Antiqua"/>
              </w:rPr>
              <w:t>4 (0.43)</w:t>
            </w:r>
          </w:p>
        </w:tc>
      </w:tr>
      <w:tr w:rsidR="00C511D5" w:rsidRPr="00C511D5" w14:paraId="7296EC0E" w14:textId="77777777" w:rsidTr="00966193">
        <w:tc>
          <w:tcPr>
            <w:tcW w:w="5845" w:type="dxa"/>
          </w:tcPr>
          <w:p w14:paraId="76AC2A6E" w14:textId="25AD9624" w:rsidR="00C511D5" w:rsidRPr="00C511D5" w:rsidRDefault="00966193" w:rsidP="00966193">
            <w:pPr>
              <w:spacing w:line="360" w:lineRule="auto"/>
              <w:ind w:firstLineChars="200" w:firstLine="480"/>
              <w:jc w:val="both"/>
              <w:rPr>
                <w:rFonts w:ascii="Book Antiqua" w:hAnsi="Book Antiqua"/>
                <w:b/>
                <w:u w:val="single"/>
              </w:rPr>
            </w:pPr>
            <w:r w:rsidRPr="00C511D5">
              <w:rPr>
                <w:rFonts w:ascii="Book Antiqua" w:hAnsi="Book Antiqua"/>
              </w:rPr>
              <w:t>Abdominal pain</w:t>
            </w:r>
          </w:p>
        </w:tc>
        <w:tc>
          <w:tcPr>
            <w:tcW w:w="2250" w:type="dxa"/>
          </w:tcPr>
          <w:p w14:paraId="45E4B8EB" w14:textId="3E377271" w:rsidR="00C511D5" w:rsidRPr="00C511D5" w:rsidRDefault="00C511D5" w:rsidP="00C511D5">
            <w:pPr>
              <w:spacing w:line="360" w:lineRule="auto"/>
              <w:jc w:val="both"/>
              <w:rPr>
                <w:rFonts w:ascii="Book Antiqua" w:hAnsi="Book Antiqua"/>
              </w:rPr>
            </w:pPr>
            <w:r w:rsidRPr="00C511D5">
              <w:rPr>
                <w:rFonts w:ascii="Book Antiqua" w:hAnsi="Book Antiqua"/>
              </w:rPr>
              <w:t>10 (1.08)</w:t>
            </w:r>
          </w:p>
        </w:tc>
      </w:tr>
      <w:tr w:rsidR="00C511D5" w:rsidRPr="00C511D5" w14:paraId="7EB684D9" w14:textId="77777777" w:rsidTr="00966193">
        <w:tc>
          <w:tcPr>
            <w:tcW w:w="5845" w:type="dxa"/>
          </w:tcPr>
          <w:p w14:paraId="035C502A" w14:textId="618B56AD" w:rsidR="00C511D5" w:rsidRPr="00966193" w:rsidRDefault="00C511D5" w:rsidP="00966193">
            <w:pPr>
              <w:spacing w:line="360" w:lineRule="auto"/>
              <w:jc w:val="both"/>
              <w:rPr>
                <w:rFonts w:ascii="Book Antiqua" w:hAnsi="Book Antiqua"/>
                <w:bCs/>
              </w:rPr>
            </w:pPr>
            <w:r w:rsidRPr="00966193">
              <w:rPr>
                <w:rFonts w:ascii="Book Antiqua" w:hAnsi="Book Antiqua"/>
                <w:bCs/>
              </w:rPr>
              <w:t>Delayed Adverse events (</w:t>
            </w:r>
            <w:r w:rsidR="00966193" w:rsidRPr="00966193">
              <w:rPr>
                <w:rFonts w:ascii="Book Antiqua" w:hAnsi="Book Antiqua"/>
                <w:bCs/>
                <w:i/>
                <w:iCs/>
              </w:rPr>
              <w:t>n</w:t>
            </w:r>
            <w:r w:rsidR="00966193">
              <w:rPr>
                <w:rFonts w:ascii="Book Antiqua" w:hAnsi="Book Antiqua"/>
                <w:bCs/>
              </w:rPr>
              <w:t xml:space="preserve"> </w:t>
            </w:r>
            <w:r w:rsidRPr="00966193">
              <w:rPr>
                <w:rFonts w:ascii="Book Antiqua" w:hAnsi="Book Antiqua"/>
                <w:bCs/>
              </w:rPr>
              <w:t>=</w:t>
            </w:r>
            <w:r w:rsidR="00966193">
              <w:rPr>
                <w:rFonts w:ascii="Book Antiqua" w:hAnsi="Book Antiqua"/>
                <w:bCs/>
              </w:rPr>
              <w:t xml:space="preserve"> </w:t>
            </w:r>
            <w:r w:rsidRPr="00966193">
              <w:rPr>
                <w:rFonts w:ascii="Book Antiqua" w:hAnsi="Book Antiqua"/>
                <w:bCs/>
              </w:rPr>
              <w:t>53)</w:t>
            </w:r>
          </w:p>
        </w:tc>
        <w:tc>
          <w:tcPr>
            <w:tcW w:w="2250" w:type="dxa"/>
          </w:tcPr>
          <w:p w14:paraId="0E1CB774" w14:textId="77777777" w:rsidR="00C511D5" w:rsidRPr="00C511D5" w:rsidRDefault="00C511D5" w:rsidP="00966193">
            <w:pPr>
              <w:spacing w:line="360" w:lineRule="auto"/>
              <w:jc w:val="both"/>
              <w:rPr>
                <w:rFonts w:ascii="Book Antiqua" w:hAnsi="Book Antiqua"/>
              </w:rPr>
            </w:pPr>
          </w:p>
        </w:tc>
      </w:tr>
      <w:tr w:rsidR="00966193" w:rsidRPr="00C511D5" w14:paraId="31D3963B" w14:textId="77777777" w:rsidTr="00966193">
        <w:tc>
          <w:tcPr>
            <w:tcW w:w="5845" w:type="dxa"/>
          </w:tcPr>
          <w:p w14:paraId="174CFFB1" w14:textId="6CB4BA8D" w:rsidR="00966193" w:rsidRPr="00966193" w:rsidRDefault="00966193" w:rsidP="00966193">
            <w:pPr>
              <w:spacing w:line="360" w:lineRule="auto"/>
              <w:ind w:firstLineChars="100" w:firstLine="240"/>
              <w:jc w:val="both"/>
              <w:rPr>
                <w:rFonts w:ascii="Book Antiqua" w:hAnsi="Book Antiqua"/>
              </w:rPr>
            </w:pPr>
            <w:r w:rsidRPr="00C511D5">
              <w:rPr>
                <w:rFonts w:ascii="Book Antiqua" w:hAnsi="Book Antiqua"/>
              </w:rPr>
              <w:t>Aspiration pneumonia/hypoxia</w:t>
            </w:r>
          </w:p>
        </w:tc>
        <w:tc>
          <w:tcPr>
            <w:tcW w:w="2250" w:type="dxa"/>
          </w:tcPr>
          <w:p w14:paraId="7FF9EBAF" w14:textId="59DA5D40" w:rsidR="00966193" w:rsidRPr="00C511D5" w:rsidRDefault="00966193" w:rsidP="00C511D5">
            <w:pPr>
              <w:spacing w:line="360" w:lineRule="auto"/>
              <w:jc w:val="both"/>
              <w:rPr>
                <w:rFonts w:ascii="Book Antiqua" w:hAnsi="Book Antiqua"/>
              </w:rPr>
            </w:pPr>
            <w:r w:rsidRPr="00C511D5">
              <w:rPr>
                <w:rFonts w:ascii="Book Antiqua" w:hAnsi="Book Antiqua"/>
              </w:rPr>
              <w:t>17 (1.83)</w:t>
            </w:r>
          </w:p>
        </w:tc>
      </w:tr>
      <w:tr w:rsidR="00966193" w:rsidRPr="00C511D5" w14:paraId="5A8C4BBC" w14:textId="77777777" w:rsidTr="00966193">
        <w:tc>
          <w:tcPr>
            <w:tcW w:w="5845" w:type="dxa"/>
          </w:tcPr>
          <w:p w14:paraId="6FC0996B" w14:textId="620307FD" w:rsidR="00966193" w:rsidRPr="00966193" w:rsidRDefault="00966193" w:rsidP="00966193">
            <w:pPr>
              <w:spacing w:line="360" w:lineRule="auto"/>
              <w:ind w:firstLineChars="100" w:firstLine="240"/>
              <w:jc w:val="both"/>
              <w:rPr>
                <w:rFonts w:ascii="Book Antiqua" w:hAnsi="Book Antiqua"/>
              </w:rPr>
            </w:pPr>
            <w:r w:rsidRPr="00C511D5">
              <w:rPr>
                <w:rFonts w:ascii="Book Antiqua" w:hAnsi="Book Antiqua"/>
              </w:rPr>
              <w:t>Abdominal pain</w:t>
            </w:r>
          </w:p>
        </w:tc>
        <w:tc>
          <w:tcPr>
            <w:tcW w:w="2250" w:type="dxa"/>
          </w:tcPr>
          <w:p w14:paraId="4ACAA0EC" w14:textId="29565139" w:rsidR="00966193" w:rsidRPr="00C511D5" w:rsidRDefault="00966193" w:rsidP="00C511D5">
            <w:pPr>
              <w:spacing w:line="360" w:lineRule="auto"/>
              <w:jc w:val="both"/>
              <w:rPr>
                <w:rFonts w:ascii="Book Antiqua" w:hAnsi="Book Antiqua"/>
              </w:rPr>
            </w:pPr>
            <w:r w:rsidRPr="00C511D5">
              <w:rPr>
                <w:rFonts w:ascii="Book Antiqua" w:hAnsi="Book Antiqua"/>
              </w:rPr>
              <w:t>15 (1.61)</w:t>
            </w:r>
          </w:p>
        </w:tc>
      </w:tr>
      <w:tr w:rsidR="00966193" w:rsidRPr="00C511D5" w14:paraId="4F9D13F7" w14:textId="77777777" w:rsidTr="00966193">
        <w:tc>
          <w:tcPr>
            <w:tcW w:w="5845" w:type="dxa"/>
          </w:tcPr>
          <w:p w14:paraId="1F34D63A" w14:textId="23421E80" w:rsidR="00966193" w:rsidRPr="00966193" w:rsidRDefault="00966193" w:rsidP="00966193">
            <w:pPr>
              <w:spacing w:line="360" w:lineRule="auto"/>
              <w:ind w:firstLineChars="100" w:firstLine="240"/>
              <w:jc w:val="both"/>
              <w:rPr>
                <w:rFonts w:ascii="Book Antiqua" w:hAnsi="Book Antiqua"/>
              </w:rPr>
            </w:pPr>
            <w:r w:rsidRPr="00C511D5">
              <w:rPr>
                <w:rFonts w:ascii="Book Antiqua" w:hAnsi="Book Antiqua"/>
              </w:rPr>
              <w:t>Bleeding</w:t>
            </w:r>
          </w:p>
        </w:tc>
        <w:tc>
          <w:tcPr>
            <w:tcW w:w="2250" w:type="dxa"/>
          </w:tcPr>
          <w:p w14:paraId="490B3FD8" w14:textId="7C535072" w:rsidR="00966193" w:rsidRPr="00C511D5" w:rsidRDefault="00966193" w:rsidP="00C511D5">
            <w:pPr>
              <w:spacing w:line="360" w:lineRule="auto"/>
              <w:jc w:val="both"/>
              <w:rPr>
                <w:rFonts w:ascii="Book Antiqua" w:hAnsi="Book Antiqua"/>
              </w:rPr>
            </w:pPr>
            <w:r w:rsidRPr="00C511D5">
              <w:rPr>
                <w:rFonts w:ascii="Book Antiqua" w:hAnsi="Book Antiqua"/>
              </w:rPr>
              <w:t>4 (0.43)</w:t>
            </w:r>
          </w:p>
        </w:tc>
      </w:tr>
      <w:tr w:rsidR="00966193" w:rsidRPr="00C511D5" w14:paraId="5A3DD7BE" w14:textId="77777777" w:rsidTr="00966193">
        <w:tc>
          <w:tcPr>
            <w:tcW w:w="5845" w:type="dxa"/>
          </w:tcPr>
          <w:p w14:paraId="3029D9AE" w14:textId="3532CCB5" w:rsidR="00966193" w:rsidRPr="00966193" w:rsidRDefault="00966193" w:rsidP="00966193">
            <w:pPr>
              <w:spacing w:line="360" w:lineRule="auto"/>
              <w:ind w:firstLineChars="100" w:firstLine="240"/>
              <w:jc w:val="both"/>
              <w:rPr>
                <w:rFonts w:ascii="Book Antiqua" w:hAnsi="Book Antiqua"/>
              </w:rPr>
            </w:pPr>
            <w:r w:rsidRPr="00C511D5">
              <w:rPr>
                <w:rFonts w:ascii="Book Antiqua" w:hAnsi="Book Antiqua"/>
              </w:rPr>
              <w:t>Fever</w:t>
            </w:r>
          </w:p>
        </w:tc>
        <w:tc>
          <w:tcPr>
            <w:tcW w:w="2250" w:type="dxa"/>
          </w:tcPr>
          <w:p w14:paraId="5090B35D" w14:textId="57035077" w:rsidR="00966193" w:rsidRPr="00C511D5" w:rsidRDefault="00966193" w:rsidP="00C511D5">
            <w:pPr>
              <w:spacing w:line="360" w:lineRule="auto"/>
              <w:jc w:val="both"/>
              <w:rPr>
                <w:rFonts w:ascii="Book Antiqua" w:hAnsi="Book Antiqua"/>
              </w:rPr>
            </w:pPr>
            <w:r w:rsidRPr="00C511D5">
              <w:rPr>
                <w:rFonts w:ascii="Book Antiqua" w:hAnsi="Book Antiqua"/>
              </w:rPr>
              <w:t>7 (0.75)</w:t>
            </w:r>
          </w:p>
        </w:tc>
      </w:tr>
      <w:tr w:rsidR="00966193" w:rsidRPr="00C511D5" w14:paraId="4C2EC9A8" w14:textId="77777777" w:rsidTr="00966193">
        <w:tc>
          <w:tcPr>
            <w:tcW w:w="5845" w:type="dxa"/>
          </w:tcPr>
          <w:p w14:paraId="6CBE8A29" w14:textId="429486C7" w:rsidR="00966193" w:rsidRPr="00966193" w:rsidRDefault="00966193" w:rsidP="00966193">
            <w:pPr>
              <w:spacing w:line="360" w:lineRule="auto"/>
              <w:ind w:firstLineChars="100" w:firstLine="240"/>
              <w:jc w:val="both"/>
              <w:rPr>
                <w:rFonts w:ascii="Book Antiqua" w:hAnsi="Book Antiqua"/>
              </w:rPr>
            </w:pPr>
            <w:r w:rsidRPr="00C511D5">
              <w:rPr>
                <w:rFonts w:ascii="Book Antiqua" w:hAnsi="Book Antiqua"/>
              </w:rPr>
              <w:t>Perforation</w:t>
            </w:r>
          </w:p>
        </w:tc>
        <w:tc>
          <w:tcPr>
            <w:tcW w:w="2250" w:type="dxa"/>
          </w:tcPr>
          <w:p w14:paraId="64C74855" w14:textId="04CCDF05" w:rsidR="00966193" w:rsidRPr="00C511D5" w:rsidRDefault="00966193" w:rsidP="00C511D5">
            <w:pPr>
              <w:spacing w:line="360" w:lineRule="auto"/>
              <w:jc w:val="both"/>
              <w:rPr>
                <w:rFonts w:ascii="Book Antiqua" w:hAnsi="Book Antiqua"/>
              </w:rPr>
            </w:pPr>
            <w:r w:rsidRPr="00C511D5">
              <w:rPr>
                <w:rFonts w:ascii="Book Antiqua" w:hAnsi="Book Antiqua"/>
              </w:rPr>
              <w:t>3 (0.32)</w:t>
            </w:r>
          </w:p>
        </w:tc>
      </w:tr>
      <w:tr w:rsidR="00966193" w:rsidRPr="00C511D5" w14:paraId="5BF3F52C" w14:textId="77777777" w:rsidTr="00966193">
        <w:tc>
          <w:tcPr>
            <w:tcW w:w="5845" w:type="dxa"/>
            <w:tcBorders>
              <w:bottom w:val="single" w:sz="4" w:space="0" w:color="auto"/>
            </w:tcBorders>
          </w:tcPr>
          <w:p w14:paraId="2C0AA8A6" w14:textId="2C943B37" w:rsidR="00966193" w:rsidRPr="00966193" w:rsidRDefault="00966193" w:rsidP="00966193">
            <w:pPr>
              <w:spacing w:line="360" w:lineRule="auto"/>
              <w:ind w:firstLineChars="100" w:firstLine="240"/>
              <w:jc w:val="both"/>
              <w:rPr>
                <w:rFonts w:ascii="Book Antiqua" w:hAnsi="Book Antiqua"/>
              </w:rPr>
            </w:pPr>
            <w:r w:rsidRPr="00C511D5">
              <w:rPr>
                <w:rFonts w:ascii="Book Antiqua" w:hAnsi="Book Antiqua"/>
              </w:rPr>
              <w:t>Chest pain</w:t>
            </w:r>
          </w:p>
        </w:tc>
        <w:tc>
          <w:tcPr>
            <w:tcW w:w="2250" w:type="dxa"/>
            <w:tcBorders>
              <w:bottom w:val="single" w:sz="4" w:space="0" w:color="auto"/>
            </w:tcBorders>
          </w:tcPr>
          <w:p w14:paraId="2FF4C345" w14:textId="4DB07031" w:rsidR="00966193" w:rsidRPr="00C511D5" w:rsidRDefault="00966193" w:rsidP="00C511D5">
            <w:pPr>
              <w:spacing w:line="360" w:lineRule="auto"/>
              <w:jc w:val="both"/>
              <w:rPr>
                <w:rFonts w:ascii="Book Antiqua" w:hAnsi="Book Antiqua"/>
              </w:rPr>
            </w:pPr>
            <w:r w:rsidRPr="00C511D5">
              <w:rPr>
                <w:rFonts w:ascii="Book Antiqua" w:hAnsi="Book Antiqua"/>
              </w:rPr>
              <w:t>6 (0.65)</w:t>
            </w:r>
          </w:p>
        </w:tc>
      </w:tr>
    </w:tbl>
    <w:p w14:paraId="20D91943" w14:textId="407A3075" w:rsidR="00966193" w:rsidRDefault="00966193">
      <w:pPr>
        <w:spacing w:line="360" w:lineRule="auto"/>
        <w:jc w:val="both"/>
        <w:rPr>
          <w:rFonts w:ascii="Book Antiqua" w:hAnsi="Book Antiqua"/>
          <w:b/>
          <w:bCs/>
        </w:rPr>
      </w:pPr>
    </w:p>
    <w:p w14:paraId="5AF33D0E" w14:textId="17FDCFD9" w:rsidR="00C511D5" w:rsidRDefault="00966193">
      <w:pPr>
        <w:spacing w:line="360" w:lineRule="auto"/>
        <w:jc w:val="both"/>
        <w:rPr>
          <w:rFonts w:ascii="Book Antiqua" w:hAnsi="Book Antiqua"/>
          <w:b/>
          <w:bCs/>
        </w:rPr>
      </w:pPr>
      <w:r>
        <w:rPr>
          <w:rFonts w:ascii="Book Antiqua" w:hAnsi="Book Antiqua"/>
          <w:b/>
          <w:bCs/>
        </w:rPr>
        <w:br w:type="page"/>
      </w:r>
      <w:r w:rsidRPr="00966193">
        <w:rPr>
          <w:rFonts w:ascii="Book Antiqua" w:hAnsi="Book Antiqua"/>
          <w:b/>
          <w:bCs/>
        </w:rPr>
        <w:lastRenderedPageBreak/>
        <w:t>Table 3</w:t>
      </w:r>
      <w:r>
        <w:rPr>
          <w:rFonts w:ascii="Book Antiqua" w:hAnsi="Book Antiqua"/>
          <w:b/>
          <w:bCs/>
        </w:rPr>
        <w:t xml:space="preserve"> </w:t>
      </w:r>
      <w:r w:rsidRPr="00966193">
        <w:rPr>
          <w:rFonts w:ascii="Book Antiqua" w:hAnsi="Book Antiqua"/>
          <w:b/>
          <w:bCs/>
        </w:rPr>
        <w:t>Comparison of adverse event rates and hospitalization rates</w:t>
      </w:r>
    </w:p>
    <w:tbl>
      <w:tblPr>
        <w:tblStyle w:val="TableGrid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1922"/>
        <w:gridCol w:w="987"/>
        <w:gridCol w:w="2549"/>
        <w:gridCol w:w="1221"/>
      </w:tblGrid>
      <w:tr w:rsidR="00966193" w:rsidRPr="00966193" w14:paraId="3CE689C8" w14:textId="77777777" w:rsidTr="002115B8">
        <w:trPr>
          <w:trHeight w:val="620"/>
        </w:trPr>
        <w:tc>
          <w:tcPr>
            <w:tcW w:w="2785" w:type="dxa"/>
            <w:tcBorders>
              <w:top w:val="single" w:sz="4" w:space="0" w:color="auto"/>
              <w:bottom w:val="single" w:sz="4" w:space="0" w:color="auto"/>
            </w:tcBorders>
          </w:tcPr>
          <w:p w14:paraId="3A3CA4C4" w14:textId="77777777" w:rsidR="00966193" w:rsidRPr="00966193" w:rsidRDefault="00966193" w:rsidP="00966193">
            <w:pPr>
              <w:spacing w:line="360" w:lineRule="auto"/>
              <w:jc w:val="both"/>
              <w:rPr>
                <w:rFonts w:ascii="Book Antiqua" w:hAnsi="Book Antiqua" w:cs="Times New Roman"/>
                <w:b/>
              </w:rPr>
            </w:pPr>
            <w:r w:rsidRPr="00966193">
              <w:rPr>
                <w:rFonts w:ascii="Book Antiqua" w:hAnsi="Book Antiqua" w:cs="Times New Roman"/>
                <w:b/>
              </w:rPr>
              <w:t>Variable</w:t>
            </w:r>
          </w:p>
        </w:tc>
        <w:tc>
          <w:tcPr>
            <w:tcW w:w="1922" w:type="dxa"/>
            <w:tcBorders>
              <w:top w:val="single" w:sz="4" w:space="0" w:color="auto"/>
              <w:bottom w:val="single" w:sz="4" w:space="0" w:color="auto"/>
            </w:tcBorders>
          </w:tcPr>
          <w:p w14:paraId="1655AA26" w14:textId="6CC316C5" w:rsidR="00966193" w:rsidRPr="00966193" w:rsidRDefault="00966193" w:rsidP="00966193">
            <w:pPr>
              <w:spacing w:line="360" w:lineRule="auto"/>
              <w:jc w:val="both"/>
              <w:rPr>
                <w:rFonts w:ascii="Book Antiqua" w:hAnsi="Book Antiqua" w:cs="Times New Roman"/>
                <w:b/>
              </w:rPr>
            </w:pPr>
            <w:r w:rsidRPr="00966193">
              <w:rPr>
                <w:rFonts w:ascii="Book Antiqua" w:hAnsi="Book Antiqua" w:cs="Times New Roman"/>
                <w:b/>
              </w:rPr>
              <w:t>Adverse event (</w:t>
            </w:r>
            <w:r w:rsidRPr="00966193">
              <w:rPr>
                <w:rFonts w:ascii="Book Antiqua" w:hAnsi="Book Antiqua" w:cs="Times New Roman"/>
                <w:b/>
                <w:i/>
                <w:iCs/>
              </w:rPr>
              <w:t>n</w:t>
            </w:r>
            <w:r>
              <w:rPr>
                <w:rFonts w:ascii="Book Antiqua" w:hAnsi="Book Antiqua" w:cs="Times New Roman"/>
                <w:b/>
                <w:i/>
                <w:iCs/>
              </w:rPr>
              <w:t xml:space="preserve"> </w:t>
            </w:r>
            <w:r w:rsidRPr="00966193">
              <w:rPr>
                <w:rFonts w:ascii="Book Antiqua" w:hAnsi="Book Antiqua" w:cs="Times New Roman"/>
                <w:b/>
              </w:rPr>
              <w:t>=</w:t>
            </w:r>
            <w:r>
              <w:rPr>
                <w:rFonts w:ascii="Book Antiqua" w:hAnsi="Book Antiqua" w:cs="Times New Roman"/>
                <w:b/>
              </w:rPr>
              <w:t xml:space="preserve"> </w:t>
            </w:r>
            <w:r w:rsidRPr="00966193">
              <w:rPr>
                <w:rFonts w:ascii="Book Antiqua" w:hAnsi="Book Antiqua" w:cs="Times New Roman"/>
                <w:b/>
              </w:rPr>
              <w:t>151),</w:t>
            </w:r>
            <w:r>
              <w:rPr>
                <w:rFonts w:ascii="Book Antiqua" w:hAnsi="Book Antiqua" w:cs="Times New Roman"/>
                <w:b/>
              </w:rPr>
              <w:t xml:space="preserve"> </w:t>
            </w:r>
            <w:r w:rsidRPr="00966193">
              <w:rPr>
                <w:rFonts w:ascii="Book Antiqua" w:hAnsi="Book Antiqua" w:cs="Times New Roman"/>
                <w:b/>
                <w:i/>
                <w:iCs/>
              </w:rPr>
              <w:t>n</w:t>
            </w:r>
            <w:r w:rsidRPr="00966193">
              <w:rPr>
                <w:rFonts w:ascii="Book Antiqua" w:hAnsi="Book Antiqua" w:cs="Times New Roman"/>
                <w:b/>
              </w:rPr>
              <w:t xml:space="preserve"> (%)</w:t>
            </w:r>
          </w:p>
        </w:tc>
        <w:tc>
          <w:tcPr>
            <w:tcW w:w="987" w:type="dxa"/>
            <w:tcBorders>
              <w:top w:val="single" w:sz="4" w:space="0" w:color="auto"/>
              <w:bottom w:val="single" w:sz="4" w:space="0" w:color="auto"/>
            </w:tcBorders>
          </w:tcPr>
          <w:p w14:paraId="6F6D2D0C" w14:textId="46D0FCA7" w:rsidR="00966193" w:rsidRPr="00966193" w:rsidRDefault="00966193" w:rsidP="00966193">
            <w:pPr>
              <w:spacing w:line="360" w:lineRule="auto"/>
              <w:jc w:val="both"/>
              <w:rPr>
                <w:rFonts w:ascii="Book Antiqua" w:hAnsi="Book Antiqua" w:cs="Times New Roman"/>
                <w:b/>
              </w:rPr>
            </w:pPr>
            <w:r w:rsidRPr="00966193">
              <w:rPr>
                <w:rFonts w:ascii="Book Antiqua" w:hAnsi="Book Antiqua" w:cs="Times New Roman"/>
                <w:b/>
                <w:i/>
                <w:iCs/>
              </w:rPr>
              <w:t>P</w:t>
            </w:r>
            <w:r>
              <w:rPr>
                <w:rFonts w:ascii="Book Antiqua" w:hAnsi="Book Antiqua" w:cs="Times New Roman"/>
                <w:b/>
              </w:rPr>
              <w:t xml:space="preserve"> </w:t>
            </w:r>
            <w:r w:rsidRPr="00966193">
              <w:rPr>
                <w:rFonts w:ascii="Book Antiqua" w:hAnsi="Book Antiqua" w:cs="Times New Roman"/>
                <w:b/>
              </w:rPr>
              <w:t>value</w:t>
            </w:r>
          </w:p>
        </w:tc>
        <w:tc>
          <w:tcPr>
            <w:tcW w:w="2549" w:type="dxa"/>
            <w:tcBorders>
              <w:top w:val="single" w:sz="4" w:space="0" w:color="auto"/>
              <w:bottom w:val="single" w:sz="4" w:space="0" w:color="auto"/>
            </w:tcBorders>
          </w:tcPr>
          <w:p w14:paraId="4A6E6610" w14:textId="4938C9C6" w:rsidR="00966193" w:rsidRPr="00966193" w:rsidRDefault="00966193" w:rsidP="00966193">
            <w:pPr>
              <w:spacing w:line="360" w:lineRule="auto"/>
              <w:jc w:val="both"/>
              <w:rPr>
                <w:rFonts w:ascii="Book Antiqua" w:hAnsi="Book Antiqua" w:cs="Times New Roman"/>
                <w:b/>
              </w:rPr>
            </w:pPr>
            <w:r w:rsidRPr="00966193">
              <w:rPr>
                <w:rFonts w:ascii="Book Antiqua" w:hAnsi="Book Antiqua" w:cs="Times New Roman"/>
                <w:b/>
              </w:rPr>
              <w:t>Hospitalization (</w:t>
            </w:r>
            <w:r w:rsidRPr="00966193">
              <w:rPr>
                <w:rFonts w:ascii="Book Antiqua" w:hAnsi="Book Antiqua" w:cs="Times New Roman"/>
                <w:b/>
                <w:i/>
                <w:iCs/>
              </w:rPr>
              <w:t>n</w:t>
            </w:r>
            <w:r w:rsidRPr="00966193">
              <w:rPr>
                <w:rFonts w:ascii="Book Antiqua" w:hAnsi="Book Antiqua" w:cs="Times New Roman"/>
                <w:b/>
              </w:rPr>
              <w:t xml:space="preserve"> =</w:t>
            </w:r>
            <w:r>
              <w:rPr>
                <w:rFonts w:ascii="Book Antiqua" w:hAnsi="Book Antiqua" w:cs="Times New Roman"/>
                <w:b/>
              </w:rPr>
              <w:t xml:space="preserve"> </w:t>
            </w:r>
            <w:r w:rsidRPr="00966193">
              <w:rPr>
                <w:rFonts w:ascii="Book Antiqua" w:hAnsi="Book Antiqua" w:cs="Times New Roman"/>
                <w:b/>
              </w:rPr>
              <w:t>374),</w:t>
            </w:r>
            <w:r>
              <w:rPr>
                <w:rFonts w:ascii="Book Antiqua" w:hAnsi="Book Antiqua" w:cs="Times New Roman"/>
                <w:b/>
              </w:rPr>
              <w:t xml:space="preserve"> </w:t>
            </w:r>
            <w:r w:rsidRPr="00966193">
              <w:rPr>
                <w:rFonts w:ascii="Book Antiqua" w:hAnsi="Book Antiqua" w:cs="Times New Roman"/>
                <w:b/>
                <w:i/>
                <w:iCs/>
              </w:rPr>
              <w:t>n</w:t>
            </w:r>
            <w:r w:rsidRPr="00966193">
              <w:rPr>
                <w:rFonts w:ascii="Book Antiqua" w:hAnsi="Book Antiqua" w:cs="Times New Roman"/>
                <w:b/>
              </w:rPr>
              <w:t xml:space="preserve"> (%)</w:t>
            </w:r>
          </w:p>
        </w:tc>
        <w:tc>
          <w:tcPr>
            <w:tcW w:w="1221" w:type="dxa"/>
            <w:tcBorders>
              <w:top w:val="single" w:sz="4" w:space="0" w:color="auto"/>
              <w:bottom w:val="single" w:sz="4" w:space="0" w:color="auto"/>
            </w:tcBorders>
          </w:tcPr>
          <w:p w14:paraId="084E3F7E" w14:textId="79A5BB7E" w:rsidR="00966193" w:rsidRPr="00966193" w:rsidRDefault="00966193" w:rsidP="00966193">
            <w:pPr>
              <w:spacing w:line="360" w:lineRule="auto"/>
              <w:jc w:val="both"/>
              <w:rPr>
                <w:rFonts w:ascii="Book Antiqua" w:hAnsi="Book Antiqua" w:cs="Times New Roman"/>
                <w:b/>
              </w:rPr>
            </w:pPr>
            <w:r w:rsidRPr="00966193">
              <w:rPr>
                <w:rFonts w:ascii="Book Antiqua" w:hAnsi="Book Antiqua" w:cs="Times New Roman"/>
                <w:b/>
                <w:i/>
                <w:iCs/>
              </w:rPr>
              <w:t>P</w:t>
            </w:r>
            <w:r>
              <w:rPr>
                <w:rFonts w:ascii="Book Antiqua" w:hAnsi="Book Antiqua" w:cs="Times New Roman"/>
                <w:b/>
              </w:rPr>
              <w:t xml:space="preserve"> </w:t>
            </w:r>
            <w:r w:rsidRPr="00966193">
              <w:rPr>
                <w:rFonts w:ascii="Book Antiqua" w:hAnsi="Book Antiqua" w:cs="Times New Roman"/>
                <w:b/>
              </w:rPr>
              <w:t>value</w:t>
            </w:r>
          </w:p>
        </w:tc>
      </w:tr>
      <w:tr w:rsidR="00966193" w:rsidRPr="00966193" w14:paraId="69CC67D8" w14:textId="77777777" w:rsidTr="002115B8">
        <w:tc>
          <w:tcPr>
            <w:tcW w:w="2785" w:type="dxa"/>
            <w:tcBorders>
              <w:top w:val="single" w:sz="4" w:space="0" w:color="auto"/>
            </w:tcBorders>
          </w:tcPr>
          <w:p w14:paraId="49E5F72A" w14:textId="68041480" w:rsidR="00966193" w:rsidRPr="00966193" w:rsidRDefault="00966193" w:rsidP="00966193">
            <w:pPr>
              <w:spacing w:line="360" w:lineRule="auto"/>
              <w:jc w:val="both"/>
              <w:rPr>
                <w:rFonts w:ascii="Book Antiqua" w:hAnsi="Book Antiqua" w:cs="Times New Roman"/>
                <w:bCs/>
              </w:rPr>
            </w:pPr>
            <w:r w:rsidRPr="00966193">
              <w:rPr>
                <w:rFonts w:ascii="Book Antiqua" w:hAnsi="Book Antiqua" w:cs="Times New Roman"/>
                <w:bCs/>
              </w:rPr>
              <w:t>Type of anesthesia</w:t>
            </w:r>
          </w:p>
        </w:tc>
        <w:tc>
          <w:tcPr>
            <w:tcW w:w="1922" w:type="dxa"/>
            <w:tcBorders>
              <w:top w:val="single" w:sz="4" w:space="0" w:color="auto"/>
            </w:tcBorders>
          </w:tcPr>
          <w:p w14:paraId="4C02B446" w14:textId="7F936DAE" w:rsidR="00966193" w:rsidRPr="00966193" w:rsidRDefault="00966193" w:rsidP="00966193">
            <w:pPr>
              <w:spacing w:line="360" w:lineRule="auto"/>
              <w:jc w:val="both"/>
              <w:rPr>
                <w:rFonts w:ascii="Book Antiqua" w:hAnsi="Book Antiqua" w:cs="Times New Roman"/>
              </w:rPr>
            </w:pPr>
          </w:p>
        </w:tc>
        <w:tc>
          <w:tcPr>
            <w:tcW w:w="987" w:type="dxa"/>
            <w:tcBorders>
              <w:top w:val="single" w:sz="4" w:space="0" w:color="auto"/>
            </w:tcBorders>
          </w:tcPr>
          <w:p w14:paraId="61542530" w14:textId="55E39DBA" w:rsidR="00966193" w:rsidRPr="00966193" w:rsidRDefault="00966193" w:rsidP="00966193">
            <w:pPr>
              <w:spacing w:line="360" w:lineRule="auto"/>
              <w:jc w:val="both"/>
              <w:rPr>
                <w:rFonts w:ascii="Book Antiqua" w:hAnsi="Book Antiqua" w:cs="Times New Roman"/>
              </w:rPr>
            </w:pPr>
          </w:p>
        </w:tc>
        <w:tc>
          <w:tcPr>
            <w:tcW w:w="2549" w:type="dxa"/>
            <w:tcBorders>
              <w:top w:val="single" w:sz="4" w:space="0" w:color="auto"/>
            </w:tcBorders>
          </w:tcPr>
          <w:p w14:paraId="24ECD19E" w14:textId="1826C99B" w:rsidR="00966193" w:rsidRPr="00966193" w:rsidRDefault="00966193" w:rsidP="00966193">
            <w:pPr>
              <w:spacing w:line="360" w:lineRule="auto"/>
              <w:jc w:val="both"/>
              <w:rPr>
                <w:rFonts w:ascii="Book Antiqua" w:hAnsi="Book Antiqua" w:cs="Times New Roman"/>
              </w:rPr>
            </w:pPr>
          </w:p>
        </w:tc>
        <w:tc>
          <w:tcPr>
            <w:tcW w:w="1221" w:type="dxa"/>
            <w:tcBorders>
              <w:top w:val="single" w:sz="4" w:space="0" w:color="auto"/>
            </w:tcBorders>
          </w:tcPr>
          <w:p w14:paraId="217D9511" w14:textId="2310FB67" w:rsidR="00966193" w:rsidRPr="00966193" w:rsidRDefault="00966193" w:rsidP="00966193">
            <w:pPr>
              <w:spacing w:line="360" w:lineRule="auto"/>
              <w:jc w:val="both"/>
              <w:rPr>
                <w:rFonts w:ascii="Book Antiqua" w:hAnsi="Book Antiqua" w:cs="Times New Roman"/>
              </w:rPr>
            </w:pPr>
          </w:p>
        </w:tc>
      </w:tr>
      <w:tr w:rsidR="00966193" w:rsidRPr="00966193" w14:paraId="48CEFD5A" w14:textId="77777777" w:rsidTr="002115B8">
        <w:tc>
          <w:tcPr>
            <w:tcW w:w="2785" w:type="dxa"/>
          </w:tcPr>
          <w:p w14:paraId="79314E44" w14:textId="67E86A8D" w:rsidR="00966193" w:rsidRPr="00966193" w:rsidRDefault="00966193" w:rsidP="00966193">
            <w:pPr>
              <w:spacing w:line="360" w:lineRule="auto"/>
              <w:ind w:firstLineChars="100" w:firstLine="240"/>
              <w:jc w:val="both"/>
              <w:rPr>
                <w:rFonts w:ascii="Book Antiqua" w:hAnsi="Book Antiqua" w:cs="Times New Roman"/>
              </w:rPr>
            </w:pPr>
            <w:r w:rsidRPr="00966193">
              <w:rPr>
                <w:rFonts w:ascii="Book Antiqua" w:hAnsi="Book Antiqua" w:cs="Times New Roman"/>
              </w:rPr>
              <w:t>Conscious sedation</w:t>
            </w:r>
          </w:p>
        </w:tc>
        <w:tc>
          <w:tcPr>
            <w:tcW w:w="1922" w:type="dxa"/>
          </w:tcPr>
          <w:p w14:paraId="73947884" w14:textId="7BFA231D" w:rsidR="00966193" w:rsidRPr="00966193" w:rsidRDefault="00966193" w:rsidP="00966193">
            <w:pPr>
              <w:spacing w:line="360" w:lineRule="auto"/>
              <w:jc w:val="both"/>
              <w:rPr>
                <w:rFonts w:ascii="Book Antiqua" w:hAnsi="Book Antiqua" w:cs="Times New Roman"/>
              </w:rPr>
            </w:pPr>
            <w:r w:rsidRPr="00966193">
              <w:rPr>
                <w:rFonts w:ascii="Book Antiqua" w:hAnsi="Book Antiqua" w:cs="Times New Roman"/>
              </w:rPr>
              <w:t>52 (14.73)</w:t>
            </w:r>
          </w:p>
        </w:tc>
        <w:tc>
          <w:tcPr>
            <w:tcW w:w="987" w:type="dxa"/>
          </w:tcPr>
          <w:p w14:paraId="21E05CDC" w14:textId="4E4DCA03" w:rsidR="00966193" w:rsidRPr="00966193" w:rsidRDefault="00966193" w:rsidP="00966193">
            <w:pPr>
              <w:spacing w:line="360" w:lineRule="auto"/>
              <w:jc w:val="both"/>
              <w:rPr>
                <w:rFonts w:ascii="Book Antiqua" w:hAnsi="Book Antiqua"/>
              </w:rPr>
            </w:pPr>
            <w:r w:rsidRPr="00966193">
              <w:rPr>
                <w:rFonts w:ascii="Book Antiqua" w:hAnsi="Book Antiqua" w:cs="Times New Roman"/>
              </w:rPr>
              <w:t>0.1902</w:t>
            </w:r>
          </w:p>
        </w:tc>
        <w:tc>
          <w:tcPr>
            <w:tcW w:w="2549" w:type="dxa"/>
          </w:tcPr>
          <w:p w14:paraId="375735F8" w14:textId="530533AB" w:rsidR="00966193" w:rsidRPr="00966193" w:rsidRDefault="00966193" w:rsidP="00966193">
            <w:pPr>
              <w:spacing w:line="360" w:lineRule="auto"/>
              <w:ind w:right="120"/>
              <w:jc w:val="both"/>
              <w:rPr>
                <w:rFonts w:ascii="Book Antiqua" w:hAnsi="Book Antiqua" w:cs="Times New Roman"/>
              </w:rPr>
            </w:pPr>
            <w:r w:rsidRPr="00966193">
              <w:rPr>
                <w:rFonts w:ascii="Book Antiqua" w:hAnsi="Book Antiqua" w:cs="Times New Roman"/>
              </w:rPr>
              <w:t>87</w:t>
            </w:r>
            <w:r>
              <w:rPr>
                <w:rFonts w:ascii="Book Antiqua" w:hAnsi="Book Antiqua" w:cs="Times New Roman"/>
              </w:rPr>
              <w:t xml:space="preserve"> </w:t>
            </w:r>
            <w:r w:rsidRPr="00966193">
              <w:rPr>
                <w:rFonts w:ascii="Book Antiqua" w:hAnsi="Book Antiqua" w:cs="Times New Roman"/>
              </w:rPr>
              <w:t>(25.44)</w:t>
            </w:r>
          </w:p>
        </w:tc>
        <w:tc>
          <w:tcPr>
            <w:tcW w:w="1221" w:type="dxa"/>
          </w:tcPr>
          <w:p w14:paraId="27BE40F7" w14:textId="46171D41" w:rsidR="00966193" w:rsidRPr="00966193" w:rsidRDefault="00966193" w:rsidP="00966193">
            <w:pPr>
              <w:spacing w:line="360" w:lineRule="auto"/>
              <w:jc w:val="both"/>
              <w:rPr>
                <w:rFonts w:ascii="Book Antiqua" w:hAnsi="Book Antiqua"/>
              </w:rPr>
            </w:pPr>
            <w:r w:rsidRPr="00966193">
              <w:rPr>
                <w:rFonts w:ascii="Book Antiqua" w:hAnsi="Book Antiqua" w:cs="Times New Roman"/>
              </w:rPr>
              <w:t>&lt;</w:t>
            </w:r>
            <w:r>
              <w:rPr>
                <w:rFonts w:ascii="Book Antiqua" w:hAnsi="Book Antiqua" w:cs="Times New Roman"/>
              </w:rPr>
              <w:t xml:space="preserve"> </w:t>
            </w:r>
            <w:r w:rsidRPr="00966193">
              <w:rPr>
                <w:rFonts w:ascii="Book Antiqua" w:hAnsi="Book Antiqua" w:cs="Times New Roman"/>
              </w:rPr>
              <w:t>0.0001</w:t>
            </w:r>
          </w:p>
        </w:tc>
      </w:tr>
      <w:tr w:rsidR="00966193" w:rsidRPr="00966193" w14:paraId="0C713BD7" w14:textId="77777777" w:rsidTr="002115B8">
        <w:tc>
          <w:tcPr>
            <w:tcW w:w="2785" w:type="dxa"/>
          </w:tcPr>
          <w:p w14:paraId="6BD81D86" w14:textId="22BA234F" w:rsidR="00966193" w:rsidRPr="00966193" w:rsidRDefault="00966193" w:rsidP="00966193">
            <w:pPr>
              <w:spacing w:line="360" w:lineRule="auto"/>
              <w:ind w:firstLineChars="100" w:firstLine="240"/>
              <w:jc w:val="both"/>
              <w:rPr>
                <w:rFonts w:ascii="Book Antiqua" w:hAnsi="Book Antiqua" w:cs="Times New Roman"/>
              </w:rPr>
            </w:pPr>
            <w:r w:rsidRPr="00966193">
              <w:rPr>
                <w:rFonts w:ascii="Book Antiqua" w:hAnsi="Book Antiqua" w:cs="Times New Roman"/>
              </w:rPr>
              <w:t>MAC</w:t>
            </w:r>
          </w:p>
        </w:tc>
        <w:tc>
          <w:tcPr>
            <w:tcW w:w="1922" w:type="dxa"/>
          </w:tcPr>
          <w:p w14:paraId="5CF17C76" w14:textId="59E94332" w:rsidR="00966193" w:rsidRPr="00966193" w:rsidRDefault="00966193" w:rsidP="00966193">
            <w:pPr>
              <w:spacing w:line="360" w:lineRule="auto"/>
              <w:jc w:val="both"/>
              <w:rPr>
                <w:rFonts w:ascii="Book Antiqua" w:hAnsi="Book Antiqua" w:cs="Times New Roman"/>
              </w:rPr>
            </w:pPr>
            <w:r w:rsidRPr="00966193">
              <w:rPr>
                <w:rFonts w:ascii="Book Antiqua" w:hAnsi="Book Antiqua" w:cs="Times New Roman"/>
              </w:rPr>
              <w:t>41 (14.75)</w:t>
            </w:r>
          </w:p>
        </w:tc>
        <w:tc>
          <w:tcPr>
            <w:tcW w:w="987" w:type="dxa"/>
          </w:tcPr>
          <w:p w14:paraId="3740B287" w14:textId="77777777" w:rsidR="00966193" w:rsidRPr="00966193" w:rsidRDefault="00966193" w:rsidP="00966193">
            <w:pPr>
              <w:spacing w:line="360" w:lineRule="auto"/>
              <w:jc w:val="both"/>
              <w:rPr>
                <w:rFonts w:ascii="Book Antiqua" w:hAnsi="Book Antiqua"/>
              </w:rPr>
            </w:pPr>
          </w:p>
        </w:tc>
        <w:tc>
          <w:tcPr>
            <w:tcW w:w="2549" w:type="dxa"/>
          </w:tcPr>
          <w:p w14:paraId="480DC1F4" w14:textId="099C03F6" w:rsidR="00966193" w:rsidRPr="00966193" w:rsidRDefault="00966193" w:rsidP="00966193">
            <w:pPr>
              <w:spacing w:line="360" w:lineRule="auto"/>
              <w:jc w:val="both"/>
              <w:rPr>
                <w:rFonts w:ascii="Book Antiqua" w:hAnsi="Book Antiqua" w:cs="Times New Roman"/>
              </w:rPr>
            </w:pPr>
            <w:r w:rsidRPr="00966193">
              <w:rPr>
                <w:rFonts w:ascii="Book Antiqua" w:hAnsi="Book Antiqua" w:cs="Times New Roman"/>
              </w:rPr>
              <w:t>142</w:t>
            </w:r>
            <w:r>
              <w:rPr>
                <w:rFonts w:ascii="Book Antiqua" w:hAnsi="Book Antiqua" w:cs="Times New Roman"/>
              </w:rPr>
              <w:t xml:space="preserve"> </w:t>
            </w:r>
            <w:r w:rsidRPr="00966193">
              <w:rPr>
                <w:rFonts w:ascii="Book Antiqua" w:hAnsi="Book Antiqua" w:cs="Times New Roman"/>
              </w:rPr>
              <w:t>(51.45)</w:t>
            </w:r>
          </w:p>
        </w:tc>
        <w:tc>
          <w:tcPr>
            <w:tcW w:w="1221" w:type="dxa"/>
          </w:tcPr>
          <w:p w14:paraId="52D69078" w14:textId="77777777" w:rsidR="00966193" w:rsidRPr="00966193" w:rsidRDefault="00966193" w:rsidP="00966193">
            <w:pPr>
              <w:spacing w:line="360" w:lineRule="auto"/>
              <w:jc w:val="both"/>
              <w:rPr>
                <w:rFonts w:ascii="Book Antiqua" w:hAnsi="Book Antiqua"/>
              </w:rPr>
            </w:pPr>
          </w:p>
        </w:tc>
      </w:tr>
      <w:tr w:rsidR="00966193" w:rsidRPr="00966193" w14:paraId="3885F19A" w14:textId="77777777" w:rsidTr="002115B8">
        <w:tc>
          <w:tcPr>
            <w:tcW w:w="2785" w:type="dxa"/>
          </w:tcPr>
          <w:p w14:paraId="0B92F4EA" w14:textId="44C83094" w:rsidR="00966193" w:rsidRPr="00966193" w:rsidRDefault="00966193" w:rsidP="00966193">
            <w:pPr>
              <w:spacing w:line="360" w:lineRule="auto"/>
              <w:ind w:firstLineChars="100" w:firstLine="240"/>
              <w:jc w:val="both"/>
              <w:rPr>
                <w:rFonts w:ascii="Book Antiqua" w:hAnsi="Book Antiqua"/>
                <w:b/>
              </w:rPr>
            </w:pPr>
            <w:r w:rsidRPr="00966193">
              <w:rPr>
                <w:rFonts w:ascii="Book Antiqua" w:hAnsi="Book Antiqua" w:cs="Times New Roman"/>
              </w:rPr>
              <w:t>General anesthesia</w:t>
            </w:r>
          </w:p>
        </w:tc>
        <w:tc>
          <w:tcPr>
            <w:tcW w:w="1922" w:type="dxa"/>
          </w:tcPr>
          <w:p w14:paraId="1FCA6663" w14:textId="133D4B98" w:rsidR="00966193" w:rsidRPr="00966193" w:rsidRDefault="00966193" w:rsidP="00966193">
            <w:pPr>
              <w:spacing w:line="360" w:lineRule="auto"/>
              <w:jc w:val="both"/>
              <w:rPr>
                <w:rFonts w:ascii="Book Antiqua" w:hAnsi="Book Antiqua"/>
              </w:rPr>
            </w:pPr>
            <w:r w:rsidRPr="00966193">
              <w:rPr>
                <w:rFonts w:ascii="Book Antiqua" w:hAnsi="Book Antiqua" w:cs="Times New Roman"/>
              </w:rPr>
              <w:t>58 (19.46)</w:t>
            </w:r>
          </w:p>
        </w:tc>
        <w:tc>
          <w:tcPr>
            <w:tcW w:w="987" w:type="dxa"/>
          </w:tcPr>
          <w:p w14:paraId="32C6B257" w14:textId="77777777" w:rsidR="00966193" w:rsidRPr="00966193" w:rsidRDefault="00966193" w:rsidP="00966193">
            <w:pPr>
              <w:spacing w:line="360" w:lineRule="auto"/>
              <w:jc w:val="both"/>
              <w:rPr>
                <w:rFonts w:ascii="Book Antiqua" w:hAnsi="Book Antiqua"/>
              </w:rPr>
            </w:pPr>
          </w:p>
        </w:tc>
        <w:tc>
          <w:tcPr>
            <w:tcW w:w="2549" w:type="dxa"/>
          </w:tcPr>
          <w:p w14:paraId="0BB48D4C" w14:textId="4150A9DE" w:rsidR="00966193" w:rsidRPr="00966193" w:rsidRDefault="00966193" w:rsidP="00966193">
            <w:pPr>
              <w:spacing w:line="360" w:lineRule="auto"/>
              <w:ind w:right="220"/>
              <w:jc w:val="both"/>
              <w:rPr>
                <w:rFonts w:ascii="Book Antiqua" w:hAnsi="Book Antiqua"/>
              </w:rPr>
            </w:pPr>
            <w:r w:rsidRPr="00966193">
              <w:rPr>
                <w:rFonts w:ascii="Book Antiqua" w:hAnsi="Book Antiqua" w:cs="Times New Roman"/>
              </w:rPr>
              <w:t>145</w:t>
            </w:r>
            <w:r>
              <w:rPr>
                <w:rFonts w:ascii="Book Antiqua" w:hAnsi="Book Antiqua" w:cs="Times New Roman"/>
              </w:rPr>
              <w:t xml:space="preserve"> </w:t>
            </w:r>
            <w:r w:rsidRPr="00966193">
              <w:rPr>
                <w:rFonts w:ascii="Book Antiqua" w:hAnsi="Book Antiqua" w:cs="Times New Roman"/>
              </w:rPr>
              <w:t>(50.35)</w:t>
            </w:r>
          </w:p>
        </w:tc>
        <w:tc>
          <w:tcPr>
            <w:tcW w:w="1221" w:type="dxa"/>
          </w:tcPr>
          <w:p w14:paraId="289D6059" w14:textId="77777777" w:rsidR="00966193" w:rsidRPr="00966193" w:rsidRDefault="00966193" w:rsidP="00966193">
            <w:pPr>
              <w:spacing w:line="360" w:lineRule="auto"/>
              <w:jc w:val="both"/>
              <w:rPr>
                <w:rFonts w:ascii="Book Antiqua" w:hAnsi="Book Antiqua"/>
              </w:rPr>
            </w:pPr>
          </w:p>
        </w:tc>
      </w:tr>
      <w:tr w:rsidR="00966193" w:rsidRPr="00966193" w14:paraId="43BB52B0" w14:textId="77777777" w:rsidTr="002115B8">
        <w:tc>
          <w:tcPr>
            <w:tcW w:w="2785" w:type="dxa"/>
          </w:tcPr>
          <w:p w14:paraId="4CF0AA54" w14:textId="52A63C78" w:rsidR="00966193" w:rsidRPr="00966193" w:rsidRDefault="00966193" w:rsidP="00966193">
            <w:pPr>
              <w:spacing w:line="360" w:lineRule="auto"/>
              <w:jc w:val="both"/>
              <w:rPr>
                <w:rFonts w:ascii="Book Antiqua" w:hAnsi="Book Antiqua" w:cs="Times New Roman"/>
                <w:bCs/>
              </w:rPr>
            </w:pPr>
            <w:r w:rsidRPr="00966193">
              <w:rPr>
                <w:rFonts w:ascii="Book Antiqua" w:hAnsi="Book Antiqua" w:cs="Times New Roman"/>
                <w:bCs/>
              </w:rPr>
              <w:t>Type of Impaction</w:t>
            </w:r>
          </w:p>
        </w:tc>
        <w:tc>
          <w:tcPr>
            <w:tcW w:w="1922" w:type="dxa"/>
          </w:tcPr>
          <w:p w14:paraId="01DB3763" w14:textId="4E6AB7D6" w:rsidR="00966193" w:rsidRPr="00966193" w:rsidRDefault="00966193" w:rsidP="00966193">
            <w:pPr>
              <w:spacing w:line="360" w:lineRule="auto"/>
              <w:jc w:val="both"/>
              <w:rPr>
                <w:rFonts w:ascii="Book Antiqua" w:hAnsi="Book Antiqua" w:cs="Times New Roman"/>
              </w:rPr>
            </w:pPr>
          </w:p>
        </w:tc>
        <w:tc>
          <w:tcPr>
            <w:tcW w:w="987" w:type="dxa"/>
          </w:tcPr>
          <w:p w14:paraId="5F05A20B" w14:textId="6F1B6A53" w:rsidR="00966193" w:rsidRPr="00966193" w:rsidRDefault="00966193" w:rsidP="00966193">
            <w:pPr>
              <w:spacing w:line="360" w:lineRule="auto"/>
              <w:jc w:val="both"/>
              <w:rPr>
                <w:rFonts w:ascii="Book Antiqua" w:hAnsi="Book Antiqua" w:cs="Times New Roman"/>
              </w:rPr>
            </w:pPr>
          </w:p>
        </w:tc>
        <w:tc>
          <w:tcPr>
            <w:tcW w:w="2549" w:type="dxa"/>
          </w:tcPr>
          <w:p w14:paraId="7ECC3B60" w14:textId="09CAED57" w:rsidR="00966193" w:rsidRPr="00966193" w:rsidRDefault="00966193" w:rsidP="00966193">
            <w:pPr>
              <w:spacing w:line="360" w:lineRule="auto"/>
              <w:jc w:val="both"/>
              <w:rPr>
                <w:rFonts w:ascii="Book Antiqua" w:hAnsi="Book Antiqua" w:cs="Times New Roman"/>
              </w:rPr>
            </w:pPr>
          </w:p>
        </w:tc>
        <w:tc>
          <w:tcPr>
            <w:tcW w:w="1221" w:type="dxa"/>
          </w:tcPr>
          <w:p w14:paraId="5F61BDCD" w14:textId="48FFC765" w:rsidR="00966193" w:rsidRPr="00966193" w:rsidRDefault="00966193" w:rsidP="00966193">
            <w:pPr>
              <w:spacing w:line="360" w:lineRule="auto"/>
              <w:jc w:val="both"/>
              <w:rPr>
                <w:rFonts w:ascii="Book Antiqua" w:hAnsi="Book Antiqua" w:cs="Times New Roman"/>
              </w:rPr>
            </w:pPr>
          </w:p>
        </w:tc>
      </w:tr>
      <w:tr w:rsidR="00966193" w:rsidRPr="00966193" w14:paraId="193D2A4A" w14:textId="77777777" w:rsidTr="002115B8">
        <w:tc>
          <w:tcPr>
            <w:tcW w:w="2785" w:type="dxa"/>
          </w:tcPr>
          <w:p w14:paraId="794CF288" w14:textId="17914EA7" w:rsidR="00966193" w:rsidRPr="00966193" w:rsidRDefault="00966193" w:rsidP="00966193">
            <w:pPr>
              <w:spacing w:line="360" w:lineRule="auto"/>
              <w:ind w:firstLineChars="100" w:firstLine="240"/>
              <w:jc w:val="both"/>
              <w:rPr>
                <w:rFonts w:ascii="Book Antiqua" w:hAnsi="Book Antiqua" w:cs="Times New Roman"/>
                <w:bCs/>
              </w:rPr>
            </w:pPr>
            <w:r w:rsidRPr="00966193">
              <w:rPr>
                <w:rFonts w:ascii="Book Antiqua" w:hAnsi="Book Antiqua" w:cs="Times New Roman"/>
                <w:bCs/>
              </w:rPr>
              <w:t>Foreign object</w:t>
            </w:r>
          </w:p>
        </w:tc>
        <w:tc>
          <w:tcPr>
            <w:tcW w:w="1922" w:type="dxa"/>
          </w:tcPr>
          <w:p w14:paraId="18014731" w14:textId="3C8311CB" w:rsidR="00966193" w:rsidRPr="00966193" w:rsidRDefault="00966193" w:rsidP="00966193">
            <w:pPr>
              <w:spacing w:line="360" w:lineRule="auto"/>
              <w:jc w:val="both"/>
              <w:rPr>
                <w:rFonts w:ascii="Book Antiqua" w:hAnsi="Book Antiqua" w:cs="Times New Roman"/>
              </w:rPr>
            </w:pPr>
            <w:r w:rsidRPr="00966193">
              <w:rPr>
                <w:rFonts w:ascii="Book Antiqua" w:hAnsi="Book Antiqua" w:cs="Times New Roman"/>
              </w:rPr>
              <w:t>67 (20.18)</w:t>
            </w:r>
          </w:p>
        </w:tc>
        <w:tc>
          <w:tcPr>
            <w:tcW w:w="987" w:type="dxa"/>
          </w:tcPr>
          <w:p w14:paraId="0414D8FA" w14:textId="7CD9CB33" w:rsidR="00966193" w:rsidRPr="00966193" w:rsidRDefault="00966193" w:rsidP="00966193">
            <w:pPr>
              <w:spacing w:line="360" w:lineRule="auto"/>
              <w:jc w:val="both"/>
              <w:rPr>
                <w:rFonts w:ascii="Book Antiqua" w:hAnsi="Book Antiqua"/>
              </w:rPr>
            </w:pPr>
            <w:r w:rsidRPr="00966193">
              <w:rPr>
                <w:rFonts w:ascii="Book Antiqua" w:hAnsi="Book Antiqua" w:cs="Times New Roman"/>
              </w:rPr>
              <w:t>0.0156</w:t>
            </w:r>
          </w:p>
        </w:tc>
        <w:tc>
          <w:tcPr>
            <w:tcW w:w="2549" w:type="dxa"/>
          </w:tcPr>
          <w:p w14:paraId="2ED4AECF" w14:textId="4F8B01D2" w:rsidR="00966193" w:rsidRPr="00966193" w:rsidRDefault="00966193" w:rsidP="00966193">
            <w:pPr>
              <w:spacing w:line="360" w:lineRule="auto"/>
              <w:jc w:val="both"/>
              <w:rPr>
                <w:rFonts w:ascii="Book Antiqua" w:hAnsi="Book Antiqua" w:cs="Times New Roman"/>
              </w:rPr>
            </w:pPr>
            <w:r w:rsidRPr="00966193">
              <w:rPr>
                <w:rFonts w:ascii="Book Antiqua" w:hAnsi="Book Antiqua" w:cs="Times New Roman"/>
              </w:rPr>
              <w:t>199</w:t>
            </w:r>
            <w:r>
              <w:rPr>
                <w:rFonts w:ascii="Book Antiqua" w:hAnsi="Book Antiqua" w:cs="Times New Roman"/>
              </w:rPr>
              <w:t xml:space="preserve"> </w:t>
            </w:r>
            <w:r w:rsidRPr="00966193">
              <w:rPr>
                <w:rFonts w:ascii="Book Antiqua" w:hAnsi="Book Antiqua" w:cs="Times New Roman"/>
              </w:rPr>
              <w:t>(60.86)</w:t>
            </w:r>
          </w:p>
        </w:tc>
        <w:tc>
          <w:tcPr>
            <w:tcW w:w="1221" w:type="dxa"/>
          </w:tcPr>
          <w:p w14:paraId="304319AF" w14:textId="5A4FA485" w:rsidR="00966193" w:rsidRPr="00966193" w:rsidRDefault="00966193" w:rsidP="00966193">
            <w:pPr>
              <w:spacing w:line="360" w:lineRule="auto"/>
              <w:jc w:val="both"/>
              <w:rPr>
                <w:rFonts w:ascii="Book Antiqua" w:hAnsi="Book Antiqua"/>
              </w:rPr>
            </w:pPr>
            <w:r w:rsidRPr="00966193">
              <w:rPr>
                <w:rFonts w:ascii="Book Antiqua" w:hAnsi="Book Antiqua" w:cs="Times New Roman"/>
              </w:rPr>
              <w:t>&lt;</w:t>
            </w:r>
            <w:r>
              <w:rPr>
                <w:rFonts w:ascii="Book Antiqua" w:hAnsi="Book Antiqua" w:cs="Times New Roman"/>
              </w:rPr>
              <w:t xml:space="preserve"> </w:t>
            </w:r>
            <w:r w:rsidRPr="00966193">
              <w:rPr>
                <w:rFonts w:ascii="Book Antiqua" w:hAnsi="Book Antiqua" w:cs="Times New Roman"/>
              </w:rPr>
              <w:t>0.0001</w:t>
            </w:r>
          </w:p>
        </w:tc>
      </w:tr>
      <w:tr w:rsidR="00966193" w:rsidRPr="00966193" w14:paraId="66CB5922" w14:textId="77777777" w:rsidTr="002115B8">
        <w:tc>
          <w:tcPr>
            <w:tcW w:w="2785" w:type="dxa"/>
          </w:tcPr>
          <w:p w14:paraId="05595536" w14:textId="18B0BFCD" w:rsidR="00966193" w:rsidRPr="00966193" w:rsidRDefault="00966193" w:rsidP="00966193">
            <w:pPr>
              <w:spacing w:line="360" w:lineRule="auto"/>
              <w:ind w:firstLineChars="100" w:firstLine="240"/>
              <w:jc w:val="both"/>
              <w:rPr>
                <w:rFonts w:ascii="Book Antiqua" w:hAnsi="Book Antiqua"/>
                <w:b/>
              </w:rPr>
            </w:pPr>
            <w:r w:rsidRPr="00966193">
              <w:rPr>
                <w:rFonts w:ascii="Book Antiqua" w:hAnsi="Book Antiqua" w:cs="Times New Roman"/>
              </w:rPr>
              <w:t>Food bolus</w:t>
            </w:r>
          </w:p>
        </w:tc>
        <w:tc>
          <w:tcPr>
            <w:tcW w:w="1922" w:type="dxa"/>
          </w:tcPr>
          <w:p w14:paraId="4F269E75" w14:textId="5D092D77" w:rsidR="00966193" w:rsidRPr="00966193" w:rsidRDefault="00966193" w:rsidP="00966193">
            <w:pPr>
              <w:spacing w:line="360" w:lineRule="auto"/>
              <w:jc w:val="both"/>
              <w:rPr>
                <w:rFonts w:ascii="Book Antiqua" w:hAnsi="Book Antiqua"/>
              </w:rPr>
            </w:pPr>
            <w:r w:rsidRPr="00966193">
              <w:rPr>
                <w:rFonts w:ascii="Book Antiqua" w:hAnsi="Book Antiqua" w:cs="Times New Roman"/>
              </w:rPr>
              <w:t>84 (14.07)</w:t>
            </w:r>
          </w:p>
        </w:tc>
        <w:tc>
          <w:tcPr>
            <w:tcW w:w="987" w:type="dxa"/>
          </w:tcPr>
          <w:p w14:paraId="1799BDEE" w14:textId="77777777" w:rsidR="00966193" w:rsidRPr="00966193" w:rsidRDefault="00966193" w:rsidP="00966193">
            <w:pPr>
              <w:spacing w:line="360" w:lineRule="auto"/>
              <w:jc w:val="both"/>
              <w:rPr>
                <w:rFonts w:ascii="Book Antiqua" w:hAnsi="Book Antiqua"/>
              </w:rPr>
            </w:pPr>
          </w:p>
        </w:tc>
        <w:tc>
          <w:tcPr>
            <w:tcW w:w="2549" w:type="dxa"/>
          </w:tcPr>
          <w:p w14:paraId="00181B9F" w14:textId="22D1A6BD" w:rsidR="00966193" w:rsidRPr="00966193" w:rsidRDefault="00966193" w:rsidP="00966193">
            <w:pPr>
              <w:spacing w:line="360" w:lineRule="auto"/>
              <w:jc w:val="both"/>
              <w:rPr>
                <w:rFonts w:ascii="Book Antiqua" w:hAnsi="Book Antiqua"/>
              </w:rPr>
            </w:pPr>
            <w:r w:rsidRPr="00966193">
              <w:rPr>
                <w:rFonts w:ascii="Book Antiqua" w:hAnsi="Book Antiqua" w:cs="Times New Roman"/>
              </w:rPr>
              <w:t>175</w:t>
            </w:r>
            <w:r>
              <w:rPr>
                <w:rFonts w:ascii="Book Antiqua" w:hAnsi="Book Antiqua" w:cs="Times New Roman"/>
              </w:rPr>
              <w:t xml:space="preserve"> </w:t>
            </w:r>
            <w:r w:rsidRPr="00966193">
              <w:rPr>
                <w:rFonts w:ascii="Book Antiqua" w:hAnsi="Book Antiqua" w:cs="Times New Roman"/>
              </w:rPr>
              <w:t>(30.22)</w:t>
            </w:r>
          </w:p>
        </w:tc>
        <w:tc>
          <w:tcPr>
            <w:tcW w:w="1221" w:type="dxa"/>
          </w:tcPr>
          <w:p w14:paraId="37E8532B" w14:textId="77777777" w:rsidR="00966193" w:rsidRPr="00966193" w:rsidRDefault="00966193" w:rsidP="00966193">
            <w:pPr>
              <w:spacing w:line="360" w:lineRule="auto"/>
              <w:jc w:val="both"/>
              <w:rPr>
                <w:rFonts w:ascii="Book Antiqua" w:hAnsi="Book Antiqua"/>
              </w:rPr>
            </w:pPr>
          </w:p>
        </w:tc>
      </w:tr>
      <w:tr w:rsidR="00966193" w:rsidRPr="00966193" w14:paraId="008E00BF" w14:textId="77777777" w:rsidTr="002115B8">
        <w:tc>
          <w:tcPr>
            <w:tcW w:w="2785" w:type="dxa"/>
          </w:tcPr>
          <w:p w14:paraId="171DA36E" w14:textId="4938EE98" w:rsidR="00966193" w:rsidRPr="00966193" w:rsidRDefault="00966193" w:rsidP="00966193">
            <w:pPr>
              <w:spacing w:line="360" w:lineRule="auto"/>
              <w:jc w:val="both"/>
              <w:rPr>
                <w:rFonts w:ascii="Book Antiqua" w:hAnsi="Book Antiqua" w:cs="Times New Roman"/>
                <w:bCs/>
              </w:rPr>
            </w:pPr>
            <w:r w:rsidRPr="00966193">
              <w:rPr>
                <w:rFonts w:ascii="Book Antiqua" w:hAnsi="Book Antiqua" w:cs="Times New Roman"/>
                <w:bCs/>
              </w:rPr>
              <w:t>Severe comorbidity</w:t>
            </w:r>
          </w:p>
        </w:tc>
        <w:tc>
          <w:tcPr>
            <w:tcW w:w="1922" w:type="dxa"/>
          </w:tcPr>
          <w:p w14:paraId="7B27033F" w14:textId="299BE831" w:rsidR="00966193" w:rsidRPr="00966193" w:rsidRDefault="00966193" w:rsidP="00966193">
            <w:pPr>
              <w:spacing w:line="360" w:lineRule="auto"/>
              <w:jc w:val="both"/>
              <w:rPr>
                <w:rFonts w:ascii="Book Antiqua" w:hAnsi="Book Antiqua" w:cs="Times New Roman"/>
              </w:rPr>
            </w:pPr>
          </w:p>
        </w:tc>
        <w:tc>
          <w:tcPr>
            <w:tcW w:w="987" w:type="dxa"/>
          </w:tcPr>
          <w:p w14:paraId="00E1829C" w14:textId="5D277358" w:rsidR="00966193" w:rsidRPr="00966193" w:rsidRDefault="00966193" w:rsidP="00966193">
            <w:pPr>
              <w:spacing w:line="360" w:lineRule="auto"/>
              <w:jc w:val="both"/>
              <w:rPr>
                <w:rFonts w:ascii="Book Antiqua" w:hAnsi="Book Antiqua" w:cs="Times New Roman"/>
              </w:rPr>
            </w:pPr>
          </w:p>
        </w:tc>
        <w:tc>
          <w:tcPr>
            <w:tcW w:w="2549" w:type="dxa"/>
          </w:tcPr>
          <w:p w14:paraId="50D2A3F0" w14:textId="4D80E51D" w:rsidR="00966193" w:rsidRPr="00966193" w:rsidRDefault="00966193" w:rsidP="00966193">
            <w:pPr>
              <w:spacing w:line="360" w:lineRule="auto"/>
              <w:jc w:val="both"/>
              <w:rPr>
                <w:rFonts w:ascii="Book Antiqua" w:hAnsi="Book Antiqua" w:cs="Times New Roman"/>
              </w:rPr>
            </w:pPr>
          </w:p>
        </w:tc>
        <w:tc>
          <w:tcPr>
            <w:tcW w:w="1221" w:type="dxa"/>
          </w:tcPr>
          <w:p w14:paraId="4E5DD3AA" w14:textId="64E263D2" w:rsidR="00966193" w:rsidRPr="00966193" w:rsidRDefault="00966193" w:rsidP="00966193">
            <w:pPr>
              <w:spacing w:line="360" w:lineRule="auto"/>
              <w:jc w:val="both"/>
              <w:rPr>
                <w:rFonts w:ascii="Book Antiqua" w:hAnsi="Book Antiqua" w:cs="Times New Roman"/>
              </w:rPr>
            </w:pPr>
          </w:p>
        </w:tc>
      </w:tr>
      <w:tr w:rsidR="00966193" w:rsidRPr="00966193" w14:paraId="698D7651" w14:textId="77777777" w:rsidTr="002115B8">
        <w:tc>
          <w:tcPr>
            <w:tcW w:w="2785" w:type="dxa"/>
          </w:tcPr>
          <w:p w14:paraId="1B823EC6" w14:textId="28260DB2" w:rsidR="00966193" w:rsidRPr="00966193" w:rsidRDefault="00966193" w:rsidP="00966193">
            <w:pPr>
              <w:spacing w:line="360" w:lineRule="auto"/>
              <w:ind w:firstLineChars="100" w:firstLine="240"/>
              <w:jc w:val="both"/>
              <w:rPr>
                <w:rFonts w:ascii="Book Antiqua" w:hAnsi="Book Antiqua" w:cs="Times New Roman"/>
              </w:rPr>
            </w:pPr>
            <w:r w:rsidRPr="00966193">
              <w:rPr>
                <w:rFonts w:ascii="Book Antiqua" w:hAnsi="Book Antiqua" w:cs="Times New Roman"/>
              </w:rPr>
              <w:t>Yes</w:t>
            </w:r>
          </w:p>
        </w:tc>
        <w:tc>
          <w:tcPr>
            <w:tcW w:w="1922" w:type="dxa"/>
          </w:tcPr>
          <w:p w14:paraId="6EAF0506" w14:textId="56E81C49" w:rsidR="00966193" w:rsidRPr="00966193" w:rsidRDefault="00966193" w:rsidP="00966193">
            <w:pPr>
              <w:spacing w:line="360" w:lineRule="auto"/>
              <w:jc w:val="both"/>
              <w:rPr>
                <w:rFonts w:ascii="Book Antiqua" w:hAnsi="Book Antiqua" w:cs="Times New Roman"/>
              </w:rPr>
            </w:pPr>
            <w:r w:rsidRPr="00966193">
              <w:rPr>
                <w:rFonts w:ascii="Book Antiqua" w:hAnsi="Book Antiqua" w:cs="Times New Roman"/>
              </w:rPr>
              <w:t>29 (21.97)</w:t>
            </w:r>
          </w:p>
        </w:tc>
        <w:tc>
          <w:tcPr>
            <w:tcW w:w="987" w:type="dxa"/>
          </w:tcPr>
          <w:p w14:paraId="4B60A1E1" w14:textId="66969B55" w:rsidR="00966193" w:rsidRPr="00966193" w:rsidRDefault="00966193" w:rsidP="00966193">
            <w:pPr>
              <w:spacing w:line="360" w:lineRule="auto"/>
              <w:jc w:val="both"/>
              <w:rPr>
                <w:rFonts w:ascii="Book Antiqua" w:hAnsi="Book Antiqua"/>
              </w:rPr>
            </w:pPr>
            <w:r w:rsidRPr="00966193">
              <w:rPr>
                <w:rFonts w:ascii="Book Antiqua" w:hAnsi="Book Antiqua" w:cs="Times New Roman"/>
              </w:rPr>
              <w:t>0.0547</w:t>
            </w:r>
          </w:p>
        </w:tc>
        <w:tc>
          <w:tcPr>
            <w:tcW w:w="2549" w:type="dxa"/>
          </w:tcPr>
          <w:p w14:paraId="552F0164" w14:textId="7A093D8B" w:rsidR="00966193" w:rsidRPr="00966193" w:rsidRDefault="00966193" w:rsidP="00966193">
            <w:pPr>
              <w:spacing w:line="360" w:lineRule="auto"/>
              <w:jc w:val="both"/>
              <w:rPr>
                <w:rFonts w:ascii="Book Antiqua" w:hAnsi="Book Antiqua" w:cs="Times New Roman"/>
              </w:rPr>
            </w:pPr>
            <w:r w:rsidRPr="00966193">
              <w:rPr>
                <w:rFonts w:ascii="Book Antiqua" w:hAnsi="Book Antiqua" w:cs="Times New Roman"/>
              </w:rPr>
              <w:t>63</w:t>
            </w:r>
            <w:r>
              <w:rPr>
                <w:rFonts w:ascii="Book Antiqua" w:hAnsi="Book Antiqua" w:cs="Times New Roman"/>
              </w:rPr>
              <w:t xml:space="preserve"> </w:t>
            </w:r>
            <w:r w:rsidRPr="00966193">
              <w:rPr>
                <w:rFonts w:ascii="Book Antiqua" w:hAnsi="Book Antiqua" w:cs="Times New Roman"/>
              </w:rPr>
              <w:t>(49.61)</w:t>
            </w:r>
          </w:p>
        </w:tc>
        <w:tc>
          <w:tcPr>
            <w:tcW w:w="1221" w:type="dxa"/>
          </w:tcPr>
          <w:p w14:paraId="07552C34" w14:textId="4AD82CE4" w:rsidR="00966193" w:rsidRPr="00966193" w:rsidRDefault="00966193" w:rsidP="00966193">
            <w:pPr>
              <w:spacing w:line="360" w:lineRule="auto"/>
              <w:jc w:val="both"/>
              <w:rPr>
                <w:rFonts w:ascii="Book Antiqua" w:hAnsi="Book Antiqua"/>
              </w:rPr>
            </w:pPr>
            <w:r w:rsidRPr="00966193">
              <w:rPr>
                <w:rFonts w:ascii="Book Antiqua" w:hAnsi="Book Antiqua" w:cs="Times New Roman"/>
              </w:rPr>
              <w:t>0.0399</w:t>
            </w:r>
          </w:p>
        </w:tc>
      </w:tr>
      <w:tr w:rsidR="00966193" w:rsidRPr="00966193" w14:paraId="5C151601" w14:textId="77777777" w:rsidTr="002115B8">
        <w:tc>
          <w:tcPr>
            <w:tcW w:w="2785" w:type="dxa"/>
          </w:tcPr>
          <w:p w14:paraId="75D7E307" w14:textId="733EAAF8" w:rsidR="00966193" w:rsidRPr="00966193" w:rsidRDefault="00966193" w:rsidP="00966193">
            <w:pPr>
              <w:spacing w:line="360" w:lineRule="auto"/>
              <w:ind w:firstLineChars="100" w:firstLine="240"/>
              <w:jc w:val="both"/>
              <w:rPr>
                <w:rFonts w:ascii="Book Antiqua" w:hAnsi="Book Antiqua"/>
              </w:rPr>
            </w:pPr>
            <w:r w:rsidRPr="00966193">
              <w:rPr>
                <w:rFonts w:ascii="Book Antiqua" w:hAnsi="Book Antiqua" w:cs="Times New Roman"/>
              </w:rPr>
              <w:t>No</w:t>
            </w:r>
          </w:p>
        </w:tc>
        <w:tc>
          <w:tcPr>
            <w:tcW w:w="1922" w:type="dxa"/>
          </w:tcPr>
          <w:p w14:paraId="762D6A6B" w14:textId="22D24F97" w:rsidR="00966193" w:rsidRPr="00966193" w:rsidRDefault="00966193" w:rsidP="00966193">
            <w:pPr>
              <w:spacing w:line="360" w:lineRule="auto"/>
              <w:jc w:val="both"/>
              <w:rPr>
                <w:rFonts w:ascii="Book Antiqua" w:hAnsi="Book Antiqua"/>
              </w:rPr>
            </w:pPr>
            <w:r w:rsidRPr="00966193">
              <w:rPr>
                <w:rFonts w:ascii="Book Antiqua" w:hAnsi="Book Antiqua" w:cs="Times New Roman"/>
              </w:rPr>
              <w:t>122 (15.31)</w:t>
            </w:r>
          </w:p>
        </w:tc>
        <w:tc>
          <w:tcPr>
            <w:tcW w:w="987" w:type="dxa"/>
          </w:tcPr>
          <w:p w14:paraId="475873D8" w14:textId="77777777" w:rsidR="00966193" w:rsidRPr="00966193" w:rsidRDefault="00966193" w:rsidP="00966193">
            <w:pPr>
              <w:spacing w:line="360" w:lineRule="auto"/>
              <w:jc w:val="both"/>
              <w:rPr>
                <w:rFonts w:ascii="Book Antiqua" w:hAnsi="Book Antiqua"/>
              </w:rPr>
            </w:pPr>
          </w:p>
        </w:tc>
        <w:tc>
          <w:tcPr>
            <w:tcW w:w="2549" w:type="dxa"/>
          </w:tcPr>
          <w:p w14:paraId="276111BE" w14:textId="5FF66525" w:rsidR="00966193" w:rsidRPr="00966193" w:rsidRDefault="00966193" w:rsidP="00966193">
            <w:pPr>
              <w:spacing w:line="360" w:lineRule="auto"/>
              <w:jc w:val="both"/>
              <w:rPr>
                <w:rFonts w:ascii="Book Antiqua" w:hAnsi="Book Antiqua"/>
              </w:rPr>
            </w:pPr>
            <w:r w:rsidRPr="00966193">
              <w:rPr>
                <w:rFonts w:ascii="Book Antiqua" w:hAnsi="Book Antiqua" w:cs="Times New Roman"/>
              </w:rPr>
              <w:t>311</w:t>
            </w:r>
            <w:r>
              <w:rPr>
                <w:rFonts w:ascii="Book Antiqua" w:hAnsi="Book Antiqua" w:cs="Times New Roman"/>
              </w:rPr>
              <w:t xml:space="preserve"> </w:t>
            </w:r>
            <w:r w:rsidRPr="00966193">
              <w:rPr>
                <w:rFonts w:ascii="Book Antiqua" w:hAnsi="Book Antiqua" w:cs="Times New Roman"/>
              </w:rPr>
              <w:t>(39.92)</w:t>
            </w:r>
          </w:p>
        </w:tc>
        <w:tc>
          <w:tcPr>
            <w:tcW w:w="1221" w:type="dxa"/>
          </w:tcPr>
          <w:p w14:paraId="51F26B8E" w14:textId="77777777" w:rsidR="00966193" w:rsidRPr="00966193" w:rsidRDefault="00966193" w:rsidP="00966193">
            <w:pPr>
              <w:spacing w:line="360" w:lineRule="auto"/>
              <w:jc w:val="both"/>
              <w:rPr>
                <w:rFonts w:ascii="Book Antiqua" w:hAnsi="Book Antiqua"/>
              </w:rPr>
            </w:pPr>
          </w:p>
        </w:tc>
      </w:tr>
      <w:tr w:rsidR="00966193" w:rsidRPr="00966193" w14:paraId="4D784CE2" w14:textId="77777777" w:rsidTr="002115B8">
        <w:tc>
          <w:tcPr>
            <w:tcW w:w="2785" w:type="dxa"/>
          </w:tcPr>
          <w:p w14:paraId="0B4764AF" w14:textId="1777C9B1" w:rsidR="00966193" w:rsidRPr="00966193" w:rsidRDefault="00966193" w:rsidP="00966193">
            <w:pPr>
              <w:spacing w:line="360" w:lineRule="auto"/>
              <w:jc w:val="both"/>
              <w:rPr>
                <w:rFonts w:ascii="Book Antiqua" w:hAnsi="Book Antiqua" w:cs="Times New Roman"/>
              </w:rPr>
            </w:pPr>
            <w:r w:rsidRPr="00966193">
              <w:rPr>
                <w:rFonts w:ascii="Book Antiqua" w:hAnsi="Book Antiqua" w:cs="Times New Roman"/>
              </w:rPr>
              <w:t>Use of instrument</w:t>
            </w:r>
          </w:p>
        </w:tc>
        <w:tc>
          <w:tcPr>
            <w:tcW w:w="1922" w:type="dxa"/>
          </w:tcPr>
          <w:p w14:paraId="180B4CE1" w14:textId="19C11603" w:rsidR="00966193" w:rsidRPr="00966193" w:rsidRDefault="00966193" w:rsidP="00966193">
            <w:pPr>
              <w:spacing w:line="360" w:lineRule="auto"/>
              <w:jc w:val="both"/>
              <w:rPr>
                <w:rFonts w:ascii="Book Antiqua" w:hAnsi="Book Antiqua" w:cs="Times New Roman"/>
              </w:rPr>
            </w:pPr>
          </w:p>
        </w:tc>
        <w:tc>
          <w:tcPr>
            <w:tcW w:w="987" w:type="dxa"/>
          </w:tcPr>
          <w:p w14:paraId="4BD70EC1" w14:textId="1F762684" w:rsidR="00966193" w:rsidRPr="00966193" w:rsidRDefault="00966193" w:rsidP="00966193">
            <w:pPr>
              <w:spacing w:line="360" w:lineRule="auto"/>
              <w:jc w:val="both"/>
              <w:rPr>
                <w:rFonts w:ascii="Book Antiqua" w:hAnsi="Book Antiqua" w:cs="Times New Roman"/>
              </w:rPr>
            </w:pPr>
          </w:p>
        </w:tc>
        <w:tc>
          <w:tcPr>
            <w:tcW w:w="2549" w:type="dxa"/>
          </w:tcPr>
          <w:p w14:paraId="40CFB98C" w14:textId="12B05CFD" w:rsidR="00966193" w:rsidRPr="00966193" w:rsidRDefault="00966193" w:rsidP="00966193">
            <w:pPr>
              <w:spacing w:line="360" w:lineRule="auto"/>
              <w:jc w:val="both"/>
              <w:rPr>
                <w:rFonts w:ascii="Book Antiqua" w:hAnsi="Book Antiqua" w:cs="Times New Roman"/>
              </w:rPr>
            </w:pPr>
          </w:p>
        </w:tc>
        <w:tc>
          <w:tcPr>
            <w:tcW w:w="1221" w:type="dxa"/>
          </w:tcPr>
          <w:p w14:paraId="42E45AB3" w14:textId="12EC10E2" w:rsidR="00966193" w:rsidRPr="00966193" w:rsidRDefault="00966193" w:rsidP="00966193">
            <w:pPr>
              <w:spacing w:line="360" w:lineRule="auto"/>
              <w:jc w:val="both"/>
              <w:rPr>
                <w:rFonts w:ascii="Book Antiqua" w:hAnsi="Book Antiqua" w:cs="Times New Roman"/>
              </w:rPr>
            </w:pPr>
          </w:p>
        </w:tc>
      </w:tr>
      <w:tr w:rsidR="00966193" w:rsidRPr="00966193" w14:paraId="7A7EA319" w14:textId="77777777" w:rsidTr="002115B8">
        <w:tc>
          <w:tcPr>
            <w:tcW w:w="2785" w:type="dxa"/>
          </w:tcPr>
          <w:p w14:paraId="535C7445" w14:textId="69814DD6" w:rsidR="00966193" w:rsidRPr="00966193" w:rsidRDefault="00966193" w:rsidP="002115B8">
            <w:pPr>
              <w:spacing w:line="360" w:lineRule="auto"/>
              <w:ind w:firstLineChars="100" w:firstLine="240"/>
              <w:jc w:val="both"/>
              <w:rPr>
                <w:rFonts w:ascii="Book Antiqua" w:hAnsi="Book Antiqua" w:cs="Times New Roman"/>
              </w:rPr>
            </w:pPr>
            <w:r w:rsidRPr="00966193">
              <w:rPr>
                <w:rFonts w:ascii="Book Antiqua" w:hAnsi="Book Antiqua" w:cs="Times New Roman"/>
              </w:rPr>
              <w:t>Yes</w:t>
            </w:r>
          </w:p>
        </w:tc>
        <w:tc>
          <w:tcPr>
            <w:tcW w:w="1922" w:type="dxa"/>
          </w:tcPr>
          <w:p w14:paraId="1CE55B34" w14:textId="2093EFF9" w:rsidR="00966193" w:rsidRPr="00966193" w:rsidRDefault="00966193" w:rsidP="00966193">
            <w:pPr>
              <w:spacing w:line="360" w:lineRule="auto"/>
              <w:jc w:val="both"/>
              <w:rPr>
                <w:rFonts w:ascii="Book Antiqua" w:hAnsi="Book Antiqua" w:cs="Times New Roman"/>
              </w:rPr>
            </w:pPr>
            <w:r w:rsidRPr="00966193">
              <w:rPr>
                <w:rFonts w:ascii="Book Antiqua" w:hAnsi="Book Antiqua" w:cs="Times New Roman"/>
              </w:rPr>
              <w:t>117</w:t>
            </w:r>
            <w:r>
              <w:rPr>
                <w:rFonts w:ascii="Book Antiqua" w:hAnsi="Book Antiqua" w:cs="Times New Roman"/>
              </w:rPr>
              <w:t xml:space="preserve"> </w:t>
            </w:r>
            <w:r w:rsidRPr="00966193">
              <w:rPr>
                <w:rFonts w:ascii="Book Antiqua" w:hAnsi="Book Antiqua" w:cs="Times New Roman"/>
              </w:rPr>
              <w:t>(18.11)</w:t>
            </w:r>
          </w:p>
        </w:tc>
        <w:tc>
          <w:tcPr>
            <w:tcW w:w="987" w:type="dxa"/>
          </w:tcPr>
          <w:p w14:paraId="25E88F17" w14:textId="699BA5E2" w:rsidR="00966193" w:rsidRPr="00966193" w:rsidRDefault="00966193" w:rsidP="00966193">
            <w:pPr>
              <w:spacing w:line="360" w:lineRule="auto"/>
              <w:jc w:val="both"/>
              <w:rPr>
                <w:rFonts w:ascii="Book Antiqua" w:hAnsi="Book Antiqua"/>
              </w:rPr>
            </w:pPr>
            <w:r w:rsidRPr="00966193">
              <w:rPr>
                <w:rFonts w:ascii="Book Antiqua" w:hAnsi="Book Antiqua" w:cs="Times New Roman"/>
              </w:rPr>
              <w:t>0.0204</w:t>
            </w:r>
          </w:p>
        </w:tc>
        <w:tc>
          <w:tcPr>
            <w:tcW w:w="2549" w:type="dxa"/>
          </w:tcPr>
          <w:p w14:paraId="65C63DD8" w14:textId="6669E624" w:rsidR="00966193" w:rsidRPr="00966193" w:rsidRDefault="00966193" w:rsidP="00966193">
            <w:pPr>
              <w:spacing w:line="360" w:lineRule="auto"/>
              <w:jc w:val="both"/>
              <w:rPr>
                <w:rFonts w:ascii="Book Antiqua" w:hAnsi="Book Antiqua" w:cs="Times New Roman"/>
              </w:rPr>
            </w:pPr>
            <w:r w:rsidRPr="00966193">
              <w:rPr>
                <w:rFonts w:ascii="Book Antiqua" w:hAnsi="Book Antiqua" w:cs="Times New Roman"/>
              </w:rPr>
              <w:t>288</w:t>
            </w:r>
            <w:r>
              <w:rPr>
                <w:rFonts w:ascii="Book Antiqua" w:hAnsi="Book Antiqua" w:cs="Times New Roman"/>
              </w:rPr>
              <w:t xml:space="preserve"> </w:t>
            </w:r>
            <w:r w:rsidRPr="00966193">
              <w:rPr>
                <w:rFonts w:ascii="Book Antiqua" w:hAnsi="Book Antiqua" w:cs="Times New Roman"/>
              </w:rPr>
              <w:t>(45.93)</w:t>
            </w:r>
          </w:p>
        </w:tc>
        <w:tc>
          <w:tcPr>
            <w:tcW w:w="1221" w:type="dxa"/>
          </w:tcPr>
          <w:p w14:paraId="013F752B" w14:textId="3BBA0315" w:rsidR="00966193" w:rsidRPr="00966193" w:rsidRDefault="00966193" w:rsidP="00966193">
            <w:pPr>
              <w:spacing w:line="360" w:lineRule="auto"/>
              <w:jc w:val="both"/>
              <w:rPr>
                <w:rFonts w:ascii="Book Antiqua" w:hAnsi="Book Antiqua"/>
              </w:rPr>
            </w:pPr>
            <w:r w:rsidRPr="00966193">
              <w:rPr>
                <w:rFonts w:ascii="Book Antiqua" w:hAnsi="Book Antiqua" w:cs="Times New Roman"/>
              </w:rPr>
              <w:t>&lt;</w:t>
            </w:r>
            <w:r>
              <w:rPr>
                <w:rFonts w:ascii="Book Antiqua" w:hAnsi="Book Antiqua" w:cs="Times New Roman"/>
              </w:rPr>
              <w:t xml:space="preserve"> </w:t>
            </w:r>
            <w:r w:rsidRPr="00966193">
              <w:rPr>
                <w:rFonts w:ascii="Book Antiqua" w:hAnsi="Book Antiqua" w:cs="Times New Roman"/>
              </w:rPr>
              <w:t>0.0001</w:t>
            </w:r>
          </w:p>
        </w:tc>
      </w:tr>
      <w:tr w:rsidR="00966193" w:rsidRPr="00966193" w14:paraId="448E8564" w14:textId="77777777" w:rsidTr="002115B8">
        <w:tc>
          <w:tcPr>
            <w:tcW w:w="2785" w:type="dxa"/>
            <w:tcBorders>
              <w:bottom w:val="single" w:sz="4" w:space="0" w:color="auto"/>
            </w:tcBorders>
          </w:tcPr>
          <w:p w14:paraId="0208D7C9" w14:textId="5C26BF1F" w:rsidR="00966193" w:rsidRPr="00966193" w:rsidRDefault="00966193" w:rsidP="002115B8">
            <w:pPr>
              <w:spacing w:line="360" w:lineRule="auto"/>
              <w:ind w:firstLineChars="100" w:firstLine="240"/>
              <w:jc w:val="both"/>
              <w:rPr>
                <w:rFonts w:ascii="Book Antiqua" w:hAnsi="Book Antiqua"/>
                <w:b/>
              </w:rPr>
            </w:pPr>
            <w:r w:rsidRPr="00966193">
              <w:rPr>
                <w:rFonts w:ascii="Book Antiqua" w:hAnsi="Book Antiqua" w:cs="Times New Roman"/>
              </w:rPr>
              <w:t>No (push method only)</w:t>
            </w:r>
          </w:p>
        </w:tc>
        <w:tc>
          <w:tcPr>
            <w:tcW w:w="1922" w:type="dxa"/>
            <w:tcBorders>
              <w:bottom w:val="single" w:sz="4" w:space="0" w:color="auto"/>
            </w:tcBorders>
          </w:tcPr>
          <w:p w14:paraId="284AE64E" w14:textId="3A65AE24" w:rsidR="00966193" w:rsidRPr="00966193" w:rsidRDefault="00966193" w:rsidP="00966193">
            <w:pPr>
              <w:spacing w:line="360" w:lineRule="auto"/>
              <w:jc w:val="both"/>
              <w:rPr>
                <w:rFonts w:ascii="Book Antiqua" w:hAnsi="Book Antiqua"/>
              </w:rPr>
            </w:pPr>
            <w:r w:rsidRPr="00966193">
              <w:rPr>
                <w:rFonts w:ascii="Book Antiqua" w:hAnsi="Book Antiqua" w:cs="Times New Roman"/>
              </w:rPr>
              <w:t>34 (12.01)</w:t>
            </w:r>
          </w:p>
        </w:tc>
        <w:tc>
          <w:tcPr>
            <w:tcW w:w="987" w:type="dxa"/>
            <w:tcBorders>
              <w:bottom w:val="single" w:sz="4" w:space="0" w:color="auto"/>
            </w:tcBorders>
          </w:tcPr>
          <w:p w14:paraId="5C71FF3A" w14:textId="77777777" w:rsidR="00966193" w:rsidRPr="00966193" w:rsidRDefault="00966193" w:rsidP="00966193">
            <w:pPr>
              <w:spacing w:line="360" w:lineRule="auto"/>
              <w:jc w:val="both"/>
              <w:rPr>
                <w:rFonts w:ascii="Book Antiqua" w:hAnsi="Book Antiqua"/>
              </w:rPr>
            </w:pPr>
          </w:p>
        </w:tc>
        <w:tc>
          <w:tcPr>
            <w:tcW w:w="2549" w:type="dxa"/>
            <w:tcBorders>
              <w:bottom w:val="single" w:sz="4" w:space="0" w:color="auto"/>
            </w:tcBorders>
          </w:tcPr>
          <w:p w14:paraId="1C592A17" w14:textId="07AEE63F" w:rsidR="00966193" w:rsidRPr="00966193" w:rsidRDefault="00966193" w:rsidP="00966193">
            <w:pPr>
              <w:spacing w:line="360" w:lineRule="auto"/>
              <w:jc w:val="both"/>
              <w:rPr>
                <w:rFonts w:ascii="Book Antiqua" w:hAnsi="Book Antiqua"/>
              </w:rPr>
            </w:pPr>
            <w:r w:rsidRPr="00966193">
              <w:rPr>
                <w:rFonts w:ascii="Book Antiqua" w:hAnsi="Book Antiqua" w:cs="Times New Roman"/>
              </w:rPr>
              <w:t>86</w:t>
            </w:r>
            <w:r>
              <w:rPr>
                <w:rFonts w:ascii="Book Antiqua" w:hAnsi="Book Antiqua" w:cs="Times New Roman"/>
              </w:rPr>
              <w:t xml:space="preserve"> </w:t>
            </w:r>
            <w:r w:rsidRPr="00966193">
              <w:rPr>
                <w:rFonts w:ascii="Book Antiqua" w:hAnsi="Book Antiqua" w:cs="Times New Roman"/>
              </w:rPr>
              <w:t>(30.82)</w:t>
            </w:r>
          </w:p>
        </w:tc>
        <w:tc>
          <w:tcPr>
            <w:tcW w:w="1221" w:type="dxa"/>
            <w:tcBorders>
              <w:bottom w:val="single" w:sz="4" w:space="0" w:color="auto"/>
            </w:tcBorders>
          </w:tcPr>
          <w:p w14:paraId="23B07BEA" w14:textId="77777777" w:rsidR="00966193" w:rsidRPr="00966193" w:rsidRDefault="00966193" w:rsidP="00966193">
            <w:pPr>
              <w:spacing w:line="360" w:lineRule="auto"/>
              <w:jc w:val="both"/>
              <w:rPr>
                <w:rFonts w:ascii="Book Antiqua" w:hAnsi="Book Antiqua"/>
              </w:rPr>
            </w:pPr>
          </w:p>
        </w:tc>
      </w:tr>
    </w:tbl>
    <w:p w14:paraId="7F1B6D8D" w14:textId="77777777" w:rsidR="00966193" w:rsidRDefault="00966193">
      <w:pPr>
        <w:spacing w:line="360" w:lineRule="auto"/>
        <w:jc w:val="both"/>
        <w:rPr>
          <w:rFonts w:ascii="Book Antiqua" w:hAnsi="Book Antiqua" w:hint="eastAsia"/>
          <w:b/>
          <w:bCs/>
          <w:lang w:eastAsia="zh-CN"/>
        </w:rPr>
      </w:pPr>
    </w:p>
    <w:p w14:paraId="7C802469" w14:textId="77777777" w:rsidR="00A50B97" w:rsidRDefault="00A50B97">
      <w:pPr>
        <w:spacing w:line="360" w:lineRule="auto"/>
        <w:jc w:val="both"/>
        <w:rPr>
          <w:rFonts w:ascii="Book Antiqua" w:hAnsi="Book Antiqua" w:hint="eastAsia"/>
          <w:b/>
          <w:bCs/>
          <w:lang w:eastAsia="zh-CN"/>
        </w:rPr>
      </w:pPr>
    </w:p>
    <w:p w14:paraId="5B01C21C" w14:textId="77777777" w:rsidR="00A50B97" w:rsidRDefault="00A50B97">
      <w:pPr>
        <w:spacing w:line="360" w:lineRule="auto"/>
        <w:jc w:val="both"/>
        <w:rPr>
          <w:rFonts w:ascii="Book Antiqua" w:hAnsi="Book Antiqua" w:hint="eastAsia"/>
          <w:b/>
          <w:bCs/>
          <w:lang w:eastAsia="zh-CN"/>
        </w:rPr>
      </w:pPr>
    </w:p>
    <w:p w14:paraId="6D8090A6" w14:textId="77777777" w:rsidR="00A50B97" w:rsidRDefault="00A50B97">
      <w:pPr>
        <w:spacing w:line="360" w:lineRule="auto"/>
        <w:jc w:val="both"/>
        <w:rPr>
          <w:rFonts w:ascii="Book Antiqua" w:hAnsi="Book Antiqua" w:hint="eastAsia"/>
          <w:b/>
          <w:bCs/>
          <w:lang w:eastAsia="zh-CN"/>
        </w:rPr>
      </w:pPr>
    </w:p>
    <w:p w14:paraId="783A2065" w14:textId="77777777" w:rsidR="00A50B97" w:rsidRDefault="00A50B97">
      <w:pPr>
        <w:spacing w:line="360" w:lineRule="auto"/>
        <w:jc w:val="both"/>
        <w:rPr>
          <w:rFonts w:ascii="Book Antiqua" w:hAnsi="Book Antiqua" w:hint="eastAsia"/>
          <w:b/>
          <w:bCs/>
          <w:lang w:eastAsia="zh-CN"/>
        </w:rPr>
      </w:pPr>
    </w:p>
    <w:p w14:paraId="68F9B8B4" w14:textId="77777777" w:rsidR="00A50B97" w:rsidRDefault="00A50B97">
      <w:pPr>
        <w:spacing w:line="360" w:lineRule="auto"/>
        <w:jc w:val="both"/>
        <w:rPr>
          <w:rFonts w:ascii="Book Antiqua" w:hAnsi="Book Antiqua" w:hint="eastAsia"/>
          <w:b/>
          <w:bCs/>
          <w:lang w:eastAsia="zh-CN"/>
        </w:rPr>
      </w:pPr>
    </w:p>
    <w:p w14:paraId="4F2FAE87" w14:textId="77777777" w:rsidR="00A50B97" w:rsidRDefault="00A50B97">
      <w:pPr>
        <w:spacing w:line="360" w:lineRule="auto"/>
        <w:jc w:val="both"/>
        <w:rPr>
          <w:rFonts w:ascii="Book Antiqua" w:hAnsi="Book Antiqua" w:hint="eastAsia"/>
          <w:b/>
          <w:bCs/>
          <w:lang w:eastAsia="zh-CN"/>
        </w:rPr>
      </w:pPr>
    </w:p>
    <w:p w14:paraId="7347426A" w14:textId="77777777" w:rsidR="00A50B97" w:rsidRDefault="00A50B97">
      <w:pPr>
        <w:spacing w:line="360" w:lineRule="auto"/>
        <w:jc w:val="both"/>
        <w:rPr>
          <w:rFonts w:ascii="Book Antiqua" w:hAnsi="Book Antiqua" w:hint="eastAsia"/>
          <w:b/>
          <w:bCs/>
          <w:lang w:eastAsia="zh-CN"/>
        </w:rPr>
      </w:pPr>
    </w:p>
    <w:p w14:paraId="0FCBC064" w14:textId="77777777" w:rsidR="00A50B97" w:rsidRDefault="00A50B97">
      <w:pPr>
        <w:spacing w:line="360" w:lineRule="auto"/>
        <w:jc w:val="both"/>
        <w:rPr>
          <w:rFonts w:ascii="Book Antiqua" w:hAnsi="Book Antiqua" w:hint="eastAsia"/>
          <w:b/>
          <w:bCs/>
          <w:lang w:eastAsia="zh-CN"/>
        </w:rPr>
      </w:pPr>
    </w:p>
    <w:p w14:paraId="16A074C1" w14:textId="77777777" w:rsidR="00A50B97" w:rsidRDefault="00A50B97">
      <w:pPr>
        <w:spacing w:line="360" w:lineRule="auto"/>
        <w:jc w:val="both"/>
        <w:rPr>
          <w:rFonts w:ascii="Book Antiqua" w:hAnsi="Book Antiqua" w:hint="eastAsia"/>
          <w:b/>
          <w:bCs/>
          <w:lang w:eastAsia="zh-CN"/>
        </w:rPr>
      </w:pPr>
    </w:p>
    <w:p w14:paraId="24ABBAF9" w14:textId="77777777" w:rsidR="00A50B97" w:rsidRDefault="00A50B97">
      <w:pPr>
        <w:spacing w:line="360" w:lineRule="auto"/>
        <w:jc w:val="both"/>
        <w:rPr>
          <w:rFonts w:ascii="Book Antiqua" w:hAnsi="Book Antiqua" w:hint="eastAsia"/>
          <w:b/>
          <w:bCs/>
          <w:lang w:eastAsia="zh-CN"/>
        </w:rPr>
      </w:pPr>
    </w:p>
    <w:p w14:paraId="6B30B866" w14:textId="77777777" w:rsidR="00A50B97" w:rsidRDefault="00A50B97">
      <w:pPr>
        <w:spacing w:line="360" w:lineRule="auto"/>
        <w:jc w:val="both"/>
        <w:rPr>
          <w:rFonts w:ascii="Book Antiqua" w:hAnsi="Book Antiqua" w:hint="eastAsia"/>
          <w:b/>
          <w:bCs/>
          <w:lang w:eastAsia="zh-CN"/>
        </w:rPr>
      </w:pPr>
    </w:p>
    <w:p w14:paraId="6F27A81F" w14:textId="77777777" w:rsidR="00A50B97" w:rsidRPr="00A50B97" w:rsidRDefault="00A50B97" w:rsidP="00A50B97">
      <w:pPr>
        <w:jc w:val="center"/>
        <w:rPr>
          <w:rFonts w:ascii="Book Antiqua" w:eastAsia="宋体" w:hAnsi="Book Antiqua"/>
          <w:lang w:eastAsia="zh-CN"/>
        </w:rPr>
      </w:pPr>
    </w:p>
    <w:p w14:paraId="5F699017" w14:textId="77777777" w:rsidR="00A50B97" w:rsidRPr="00A50B97" w:rsidRDefault="00A50B97" w:rsidP="00A50B97">
      <w:pPr>
        <w:jc w:val="center"/>
        <w:rPr>
          <w:rFonts w:ascii="Book Antiqua" w:eastAsia="宋体" w:hAnsi="Book Antiqua"/>
          <w:lang w:eastAsia="zh-CN"/>
        </w:rPr>
      </w:pPr>
    </w:p>
    <w:p w14:paraId="6FC9B2AC" w14:textId="77777777" w:rsidR="00A50B97" w:rsidRPr="00A50B97" w:rsidRDefault="00A50B97" w:rsidP="00A50B97">
      <w:pPr>
        <w:jc w:val="center"/>
        <w:rPr>
          <w:rFonts w:ascii="Book Antiqua" w:eastAsia="宋体" w:hAnsi="Book Antiqua"/>
          <w:lang w:eastAsia="zh-CN"/>
        </w:rPr>
      </w:pPr>
    </w:p>
    <w:p w14:paraId="27D8550A" w14:textId="77777777" w:rsidR="00A50B97" w:rsidRPr="00A50B97" w:rsidRDefault="00A50B97" w:rsidP="00A50B97">
      <w:pPr>
        <w:jc w:val="center"/>
        <w:rPr>
          <w:rFonts w:ascii="Book Antiqua" w:eastAsia="宋体" w:hAnsi="Book Antiqua"/>
          <w:lang w:eastAsia="zh-CN"/>
        </w:rPr>
      </w:pPr>
    </w:p>
    <w:p w14:paraId="31433155" w14:textId="77777777" w:rsidR="00A50B97" w:rsidRPr="00A50B97" w:rsidRDefault="00A50B97" w:rsidP="00A50B97">
      <w:pPr>
        <w:jc w:val="center"/>
        <w:rPr>
          <w:rFonts w:ascii="Book Antiqua" w:eastAsia="宋体" w:hAnsi="Book Antiqua"/>
          <w:lang w:eastAsia="zh-CN"/>
        </w:rPr>
      </w:pPr>
    </w:p>
    <w:p w14:paraId="79C85567" w14:textId="77777777" w:rsidR="00A50B97" w:rsidRPr="00A50B97" w:rsidRDefault="00A50B97" w:rsidP="00A50B97">
      <w:pPr>
        <w:jc w:val="center"/>
        <w:rPr>
          <w:rFonts w:ascii="Book Antiqua" w:eastAsia="宋体" w:hAnsi="Book Antiqua"/>
          <w:lang w:eastAsia="zh-CN"/>
        </w:rPr>
      </w:pPr>
      <w:r w:rsidRPr="00A50B97">
        <w:rPr>
          <w:rFonts w:ascii="Book Antiqua" w:eastAsia="宋体" w:hAnsi="Book Antiqua"/>
          <w:noProof/>
          <w:lang w:eastAsia="zh-CN"/>
        </w:rPr>
        <w:drawing>
          <wp:inline distT="0" distB="0" distL="0" distR="0" wp14:anchorId="39CADC57" wp14:editId="3673B8AB">
            <wp:extent cx="2499360" cy="1442720"/>
            <wp:effectExtent l="0" t="0" r="0" b="5080"/>
            <wp:docPr id="1" name="图片 5"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2720"/>
                    </a:xfrm>
                    <a:prstGeom prst="rect">
                      <a:avLst/>
                    </a:prstGeom>
                    <a:noFill/>
                    <a:ln>
                      <a:noFill/>
                    </a:ln>
                  </pic:spPr>
                </pic:pic>
              </a:graphicData>
            </a:graphic>
          </wp:inline>
        </w:drawing>
      </w:r>
    </w:p>
    <w:p w14:paraId="15815438" w14:textId="77777777" w:rsidR="00A50B97" w:rsidRPr="00A50B97" w:rsidRDefault="00A50B97" w:rsidP="00A50B97">
      <w:pPr>
        <w:jc w:val="center"/>
        <w:rPr>
          <w:rFonts w:ascii="Book Antiqua" w:eastAsia="宋体" w:hAnsi="Book Antiqua"/>
          <w:lang w:eastAsia="zh-CN"/>
        </w:rPr>
      </w:pPr>
    </w:p>
    <w:p w14:paraId="1D88AF4E" w14:textId="77777777" w:rsidR="00A50B97" w:rsidRPr="00A50B97" w:rsidRDefault="00A50B97" w:rsidP="00A50B97">
      <w:pPr>
        <w:autoSpaceDE w:val="0"/>
        <w:autoSpaceDN w:val="0"/>
        <w:adjustRightInd w:val="0"/>
        <w:jc w:val="center"/>
        <w:rPr>
          <w:rFonts w:ascii="Book Antiqua" w:eastAsia="Garamond-Bold" w:hAnsi="Book Antiqua" w:cs="Garamond-Bold"/>
          <w:b/>
          <w:bCs/>
          <w:color w:val="000000"/>
          <w:sz w:val="28"/>
          <w:szCs w:val="28"/>
        </w:rPr>
      </w:pPr>
      <w:r w:rsidRPr="00A50B97">
        <w:rPr>
          <w:rFonts w:ascii="Book Antiqua" w:eastAsia="TimesNewRomanPSMT" w:hAnsi="Book Antiqua" w:cs="TimesNewRomanPSMT"/>
          <w:color w:val="000000"/>
          <w:sz w:val="28"/>
          <w:szCs w:val="28"/>
        </w:rPr>
        <w:t xml:space="preserve">Published by </w:t>
      </w:r>
      <w:proofErr w:type="spellStart"/>
      <w:r w:rsidRPr="00A50B97">
        <w:rPr>
          <w:rFonts w:ascii="Book Antiqua" w:eastAsia="Garamond-Bold" w:hAnsi="Book Antiqua" w:cs="Garamond-Bold"/>
          <w:b/>
          <w:bCs/>
          <w:color w:val="000000"/>
          <w:sz w:val="28"/>
          <w:szCs w:val="28"/>
        </w:rPr>
        <w:t>Baishideng</w:t>
      </w:r>
      <w:proofErr w:type="spellEnd"/>
      <w:r w:rsidRPr="00A50B97">
        <w:rPr>
          <w:rFonts w:ascii="Book Antiqua" w:eastAsia="Garamond-Bold" w:hAnsi="Book Antiqua" w:cs="Garamond-Bold"/>
          <w:b/>
          <w:bCs/>
          <w:color w:val="000000"/>
          <w:sz w:val="28"/>
          <w:szCs w:val="28"/>
        </w:rPr>
        <w:t xml:space="preserve"> Publishing Group </w:t>
      </w:r>
      <w:proofErr w:type="spellStart"/>
      <w:r w:rsidRPr="00A50B97">
        <w:rPr>
          <w:rFonts w:ascii="Book Antiqua" w:eastAsia="Garamond-Bold" w:hAnsi="Book Antiqua" w:cs="Garamond-Bold"/>
          <w:b/>
          <w:bCs/>
          <w:color w:val="000000"/>
          <w:sz w:val="28"/>
          <w:szCs w:val="28"/>
        </w:rPr>
        <w:t>Inc</w:t>
      </w:r>
      <w:proofErr w:type="spellEnd"/>
    </w:p>
    <w:p w14:paraId="1FB9F757" w14:textId="77777777" w:rsidR="00A50B97" w:rsidRPr="00A50B97" w:rsidRDefault="00A50B97" w:rsidP="00A50B97">
      <w:pPr>
        <w:autoSpaceDE w:val="0"/>
        <w:autoSpaceDN w:val="0"/>
        <w:adjustRightInd w:val="0"/>
        <w:jc w:val="center"/>
        <w:rPr>
          <w:rFonts w:ascii="Book Antiqua" w:eastAsia="TimesNewRomanPSMT" w:hAnsi="Book Antiqua" w:cs="Garamond"/>
          <w:color w:val="000000"/>
          <w:sz w:val="28"/>
          <w:szCs w:val="28"/>
        </w:rPr>
      </w:pPr>
      <w:r w:rsidRPr="00A50B97">
        <w:rPr>
          <w:rFonts w:ascii="Book Antiqua" w:eastAsia="TimesNewRomanPSMT" w:hAnsi="Book Antiqua" w:cs="Garamond"/>
          <w:color w:val="000000"/>
          <w:sz w:val="28"/>
          <w:szCs w:val="28"/>
        </w:rPr>
        <w:t>7041 Koll Center Parkway, Suite 160, Pleasanton, CA 94566, USA</w:t>
      </w:r>
    </w:p>
    <w:p w14:paraId="3C527A54" w14:textId="77777777" w:rsidR="00A50B97" w:rsidRPr="00A50B97" w:rsidRDefault="00A50B97" w:rsidP="00A50B97">
      <w:pPr>
        <w:autoSpaceDE w:val="0"/>
        <w:autoSpaceDN w:val="0"/>
        <w:adjustRightInd w:val="0"/>
        <w:jc w:val="center"/>
        <w:rPr>
          <w:rFonts w:ascii="Book Antiqua" w:eastAsia="TimesNewRomanPSMT" w:hAnsi="Book Antiqua" w:cs="Garamond"/>
          <w:color w:val="000000"/>
          <w:sz w:val="28"/>
          <w:szCs w:val="28"/>
        </w:rPr>
      </w:pPr>
      <w:r w:rsidRPr="00A50B97">
        <w:rPr>
          <w:rFonts w:ascii="Book Antiqua" w:eastAsia="Garamond-Bold" w:hAnsi="Book Antiqua" w:cs="Garamond-Bold"/>
          <w:b/>
          <w:bCs/>
          <w:color w:val="000000"/>
          <w:sz w:val="28"/>
          <w:szCs w:val="28"/>
        </w:rPr>
        <w:t xml:space="preserve">Telephone: </w:t>
      </w:r>
      <w:r w:rsidRPr="00A50B97">
        <w:rPr>
          <w:rFonts w:ascii="Book Antiqua" w:eastAsia="TimesNewRomanPSMT" w:hAnsi="Book Antiqua" w:cs="Garamond"/>
          <w:color w:val="000000"/>
          <w:sz w:val="28"/>
          <w:szCs w:val="28"/>
        </w:rPr>
        <w:t>+1-925-3991568</w:t>
      </w:r>
    </w:p>
    <w:p w14:paraId="432BCB6C" w14:textId="77777777" w:rsidR="00A50B97" w:rsidRPr="00A50B97" w:rsidRDefault="00A50B97" w:rsidP="00A50B97">
      <w:pPr>
        <w:autoSpaceDE w:val="0"/>
        <w:autoSpaceDN w:val="0"/>
        <w:adjustRightInd w:val="0"/>
        <w:jc w:val="center"/>
        <w:rPr>
          <w:rFonts w:ascii="Book Antiqua" w:eastAsia="TimesNewRomanPSMT" w:hAnsi="Book Antiqua" w:cs="Garamond"/>
          <w:color w:val="D56400"/>
          <w:sz w:val="28"/>
          <w:szCs w:val="28"/>
        </w:rPr>
      </w:pPr>
      <w:r w:rsidRPr="00A50B97">
        <w:rPr>
          <w:rFonts w:ascii="Book Antiqua" w:eastAsia="Garamond-Bold" w:hAnsi="Book Antiqua" w:cs="Garamond-Bold"/>
          <w:b/>
          <w:bCs/>
          <w:color w:val="000000"/>
          <w:sz w:val="28"/>
          <w:szCs w:val="28"/>
        </w:rPr>
        <w:t xml:space="preserve">E-mail: </w:t>
      </w:r>
      <w:r w:rsidRPr="00A50B97">
        <w:rPr>
          <w:rFonts w:ascii="Book Antiqua" w:eastAsia="TimesNewRomanPSMT" w:hAnsi="Book Antiqua" w:cs="Garamond"/>
          <w:color w:val="D56400"/>
          <w:sz w:val="28"/>
          <w:szCs w:val="28"/>
        </w:rPr>
        <w:t>bpgoffice@wjgnet.com</w:t>
      </w:r>
    </w:p>
    <w:p w14:paraId="0227BF16" w14:textId="77777777" w:rsidR="00A50B97" w:rsidRPr="00A50B97" w:rsidRDefault="00A50B97" w:rsidP="00A50B97">
      <w:pPr>
        <w:autoSpaceDE w:val="0"/>
        <w:autoSpaceDN w:val="0"/>
        <w:adjustRightInd w:val="0"/>
        <w:jc w:val="center"/>
        <w:rPr>
          <w:rFonts w:ascii="Book Antiqua" w:eastAsia="TimesNewRomanPSMT" w:hAnsi="Book Antiqua" w:cs="Garamond"/>
          <w:color w:val="D56400"/>
          <w:sz w:val="28"/>
          <w:szCs w:val="28"/>
        </w:rPr>
      </w:pPr>
      <w:r w:rsidRPr="00A50B97">
        <w:rPr>
          <w:rFonts w:ascii="Book Antiqua" w:eastAsia="Garamond-Bold" w:hAnsi="Book Antiqua" w:cs="Garamond-Bold"/>
          <w:b/>
          <w:bCs/>
          <w:color w:val="000000"/>
          <w:sz w:val="28"/>
          <w:szCs w:val="28"/>
        </w:rPr>
        <w:t xml:space="preserve">Help Desk: </w:t>
      </w:r>
      <w:r w:rsidRPr="00A50B97">
        <w:rPr>
          <w:rFonts w:ascii="Book Antiqua" w:eastAsia="TimesNewRomanPSMT" w:hAnsi="Book Antiqua" w:cs="Garamond"/>
          <w:color w:val="D56400"/>
          <w:sz w:val="28"/>
          <w:szCs w:val="28"/>
        </w:rPr>
        <w:t>https://www.f6publishing.com/helpdesk</w:t>
      </w:r>
    </w:p>
    <w:p w14:paraId="49DA6218" w14:textId="77777777" w:rsidR="00A50B97" w:rsidRPr="00A50B97" w:rsidRDefault="00A50B97" w:rsidP="00A50B97">
      <w:pPr>
        <w:jc w:val="center"/>
        <w:rPr>
          <w:rFonts w:ascii="Book Antiqua" w:eastAsia="宋体" w:hAnsi="Book Antiqua"/>
          <w:lang w:eastAsia="zh-CN"/>
        </w:rPr>
      </w:pPr>
      <w:r w:rsidRPr="00A50B97">
        <w:rPr>
          <w:rFonts w:ascii="Book Antiqua" w:eastAsia="TimesNewRomanPSMT" w:hAnsi="Book Antiqua" w:cs="Garamond"/>
          <w:color w:val="D56400"/>
          <w:sz w:val="28"/>
          <w:szCs w:val="28"/>
        </w:rPr>
        <w:t>https://www.wjgnet.com</w:t>
      </w:r>
    </w:p>
    <w:p w14:paraId="59F207EA" w14:textId="77777777" w:rsidR="00A50B97" w:rsidRPr="00A50B97" w:rsidRDefault="00A50B97" w:rsidP="00A50B97">
      <w:pPr>
        <w:jc w:val="center"/>
        <w:rPr>
          <w:rFonts w:ascii="Book Antiqua" w:eastAsia="宋体" w:hAnsi="Book Antiqua"/>
          <w:lang w:eastAsia="zh-CN"/>
        </w:rPr>
      </w:pPr>
    </w:p>
    <w:p w14:paraId="35267AA5" w14:textId="77777777" w:rsidR="00A50B97" w:rsidRPr="00A50B97" w:rsidRDefault="00A50B97" w:rsidP="00A50B97">
      <w:pPr>
        <w:jc w:val="center"/>
        <w:rPr>
          <w:rFonts w:ascii="Book Antiqua" w:eastAsia="宋体" w:hAnsi="Book Antiqua"/>
          <w:lang w:eastAsia="zh-CN"/>
        </w:rPr>
      </w:pPr>
    </w:p>
    <w:p w14:paraId="203BCF3B" w14:textId="77777777" w:rsidR="00A50B97" w:rsidRPr="00A50B97" w:rsidRDefault="00A50B97" w:rsidP="00A50B97">
      <w:pPr>
        <w:jc w:val="center"/>
        <w:rPr>
          <w:rFonts w:ascii="Book Antiqua" w:eastAsia="宋体" w:hAnsi="Book Antiqua"/>
          <w:lang w:eastAsia="zh-CN"/>
        </w:rPr>
      </w:pPr>
    </w:p>
    <w:p w14:paraId="3189C242" w14:textId="77777777" w:rsidR="00A50B97" w:rsidRPr="00A50B97" w:rsidRDefault="00A50B97" w:rsidP="00A50B97">
      <w:pPr>
        <w:jc w:val="center"/>
        <w:rPr>
          <w:rFonts w:ascii="Book Antiqua" w:eastAsia="宋体" w:hAnsi="Book Antiqua"/>
          <w:lang w:eastAsia="zh-CN"/>
        </w:rPr>
      </w:pPr>
      <w:r w:rsidRPr="00A50B97">
        <w:rPr>
          <w:rFonts w:ascii="Book Antiqua" w:eastAsia="宋体" w:hAnsi="Book Antiqua"/>
          <w:noProof/>
          <w:lang w:eastAsia="zh-CN"/>
        </w:rPr>
        <w:drawing>
          <wp:inline distT="0" distB="0" distL="0" distR="0" wp14:anchorId="10804167" wp14:editId="2359D89F">
            <wp:extent cx="1447800" cy="1442720"/>
            <wp:effectExtent l="0" t="0" r="0" b="5080"/>
            <wp:docPr id="2" name="图片 6"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2720"/>
                    </a:xfrm>
                    <a:prstGeom prst="rect">
                      <a:avLst/>
                    </a:prstGeom>
                    <a:noFill/>
                    <a:ln>
                      <a:noFill/>
                    </a:ln>
                  </pic:spPr>
                </pic:pic>
              </a:graphicData>
            </a:graphic>
          </wp:inline>
        </w:drawing>
      </w:r>
    </w:p>
    <w:p w14:paraId="0CEE1DD2" w14:textId="77777777" w:rsidR="00A50B97" w:rsidRPr="00A50B97" w:rsidRDefault="00A50B97" w:rsidP="00A50B97">
      <w:pPr>
        <w:jc w:val="center"/>
        <w:rPr>
          <w:rFonts w:ascii="Book Antiqua" w:eastAsia="宋体" w:hAnsi="Book Antiqua"/>
          <w:lang w:eastAsia="zh-CN"/>
        </w:rPr>
      </w:pPr>
    </w:p>
    <w:p w14:paraId="25FAAB7A" w14:textId="77777777" w:rsidR="00A50B97" w:rsidRPr="00A50B97" w:rsidRDefault="00A50B97" w:rsidP="00A50B97">
      <w:pPr>
        <w:jc w:val="center"/>
        <w:rPr>
          <w:rFonts w:ascii="Book Antiqua" w:eastAsia="宋体" w:hAnsi="Book Antiqua"/>
          <w:lang w:eastAsia="zh-CN"/>
        </w:rPr>
      </w:pPr>
    </w:p>
    <w:p w14:paraId="1C9124EA" w14:textId="77777777" w:rsidR="00A50B97" w:rsidRPr="00A50B97" w:rsidRDefault="00A50B97" w:rsidP="00A50B97">
      <w:pPr>
        <w:jc w:val="center"/>
        <w:rPr>
          <w:rFonts w:ascii="Book Antiqua" w:eastAsia="宋体" w:hAnsi="Book Antiqua"/>
          <w:lang w:eastAsia="zh-CN"/>
        </w:rPr>
      </w:pPr>
    </w:p>
    <w:p w14:paraId="0741E453" w14:textId="77777777" w:rsidR="00A50B97" w:rsidRPr="00A50B97" w:rsidRDefault="00A50B97" w:rsidP="00A50B97">
      <w:pPr>
        <w:jc w:val="center"/>
        <w:rPr>
          <w:rFonts w:ascii="Book Antiqua" w:eastAsia="宋体" w:hAnsi="Book Antiqua"/>
          <w:lang w:eastAsia="zh-CN"/>
        </w:rPr>
      </w:pPr>
    </w:p>
    <w:p w14:paraId="05E10A4A" w14:textId="77777777" w:rsidR="00A50B97" w:rsidRPr="00A50B97" w:rsidRDefault="00A50B97" w:rsidP="00A50B97">
      <w:pPr>
        <w:jc w:val="center"/>
        <w:rPr>
          <w:rFonts w:ascii="Book Antiqua" w:eastAsia="宋体" w:hAnsi="Book Antiqua"/>
          <w:lang w:eastAsia="zh-CN"/>
        </w:rPr>
      </w:pPr>
    </w:p>
    <w:p w14:paraId="25546CF6" w14:textId="77777777" w:rsidR="00A50B97" w:rsidRPr="00A50B97" w:rsidRDefault="00A50B97" w:rsidP="00A50B97">
      <w:pPr>
        <w:jc w:val="center"/>
        <w:rPr>
          <w:rFonts w:ascii="Book Antiqua" w:eastAsia="宋体" w:hAnsi="Book Antiqua"/>
          <w:lang w:eastAsia="zh-CN"/>
        </w:rPr>
      </w:pPr>
    </w:p>
    <w:p w14:paraId="32E4D60F" w14:textId="77777777" w:rsidR="00A50B97" w:rsidRPr="00A50B97" w:rsidRDefault="00A50B97" w:rsidP="00A50B97">
      <w:pPr>
        <w:jc w:val="center"/>
        <w:rPr>
          <w:rFonts w:ascii="Book Antiqua" w:eastAsia="宋体" w:hAnsi="Book Antiqua"/>
          <w:lang w:eastAsia="zh-CN"/>
        </w:rPr>
      </w:pPr>
    </w:p>
    <w:p w14:paraId="0FF4DC3D" w14:textId="77777777" w:rsidR="00A50B97" w:rsidRPr="00A50B97" w:rsidRDefault="00A50B97" w:rsidP="00A50B97">
      <w:pPr>
        <w:jc w:val="center"/>
        <w:rPr>
          <w:rFonts w:ascii="Book Antiqua" w:eastAsia="宋体" w:hAnsi="Book Antiqua"/>
          <w:lang w:eastAsia="zh-CN"/>
        </w:rPr>
      </w:pPr>
    </w:p>
    <w:p w14:paraId="3FB1BB05" w14:textId="77777777" w:rsidR="00A50B97" w:rsidRPr="00A50B97" w:rsidRDefault="00A50B97" w:rsidP="00A50B97">
      <w:pPr>
        <w:jc w:val="center"/>
        <w:rPr>
          <w:rFonts w:ascii="Book Antiqua" w:eastAsia="宋体" w:hAnsi="Book Antiqua"/>
          <w:lang w:eastAsia="zh-CN"/>
        </w:rPr>
      </w:pPr>
    </w:p>
    <w:p w14:paraId="206084C3" w14:textId="77777777" w:rsidR="00A50B97" w:rsidRPr="00A50B97" w:rsidRDefault="00A50B97" w:rsidP="00A50B97">
      <w:pPr>
        <w:jc w:val="right"/>
        <w:rPr>
          <w:rFonts w:ascii="Book Antiqua" w:eastAsia="宋体" w:hAnsi="Book Antiqua"/>
          <w:color w:val="000000"/>
          <w:lang w:eastAsia="zh-CN"/>
        </w:rPr>
      </w:pPr>
    </w:p>
    <w:p w14:paraId="31D1ED6E" w14:textId="77777777" w:rsidR="00A50B97" w:rsidRPr="00A50B97" w:rsidRDefault="00A50B97" w:rsidP="00A50B97">
      <w:pPr>
        <w:jc w:val="center"/>
        <w:rPr>
          <w:rFonts w:ascii="Book Antiqua" w:eastAsia="宋体" w:hAnsi="Book Antiqua"/>
          <w:color w:val="000000"/>
          <w:lang w:eastAsia="zh-CN"/>
        </w:rPr>
      </w:pPr>
      <w:r w:rsidRPr="00A50B97">
        <w:rPr>
          <w:rFonts w:ascii="Book Antiqua" w:eastAsia="BookAntiqua-Bold" w:hAnsi="Book Antiqua" w:cs="BookAntiqua-Bold"/>
          <w:b/>
          <w:bCs/>
          <w:color w:val="000000"/>
        </w:rPr>
        <w:t xml:space="preserve">© 2021 </w:t>
      </w:r>
      <w:proofErr w:type="spellStart"/>
      <w:r w:rsidRPr="00A50B97">
        <w:rPr>
          <w:rFonts w:ascii="Book Antiqua" w:eastAsia="BookAntiqua-Bold" w:hAnsi="Book Antiqua" w:cs="BookAntiqua-Bold"/>
          <w:b/>
          <w:bCs/>
          <w:color w:val="000000"/>
        </w:rPr>
        <w:t>Baishideng</w:t>
      </w:r>
      <w:proofErr w:type="spellEnd"/>
      <w:r w:rsidRPr="00A50B97">
        <w:rPr>
          <w:rFonts w:ascii="Book Antiqua" w:eastAsia="BookAntiqua-Bold" w:hAnsi="Book Antiqua" w:cs="BookAntiqua-Bold"/>
          <w:b/>
          <w:bCs/>
          <w:color w:val="000000"/>
        </w:rPr>
        <w:t xml:space="preserve"> Publishing Group Inc. All rights reserved.</w:t>
      </w:r>
      <w:r w:rsidRPr="00A50B97">
        <w:rPr>
          <w:rFonts w:ascii="Book Antiqua" w:eastAsia="宋体" w:hAnsi="Book Antiqua"/>
          <w:color w:val="000000"/>
          <w:lang w:eastAsia="zh-CN"/>
        </w:rPr>
        <w:fldChar w:fldCharType="begin"/>
      </w:r>
      <w:r w:rsidRPr="00A50B97">
        <w:rPr>
          <w:rFonts w:ascii="Book Antiqua" w:eastAsia="宋体" w:hAnsi="Book Antiqua"/>
          <w:color w:val="000000"/>
          <w:lang w:eastAsia="zh-CN"/>
        </w:rPr>
        <w:instrText xml:space="preserve"> ADDIN EN.REFLIST </w:instrText>
      </w:r>
      <w:r w:rsidRPr="00A50B97">
        <w:rPr>
          <w:rFonts w:ascii="Book Antiqua" w:eastAsia="宋体" w:hAnsi="Book Antiqua"/>
          <w:color w:val="000000"/>
          <w:lang w:eastAsia="zh-CN"/>
        </w:rPr>
        <w:fldChar w:fldCharType="end"/>
      </w:r>
    </w:p>
    <w:p w14:paraId="0C82FE3C" w14:textId="77777777" w:rsidR="00A50B97" w:rsidRPr="00A50B97" w:rsidRDefault="00A50B97">
      <w:pPr>
        <w:spacing w:line="360" w:lineRule="auto"/>
        <w:jc w:val="both"/>
        <w:rPr>
          <w:rFonts w:ascii="Book Antiqua" w:hAnsi="Book Antiqua" w:hint="eastAsia"/>
          <w:b/>
          <w:bCs/>
          <w:lang w:eastAsia="zh-CN"/>
        </w:rPr>
      </w:pPr>
    </w:p>
    <w:sectPr w:rsidR="00A50B97" w:rsidRPr="00A50B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7DDB4" w14:textId="77777777" w:rsidR="002C32CA" w:rsidRDefault="002C32CA" w:rsidP="00485582">
      <w:r>
        <w:separator/>
      </w:r>
    </w:p>
  </w:endnote>
  <w:endnote w:type="continuationSeparator" w:id="0">
    <w:p w14:paraId="74A68A8E" w14:textId="77777777" w:rsidR="002C32CA" w:rsidRDefault="002C32CA" w:rsidP="0048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88393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9EC607C" w14:textId="717E5CEE" w:rsidR="00485582" w:rsidRPr="00485582" w:rsidRDefault="00485582" w:rsidP="00485582">
            <w:pPr>
              <w:pStyle w:val="a7"/>
              <w:jc w:val="right"/>
              <w:rPr>
                <w:rFonts w:ascii="Book Antiqua" w:hAnsi="Book Antiqua"/>
                <w:sz w:val="24"/>
                <w:szCs w:val="24"/>
              </w:rPr>
            </w:pPr>
            <w:r w:rsidRPr="00485582">
              <w:rPr>
                <w:rFonts w:ascii="Book Antiqua" w:hAnsi="Book Antiqua"/>
                <w:sz w:val="24"/>
                <w:szCs w:val="24"/>
                <w:lang w:val="zh-CN" w:eastAsia="zh-CN"/>
              </w:rPr>
              <w:t xml:space="preserve"> </w:t>
            </w:r>
            <w:r w:rsidRPr="00485582">
              <w:rPr>
                <w:rFonts w:ascii="Book Antiqua" w:hAnsi="Book Antiqua"/>
                <w:sz w:val="24"/>
                <w:szCs w:val="24"/>
              </w:rPr>
              <w:fldChar w:fldCharType="begin"/>
            </w:r>
            <w:r w:rsidRPr="00485582">
              <w:rPr>
                <w:rFonts w:ascii="Book Antiqua" w:hAnsi="Book Antiqua"/>
                <w:sz w:val="24"/>
                <w:szCs w:val="24"/>
              </w:rPr>
              <w:instrText>PAGE</w:instrText>
            </w:r>
            <w:r w:rsidRPr="00485582">
              <w:rPr>
                <w:rFonts w:ascii="Book Antiqua" w:hAnsi="Book Antiqua"/>
                <w:sz w:val="24"/>
                <w:szCs w:val="24"/>
              </w:rPr>
              <w:fldChar w:fldCharType="separate"/>
            </w:r>
            <w:r w:rsidR="008C477D">
              <w:rPr>
                <w:rFonts w:ascii="Book Antiqua" w:hAnsi="Book Antiqua"/>
                <w:noProof/>
                <w:sz w:val="24"/>
                <w:szCs w:val="24"/>
              </w:rPr>
              <w:t>28</w:t>
            </w:r>
            <w:r w:rsidRPr="00485582">
              <w:rPr>
                <w:rFonts w:ascii="Book Antiqua" w:hAnsi="Book Antiqua"/>
                <w:sz w:val="24"/>
                <w:szCs w:val="24"/>
              </w:rPr>
              <w:fldChar w:fldCharType="end"/>
            </w:r>
            <w:r w:rsidRPr="00485582">
              <w:rPr>
                <w:rFonts w:ascii="Book Antiqua" w:hAnsi="Book Antiqua"/>
                <w:sz w:val="24"/>
                <w:szCs w:val="24"/>
                <w:lang w:val="zh-CN" w:eastAsia="zh-CN"/>
              </w:rPr>
              <w:t xml:space="preserve"> / </w:t>
            </w:r>
            <w:r w:rsidRPr="00485582">
              <w:rPr>
                <w:rFonts w:ascii="Book Antiqua" w:hAnsi="Book Antiqua"/>
                <w:sz w:val="24"/>
                <w:szCs w:val="24"/>
              </w:rPr>
              <w:fldChar w:fldCharType="begin"/>
            </w:r>
            <w:r w:rsidRPr="00485582">
              <w:rPr>
                <w:rFonts w:ascii="Book Antiqua" w:hAnsi="Book Antiqua"/>
                <w:sz w:val="24"/>
                <w:szCs w:val="24"/>
              </w:rPr>
              <w:instrText>NUMPAGES</w:instrText>
            </w:r>
            <w:r w:rsidRPr="00485582">
              <w:rPr>
                <w:rFonts w:ascii="Book Antiqua" w:hAnsi="Book Antiqua"/>
                <w:sz w:val="24"/>
                <w:szCs w:val="24"/>
              </w:rPr>
              <w:fldChar w:fldCharType="separate"/>
            </w:r>
            <w:r w:rsidR="008C477D">
              <w:rPr>
                <w:rFonts w:ascii="Book Antiqua" w:hAnsi="Book Antiqua"/>
                <w:noProof/>
                <w:sz w:val="24"/>
                <w:szCs w:val="24"/>
              </w:rPr>
              <w:t>28</w:t>
            </w:r>
            <w:r w:rsidRPr="00485582">
              <w:rPr>
                <w:rFonts w:ascii="Book Antiqua" w:hAnsi="Book Antiqua"/>
                <w:sz w:val="24"/>
                <w:szCs w:val="24"/>
              </w:rPr>
              <w:fldChar w:fldCharType="end"/>
            </w:r>
          </w:p>
        </w:sdtContent>
      </w:sdt>
    </w:sdtContent>
  </w:sdt>
  <w:p w14:paraId="517BA1EB" w14:textId="77777777" w:rsidR="00485582" w:rsidRPr="00485582" w:rsidRDefault="00485582" w:rsidP="00485582">
    <w:pPr>
      <w:pStyle w:val="a7"/>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504B3" w14:textId="77777777" w:rsidR="002C32CA" w:rsidRDefault="002C32CA" w:rsidP="00485582">
      <w:r>
        <w:separator/>
      </w:r>
    </w:p>
  </w:footnote>
  <w:footnote w:type="continuationSeparator" w:id="0">
    <w:p w14:paraId="6A4417BE" w14:textId="77777777" w:rsidR="002C32CA" w:rsidRDefault="002C32CA" w:rsidP="004855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F5FA9"/>
    <w:rsid w:val="00125DE2"/>
    <w:rsid w:val="00142179"/>
    <w:rsid w:val="001C4D7F"/>
    <w:rsid w:val="001D0569"/>
    <w:rsid w:val="002115B8"/>
    <w:rsid w:val="00227D36"/>
    <w:rsid w:val="0026271F"/>
    <w:rsid w:val="002C32CA"/>
    <w:rsid w:val="003039EE"/>
    <w:rsid w:val="00325F35"/>
    <w:rsid w:val="003751BF"/>
    <w:rsid w:val="00401E1D"/>
    <w:rsid w:val="0046232F"/>
    <w:rsid w:val="004847FF"/>
    <w:rsid w:val="00485582"/>
    <w:rsid w:val="004B4F9C"/>
    <w:rsid w:val="0053562C"/>
    <w:rsid w:val="005C11CD"/>
    <w:rsid w:val="005D3263"/>
    <w:rsid w:val="005D5C53"/>
    <w:rsid w:val="006533DE"/>
    <w:rsid w:val="00671E52"/>
    <w:rsid w:val="006F6F1A"/>
    <w:rsid w:val="00777843"/>
    <w:rsid w:val="00793943"/>
    <w:rsid w:val="00834701"/>
    <w:rsid w:val="008C477D"/>
    <w:rsid w:val="00966193"/>
    <w:rsid w:val="009A7174"/>
    <w:rsid w:val="00A0725E"/>
    <w:rsid w:val="00A113E1"/>
    <w:rsid w:val="00A50B97"/>
    <w:rsid w:val="00A77B3E"/>
    <w:rsid w:val="00A81A53"/>
    <w:rsid w:val="00A82D74"/>
    <w:rsid w:val="00AB0742"/>
    <w:rsid w:val="00B073FE"/>
    <w:rsid w:val="00B12D9B"/>
    <w:rsid w:val="00C511D5"/>
    <w:rsid w:val="00CA2A55"/>
    <w:rsid w:val="00CC2C56"/>
    <w:rsid w:val="00CF7190"/>
    <w:rsid w:val="00D41BF4"/>
    <w:rsid w:val="00D7127F"/>
    <w:rsid w:val="00E51B8E"/>
    <w:rsid w:val="00FF0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5D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C11CD"/>
    <w:rPr>
      <w:sz w:val="18"/>
      <w:szCs w:val="18"/>
    </w:rPr>
  </w:style>
  <w:style w:type="character" w:customStyle="1" w:styleId="Char">
    <w:name w:val="批注框文本 Char"/>
    <w:basedOn w:val="a0"/>
    <w:link w:val="a3"/>
    <w:rsid w:val="005C11CD"/>
    <w:rPr>
      <w:sz w:val="18"/>
      <w:szCs w:val="18"/>
    </w:rPr>
  </w:style>
  <w:style w:type="table" w:customStyle="1" w:styleId="TableGrid1">
    <w:name w:val="Table Grid1"/>
    <w:basedOn w:val="a1"/>
    <w:next w:val="a4"/>
    <w:uiPriority w:val="39"/>
    <w:rsid w:val="003039EE"/>
    <w:rPr>
      <w:rFonts w:asciiTheme="minorHAnsi" w:eastAsia="宋体"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3039EE"/>
    <w:rPr>
      <w:rFonts w:asciiTheme="minorHAnsi" w:eastAsiaTheme="minorHAnsi" w:hAnsiTheme="minorHAnsi" w:cstheme="minorBidi"/>
      <w:sz w:val="22"/>
      <w:szCs w:val="22"/>
    </w:rPr>
  </w:style>
  <w:style w:type="table" w:styleId="a4">
    <w:name w:val="Table Grid"/>
    <w:basedOn w:val="a1"/>
    <w:uiPriority w:val="39"/>
    <w:rsid w:val="003039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4"/>
    <w:uiPriority w:val="39"/>
    <w:rsid w:val="00966193"/>
    <w:rPr>
      <w:rFonts w:asciiTheme="minorHAnsi" w:eastAsia="Calibr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nhideWhenUsed/>
    <w:rsid w:val="004855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485582"/>
    <w:rPr>
      <w:sz w:val="18"/>
      <w:szCs w:val="18"/>
    </w:rPr>
  </w:style>
  <w:style w:type="paragraph" w:styleId="a7">
    <w:name w:val="footer"/>
    <w:basedOn w:val="a"/>
    <w:link w:val="Char1"/>
    <w:uiPriority w:val="99"/>
    <w:unhideWhenUsed/>
    <w:rsid w:val="00485582"/>
    <w:pPr>
      <w:tabs>
        <w:tab w:val="center" w:pos="4153"/>
        <w:tab w:val="right" w:pos="8306"/>
      </w:tabs>
      <w:snapToGrid w:val="0"/>
    </w:pPr>
    <w:rPr>
      <w:sz w:val="18"/>
      <w:szCs w:val="18"/>
    </w:rPr>
  </w:style>
  <w:style w:type="character" w:customStyle="1" w:styleId="Char1">
    <w:name w:val="页脚 Char"/>
    <w:basedOn w:val="a0"/>
    <w:link w:val="a7"/>
    <w:uiPriority w:val="99"/>
    <w:rsid w:val="0048558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C11CD"/>
    <w:rPr>
      <w:sz w:val="18"/>
      <w:szCs w:val="18"/>
    </w:rPr>
  </w:style>
  <w:style w:type="character" w:customStyle="1" w:styleId="Char">
    <w:name w:val="批注框文本 Char"/>
    <w:basedOn w:val="a0"/>
    <w:link w:val="a3"/>
    <w:rsid w:val="005C11CD"/>
    <w:rPr>
      <w:sz w:val="18"/>
      <w:szCs w:val="18"/>
    </w:rPr>
  </w:style>
  <w:style w:type="table" w:customStyle="1" w:styleId="TableGrid1">
    <w:name w:val="Table Grid1"/>
    <w:basedOn w:val="a1"/>
    <w:next w:val="a4"/>
    <w:uiPriority w:val="39"/>
    <w:rsid w:val="003039EE"/>
    <w:rPr>
      <w:rFonts w:asciiTheme="minorHAnsi" w:eastAsia="宋体"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3039EE"/>
    <w:rPr>
      <w:rFonts w:asciiTheme="minorHAnsi" w:eastAsiaTheme="minorHAnsi" w:hAnsiTheme="minorHAnsi" w:cstheme="minorBidi"/>
      <w:sz w:val="22"/>
      <w:szCs w:val="22"/>
    </w:rPr>
  </w:style>
  <w:style w:type="table" w:styleId="a4">
    <w:name w:val="Table Grid"/>
    <w:basedOn w:val="a1"/>
    <w:uiPriority w:val="39"/>
    <w:rsid w:val="003039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4"/>
    <w:uiPriority w:val="39"/>
    <w:rsid w:val="00966193"/>
    <w:rPr>
      <w:rFonts w:asciiTheme="minorHAnsi" w:eastAsia="Calibr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nhideWhenUsed/>
    <w:rsid w:val="004855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485582"/>
    <w:rPr>
      <w:sz w:val="18"/>
      <w:szCs w:val="18"/>
    </w:rPr>
  </w:style>
  <w:style w:type="paragraph" w:styleId="a7">
    <w:name w:val="footer"/>
    <w:basedOn w:val="a"/>
    <w:link w:val="Char1"/>
    <w:uiPriority w:val="99"/>
    <w:unhideWhenUsed/>
    <w:rsid w:val="00485582"/>
    <w:pPr>
      <w:tabs>
        <w:tab w:val="center" w:pos="4153"/>
        <w:tab w:val="right" w:pos="8306"/>
      </w:tabs>
      <w:snapToGrid w:val="0"/>
    </w:pPr>
    <w:rPr>
      <w:sz w:val="18"/>
      <w:szCs w:val="18"/>
    </w:rPr>
  </w:style>
  <w:style w:type="character" w:customStyle="1" w:styleId="Char1">
    <w:name w:val="页脚 Char"/>
    <w:basedOn w:val="a0"/>
    <w:link w:val="a7"/>
    <w:uiPriority w:val="99"/>
    <w:rsid w:val="004855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60742">
      <w:bodyDiv w:val="1"/>
      <w:marLeft w:val="0"/>
      <w:marRight w:val="0"/>
      <w:marTop w:val="0"/>
      <w:marBottom w:val="0"/>
      <w:divBdr>
        <w:top w:val="none" w:sz="0" w:space="0" w:color="auto"/>
        <w:left w:val="none" w:sz="0" w:space="0" w:color="auto"/>
        <w:bottom w:val="none" w:sz="0" w:space="0" w:color="auto"/>
        <w:right w:val="none" w:sz="0" w:space="0" w:color="auto"/>
      </w:divBdr>
    </w:div>
    <w:div w:id="660041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28</Pages>
  <Words>6697</Words>
  <Characters>38173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马玉杰</cp:lastModifiedBy>
  <cp:revision>10</cp:revision>
  <dcterms:created xsi:type="dcterms:W3CDTF">2021-01-22T03:09:00Z</dcterms:created>
  <dcterms:modified xsi:type="dcterms:W3CDTF">2021-02-02T13:27:00Z</dcterms:modified>
</cp:coreProperties>
</file>