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85E43B" w14:textId="77777777" w:rsidR="00C57888" w:rsidRDefault="002A0D66">
      <w:pPr>
        <w:adjustRightInd w:val="0"/>
        <w:snapToGrid w:val="0"/>
        <w:spacing w:line="360" w:lineRule="auto"/>
        <w:jc w:val="both"/>
        <w:rPr>
          <w:rFonts w:ascii="Book Antiqua" w:hAnsi="Book Antiqua"/>
          <w:color w:val="000000" w:themeColor="text1"/>
        </w:rPr>
      </w:pPr>
      <w:bookmarkStart w:id="0" w:name="_GoBack"/>
      <w:bookmarkEnd w:id="0"/>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Clinical Cases</w:t>
      </w:r>
    </w:p>
    <w:p w14:paraId="4C915AB7"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61037</w:t>
      </w:r>
    </w:p>
    <w:p w14:paraId="7F51E98E"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CASE REPORT</w:t>
      </w:r>
    </w:p>
    <w:p w14:paraId="0479ECF1" w14:textId="77777777" w:rsidR="00C57888" w:rsidRDefault="00C57888">
      <w:pPr>
        <w:adjustRightInd w:val="0"/>
        <w:snapToGrid w:val="0"/>
        <w:spacing w:line="360" w:lineRule="auto"/>
        <w:jc w:val="both"/>
        <w:rPr>
          <w:rFonts w:ascii="Book Antiqua" w:hAnsi="Book Antiqua"/>
          <w:color w:val="000000" w:themeColor="text1"/>
        </w:rPr>
      </w:pPr>
    </w:p>
    <w:p w14:paraId="548392DF" w14:textId="561EB8BC" w:rsidR="00C57888" w:rsidRDefault="002A0D66">
      <w:pPr>
        <w:adjustRightInd w:val="0"/>
        <w:snapToGrid w:val="0"/>
        <w:spacing w:line="360" w:lineRule="auto"/>
        <w:jc w:val="both"/>
        <w:rPr>
          <w:rFonts w:ascii="Book Antiqua" w:hAnsi="Book Antiqua"/>
          <w:b/>
          <w:bCs/>
          <w:color w:val="000000" w:themeColor="text1"/>
        </w:rPr>
      </w:pPr>
      <w:bookmarkStart w:id="1" w:name="_Hlk65243595"/>
      <w:r>
        <w:rPr>
          <w:rFonts w:ascii="Book Antiqua" w:eastAsia="Book Antiqua" w:hAnsi="Book Antiqua" w:cs="Book Antiqua"/>
          <w:b/>
          <w:bCs/>
          <w:color w:val="000000" w:themeColor="text1"/>
        </w:rPr>
        <w:t>Rehabilitation and pharmacotherapy</w:t>
      </w:r>
      <w:r>
        <w:rPr>
          <w:rStyle w:val="skip"/>
          <w:rFonts w:ascii="Book Antiqua" w:eastAsia="Book Antiqua" w:hAnsi="Book Antiqua" w:cs="Book Antiqua"/>
          <w:b/>
          <w:bCs/>
          <w:color w:val="000000" w:themeColor="text1"/>
          <w:shd w:val="clear" w:color="auto" w:fill="FFFFFF"/>
        </w:rPr>
        <w:t xml:space="preserve"> </w:t>
      </w:r>
      <w:r>
        <w:rPr>
          <w:rFonts w:ascii="Book Antiqua" w:eastAsia="Book Antiqua" w:hAnsi="Book Antiqua" w:cs="Book Antiqua"/>
          <w:b/>
          <w:bCs/>
          <w:color w:val="000000" w:themeColor="text1"/>
        </w:rPr>
        <w:t xml:space="preserve">of </w:t>
      </w:r>
      <w:proofErr w:type="spellStart"/>
      <w:r>
        <w:rPr>
          <w:rFonts w:ascii="Book Antiqua" w:eastAsia="Book Antiqua" w:hAnsi="Book Antiqua" w:cs="Book Antiqua"/>
          <w:b/>
          <w:bCs/>
          <w:color w:val="000000" w:themeColor="text1"/>
          <w:shd w:val="clear" w:color="auto" w:fill="FFFFFF"/>
        </w:rPr>
        <w:t>neuromyelitis</w:t>
      </w:r>
      <w:proofErr w:type="spellEnd"/>
      <w:r>
        <w:rPr>
          <w:rFonts w:ascii="Book Antiqua" w:eastAsia="Book Antiqua" w:hAnsi="Book Antiqua" w:cs="Book Antiqua"/>
          <w:b/>
          <w:bCs/>
          <w:color w:val="000000" w:themeColor="text1"/>
          <w:shd w:val="clear" w:color="auto" w:fill="FFFFFF"/>
        </w:rPr>
        <w:t xml:space="preserve"> </w:t>
      </w:r>
      <w:proofErr w:type="spellStart"/>
      <w:r>
        <w:rPr>
          <w:rFonts w:ascii="Book Antiqua" w:eastAsia="Book Antiqua" w:hAnsi="Book Antiqua" w:cs="Book Antiqua"/>
          <w:b/>
          <w:bCs/>
          <w:color w:val="000000" w:themeColor="text1"/>
          <w:shd w:val="clear" w:color="auto" w:fill="FFFFFF"/>
        </w:rPr>
        <w:t>optica</w:t>
      </w:r>
      <w:proofErr w:type="spellEnd"/>
      <w:r>
        <w:rPr>
          <w:rFonts w:ascii="Book Antiqua" w:eastAsia="Book Antiqua" w:hAnsi="Book Antiqua" w:cs="Book Antiqua"/>
          <w:b/>
          <w:bCs/>
          <w:color w:val="000000" w:themeColor="text1"/>
          <w:shd w:val="clear" w:color="auto" w:fill="FFFFFF"/>
        </w:rPr>
        <w:t xml:space="preserve"> spectrum disorder</w:t>
      </w:r>
      <w:r>
        <w:rPr>
          <w:rFonts w:ascii="Book Antiqua" w:eastAsia="Book Antiqua" w:hAnsi="Book Antiqua" w:cs="Book Antiqua"/>
          <w:b/>
          <w:bCs/>
          <w:color w:val="000000" w:themeColor="text1"/>
        </w:rPr>
        <w:t>: A case report</w:t>
      </w:r>
    </w:p>
    <w:bookmarkEnd w:id="1"/>
    <w:p w14:paraId="56A64D20" w14:textId="77777777" w:rsidR="00C57888" w:rsidRDefault="00C57888">
      <w:pPr>
        <w:adjustRightInd w:val="0"/>
        <w:snapToGrid w:val="0"/>
        <w:spacing w:line="360" w:lineRule="auto"/>
        <w:jc w:val="both"/>
        <w:rPr>
          <w:rFonts w:ascii="Book Antiqua" w:hAnsi="Book Antiqua"/>
          <w:color w:val="000000" w:themeColor="text1"/>
        </w:rPr>
      </w:pPr>
    </w:p>
    <w:p w14:paraId="44E9B5D7"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Wang XJ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 xml:space="preserve"> Rehabilitation and pharmacotherapy of NMOSD</w:t>
      </w:r>
    </w:p>
    <w:p w14:paraId="54F1E48D" w14:textId="77777777" w:rsidR="00C57888" w:rsidRDefault="00C57888">
      <w:pPr>
        <w:adjustRightInd w:val="0"/>
        <w:snapToGrid w:val="0"/>
        <w:spacing w:line="360" w:lineRule="auto"/>
        <w:jc w:val="both"/>
        <w:rPr>
          <w:rFonts w:ascii="Book Antiqua" w:hAnsi="Book Antiqua"/>
          <w:color w:val="000000" w:themeColor="text1"/>
        </w:rPr>
      </w:pPr>
    </w:p>
    <w:p w14:paraId="5ED9E131"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Xiao-Ju Wang, Peng Xia, Ting Yang, Kai Cheng, An-Liang Chen, </w:t>
      </w:r>
      <w:proofErr w:type="spellStart"/>
      <w:r>
        <w:rPr>
          <w:rFonts w:ascii="Book Antiqua" w:eastAsia="Book Antiqua" w:hAnsi="Book Antiqua" w:cs="Book Antiqua"/>
          <w:color w:val="000000" w:themeColor="text1"/>
        </w:rPr>
        <w:t>Xue</w:t>
      </w:r>
      <w:proofErr w:type="spellEnd"/>
      <w:r>
        <w:rPr>
          <w:rFonts w:ascii="Book Antiqua" w:eastAsia="Book Antiqua" w:hAnsi="Book Antiqua" w:cs="Book Antiqua"/>
          <w:color w:val="000000" w:themeColor="text1"/>
        </w:rPr>
        <w:t>-Ping Li</w:t>
      </w:r>
    </w:p>
    <w:p w14:paraId="67A10B2F" w14:textId="77777777" w:rsidR="00C57888" w:rsidRDefault="00C57888">
      <w:pPr>
        <w:adjustRightInd w:val="0"/>
        <w:snapToGrid w:val="0"/>
        <w:spacing w:line="360" w:lineRule="auto"/>
        <w:jc w:val="both"/>
        <w:rPr>
          <w:rFonts w:ascii="Book Antiqua" w:hAnsi="Book Antiqua"/>
          <w:color w:val="000000" w:themeColor="text1"/>
        </w:rPr>
      </w:pPr>
    </w:p>
    <w:p w14:paraId="283709FB"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Xiao-Ju Wang, Peng Xia, Ting Yang, Kai Cheng, An-Liang Chen, </w:t>
      </w:r>
      <w:proofErr w:type="spellStart"/>
      <w:r>
        <w:rPr>
          <w:rFonts w:ascii="Book Antiqua" w:eastAsia="Book Antiqua" w:hAnsi="Book Antiqua" w:cs="Book Antiqua"/>
          <w:b/>
          <w:bCs/>
          <w:color w:val="000000" w:themeColor="text1"/>
        </w:rPr>
        <w:t>Xue</w:t>
      </w:r>
      <w:proofErr w:type="spellEnd"/>
      <w:r>
        <w:rPr>
          <w:rFonts w:ascii="Book Antiqua" w:eastAsia="Book Antiqua" w:hAnsi="Book Antiqua" w:cs="Book Antiqua"/>
          <w:b/>
          <w:bCs/>
          <w:color w:val="000000" w:themeColor="text1"/>
        </w:rPr>
        <w:t xml:space="preserve">-Ping Li, </w:t>
      </w:r>
      <w:r>
        <w:rPr>
          <w:rFonts w:ascii="Book Antiqua" w:eastAsia="Book Antiqua" w:hAnsi="Book Antiqua" w:cs="Book Antiqua"/>
          <w:color w:val="000000" w:themeColor="text1"/>
        </w:rPr>
        <w:t>Department of Rehabilitation Medicine, Nanjing First Hospital, Nanjing Medical University, Nanjing 210006, Jiangsu Province, China</w:t>
      </w:r>
    </w:p>
    <w:p w14:paraId="628697FB" w14:textId="77777777" w:rsidR="00C57888" w:rsidRDefault="00C57888">
      <w:pPr>
        <w:adjustRightInd w:val="0"/>
        <w:snapToGrid w:val="0"/>
        <w:spacing w:line="360" w:lineRule="auto"/>
        <w:jc w:val="both"/>
        <w:rPr>
          <w:rFonts w:ascii="Book Antiqua" w:hAnsi="Book Antiqua"/>
          <w:color w:val="000000" w:themeColor="text1"/>
        </w:rPr>
      </w:pPr>
    </w:p>
    <w:p w14:paraId="6081620E" w14:textId="7C3F7DB5"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 xml:space="preserve">Wang XJ and Xia P contributed equally to this article; Wang XJ wrote the manuscript; Xia P contributed to the data acquisition; </w:t>
      </w:r>
      <w:r>
        <w:rPr>
          <w:rFonts w:ascii="Book Antiqua" w:eastAsia="Book Antiqua" w:hAnsi="Book Antiqua" w:cs="Book Antiqua"/>
          <w:bCs/>
          <w:color w:val="000000" w:themeColor="text1"/>
        </w:rPr>
        <w:t>Yang</w:t>
      </w:r>
      <w:r>
        <w:rPr>
          <w:rFonts w:ascii="Book Antiqua" w:eastAsia="Book Antiqua" w:hAnsi="Book Antiqua" w:cs="Book Antiqua"/>
          <w:color w:val="000000" w:themeColor="text1"/>
        </w:rPr>
        <w:t xml:space="preserve"> T and Cheng K followed the patient </w:t>
      </w:r>
      <w:r w:rsidR="008771F0">
        <w:rPr>
          <w:rFonts w:ascii="Book Antiqua" w:eastAsia="Book Antiqua" w:hAnsi="Book Antiqua" w:cs="Book Antiqua"/>
          <w:color w:val="000000" w:themeColor="text1"/>
        </w:rPr>
        <w:t>during</w:t>
      </w:r>
      <w:r>
        <w:rPr>
          <w:rFonts w:ascii="Book Antiqua" w:eastAsia="Book Antiqua" w:hAnsi="Book Antiqua" w:cs="Book Antiqua"/>
          <w:color w:val="000000" w:themeColor="text1"/>
        </w:rPr>
        <w:t xml:space="preserve"> treatment; Li XP and </w:t>
      </w:r>
      <w:r>
        <w:rPr>
          <w:rFonts w:ascii="Book Antiqua" w:eastAsia="Book Antiqua" w:hAnsi="Book Antiqua" w:cs="Book Antiqua"/>
          <w:bCs/>
          <w:color w:val="000000" w:themeColor="text1"/>
        </w:rPr>
        <w:t>Chen</w:t>
      </w:r>
      <w:r>
        <w:rPr>
          <w:rFonts w:ascii="Book Antiqua" w:eastAsia="Book Antiqua" w:hAnsi="Book Antiqua" w:cs="Book Antiqua"/>
          <w:color w:val="000000" w:themeColor="text1"/>
        </w:rPr>
        <w:t xml:space="preserve"> AL revised the manuscript. </w:t>
      </w:r>
    </w:p>
    <w:p w14:paraId="5E9BA62D" w14:textId="77777777" w:rsidR="00C57888" w:rsidRDefault="00C57888">
      <w:pPr>
        <w:adjustRightInd w:val="0"/>
        <w:snapToGrid w:val="0"/>
        <w:spacing w:line="360" w:lineRule="auto"/>
        <w:jc w:val="both"/>
        <w:rPr>
          <w:rFonts w:ascii="Book Antiqua" w:hAnsi="Book Antiqua"/>
          <w:color w:val="000000" w:themeColor="text1"/>
        </w:rPr>
      </w:pPr>
    </w:p>
    <w:p w14:paraId="1442E631"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w:t>
      </w:r>
      <w:proofErr w:type="spellStart"/>
      <w:r>
        <w:rPr>
          <w:rFonts w:ascii="Book Antiqua" w:eastAsia="Book Antiqua" w:hAnsi="Book Antiqua" w:cs="Book Antiqua"/>
          <w:b/>
          <w:bCs/>
          <w:color w:val="000000" w:themeColor="text1"/>
        </w:rPr>
        <w:t>Xue</w:t>
      </w:r>
      <w:proofErr w:type="spellEnd"/>
      <w:r>
        <w:rPr>
          <w:rFonts w:ascii="Book Antiqua" w:eastAsia="Book Antiqua" w:hAnsi="Book Antiqua" w:cs="Book Antiqua"/>
          <w:b/>
          <w:bCs/>
          <w:color w:val="000000" w:themeColor="text1"/>
        </w:rPr>
        <w:t xml:space="preserve">-Ping Li, PhD, Chief Doctor, </w:t>
      </w:r>
      <w:r>
        <w:rPr>
          <w:rFonts w:ascii="Book Antiqua" w:eastAsia="Book Antiqua" w:hAnsi="Book Antiqua" w:cs="Book Antiqua"/>
          <w:color w:val="000000" w:themeColor="text1"/>
        </w:rPr>
        <w:t xml:space="preserve">Department of Rehabilitation Medicine, Nanjing First Hospital, Nanjing Medical University, No. 68 </w:t>
      </w:r>
      <w:proofErr w:type="spellStart"/>
      <w:r>
        <w:rPr>
          <w:rFonts w:ascii="Book Antiqua" w:eastAsia="Book Antiqua" w:hAnsi="Book Antiqua" w:cs="Book Antiqua"/>
          <w:color w:val="000000" w:themeColor="text1"/>
        </w:rPr>
        <w:t>Changle</w:t>
      </w:r>
      <w:proofErr w:type="spellEnd"/>
      <w:r>
        <w:rPr>
          <w:rFonts w:ascii="Book Antiqua" w:eastAsia="Book Antiqua" w:hAnsi="Book Antiqua" w:cs="Book Antiqua"/>
          <w:color w:val="000000" w:themeColor="text1"/>
        </w:rPr>
        <w:t xml:space="preserve"> Road, Nanjing 210006, Jiangsu Province, China. lixueping2020@njmu.edu.cn</w:t>
      </w:r>
    </w:p>
    <w:p w14:paraId="6585911B" w14:textId="77777777" w:rsidR="00C57888" w:rsidRDefault="00C57888">
      <w:pPr>
        <w:adjustRightInd w:val="0"/>
        <w:snapToGrid w:val="0"/>
        <w:spacing w:line="360" w:lineRule="auto"/>
        <w:jc w:val="both"/>
        <w:rPr>
          <w:rFonts w:ascii="Book Antiqua" w:hAnsi="Book Antiqua"/>
          <w:color w:val="000000" w:themeColor="text1"/>
        </w:rPr>
      </w:pPr>
    </w:p>
    <w:p w14:paraId="501CB890"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November 22, 2020</w:t>
      </w:r>
    </w:p>
    <w:p w14:paraId="78E13A89"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January 2, 2021</w:t>
      </w:r>
    </w:p>
    <w:p w14:paraId="738F8BE2" w14:textId="103D889C"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r w:rsidR="009A242E" w:rsidRPr="009A242E">
        <w:rPr>
          <w:rFonts w:ascii="Book Antiqua" w:eastAsia="Book Antiqua" w:hAnsi="Book Antiqua" w:cs="Book Antiqua"/>
          <w:color w:val="000000" w:themeColor="text1"/>
        </w:rPr>
        <w:t>March 5, 2021</w:t>
      </w:r>
    </w:p>
    <w:p w14:paraId="64F64F84"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Published online: </w:t>
      </w:r>
    </w:p>
    <w:p w14:paraId="585562E1" w14:textId="77777777" w:rsidR="00C57888" w:rsidRDefault="00C57888">
      <w:pPr>
        <w:adjustRightInd w:val="0"/>
        <w:snapToGrid w:val="0"/>
        <w:spacing w:line="360" w:lineRule="auto"/>
        <w:jc w:val="both"/>
        <w:rPr>
          <w:rFonts w:ascii="Book Antiqua" w:hAnsi="Book Antiqua"/>
          <w:color w:val="000000" w:themeColor="text1"/>
        </w:rPr>
        <w:sectPr w:rsidR="00C57888">
          <w:pgSz w:w="12240" w:h="15840"/>
          <w:pgMar w:top="1440" w:right="1440" w:bottom="1440" w:left="1440" w:header="720" w:footer="720" w:gutter="0"/>
          <w:cols w:space="720"/>
          <w:docGrid w:linePitch="360"/>
        </w:sectPr>
      </w:pPr>
    </w:p>
    <w:p w14:paraId="5EBF291A"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14:paraId="6698C2B4"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14:paraId="0D7261B0" w14:textId="77777777" w:rsidR="00C57888" w:rsidRDefault="002A0D66">
      <w:pPr>
        <w:adjustRightInd w:val="0"/>
        <w:snapToGrid w:val="0"/>
        <w:spacing w:line="360" w:lineRule="auto"/>
        <w:jc w:val="both"/>
        <w:rPr>
          <w:rFonts w:ascii="Book Antiqua" w:hAnsi="Book Antiqua"/>
          <w:color w:val="000000" w:themeColor="text1"/>
        </w:rPr>
      </w:pPr>
      <w:proofErr w:type="spellStart"/>
      <w:r>
        <w:rPr>
          <w:rFonts w:ascii="Book Antiqua" w:eastAsia="Book Antiqua" w:hAnsi="Book Antiqua" w:cs="Book Antiqua"/>
          <w:color w:val="000000" w:themeColor="text1"/>
          <w:shd w:val="clear" w:color="auto" w:fill="FFFFFF"/>
        </w:rPr>
        <w:t>Neuromyelitis</w:t>
      </w:r>
      <w:proofErr w:type="spellEnd"/>
      <w:r>
        <w:rPr>
          <w:rFonts w:ascii="Book Antiqua" w:eastAsia="Book Antiqua" w:hAnsi="Book Antiqua" w:cs="Book Antiqua"/>
          <w:color w:val="000000" w:themeColor="text1"/>
          <w:shd w:val="clear" w:color="auto" w:fill="FFFFFF"/>
        </w:rPr>
        <w:t xml:space="preserve"> </w:t>
      </w:r>
      <w:proofErr w:type="spellStart"/>
      <w:r>
        <w:rPr>
          <w:rFonts w:ascii="Book Antiqua" w:eastAsia="Book Antiqua" w:hAnsi="Book Antiqua" w:cs="Book Antiqua"/>
          <w:color w:val="000000" w:themeColor="text1"/>
          <w:shd w:val="clear" w:color="auto" w:fill="FFFFFF"/>
        </w:rPr>
        <w:t>optica</w:t>
      </w:r>
      <w:proofErr w:type="spellEnd"/>
      <w:r>
        <w:rPr>
          <w:rFonts w:ascii="Book Antiqua" w:eastAsia="Book Antiqua" w:hAnsi="Book Antiqua" w:cs="Book Antiqua"/>
          <w:color w:val="000000" w:themeColor="text1"/>
          <w:shd w:val="clear" w:color="auto" w:fill="FFFFFF"/>
        </w:rPr>
        <w:t xml:space="preserve"> spectrum disorder</w:t>
      </w:r>
      <w:r>
        <w:rPr>
          <w:rFonts w:ascii="Book Antiqua" w:eastAsia="Book Antiqua" w:hAnsi="Book Antiqua" w:cs="Book Antiqua"/>
          <w:color w:val="000000" w:themeColor="text1"/>
          <w:vertAlign w:val="superscript"/>
        </w:rPr>
        <w:t xml:space="preserve"> </w:t>
      </w:r>
      <w:r>
        <w:rPr>
          <w:rFonts w:ascii="Book Antiqua" w:eastAsia="Book Antiqua" w:hAnsi="Book Antiqua" w:cs="Book Antiqua"/>
          <w:color w:val="000000" w:themeColor="text1"/>
        </w:rPr>
        <w:t>(NMOSD) is a demyelinating autoimmune disease that affects the central nervous system. It typically manifests as optic neuritis or extensive longitudinal myelitis, with or without the presence of anti-aquaporin protein 4 autoantibodies (</w:t>
      </w:r>
      <w:r>
        <w:rPr>
          <w:rFonts w:ascii="Book Antiqua" w:eastAsia="STHeiti" w:hAnsi="Book Antiqua"/>
          <w:color w:val="000000" w:themeColor="text1"/>
          <w:shd w:val="clear" w:color="auto" w:fill="FFFFFF"/>
        </w:rPr>
        <w:t>immunoglobulin G</w:t>
      </w:r>
      <w:r>
        <w:rPr>
          <w:rFonts w:ascii="Book Antiqua" w:eastAsia="Book Antiqua" w:hAnsi="Book Antiqua" w:cs="Book Antiqua"/>
          <w:color w:val="000000" w:themeColor="text1"/>
        </w:rPr>
        <w:t>).</w:t>
      </w:r>
    </w:p>
    <w:p w14:paraId="781A5ECC" w14:textId="77777777" w:rsidR="00C57888" w:rsidRDefault="00C57888">
      <w:pPr>
        <w:adjustRightInd w:val="0"/>
        <w:snapToGrid w:val="0"/>
        <w:spacing w:line="360" w:lineRule="auto"/>
        <w:jc w:val="both"/>
        <w:rPr>
          <w:rFonts w:ascii="Book Antiqua" w:hAnsi="Book Antiqua"/>
          <w:color w:val="000000" w:themeColor="text1"/>
        </w:rPr>
      </w:pPr>
    </w:p>
    <w:p w14:paraId="26B3AB5A"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CASE SUMMARY</w:t>
      </w:r>
    </w:p>
    <w:p w14:paraId="55C15D42"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We report the case of a 45-year-old woman with a history of Sjogren's syndrome who was diagnosed with NMOSD accompanied by spinal cord injury and left calf intermuscular vein thrombosis. The patient received hormone shock and gamma globulin therapy in the acute phase and standard rehabilitation treatment during convalescence. Upon discharge, the patient was able to control urination and defecation, stand independently, and walk short distances with the aid of a walker.</w:t>
      </w:r>
    </w:p>
    <w:p w14:paraId="76238457" w14:textId="77777777" w:rsidR="00C57888" w:rsidRDefault="00C57888">
      <w:pPr>
        <w:adjustRightInd w:val="0"/>
        <w:snapToGrid w:val="0"/>
        <w:spacing w:line="360" w:lineRule="auto"/>
        <w:jc w:val="both"/>
        <w:rPr>
          <w:rFonts w:ascii="Book Antiqua" w:hAnsi="Book Antiqua"/>
          <w:color w:val="000000" w:themeColor="text1"/>
        </w:rPr>
      </w:pPr>
    </w:p>
    <w:p w14:paraId="4B98F5DD"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14:paraId="461D0DA8"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This case suggests that pharmacotherapy and standard rehabilitation treatment can improve the prognosis of NMSOD patients.</w:t>
      </w:r>
    </w:p>
    <w:p w14:paraId="63A1AEDC" w14:textId="77777777" w:rsidR="00C57888" w:rsidRDefault="00C57888">
      <w:pPr>
        <w:adjustRightInd w:val="0"/>
        <w:snapToGrid w:val="0"/>
        <w:spacing w:line="360" w:lineRule="auto"/>
        <w:jc w:val="both"/>
        <w:rPr>
          <w:rFonts w:ascii="Book Antiqua" w:hAnsi="Book Antiqua"/>
          <w:color w:val="000000" w:themeColor="text1"/>
        </w:rPr>
      </w:pPr>
    </w:p>
    <w:p w14:paraId="4CBE1D0A"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proofErr w:type="spellStart"/>
      <w:r>
        <w:rPr>
          <w:rFonts w:ascii="Book Antiqua" w:eastAsia="Book Antiqua" w:hAnsi="Book Antiqua" w:cs="Book Antiqua"/>
          <w:color w:val="000000" w:themeColor="text1"/>
          <w:shd w:val="clear" w:color="auto" w:fill="FFFFFF"/>
        </w:rPr>
        <w:t>Neuromyelitis</w:t>
      </w:r>
      <w:proofErr w:type="spellEnd"/>
      <w:r>
        <w:rPr>
          <w:rFonts w:ascii="Book Antiqua" w:eastAsia="Book Antiqua" w:hAnsi="Book Antiqua" w:cs="Book Antiqua"/>
          <w:color w:val="000000" w:themeColor="text1"/>
          <w:shd w:val="clear" w:color="auto" w:fill="FFFFFF"/>
        </w:rPr>
        <w:t xml:space="preserve"> </w:t>
      </w:r>
      <w:proofErr w:type="spellStart"/>
      <w:r>
        <w:rPr>
          <w:rFonts w:ascii="Book Antiqua" w:eastAsia="Book Antiqua" w:hAnsi="Book Antiqua" w:cs="Book Antiqua"/>
          <w:color w:val="000000" w:themeColor="text1"/>
          <w:shd w:val="clear" w:color="auto" w:fill="FFFFFF"/>
        </w:rPr>
        <w:t>optica</w:t>
      </w:r>
      <w:proofErr w:type="spellEnd"/>
      <w:r>
        <w:rPr>
          <w:rFonts w:ascii="Book Antiqua" w:eastAsia="Book Antiqua" w:hAnsi="Book Antiqua" w:cs="Book Antiqua"/>
          <w:color w:val="000000" w:themeColor="text1"/>
          <w:shd w:val="clear" w:color="auto" w:fill="FFFFFF"/>
        </w:rPr>
        <w:t xml:space="preserve"> spectrum disorder</w:t>
      </w:r>
      <w:r>
        <w:rPr>
          <w:rFonts w:ascii="Book Antiqua" w:eastAsia="Book Antiqua" w:hAnsi="Book Antiqua" w:cs="Book Antiqua"/>
          <w:color w:val="000000" w:themeColor="text1"/>
        </w:rPr>
        <w:t>;</w:t>
      </w:r>
      <w:r>
        <w:rPr>
          <w:rFonts w:ascii="Book Antiqua" w:eastAsia="Book Antiqua" w:hAnsi="Book Antiqua" w:cs="Book Antiqua"/>
          <w:color w:val="000000" w:themeColor="text1"/>
          <w:shd w:val="clear" w:color="auto" w:fill="FFFFFF"/>
        </w:rPr>
        <w:t xml:space="preserve"> Spinal cord injury;</w:t>
      </w:r>
      <w:r>
        <w:rPr>
          <w:rFonts w:ascii="Book Antiqua" w:eastAsia="Book Antiqua" w:hAnsi="Book Antiqua" w:cs="Book Antiqua"/>
          <w:b/>
          <w:bCs/>
          <w:color w:val="000000" w:themeColor="text1"/>
        </w:rPr>
        <w:t xml:space="preserve"> </w:t>
      </w:r>
      <w:r>
        <w:rPr>
          <w:rFonts w:ascii="Book Antiqua" w:eastAsia="Book Antiqua" w:hAnsi="Book Antiqua" w:cs="Book Antiqua"/>
          <w:bCs/>
          <w:color w:val="000000" w:themeColor="text1"/>
        </w:rPr>
        <w:t>P</w:t>
      </w:r>
      <w:r>
        <w:rPr>
          <w:rFonts w:ascii="Book Antiqua" w:eastAsia="Book Antiqua" w:hAnsi="Book Antiqua" w:cs="Book Antiqua"/>
          <w:color w:val="000000" w:themeColor="text1"/>
          <w:shd w:val="clear" w:color="auto" w:fill="FFFFFF"/>
        </w:rPr>
        <w:t xml:space="preserve">harmacotherapy; Rehabilitation; </w:t>
      </w:r>
      <w:r>
        <w:rPr>
          <w:rFonts w:ascii="Book Antiqua" w:eastAsia="Book Antiqua" w:hAnsi="Book Antiqua" w:cs="Book Antiqua"/>
          <w:color w:val="000000" w:themeColor="text1"/>
        </w:rPr>
        <w:t>Sjogren's syndrome; Case report</w:t>
      </w:r>
    </w:p>
    <w:p w14:paraId="346CF0C9" w14:textId="77777777" w:rsidR="00C57888" w:rsidRDefault="00C57888">
      <w:pPr>
        <w:adjustRightInd w:val="0"/>
        <w:snapToGrid w:val="0"/>
        <w:spacing w:line="360" w:lineRule="auto"/>
        <w:jc w:val="both"/>
        <w:rPr>
          <w:rFonts w:ascii="Book Antiqua" w:hAnsi="Book Antiqua"/>
          <w:color w:val="000000" w:themeColor="text1"/>
        </w:rPr>
      </w:pPr>
    </w:p>
    <w:p w14:paraId="525E14ED" w14:textId="78497FF4" w:rsidR="00C57888" w:rsidRDefault="002A0D66">
      <w:pPr>
        <w:adjustRightInd w:val="0"/>
        <w:snapToGrid w:val="0"/>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color w:val="000000" w:themeColor="text1"/>
        </w:rPr>
        <w:t xml:space="preserve">Wang XJ, Xia P, Yang T, Cheng K, Chen AL, Li XP. Rehabilitation and pharmacotherapy of </w:t>
      </w:r>
      <w:proofErr w:type="spellStart"/>
      <w:r>
        <w:rPr>
          <w:rFonts w:ascii="Book Antiqua" w:eastAsia="Book Antiqua" w:hAnsi="Book Antiqua" w:cs="Book Antiqua"/>
          <w:color w:val="000000" w:themeColor="text1"/>
        </w:rPr>
        <w:t>neuromyelitis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optica</w:t>
      </w:r>
      <w:proofErr w:type="spellEnd"/>
      <w:r>
        <w:rPr>
          <w:rFonts w:ascii="Book Antiqua" w:eastAsia="Book Antiqua" w:hAnsi="Book Antiqua" w:cs="Book Antiqua"/>
          <w:color w:val="000000" w:themeColor="text1"/>
        </w:rPr>
        <w:t xml:space="preserve"> spectrum disorder: A case report. </w:t>
      </w:r>
      <w:r>
        <w:rPr>
          <w:rFonts w:ascii="Book Antiqua" w:eastAsia="Book Antiqua" w:hAnsi="Book Antiqua" w:cs="Book Antiqua"/>
          <w:i/>
          <w:iCs/>
          <w:color w:val="000000" w:themeColor="text1"/>
        </w:rPr>
        <w:t>World J Clin Cases</w:t>
      </w:r>
      <w:r>
        <w:rPr>
          <w:rFonts w:ascii="Book Antiqua" w:eastAsia="Book Antiqua" w:hAnsi="Book Antiqua" w:cs="Book Antiqua"/>
          <w:color w:val="000000" w:themeColor="text1"/>
        </w:rPr>
        <w:t xml:space="preserve"> 2021; In press</w:t>
      </w:r>
    </w:p>
    <w:p w14:paraId="7E55B3FE" w14:textId="77777777" w:rsidR="00C57888" w:rsidRDefault="00C57888">
      <w:pPr>
        <w:adjustRightInd w:val="0"/>
        <w:snapToGrid w:val="0"/>
        <w:spacing w:line="360" w:lineRule="auto"/>
        <w:jc w:val="both"/>
        <w:rPr>
          <w:rFonts w:ascii="Book Antiqua" w:hAnsi="Book Antiqua"/>
          <w:color w:val="000000" w:themeColor="text1"/>
        </w:rPr>
      </w:pPr>
    </w:p>
    <w:p w14:paraId="38E706B1" w14:textId="77777777" w:rsidR="00C57888" w:rsidRDefault="002A0D66">
      <w:pPr>
        <w:adjustRightInd w:val="0"/>
        <w:snapToGrid w:val="0"/>
        <w:spacing w:line="360" w:lineRule="auto"/>
        <w:jc w:val="both"/>
        <w:rPr>
          <w:rFonts w:ascii="Book Antiqua" w:hAnsi="Book Antiqua"/>
          <w:color w:val="000000" w:themeColor="text1"/>
        </w:rPr>
      </w:pPr>
      <w:bookmarkStart w:id="2" w:name="OLE_LINK9"/>
      <w:bookmarkStart w:id="3" w:name="OLE_LINK8"/>
      <w:r>
        <w:rPr>
          <w:rFonts w:ascii="Book Antiqua" w:eastAsia="Book Antiqua" w:hAnsi="Book Antiqua" w:cs="Book Antiqua"/>
          <w:b/>
          <w:bCs/>
          <w:color w:val="000000" w:themeColor="text1"/>
        </w:rPr>
        <w:t>Core Tip</w:t>
      </w:r>
      <w:bookmarkEnd w:id="2"/>
      <w:bookmarkEnd w:id="3"/>
      <w:r>
        <w:rPr>
          <w:rFonts w:ascii="Book Antiqua" w:eastAsia="Book Antiqua" w:hAnsi="Book Antiqua" w:cs="Book Antiqua"/>
          <w:b/>
          <w:bCs/>
          <w:color w:val="000000" w:themeColor="text1"/>
        </w:rPr>
        <w:t xml:space="preserve">: </w:t>
      </w:r>
      <w:proofErr w:type="spellStart"/>
      <w:r>
        <w:rPr>
          <w:rFonts w:ascii="Book Antiqua" w:eastAsia="Book Antiqua" w:hAnsi="Book Antiqua" w:cs="Book Antiqua"/>
          <w:color w:val="000000" w:themeColor="text1"/>
          <w:shd w:val="clear" w:color="auto" w:fill="FFFFFF"/>
        </w:rPr>
        <w:t>Neuromyelitis</w:t>
      </w:r>
      <w:proofErr w:type="spellEnd"/>
      <w:r>
        <w:rPr>
          <w:rFonts w:ascii="Book Antiqua" w:eastAsia="Book Antiqua" w:hAnsi="Book Antiqua" w:cs="Book Antiqua"/>
          <w:color w:val="000000" w:themeColor="text1"/>
          <w:shd w:val="clear" w:color="auto" w:fill="FFFFFF"/>
        </w:rPr>
        <w:t xml:space="preserve"> </w:t>
      </w:r>
      <w:proofErr w:type="spellStart"/>
      <w:r>
        <w:rPr>
          <w:rFonts w:ascii="Book Antiqua" w:eastAsia="Book Antiqua" w:hAnsi="Book Antiqua" w:cs="Book Antiqua"/>
          <w:color w:val="000000" w:themeColor="text1"/>
          <w:shd w:val="clear" w:color="auto" w:fill="FFFFFF"/>
        </w:rPr>
        <w:t>optica</w:t>
      </w:r>
      <w:proofErr w:type="spellEnd"/>
      <w:r>
        <w:rPr>
          <w:rFonts w:ascii="Book Antiqua" w:eastAsia="Book Antiqua" w:hAnsi="Book Antiqua" w:cs="Book Antiqua"/>
          <w:color w:val="000000" w:themeColor="text1"/>
          <w:shd w:val="clear" w:color="auto" w:fill="FFFFFF"/>
        </w:rPr>
        <w:t xml:space="preserve"> spectrum disorder </w:t>
      </w:r>
      <w:r>
        <w:rPr>
          <w:rFonts w:ascii="Book Antiqua" w:eastAsia="Book Antiqua" w:hAnsi="Book Antiqua" w:cs="Book Antiqua"/>
          <w:color w:val="000000" w:themeColor="text1"/>
        </w:rPr>
        <w:t>(NMOSD) is a demyelinating autoimmune disorder of the central nervous system. It typically manifests as optic neuritis or extensive longitudinal myelitis, with or without the presence of anti-</w:t>
      </w:r>
      <w:r>
        <w:rPr>
          <w:rFonts w:ascii="Book Antiqua" w:eastAsia="Book Antiqua" w:hAnsi="Book Antiqua" w:cs="Book Antiqua"/>
          <w:color w:val="000000" w:themeColor="text1"/>
        </w:rPr>
        <w:lastRenderedPageBreak/>
        <w:t>aquaporin protein 4 autoantibodies (</w:t>
      </w:r>
      <w:r>
        <w:rPr>
          <w:rFonts w:ascii="Book Antiqua" w:eastAsia="STHeiti" w:hAnsi="Book Antiqua"/>
          <w:color w:val="000000" w:themeColor="text1"/>
          <w:shd w:val="clear" w:color="auto" w:fill="FFFFFF"/>
        </w:rPr>
        <w:t>immunoglobulin G</w:t>
      </w:r>
      <w:r>
        <w:rPr>
          <w:rFonts w:ascii="Book Antiqua" w:eastAsia="Book Antiqua" w:hAnsi="Book Antiqua" w:cs="Book Antiqua"/>
          <w:color w:val="000000" w:themeColor="text1"/>
        </w:rPr>
        <w:t>). We report the case of a 45-year-old woman with a history of Sjogren's syndrome who was diagnosed with NMOSD accompanied by spinal cord injury and left calf intermuscular vein thrombosis. The patient received hormone shock and gamma globulin therapy in the acute phase and standard rehabilitation treatment during convalescence.</w:t>
      </w:r>
    </w:p>
    <w:p w14:paraId="11F8920A" w14:textId="77777777" w:rsidR="00C57888" w:rsidRDefault="00C57888">
      <w:pPr>
        <w:adjustRightInd w:val="0"/>
        <w:snapToGrid w:val="0"/>
        <w:spacing w:line="360" w:lineRule="auto"/>
        <w:jc w:val="both"/>
        <w:rPr>
          <w:rFonts w:ascii="Book Antiqua" w:hAnsi="Book Antiqua"/>
          <w:color w:val="000000" w:themeColor="text1"/>
        </w:rPr>
        <w:sectPr w:rsidR="00C57888">
          <w:pgSz w:w="12240" w:h="15840"/>
          <w:pgMar w:top="1440" w:right="1440" w:bottom="1440" w:left="1440" w:header="720" w:footer="720" w:gutter="0"/>
          <w:cols w:space="720"/>
          <w:docGrid w:linePitch="360"/>
        </w:sectPr>
      </w:pPr>
    </w:p>
    <w:p w14:paraId="08074607"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lastRenderedPageBreak/>
        <w:t>INTRODUCTION</w:t>
      </w:r>
    </w:p>
    <w:p w14:paraId="1A163D75" w14:textId="11E7BE9D" w:rsidR="00C57888" w:rsidRDefault="002A0D66">
      <w:pPr>
        <w:adjustRightInd w:val="0"/>
        <w:snapToGrid w:val="0"/>
        <w:spacing w:line="360" w:lineRule="auto"/>
        <w:jc w:val="both"/>
        <w:rPr>
          <w:rFonts w:ascii="Book Antiqua" w:hAnsi="Book Antiqua"/>
          <w:color w:val="000000" w:themeColor="text1"/>
        </w:rPr>
      </w:pPr>
      <w:proofErr w:type="spellStart"/>
      <w:r>
        <w:rPr>
          <w:rFonts w:ascii="Book Antiqua" w:eastAsia="Book Antiqua" w:hAnsi="Book Antiqua" w:cs="Book Antiqua"/>
          <w:color w:val="000000" w:themeColor="text1"/>
          <w:shd w:val="clear" w:color="auto" w:fill="FFFFFF"/>
        </w:rPr>
        <w:t>Neuromyelitis</w:t>
      </w:r>
      <w:proofErr w:type="spellEnd"/>
      <w:r>
        <w:rPr>
          <w:rFonts w:ascii="Book Antiqua" w:eastAsia="Book Antiqua" w:hAnsi="Book Antiqua" w:cs="Book Antiqua"/>
          <w:color w:val="000000" w:themeColor="text1"/>
          <w:shd w:val="clear" w:color="auto" w:fill="FFFFFF"/>
        </w:rPr>
        <w:t xml:space="preserve"> </w:t>
      </w:r>
      <w:proofErr w:type="spellStart"/>
      <w:r>
        <w:rPr>
          <w:rFonts w:ascii="Book Antiqua" w:eastAsia="Book Antiqua" w:hAnsi="Book Antiqua" w:cs="Book Antiqua"/>
          <w:color w:val="000000" w:themeColor="text1"/>
          <w:shd w:val="clear" w:color="auto" w:fill="FFFFFF"/>
        </w:rPr>
        <w:t>optica</w:t>
      </w:r>
      <w:proofErr w:type="spellEnd"/>
      <w:r>
        <w:rPr>
          <w:rFonts w:ascii="Book Antiqua" w:eastAsia="Book Antiqua" w:hAnsi="Book Antiqua" w:cs="Book Antiqua"/>
          <w:color w:val="000000" w:themeColor="text1"/>
          <w:shd w:val="clear" w:color="auto" w:fill="FFFFFF"/>
        </w:rPr>
        <w:t xml:space="preserve"> spectrum disorder </w:t>
      </w:r>
      <w:r>
        <w:rPr>
          <w:rFonts w:ascii="Book Antiqua" w:eastAsia="Book Antiqua" w:hAnsi="Book Antiqua" w:cs="Book Antiqua"/>
          <w:color w:val="000000" w:themeColor="text1"/>
        </w:rPr>
        <w:t xml:space="preserve">(NMOSD) is a demyelinating autoimmune disorder of the central nervous system (CNS) with high recurrence and disability </w:t>
      </w:r>
      <w:proofErr w:type="gramStart"/>
      <w:r>
        <w:rPr>
          <w:rFonts w:ascii="Book Antiqua" w:eastAsia="Book Antiqua" w:hAnsi="Book Antiqua" w:cs="Book Antiqua"/>
          <w:color w:val="000000" w:themeColor="text1"/>
        </w:rPr>
        <w:t>rates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It typically manifests as optic neuritis or extensive longitudinal myelitis, with or without the presence of anti-aquaporin protein 4 (AQP4) autoantibodies [</w:t>
      </w:r>
      <w:r>
        <w:rPr>
          <w:rFonts w:ascii="Book Antiqua" w:eastAsia="STHeiti" w:hAnsi="Book Antiqua"/>
          <w:color w:val="000000" w:themeColor="text1"/>
          <w:shd w:val="clear" w:color="auto" w:fill="FFFFFF"/>
        </w:rPr>
        <w:t>immunoglobulin G</w:t>
      </w:r>
      <w:r>
        <w:rPr>
          <w:rFonts w:ascii="Book Antiqua" w:eastAsia="Book Antiqua" w:hAnsi="Book Antiqua" w:cs="Book Antiqua"/>
          <w:color w:val="000000" w:themeColor="text1"/>
        </w:rPr>
        <w:t xml:space="preserve"> (IgG)]. AQP4, an astrocyte-specific aqueous channel protein, is involved in the formation of the blood brain barrier, and regulates the movement of water molecules across the cerebrospinal fluid (CSF), blood and </w:t>
      </w:r>
      <w:proofErr w:type="gramStart"/>
      <w:r>
        <w:rPr>
          <w:rFonts w:ascii="Book Antiqua" w:eastAsia="Book Antiqua" w:hAnsi="Book Antiqua" w:cs="Book Antiqua"/>
          <w:color w:val="000000" w:themeColor="text1"/>
        </w:rPr>
        <w:t>brain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The diagnosis of NMOSD needs to be distinguished from other diseases of the nervous system, such as multiple sclerosis, which is often difficult to distinguish due to their similar clinical symptoms. Hormone shock therapy is an important treatment in the early stage, but many patients are not sensitive to hormone therapy, and even have serious electrolyte disorder.</w:t>
      </w:r>
      <w:r>
        <w:rPr>
          <w:rStyle w:val="tlid-translation"/>
          <w:rFonts w:ascii="Book Antiqua" w:eastAsia="Book Antiqua" w:hAnsi="Book Antiqua" w:cs="Book Antiqua"/>
          <w:color w:val="000000" w:themeColor="text1"/>
        </w:rPr>
        <w:t xml:space="preserve"> NMSOD </w:t>
      </w:r>
      <w:r>
        <w:rPr>
          <w:rFonts w:ascii="Book Antiqua" w:eastAsia="Book Antiqua" w:hAnsi="Book Antiqua" w:cs="Book Antiqua"/>
          <w:color w:val="000000" w:themeColor="text1"/>
        </w:rPr>
        <w:t xml:space="preserve">patients exhibit varying degrees of disability after early clinical pharmacotherapy and need continued rehabilitation. However, in the late stage of rehabilitation, some patients will have repeated attacks and aggravation of symptoms, which pose a great challenge </w:t>
      </w:r>
      <w:r w:rsidR="00C450CD">
        <w:rPr>
          <w:rFonts w:ascii="Book Antiqua" w:eastAsia="Book Antiqua" w:hAnsi="Book Antiqua" w:cs="Book Antiqua"/>
          <w:color w:val="000000" w:themeColor="text1"/>
        </w:rPr>
        <w:t>in</w:t>
      </w:r>
      <w:r>
        <w:rPr>
          <w:rFonts w:ascii="Book Antiqua" w:eastAsia="Book Antiqua" w:hAnsi="Book Antiqua" w:cs="Book Antiqua"/>
          <w:color w:val="000000" w:themeColor="text1"/>
        </w:rPr>
        <w:t xml:space="preserve"> the diagnosis and treatment of NMOSD. We report a </w:t>
      </w:r>
      <w:r w:rsidR="00C450CD">
        <w:rPr>
          <w:rFonts w:ascii="Book Antiqua" w:eastAsia="Book Antiqua" w:hAnsi="Book Antiqua" w:cs="Book Antiqua"/>
          <w:color w:val="000000" w:themeColor="text1"/>
        </w:rPr>
        <w:t>patient with</w:t>
      </w:r>
      <w:r>
        <w:rPr>
          <w:rFonts w:ascii="Book Antiqua" w:eastAsia="Book Antiqua" w:hAnsi="Book Antiqua" w:cs="Book Antiqua"/>
          <w:color w:val="000000" w:themeColor="text1"/>
        </w:rPr>
        <w:t xml:space="preserve"> NMOSD accompanied by spinal cord injury, Sjogren's syndrome and deep venous thrombosis in the lower extremity </w:t>
      </w:r>
      <w:r w:rsidR="00C450CD">
        <w:rPr>
          <w:rFonts w:ascii="Book Antiqua" w:eastAsia="Book Antiqua" w:hAnsi="Book Antiqua" w:cs="Book Antiqua"/>
          <w:color w:val="000000" w:themeColor="text1"/>
        </w:rPr>
        <w:t>who</w:t>
      </w:r>
      <w:r>
        <w:rPr>
          <w:rFonts w:ascii="Book Antiqua" w:eastAsia="Book Antiqua" w:hAnsi="Book Antiqua" w:cs="Book Antiqua"/>
          <w:color w:val="000000" w:themeColor="text1"/>
        </w:rPr>
        <w:t xml:space="preserve"> received </w:t>
      </w:r>
      <w:r>
        <w:rPr>
          <w:rFonts w:ascii="Book Antiqua" w:eastAsia="Book Antiqua" w:hAnsi="Book Antiqua" w:cs="Book Antiqua"/>
          <w:color w:val="000000" w:themeColor="text1"/>
          <w:shd w:val="clear" w:color="auto" w:fill="FFFFFF"/>
        </w:rPr>
        <w:t>rehabilitation and pharmacotherapy.</w:t>
      </w:r>
    </w:p>
    <w:p w14:paraId="62406CD8" w14:textId="77777777" w:rsidR="00C57888" w:rsidRDefault="00C57888">
      <w:pPr>
        <w:adjustRightInd w:val="0"/>
        <w:snapToGrid w:val="0"/>
        <w:spacing w:line="360" w:lineRule="auto"/>
        <w:jc w:val="both"/>
        <w:rPr>
          <w:rFonts w:ascii="Book Antiqua" w:hAnsi="Book Antiqua"/>
          <w:color w:val="000000" w:themeColor="text1"/>
        </w:rPr>
      </w:pPr>
    </w:p>
    <w:p w14:paraId="5C9C9546"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CASE PRESENTATION</w:t>
      </w:r>
    </w:p>
    <w:p w14:paraId="7E179377"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Chief complaints</w:t>
      </w:r>
    </w:p>
    <w:p w14:paraId="698131CA" w14:textId="0288361A"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 45-year-old female patient presented at our hospital on March 11, 2020 </w:t>
      </w:r>
      <w:r w:rsidR="00C450CD">
        <w:rPr>
          <w:rFonts w:ascii="Book Antiqua" w:eastAsia="Book Antiqua" w:hAnsi="Book Antiqua" w:cs="Book Antiqua"/>
          <w:color w:val="000000" w:themeColor="text1"/>
        </w:rPr>
        <w:t>due to</w:t>
      </w:r>
      <w:r>
        <w:rPr>
          <w:rFonts w:ascii="Book Antiqua" w:eastAsia="Book Antiqua" w:hAnsi="Book Antiqua" w:cs="Book Antiqua"/>
          <w:color w:val="000000" w:themeColor="text1"/>
        </w:rPr>
        <w:t xml:space="preserve"> numbness in both lower extremities without obvious inducement, which gradually spread to the waist. </w:t>
      </w:r>
    </w:p>
    <w:p w14:paraId="1C601270" w14:textId="77777777" w:rsidR="00C57888" w:rsidRDefault="00C57888">
      <w:pPr>
        <w:adjustRightInd w:val="0"/>
        <w:snapToGrid w:val="0"/>
        <w:spacing w:line="360" w:lineRule="auto"/>
        <w:jc w:val="both"/>
        <w:rPr>
          <w:rFonts w:ascii="Book Antiqua" w:hAnsi="Book Antiqua"/>
          <w:color w:val="000000" w:themeColor="text1"/>
        </w:rPr>
      </w:pPr>
    </w:p>
    <w:p w14:paraId="2CB0166D"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present illness</w:t>
      </w:r>
    </w:p>
    <w:p w14:paraId="7A590EDD" w14:textId="27DA9DD2"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patient experienced weakness in her lower extremities and walked with difficulty which she described as “stepping on cotton”. In addition, the patient also complained of </w:t>
      </w:r>
      <w:r>
        <w:rPr>
          <w:rFonts w:ascii="Book Antiqua" w:eastAsia="Book Antiqua" w:hAnsi="Book Antiqua" w:cs="Book Antiqua"/>
          <w:color w:val="000000" w:themeColor="text1"/>
        </w:rPr>
        <w:lastRenderedPageBreak/>
        <w:t>transient acupuncture-like pain in the chest and back, although she could control defecation and urination.</w:t>
      </w:r>
      <w:r>
        <w:rPr>
          <w:rStyle w:val="tlid-translation"/>
          <w:rFonts w:ascii="Book Antiqua" w:eastAsia="Book Antiqua" w:hAnsi="Book Antiqua" w:cs="Book Antiqua"/>
          <w:color w:val="000000" w:themeColor="text1"/>
        </w:rPr>
        <w:t xml:space="preserve"> </w:t>
      </w:r>
      <w:r w:rsidR="00C450CD">
        <w:rPr>
          <w:rStyle w:val="tlid-translation"/>
          <w:rFonts w:ascii="Book Antiqua" w:eastAsia="Book Antiqua" w:hAnsi="Book Antiqua" w:cs="Book Antiqua"/>
          <w:color w:val="000000" w:themeColor="text1"/>
        </w:rPr>
        <w:t>A h</w:t>
      </w:r>
      <w:r>
        <w:rPr>
          <w:rFonts w:ascii="Book Antiqua" w:eastAsia="Book Antiqua" w:hAnsi="Book Antiqua" w:cs="Book Antiqua"/>
          <w:color w:val="000000" w:themeColor="text1"/>
        </w:rPr>
        <w:t xml:space="preserve">ead computed tomography scan showed subdural effusion on both frontal sides. The patient was then admitted to the </w:t>
      </w:r>
      <w:r w:rsidR="00C450CD">
        <w:rPr>
          <w:rFonts w:ascii="Book Antiqua" w:eastAsia="Book Antiqua" w:hAnsi="Book Antiqua" w:cs="Book Antiqua"/>
          <w:color w:val="000000" w:themeColor="text1"/>
        </w:rPr>
        <w:t>N</w:t>
      </w:r>
      <w:r>
        <w:rPr>
          <w:rFonts w:ascii="Book Antiqua" w:eastAsia="Book Antiqua" w:hAnsi="Book Antiqua" w:cs="Book Antiqua"/>
          <w:color w:val="000000" w:themeColor="text1"/>
        </w:rPr>
        <w:t xml:space="preserve">eurology </w:t>
      </w:r>
      <w:r w:rsidR="00C450CD">
        <w:rPr>
          <w:rFonts w:ascii="Book Antiqua" w:eastAsia="Book Antiqua" w:hAnsi="Book Antiqua" w:cs="Book Antiqua"/>
          <w:color w:val="000000" w:themeColor="text1"/>
        </w:rPr>
        <w:t>D</w:t>
      </w:r>
      <w:r>
        <w:rPr>
          <w:rFonts w:ascii="Book Antiqua" w:eastAsia="Book Antiqua" w:hAnsi="Book Antiqua" w:cs="Book Antiqua"/>
          <w:color w:val="000000" w:themeColor="text1"/>
        </w:rPr>
        <w:t xml:space="preserve">epartment of our hospital on March 16, 2020. On the second day after admission, the weakness in </w:t>
      </w:r>
      <w:r w:rsidR="00C450CD">
        <w:rPr>
          <w:rFonts w:ascii="Book Antiqua" w:eastAsia="Book Antiqua" w:hAnsi="Book Antiqua" w:cs="Book Antiqua"/>
          <w:color w:val="000000" w:themeColor="text1"/>
        </w:rPr>
        <w:t xml:space="preserve">her </w:t>
      </w:r>
      <w:r>
        <w:rPr>
          <w:rFonts w:ascii="Book Antiqua" w:eastAsia="Book Antiqua" w:hAnsi="Book Antiqua" w:cs="Book Antiqua"/>
          <w:color w:val="000000" w:themeColor="text1"/>
        </w:rPr>
        <w:t xml:space="preserve">lower limbs worsened and the sensation of a “banding” pain in </w:t>
      </w:r>
      <w:r w:rsidR="00C450CD">
        <w:rPr>
          <w:rFonts w:ascii="Book Antiqua" w:eastAsia="Book Antiqua" w:hAnsi="Book Antiqua" w:cs="Book Antiqua"/>
          <w:color w:val="000000" w:themeColor="text1"/>
        </w:rPr>
        <w:t xml:space="preserve">the </w:t>
      </w:r>
      <w:r>
        <w:rPr>
          <w:rFonts w:ascii="Book Antiqua" w:eastAsia="Book Antiqua" w:hAnsi="Book Antiqua" w:cs="Book Antiqua"/>
          <w:color w:val="000000" w:themeColor="text1"/>
        </w:rPr>
        <w:t xml:space="preserve">chest and back became more tangible. There was also difficulty in urination but not in passing stool. Once the patient’s condition stabilized, she was transferred to the </w:t>
      </w:r>
      <w:r w:rsidR="00C450CD">
        <w:rPr>
          <w:rFonts w:ascii="Book Antiqua" w:eastAsia="Book Antiqua" w:hAnsi="Book Antiqua" w:cs="Book Antiqua"/>
          <w:color w:val="000000" w:themeColor="text1"/>
        </w:rPr>
        <w:t>D</w:t>
      </w:r>
      <w:r>
        <w:rPr>
          <w:rFonts w:ascii="Book Antiqua" w:eastAsia="Book Antiqua" w:hAnsi="Book Antiqua" w:cs="Book Antiqua"/>
          <w:color w:val="000000" w:themeColor="text1"/>
        </w:rPr>
        <w:t xml:space="preserve">epartment of </w:t>
      </w:r>
      <w:r w:rsidR="00C450CD">
        <w:rPr>
          <w:rFonts w:ascii="Book Antiqua" w:eastAsia="Book Antiqua" w:hAnsi="Book Antiqua" w:cs="Book Antiqua"/>
          <w:color w:val="000000" w:themeColor="text1"/>
        </w:rPr>
        <w:t>R</w:t>
      </w:r>
      <w:r>
        <w:rPr>
          <w:rFonts w:ascii="Book Antiqua" w:eastAsia="Book Antiqua" w:hAnsi="Book Antiqua" w:cs="Book Antiqua"/>
          <w:color w:val="000000" w:themeColor="text1"/>
        </w:rPr>
        <w:t xml:space="preserve">ehabilitation </w:t>
      </w:r>
      <w:r w:rsidR="00C450CD">
        <w:rPr>
          <w:rFonts w:ascii="Book Antiqua" w:eastAsia="Book Antiqua" w:hAnsi="Book Antiqua" w:cs="Book Antiqua"/>
          <w:color w:val="000000" w:themeColor="text1"/>
        </w:rPr>
        <w:t>M</w:t>
      </w:r>
      <w:r>
        <w:rPr>
          <w:rFonts w:ascii="Book Antiqua" w:eastAsia="Book Antiqua" w:hAnsi="Book Antiqua" w:cs="Book Antiqua"/>
          <w:color w:val="000000" w:themeColor="text1"/>
        </w:rPr>
        <w:t xml:space="preserve">edicine on March 27, 2020. At the time of admission, her lower limbs were still weak but not swollen, with obvious chest and back banding, urinary catheter retention and </w:t>
      </w:r>
      <w:r w:rsidRPr="009C4D3C">
        <w:rPr>
          <w:rFonts w:ascii="Book Antiqua" w:eastAsia="Book Antiqua" w:hAnsi="Book Antiqua" w:cs="Book Antiqua"/>
          <w:color w:val="000000" w:themeColor="text1"/>
        </w:rPr>
        <w:t>self-dissolving stool</w:t>
      </w:r>
      <w:r>
        <w:rPr>
          <w:rFonts w:ascii="Book Antiqua" w:eastAsia="Book Antiqua" w:hAnsi="Book Antiqua" w:cs="Book Antiqua"/>
          <w:color w:val="000000" w:themeColor="text1"/>
        </w:rPr>
        <w:t xml:space="preserve">. </w:t>
      </w:r>
    </w:p>
    <w:p w14:paraId="459C2820" w14:textId="77777777" w:rsidR="00C57888" w:rsidRDefault="00C57888">
      <w:pPr>
        <w:adjustRightInd w:val="0"/>
        <w:snapToGrid w:val="0"/>
        <w:spacing w:line="360" w:lineRule="auto"/>
        <w:jc w:val="both"/>
        <w:rPr>
          <w:rFonts w:ascii="Book Antiqua" w:hAnsi="Book Antiqua"/>
          <w:color w:val="000000" w:themeColor="text1"/>
        </w:rPr>
      </w:pPr>
    </w:p>
    <w:p w14:paraId="12BC2693"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past illness</w:t>
      </w:r>
    </w:p>
    <w:p w14:paraId="57208BCD" w14:textId="08E54720"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patient was diagnosed with Sjogren's syndrome more than 2 years </w:t>
      </w:r>
      <w:r w:rsidR="00C450CD">
        <w:rPr>
          <w:rFonts w:ascii="Book Antiqua" w:eastAsia="Book Antiqua" w:hAnsi="Book Antiqua" w:cs="Book Antiqua"/>
          <w:color w:val="000000" w:themeColor="text1"/>
        </w:rPr>
        <w:t>previously</w:t>
      </w:r>
      <w:r>
        <w:rPr>
          <w:rFonts w:ascii="Book Antiqua" w:eastAsia="Book Antiqua" w:hAnsi="Book Antiqua" w:cs="Book Antiqua"/>
          <w:color w:val="000000" w:themeColor="text1"/>
        </w:rPr>
        <w:t xml:space="preserve">, and had been taking 0.2 g hydroxychloroquine sulfate tablets once daily for 1 year, which had been discontinued for about 6 </w:t>
      </w:r>
      <w:proofErr w:type="spellStart"/>
      <w:proofErr w:type="gramStart"/>
      <w:r>
        <w:rPr>
          <w:rFonts w:ascii="Book Antiqua" w:eastAsia="Book Antiqua" w:hAnsi="Book Antiqua" w:cs="Book Antiqua"/>
          <w:color w:val="000000" w:themeColor="text1"/>
        </w:rPr>
        <w:t>mo</w:t>
      </w:r>
      <w:proofErr w:type="spellEnd"/>
      <w:proofErr w:type="gramEnd"/>
      <w:r>
        <w:rPr>
          <w:rFonts w:ascii="Book Antiqua" w:eastAsia="Book Antiqua" w:hAnsi="Book Antiqua" w:cs="Book Antiqua"/>
          <w:color w:val="000000" w:themeColor="text1"/>
        </w:rPr>
        <w:t xml:space="preserve"> before the onset of NMOSD. The patient denied a history of hypertension, diabetes and heart disease. </w:t>
      </w:r>
    </w:p>
    <w:p w14:paraId="16A00C5F" w14:textId="77777777" w:rsidR="00C57888" w:rsidRDefault="00C57888">
      <w:pPr>
        <w:adjustRightInd w:val="0"/>
        <w:snapToGrid w:val="0"/>
        <w:spacing w:line="360" w:lineRule="auto"/>
        <w:jc w:val="both"/>
        <w:rPr>
          <w:rFonts w:ascii="Book Antiqua" w:hAnsi="Book Antiqua"/>
          <w:color w:val="000000" w:themeColor="text1"/>
        </w:rPr>
      </w:pPr>
    </w:p>
    <w:p w14:paraId="15074446"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Personal and family history</w:t>
      </w:r>
    </w:p>
    <w:p w14:paraId="52D2E7E7" w14:textId="5EE65530"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There was no similar medical history in her family. She also denied previous exposure to toxins, smoking, drinking, or any food and drug allergies.</w:t>
      </w:r>
    </w:p>
    <w:p w14:paraId="001764C9" w14:textId="77777777" w:rsidR="00C57888" w:rsidRDefault="00C57888">
      <w:pPr>
        <w:adjustRightInd w:val="0"/>
        <w:snapToGrid w:val="0"/>
        <w:spacing w:line="360" w:lineRule="auto"/>
        <w:jc w:val="both"/>
        <w:rPr>
          <w:rFonts w:ascii="Book Antiqua" w:hAnsi="Book Antiqua"/>
          <w:color w:val="000000" w:themeColor="text1"/>
        </w:rPr>
      </w:pPr>
    </w:p>
    <w:p w14:paraId="1C821AA9"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Physical examination</w:t>
      </w:r>
    </w:p>
    <w:p w14:paraId="46457C3E"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Physical examination showed hypoesthesia from the T5 plane, with retention of sacrococcygeal sensation. The patient did not have any sensation in the T6-T11 plane but experienced a pronounced corset-like pain in her chest and abdomen. In addition, although the muscular strength of the lower limbs had decreased, the muscle tension was normal. The patient's bilateral eye movements, vision and visual field tests were normal, which ruled out optic neuritis. Her Berg Balance Scale (BBS) score was 4/56, </w:t>
      </w:r>
      <w:r>
        <w:rPr>
          <w:rFonts w:ascii="Book Antiqua" w:eastAsia="Book Antiqua" w:hAnsi="Book Antiqua" w:cs="Book Antiqua"/>
          <w:color w:val="000000" w:themeColor="text1"/>
        </w:rPr>
        <w:lastRenderedPageBreak/>
        <w:t xml:space="preserve">bilateral </w:t>
      </w:r>
      <w:proofErr w:type="spellStart"/>
      <w:r>
        <w:rPr>
          <w:rFonts w:ascii="Book Antiqua" w:eastAsia="Book Antiqua" w:hAnsi="Book Antiqua" w:cs="Book Antiqua"/>
          <w:color w:val="000000" w:themeColor="text1"/>
        </w:rPr>
        <w:t>Fugl</w:t>
      </w:r>
      <w:proofErr w:type="spellEnd"/>
      <w:r>
        <w:rPr>
          <w:rFonts w:ascii="Book Antiqua" w:eastAsia="Book Antiqua" w:hAnsi="Book Antiqua" w:cs="Book Antiqua"/>
          <w:color w:val="000000" w:themeColor="text1"/>
        </w:rPr>
        <w:t xml:space="preserve">-Meyer assessment (FMA) score for lower extremities was 15/34, and the modified Barthel index (MBI) score for activities of daily living (ADL) was only 48/100. </w:t>
      </w:r>
    </w:p>
    <w:p w14:paraId="72BC3C80" w14:textId="77777777" w:rsidR="00C57888" w:rsidRDefault="00C57888">
      <w:pPr>
        <w:adjustRightInd w:val="0"/>
        <w:snapToGrid w:val="0"/>
        <w:spacing w:line="360" w:lineRule="auto"/>
        <w:jc w:val="both"/>
        <w:rPr>
          <w:rFonts w:ascii="Book Antiqua" w:hAnsi="Book Antiqua"/>
          <w:color w:val="000000" w:themeColor="text1"/>
        </w:rPr>
      </w:pPr>
    </w:p>
    <w:p w14:paraId="3A69DC82"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Laboratory examinations</w:t>
      </w:r>
    </w:p>
    <w:p w14:paraId="0A3D312F" w14:textId="455F05FA"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routine laboratory tests for blood, urine, and liver, kidney and thyroid function did not show any obvious abnormalit</w:t>
      </w:r>
      <w:r w:rsidR="00570CE2">
        <w:rPr>
          <w:rFonts w:ascii="Book Antiqua" w:eastAsia="Book Antiqua" w:hAnsi="Book Antiqua" w:cs="Book Antiqua"/>
          <w:color w:val="000000" w:themeColor="text1"/>
        </w:rPr>
        <w:t>ies</w:t>
      </w:r>
      <w:r>
        <w:rPr>
          <w:rFonts w:ascii="Book Antiqua" w:eastAsia="Book Antiqua" w:hAnsi="Book Antiqua" w:cs="Book Antiqua"/>
          <w:color w:val="000000" w:themeColor="text1"/>
        </w:rPr>
        <w:t xml:space="preserve">. The D-dimer level was 4.13 </w:t>
      </w:r>
      <w:bookmarkStart w:id="4" w:name="_Hlk64660853"/>
      <w:proofErr w:type="spellStart"/>
      <w:r>
        <w:rPr>
          <w:rFonts w:ascii="Book Antiqua" w:eastAsia="Book Antiqua" w:hAnsi="Book Antiqua" w:cs="Book Antiqua"/>
          <w:color w:val="000000" w:themeColor="text1"/>
        </w:rPr>
        <w:t>μg</w:t>
      </w:r>
      <w:bookmarkEnd w:id="4"/>
      <w:proofErr w:type="spellEnd"/>
      <w:r>
        <w:rPr>
          <w:rFonts w:ascii="Book Antiqua" w:eastAsia="Book Antiqua" w:hAnsi="Book Antiqua" w:cs="Book Antiqua"/>
          <w:color w:val="000000" w:themeColor="text1"/>
        </w:rPr>
        <w:t xml:space="preserve">/mL (Figure 1) (the normal range is 0.5 </w:t>
      </w:r>
      <w:proofErr w:type="spellStart"/>
      <w:r>
        <w:rPr>
          <w:rFonts w:ascii="Book Antiqua" w:eastAsia="Book Antiqua" w:hAnsi="Book Antiqua" w:cs="Book Antiqua"/>
          <w:color w:val="000000" w:themeColor="text1"/>
        </w:rPr>
        <w:t>μg</w:t>
      </w:r>
      <w:proofErr w:type="spellEnd"/>
      <w:r>
        <w:rPr>
          <w:rFonts w:ascii="Book Antiqua" w:eastAsia="Book Antiqua" w:hAnsi="Book Antiqua" w:cs="Book Antiqua"/>
          <w:color w:val="000000" w:themeColor="text1"/>
        </w:rPr>
        <w:t>/mL) in the coagulation test. The patient</w:t>
      </w:r>
      <w:r w:rsidR="00570CE2">
        <w:rPr>
          <w:rFonts w:ascii="Book Antiqua" w:eastAsia="Book Antiqua" w:hAnsi="Book Antiqua" w:cs="Book Antiqua"/>
          <w:color w:val="000000" w:themeColor="text1"/>
        </w:rPr>
        <w:t>’s</w:t>
      </w:r>
      <w:r>
        <w:rPr>
          <w:rFonts w:ascii="Book Antiqua" w:eastAsia="Book Antiqua" w:hAnsi="Book Antiqua" w:cs="Book Antiqua"/>
          <w:color w:val="000000" w:themeColor="text1"/>
        </w:rPr>
        <w:t xml:space="preserve"> serum was positive for antibodies against rheumatoid factor, Sjogren's syndrome antigen A (SSA), Sjogren's syndrome antigen B (SSB</w:t>
      </w:r>
      <w:r>
        <w:rPr>
          <w:rFonts w:ascii="Book Antiqua" w:eastAsia="Book Antiqua" w:hAnsi="Book Antiqua"/>
          <w:color w:val="000000" w:themeColor="text1"/>
        </w:rPr>
        <w:t xml:space="preserve">), </w:t>
      </w:r>
      <w:bookmarkStart w:id="5" w:name="OLE_LINK122"/>
      <w:bookmarkStart w:id="6" w:name="OLE_LINK123"/>
      <w:r>
        <w:rPr>
          <w:rFonts w:ascii="Book Antiqua" w:eastAsia="Book Antiqua" w:hAnsi="Book Antiqua"/>
          <w:color w:val="000000" w:themeColor="text1"/>
        </w:rPr>
        <w:t>Ro-52</w:t>
      </w:r>
      <w:bookmarkEnd w:id="5"/>
      <w:bookmarkEnd w:id="6"/>
      <w:r w:rsidR="00570CE2">
        <w:rPr>
          <w:rFonts w:ascii="Book Antiqua" w:eastAsia="Book Antiqua" w:hAnsi="Book Antiqua"/>
          <w:color w:val="000000" w:themeColor="text1"/>
        </w:rPr>
        <w:t xml:space="preserve"> </w:t>
      </w:r>
      <w:r>
        <w:rPr>
          <w:rFonts w:ascii="Book Antiqua" w:eastAsia="Book Antiqua" w:hAnsi="Book Antiqua"/>
          <w:color w:val="000000" w:themeColor="text1"/>
        </w:rPr>
        <w:t xml:space="preserve">(an antinuclear antibody of 52 </w:t>
      </w:r>
      <w:proofErr w:type="spellStart"/>
      <w:r>
        <w:rPr>
          <w:rFonts w:ascii="Book Antiqua" w:eastAsia="Book Antiqua" w:hAnsi="Book Antiqua"/>
          <w:color w:val="000000" w:themeColor="text1"/>
        </w:rPr>
        <w:t>kDa</w:t>
      </w:r>
      <w:proofErr w:type="spellEnd"/>
      <w:r>
        <w:rPr>
          <w:rFonts w:ascii="Book Antiqua" w:eastAsia="Book Antiqua" w:hAnsi="Book Antiqua"/>
          <w:color w:val="000000" w:themeColor="text1"/>
        </w:rPr>
        <w:t xml:space="preserve"> peptide fragment), A</w:t>
      </w:r>
      <w:r>
        <w:rPr>
          <w:rFonts w:ascii="Book Antiqua" w:eastAsia="Book Antiqua" w:hAnsi="Book Antiqua" w:cs="Book Antiqua"/>
          <w:color w:val="000000" w:themeColor="text1"/>
        </w:rPr>
        <w:t xml:space="preserve">QP4 (IgG) and myelin oligodendrocyte glycoprotein (MOG; IgG), and negative for anti-myelin basic protein (MBP) IgG (Table 1). The CSF was colorless and transparent, with </w:t>
      </w:r>
      <w:r w:rsidR="00570CE2">
        <w:rPr>
          <w:rFonts w:ascii="Book Antiqua" w:eastAsia="Book Antiqua" w:hAnsi="Book Antiqua" w:cs="Book Antiqua"/>
          <w:color w:val="000000" w:themeColor="text1"/>
        </w:rPr>
        <w:t xml:space="preserve">an </w:t>
      </w:r>
      <w:r>
        <w:rPr>
          <w:rFonts w:ascii="Book Antiqua" w:eastAsia="Book Antiqua" w:hAnsi="Book Antiqua" w:cs="Book Antiqua"/>
          <w:color w:val="000000" w:themeColor="text1"/>
        </w:rPr>
        <w:t xml:space="preserve">abnormally high leukocyte count and protein levels, which indicated an inflammatory response. However, the CSF was negative for the anti-AQP4, MBP and MOG antibodies (Table 2). </w:t>
      </w:r>
    </w:p>
    <w:p w14:paraId="68949643" w14:textId="77777777" w:rsidR="00C57888" w:rsidRDefault="00C57888">
      <w:pPr>
        <w:adjustRightInd w:val="0"/>
        <w:snapToGrid w:val="0"/>
        <w:spacing w:line="360" w:lineRule="auto"/>
        <w:jc w:val="both"/>
        <w:rPr>
          <w:rFonts w:ascii="Book Antiqua" w:hAnsi="Book Antiqua"/>
          <w:color w:val="000000" w:themeColor="text1"/>
        </w:rPr>
      </w:pPr>
    </w:p>
    <w:p w14:paraId="27557F67"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Imaging examinations</w:t>
      </w:r>
    </w:p>
    <w:p w14:paraId="16055DF3" w14:textId="6975251B"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Thoracic and lumbar magnetic resonance imaging (MRI) showed an abnormal signal involving more than 3 spinal segments in the medulla (T4-T9) (Figure 2). Somatosensory evoked potential </w:t>
      </w:r>
      <w:r w:rsidR="00570CE2">
        <w:rPr>
          <w:rFonts w:ascii="Book Antiqua" w:eastAsia="Book Antiqua" w:hAnsi="Book Antiqua" w:cs="Book Antiqua"/>
          <w:color w:val="000000" w:themeColor="text1"/>
        </w:rPr>
        <w:t>o</w:t>
      </w:r>
      <w:r>
        <w:rPr>
          <w:rFonts w:ascii="Book Antiqua" w:eastAsia="Book Antiqua" w:hAnsi="Book Antiqua" w:cs="Book Antiqua"/>
          <w:color w:val="000000" w:themeColor="text1"/>
        </w:rPr>
        <w:t xml:space="preserve">n electromyogram suggested central impairment, probably originating from the spinal cord. The patient’s </w:t>
      </w:r>
      <w:r>
        <w:rPr>
          <w:rFonts w:ascii="Book Antiqua" w:eastAsia="Book Antiqua" w:hAnsi="Book Antiqua" w:cs="Book Antiqua"/>
          <w:color w:val="000000" w:themeColor="text1"/>
          <w:shd w:val="clear" w:color="auto" w:fill="FFFFFF"/>
        </w:rPr>
        <w:t>electrocardiograph</w:t>
      </w:r>
      <w:r>
        <w:rPr>
          <w:rFonts w:ascii="Book Antiqua" w:eastAsia="Book Antiqua" w:hAnsi="Book Antiqua" w:cs="Book Antiqua"/>
          <w:color w:val="000000" w:themeColor="text1"/>
        </w:rPr>
        <w:t xml:space="preserve"> was normal, while deep vein ultrasound of the lower limbs indicated thrombosis of the left calf intermuscular vein.</w:t>
      </w:r>
    </w:p>
    <w:p w14:paraId="66F1EA59" w14:textId="77777777" w:rsidR="00C57888" w:rsidRDefault="00C57888">
      <w:pPr>
        <w:adjustRightInd w:val="0"/>
        <w:snapToGrid w:val="0"/>
        <w:spacing w:line="360" w:lineRule="auto"/>
        <w:jc w:val="both"/>
        <w:rPr>
          <w:rFonts w:ascii="Book Antiqua" w:hAnsi="Book Antiqua"/>
          <w:color w:val="000000" w:themeColor="text1"/>
        </w:rPr>
      </w:pPr>
    </w:p>
    <w:p w14:paraId="69B84593"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i/>
          <w:color w:val="000000" w:themeColor="text1"/>
        </w:rPr>
        <w:t>Pharmacotherapy</w:t>
      </w:r>
      <w:r>
        <w:rPr>
          <w:rFonts w:ascii="Book Antiqua" w:eastAsia="Book Antiqua" w:hAnsi="Book Antiqua" w:cs="Book Antiqua"/>
          <w:b/>
          <w:i/>
          <w:color w:val="000000" w:themeColor="text1"/>
        </w:rPr>
        <w:t xml:space="preserve"> </w:t>
      </w:r>
    </w:p>
    <w:p w14:paraId="5D521229" w14:textId="29C4553B"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patient was given intravenous shock therapy </w:t>
      </w:r>
      <w:r w:rsidR="00570CE2">
        <w:rPr>
          <w:rFonts w:ascii="Book Antiqua" w:eastAsia="Book Antiqua" w:hAnsi="Book Antiqua" w:cs="Book Antiqua"/>
          <w:color w:val="000000" w:themeColor="text1"/>
        </w:rPr>
        <w:t>with</w:t>
      </w:r>
      <w:r>
        <w:rPr>
          <w:rFonts w:ascii="Book Antiqua" w:eastAsia="Book Antiqua" w:hAnsi="Book Antiqua" w:cs="Book Antiqua"/>
          <w:color w:val="000000" w:themeColor="text1"/>
        </w:rPr>
        <w:t xml:space="preserve"> 1 g methylprednisolone for three days during the acute stage. However, the treatment was switched to daily intravenous administration of 20 g gamma globulin for five days due to </w:t>
      </w:r>
      <w:r w:rsidR="00570CE2">
        <w:rPr>
          <w:rFonts w:ascii="Book Antiqua" w:eastAsia="Book Antiqua" w:hAnsi="Book Antiqua" w:cs="Book Antiqua"/>
          <w:color w:val="000000" w:themeColor="text1"/>
        </w:rPr>
        <w:t>her</w:t>
      </w:r>
      <w:r>
        <w:rPr>
          <w:rFonts w:ascii="Book Antiqua" w:eastAsia="Book Antiqua" w:hAnsi="Book Antiqua" w:cs="Book Antiqua"/>
          <w:color w:val="000000" w:themeColor="text1"/>
        </w:rPr>
        <w:t xml:space="preserve"> poor response and severe electrolyte imbalance. During the rehabilitation period, the patient took 40 mg of prednisone daily and one tablet of mecobalamin and vitamin B1 thrice daily. At the </w:t>
      </w:r>
      <w:r>
        <w:rPr>
          <w:rFonts w:ascii="Book Antiqua" w:eastAsia="Book Antiqua" w:hAnsi="Book Antiqua" w:cs="Book Antiqua"/>
          <w:color w:val="000000" w:themeColor="text1"/>
        </w:rPr>
        <w:lastRenderedPageBreak/>
        <w:t xml:space="preserve">same time, Rabeprazole enteric-coated capsules were given to protect gastric mucosa, and 2 g potassium chloride sustained-release tablets per day were </w:t>
      </w:r>
      <w:r w:rsidR="00570CE2">
        <w:rPr>
          <w:rFonts w:ascii="Book Antiqua" w:eastAsia="Book Antiqua" w:hAnsi="Book Antiqua" w:cs="Book Antiqua"/>
          <w:color w:val="000000" w:themeColor="text1"/>
        </w:rPr>
        <w:t>administered</w:t>
      </w:r>
      <w:r>
        <w:rPr>
          <w:rFonts w:ascii="Book Antiqua" w:eastAsia="Book Antiqua" w:hAnsi="Book Antiqua" w:cs="Book Antiqua"/>
          <w:color w:val="000000" w:themeColor="text1"/>
        </w:rPr>
        <w:t xml:space="preserve"> to treat hypokalemia. In addition, the patient took 0.25 g mycophenolate </w:t>
      </w:r>
      <w:proofErr w:type="spellStart"/>
      <w:r>
        <w:rPr>
          <w:rFonts w:ascii="Book Antiqua" w:eastAsia="Book Antiqua" w:hAnsi="Book Antiqua" w:cs="Book Antiqua"/>
          <w:color w:val="000000" w:themeColor="text1"/>
        </w:rPr>
        <w:t>mofetil</w:t>
      </w:r>
      <w:proofErr w:type="spellEnd"/>
      <w:r>
        <w:rPr>
          <w:rFonts w:ascii="Book Antiqua" w:eastAsia="Book Antiqua" w:hAnsi="Book Antiqua" w:cs="Book Antiqua"/>
          <w:color w:val="000000" w:themeColor="text1"/>
        </w:rPr>
        <w:t xml:space="preserve"> capsule (</w:t>
      </w:r>
      <w:proofErr w:type="spellStart"/>
      <w:r>
        <w:rPr>
          <w:rFonts w:ascii="Book Antiqua" w:eastAsia="Book Antiqua" w:hAnsi="Book Antiqua" w:cs="Book Antiqua"/>
          <w:color w:val="000000" w:themeColor="text1"/>
        </w:rPr>
        <w:t>CellCept</w:t>
      </w:r>
      <w:proofErr w:type="spellEnd"/>
      <w:r>
        <w:rPr>
          <w:rFonts w:ascii="Book Antiqua" w:eastAsia="Book Antiqua" w:hAnsi="Book Antiqua" w:cs="Book Antiqua"/>
          <w:color w:val="000000" w:themeColor="text1"/>
        </w:rPr>
        <w:t>) daily to relieve inflammatory symptoms.</w:t>
      </w:r>
      <w:r>
        <w:rPr>
          <w:rStyle w:val="MsoCommentReference0"/>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Given the thrombosis of the left calf intermuscular vein and the high risk of bleeding due to hormone therapy, the patient received daily subcutaneous injections of 4100 IU low molecular weight heparin calcium as an anticoagulant. </w:t>
      </w:r>
    </w:p>
    <w:p w14:paraId="308F8F1B" w14:textId="77777777" w:rsidR="00C57888" w:rsidRDefault="00C57888">
      <w:pPr>
        <w:adjustRightInd w:val="0"/>
        <w:snapToGrid w:val="0"/>
        <w:spacing w:line="360" w:lineRule="auto"/>
        <w:jc w:val="both"/>
        <w:rPr>
          <w:rFonts w:ascii="Book Antiqua" w:hAnsi="Book Antiqua"/>
          <w:color w:val="000000" w:themeColor="text1"/>
        </w:rPr>
      </w:pPr>
    </w:p>
    <w:p w14:paraId="0E71BAFB"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i/>
          <w:color w:val="000000" w:themeColor="text1"/>
        </w:rPr>
        <w:t>Rehabilitation treatment</w:t>
      </w:r>
    </w:p>
    <w:p w14:paraId="3C1EDD31" w14:textId="084029BC"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patient underwent training for 20 min to 30 min twice daily during the rehabilitation phase to improve mobility of the trunk and key lower limb muscles. Stretching exercises for the hamstring, adductor and Achilles tendon, passive movement training of the hip, knee and ankle joints, as well as body support and transfer training in </w:t>
      </w:r>
      <w:r w:rsidR="00570CE2">
        <w:rPr>
          <w:rFonts w:ascii="Book Antiqua" w:eastAsia="Book Antiqua" w:hAnsi="Book Antiqua" w:cs="Book Antiqua"/>
          <w:color w:val="000000" w:themeColor="text1"/>
        </w:rPr>
        <w:t xml:space="preserve">the </w:t>
      </w:r>
      <w:r>
        <w:rPr>
          <w:rFonts w:ascii="Book Antiqua" w:eastAsia="Book Antiqua" w:hAnsi="Book Antiqua" w:cs="Book Antiqua"/>
          <w:color w:val="000000" w:themeColor="text1"/>
        </w:rPr>
        <w:t>sitting position were performed to improve sitting posture and balance. As the limb function gradually increased, standing and gait training was started with the aid of walkers (Figures 3 and 4). In addition, neuromuscular electrical stimulation</w:t>
      </w:r>
      <w:bookmarkStart w:id="7" w:name="OLE_LINK1"/>
      <w:bookmarkStart w:id="8" w:name="OLE_LINK2"/>
      <w:r>
        <w:rPr>
          <w:rFonts w:ascii="Book Antiqua" w:eastAsia="Book Antiqua" w:hAnsi="Book Antiqua" w:cs="Book Antiqua"/>
          <w:color w:val="000000" w:themeColor="text1"/>
        </w:rPr>
        <w:t xml:space="preserve"> (Type J48A; </w:t>
      </w:r>
      <w:proofErr w:type="spellStart"/>
      <w:r>
        <w:rPr>
          <w:rFonts w:ascii="Book Antiqua" w:eastAsia="Book Antiqua" w:hAnsi="Book Antiqua" w:cs="Book Antiqua"/>
          <w:color w:val="000000" w:themeColor="text1"/>
        </w:rPr>
        <w:t>Jinhao</w:t>
      </w:r>
      <w:proofErr w:type="spellEnd"/>
      <w:r>
        <w:rPr>
          <w:rFonts w:ascii="Book Antiqua" w:eastAsia="Book Antiqua" w:hAnsi="Book Antiqua" w:cs="Book Antiqua"/>
          <w:color w:val="000000" w:themeColor="text1"/>
        </w:rPr>
        <w:t xml:space="preserve"> Trading Co., L</w:t>
      </w:r>
      <w:r w:rsidR="00570CE2">
        <w:rPr>
          <w:rFonts w:ascii="Book Antiqua" w:eastAsia="Book Antiqua" w:hAnsi="Book Antiqua" w:cs="Book Antiqua"/>
          <w:color w:val="000000" w:themeColor="text1"/>
        </w:rPr>
        <w:t>td.</w:t>
      </w:r>
      <w:r>
        <w:rPr>
          <w:rFonts w:ascii="Book Antiqua" w:eastAsia="Book Antiqua" w:hAnsi="Book Antiqua" w:cs="Book Antiqua"/>
          <w:color w:val="000000" w:themeColor="text1"/>
        </w:rPr>
        <w:t>, Beijing, China)</w:t>
      </w:r>
      <w:bookmarkEnd w:id="7"/>
      <w:bookmarkEnd w:id="8"/>
      <w:r>
        <w:rPr>
          <w:rFonts w:ascii="Book Antiqua" w:eastAsia="Book Antiqua" w:hAnsi="Book Antiqua" w:cs="Book Antiqua"/>
          <w:color w:val="000000" w:themeColor="text1"/>
        </w:rPr>
        <w:t xml:space="preserve"> was used to improve the muscle strength of </w:t>
      </w:r>
      <w:r w:rsidR="00570CE2">
        <w:rPr>
          <w:rFonts w:ascii="Book Antiqua" w:eastAsia="Book Antiqua" w:hAnsi="Book Antiqua" w:cs="Book Antiqua"/>
          <w:color w:val="000000" w:themeColor="text1"/>
        </w:rPr>
        <w:t xml:space="preserve">the </w:t>
      </w:r>
      <w:r>
        <w:rPr>
          <w:rFonts w:ascii="Book Antiqua" w:eastAsia="Book Antiqua" w:hAnsi="Book Antiqua" w:cs="Book Antiqua"/>
          <w:color w:val="000000" w:themeColor="text1"/>
        </w:rPr>
        <w:t xml:space="preserve">lower </w:t>
      </w:r>
      <w:proofErr w:type="gramStart"/>
      <w:r>
        <w:rPr>
          <w:rFonts w:ascii="Book Antiqua" w:eastAsia="Book Antiqua" w:hAnsi="Book Antiqua" w:cs="Book Antiqua"/>
          <w:color w:val="000000" w:themeColor="text1"/>
        </w:rPr>
        <w:t>extremities, mainly that</w:t>
      </w:r>
      <w:proofErr w:type="gramEnd"/>
      <w:r>
        <w:rPr>
          <w:rFonts w:ascii="Book Antiqua" w:eastAsia="Book Antiqua" w:hAnsi="Book Antiqua" w:cs="Book Antiqua"/>
          <w:color w:val="000000" w:themeColor="text1"/>
        </w:rPr>
        <w:t xml:space="preserve"> of </w:t>
      </w:r>
      <w:r w:rsidR="00570CE2">
        <w:rPr>
          <w:rFonts w:ascii="Book Antiqua" w:eastAsia="Book Antiqua" w:hAnsi="Book Antiqua" w:cs="Book Antiqua"/>
          <w:color w:val="000000" w:themeColor="text1"/>
        </w:rPr>
        <w:t xml:space="preserve">the </w:t>
      </w:r>
      <w:r>
        <w:rPr>
          <w:rFonts w:ascii="Book Antiqua" w:eastAsia="Book Antiqua" w:hAnsi="Book Antiqua" w:cs="Book Antiqua"/>
          <w:color w:val="000000" w:themeColor="text1"/>
        </w:rPr>
        <w:t xml:space="preserve">right quadriceps </w:t>
      </w:r>
      <w:proofErr w:type="spellStart"/>
      <w:r>
        <w:rPr>
          <w:rFonts w:ascii="Book Antiqua" w:eastAsia="Book Antiqua" w:hAnsi="Book Antiqua" w:cs="Book Antiqua"/>
          <w:color w:val="000000" w:themeColor="text1"/>
        </w:rPr>
        <w:t>femoris</w:t>
      </w:r>
      <w:proofErr w:type="spellEnd"/>
      <w:r>
        <w:rPr>
          <w:rFonts w:ascii="Book Antiqua" w:eastAsia="Book Antiqua" w:hAnsi="Book Antiqua" w:cs="Book Antiqua"/>
          <w:color w:val="000000" w:themeColor="text1"/>
        </w:rPr>
        <w:t xml:space="preserve"> and tibialis anterior muscle (Figure 5). The frequency, pulse duration and intensity of the electrical stimulus were 25 Hz, 0.2 </w:t>
      </w:r>
      <w:proofErr w:type="spellStart"/>
      <w:r>
        <w:rPr>
          <w:rFonts w:ascii="Book Antiqua" w:eastAsia="Book Antiqua" w:hAnsi="Book Antiqua" w:cs="Book Antiqua"/>
          <w:color w:val="000000" w:themeColor="text1"/>
        </w:rPr>
        <w:t>ms</w:t>
      </w:r>
      <w:proofErr w:type="spellEnd"/>
      <w:r>
        <w:rPr>
          <w:rFonts w:ascii="Book Antiqua" w:eastAsia="Book Antiqua" w:hAnsi="Book Antiqua" w:cs="Book Antiqua"/>
          <w:color w:val="000000" w:themeColor="text1"/>
        </w:rPr>
        <w:t xml:space="preserve"> and 30 mA</w:t>
      </w:r>
      <w:r w:rsidR="00570CE2">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respectively, and </w:t>
      </w:r>
      <w:r w:rsidR="00570CE2">
        <w:rPr>
          <w:rFonts w:ascii="Book Antiqua" w:eastAsia="Book Antiqua" w:hAnsi="Book Antiqua" w:cs="Book Antiqua"/>
          <w:color w:val="000000" w:themeColor="text1"/>
        </w:rPr>
        <w:t xml:space="preserve">was </w:t>
      </w:r>
      <w:r>
        <w:rPr>
          <w:rFonts w:ascii="Book Antiqua" w:eastAsia="Book Antiqua" w:hAnsi="Book Antiqua" w:cs="Book Antiqua"/>
          <w:color w:val="000000" w:themeColor="text1"/>
        </w:rPr>
        <w:t xml:space="preserve">performed twice daily for 20 min. The patient only felt a pleasant tingling sensation. The left lower extremity could not be treated with neuromuscular electrical stimulation due to intermuscular venous thrombosis. The urinary catheter was removed on the third day of rehabilitation, and the patient was able to control urination </w:t>
      </w:r>
      <w:r w:rsidR="00570CE2">
        <w:rPr>
          <w:rFonts w:ascii="Book Antiqua" w:eastAsia="Book Antiqua" w:hAnsi="Book Antiqua" w:cs="Book Antiqua"/>
          <w:color w:val="000000" w:themeColor="text1"/>
        </w:rPr>
        <w:t>as</w:t>
      </w:r>
      <w:r>
        <w:rPr>
          <w:rFonts w:ascii="Book Antiqua" w:eastAsia="Book Antiqua" w:hAnsi="Book Antiqua" w:cs="Book Antiqua"/>
          <w:color w:val="000000" w:themeColor="text1"/>
        </w:rPr>
        <w:t xml:space="preserve"> ultrasound detected less than 50 mL residual urine in the bladder. The patient showed no obvious symptoms of anxiety and depression and actively cooperated with the rehabilitation treatment. Nevertheless, we established a good rapport with the patient during the rehabilitation stage, and explained her condition and the importance of rehabilitative treatment. We also prepared the patient to </w:t>
      </w:r>
      <w:r w:rsidR="00570CE2">
        <w:rPr>
          <w:rFonts w:ascii="Book Antiqua" w:eastAsia="Book Antiqua" w:hAnsi="Book Antiqua" w:cs="Book Antiqua"/>
          <w:color w:val="000000" w:themeColor="text1"/>
        </w:rPr>
        <w:t xml:space="preserve">cope with </w:t>
      </w:r>
      <w:r>
        <w:rPr>
          <w:rFonts w:ascii="Book Antiqua" w:eastAsia="Book Antiqua" w:hAnsi="Book Antiqua" w:cs="Book Antiqua"/>
          <w:color w:val="000000" w:themeColor="text1"/>
        </w:rPr>
        <w:t xml:space="preserve">this condition in </w:t>
      </w:r>
      <w:r w:rsidR="00570CE2">
        <w:rPr>
          <w:rFonts w:ascii="Book Antiqua" w:eastAsia="Book Antiqua" w:hAnsi="Book Antiqua" w:cs="Book Antiqua"/>
          <w:color w:val="000000" w:themeColor="text1"/>
        </w:rPr>
        <w:t xml:space="preserve">the </w:t>
      </w:r>
      <w:r>
        <w:rPr>
          <w:rFonts w:ascii="Book Antiqua" w:eastAsia="Book Antiqua" w:hAnsi="Book Antiqua" w:cs="Book Antiqua"/>
          <w:color w:val="000000" w:themeColor="text1"/>
        </w:rPr>
        <w:t xml:space="preserve">future. </w:t>
      </w:r>
    </w:p>
    <w:p w14:paraId="07186883" w14:textId="77777777" w:rsidR="00C57888" w:rsidRDefault="00C57888">
      <w:pPr>
        <w:adjustRightInd w:val="0"/>
        <w:snapToGrid w:val="0"/>
        <w:spacing w:line="360" w:lineRule="auto"/>
        <w:jc w:val="both"/>
        <w:rPr>
          <w:rFonts w:ascii="Book Antiqua" w:hAnsi="Book Antiqua"/>
          <w:color w:val="000000" w:themeColor="text1"/>
        </w:rPr>
      </w:pPr>
    </w:p>
    <w:p w14:paraId="4E6E168C"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FINAL DIAGNOSIS</w:t>
      </w:r>
    </w:p>
    <w:p w14:paraId="7063D219"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NMOSD.</w:t>
      </w:r>
    </w:p>
    <w:p w14:paraId="407FEFBC" w14:textId="77777777" w:rsidR="00C57888" w:rsidRDefault="00C57888">
      <w:pPr>
        <w:adjustRightInd w:val="0"/>
        <w:snapToGrid w:val="0"/>
        <w:spacing w:line="360" w:lineRule="auto"/>
        <w:jc w:val="both"/>
        <w:rPr>
          <w:rFonts w:ascii="Book Antiqua" w:hAnsi="Book Antiqua"/>
          <w:color w:val="000000" w:themeColor="text1"/>
        </w:rPr>
      </w:pPr>
    </w:p>
    <w:p w14:paraId="071CD372"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TREATMENT</w:t>
      </w:r>
    </w:p>
    <w:p w14:paraId="77E86F36"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patient received hormone shock and gamma globulin therapy in the acute phase and standard rehabilitation treatment during convalescence.</w:t>
      </w:r>
    </w:p>
    <w:p w14:paraId="2AFF70AA" w14:textId="77777777" w:rsidR="00C57888" w:rsidRDefault="00C57888">
      <w:pPr>
        <w:adjustRightInd w:val="0"/>
        <w:snapToGrid w:val="0"/>
        <w:spacing w:line="360" w:lineRule="auto"/>
        <w:jc w:val="both"/>
        <w:rPr>
          <w:rFonts w:ascii="Book Antiqua" w:hAnsi="Book Antiqua"/>
          <w:color w:val="000000" w:themeColor="text1"/>
        </w:rPr>
      </w:pPr>
    </w:p>
    <w:p w14:paraId="249201F3" w14:textId="77777777" w:rsidR="00C57888" w:rsidRDefault="002A0D66">
      <w:pPr>
        <w:adjustRightInd w:val="0"/>
        <w:snapToGrid w:val="0"/>
        <w:spacing w:line="360" w:lineRule="auto"/>
        <w:jc w:val="both"/>
        <w:rPr>
          <w:rFonts w:ascii="Book Antiqua" w:hAnsi="Book Antiqua"/>
          <w:color w:val="000000" w:themeColor="text1"/>
        </w:rPr>
      </w:pPr>
      <w:bookmarkStart w:id="9" w:name="OLE_LINK17"/>
      <w:bookmarkStart w:id="10" w:name="OLE_LINK16"/>
      <w:r>
        <w:rPr>
          <w:rFonts w:ascii="Book Antiqua" w:eastAsia="Book Antiqua" w:hAnsi="Book Antiqua" w:cs="Book Antiqua"/>
          <w:b/>
          <w:caps/>
          <w:color w:val="000000" w:themeColor="text1"/>
          <w:u w:val="single"/>
        </w:rPr>
        <w:t>OUTCOME AND FOLLOW-UP</w:t>
      </w:r>
      <w:bookmarkEnd w:id="9"/>
      <w:bookmarkEnd w:id="10"/>
    </w:p>
    <w:p w14:paraId="1061991A" w14:textId="1BA739B6"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patient was discharged after 2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of rehabilitation. The D-dimer </w:t>
      </w:r>
      <w:r w:rsidR="00570CE2">
        <w:rPr>
          <w:rFonts w:ascii="Book Antiqua" w:eastAsia="Book Antiqua" w:hAnsi="Book Antiqua" w:cs="Book Antiqua"/>
          <w:color w:val="000000" w:themeColor="text1"/>
        </w:rPr>
        <w:t xml:space="preserve">level </w:t>
      </w:r>
      <w:r>
        <w:rPr>
          <w:rFonts w:ascii="Book Antiqua" w:eastAsia="Book Antiqua" w:hAnsi="Book Antiqua" w:cs="Book Antiqua"/>
          <w:color w:val="000000" w:themeColor="text1"/>
        </w:rPr>
        <w:t xml:space="preserve">had decreased </w:t>
      </w:r>
      <w:proofErr w:type="gramStart"/>
      <w:r>
        <w:rPr>
          <w:rFonts w:ascii="Book Antiqua" w:eastAsia="Book Antiqua" w:hAnsi="Book Antiqua" w:cs="Book Antiqua"/>
          <w:color w:val="000000" w:themeColor="text1"/>
        </w:rPr>
        <w:t xml:space="preserve">to 0.98 </w:t>
      </w:r>
      <w:proofErr w:type="spellStart"/>
      <w:r>
        <w:rPr>
          <w:rFonts w:ascii="Book Antiqua" w:eastAsia="Book Antiqua" w:hAnsi="Book Antiqua" w:cs="Book Antiqua"/>
          <w:color w:val="000000" w:themeColor="text1"/>
        </w:rPr>
        <w:t>μg</w:t>
      </w:r>
      <w:proofErr w:type="spellEnd"/>
      <w:r>
        <w:rPr>
          <w:rFonts w:ascii="Book Antiqua" w:eastAsia="Book Antiqua" w:hAnsi="Book Antiqua" w:cs="Book Antiqua"/>
          <w:color w:val="000000" w:themeColor="text1"/>
        </w:rPr>
        <w:t xml:space="preserve">/mL </w:t>
      </w:r>
      <w:r>
        <w:rPr>
          <w:rFonts w:ascii="Book Antiqua" w:eastAsia="Book Antiqua" w:hAnsi="Book Antiqua" w:cs="Book Antiqua"/>
        </w:rPr>
        <w:t xml:space="preserve">(Figure </w:t>
      </w:r>
      <w:r>
        <w:rPr>
          <w:rFonts w:ascii="Book Antiqua" w:eastAsia="Book Antiqua" w:hAnsi="Book Antiqua" w:cs="Book Antiqua" w:hint="eastAsia"/>
        </w:rPr>
        <w:t>1</w:t>
      </w:r>
      <w:r>
        <w:rPr>
          <w:rFonts w:ascii="Book Antiqua" w:eastAsia="Book Antiqua" w:hAnsi="Book Antiqua" w:cs="Book Antiqua"/>
          <w:color w:val="000000" w:themeColor="text1"/>
        </w:rPr>
        <w:t>)</w:t>
      </w:r>
      <w:proofErr w:type="gramEnd"/>
      <w:r>
        <w:rPr>
          <w:rFonts w:ascii="Book Antiqua" w:eastAsia="Book Antiqua" w:hAnsi="Book Antiqua" w:cs="Book Antiqua"/>
          <w:color w:val="000000" w:themeColor="text1"/>
        </w:rPr>
        <w:t xml:space="preserve"> and blood potassium levels were normal upon discharge. The sensory plane was the same as that at admission, although motor function and ADL improved significantly (Figure 1). The BBS, FMA and MBI scores also markedly increased to 24/56, 20/34 and 63/100</w:t>
      </w:r>
      <w:r w:rsidR="00570CE2">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respectively</w:t>
      </w:r>
      <w:r w:rsidR="00570CE2">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after rehabilitation. The patient was able to stand independently and walk with an aid. The attending physicians recommended warfarin anticoagulant therapy after discharge, which was refused by the patient who insisted on taking rivaroxaban 20 mg tablets daily. Other recommendations at discharge were anticoagulant therapy for 3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daily dose of prednisone starting at 40 mg and decreased by 5 mg every 2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0.25 g mycophenolate mofetil twice daily (morning and evening), and other drugs at the same dosage as during hospitalization. One month after discharge, the patient had been taking 30 mg prednisone daily, and reported improvement in the chest and back banding sensations, as well as the ability to walk about 300 m independently and perform daily activities. </w:t>
      </w:r>
    </w:p>
    <w:p w14:paraId="0B3B3B69" w14:textId="77777777" w:rsidR="00C57888" w:rsidRDefault="00C57888">
      <w:pPr>
        <w:adjustRightInd w:val="0"/>
        <w:snapToGrid w:val="0"/>
        <w:spacing w:line="360" w:lineRule="auto"/>
        <w:jc w:val="both"/>
        <w:rPr>
          <w:rFonts w:ascii="Book Antiqua" w:hAnsi="Book Antiqua"/>
          <w:color w:val="000000" w:themeColor="text1"/>
        </w:rPr>
      </w:pPr>
    </w:p>
    <w:p w14:paraId="7A62F120"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14:paraId="40C94B7E" w14:textId="7F8E11D3"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We report </w:t>
      </w:r>
      <w:r w:rsidR="006F0071">
        <w:rPr>
          <w:rFonts w:ascii="Book Antiqua" w:eastAsia="Book Antiqua" w:hAnsi="Book Antiqua" w:cs="Book Antiqua"/>
          <w:color w:val="000000" w:themeColor="text1"/>
        </w:rPr>
        <w:t xml:space="preserve">a </w:t>
      </w:r>
      <w:r>
        <w:rPr>
          <w:rFonts w:ascii="Book Antiqua" w:eastAsia="Book Antiqua" w:hAnsi="Book Antiqua" w:cs="Book Antiqua"/>
          <w:color w:val="000000" w:themeColor="text1"/>
        </w:rPr>
        <w:t xml:space="preserve">patient with NMOSD accompanied by spinal cord injury, Sjogren's syndrome and deep venous thrombosis in </w:t>
      </w:r>
      <w:r w:rsidR="006F0071">
        <w:rPr>
          <w:rFonts w:ascii="Book Antiqua" w:eastAsia="Book Antiqua" w:hAnsi="Book Antiqua" w:cs="Book Antiqua"/>
          <w:color w:val="000000" w:themeColor="text1"/>
        </w:rPr>
        <w:t xml:space="preserve">the </w:t>
      </w:r>
      <w:r>
        <w:rPr>
          <w:rFonts w:ascii="Book Antiqua" w:eastAsia="Book Antiqua" w:hAnsi="Book Antiqua" w:cs="Book Antiqua"/>
          <w:color w:val="000000" w:themeColor="text1"/>
        </w:rPr>
        <w:t xml:space="preserve">lower extremities </w:t>
      </w:r>
      <w:r w:rsidR="006F0071">
        <w:rPr>
          <w:rFonts w:ascii="Book Antiqua" w:eastAsia="Book Antiqua" w:hAnsi="Book Antiqua" w:cs="Book Antiqua"/>
          <w:color w:val="000000" w:themeColor="text1"/>
        </w:rPr>
        <w:t>who</w:t>
      </w:r>
      <w:r>
        <w:rPr>
          <w:rFonts w:ascii="Book Antiqua" w:eastAsia="Book Antiqua" w:hAnsi="Book Antiqua" w:cs="Book Antiqua"/>
          <w:color w:val="000000" w:themeColor="text1"/>
        </w:rPr>
        <w:t xml:space="preserve"> received two weeks of rehabilitation and pharmacotherapy. The patient showed considerable improvement in her ability to sit, stand and walk independently and perform daily </w:t>
      </w:r>
      <w:r>
        <w:rPr>
          <w:rFonts w:ascii="Book Antiqua" w:eastAsia="Book Antiqua" w:hAnsi="Book Antiqua" w:cs="Book Antiqua"/>
          <w:color w:val="000000" w:themeColor="text1"/>
        </w:rPr>
        <w:lastRenderedPageBreak/>
        <w:t xml:space="preserve">activities, along with achieving better control of defecation and urination. The patient was overall satisfied with the treatment and outcomes. </w:t>
      </w:r>
      <w:r w:rsidR="006F0071">
        <w:rPr>
          <w:rFonts w:ascii="Book Antiqua" w:eastAsia="Book Antiqua" w:hAnsi="Book Antiqua" w:cs="Book Antiqua"/>
          <w:color w:val="000000" w:themeColor="text1"/>
        </w:rPr>
        <w:t>T</w:t>
      </w:r>
      <w:r>
        <w:rPr>
          <w:rFonts w:ascii="Book Antiqua" w:eastAsia="Book Antiqua" w:hAnsi="Book Antiqua" w:cs="Book Antiqua"/>
          <w:color w:val="000000" w:themeColor="text1"/>
        </w:rPr>
        <w:t xml:space="preserve">his typical NMOSD patient was not sensitive to hormone therapy, </w:t>
      </w:r>
      <w:r w:rsidR="00B45351">
        <w:rPr>
          <w:rFonts w:ascii="Book Antiqua" w:eastAsia="Book Antiqua" w:hAnsi="Book Antiqua" w:cs="Book Antiqua"/>
          <w:color w:val="000000" w:themeColor="text1"/>
        </w:rPr>
        <w:t>and</w:t>
      </w:r>
      <w:r w:rsidR="006F0071">
        <w:rPr>
          <w:rFonts w:ascii="Book Antiqua" w:eastAsia="Book Antiqua" w:hAnsi="Book Antiqua" w:cs="Book Antiqua"/>
          <w:color w:val="000000" w:themeColor="text1"/>
        </w:rPr>
        <w:t xml:space="preserve"> had</w:t>
      </w:r>
      <w:r>
        <w:rPr>
          <w:rFonts w:ascii="Book Antiqua" w:eastAsia="Book Antiqua" w:hAnsi="Book Antiqua" w:cs="Book Antiqua"/>
          <w:color w:val="000000" w:themeColor="text1"/>
        </w:rPr>
        <w:t xml:space="preserve"> deep vein thrombosis. After effective drug treatment and standardized rehabilitation treatment, the patient recovered well, </w:t>
      </w:r>
      <w:proofErr w:type="gramStart"/>
      <w:r>
        <w:rPr>
          <w:rFonts w:ascii="Book Antiqua" w:eastAsia="Book Antiqua" w:hAnsi="Book Antiqua" w:cs="Book Antiqua"/>
          <w:color w:val="000000" w:themeColor="text1"/>
        </w:rPr>
        <w:t xml:space="preserve">which </w:t>
      </w:r>
      <w:r w:rsidR="00B45351">
        <w:rPr>
          <w:rFonts w:ascii="Book Antiqua" w:eastAsia="Book Antiqua" w:hAnsi="Book Antiqua" w:cs="Book Antiqua"/>
          <w:color w:val="000000" w:themeColor="text1"/>
        </w:rPr>
        <w:t xml:space="preserve">may </w:t>
      </w:r>
      <w:r>
        <w:rPr>
          <w:rFonts w:ascii="Book Antiqua" w:eastAsia="Book Antiqua" w:hAnsi="Book Antiqua" w:cs="Book Antiqua"/>
          <w:color w:val="000000" w:themeColor="text1"/>
        </w:rPr>
        <w:t>provide</w:t>
      </w:r>
      <w:r w:rsidR="006F0071">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a basis for the treatment of other NMOSD patients.</w:t>
      </w:r>
      <w:proofErr w:type="gramEnd"/>
    </w:p>
    <w:p w14:paraId="0561E5C9" w14:textId="502EF67B" w:rsidR="00C57888" w:rsidRDefault="002A0D66">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Classic </w:t>
      </w:r>
      <w:proofErr w:type="spellStart"/>
      <w:r>
        <w:rPr>
          <w:rFonts w:ascii="Book Antiqua" w:eastAsia="Book Antiqua" w:hAnsi="Book Antiqua" w:cs="Book Antiqua"/>
          <w:color w:val="000000" w:themeColor="text1"/>
        </w:rPr>
        <w:t>n</w:t>
      </w:r>
      <w:r>
        <w:rPr>
          <w:rFonts w:ascii="Book Antiqua" w:eastAsia="Book Antiqua" w:hAnsi="Book Antiqua" w:cs="Book Antiqua"/>
          <w:color w:val="000000" w:themeColor="text1"/>
          <w:shd w:val="clear" w:color="auto" w:fill="FFFFFF"/>
        </w:rPr>
        <w:t>euromyelitis</w:t>
      </w:r>
      <w:proofErr w:type="spellEnd"/>
      <w:r>
        <w:rPr>
          <w:rFonts w:ascii="Book Antiqua" w:eastAsia="Book Antiqua" w:hAnsi="Book Antiqua" w:cs="Book Antiqua"/>
          <w:color w:val="000000" w:themeColor="text1"/>
          <w:shd w:val="clear" w:color="auto" w:fill="FFFFFF"/>
        </w:rPr>
        <w:t xml:space="preserve"> </w:t>
      </w:r>
      <w:proofErr w:type="spellStart"/>
      <w:r>
        <w:rPr>
          <w:rFonts w:ascii="Book Antiqua" w:eastAsia="Book Antiqua" w:hAnsi="Book Antiqua" w:cs="Book Antiqua"/>
          <w:color w:val="000000" w:themeColor="text1"/>
          <w:shd w:val="clear" w:color="auto" w:fill="FFFFFF"/>
        </w:rPr>
        <w:t>optica</w:t>
      </w:r>
      <w:proofErr w:type="spellEnd"/>
      <w:r>
        <w:rPr>
          <w:rFonts w:ascii="Book Antiqua" w:eastAsia="Book Antiqua" w:hAnsi="Book Antiqua" w:cs="Book Antiqua"/>
          <w:color w:val="000000" w:themeColor="text1"/>
        </w:rPr>
        <w:t xml:space="preserve"> (NMO) is an acute or subacute demyelinating lesion that affects the optic nerve and spinal cord either sequentially or simultaneously. It usually involves the cervicothoracic segments of the spinal cord longitudinally, with only sporadic intracranial involvement. </w:t>
      </w:r>
      <w:proofErr w:type="spellStart"/>
      <w:r>
        <w:rPr>
          <w:rFonts w:ascii="Book Antiqua" w:eastAsia="Book Antiqua" w:hAnsi="Book Antiqua" w:cs="Book Antiqua"/>
          <w:color w:val="000000" w:themeColor="text1"/>
        </w:rPr>
        <w:t>Wingerchuk</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xml:space="preserve"> first defined NMOSD in 2007 as a group of localized demyelinating diseases that </w:t>
      </w:r>
      <w:r w:rsidR="006F0071">
        <w:rPr>
          <w:rFonts w:ascii="Book Antiqua" w:eastAsia="Book Antiqua" w:hAnsi="Book Antiqua" w:cs="Book Antiqua"/>
          <w:color w:val="000000" w:themeColor="text1"/>
        </w:rPr>
        <w:t xml:space="preserve">did </w:t>
      </w:r>
      <w:r>
        <w:rPr>
          <w:rFonts w:ascii="Book Antiqua" w:eastAsia="Book Antiqua" w:hAnsi="Book Antiqua" w:cs="Book Antiqua"/>
          <w:color w:val="000000" w:themeColor="text1"/>
        </w:rPr>
        <w:t xml:space="preserve">not meet the NMO diagnostic criteria, such as idiopathic long segmental myelitis (longitudinal involvement of three or more spinal cord segments), recurrent optic neuritis, and optic neuritis or long segmental myelitis with autoimmune disease or </w:t>
      </w:r>
      <w:r w:rsidR="006F0071">
        <w:rPr>
          <w:rFonts w:ascii="Book Antiqua" w:eastAsia="Book Antiqua" w:hAnsi="Book Antiqua" w:cs="Book Antiqua"/>
          <w:color w:val="000000" w:themeColor="text1"/>
        </w:rPr>
        <w:t xml:space="preserve">the </w:t>
      </w:r>
      <w:r>
        <w:rPr>
          <w:rFonts w:ascii="Book Antiqua" w:eastAsia="Book Antiqua" w:hAnsi="Book Antiqua" w:cs="Book Antiqua"/>
          <w:color w:val="000000" w:themeColor="text1"/>
        </w:rPr>
        <w:t>presence of autoantibodies. According to the 2015 international diagnostic criteria of NMOSD for adult patients</w:t>
      </w:r>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 xml:space="preserve">, its core clinical characteristics include optic neuritis, acute myelitis, area postrema syndrome, acute brainstem syndrome, symptomatic narcolepsy or acute diencephalic clinical syndrome and symptomatic cerebral syndrome. Our patient was a 45-year-old woman with normal menstruation and a history of Sjogren's syndrome, although the typical symptoms like dry mouth and dry eyes were absent. She exhibited spinal cord injury without optic nerve injury, complicated </w:t>
      </w:r>
      <w:r w:rsidR="006F0071">
        <w:rPr>
          <w:rFonts w:ascii="Book Antiqua" w:eastAsia="Book Antiqua" w:hAnsi="Book Antiqua" w:cs="Book Antiqua"/>
          <w:color w:val="000000" w:themeColor="text1"/>
        </w:rPr>
        <w:t>by</w:t>
      </w:r>
      <w:r>
        <w:rPr>
          <w:rFonts w:ascii="Book Antiqua" w:eastAsia="Book Antiqua" w:hAnsi="Book Antiqua" w:cs="Book Antiqua"/>
          <w:color w:val="000000" w:themeColor="text1"/>
        </w:rPr>
        <w:t xml:space="preserve"> left calf intermuscular vein thrombosis.</w:t>
      </w:r>
    </w:p>
    <w:p w14:paraId="17B90EAA"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NMOSD affects women more than men, and the age of onset is 30 to 40 years. Therefore, many women with NMOSD exhibit the first symptoms during the childbearing years. Although its exact pathological basis is unclear, studies have routinely implicated vascular disorders and autoimmune demyelinating disease. Pereira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iCs/>
          <w:color w:val="000000" w:themeColor="text1"/>
          <w:vertAlign w:val="superscript"/>
        </w:rPr>
        <w:t>[</w:t>
      </w:r>
      <w:proofErr w:type="gramEnd"/>
      <w:r>
        <w:rPr>
          <w:rFonts w:ascii="Book Antiqua" w:eastAsia="Book Antiqua" w:hAnsi="Book Antiqua" w:cs="Book Antiqua"/>
          <w:color w:val="000000" w:themeColor="text1"/>
          <w:vertAlign w:val="superscript"/>
        </w:rPr>
        <w:t xml:space="preserve">5] </w:t>
      </w:r>
      <w:r>
        <w:rPr>
          <w:rFonts w:ascii="Book Antiqua" w:eastAsia="Book Antiqua" w:hAnsi="Book Antiqua" w:cs="Book Antiqua"/>
          <w:color w:val="000000" w:themeColor="text1"/>
        </w:rPr>
        <w:t xml:space="preserve">found that around 27.3% of patients with NMOSD had accompanying autoimmune diseases such as systemic lupus erythematosus and Sjogren's syndrome. NMOSD can be clinically classified into AQP4-IgG positive, negative and unidentified serological </w:t>
      </w:r>
      <w:proofErr w:type="gramStart"/>
      <w:r>
        <w:rPr>
          <w:rFonts w:ascii="Book Antiqua" w:eastAsia="Book Antiqua" w:hAnsi="Book Antiqua" w:cs="Book Antiqua"/>
          <w:color w:val="000000" w:themeColor="text1"/>
        </w:rPr>
        <w:t>types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6,7]</w:t>
      </w:r>
      <w:r>
        <w:rPr>
          <w:rFonts w:ascii="Book Antiqua" w:eastAsia="Book Antiqua" w:hAnsi="Book Antiqua" w:cs="Book Antiqua"/>
          <w:color w:val="000000" w:themeColor="text1"/>
        </w:rPr>
        <w:t xml:space="preserve">. AQP4 is mainly expressed in the astrocytes of the CNS and is involved in neuro-immune </w:t>
      </w:r>
      <w:r>
        <w:rPr>
          <w:rFonts w:ascii="Book Antiqua" w:eastAsia="Book Antiqua" w:hAnsi="Book Antiqua" w:cs="Book Antiqua"/>
          <w:color w:val="000000" w:themeColor="text1"/>
        </w:rPr>
        <w:lastRenderedPageBreak/>
        <w:t xml:space="preserve">induction. The AQP4-IgG autoantibody is a characteristic biomarker of </w:t>
      </w:r>
      <w:proofErr w:type="gramStart"/>
      <w:r>
        <w:rPr>
          <w:rFonts w:ascii="Book Antiqua" w:eastAsia="Book Antiqua" w:hAnsi="Book Antiqua" w:cs="Book Antiqua"/>
          <w:color w:val="000000" w:themeColor="text1"/>
        </w:rPr>
        <w:t>NMOSD</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w:t>
      </w:r>
      <w:r>
        <w:rPr>
          <w:rFonts w:ascii="Book Antiqua" w:eastAsia="Book Antiqua" w:hAnsi="Book Antiqua" w:cs="Book Antiqua"/>
          <w:color w:val="000000" w:themeColor="text1"/>
        </w:rPr>
        <w:t xml:space="preserve"> and can differentiate it from multiple sclerosis. Our patient was serum positive for the anti-AQP4 and anti-MOG antibodies, as well as for the anti-SSA, anti-SSB and anti-Ro52 antibodies specific for Sjogren's syndrome.</w:t>
      </w:r>
    </w:p>
    <w:p w14:paraId="31743D8A" w14:textId="1756DB86" w:rsidR="00C57888" w:rsidRDefault="002A0D66">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High-dose hormones, gamma globulin shock and plasmapheresis are generally used to treated NMSOD during the acute </w:t>
      </w:r>
      <w:proofErr w:type="gramStart"/>
      <w:r>
        <w:rPr>
          <w:rFonts w:ascii="Book Antiqua" w:eastAsia="Book Antiqua" w:hAnsi="Book Antiqua" w:cs="Book Antiqua"/>
          <w:color w:val="000000" w:themeColor="text1"/>
        </w:rPr>
        <w:t>phase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 However, since it is prone to relapse, drug maintenance is essential during the recovery period, usually with small doses of hormones and/or non-specific immunosuppressants such as </w:t>
      </w:r>
      <w:proofErr w:type="gramStart"/>
      <w:r>
        <w:rPr>
          <w:rFonts w:ascii="Book Antiqua" w:eastAsia="Book Antiqua" w:hAnsi="Book Antiqua" w:cs="Book Antiqua"/>
          <w:color w:val="000000" w:themeColor="text1"/>
        </w:rPr>
        <w:t>azathioprine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xml:space="preserve">. Studies showed that maintenance therapy should be continued for at least 5 </w:t>
      </w:r>
      <w:proofErr w:type="gramStart"/>
      <w:r>
        <w:rPr>
          <w:rFonts w:ascii="Book Antiqua" w:eastAsia="Book Antiqua" w:hAnsi="Book Antiqua" w:cs="Book Antiqua"/>
          <w:color w:val="000000" w:themeColor="text1"/>
        </w:rPr>
        <w:t>years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xml:space="preserve">. The monoclonal antibody </w:t>
      </w:r>
      <w:proofErr w:type="gramStart"/>
      <w:r>
        <w:rPr>
          <w:rFonts w:ascii="Book Antiqua" w:eastAsia="Book Antiqua" w:hAnsi="Book Antiqua" w:cs="Book Antiqua"/>
          <w:color w:val="000000" w:themeColor="text1"/>
        </w:rPr>
        <w:t>rituximab</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xml:space="preserve"> ha</w:t>
      </w:r>
      <w:r w:rsidR="006F0071">
        <w:rPr>
          <w:rFonts w:ascii="Book Antiqua" w:eastAsia="Book Antiqua" w:hAnsi="Book Antiqua" w:cs="Book Antiqua"/>
          <w:color w:val="000000" w:themeColor="text1"/>
        </w:rPr>
        <w:t>s</w:t>
      </w:r>
      <w:r>
        <w:rPr>
          <w:rFonts w:ascii="Book Antiqua" w:eastAsia="Book Antiqua" w:hAnsi="Book Antiqua" w:cs="Book Antiqua"/>
          <w:color w:val="000000" w:themeColor="text1"/>
        </w:rPr>
        <w:t xml:space="preserve"> been proved to be more effective in treating NMOSD and reducing the risk of recurrence</w:t>
      </w:r>
      <w:r>
        <w:rPr>
          <w:rFonts w:ascii="Book Antiqua" w:eastAsia="Book Antiqua" w:hAnsi="Book Antiqua" w:cs="Book Antiqua"/>
          <w:color w:val="000000" w:themeColor="text1"/>
          <w:vertAlign w:val="superscript"/>
        </w:rPr>
        <w:t>[13]</w:t>
      </w:r>
      <w:r>
        <w:rPr>
          <w:rFonts w:ascii="Book Antiqua" w:eastAsia="Book Antiqua" w:hAnsi="Book Antiqua" w:cs="Book Antiqua"/>
          <w:color w:val="000000" w:themeColor="text1"/>
        </w:rPr>
        <w:t xml:space="preserve">. Mycophenolate </w:t>
      </w:r>
      <w:proofErr w:type="spellStart"/>
      <w:r>
        <w:rPr>
          <w:rFonts w:ascii="Book Antiqua" w:eastAsia="Book Antiqua" w:hAnsi="Book Antiqua" w:cs="Book Antiqua"/>
          <w:color w:val="000000" w:themeColor="text1"/>
        </w:rPr>
        <w:t>mofetil</w:t>
      </w:r>
      <w:proofErr w:type="spellEnd"/>
      <w:r>
        <w:rPr>
          <w:rFonts w:ascii="Book Antiqua" w:eastAsia="Book Antiqua" w:hAnsi="Book Antiqua" w:cs="Book Antiqua"/>
          <w:color w:val="000000" w:themeColor="text1"/>
        </w:rPr>
        <w:t xml:space="preserve"> or </w:t>
      </w:r>
      <w:proofErr w:type="spellStart"/>
      <w:r>
        <w:rPr>
          <w:rFonts w:ascii="Book Antiqua" w:eastAsia="Book Antiqua" w:hAnsi="Book Antiqua" w:cs="Book Antiqua"/>
          <w:color w:val="000000" w:themeColor="text1"/>
        </w:rPr>
        <w:t>CellCept</w:t>
      </w:r>
      <w:proofErr w:type="spellEnd"/>
      <w:r>
        <w:rPr>
          <w:rFonts w:ascii="Book Antiqua" w:eastAsia="Book Antiqua" w:hAnsi="Book Antiqua" w:cs="Book Antiqua"/>
          <w:color w:val="000000" w:themeColor="text1"/>
        </w:rPr>
        <w:t xml:space="preserve">, a non-competitive, selective and reversible hypoxanthine nucleoside phosphate dehydrogenase I/II inhibitor, is an effective and safe option for maintenance </w:t>
      </w:r>
      <w:proofErr w:type="gramStart"/>
      <w:r>
        <w:rPr>
          <w:rFonts w:ascii="Book Antiqua" w:eastAsia="Book Antiqua" w:hAnsi="Book Antiqua" w:cs="Book Antiqua"/>
          <w:color w:val="000000" w:themeColor="text1"/>
        </w:rPr>
        <w:t>therapy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xml:space="preserve">. Our patient received methylprednisolone shock therapy and gamma globulin in the acute phase, which significantly strengthened the lower limb muscles. Low-dose prednisone plus mycophenolate </w:t>
      </w:r>
      <w:proofErr w:type="spellStart"/>
      <w:r>
        <w:rPr>
          <w:rFonts w:ascii="Book Antiqua" w:eastAsia="Book Antiqua" w:hAnsi="Book Antiqua" w:cs="Book Antiqua"/>
          <w:color w:val="000000" w:themeColor="text1"/>
        </w:rPr>
        <w:t>mofetil</w:t>
      </w:r>
      <w:proofErr w:type="spellEnd"/>
      <w:r>
        <w:rPr>
          <w:rFonts w:ascii="Book Antiqua" w:eastAsia="Book Antiqua" w:hAnsi="Book Antiqua" w:cs="Book Antiqua"/>
          <w:color w:val="000000" w:themeColor="text1"/>
        </w:rPr>
        <w:t xml:space="preserve"> was given </w:t>
      </w:r>
      <w:r w:rsidR="006F0071">
        <w:rPr>
          <w:rFonts w:ascii="Book Antiqua" w:eastAsia="Book Antiqua" w:hAnsi="Book Antiqua" w:cs="Book Antiqua"/>
          <w:color w:val="000000" w:themeColor="text1"/>
        </w:rPr>
        <w:t>to</w:t>
      </w:r>
      <w:r>
        <w:rPr>
          <w:rFonts w:ascii="Book Antiqua" w:eastAsia="Book Antiqua" w:hAnsi="Book Antiqua" w:cs="Book Antiqua"/>
          <w:color w:val="000000" w:themeColor="text1"/>
        </w:rPr>
        <w:t xml:space="preserve"> maintain the therapeutic effects, and low molecular-weight heparin calcium was injected subcutaneously for anticoagulation. The serum D-dimer levels decreased gradually and no obvious swelling was observed in the lower limbs, which indicat</w:t>
      </w:r>
      <w:r w:rsidR="006F0071">
        <w:rPr>
          <w:rFonts w:ascii="Book Antiqua" w:eastAsia="Book Antiqua" w:hAnsi="Book Antiqua" w:cs="Book Antiqua"/>
          <w:color w:val="000000" w:themeColor="text1"/>
        </w:rPr>
        <w:t xml:space="preserve">ed </w:t>
      </w:r>
      <w:r w:rsidR="00B45351">
        <w:rPr>
          <w:rFonts w:ascii="Book Antiqua" w:eastAsia="Book Antiqua" w:hAnsi="Book Antiqua" w:cs="Book Antiqua"/>
          <w:color w:val="000000" w:themeColor="text1"/>
        </w:rPr>
        <w:t xml:space="preserve">an </w:t>
      </w:r>
      <w:r>
        <w:rPr>
          <w:rFonts w:ascii="Book Antiqua" w:eastAsia="Book Antiqua" w:hAnsi="Book Antiqua" w:cs="Book Antiqua"/>
          <w:color w:val="000000" w:themeColor="text1"/>
        </w:rPr>
        <w:t>optimal anticoagulation effect. We recommended oral warfarin after discharge, which was refused by the patient due to the inconvenience of regularly monitoring the INR value. Therefore, she was prescribed oral rivaroxaban (Xarelto).</w:t>
      </w:r>
    </w:p>
    <w:p w14:paraId="5369B04C" w14:textId="2FB98663" w:rsidR="00C57888" w:rsidRDefault="002A0D66">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NMSOD-mediated spinal cord injury results in varying degrees of disability that requires </w:t>
      </w:r>
      <w:proofErr w:type="gramStart"/>
      <w:r>
        <w:rPr>
          <w:rFonts w:ascii="Book Antiqua" w:eastAsia="Book Antiqua" w:hAnsi="Book Antiqua" w:cs="Book Antiqua"/>
          <w:color w:val="000000" w:themeColor="text1"/>
        </w:rPr>
        <w:t>rehabilitation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14,15]</w:t>
      </w:r>
      <w:r>
        <w:rPr>
          <w:rFonts w:ascii="Book Antiqua" w:eastAsia="Book Antiqua" w:hAnsi="Book Antiqua" w:cs="Book Antiqua"/>
          <w:color w:val="000000" w:themeColor="text1"/>
        </w:rPr>
        <w:t xml:space="preserve">. Patients with spinal cord injury frequently exhibit motor and sensory dysfunction in the limbs, as well as lack of control over defecation and urination. </w:t>
      </w:r>
      <w:r w:rsidR="0019537C">
        <w:rPr>
          <w:rFonts w:ascii="Book Antiqua" w:eastAsia="Book Antiqua" w:hAnsi="Book Antiqua" w:cs="Book Antiqua"/>
          <w:color w:val="000000" w:themeColor="text1"/>
        </w:rPr>
        <w:t>Thus,</w:t>
      </w:r>
      <w:r>
        <w:rPr>
          <w:rFonts w:ascii="Book Antiqua" w:eastAsia="Book Antiqua" w:hAnsi="Book Antiqua" w:cs="Book Antiqua"/>
          <w:color w:val="000000" w:themeColor="text1"/>
        </w:rPr>
        <w:t xml:space="preserve"> patients need further rehabilitation such as strength </w:t>
      </w:r>
      <w:proofErr w:type="gramStart"/>
      <w:r>
        <w:rPr>
          <w:rFonts w:ascii="Book Antiqua" w:eastAsia="Book Antiqua" w:hAnsi="Book Antiqua" w:cs="Book Antiqua"/>
          <w:color w:val="000000" w:themeColor="text1"/>
        </w:rPr>
        <w:t>training</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16]</w:t>
      </w:r>
      <w:r>
        <w:rPr>
          <w:rFonts w:ascii="Book Antiqua" w:eastAsia="Book Antiqua" w:hAnsi="Book Antiqua" w:cs="Book Antiqua"/>
          <w:color w:val="000000" w:themeColor="text1"/>
        </w:rPr>
        <w:t xml:space="preserve"> of paralyzed limbs, joint movement, balance and gait training</w:t>
      </w:r>
      <w:r>
        <w:rPr>
          <w:rFonts w:ascii="Book Antiqua" w:eastAsia="Book Antiqua" w:hAnsi="Book Antiqua" w:cs="Book Antiqua"/>
          <w:color w:val="000000" w:themeColor="text1"/>
          <w:vertAlign w:val="superscript"/>
        </w:rPr>
        <w:t>[17]</w:t>
      </w:r>
      <w:r>
        <w:rPr>
          <w:rFonts w:ascii="Book Antiqua" w:eastAsia="Book Antiqua" w:hAnsi="Book Antiqua" w:cs="Book Antiqua"/>
          <w:color w:val="000000" w:themeColor="text1"/>
        </w:rPr>
        <w:t>, neuromuscular electrical stimulation</w:t>
      </w:r>
      <w:r>
        <w:rPr>
          <w:rFonts w:ascii="Book Antiqua" w:eastAsia="Book Antiqua" w:hAnsi="Book Antiqua" w:cs="Book Antiqua"/>
          <w:color w:val="000000" w:themeColor="text1"/>
          <w:vertAlign w:val="superscript"/>
        </w:rPr>
        <w:t>[18]</w:t>
      </w:r>
      <w:r>
        <w:rPr>
          <w:rFonts w:ascii="Book Antiqua" w:eastAsia="Book Antiqua" w:hAnsi="Book Antiqua" w:cs="Book Antiqua"/>
          <w:color w:val="000000" w:themeColor="text1"/>
        </w:rPr>
        <w:t xml:space="preserve"> </w:t>
      </w:r>
      <w:r w:rsidR="0019537C">
        <w:rPr>
          <w:rFonts w:ascii="Book Antiqua" w:eastAsia="Book Antiqua" w:hAnsi="Book Antiqua" w:cs="Book Antiqua"/>
          <w:color w:val="000000" w:themeColor="text1"/>
        </w:rPr>
        <w:t>to</w:t>
      </w:r>
      <w:r>
        <w:rPr>
          <w:rFonts w:ascii="Book Antiqua" w:eastAsia="Book Antiqua" w:hAnsi="Book Antiqua" w:cs="Book Antiqua"/>
          <w:color w:val="000000" w:themeColor="text1"/>
        </w:rPr>
        <w:t xml:space="preserve"> promot</w:t>
      </w:r>
      <w:r w:rsidR="0019537C">
        <w:rPr>
          <w:rFonts w:ascii="Book Antiqua" w:eastAsia="Book Antiqua" w:hAnsi="Book Antiqua" w:cs="Book Antiqua"/>
          <w:color w:val="000000" w:themeColor="text1"/>
        </w:rPr>
        <w:t>e</w:t>
      </w:r>
      <w:r>
        <w:rPr>
          <w:rFonts w:ascii="Book Antiqua" w:eastAsia="Book Antiqua" w:hAnsi="Book Antiqua" w:cs="Book Antiqua"/>
          <w:color w:val="000000" w:themeColor="text1"/>
        </w:rPr>
        <w:t xml:space="preserve"> muscle contraction, and management training of intestine and bladder. Our patient underwent strength training of </w:t>
      </w:r>
      <w:r w:rsidR="0019537C">
        <w:rPr>
          <w:rFonts w:ascii="Book Antiqua" w:eastAsia="Book Antiqua" w:hAnsi="Book Antiqua" w:cs="Book Antiqua"/>
          <w:color w:val="000000" w:themeColor="text1"/>
        </w:rPr>
        <w:t xml:space="preserve">the </w:t>
      </w:r>
      <w:r>
        <w:rPr>
          <w:rFonts w:ascii="Book Antiqua" w:eastAsia="Book Antiqua" w:hAnsi="Book Antiqua" w:cs="Book Antiqua"/>
          <w:color w:val="000000" w:themeColor="text1"/>
        </w:rPr>
        <w:t xml:space="preserve">trunk and key lower limb </w:t>
      </w:r>
      <w:r>
        <w:rPr>
          <w:rFonts w:ascii="Book Antiqua" w:eastAsia="Book Antiqua" w:hAnsi="Book Antiqua" w:cs="Book Antiqua"/>
          <w:color w:val="000000" w:themeColor="text1"/>
        </w:rPr>
        <w:lastRenderedPageBreak/>
        <w:t xml:space="preserve">muscles, muscle stretching, and postural balance training, followed by supported standing/walking and gait training. Neuromuscular electrical stimulation was used to improve the muscle strength of </w:t>
      </w:r>
      <w:r w:rsidR="0019537C">
        <w:rPr>
          <w:rFonts w:ascii="Book Antiqua" w:eastAsia="Book Antiqua" w:hAnsi="Book Antiqua" w:cs="Book Antiqua"/>
          <w:color w:val="000000" w:themeColor="text1"/>
        </w:rPr>
        <w:t xml:space="preserve">the </w:t>
      </w:r>
      <w:r>
        <w:rPr>
          <w:rFonts w:ascii="Book Antiqua" w:eastAsia="Book Antiqua" w:hAnsi="Book Antiqua" w:cs="Book Antiqua"/>
          <w:color w:val="000000" w:themeColor="text1"/>
        </w:rPr>
        <w:t xml:space="preserve">lower extremities, primarily that of </w:t>
      </w:r>
      <w:r w:rsidR="0019537C">
        <w:rPr>
          <w:rFonts w:ascii="Book Antiqua" w:eastAsia="Book Antiqua" w:hAnsi="Book Antiqua" w:cs="Book Antiqua"/>
          <w:color w:val="000000" w:themeColor="text1"/>
        </w:rPr>
        <w:t xml:space="preserve">the </w:t>
      </w:r>
      <w:r>
        <w:rPr>
          <w:rFonts w:ascii="Book Antiqua" w:eastAsia="Book Antiqua" w:hAnsi="Book Antiqua" w:cs="Book Antiqua"/>
          <w:color w:val="000000" w:themeColor="text1"/>
        </w:rPr>
        <w:t xml:space="preserve">right quadriceps </w:t>
      </w:r>
      <w:proofErr w:type="spellStart"/>
      <w:r>
        <w:rPr>
          <w:rFonts w:ascii="Book Antiqua" w:eastAsia="Book Antiqua" w:hAnsi="Book Antiqua" w:cs="Book Antiqua"/>
          <w:color w:val="000000" w:themeColor="text1"/>
        </w:rPr>
        <w:t>femoris</w:t>
      </w:r>
      <w:proofErr w:type="spellEnd"/>
      <w:r>
        <w:rPr>
          <w:rFonts w:ascii="Book Antiqua" w:eastAsia="Book Antiqua" w:hAnsi="Book Antiqua" w:cs="Book Antiqua"/>
          <w:color w:val="000000" w:themeColor="text1"/>
        </w:rPr>
        <w:t xml:space="preserve"> and tibialis anterior muscles. Two weeks of rehabilitation significantly increased the BBS, FMA and ADL scores, which manifested as improvements in sitting balance, walking stability, gait and execution of daily activities. One month after discharge, the patient experienced less pain in </w:t>
      </w:r>
      <w:r w:rsidR="0019537C">
        <w:rPr>
          <w:rFonts w:ascii="Book Antiqua" w:eastAsia="Book Antiqua" w:hAnsi="Book Antiqua" w:cs="Book Antiqua"/>
          <w:color w:val="000000" w:themeColor="text1"/>
        </w:rPr>
        <w:t xml:space="preserve">her </w:t>
      </w:r>
      <w:r>
        <w:rPr>
          <w:rFonts w:ascii="Book Antiqua" w:eastAsia="Book Antiqua" w:hAnsi="Book Antiqua" w:cs="Book Antiqua"/>
          <w:color w:val="000000" w:themeColor="text1"/>
        </w:rPr>
        <w:t xml:space="preserve">chest and back, and could walk 300 m without aid and perform daily activities independently. </w:t>
      </w:r>
    </w:p>
    <w:p w14:paraId="189D334C" w14:textId="7B655675" w:rsidR="00C57888" w:rsidRDefault="002A0D66">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This study has several limitations that ought to be discussed. First, the rehabilitation duration was short due to time constraints, and neuromuscular electrical stimulation and some equipment training could not be performed. Although we provided post-discharge rehabilitation guidance </w:t>
      </w:r>
      <w:r w:rsidR="0019537C">
        <w:rPr>
          <w:rFonts w:ascii="Book Antiqua" w:eastAsia="Book Antiqua" w:hAnsi="Book Antiqua" w:cs="Book Antiqua"/>
          <w:color w:val="000000" w:themeColor="text1"/>
        </w:rPr>
        <w:t>for</w:t>
      </w:r>
      <w:r>
        <w:rPr>
          <w:rFonts w:ascii="Book Antiqua" w:eastAsia="Book Antiqua" w:hAnsi="Book Antiqua" w:cs="Book Antiqua"/>
          <w:color w:val="000000" w:themeColor="text1"/>
        </w:rPr>
        <w:t xml:space="preserve"> the patient, there was no way to determine whether the patient could complete daily rehabilitation exercises on time or whether the methods of rehabilitation exercises were correct. Furthermore, due to the considerable distance between the patient’s home and the hospital, only online follow-up was possible. Finally, it is impossible to comment on the possibility of any future recurrence due to the short follow-up duration. </w:t>
      </w:r>
    </w:p>
    <w:p w14:paraId="61C59C5C" w14:textId="523BE1C6" w:rsidR="00C57888" w:rsidRDefault="002A0D66">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MRI also allows a quantitative assessment of spine recovery. At the first MRI examination, the patient asked for a routine examination </w:t>
      </w:r>
      <w:r w:rsidR="0019537C">
        <w:rPr>
          <w:rFonts w:ascii="Book Antiqua" w:eastAsia="Book Antiqua" w:hAnsi="Book Antiqua" w:cs="Book Antiqua"/>
          <w:color w:val="000000" w:themeColor="text1"/>
        </w:rPr>
        <w:t>due to</w:t>
      </w:r>
      <w:r>
        <w:rPr>
          <w:rFonts w:ascii="Book Antiqua" w:eastAsia="Book Antiqua" w:hAnsi="Book Antiqua" w:cs="Book Antiqua"/>
          <w:color w:val="000000" w:themeColor="text1"/>
        </w:rPr>
        <w:t xml:space="preserve"> the additional cost of quantitative MRI. Compared with the international literature, our country and hospital</w:t>
      </w:r>
      <w:r w:rsidR="0019537C">
        <w:rPr>
          <w:rFonts w:ascii="Book Antiqua" w:eastAsia="Book Antiqua" w:hAnsi="Book Antiqua" w:cs="Book Antiqua"/>
          <w:color w:val="000000" w:themeColor="text1"/>
        </w:rPr>
        <w:t>s</w:t>
      </w:r>
      <w:r>
        <w:rPr>
          <w:rFonts w:ascii="Book Antiqua" w:eastAsia="Book Antiqua" w:hAnsi="Book Antiqua" w:cs="Book Antiqua"/>
          <w:color w:val="000000" w:themeColor="text1"/>
        </w:rPr>
        <w:t xml:space="preserve"> have more strict management of inpatient MRI examination. When the patient's condition changes, the MRI can be checked again. There are two main reasons why the patient did not have MRI examination again: (1) The clinical symptoms of the patient gradually improved without sudden aggravation; and (2) Considering the high cost of re-examination, the patient refused </w:t>
      </w:r>
      <w:r w:rsidR="0019537C">
        <w:rPr>
          <w:rFonts w:ascii="Book Antiqua" w:eastAsia="Book Antiqua" w:hAnsi="Book Antiqua" w:cs="Book Antiqua"/>
          <w:color w:val="000000" w:themeColor="text1"/>
        </w:rPr>
        <w:t>MRI</w:t>
      </w:r>
      <w:r w:rsidR="0019537C" w:rsidDel="0019537C">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re-examin</w:t>
      </w:r>
      <w:r w:rsidR="0019537C">
        <w:rPr>
          <w:rFonts w:ascii="Book Antiqua" w:eastAsia="Book Antiqua" w:hAnsi="Book Antiqua" w:cs="Book Antiqua"/>
          <w:color w:val="000000" w:themeColor="text1"/>
        </w:rPr>
        <w:t>ation</w:t>
      </w:r>
      <w:r>
        <w:rPr>
          <w:rFonts w:ascii="Book Antiqua" w:eastAsia="Book Antiqua" w:hAnsi="Book Antiqua" w:cs="Book Antiqua"/>
          <w:color w:val="000000" w:themeColor="text1"/>
        </w:rPr>
        <w:t xml:space="preserve"> in </w:t>
      </w:r>
      <w:r w:rsidR="00B45351">
        <w:rPr>
          <w:rFonts w:ascii="Book Antiqua" w:eastAsia="Book Antiqua" w:hAnsi="Book Antiqua" w:cs="Book Antiqua"/>
          <w:color w:val="000000" w:themeColor="text1"/>
        </w:rPr>
        <w:t xml:space="preserve">such </w:t>
      </w:r>
      <w:r>
        <w:rPr>
          <w:rFonts w:ascii="Book Antiqua" w:eastAsia="Book Antiqua" w:hAnsi="Book Antiqua" w:cs="Book Antiqua"/>
          <w:color w:val="000000" w:themeColor="text1"/>
        </w:rPr>
        <w:t xml:space="preserve">a short time. In addition, the patient did not show any symptoms of optic nerve injury. In the first MRI examination, there was no abnormal signal in </w:t>
      </w:r>
      <w:r w:rsidR="0019537C">
        <w:rPr>
          <w:rFonts w:ascii="Book Antiqua" w:eastAsia="Book Antiqua" w:hAnsi="Book Antiqua" w:cs="Book Antiqua"/>
          <w:color w:val="000000" w:themeColor="text1"/>
        </w:rPr>
        <w:t xml:space="preserve">the </w:t>
      </w:r>
      <w:r>
        <w:rPr>
          <w:rFonts w:ascii="Book Antiqua" w:eastAsia="Book Antiqua" w:hAnsi="Book Antiqua" w:cs="Book Antiqua"/>
          <w:color w:val="000000" w:themeColor="text1"/>
        </w:rPr>
        <w:t>occipital lobe and brainstem, so no further optic nerve enhancement was performed.</w:t>
      </w:r>
    </w:p>
    <w:p w14:paraId="750C66A3" w14:textId="77777777" w:rsidR="00C57888" w:rsidRDefault="00C57888">
      <w:pPr>
        <w:adjustRightInd w:val="0"/>
        <w:snapToGrid w:val="0"/>
        <w:spacing w:line="360" w:lineRule="auto"/>
        <w:jc w:val="both"/>
        <w:rPr>
          <w:rFonts w:ascii="Book Antiqua" w:hAnsi="Book Antiqua"/>
          <w:color w:val="000000" w:themeColor="text1"/>
        </w:rPr>
      </w:pPr>
    </w:p>
    <w:p w14:paraId="77CA66A9"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lastRenderedPageBreak/>
        <w:t>CONCLUSION</w:t>
      </w:r>
    </w:p>
    <w:p w14:paraId="2AD14D85"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NMOSD is a recurrent and disabling disease that can be managed by early diagnosis and treatment. Standardized rehabilitation training can reduce the neuromotor dysfunction and improve ADL ability. However, it is crucial to avoid excessive fatigue during rehabilitation in order to minimize the risk of symptom aggravation and recurrence.</w:t>
      </w:r>
    </w:p>
    <w:p w14:paraId="3A979EFD" w14:textId="77777777" w:rsidR="00C57888" w:rsidRDefault="00C57888">
      <w:pPr>
        <w:adjustRightInd w:val="0"/>
        <w:snapToGrid w:val="0"/>
        <w:spacing w:line="360" w:lineRule="auto"/>
        <w:jc w:val="both"/>
        <w:rPr>
          <w:rFonts w:ascii="Book Antiqua" w:hAnsi="Book Antiqua"/>
          <w:color w:val="000000" w:themeColor="text1"/>
        </w:rPr>
      </w:pPr>
    </w:p>
    <w:p w14:paraId="65BB282C"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ACKNOWLEDGEMENTS</w:t>
      </w:r>
    </w:p>
    <w:p w14:paraId="58011F23"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We thank the Neurology </w:t>
      </w:r>
      <w:r>
        <w:rPr>
          <w:rStyle w:val="skip"/>
          <w:rFonts w:ascii="Book Antiqua" w:eastAsia="Book Antiqua" w:hAnsi="Book Antiqua" w:cs="Book Antiqua"/>
          <w:color w:val="000000" w:themeColor="text1"/>
          <w:shd w:val="clear" w:color="auto" w:fill="FFFFFF"/>
        </w:rPr>
        <w:t xml:space="preserve">Department </w:t>
      </w:r>
      <w:r>
        <w:rPr>
          <w:rFonts w:ascii="Book Antiqua" w:eastAsia="Book Antiqua" w:hAnsi="Book Antiqua" w:cs="Book Antiqua"/>
          <w:color w:val="000000" w:themeColor="text1"/>
        </w:rPr>
        <w:t xml:space="preserve">of Nanjing First Hospital for </w:t>
      </w:r>
      <w:r>
        <w:rPr>
          <w:rFonts w:ascii="Book Antiqua" w:eastAsia="Book Antiqua" w:hAnsi="Book Antiqua" w:cs="Book Antiqua"/>
          <w:color w:val="000000" w:themeColor="text1"/>
          <w:shd w:val="clear" w:color="auto" w:fill="FFFFFF"/>
        </w:rPr>
        <w:t xml:space="preserve">clinical </w:t>
      </w:r>
      <w:r>
        <w:rPr>
          <w:rFonts w:ascii="Book Antiqua" w:eastAsia="Book Antiqua" w:hAnsi="Book Antiqua" w:cs="Book Antiqua"/>
          <w:color w:val="000000" w:themeColor="text1"/>
        </w:rPr>
        <w:t xml:space="preserve">support. </w:t>
      </w:r>
    </w:p>
    <w:p w14:paraId="3E1464EC" w14:textId="77777777" w:rsidR="00C57888" w:rsidRDefault="00C57888">
      <w:pPr>
        <w:adjustRightInd w:val="0"/>
        <w:snapToGrid w:val="0"/>
        <w:spacing w:line="360" w:lineRule="auto"/>
        <w:jc w:val="both"/>
        <w:rPr>
          <w:rFonts w:ascii="Book Antiqua" w:hAnsi="Book Antiqua"/>
          <w:color w:val="000000" w:themeColor="text1"/>
        </w:rPr>
      </w:pPr>
    </w:p>
    <w:p w14:paraId="2F707818"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14:paraId="08BBF9B4" w14:textId="77777777" w:rsidR="00C57888" w:rsidRDefault="002A0D66">
      <w:pPr>
        <w:adjustRightInd w:val="0"/>
        <w:snapToGrid w:val="0"/>
        <w:spacing w:line="360" w:lineRule="auto"/>
        <w:jc w:val="both"/>
        <w:rPr>
          <w:rFonts w:ascii="Book Antiqua" w:hAnsi="Book Antiqua"/>
          <w:color w:val="000000" w:themeColor="text1"/>
        </w:rPr>
      </w:pPr>
      <w:bookmarkStart w:id="11" w:name="OLE_LINK4"/>
      <w:r>
        <w:rPr>
          <w:rFonts w:ascii="Book Antiqua" w:eastAsia="Book Antiqua" w:hAnsi="Book Antiqua" w:cs="Book Antiqua"/>
          <w:color w:val="000000" w:themeColor="text1"/>
        </w:rPr>
        <w:t xml:space="preserve">1 </w:t>
      </w:r>
      <w:r>
        <w:rPr>
          <w:rFonts w:ascii="Book Antiqua" w:eastAsia="Book Antiqua" w:hAnsi="Book Antiqua" w:cs="Book Antiqua"/>
          <w:b/>
          <w:bCs/>
          <w:color w:val="000000" w:themeColor="text1"/>
        </w:rPr>
        <w:t>Huda S</w:t>
      </w:r>
      <w:r>
        <w:rPr>
          <w:rFonts w:ascii="Book Antiqua" w:eastAsia="Book Antiqua" w:hAnsi="Book Antiqua" w:cs="Book Antiqua"/>
          <w:color w:val="000000" w:themeColor="text1"/>
        </w:rPr>
        <w:t xml:space="preserve">, Whittam D, </w:t>
      </w:r>
      <w:proofErr w:type="spellStart"/>
      <w:r>
        <w:rPr>
          <w:rFonts w:ascii="Book Antiqua" w:eastAsia="Book Antiqua" w:hAnsi="Book Antiqua" w:cs="Book Antiqua"/>
          <w:color w:val="000000" w:themeColor="text1"/>
        </w:rPr>
        <w:t>Bhojak</w:t>
      </w:r>
      <w:proofErr w:type="spellEnd"/>
      <w:r>
        <w:rPr>
          <w:rFonts w:ascii="Book Antiqua" w:eastAsia="Book Antiqua" w:hAnsi="Book Antiqua" w:cs="Book Antiqua"/>
          <w:color w:val="000000" w:themeColor="text1"/>
        </w:rPr>
        <w:t xml:space="preserve"> M, Chamberlain J, Noonan C, Jacob A. </w:t>
      </w:r>
      <w:proofErr w:type="spellStart"/>
      <w:r>
        <w:rPr>
          <w:rFonts w:ascii="Book Antiqua" w:eastAsia="Book Antiqua" w:hAnsi="Book Antiqua" w:cs="Book Antiqua"/>
          <w:color w:val="000000" w:themeColor="text1"/>
        </w:rPr>
        <w:t>Neuromyelitis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optica</w:t>
      </w:r>
      <w:proofErr w:type="spellEnd"/>
      <w:r>
        <w:rPr>
          <w:rFonts w:ascii="Book Antiqua" w:eastAsia="Book Antiqua" w:hAnsi="Book Antiqua" w:cs="Book Antiqua"/>
          <w:color w:val="000000" w:themeColor="text1"/>
        </w:rPr>
        <w:t xml:space="preserve"> spectrum disorders. </w:t>
      </w:r>
      <w:proofErr w:type="spellStart"/>
      <w:r>
        <w:rPr>
          <w:rFonts w:ascii="Book Antiqua" w:eastAsia="Book Antiqua" w:hAnsi="Book Antiqua" w:cs="Book Antiqua"/>
          <w:i/>
          <w:iCs/>
          <w:color w:val="000000" w:themeColor="text1"/>
        </w:rPr>
        <w:t>Clin</w:t>
      </w:r>
      <w:proofErr w:type="spellEnd"/>
      <w:r>
        <w:rPr>
          <w:rFonts w:ascii="Book Antiqua" w:eastAsia="Book Antiqua" w:hAnsi="Book Antiqua" w:cs="Book Antiqua"/>
          <w:i/>
          <w:iCs/>
          <w:color w:val="000000" w:themeColor="text1"/>
        </w:rPr>
        <w:t xml:space="preserve"> Med (</w:t>
      </w:r>
      <w:proofErr w:type="spellStart"/>
      <w:r>
        <w:rPr>
          <w:rFonts w:ascii="Book Antiqua" w:eastAsia="Book Antiqua" w:hAnsi="Book Antiqua" w:cs="Book Antiqua"/>
          <w:i/>
          <w:iCs/>
          <w:color w:val="000000" w:themeColor="text1"/>
        </w:rPr>
        <w:t>Lond</w:t>
      </w:r>
      <w:proofErr w:type="spellEnd"/>
      <w:r>
        <w:rPr>
          <w:rFonts w:ascii="Book Antiqua" w:eastAsia="Book Antiqua" w:hAnsi="Book Antiqua" w:cs="Book Antiqua"/>
          <w:i/>
          <w:iCs/>
          <w:color w:val="000000" w:themeColor="text1"/>
        </w:rPr>
        <w:t>)</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169-176 [PMID: 30872305 DOI: 10.7861/clinmedicine.19-2-169]</w:t>
      </w:r>
    </w:p>
    <w:p w14:paraId="2E671EB9"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 </w:t>
      </w:r>
      <w:r>
        <w:rPr>
          <w:rFonts w:ascii="Book Antiqua" w:eastAsia="Book Antiqua" w:hAnsi="Book Antiqua" w:cs="Book Antiqua"/>
          <w:b/>
          <w:bCs/>
          <w:color w:val="000000" w:themeColor="text1"/>
        </w:rPr>
        <w:t>Papadopoulos MC</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Verkman</w:t>
      </w:r>
      <w:proofErr w:type="spellEnd"/>
      <w:r>
        <w:rPr>
          <w:rFonts w:ascii="Book Antiqua" w:eastAsia="Book Antiqua" w:hAnsi="Book Antiqua" w:cs="Book Antiqua"/>
          <w:color w:val="000000" w:themeColor="text1"/>
        </w:rPr>
        <w:t xml:space="preserve"> AS. Aquaporin 4 and </w:t>
      </w:r>
      <w:proofErr w:type="spellStart"/>
      <w:r>
        <w:rPr>
          <w:rFonts w:ascii="Book Antiqua" w:eastAsia="Book Antiqua" w:hAnsi="Book Antiqua" w:cs="Book Antiqua"/>
          <w:color w:val="000000" w:themeColor="text1"/>
        </w:rPr>
        <w:t>neuromyelitis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optica</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Lancet Neurol</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11</w:t>
      </w:r>
      <w:r>
        <w:rPr>
          <w:rFonts w:ascii="Book Antiqua" w:eastAsia="Book Antiqua" w:hAnsi="Book Antiqua" w:cs="Book Antiqua"/>
          <w:color w:val="000000" w:themeColor="text1"/>
        </w:rPr>
        <w:t>: 535-544 [PMID: 22608667 DOI: 10.1016/S1474-4422(12)70133-3]</w:t>
      </w:r>
    </w:p>
    <w:p w14:paraId="451258C1"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 </w:t>
      </w:r>
      <w:proofErr w:type="spellStart"/>
      <w:r>
        <w:rPr>
          <w:rFonts w:ascii="Book Antiqua" w:eastAsia="Book Antiqua" w:hAnsi="Book Antiqua" w:cs="Book Antiqua"/>
          <w:b/>
          <w:bCs/>
          <w:color w:val="000000" w:themeColor="text1"/>
        </w:rPr>
        <w:t>Wingerchuk</w:t>
      </w:r>
      <w:proofErr w:type="spellEnd"/>
      <w:r>
        <w:rPr>
          <w:rFonts w:ascii="Book Antiqua" w:eastAsia="Book Antiqua" w:hAnsi="Book Antiqua" w:cs="Book Antiqua"/>
          <w:b/>
          <w:bCs/>
          <w:color w:val="000000" w:themeColor="text1"/>
        </w:rPr>
        <w:t xml:space="preserve"> DM</w:t>
      </w:r>
      <w:r>
        <w:rPr>
          <w:rFonts w:ascii="Book Antiqua" w:eastAsia="Book Antiqua" w:hAnsi="Book Antiqua" w:cs="Book Antiqua"/>
          <w:color w:val="000000" w:themeColor="text1"/>
        </w:rPr>
        <w:t xml:space="preserve">, Lennon VA, </w:t>
      </w:r>
      <w:proofErr w:type="spellStart"/>
      <w:r>
        <w:rPr>
          <w:rFonts w:ascii="Book Antiqua" w:eastAsia="Book Antiqua" w:hAnsi="Book Antiqua" w:cs="Book Antiqua"/>
          <w:color w:val="000000" w:themeColor="text1"/>
        </w:rPr>
        <w:t>Lucchinetti</w:t>
      </w:r>
      <w:proofErr w:type="spellEnd"/>
      <w:r>
        <w:rPr>
          <w:rFonts w:ascii="Book Antiqua" w:eastAsia="Book Antiqua" w:hAnsi="Book Antiqua" w:cs="Book Antiqua"/>
          <w:color w:val="000000" w:themeColor="text1"/>
        </w:rPr>
        <w:t xml:space="preserve"> CF, </w:t>
      </w:r>
      <w:proofErr w:type="spellStart"/>
      <w:r>
        <w:rPr>
          <w:rFonts w:ascii="Book Antiqua" w:eastAsia="Book Antiqua" w:hAnsi="Book Antiqua" w:cs="Book Antiqua"/>
          <w:color w:val="000000" w:themeColor="text1"/>
        </w:rPr>
        <w:t>Pittock</w:t>
      </w:r>
      <w:proofErr w:type="spellEnd"/>
      <w:r>
        <w:rPr>
          <w:rFonts w:ascii="Book Antiqua" w:eastAsia="Book Antiqua" w:hAnsi="Book Antiqua" w:cs="Book Antiqua"/>
          <w:color w:val="000000" w:themeColor="text1"/>
        </w:rPr>
        <w:t xml:space="preserve"> SJ, </w:t>
      </w:r>
      <w:proofErr w:type="spellStart"/>
      <w:r>
        <w:rPr>
          <w:rFonts w:ascii="Book Antiqua" w:eastAsia="Book Antiqua" w:hAnsi="Book Antiqua" w:cs="Book Antiqua"/>
          <w:color w:val="000000" w:themeColor="text1"/>
        </w:rPr>
        <w:t>Weinshenker</w:t>
      </w:r>
      <w:proofErr w:type="spellEnd"/>
      <w:r>
        <w:rPr>
          <w:rFonts w:ascii="Book Antiqua" w:eastAsia="Book Antiqua" w:hAnsi="Book Antiqua" w:cs="Book Antiqua"/>
          <w:color w:val="000000" w:themeColor="text1"/>
        </w:rPr>
        <w:t xml:space="preserve"> BG. The spectrum of </w:t>
      </w:r>
      <w:proofErr w:type="spellStart"/>
      <w:r>
        <w:rPr>
          <w:rFonts w:ascii="Book Antiqua" w:eastAsia="Book Antiqua" w:hAnsi="Book Antiqua" w:cs="Book Antiqua"/>
          <w:color w:val="000000" w:themeColor="text1"/>
        </w:rPr>
        <w:t>neuromyelitis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optica</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Lancet Neurol</w:t>
      </w:r>
      <w:r>
        <w:rPr>
          <w:rFonts w:ascii="Book Antiqua" w:eastAsia="Book Antiqua" w:hAnsi="Book Antiqua" w:cs="Book Antiqua"/>
          <w:color w:val="000000" w:themeColor="text1"/>
        </w:rPr>
        <w:t xml:space="preserve"> 2007; </w:t>
      </w:r>
      <w:r>
        <w:rPr>
          <w:rFonts w:ascii="Book Antiqua" w:eastAsia="Book Antiqua" w:hAnsi="Book Antiqua" w:cs="Book Antiqua"/>
          <w:b/>
          <w:bCs/>
          <w:color w:val="000000" w:themeColor="text1"/>
        </w:rPr>
        <w:t>6</w:t>
      </w:r>
      <w:r>
        <w:rPr>
          <w:rFonts w:ascii="Book Antiqua" w:eastAsia="Book Antiqua" w:hAnsi="Book Antiqua" w:cs="Book Antiqua"/>
          <w:color w:val="000000" w:themeColor="text1"/>
        </w:rPr>
        <w:t>: 805-815 [PMID: 17706564 DOI: 10.1016/S1474-4422(07)70216-8]</w:t>
      </w:r>
    </w:p>
    <w:p w14:paraId="6BE3AAC5"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 </w:t>
      </w:r>
      <w:proofErr w:type="spellStart"/>
      <w:r>
        <w:rPr>
          <w:rFonts w:ascii="Book Antiqua" w:eastAsia="Book Antiqua" w:hAnsi="Book Antiqua" w:cs="Book Antiqua"/>
          <w:b/>
          <w:bCs/>
          <w:color w:val="000000" w:themeColor="text1"/>
        </w:rPr>
        <w:t>Wingerchuk</w:t>
      </w:r>
      <w:proofErr w:type="spellEnd"/>
      <w:r>
        <w:rPr>
          <w:rFonts w:ascii="Book Antiqua" w:eastAsia="Book Antiqua" w:hAnsi="Book Antiqua" w:cs="Book Antiqua"/>
          <w:b/>
          <w:bCs/>
          <w:color w:val="000000" w:themeColor="text1"/>
        </w:rPr>
        <w:t xml:space="preserve"> DM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Banwell</w:t>
      </w:r>
      <w:proofErr w:type="spellEnd"/>
      <w:r>
        <w:rPr>
          <w:rFonts w:ascii="Book Antiqua" w:eastAsia="Book Antiqua" w:hAnsi="Book Antiqua" w:cs="Book Antiqua"/>
          <w:color w:val="000000" w:themeColor="text1"/>
        </w:rPr>
        <w:t xml:space="preserve"> B, Bennett JL, </w:t>
      </w:r>
      <w:proofErr w:type="spellStart"/>
      <w:r>
        <w:rPr>
          <w:rFonts w:ascii="Book Antiqua" w:eastAsia="Book Antiqua" w:hAnsi="Book Antiqua" w:cs="Book Antiqua"/>
          <w:color w:val="000000" w:themeColor="text1"/>
        </w:rPr>
        <w:t>Cabre</w:t>
      </w:r>
      <w:proofErr w:type="spellEnd"/>
      <w:r>
        <w:rPr>
          <w:rFonts w:ascii="Book Antiqua" w:eastAsia="Book Antiqua" w:hAnsi="Book Antiqua" w:cs="Book Antiqua"/>
          <w:color w:val="000000" w:themeColor="text1"/>
        </w:rPr>
        <w:t xml:space="preserve"> P, Carroll W, </w:t>
      </w:r>
      <w:proofErr w:type="spellStart"/>
      <w:r>
        <w:rPr>
          <w:rFonts w:ascii="Book Antiqua" w:eastAsia="Book Antiqua" w:hAnsi="Book Antiqua" w:cs="Book Antiqua"/>
          <w:color w:val="000000" w:themeColor="text1"/>
        </w:rPr>
        <w:t>Chitnis</w:t>
      </w:r>
      <w:proofErr w:type="spellEnd"/>
      <w:r>
        <w:rPr>
          <w:rFonts w:ascii="Book Antiqua" w:eastAsia="Book Antiqua" w:hAnsi="Book Antiqua" w:cs="Book Antiqua"/>
          <w:color w:val="000000" w:themeColor="text1"/>
        </w:rPr>
        <w:t xml:space="preserve"> T, de </w:t>
      </w:r>
      <w:proofErr w:type="spellStart"/>
      <w:r>
        <w:rPr>
          <w:rFonts w:ascii="Book Antiqua" w:eastAsia="Book Antiqua" w:hAnsi="Book Antiqua" w:cs="Book Antiqua"/>
          <w:color w:val="000000" w:themeColor="text1"/>
        </w:rPr>
        <w:t>Seze</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Fujihara</w:t>
      </w:r>
      <w:proofErr w:type="spellEnd"/>
      <w:r>
        <w:rPr>
          <w:rFonts w:ascii="Book Antiqua" w:eastAsia="Book Antiqua" w:hAnsi="Book Antiqua" w:cs="Book Antiqua"/>
          <w:color w:val="000000" w:themeColor="text1"/>
        </w:rPr>
        <w:t xml:space="preserve"> K, Greenberg B, Jacob A, </w:t>
      </w:r>
      <w:proofErr w:type="spellStart"/>
      <w:r>
        <w:rPr>
          <w:rFonts w:ascii="Book Antiqua" w:eastAsia="Book Antiqua" w:hAnsi="Book Antiqua" w:cs="Book Antiqua"/>
          <w:color w:val="000000" w:themeColor="text1"/>
        </w:rPr>
        <w:t>Jarius</w:t>
      </w:r>
      <w:proofErr w:type="spellEnd"/>
      <w:r>
        <w:rPr>
          <w:rFonts w:ascii="Book Antiqua" w:eastAsia="Book Antiqua" w:hAnsi="Book Antiqua" w:cs="Book Antiqua"/>
          <w:color w:val="000000" w:themeColor="text1"/>
        </w:rPr>
        <w:t xml:space="preserve"> S, Lana-</w:t>
      </w:r>
      <w:proofErr w:type="spellStart"/>
      <w:r>
        <w:rPr>
          <w:rFonts w:ascii="Book Antiqua" w:eastAsia="Book Antiqua" w:hAnsi="Book Antiqua" w:cs="Book Antiqua"/>
          <w:color w:val="000000" w:themeColor="text1"/>
        </w:rPr>
        <w:t>Peixoto</w:t>
      </w:r>
      <w:proofErr w:type="spellEnd"/>
      <w:r>
        <w:rPr>
          <w:rFonts w:ascii="Book Antiqua" w:eastAsia="Book Antiqua" w:hAnsi="Book Antiqua" w:cs="Book Antiqua"/>
          <w:color w:val="000000" w:themeColor="text1"/>
        </w:rPr>
        <w:t xml:space="preserve"> M, Levy M, Simon JH, </w:t>
      </w:r>
      <w:proofErr w:type="spellStart"/>
      <w:r>
        <w:rPr>
          <w:rFonts w:ascii="Book Antiqua" w:eastAsia="Book Antiqua" w:hAnsi="Book Antiqua" w:cs="Book Antiqua"/>
          <w:color w:val="000000" w:themeColor="text1"/>
        </w:rPr>
        <w:t>Tenembaum</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Traboulsee</w:t>
      </w:r>
      <w:proofErr w:type="spellEnd"/>
      <w:r>
        <w:rPr>
          <w:rFonts w:ascii="Book Antiqua" w:eastAsia="Book Antiqua" w:hAnsi="Book Antiqua" w:cs="Book Antiqua"/>
          <w:color w:val="000000" w:themeColor="text1"/>
        </w:rPr>
        <w:t xml:space="preserve"> AL, Waters P, </w:t>
      </w:r>
      <w:proofErr w:type="spellStart"/>
      <w:r>
        <w:rPr>
          <w:rFonts w:ascii="Book Antiqua" w:eastAsia="Book Antiqua" w:hAnsi="Book Antiqua" w:cs="Book Antiqua"/>
          <w:color w:val="000000" w:themeColor="text1"/>
        </w:rPr>
        <w:t>Wellik</w:t>
      </w:r>
      <w:proofErr w:type="spellEnd"/>
      <w:r>
        <w:rPr>
          <w:rFonts w:ascii="Book Antiqua" w:eastAsia="Book Antiqua" w:hAnsi="Book Antiqua" w:cs="Book Antiqua"/>
          <w:color w:val="000000" w:themeColor="text1"/>
        </w:rPr>
        <w:t xml:space="preserve"> KE, </w:t>
      </w:r>
      <w:proofErr w:type="spellStart"/>
      <w:r>
        <w:rPr>
          <w:rFonts w:ascii="Book Antiqua" w:eastAsia="Book Antiqua" w:hAnsi="Book Antiqua" w:cs="Book Antiqua"/>
          <w:color w:val="000000" w:themeColor="text1"/>
        </w:rPr>
        <w:t>Weinshenker</w:t>
      </w:r>
      <w:proofErr w:type="spellEnd"/>
      <w:r>
        <w:rPr>
          <w:rFonts w:ascii="Book Antiqua" w:eastAsia="Book Antiqua" w:hAnsi="Book Antiqua" w:cs="Book Antiqua"/>
          <w:color w:val="000000" w:themeColor="text1"/>
        </w:rPr>
        <w:t xml:space="preserve"> BG; International Panel for NMO Diagnosis. International consensus diagnostic criteria for </w:t>
      </w:r>
      <w:proofErr w:type="spellStart"/>
      <w:r>
        <w:rPr>
          <w:rFonts w:ascii="Book Antiqua" w:eastAsia="Book Antiqua" w:hAnsi="Book Antiqua" w:cs="Book Antiqua"/>
          <w:color w:val="000000" w:themeColor="text1"/>
        </w:rPr>
        <w:t>neuromyelitis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optica</w:t>
      </w:r>
      <w:proofErr w:type="spellEnd"/>
      <w:r>
        <w:rPr>
          <w:rFonts w:ascii="Book Antiqua" w:eastAsia="Book Antiqua" w:hAnsi="Book Antiqua" w:cs="Book Antiqua"/>
          <w:color w:val="000000" w:themeColor="text1"/>
        </w:rPr>
        <w:t xml:space="preserve"> spectrum disorders. </w:t>
      </w:r>
      <w:r>
        <w:rPr>
          <w:rFonts w:ascii="Book Antiqua" w:eastAsia="Book Antiqua" w:hAnsi="Book Antiqua" w:cs="Book Antiqua"/>
          <w:i/>
          <w:iCs/>
          <w:color w:val="000000" w:themeColor="text1"/>
        </w:rPr>
        <w:t>Neurology</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85</w:t>
      </w:r>
      <w:r>
        <w:rPr>
          <w:rFonts w:ascii="Book Antiqua" w:eastAsia="Book Antiqua" w:hAnsi="Book Antiqua" w:cs="Book Antiqua"/>
          <w:color w:val="000000" w:themeColor="text1"/>
        </w:rPr>
        <w:t>: 177-189 [PMID: 26092914 DOI: 10.1212/WNL.0000000000001729]</w:t>
      </w:r>
    </w:p>
    <w:p w14:paraId="181B2C6C"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 </w:t>
      </w:r>
      <w:r>
        <w:rPr>
          <w:rFonts w:ascii="Book Antiqua" w:eastAsia="Book Antiqua" w:hAnsi="Book Antiqua" w:cs="Book Antiqua"/>
          <w:b/>
          <w:bCs/>
          <w:color w:val="000000" w:themeColor="text1"/>
        </w:rPr>
        <w:t>Pereira WLCJ</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Reiche</w:t>
      </w:r>
      <w:proofErr w:type="spellEnd"/>
      <w:r>
        <w:rPr>
          <w:rFonts w:ascii="Book Antiqua" w:eastAsia="Book Antiqua" w:hAnsi="Book Antiqua" w:cs="Book Antiqua"/>
          <w:color w:val="000000" w:themeColor="text1"/>
        </w:rPr>
        <w:t xml:space="preserve"> EMV, </w:t>
      </w:r>
      <w:proofErr w:type="spellStart"/>
      <w:r>
        <w:rPr>
          <w:rFonts w:ascii="Book Antiqua" w:eastAsia="Book Antiqua" w:hAnsi="Book Antiqua" w:cs="Book Antiqua"/>
          <w:color w:val="000000" w:themeColor="text1"/>
        </w:rPr>
        <w:t>Kallaur</w:t>
      </w:r>
      <w:proofErr w:type="spellEnd"/>
      <w:r>
        <w:rPr>
          <w:rFonts w:ascii="Book Antiqua" w:eastAsia="Book Antiqua" w:hAnsi="Book Antiqua" w:cs="Book Antiqua"/>
          <w:color w:val="000000" w:themeColor="text1"/>
        </w:rPr>
        <w:t xml:space="preserve"> AP, Oliveira SR, </w:t>
      </w:r>
      <w:proofErr w:type="spellStart"/>
      <w:r>
        <w:rPr>
          <w:rFonts w:ascii="Book Antiqua" w:eastAsia="Book Antiqua" w:hAnsi="Book Antiqua" w:cs="Book Antiqua"/>
          <w:color w:val="000000" w:themeColor="text1"/>
        </w:rPr>
        <w:t>Simão</w:t>
      </w:r>
      <w:proofErr w:type="spellEnd"/>
      <w:r>
        <w:rPr>
          <w:rFonts w:ascii="Book Antiqua" w:eastAsia="Book Antiqua" w:hAnsi="Book Antiqua" w:cs="Book Antiqua"/>
          <w:color w:val="000000" w:themeColor="text1"/>
        </w:rPr>
        <w:t xml:space="preserve"> ANC, </w:t>
      </w:r>
      <w:proofErr w:type="spellStart"/>
      <w:r>
        <w:rPr>
          <w:rFonts w:ascii="Book Antiqua" w:eastAsia="Book Antiqua" w:hAnsi="Book Antiqua" w:cs="Book Antiqua"/>
          <w:color w:val="000000" w:themeColor="text1"/>
        </w:rPr>
        <w:t>Lozovoy</w:t>
      </w:r>
      <w:proofErr w:type="spellEnd"/>
      <w:r>
        <w:rPr>
          <w:rFonts w:ascii="Book Antiqua" w:eastAsia="Book Antiqua" w:hAnsi="Book Antiqua" w:cs="Book Antiqua"/>
          <w:color w:val="000000" w:themeColor="text1"/>
        </w:rPr>
        <w:t xml:space="preserve"> MAB, </w:t>
      </w:r>
      <w:proofErr w:type="spellStart"/>
      <w:r>
        <w:rPr>
          <w:rFonts w:ascii="Book Antiqua" w:eastAsia="Book Antiqua" w:hAnsi="Book Antiqua" w:cs="Book Antiqua"/>
          <w:color w:val="000000" w:themeColor="text1"/>
        </w:rPr>
        <w:t>Schiavão</w:t>
      </w:r>
      <w:proofErr w:type="spellEnd"/>
      <w:r>
        <w:rPr>
          <w:rFonts w:ascii="Book Antiqua" w:eastAsia="Book Antiqua" w:hAnsi="Book Antiqua" w:cs="Book Antiqua"/>
          <w:color w:val="000000" w:themeColor="text1"/>
        </w:rPr>
        <w:t xml:space="preserve"> LJV, Rodrigues PRDVP, Alfieri DF, </w:t>
      </w:r>
      <w:proofErr w:type="spellStart"/>
      <w:r>
        <w:rPr>
          <w:rFonts w:ascii="Book Antiqua" w:eastAsia="Book Antiqua" w:hAnsi="Book Antiqua" w:cs="Book Antiqua"/>
          <w:color w:val="000000" w:themeColor="text1"/>
        </w:rPr>
        <w:t>Flauzino</w:t>
      </w:r>
      <w:proofErr w:type="spellEnd"/>
      <w:r>
        <w:rPr>
          <w:rFonts w:ascii="Book Antiqua" w:eastAsia="Book Antiqua" w:hAnsi="Book Antiqua" w:cs="Book Antiqua"/>
          <w:color w:val="000000" w:themeColor="text1"/>
        </w:rPr>
        <w:t xml:space="preserve"> T, </w:t>
      </w:r>
      <w:proofErr w:type="spellStart"/>
      <w:r>
        <w:rPr>
          <w:rFonts w:ascii="Book Antiqua" w:eastAsia="Book Antiqua" w:hAnsi="Book Antiqua" w:cs="Book Antiqua"/>
          <w:color w:val="000000" w:themeColor="text1"/>
        </w:rPr>
        <w:t>Kaimen-Maciel</w:t>
      </w:r>
      <w:proofErr w:type="spellEnd"/>
      <w:r>
        <w:rPr>
          <w:rFonts w:ascii="Book Antiqua" w:eastAsia="Book Antiqua" w:hAnsi="Book Antiqua" w:cs="Book Antiqua"/>
          <w:color w:val="000000" w:themeColor="text1"/>
        </w:rPr>
        <w:t xml:space="preserve"> DR. Frequency of autoimmune disorders and autoantibodies in patients with </w:t>
      </w:r>
      <w:proofErr w:type="spellStart"/>
      <w:r>
        <w:rPr>
          <w:rFonts w:ascii="Book Antiqua" w:eastAsia="Book Antiqua" w:hAnsi="Book Antiqua" w:cs="Book Antiqua"/>
          <w:color w:val="000000" w:themeColor="text1"/>
        </w:rPr>
        <w:t>neuromyelitis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optica</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Acta</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Neuropsychiatr</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29</w:t>
      </w:r>
      <w:r>
        <w:rPr>
          <w:rFonts w:ascii="Book Antiqua" w:eastAsia="Book Antiqua" w:hAnsi="Book Antiqua" w:cs="Book Antiqua"/>
          <w:color w:val="000000" w:themeColor="text1"/>
        </w:rPr>
        <w:t>: 170-178 [PMID: 27692000 DOI: 10.1017/neu.2016.49]</w:t>
      </w:r>
    </w:p>
    <w:p w14:paraId="6583F197"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6 </w:t>
      </w:r>
      <w:proofErr w:type="spellStart"/>
      <w:r>
        <w:rPr>
          <w:rFonts w:ascii="Book Antiqua" w:eastAsia="Book Antiqua" w:hAnsi="Book Antiqua" w:cs="Book Antiqua"/>
          <w:b/>
          <w:bCs/>
          <w:color w:val="000000" w:themeColor="text1"/>
        </w:rPr>
        <w:t>Wingerchuk</w:t>
      </w:r>
      <w:proofErr w:type="spellEnd"/>
      <w:r>
        <w:rPr>
          <w:rFonts w:ascii="Book Antiqua" w:eastAsia="Book Antiqua" w:hAnsi="Book Antiqua" w:cs="Book Antiqua"/>
          <w:b/>
          <w:bCs/>
          <w:color w:val="000000" w:themeColor="text1"/>
        </w:rPr>
        <w:t xml:space="preserve"> DM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Weinshenker</w:t>
      </w:r>
      <w:proofErr w:type="spellEnd"/>
      <w:r>
        <w:rPr>
          <w:rFonts w:ascii="Book Antiqua" w:eastAsia="Book Antiqua" w:hAnsi="Book Antiqua" w:cs="Book Antiqua"/>
          <w:color w:val="000000" w:themeColor="text1"/>
        </w:rPr>
        <w:t xml:space="preserve"> BG. The emerging relationship between </w:t>
      </w:r>
      <w:proofErr w:type="spellStart"/>
      <w:r>
        <w:rPr>
          <w:rFonts w:ascii="Book Antiqua" w:eastAsia="Book Antiqua" w:hAnsi="Book Antiqua" w:cs="Book Antiqua"/>
          <w:color w:val="000000" w:themeColor="text1"/>
        </w:rPr>
        <w:t>neuromyelitis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optica</w:t>
      </w:r>
      <w:proofErr w:type="spellEnd"/>
      <w:r>
        <w:rPr>
          <w:rFonts w:ascii="Book Antiqua" w:eastAsia="Book Antiqua" w:hAnsi="Book Antiqua" w:cs="Book Antiqua"/>
          <w:color w:val="000000" w:themeColor="text1"/>
        </w:rPr>
        <w:t xml:space="preserve"> and systemic rheumatologic autoimmune disease. </w:t>
      </w:r>
      <w:proofErr w:type="spellStart"/>
      <w:r>
        <w:rPr>
          <w:rFonts w:ascii="Book Antiqua" w:eastAsia="Book Antiqua" w:hAnsi="Book Antiqua" w:cs="Book Antiqua"/>
          <w:i/>
          <w:iCs/>
          <w:color w:val="000000" w:themeColor="text1"/>
        </w:rPr>
        <w:t>Mult</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Scler</w:t>
      </w:r>
      <w:proofErr w:type="spellEnd"/>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18</w:t>
      </w:r>
      <w:r>
        <w:rPr>
          <w:rFonts w:ascii="Book Antiqua" w:eastAsia="Book Antiqua" w:hAnsi="Book Antiqua" w:cs="Book Antiqua"/>
          <w:color w:val="000000" w:themeColor="text1"/>
        </w:rPr>
        <w:t>: 5-10 [PMID: 22146604 DOI: 10.1177/1352458511431077]</w:t>
      </w:r>
    </w:p>
    <w:p w14:paraId="11D81D34"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 </w:t>
      </w:r>
      <w:r>
        <w:rPr>
          <w:rFonts w:ascii="Book Antiqua" w:eastAsia="Book Antiqua" w:hAnsi="Book Antiqua" w:cs="Book Antiqua"/>
          <w:b/>
          <w:bCs/>
          <w:color w:val="000000" w:themeColor="text1"/>
        </w:rPr>
        <w:t>Lennon VA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Wingerchuk</w:t>
      </w:r>
      <w:proofErr w:type="spellEnd"/>
      <w:r>
        <w:rPr>
          <w:rFonts w:ascii="Book Antiqua" w:eastAsia="Book Antiqua" w:hAnsi="Book Antiqua" w:cs="Book Antiqua"/>
          <w:color w:val="000000" w:themeColor="text1"/>
        </w:rPr>
        <w:t xml:space="preserve"> DM, </w:t>
      </w:r>
      <w:proofErr w:type="spellStart"/>
      <w:r>
        <w:rPr>
          <w:rFonts w:ascii="Book Antiqua" w:eastAsia="Book Antiqua" w:hAnsi="Book Antiqua" w:cs="Book Antiqua"/>
          <w:color w:val="000000" w:themeColor="text1"/>
        </w:rPr>
        <w:t>Kryzer</w:t>
      </w:r>
      <w:proofErr w:type="spellEnd"/>
      <w:r>
        <w:rPr>
          <w:rFonts w:ascii="Book Antiqua" w:eastAsia="Book Antiqua" w:hAnsi="Book Antiqua" w:cs="Book Antiqua"/>
          <w:color w:val="000000" w:themeColor="text1"/>
        </w:rPr>
        <w:t xml:space="preserve"> TJ, </w:t>
      </w:r>
      <w:proofErr w:type="spellStart"/>
      <w:r>
        <w:rPr>
          <w:rFonts w:ascii="Book Antiqua" w:eastAsia="Book Antiqua" w:hAnsi="Book Antiqua" w:cs="Book Antiqua"/>
          <w:color w:val="000000" w:themeColor="text1"/>
        </w:rPr>
        <w:t>Pittock</w:t>
      </w:r>
      <w:proofErr w:type="spellEnd"/>
      <w:r>
        <w:rPr>
          <w:rFonts w:ascii="Book Antiqua" w:eastAsia="Book Antiqua" w:hAnsi="Book Antiqua" w:cs="Book Antiqua"/>
          <w:color w:val="000000" w:themeColor="text1"/>
        </w:rPr>
        <w:t xml:space="preserve"> SJ, </w:t>
      </w:r>
      <w:proofErr w:type="spellStart"/>
      <w:r>
        <w:rPr>
          <w:rFonts w:ascii="Book Antiqua" w:eastAsia="Book Antiqua" w:hAnsi="Book Antiqua" w:cs="Book Antiqua"/>
          <w:color w:val="000000" w:themeColor="text1"/>
        </w:rPr>
        <w:t>Lucchinetti</w:t>
      </w:r>
      <w:proofErr w:type="spellEnd"/>
      <w:r>
        <w:rPr>
          <w:rFonts w:ascii="Book Antiqua" w:eastAsia="Book Antiqua" w:hAnsi="Book Antiqua" w:cs="Book Antiqua"/>
          <w:color w:val="000000" w:themeColor="text1"/>
        </w:rPr>
        <w:t xml:space="preserve"> CF, </w:t>
      </w:r>
      <w:proofErr w:type="spellStart"/>
      <w:r>
        <w:rPr>
          <w:rFonts w:ascii="Book Antiqua" w:eastAsia="Book Antiqua" w:hAnsi="Book Antiqua" w:cs="Book Antiqua"/>
          <w:color w:val="000000" w:themeColor="text1"/>
        </w:rPr>
        <w:t>Fujihara</w:t>
      </w:r>
      <w:proofErr w:type="spellEnd"/>
      <w:r>
        <w:rPr>
          <w:rFonts w:ascii="Book Antiqua" w:eastAsia="Book Antiqua" w:hAnsi="Book Antiqua" w:cs="Book Antiqua"/>
          <w:color w:val="000000" w:themeColor="text1"/>
        </w:rPr>
        <w:t xml:space="preserve"> K, Nakashima I, </w:t>
      </w:r>
      <w:proofErr w:type="spellStart"/>
      <w:r>
        <w:rPr>
          <w:rFonts w:ascii="Book Antiqua" w:eastAsia="Book Antiqua" w:hAnsi="Book Antiqua" w:cs="Book Antiqua"/>
          <w:color w:val="000000" w:themeColor="text1"/>
        </w:rPr>
        <w:t>Weinshenker</w:t>
      </w:r>
      <w:proofErr w:type="spellEnd"/>
      <w:r>
        <w:rPr>
          <w:rFonts w:ascii="Book Antiqua" w:eastAsia="Book Antiqua" w:hAnsi="Book Antiqua" w:cs="Book Antiqua"/>
          <w:color w:val="000000" w:themeColor="text1"/>
        </w:rPr>
        <w:t xml:space="preserve"> BG. A serum autoantibody marker of </w:t>
      </w:r>
      <w:proofErr w:type="spellStart"/>
      <w:r>
        <w:rPr>
          <w:rFonts w:ascii="Book Antiqua" w:eastAsia="Book Antiqua" w:hAnsi="Book Antiqua" w:cs="Book Antiqua"/>
          <w:color w:val="000000" w:themeColor="text1"/>
        </w:rPr>
        <w:t>neuromyelitis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optica</w:t>
      </w:r>
      <w:proofErr w:type="spellEnd"/>
      <w:r>
        <w:rPr>
          <w:rFonts w:ascii="Book Antiqua" w:eastAsia="Book Antiqua" w:hAnsi="Book Antiqua" w:cs="Book Antiqua"/>
          <w:color w:val="000000" w:themeColor="text1"/>
        </w:rPr>
        <w:t xml:space="preserve">: distinction from multiple sclerosis. </w:t>
      </w:r>
      <w:r>
        <w:rPr>
          <w:rFonts w:ascii="Book Antiqua" w:eastAsia="Book Antiqua" w:hAnsi="Book Antiqua" w:cs="Book Antiqua"/>
          <w:i/>
          <w:iCs/>
          <w:color w:val="000000" w:themeColor="text1"/>
        </w:rPr>
        <w:t>Lancet</w:t>
      </w:r>
      <w:r>
        <w:rPr>
          <w:rFonts w:ascii="Book Antiqua" w:eastAsia="Book Antiqua" w:hAnsi="Book Antiqua" w:cs="Book Antiqua"/>
          <w:color w:val="000000" w:themeColor="text1"/>
        </w:rPr>
        <w:t xml:space="preserve"> 2004; </w:t>
      </w:r>
      <w:r>
        <w:rPr>
          <w:rFonts w:ascii="Book Antiqua" w:eastAsia="Book Antiqua" w:hAnsi="Book Antiqua" w:cs="Book Antiqua"/>
          <w:b/>
          <w:bCs/>
          <w:color w:val="000000" w:themeColor="text1"/>
        </w:rPr>
        <w:t>364</w:t>
      </w:r>
      <w:r>
        <w:rPr>
          <w:rFonts w:ascii="Book Antiqua" w:eastAsia="Book Antiqua" w:hAnsi="Book Antiqua" w:cs="Book Antiqua"/>
          <w:color w:val="000000" w:themeColor="text1"/>
        </w:rPr>
        <w:t>: 2106-2112 [PMID: 15589308 DOI: 10.1016/S0140-6736(04)17551-X]</w:t>
      </w:r>
    </w:p>
    <w:p w14:paraId="2AE50439"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8 </w:t>
      </w:r>
      <w:r>
        <w:rPr>
          <w:rFonts w:ascii="Book Antiqua" w:eastAsia="Book Antiqua" w:hAnsi="Book Antiqua" w:cs="Book Antiqua"/>
          <w:b/>
          <w:bCs/>
          <w:color w:val="000000" w:themeColor="text1"/>
        </w:rPr>
        <w:t>Prasad S</w:t>
      </w:r>
      <w:r>
        <w:rPr>
          <w:rFonts w:ascii="Book Antiqua" w:eastAsia="Book Antiqua" w:hAnsi="Book Antiqua" w:cs="Book Antiqua"/>
          <w:color w:val="000000" w:themeColor="text1"/>
        </w:rPr>
        <w:t xml:space="preserve">, Chen J. What You Need to Know About AQP4, MOG, and NMOSD. </w:t>
      </w:r>
      <w:r>
        <w:rPr>
          <w:rFonts w:ascii="Book Antiqua" w:eastAsia="Book Antiqua" w:hAnsi="Book Antiqua" w:cs="Book Antiqua"/>
          <w:i/>
          <w:iCs/>
          <w:color w:val="000000" w:themeColor="text1"/>
        </w:rPr>
        <w:t>Semin Neurol</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39</w:t>
      </w:r>
      <w:r>
        <w:rPr>
          <w:rFonts w:ascii="Book Antiqua" w:eastAsia="Book Antiqua" w:hAnsi="Book Antiqua" w:cs="Book Antiqua"/>
          <w:color w:val="000000" w:themeColor="text1"/>
        </w:rPr>
        <w:t>: 718-731 [PMID: 31847043 DOI: 10.1055/s-0039-3399505]</w:t>
      </w:r>
    </w:p>
    <w:p w14:paraId="2EDFB841"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9 </w:t>
      </w:r>
      <w:r>
        <w:rPr>
          <w:rFonts w:ascii="Book Antiqua" w:eastAsia="Book Antiqua" w:hAnsi="Book Antiqua" w:cs="Book Antiqua"/>
          <w:b/>
          <w:bCs/>
          <w:color w:val="000000" w:themeColor="text1"/>
        </w:rPr>
        <w:t>Romeo AR</w:t>
      </w:r>
      <w:r>
        <w:rPr>
          <w:rFonts w:ascii="Book Antiqua" w:eastAsia="Book Antiqua" w:hAnsi="Book Antiqua" w:cs="Book Antiqua"/>
          <w:color w:val="000000" w:themeColor="text1"/>
        </w:rPr>
        <w:t xml:space="preserve">, Segal BM. Treatment of </w:t>
      </w:r>
      <w:proofErr w:type="spellStart"/>
      <w:r>
        <w:rPr>
          <w:rFonts w:ascii="Book Antiqua" w:eastAsia="Book Antiqua" w:hAnsi="Book Antiqua" w:cs="Book Antiqua"/>
          <w:color w:val="000000" w:themeColor="text1"/>
        </w:rPr>
        <w:t>neuromyelitis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optica</w:t>
      </w:r>
      <w:proofErr w:type="spellEnd"/>
      <w:r>
        <w:rPr>
          <w:rFonts w:ascii="Book Antiqua" w:eastAsia="Book Antiqua" w:hAnsi="Book Antiqua" w:cs="Book Antiqua"/>
          <w:color w:val="000000" w:themeColor="text1"/>
        </w:rPr>
        <w:t xml:space="preserve"> spectrum disorders. </w:t>
      </w:r>
      <w:proofErr w:type="spellStart"/>
      <w:r>
        <w:rPr>
          <w:rFonts w:ascii="Book Antiqua" w:eastAsia="Book Antiqua" w:hAnsi="Book Antiqua" w:cs="Book Antiqua"/>
          <w:i/>
          <w:iCs/>
          <w:color w:val="000000" w:themeColor="text1"/>
        </w:rPr>
        <w:t>Curr</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Opin</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Rheumatol</w:t>
      </w:r>
      <w:proofErr w:type="spellEnd"/>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31</w:t>
      </w:r>
      <w:r>
        <w:rPr>
          <w:rFonts w:ascii="Book Antiqua" w:eastAsia="Book Antiqua" w:hAnsi="Book Antiqua" w:cs="Book Antiqua"/>
          <w:color w:val="000000" w:themeColor="text1"/>
        </w:rPr>
        <w:t>: 250-255 [PMID: 30920972 DOI: 10.1097/BOR.0000000000000603]</w:t>
      </w:r>
    </w:p>
    <w:p w14:paraId="57AC5C45"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10 </w:t>
      </w:r>
      <w:r>
        <w:rPr>
          <w:rFonts w:ascii="Book Antiqua" w:eastAsia="Book Antiqua" w:hAnsi="Book Antiqua" w:cs="Book Antiqua"/>
          <w:b/>
          <w:bCs/>
          <w:color w:val="000000" w:themeColor="text1"/>
        </w:rPr>
        <w:t>Costanzi C</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Matiello</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Lucchinetti</w:t>
      </w:r>
      <w:proofErr w:type="spellEnd"/>
      <w:r>
        <w:rPr>
          <w:rFonts w:ascii="Book Antiqua" w:eastAsia="Book Antiqua" w:hAnsi="Book Antiqua" w:cs="Book Antiqua"/>
          <w:color w:val="000000" w:themeColor="text1"/>
        </w:rPr>
        <w:t xml:space="preserve"> CF, </w:t>
      </w:r>
      <w:proofErr w:type="spellStart"/>
      <w:r>
        <w:rPr>
          <w:rFonts w:ascii="Book Antiqua" w:eastAsia="Book Antiqua" w:hAnsi="Book Antiqua" w:cs="Book Antiqua"/>
          <w:color w:val="000000" w:themeColor="text1"/>
        </w:rPr>
        <w:t>Weinshenker</w:t>
      </w:r>
      <w:proofErr w:type="spellEnd"/>
      <w:r>
        <w:rPr>
          <w:rFonts w:ascii="Book Antiqua" w:eastAsia="Book Antiqua" w:hAnsi="Book Antiqua" w:cs="Book Antiqua"/>
          <w:color w:val="000000" w:themeColor="text1"/>
        </w:rPr>
        <w:t xml:space="preserve"> BG, </w:t>
      </w:r>
      <w:proofErr w:type="spellStart"/>
      <w:r>
        <w:rPr>
          <w:rFonts w:ascii="Book Antiqua" w:eastAsia="Book Antiqua" w:hAnsi="Book Antiqua" w:cs="Book Antiqua"/>
          <w:color w:val="000000" w:themeColor="text1"/>
        </w:rPr>
        <w:t>Pittock</w:t>
      </w:r>
      <w:proofErr w:type="spellEnd"/>
      <w:r>
        <w:rPr>
          <w:rFonts w:ascii="Book Antiqua" w:eastAsia="Book Antiqua" w:hAnsi="Book Antiqua" w:cs="Book Antiqua"/>
          <w:color w:val="000000" w:themeColor="text1"/>
        </w:rPr>
        <w:t xml:space="preserve"> SJ, </w:t>
      </w:r>
      <w:proofErr w:type="spellStart"/>
      <w:r>
        <w:rPr>
          <w:rFonts w:ascii="Book Antiqua" w:eastAsia="Book Antiqua" w:hAnsi="Book Antiqua" w:cs="Book Antiqua"/>
          <w:color w:val="000000" w:themeColor="text1"/>
        </w:rPr>
        <w:t>Mandrekar</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Thapa</w:t>
      </w:r>
      <w:proofErr w:type="spellEnd"/>
      <w:r>
        <w:rPr>
          <w:rFonts w:ascii="Book Antiqua" w:eastAsia="Book Antiqua" w:hAnsi="Book Antiqua" w:cs="Book Antiqua"/>
          <w:color w:val="000000" w:themeColor="text1"/>
        </w:rPr>
        <w:t xml:space="preserve"> P, McKeon A. Azathioprine: tolerability, efficacy, and predictors of benefit in </w:t>
      </w:r>
      <w:proofErr w:type="spellStart"/>
      <w:r>
        <w:rPr>
          <w:rFonts w:ascii="Book Antiqua" w:eastAsia="Book Antiqua" w:hAnsi="Book Antiqua" w:cs="Book Antiqua"/>
          <w:color w:val="000000" w:themeColor="text1"/>
        </w:rPr>
        <w:t>neuromyelitis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optica</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Neurology</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77</w:t>
      </w:r>
      <w:r>
        <w:rPr>
          <w:rFonts w:ascii="Book Antiqua" w:eastAsia="Book Antiqua" w:hAnsi="Book Antiqua" w:cs="Book Antiqua"/>
          <w:color w:val="000000" w:themeColor="text1"/>
        </w:rPr>
        <w:t>: 659-666 [PMID: 21813788 DOI: 10.1212/WNL.0b013e31822a2780]</w:t>
      </w:r>
    </w:p>
    <w:p w14:paraId="0A5CA7EC"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11 </w:t>
      </w:r>
      <w:proofErr w:type="spellStart"/>
      <w:r>
        <w:rPr>
          <w:rFonts w:ascii="Book Antiqua" w:eastAsia="Book Antiqua" w:hAnsi="Book Antiqua" w:cs="Book Antiqua"/>
          <w:b/>
          <w:bCs/>
          <w:color w:val="000000" w:themeColor="text1"/>
        </w:rPr>
        <w:t>Montcuquet</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Collongues</w:t>
      </w:r>
      <w:proofErr w:type="spellEnd"/>
      <w:r>
        <w:rPr>
          <w:rFonts w:ascii="Book Antiqua" w:eastAsia="Book Antiqua" w:hAnsi="Book Antiqua" w:cs="Book Antiqua"/>
          <w:color w:val="000000" w:themeColor="text1"/>
        </w:rPr>
        <w:t xml:space="preserve"> N, </w:t>
      </w:r>
      <w:proofErr w:type="spellStart"/>
      <w:r>
        <w:rPr>
          <w:rFonts w:ascii="Book Antiqua" w:eastAsia="Book Antiqua" w:hAnsi="Book Antiqua" w:cs="Book Antiqua"/>
          <w:color w:val="000000" w:themeColor="text1"/>
        </w:rPr>
        <w:t>Papeix</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Zephir</w:t>
      </w:r>
      <w:proofErr w:type="spellEnd"/>
      <w:r>
        <w:rPr>
          <w:rFonts w:ascii="Book Antiqua" w:eastAsia="Book Antiqua" w:hAnsi="Book Antiqua" w:cs="Book Antiqua"/>
          <w:color w:val="000000" w:themeColor="text1"/>
        </w:rPr>
        <w:t xml:space="preserve"> H, </w:t>
      </w:r>
      <w:proofErr w:type="spellStart"/>
      <w:r>
        <w:rPr>
          <w:rFonts w:ascii="Book Antiqua" w:eastAsia="Book Antiqua" w:hAnsi="Book Antiqua" w:cs="Book Antiqua"/>
          <w:color w:val="000000" w:themeColor="text1"/>
        </w:rPr>
        <w:t>Audoin</w:t>
      </w:r>
      <w:proofErr w:type="spellEnd"/>
      <w:r>
        <w:rPr>
          <w:rFonts w:ascii="Book Antiqua" w:eastAsia="Book Antiqua" w:hAnsi="Book Antiqua" w:cs="Book Antiqua"/>
          <w:color w:val="000000" w:themeColor="text1"/>
        </w:rPr>
        <w:t xml:space="preserve"> B, </w:t>
      </w:r>
      <w:proofErr w:type="spellStart"/>
      <w:r>
        <w:rPr>
          <w:rFonts w:ascii="Book Antiqua" w:eastAsia="Book Antiqua" w:hAnsi="Book Antiqua" w:cs="Book Antiqua"/>
          <w:color w:val="000000" w:themeColor="text1"/>
        </w:rPr>
        <w:t>Laplaud</w:t>
      </w:r>
      <w:proofErr w:type="spellEnd"/>
      <w:r>
        <w:rPr>
          <w:rFonts w:ascii="Book Antiqua" w:eastAsia="Book Antiqua" w:hAnsi="Book Antiqua" w:cs="Book Antiqua"/>
          <w:color w:val="000000" w:themeColor="text1"/>
        </w:rPr>
        <w:t xml:space="preserve"> D, </w:t>
      </w:r>
      <w:proofErr w:type="spellStart"/>
      <w:r>
        <w:rPr>
          <w:rFonts w:ascii="Book Antiqua" w:eastAsia="Book Antiqua" w:hAnsi="Book Antiqua" w:cs="Book Antiqua"/>
          <w:color w:val="000000" w:themeColor="text1"/>
        </w:rPr>
        <w:t>Bourre</w:t>
      </w:r>
      <w:proofErr w:type="spellEnd"/>
      <w:r>
        <w:rPr>
          <w:rFonts w:ascii="Book Antiqua" w:eastAsia="Book Antiqua" w:hAnsi="Book Antiqua" w:cs="Book Antiqua"/>
          <w:color w:val="000000" w:themeColor="text1"/>
        </w:rPr>
        <w:t xml:space="preserve"> B, </w:t>
      </w:r>
      <w:proofErr w:type="spellStart"/>
      <w:r>
        <w:rPr>
          <w:rFonts w:ascii="Book Antiqua" w:eastAsia="Book Antiqua" w:hAnsi="Book Antiqua" w:cs="Book Antiqua"/>
          <w:color w:val="000000" w:themeColor="text1"/>
        </w:rPr>
        <w:t>Brochet</w:t>
      </w:r>
      <w:proofErr w:type="spellEnd"/>
      <w:r>
        <w:rPr>
          <w:rFonts w:ascii="Book Antiqua" w:eastAsia="Book Antiqua" w:hAnsi="Book Antiqua" w:cs="Book Antiqua"/>
          <w:color w:val="000000" w:themeColor="text1"/>
        </w:rPr>
        <w:t xml:space="preserve"> B, </w:t>
      </w:r>
      <w:proofErr w:type="spellStart"/>
      <w:r>
        <w:rPr>
          <w:rFonts w:ascii="Book Antiqua" w:eastAsia="Book Antiqua" w:hAnsi="Book Antiqua" w:cs="Book Antiqua"/>
          <w:color w:val="000000" w:themeColor="text1"/>
        </w:rPr>
        <w:t>Camdessanche</w:t>
      </w:r>
      <w:proofErr w:type="spellEnd"/>
      <w:r>
        <w:rPr>
          <w:rFonts w:ascii="Book Antiqua" w:eastAsia="Book Antiqua" w:hAnsi="Book Antiqua" w:cs="Book Antiqua"/>
          <w:color w:val="000000" w:themeColor="text1"/>
        </w:rPr>
        <w:t xml:space="preserve"> JP, </w:t>
      </w:r>
      <w:proofErr w:type="spellStart"/>
      <w:r>
        <w:rPr>
          <w:rFonts w:ascii="Book Antiqua" w:eastAsia="Book Antiqua" w:hAnsi="Book Antiqua" w:cs="Book Antiqua"/>
          <w:color w:val="000000" w:themeColor="text1"/>
        </w:rPr>
        <w:t>Labauge</w:t>
      </w:r>
      <w:proofErr w:type="spellEnd"/>
      <w:r>
        <w:rPr>
          <w:rFonts w:ascii="Book Antiqua" w:eastAsia="Book Antiqua" w:hAnsi="Book Antiqua" w:cs="Book Antiqua"/>
          <w:color w:val="000000" w:themeColor="text1"/>
        </w:rPr>
        <w:t xml:space="preserve"> P, Moreau T, </w:t>
      </w:r>
      <w:proofErr w:type="spellStart"/>
      <w:r>
        <w:rPr>
          <w:rFonts w:ascii="Book Antiqua" w:eastAsia="Book Antiqua" w:hAnsi="Book Antiqua" w:cs="Book Antiqua"/>
          <w:color w:val="000000" w:themeColor="text1"/>
        </w:rPr>
        <w:t>Brassat</w:t>
      </w:r>
      <w:proofErr w:type="spellEnd"/>
      <w:r>
        <w:rPr>
          <w:rFonts w:ascii="Book Antiqua" w:eastAsia="Book Antiqua" w:hAnsi="Book Antiqua" w:cs="Book Antiqua"/>
          <w:color w:val="000000" w:themeColor="text1"/>
        </w:rPr>
        <w:t xml:space="preserve"> D, </w:t>
      </w:r>
      <w:proofErr w:type="spellStart"/>
      <w:r>
        <w:rPr>
          <w:rFonts w:ascii="Book Antiqua" w:eastAsia="Book Antiqua" w:hAnsi="Book Antiqua" w:cs="Book Antiqua"/>
          <w:color w:val="000000" w:themeColor="text1"/>
        </w:rPr>
        <w:t>Stankoff</w:t>
      </w:r>
      <w:proofErr w:type="spellEnd"/>
      <w:r>
        <w:rPr>
          <w:rFonts w:ascii="Book Antiqua" w:eastAsia="Book Antiqua" w:hAnsi="Book Antiqua" w:cs="Book Antiqua"/>
          <w:color w:val="000000" w:themeColor="text1"/>
        </w:rPr>
        <w:t xml:space="preserve"> B, de </w:t>
      </w:r>
      <w:proofErr w:type="spellStart"/>
      <w:r>
        <w:rPr>
          <w:rFonts w:ascii="Book Antiqua" w:eastAsia="Book Antiqua" w:hAnsi="Book Antiqua" w:cs="Book Antiqua"/>
          <w:color w:val="000000" w:themeColor="text1"/>
        </w:rPr>
        <w:t>Seze</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Vukusic</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Marignier</w:t>
      </w:r>
      <w:proofErr w:type="spellEnd"/>
      <w:r>
        <w:rPr>
          <w:rFonts w:ascii="Book Antiqua" w:eastAsia="Book Antiqua" w:hAnsi="Book Antiqua" w:cs="Book Antiqua"/>
          <w:color w:val="000000" w:themeColor="text1"/>
        </w:rPr>
        <w:t xml:space="preserve"> R; NOMADMUS study group and the </w:t>
      </w:r>
      <w:proofErr w:type="spellStart"/>
      <w:r>
        <w:rPr>
          <w:rFonts w:ascii="Book Antiqua" w:eastAsia="Book Antiqua" w:hAnsi="Book Antiqua" w:cs="Book Antiqua"/>
          <w:color w:val="000000" w:themeColor="text1"/>
        </w:rPr>
        <w:t>Observatoire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Français</w:t>
      </w:r>
      <w:proofErr w:type="spellEnd"/>
      <w:r>
        <w:rPr>
          <w:rFonts w:ascii="Book Antiqua" w:eastAsia="Book Antiqua" w:hAnsi="Book Antiqua" w:cs="Book Antiqua"/>
          <w:color w:val="000000" w:themeColor="text1"/>
        </w:rPr>
        <w:t xml:space="preserve"> de la </w:t>
      </w:r>
      <w:proofErr w:type="spellStart"/>
      <w:r>
        <w:rPr>
          <w:rFonts w:ascii="Book Antiqua" w:eastAsia="Book Antiqua" w:hAnsi="Book Antiqua" w:cs="Book Antiqua"/>
          <w:color w:val="000000" w:themeColor="text1"/>
        </w:rPr>
        <w:t>Sclérose</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en</w:t>
      </w:r>
      <w:proofErr w:type="spellEnd"/>
      <w:r>
        <w:rPr>
          <w:rFonts w:ascii="Book Antiqua" w:eastAsia="Book Antiqua" w:hAnsi="Book Antiqua" w:cs="Book Antiqua"/>
          <w:color w:val="000000" w:themeColor="text1"/>
        </w:rPr>
        <w:t xml:space="preserve"> Plaques (OFSEP). Effectiveness of mycophenolate mofetil as first-line therapy in AQP4-IgG, MOG-IgG, and seronegative </w:t>
      </w:r>
      <w:proofErr w:type="spellStart"/>
      <w:r>
        <w:rPr>
          <w:rFonts w:ascii="Book Antiqua" w:eastAsia="Book Antiqua" w:hAnsi="Book Antiqua" w:cs="Book Antiqua"/>
          <w:color w:val="000000" w:themeColor="text1"/>
        </w:rPr>
        <w:t>neuromyelitis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optica</w:t>
      </w:r>
      <w:proofErr w:type="spellEnd"/>
      <w:r>
        <w:rPr>
          <w:rFonts w:ascii="Book Antiqua" w:eastAsia="Book Antiqua" w:hAnsi="Book Antiqua" w:cs="Book Antiqua"/>
          <w:color w:val="000000" w:themeColor="text1"/>
        </w:rPr>
        <w:t xml:space="preserve"> spectrum disorders. </w:t>
      </w:r>
      <w:proofErr w:type="spellStart"/>
      <w:r>
        <w:rPr>
          <w:rFonts w:ascii="Book Antiqua" w:eastAsia="Book Antiqua" w:hAnsi="Book Antiqua" w:cs="Book Antiqua"/>
          <w:i/>
          <w:iCs/>
          <w:color w:val="000000" w:themeColor="text1"/>
        </w:rPr>
        <w:t>Mult</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Scler</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23</w:t>
      </w:r>
      <w:r>
        <w:rPr>
          <w:rFonts w:ascii="Book Antiqua" w:eastAsia="Book Antiqua" w:hAnsi="Book Antiqua" w:cs="Book Antiqua"/>
          <w:color w:val="000000" w:themeColor="text1"/>
        </w:rPr>
        <w:t>: 1377-1384 [PMID: 27885065 DOI: 10.1177/1352458516678474]</w:t>
      </w:r>
    </w:p>
    <w:p w14:paraId="1FA2CEF2"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12 </w:t>
      </w:r>
      <w:proofErr w:type="spellStart"/>
      <w:r>
        <w:rPr>
          <w:rFonts w:ascii="Book Antiqua" w:eastAsia="Book Antiqua" w:hAnsi="Book Antiqua" w:cs="Book Antiqua"/>
          <w:b/>
          <w:bCs/>
          <w:color w:val="000000" w:themeColor="text1"/>
        </w:rPr>
        <w:t>Jeong</w:t>
      </w:r>
      <w:proofErr w:type="spellEnd"/>
      <w:r>
        <w:rPr>
          <w:rFonts w:ascii="Book Antiqua" w:eastAsia="Book Antiqua" w:hAnsi="Book Antiqua" w:cs="Book Antiqua"/>
          <w:b/>
          <w:bCs/>
          <w:color w:val="000000" w:themeColor="text1"/>
        </w:rPr>
        <w:t xml:space="preserve"> IH</w:t>
      </w:r>
      <w:r>
        <w:rPr>
          <w:rFonts w:ascii="Book Antiqua" w:eastAsia="Book Antiqua" w:hAnsi="Book Antiqua" w:cs="Book Antiqua"/>
          <w:color w:val="000000" w:themeColor="text1"/>
        </w:rPr>
        <w:t xml:space="preserve">, Park B, Kim SH, Hyun JW, </w:t>
      </w:r>
      <w:proofErr w:type="spellStart"/>
      <w:r>
        <w:rPr>
          <w:rFonts w:ascii="Book Antiqua" w:eastAsia="Book Antiqua" w:hAnsi="Book Antiqua" w:cs="Book Antiqua"/>
          <w:color w:val="000000" w:themeColor="text1"/>
        </w:rPr>
        <w:t>Joo</w:t>
      </w:r>
      <w:proofErr w:type="spellEnd"/>
      <w:r>
        <w:rPr>
          <w:rFonts w:ascii="Book Antiqua" w:eastAsia="Book Antiqua" w:hAnsi="Book Antiqua" w:cs="Book Antiqua"/>
          <w:color w:val="000000" w:themeColor="text1"/>
        </w:rPr>
        <w:t xml:space="preserve"> J, Kim HJ. Comparative analysis of treatment outcomes in patients with </w:t>
      </w:r>
      <w:proofErr w:type="spellStart"/>
      <w:r>
        <w:rPr>
          <w:rFonts w:ascii="Book Antiqua" w:eastAsia="Book Antiqua" w:hAnsi="Book Antiqua" w:cs="Book Antiqua"/>
          <w:color w:val="000000" w:themeColor="text1"/>
        </w:rPr>
        <w:t>neuromyelitis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optica</w:t>
      </w:r>
      <w:proofErr w:type="spellEnd"/>
      <w:r>
        <w:rPr>
          <w:rFonts w:ascii="Book Antiqua" w:eastAsia="Book Antiqua" w:hAnsi="Book Antiqua" w:cs="Book Antiqua"/>
          <w:color w:val="000000" w:themeColor="text1"/>
        </w:rPr>
        <w:t xml:space="preserve"> spectrum disorder using multifaceted endpoints. </w:t>
      </w:r>
      <w:proofErr w:type="spellStart"/>
      <w:r>
        <w:rPr>
          <w:rFonts w:ascii="Book Antiqua" w:eastAsia="Book Antiqua" w:hAnsi="Book Antiqua" w:cs="Book Antiqua"/>
          <w:i/>
          <w:iCs/>
          <w:color w:val="000000" w:themeColor="text1"/>
        </w:rPr>
        <w:t>Mult</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Scler</w:t>
      </w:r>
      <w:proofErr w:type="spellEnd"/>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22</w:t>
      </w:r>
      <w:r>
        <w:rPr>
          <w:rFonts w:ascii="Book Antiqua" w:eastAsia="Book Antiqua" w:hAnsi="Book Antiqua" w:cs="Book Antiqua"/>
          <w:color w:val="000000" w:themeColor="text1"/>
        </w:rPr>
        <w:t>: 329-339 [PMID: 26041804 DOI: 10.1177/1352458515587752]</w:t>
      </w:r>
    </w:p>
    <w:p w14:paraId="43E9D4F5"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13 </w:t>
      </w:r>
      <w:r>
        <w:rPr>
          <w:rFonts w:ascii="Book Antiqua" w:eastAsia="Book Antiqua" w:hAnsi="Book Antiqua" w:cs="Book Antiqua"/>
          <w:b/>
          <w:bCs/>
          <w:color w:val="000000" w:themeColor="text1"/>
        </w:rPr>
        <w:t>Yang Y</w:t>
      </w:r>
      <w:r>
        <w:rPr>
          <w:rFonts w:ascii="Book Antiqua" w:eastAsia="Book Antiqua" w:hAnsi="Book Antiqua" w:cs="Book Antiqua"/>
          <w:color w:val="000000" w:themeColor="text1"/>
        </w:rPr>
        <w:t xml:space="preserve">, Wang CJ, Wang BJ, Zeng ZL, Guo SG. Comparison of efficacy and tolerability of azathioprine, mycophenolate mofetil, and lower dosages of rituximab </w:t>
      </w:r>
      <w:r>
        <w:rPr>
          <w:rFonts w:ascii="Book Antiqua" w:eastAsia="Book Antiqua" w:hAnsi="Book Antiqua" w:cs="Book Antiqua"/>
          <w:color w:val="000000" w:themeColor="text1"/>
        </w:rPr>
        <w:lastRenderedPageBreak/>
        <w:t xml:space="preserve">among patients with </w:t>
      </w:r>
      <w:proofErr w:type="spellStart"/>
      <w:r>
        <w:rPr>
          <w:rFonts w:ascii="Book Antiqua" w:eastAsia="Book Antiqua" w:hAnsi="Book Antiqua" w:cs="Book Antiqua"/>
          <w:color w:val="000000" w:themeColor="text1"/>
        </w:rPr>
        <w:t>neuromyelitis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optica</w:t>
      </w:r>
      <w:proofErr w:type="spellEnd"/>
      <w:r>
        <w:rPr>
          <w:rFonts w:ascii="Book Antiqua" w:eastAsia="Book Antiqua" w:hAnsi="Book Antiqua" w:cs="Book Antiqua"/>
          <w:color w:val="000000" w:themeColor="text1"/>
        </w:rPr>
        <w:t xml:space="preserve"> spectrum disorder. </w:t>
      </w:r>
      <w:r>
        <w:rPr>
          <w:rFonts w:ascii="Book Antiqua" w:eastAsia="Book Antiqua" w:hAnsi="Book Antiqua" w:cs="Book Antiqua"/>
          <w:i/>
          <w:iCs/>
          <w:color w:val="000000" w:themeColor="text1"/>
        </w:rPr>
        <w:t>J Neurol Sci</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385</w:t>
      </w:r>
      <w:r>
        <w:rPr>
          <w:rFonts w:ascii="Book Antiqua" w:eastAsia="Book Antiqua" w:hAnsi="Book Antiqua" w:cs="Book Antiqua"/>
          <w:color w:val="000000" w:themeColor="text1"/>
        </w:rPr>
        <w:t>: 192-197 [PMID: 29406904 DOI: 10.1016/j.jns.2017.12.034]</w:t>
      </w:r>
    </w:p>
    <w:p w14:paraId="7C9B99EF"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14 </w:t>
      </w:r>
      <w:proofErr w:type="spellStart"/>
      <w:r>
        <w:rPr>
          <w:rFonts w:ascii="Book Antiqua" w:eastAsia="Book Antiqua" w:hAnsi="Book Antiqua" w:cs="Book Antiqua"/>
          <w:b/>
          <w:bCs/>
          <w:color w:val="000000" w:themeColor="text1"/>
        </w:rPr>
        <w:t>Maribo</w:t>
      </w:r>
      <w:proofErr w:type="spellEnd"/>
      <w:r>
        <w:rPr>
          <w:rFonts w:ascii="Book Antiqua" w:eastAsia="Book Antiqua" w:hAnsi="Book Antiqua" w:cs="Book Antiqua"/>
          <w:b/>
          <w:bCs/>
          <w:color w:val="000000" w:themeColor="text1"/>
        </w:rPr>
        <w:t xml:space="preserve"> T</w:t>
      </w:r>
      <w:r>
        <w:rPr>
          <w:rFonts w:ascii="Book Antiqua" w:eastAsia="Book Antiqua" w:hAnsi="Book Antiqua" w:cs="Book Antiqua"/>
          <w:color w:val="000000" w:themeColor="text1"/>
        </w:rPr>
        <w:t xml:space="preserve">, Jensen CM, Madsen LS, </w:t>
      </w:r>
      <w:proofErr w:type="spellStart"/>
      <w:r>
        <w:rPr>
          <w:rFonts w:ascii="Book Antiqua" w:eastAsia="Book Antiqua" w:hAnsi="Book Antiqua" w:cs="Book Antiqua"/>
          <w:color w:val="000000" w:themeColor="text1"/>
        </w:rPr>
        <w:t>Handberg</w:t>
      </w:r>
      <w:proofErr w:type="spellEnd"/>
      <w:r>
        <w:rPr>
          <w:rFonts w:ascii="Book Antiqua" w:eastAsia="Book Antiqua" w:hAnsi="Book Antiqua" w:cs="Book Antiqua"/>
          <w:color w:val="000000" w:themeColor="text1"/>
        </w:rPr>
        <w:t xml:space="preserve"> C. Experiences with and perspectives on goal setting in spinal cord injury rehabilitation: a systematic review of qualitative studies. </w:t>
      </w:r>
      <w:r>
        <w:rPr>
          <w:rFonts w:ascii="Book Antiqua" w:eastAsia="Book Antiqua" w:hAnsi="Book Antiqua" w:cs="Book Antiqua"/>
          <w:i/>
          <w:iCs/>
          <w:color w:val="000000" w:themeColor="text1"/>
        </w:rPr>
        <w:t>Spinal Cord</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58</w:t>
      </w:r>
      <w:r>
        <w:rPr>
          <w:rFonts w:ascii="Book Antiqua" w:eastAsia="Book Antiqua" w:hAnsi="Book Antiqua" w:cs="Book Antiqua"/>
          <w:color w:val="000000" w:themeColor="text1"/>
        </w:rPr>
        <w:t>: 949-958 [PMID: 32424174 DOI: 10.1038/s41393-020-0485-8]</w:t>
      </w:r>
    </w:p>
    <w:p w14:paraId="786D6B58"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15 </w:t>
      </w:r>
      <w:proofErr w:type="spellStart"/>
      <w:r>
        <w:rPr>
          <w:rFonts w:ascii="Book Antiqua" w:eastAsia="Book Antiqua" w:hAnsi="Book Antiqua" w:cs="Book Antiqua"/>
          <w:b/>
          <w:bCs/>
          <w:color w:val="000000" w:themeColor="text1"/>
        </w:rPr>
        <w:t>Mackiewicz-Milewska</w:t>
      </w:r>
      <w:proofErr w:type="spellEnd"/>
      <w:r>
        <w:rPr>
          <w:rFonts w:ascii="Book Antiqua" w:eastAsia="Book Antiqua" w:hAnsi="Book Antiqua" w:cs="Book Antiqua"/>
          <w:b/>
          <w:bCs/>
          <w:color w:val="000000" w:themeColor="text1"/>
        </w:rPr>
        <w:t xml:space="preserve"> 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Cisowska-Adamiak</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Rość</w:t>
      </w:r>
      <w:proofErr w:type="spellEnd"/>
      <w:r>
        <w:rPr>
          <w:rFonts w:ascii="Book Antiqua" w:eastAsia="Book Antiqua" w:hAnsi="Book Antiqua" w:cs="Book Antiqua"/>
          <w:color w:val="000000" w:themeColor="text1"/>
        </w:rPr>
        <w:t xml:space="preserve"> D, </w:t>
      </w:r>
      <w:proofErr w:type="spellStart"/>
      <w:r>
        <w:rPr>
          <w:rFonts w:ascii="Book Antiqua" w:eastAsia="Book Antiqua" w:hAnsi="Book Antiqua" w:cs="Book Antiqua"/>
          <w:color w:val="000000" w:themeColor="text1"/>
        </w:rPr>
        <w:t>Głowacka-Mrotek</w:t>
      </w:r>
      <w:proofErr w:type="spellEnd"/>
      <w:r>
        <w:rPr>
          <w:rFonts w:ascii="Book Antiqua" w:eastAsia="Book Antiqua" w:hAnsi="Book Antiqua" w:cs="Book Antiqua"/>
          <w:color w:val="000000" w:themeColor="text1"/>
        </w:rPr>
        <w:t xml:space="preserve"> I, </w:t>
      </w:r>
      <w:proofErr w:type="spellStart"/>
      <w:r>
        <w:rPr>
          <w:rFonts w:ascii="Book Antiqua" w:eastAsia="Book Antiqua" w:hAnsi="Book Antiqua" w:cs="Book Antiqua"/>
          <w:color w:val="000000" w:themeColor="text1"/>
        </w:rPr>
        <w:t>Świątkiewicz</w:t>
      </w:r>
      <w:proofErr w:type="spellEnd"/>
      <w:r>
        <w:rPr>
          <w:rFonts w:ascii="Book Antiqua" w:eastAsia="Book Antiqua" w:hAnsi="Book Antiqua" w:cs="Book Antiqua"/>
          <w:color w:val="000000" w:themeColor="text1"/>
        </w:rPr>
        <w:t xml:space="preserve"> I. Effects of Four-Week Rehabilitation Program on Hemostasis Disorders in Patients with Spinal Cord Injury. </w:t>
      </w:r>
      <w:r>
        <w:rPr>
          <w:rFonts w:ascii="Book Antiqua" w:eastAsia="Book Antiqua" w:hAnsi="Book Antiqua" w:cs="Book Antiqua"/>
          <w:i/>
          <w:iCs/>
          <w:color w:val="000000" w:themeColor="text1"/>
        </w:rPr>
        <w:t>J Clin Med</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9</w:t>
      </w:r>
      <w:r>
        <w:rPr>
          <w:rFonts w:ascii="Book Antiqua" w:eastAsia="Book Antiqua" w:hAnsi="Book Antiqua" w:cs="Book Antiqua"/>
          <w:color w:val="000000" w:themeColor="text1"/>
        </w:rPr>
        <w:t xml:space="preserve"> [PMID: 32545579 DOI: 10.3390/jcm9061836]</w:t>
      </w:r>
    </w:p>
    <w:p w14:paraId="18BC032F"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16 </w:t>
      </w:r>
      <w:proofErr w:type="spellStart"/>
      <w:r>
        <w:rPr>
          <w:rFonts w:ascii="Book Antiqua" w:eastAsia="Book Antiqua" w:hAnsi="Book Antiqua" w:cs="Book Antiqua"/>
          <w:b/>
          <w:bCs/>
          <w:color w:val="000000" w:themeColor="text1"/>
        </w:rPr>
        <w:t>Eitivipart</w:t>
      </w:r>
      <w:proofErr w:type="spellEnd"/>
      <w:r>
        <w:rPr>
          <w:rFonts w:ascii="Book Antiqua" w:eastAsia="Book Antiqua" w:hAnsi="Book Antiqua" w:cs="Book Antiqua"/>
          <w:b/>
          <w:bCs/>
          <w:color w:val="000000" w:themeColor="text1"/>
        </w:rPr>
        <w:t xml:space="preserve"> AC</w:t>
      </w:r>
      <w:r>
        <w:rPr>
          <w:rFonts w:ascii="Book Antiqua" w:eastAsia="Book Antiqua" w:hAnsi="Book Antiqua" w:cs="Book Antiqua"/>
          <w:color w:val="000000" w:themeColor="text1"/>
        </w:rPr>
        <w:t xml:space="preserve">, de Oliveira CQ, Arora M, Middleton J, Davis GM. Overview of Systematic Reviews of Aerobic Fitness and Muscle Strength Training after Spinal Cord Injury. </w:t>
      </w:r>
      <w:r>
        <w:rPr>
          <w:rFonts w:ascii="Book Antiqua" w:eastAsia="Book Antiqua" w:hAnsi="Book Antiqua" w:cs="Book Antiqua"/>
          <w:i/>
          <w:iCs/>
          <w:color w:val="000000" w:themeColor="text1"/>
        </w:rPr>
        <w:t>J Neurotrauma</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36</w:t>
      </w:r>
      <w:r>
        <w:rPr>
          <w:rFonts w:ascii="Book Antiqua" w:eastAsia="Book Antiqua" w:hAnsi="Book Antiqua" w:cs="Book Antiqua"/>
          <w:color w:val="000000" w:themeColor="text1"/>
        </w:rPr>
        <w:t>: 2943-2963 [PMID: 30982398 DOI: 10.1089/neu.2018.6310]</w:t>
      </w:r>
    </w:p>
    <w:p w14:paraId="7FD2F16B"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17 </w:t>
      </w:r>
      <w:r>
        <w:rPr>
          <w:rFonts w:ascii="Book Antiqua" w:eastAsia="Book Antiqua" w:hAnsi="Book Antiqua" w:cs="Book Antiqua"/>
          <w:b/>
          <w:bCs/>
          <w:color w:val="000000" w:themeColor="text1"/>
        </w:rPr>
        <w:t>Rigot 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Worobey</w:t>
      </w:r>
      <w:proofErr w:type="spellEnd"/>
      <w:r>
        <w:rPr>
          <w:rFonts w:ascii="Book Antiqua" w:eastAsia="Book Antiqua" w:hAnsi="Book Antiqua" w:cs="Book Antiqua"/>
          <w:color w:val="000000" w:themeColor="text1"/>
        </w:rPr>
        <w:t xml:space="preserve"> L, </w:t>
      </w:r>
      <w:proofErr w:type="spellStart"/>
      <w:r>
        <w:rPr>
          <w:rFonts w:ascii="Book Antiqua" w:eastAsia="Book Antiqua" w:hAnsi="Book Antiqua" w:cs="Book Antiqua"/>
          <w:color w:val="000000" w:themeColor="text1"/>
        </w:rPr>
        <w:t>Boninger</w:t>
      </w:r>
      <w:proofErr w:type="spellEnd"/>
      <w:r>
        <w:rPr>
          <w:rFonts w:ascii="Book Antiqua" w:eastAsia="Book Antiqua" w:hAnsi="Book Antiqua" w:cs="Book Antiqua"/>
          <w:color w:val="000000" w:themeColor="text1"/>
        </w:rPr>
        <w:t xml:space="preserve"> ML. Gait Training in Acute Spinal Cord Injury Rehabilitation-Utilization and Outcomes Among </w:t>
      </w:r>
      <w:proofErr w:type="spellStart"/>
      <w:r>
        <w:rPr>
          <w:rFonts w:ascii="Book Antiqua" w:eastAsia="Book Antiqua" w:hAnsi="Book Antiqua" w:cs="Book Antiqua"/>
          <w:color w:val="000000" w:themeColor="text1"/>
        </w:rPr>
        <w:t>Nonambulatory</w:t>
      </w:r>
      <w:proofErr w:type="spellEnd"/>
      <w:r>
        <w:rPr>
          <w:rFonts w:ascii="Book Antiqua" w:eastAsia="Book Antiqua" w:hAnsi="Book Antiqua" w:cs="Book Antiqua"/>
          <w:color w:val="000000" w:themeColor="text1"/>
        </w:rPr>
        <w:t xml:space="preserve"> Individuals: Findings From the </w:t>
      </w:r>
      <w:proofErr w:type="spellStart"/>
      <w:r>
        <w:rPr>
          <w:rFonts w:ascii="Book Antiqua" w:eastAsia="Book Antiqua" w:hAnsi="Book Antiqua" w:cs="Book Antiqua"/>
          <w:color w:val="000000" w:themeColor="text1"/>
        </w:rPr>
        <w:t>SCIRehab</w:t>
      </w:r>
      <w:proofErr w:type="spellEnd"/>
      <w:r>
        <w:rPr>
          <w:rFonts w:ascii="Book Antiqua" w:eastAsia="Book Antiqua" w:hAnsi="Book Antiqua" w:cs="Book Antiqua"/>
          <w:color w:val="000000" w:themeColor="text1"/>
        </w:rPr>
        <w:t xml:space="preserve"> Project. </w:t>
      </w:r>
      <w:r>
        <w:rPr>
          <w:rFonts w:ascii="Book Antiqua" w:eastAsia="Book Antiqua" w:hAnsi="Book Antiqua" w:cs="Book Antiqua"/>
          <w:i/>
          <w:iCs/>
          <w:color w:val="000000" w:themeColor="text1"/>
        </w:rPr>
        <w:t xml:space="preserve">Arch Phys Med </w:t>
      </w:r>
      <w:proofErr w:type="spellStart"/>
      <w:r>
        <w:rPr>
          <w:rFonts w:ascii="Book Antiqua" w:eastAsia="Book Antiqua" w:hAnsi="Book Antiqua" w:cs="Book Antiqua"/>
          <w:i/>
          <w:iCs/>
          <w:color w:val="000000" w:themeColor="text1"/>
        </w:rPr>
        <w:t>Rehabil</w:t>
      </w:r>
      <w:proofErr w:type="spellEnd"/>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99</w:t>
      </w:r>
      <w:r>
        <w:rPr>
          <w:rFonts w:ascii="Book Antiqua" w:eastAsia="Book Antiqua" w:hAnsi="Book Antiqua" w:cs="Book Antiqua"/>
          <w:color w:val="000000" w:themeColor="text1"/>
        </w:rPr>
        <w:t>: 1591-1598 [PMID: 29510092 DOI: 10.1016/j.apmr.2018.01.031]</w:t>
      </w:r>
    </w:p>
    <w:p w14:paraId="5A84A3C9"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18 </w:t>
      </w:r>
      <w:proofErr w:type="spellStart"/>
      <w:r>
        <w:rPr>
          <w:rFonts w:ascii="Book Antiqua" w:eastAsia="Book Antiqua" w:hAnsi="Book Antiqua" w:cs="Book Antiqua"/>
          <w:b/>
          <w:bCs/>
          <w:color w:val="000000" w:themeColor="text1"/>
        </w:rPr>
        <w:t>Arpin</w:t>
      </w:r>
      <w:proofErr w:type="spellEnd"/>
      <w:r>
        <w:rPr>
          <w:rFonts w:ascii="Book Antiqua" w:eastAsia="Book Antiqua" w:hAnsi="Book Antiqua" w:cs="Book Antiqua"/>
          <w:b/>
          <w:bCs/>
          <w:color w:val="000000" w:themeColor="text1"/>
        </w:rPr>
        <w:t xml:space="preserve"> DJ</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Ugiliweneza</w:t>
      </w:r>
      <w:proofErr w:type="spellEnd"/>
      <w:r>
        <w:rPr>
          <w:rFonts w:ascii="Book Antiqua" w:eastAsia="Book Antiqua" w:hAnsi="Book Antiqua" w:cs="Book Antiqua"/>
          <w:color w:val="000000" w:themeColor="text1"/>
        </w:rPr>
        <w:t xml:space="preserve"> B, Forrest G, </w:t>
      </w:r>
      <w:proofErr w:type="spellStart"/>
      <w:r>
        <w:rPr>
          <w:rFonts w:ascii="Book Antiqua" w:eastAsia="Book Antiqua" w:hAnsi="Book Antiqua" w:cs="Book Antiqua"/>
          <w:color w:val="000000" w:themeColor="text1"/>
        </w:rPr>
        <w:t>Harkema</w:t>
      </w:r>
      <w:proofErr w:type="spellEnd"/>
      <w:r>
        <w:rPr>
          <w:rFonts w:ascii="Book Antiqua" w:eastAsia="Book Antiqua" w:hAnsi="Book Antiqua" w:cs="Book Antiqua"/>
          <w:color w:val="000000" w:themeColor="text1"/>
        </w:rPr>
        <w:t xml:space="preserve"> SJ, </w:t>
      </w:r>
      <w:proofErr w:type="spellStart"/>
      <w:r>
        <w:rPr>
          <w:rFonts w:ascii="Book Antiqua" w:eastAsia="Book Antiqua" w:hAnsi="Book Antiqua" w:cs="Book Antiqua"/>
          <w:color w:val="000000" w:themeColor="text1"/>
        </w:rPr>
        <w:t>Rejc</w:t>
      </w:r>
      <w:proofErr w:type="spellEnd"/>
      <w:r>
        <w:rPr>
          <w:rFonts w:ascii="Book Antiqua" w:eastAsia="Book Antiqua" w:hAnsi="Book Antiqua" w:cs="Book Antiqua"/>
          <w:color w:val="000000" w:themeColor="text1"/>
        </w:rPr>
        <w:t xml:space="preserve"> E. Optimizing Neuromuscular Electrical Stimulation Pulse Width and Amplitude to Promote Central Activation in Individuals With Severe Spinal Cord Injury. </w:t>
      </w:r>
      <w:r>
        <w:rPr>
          <w:rFonts w:ascii="Book Antiqua" w:eastAsia="Book Antiqua" w:hAnsi="Book Antiqua" w:cs="Book Antiqua"/>
          <w:i/>
          <w:iCs/>
          <w:color w:val="000000" w:themeColor="text1"/>
        </w:rPr>
        <w:t xml:space="preserve">Front </w:t>
      </w:r>
      <w:proofErr w:type="spellStart"/>
      <w:r>
        <w:rPr>
          <w:rFonts w:ascii="Book Antiqua" w:eastAsia="Book Antiqua" w:hAnsi="Book Antiqua" w:cs="Book Antiqua"/>
          <w:i/>
          <w:iCs/>
          <w:color w:val="000000" w:themeColor="text1"/>
        </w:rPr>
        <w:t>Physiol</w:t>
      </w:r>
      <w:proofErr w:type="spellEnd"/>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10</w:t>
      </w:r>
      <w:r>
        <w:rPr>
          <w:rFonts w:ascii="Book Antiqua" w:eastAsia="Book Antiqua" w:hAnsi="Book Antiqua" w:cs="Book Antiqua"/>
          <w:color w:val="000000" w:themeColor="text1"/>
        </w:rPr>
        <w:t>: 1310 [PMID: 31681016 DOI: 10.3389/fphys.2019.01310]</w:t>
      </w:r>
    </w:p>
    <w:bookmarkEnd w:id="11"/>
    <w:p w14:paraId="2D8C310F" w14:textId="77777777" w:rsidR="00C57888" w:rsidRDefault="00C57888">
      <w:pPr>
        <w:adjustRightInd w:val="0"/>
        <w:snapToGrid w:val="0"/>
        <w:spacing w:line="360" w:lineRule="auto"/>
        <w:jc w:val="both"/>
        <w:rPr>
          <w:rFonts w:ascii="Book Antiqua" w:hAnsi="Book Antiqua"/>
          <w:color w:val="000000" w:themeColor="text1"/>
        </w:rPr>
        <w:sectPr w:rsidR="00C57888">
          <w:pgSz w:w="12240" w:h="15840"/>
          <w:pgMar w:top="1440" w:right="1440" w:bottom="1440" w:left="1440" w:header="720" w:footer="720" w:gutter="0"/>
          <w:cols w:space="720"/>
          <w:docGrid w:linePitch="360"/>
        </w:sectPr>
      </w:pPr>
    </w:p>
    <w:p w14:paraId="7642DA86"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14:paraId="7DC62ADB"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Informed consent statement: </w:t>
      </w:r>
      <w:r>
        <w:rPr>
          <w:rFonts w:ascii="Book Antiqua" w:eastAsia="Book Antiqua" w:hAnsi="Book Antiqua" w:cs="Book Antiqua"/>
          <w:color w:val="000000" w:themeColor="text1"/>
        </w:rPr>
        <w:t>Informed written consent was obtained from the patient for publication of this report and any accompanying images.</w:t>
      </w:r>
    </w:p>
    <w:p w14:paraId="36670E38" w14:textId="77777777" w:rsidR="00C57888" w:rsidRDefault="00C57888">
      <w:pPr>
        <w:adjustRightInd w:val="0"/>
        <w:snapToGrid w:val="0"/>
        <w:spacing w:line="360" w:lineRule="auto"/>
        <w:jc w:val="both"/>
        <w:rPr>
          <w:rFonts w:ascii="Book Antiqua" w:hAnsi="Book Antiqua"/>
          <w:color w:val="000000" w:themeColor="text1"/>
        </w:rPr>
      </w:pPr>
    </w:p>
    <w:p w14:paraId="2A993B29"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The authors declare that they have no conflict of interest.</w:t>
      </w:r>
    </w:p>
    <w:p w14:paraId="537F4BF1" w14:textId="77777777" w:rsidR="00C57888" w:rsidRDefault="00C57888">
      <w:pPr>
        <w:adjustRightInd w:val="0"/>
        <w:snapToGrid w:val="0"/>
        <w:spacing w:line="360" w:lineRule="auto"/>
        <w:jc w:val="both"/>
        <w:rPr>
          <w:rFonts w:ascii="Book Antiqua" w:hAnsi="Book Antiqua"/>
          <w:color w:val="000000" w:themeColor="text1"/>
        </w:rPr>
      </w:pPr>
    </w:p>
    <w:p w14:paraId="5591314B"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CARE Checklist (2016) statement: </w:t>
      </w:r>
      <w:r>
        <w:rPr>
          <w:rFonts w:ascii="Book Antiqua" w:eastAsia="Book Antiqua" w:hAnsi="Book Antiqua" w:cs="Book Antiqua"/>
          <w:color w:val="000000" w:themeColor="text1"/>
        </w:rPr>
        <w:t>The authors have read the CARE Checklist (2016), and the manuscript was prepared and revised according to the CARE Checklist (2016).</w:t>
      </w:r>
    </w:p>
    <w:p w14:paraId="3E1CF4CB" w14:textId="77777777" w:rsidR="00C57888" w:rsidRDefault="00C57888">
      <w:pPr>
        <w:adjustRightInd w:val="0"/>
        <w:snapToGrid w:val="0"/>
        <w:spacing w:line="360" w:lineRule="auto"/>
        <w:jc w:val="both"/>
        <w:rPr>
          <w:rFonts w:ascii="Book Antiqua" w:hAnsi="Book Antiqua"/>
          <w:color w:val="000000" w:themeColor="text1"/>
        </w:rPr>
      </w:pPr>
    </w:p>
    <w:p w14:paraId="77E7F4D2"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bookmarkStart w:id="12" w:name="OLE_LINK14"/>
      <w:bookmarkStart w:id="13" w:name="OLE_LINK15"/>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bookmarkEnd w:id="13"/>
    <w:p w14:paraId="18A81DC5" w14:textId="77777777" w:rsidR="00C57888" w:rsidRDefault="00C57888">
      <w:pPr>
        <w:adjustRightInd w:val="0"/>
        <w:snapToGrid w:val="0"/>
        <w:spacing w:line="360" w:lineRule="auto"/>
        <w:jc w:val="both"/>
        <w:rPr>
          <w:rFonts w:ascii="Book Antiqua" w:hAnsi="Book Antiqua"/>
          <w:color w:val="000000" w:themeColor="text1"/>
        </w:rPr>
      </w:pPr>
    </w:p>
    <w:p w14:paraId="048ABD40"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source: </w:t>
      </w:r>
      <w:r>
        <w:rPr>
          <w:rFonts w:ascii="Book Antiqua" w:eastAsia="Book Antiqua" w:hAnsi="Book Antiqua" w:cs="Book Antiqua"/>
          <w:color w:val="000000" w:themeColor="text1"/>
        </w:rPr>
        <w:t>Unsolicited manuscript</w:t>
      </w:r>
    </w:p>
    <w:p w14:paraId="598AF9F2" w14:textId="77777777" w:rsidR="00C57888" w:rsidRDefault="00C57888">
      <w:pPr>
        <w:adjustRightInd w:val="0"/>
        <w:snapToGrid w:val="0"/>
        <w:spacing w:line="360" w:lineRule="auto"/>
        <w:jc w:val="both"/>
        <w:rPr>
          <w:rFonts w:ascii="Book Antiqua" w:hAnsi="Book Antiqua"/>
          <w:color w:val="000000" w:themeColor="text1"/>
        </w:rPr>
      </w:pPr>
    </w:p>
    <w:p w14:paraId="43A38D82"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November 22, 2020</w:t>
      </w:r>
    </w:p>
    <w:p w14:paraId="747890D6"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December 24, 2020</w:t>
      </w:r>
    </w:p>
    <w:p w14:paraId="50594F10"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p>
    <w:p w14:paraId="0D3AF341" w14:textId="77777777" w:rsidR="00C57888" w:rsidRDefault="00C57888">
      <w:pPr>
        <w:adjustRightInd w:val="0"/>
        <w:snapToGrid w:val="0"/>
        <w:spacing w:line="360" w:lineRule="auto"/>
        <w:jc w:val="both"/>
        <w:rPr>
          <w:rFonts w:ascii="Book Antiqua" w:hAnsi="Book Antiqua"/>
          <w:color w:val="000000" w:themeColor="text1"/>
        </w:rPr>
      </w:pPr>
    </w:p>
    <w:p w14:paraId="2992C14F"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Rehabilitation</w:t>
      </w:r>
    </w:p>
    <w:p w14:paraId="7E0EAC1E"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13EDF27D"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14:paraId="2A7C54FE"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0</w:t>
      </w:r>
    </w:p>
    <w:p w14:paraId="7ED554DC"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B</w:t>
      </w:r>
    </w:p>
    <w:p w14:paraId="59256BCA"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C</w:t>
      </w:r>
    </w:p>
    <w:p w14:paraId="0BA50591"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Grade D (Fair): 0</w:t>
      </w:r>
    </w:p>
    <w:p w14:paraId="54D355B4"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4A8BC5EA" w14:textId="77777777" w:rsidR="00C57888" w:rsidRDefault="00C57888">
      <w:pPr>
        <w:adjustRightInd w:val="0"/>
        <w:snapToGrid w:val="0"/>
        <w:spacing w:line="360" w:lineRule="auto"/>
        <w:jc w:val="both"/>
        <w:rPr>
          <w:rFonts w:ascii="Book Antiqua" w:hAnsi="Book Antiqua"/>
          <w:color w:val="000000" w:themeColor="text1"/>
        </w:rPr>
      </w:pPr>
    </w:p>
    <w:p w14:paraId="6F346E95" w14:textId="7BB5516D" w:rsidR="00C57888" w:rsidRDefault="002A0D66">
      <w:pPr>
        <w:adjustRightInd w:val="0"/>
        <w:snapToGrid w:val="0"/>
        <w:spacing w:line="360" w:lineRule="auto"/>
        <w:jc w:val="both"/>
        <w:rPr>
          <w:rFonts w:ascii="Book Antiqua" w:hAnsi="Book Antiqua"/>
          <w:color w:val="000000" w:themeColor="text1"/>
        </w:rPr>
        <w:sectPr w:rsidR="00C57888">
          <w:pgSz w:w="12240" w:h="15840"/>
          <w:pgMar w:top="1440" w:right="1440" w:bottom="1440" w:left="1440" w:header="720" w:footer="720" w:gutter="0"/>
          <w:cols w:space="720"/>
          <w:docGrid w:linePitch="360"/>
        </w:sect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Roldan-Valadez E</w:t>
      </w:r>
      <w:r>
        <w:rPr>
          <w:rFonts w:ascii="Book Antiqua" w:eastAsia="Book Antiqua" w:hAnsi="Book Antiqua" w:cs="Book Antiqua"/>
          <w:b/>
          <w:color w:val="000000" w:themeColor="text1"/>
        </w:rPr>
        <w:t xml:space="preserve"> S-Editor: </w:t>
      </w:r>
      <w:r>
        <w:rPr>
          <w:rFonts w:ascii="Book Antiqua" w:eastAsia="Book Antiqua" w:hAnsi="Book Antiqua" w:cs="Book Antiqua"/>
          <w:color w:val="000000" w:themeColor="text1"/>
        </w:rPr>
        <w:t>Liu M</w:t>
      </w:r>
      <w:r>
        <w:rPr>
          <w:rFonts w:ascii="Book Antiqua" w:eastAsia="Book Antiqua" w:hAnsi="Book Antiqua" w:cs="Book Antiqua"/>
          <w:b/>
          <w:color w:val="000000" w:themeColor="text1"/>
        </w:rPr>
        <w:t xml:space="preserve"> L-Editor:</w:t>
      </w:r>
      <w:r w:rsidR="0019537C">
        <w:rPr>
          <w:rFonts w:ascii="Book Antiqua" w:eastAsia="Book Antiqua" w:hAnsi="Book Antiqua" w:cs="Book Antiqua"/>
          <w:b/>
          <w:color w:val="000000" w:themeColor="text1"/>
        </w:rPr>
        <w:t xml:space="preserve"> </w:t>
      </w:r>
      <w:r w:rsidR="0019537C">
        <w:rPr>
          <w:rFonts w:ascii="Book Antiqua" w:eastAsia="Book Antiqua" w:hAnsi="Book Antiqua" w:cs="Book Antiqua"/>
          <w:color w:val="000000" w:themeColor="text1"/>
        </w:rPr>
        <w:t>Webster JR</w:t>
      </w:r>
      <w:r>
        <w:rPr>
          <w:rFonts w:ascii="Book Antiqua" w:eastAsia="Book Antiqua" w:hAnsi="Book Antiqua" w:cs="Book Antiqua"/>
          <w:b/>
          <w:color w:val="000000" w:themeColor="text1"/>
        </w:rPr>
        <w:t xml:space="preserve"> P-Editor: </w:t>
      </w:r>
    </w:p>
    <w:p w14:paraId="49833C65" w14:textId="77777777" w:rsidR="00C57888" w:rsidRDefault="002A0D66">
      <w:pPr>
        <w:adjustRightInd w:val="0"/>
        <w:snapToGrid w:val="0"/>
        <w:spacing w:line="360" w:lineRule="auto"/>
        <w:jc w:val="both"/>
        <w:rPr>
          <w:rFonts w:ascii="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14:paraId="4AB0C8AE" w14:textId="77777777" w:rsidR="00C57888" w:rsidRDefault="002A0D66">
      <w:pPr>
        <w:adjustRightInd w:val="0"/>
        <w:snapToGrid w:val="0"/>
        <w:spacing w:line="360" w:lineRule="auto"/>
        <w:jc w:val="both"/>
        <w:rPr>
          <w:rFonts w:ascii="Book Antiqua" w:hAnsi="Book Antiqua"/>
          <w:b/>
          <w:color w:val="000000" w:themeColor="text1"/>
        </w:rPr>
      </w:pPr>
      <w:r>
        <w:rPr>
          <w:noProof/>
          <w:lang w:val="en-GB"/>
        </w:rPr>
        <w:drawing>
          <wp:inline distT="0" distB="0" distL="114300" distR="114300" wp14:anchorId="7237727A" wp14:editId="542FB48B">
            <wp:extent cx="5941695" cy="3120390"/>
            <wp:effectExtent l="0" t="0" r="190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941695" cy="3120390"/>
                    </a:xfrm>
                    <a:prstGeom prst="rect">
                      <a:avLst/>
                    </a:prstGeom>
                    <a:noFill/>
                    <a:ln>
                      <a:noFill/>
                    </a:ln>
                  </pic:spPr>
                </pic:pic>
              </a:graphicData>
            </a:graphic>
          </wp:inline>
        </w:drawing>
      </w:r>
    </w:p>
    <w:p w14:paraId="7B0F9AD1" w14:textId="77777777" w:rsidR="00C57888" w:rsidRDefault="002A0D66">
      <w:pPr>
        <w:adjustRightInd w:val="0"/>
        <w:snapToGrid w:val="0"/>
        <w:spacing w:line="360" w:lineRule="auto"/>
        <w:jc w:val="both"/>
        <w:rPr>
          <w:rFonts w:ascii="Book Antiqua" w:hAnsi="Book Antiqua"/>
          <w:b/>
          <w:bCs/>
          <w:color w:val="000000" w:themeColor="text1"/>
          <w:lang w:val="en"/>
        </w:rPr>
      </w:pPr>
      <w:bookmarkStart w:id="14" w:name="OLE_LINK152"/>
      <w:bookmarkStart w:id="15" w:name="OLE_LINK153"/>
      <w:r>
        <w:rPr>
          <w:rFonts w:ascii="Book Antiqua" w:hAnsi="Book Antiqua"/>
          <w:b/>
          <w:bCs/>
          <w:color w:val="000000" w:themeColor="text1"/>
        </w:rPr>
        <w:t xml:space="preserve">Figure 1 </w:t>
      </w:r>
      <w:r>
        <w:rPr>
          <w:rFonts w:ascii="Book Antiqua" w:eastAsia="Times New Roman" w:hAnsi="Book Antiqua"/>
          <w:b/>
          <w:bCs/>
          <w:color w:val="000000" w:themeColor="text1"/>
        </w:rPr>
        <w:t>D-dimer</w:t>
      </w:r>
      <w:r>
        <w:rPr>
          <w:rFonts w:ascii="Book Antiqua" w:eastAsia="Times New Roman" w:hAnsi="Book Antiqua"/>
          <w:b/>
          <w:bCs/>
          <w:color w:val="000000" w:themeColor="text1"/>
          <w:lang w:val="en"/>
        </w:rPr>
        <w:t xml:space="preserve"> and rehabilitation evaluation before and after 2 </w:t>
      </w:r>
      <w:proofErr w:type="spellStart"/>
      <w:r>
        <w:rPr>
          <w:rFonts w:ascii="Book Antiqua" w:eastAsia="Times New Roman" w:hAnsi="Book Antiqua"/>
          <w:b/>
          <w:bCs/>
          <w:color w:val="000000" w:themeColor="text1"/>
          <w:lang w:val="en"/>
        </w:rPr>
        <w:t>wk</w:t>
      </w:r>
      <w:proofErr w:type="spellEnd"/>
      <w:r>
        <w:rPr>
          <w:rFonts w:ascii="Book Antiqua" w:eastAsia="Times New Roman" w:hAnsi="Book Antiqua"/>
          <w:b/>
          <w:bCs/>
          <w:color w:val="000000" w:themeColor="text1"/>
          <w:lang w:val="en"/>
        </w:rPr>
        <w:t xml:space="preserve"> of treatment. </w:t>
      </w:r>
      <w:r>
        <w:rPr>
          <w:rFonts w:ascii="Book Antiqua" w:eastAsia="Times New Roman" w:hAnsi="Book Antiqua"/>
          <w:color w:val="000000" w:themeColor="text1"/>
          <w:lang w:val="en"/>
        </w:rPr>
        <w:t xml:space="preserve">BBS: </w:t>
      </w:r>
      <w:r>
        <w:rPr>
          <w:rFonts w:ascii="Book Antiqua" w:eastAsia="Book Antiqua" w:hAnsi="Book Antiqua" w:cs="Book Antiqua"/>
          <w:color w:val="000000" w:themeColor="text1"/>
        </w:rPr>
        <w:t xml:space="preserve">Berg Balance Scale; </w:t>
      </w:r>
      <w:r>
        <w:rPr>
          <w:rFonts w:ascii="Book Antiqua" w:eastAsia="Times New Roman" w:hAnsi="Book Antiqua"/>
          <w:color w:val="000000" w:themeColor="text1"/>
          <w:lang w:val="en"/>
        </w:rPr>
        <w:t xml:space="preserve">FMA: </w:t>
      </w:r>
      <w:proofErr w:type="spellStart"/>
      <w:r>
        <w:rPr>
          <w:rFonts w:ascii="Book Antiqua" w:eastAsia="Book Antiqua" w:hAnsi="Book Antiqua" w:cs="Book Antiqua"/>
          <w:color w:val="000000" w:themeColor="text1"/>
        </w:rPr>
        <w:t>Fugl</w:t>
      </w:r>
      <w:proofErr w:type="spellEnd"/>
      <w:r>
        <w:rPr>
          <w:rFonts w:ascii="Book Antiqua" w:eastAsia="Book Antiqua" w:hAnsi="Book Antiqua" w:cs="Book Antiqua"/>
          <w:color w:val="000000" w:themeColor="text1"/>
        </w:rPr>
        <w:t>-Meyer assessment</w:t>
      </w:r>
      <w:r>
        <w:rPr>
          <w:rFonts w:ascii="Book Antiqua" w:eastAsia="Times New Roman" w:hAnsi="Book Antiqua"/>
          <w:color w:val="000000" w:themeColor="text1"/>
          <w:lang w:val="en"/>
        </w:rPr>
        <w:t>; ADL:</w:t>
      </w:r>
      <w:r>
        <w:rPr>
          <w:rFonts w:ascii="Book Antiqua" w:eastAsia="Book Antiqua" w:hAnsi="Book Antiqua" w:cs="Book Antiqua"/>
          <w:color w:val="000000" w:themeColor="text1"/>
        </w:rPr>
        <w:t xml:space="preserve"> Activities of daily living.</w:t>
      </w:r>
    </w:p>
    <w:bookmarkEnd w:id="14"/>
    <w:bookmarkEnd w:id="15"/>
    <w:p w14:paraId="20B33B70" w14:textId="77777777" w:rsidR="00C57888" w:rsidRDefault="002A0D66">
      <w:pPr>
        <w:adjustRightInd w:val="0"/>
        <w:snapToGrid w:val="0"/>
        <w:spacing w:line="360" w:lineRule="auto"/>
        <w:jc w:val="both"/>
        <w:rPr>
          <w:rFonts w:ascii="Book Antiqua" w:hAnsi="Book Antiqua"/>
          <w:color w:val="000000" w:themeColor="text1"/>
          <w:lang w:val="en"/>
        </w:rPr>
      </w:pPr>
      <w:r>
        <w:rPr>
          <w:rFonts w:ascii="Book Antiqua" w:hAnsi="Book Antiqua"/>
          <w:color w:val="000000" w:themeColor="text1"/>
          <w:lang w:val="en"/>
        </w:rPr>
        <w:br w:type="page"/>
      </w:r>
    </w:p>
    <w:p w14:paraId="16FC06BD" w14:textId="77777777" w:rsidR="00C57888" w:rsidRDefault="002A0D66">
      <w:pPr>
        <w:adjustRightInd w:val="0"/>
        <w:snapToGrid w:val="0"/>
        <w:spacing w:line="360" w:lineRule="auto"/>
        <w:jc w:val="both"/>
        <w:rPr>
          <w:rFonts w:ascii="Book Antiqua" w:eastAsia="Times New Roman" w:hAnsi="Book Antiqua"/>
          <w:color w:val="000000" w:themeColor="text1"/>
          <w:lang w:val="en"/>
        </w:rPr>
      </w:pPr>
      <w:r>
        <w:rPr>
          <w:rFonts w:ascii="Book Antiqua" w:hAnsi="Book Antiqua"/>
          <w:noProof/>
          <w:color w:val="000000" w:themeColor="text1"/>
          <w:lang w:val="en-GB"/>
        </w:rPr>
        <w:lastRenderedPageBreak/>
        <w:drawing>
          <wp:inline distT="0" distB="0" distL="0" distR="0" wp14:anchorId="452E2D02" wp14:editId="178190E0">
            <wp:extent cx="5378450" cy="5378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378450" cy="5378450"/>
                    </a:xfrm>
                    <a:prstGeom prst="rect">
                      <a:avLst/>
                    </a:prstGeom>
                    <a:noFill/>
                    <a:ln>
                      <a:noFill/>
                    </a:ln>
                  </pic:spPr>
                </pic:pic>
              </a:graphicData>
            </a:graphic>
          </wp:inline>
        </w:drawing>
      </w:r>
    </w:p>
    <w:p w14:paraId="5D9B4C56" w14:textId="5E51526D" w:rsidR="00C57888" w:rsidRDefault="002A0D66">
      <w:pPr>
        <w:adjustRightInd w:val="0"/>
        <w:snapToGrid w:val="0"/>
        <w:spacing w:line="360" w:lineRule="auto"/>
        <w:jc w:val="both"/>
        <w:rPr>
          <w:rFonts w:ascii="Book Antiqua" w:eastAsia="SimSun" w:hAnsi="Book Antiqua"/>
          <w:color w:val="000000" w:themeColor="text1"/>
        </w:rPr>
      </w:pPr>
      <w:bookmarkStart w:id="16" w:name="OLE_LINK146"/>
      <w:bookmarkStart w:id="17" w:name="OLE_LINK145"/>
      <w:bookmarkStart w:id="18" w:name="OLE_LINK142"/>
      <w:bookmarkStart w:id="19" w:name="OLE_LINK143"/>
      <w:r>
        <w:rPr>
          <w:rFonts w:ascii="Book Antiqua" w:eastAsia="SimSun" w:hAnsi="Book Antiqua"/>
          <w:b/>
          <w:bCs/>
          <w:color w:val="000000" w:themeColor="text1"/>
        </w:rPr>
        <w:t xml:space="preserve">Figure 2 Thoracic and Lumbar </w:t>
      </w:r>
      <w:bookmarkStart w:id="20" w:name="OLE_LINK132"/>
      <w:bookmarkStart w:id="21" w:name="OLE_LINK130"/>
      <w:r>
        <w:rPr>
          <w:rFonts w:ascii="Book Antiqua" w:eastAsia="STHeiti" w:hAnsi="Book Antiqua"/>
          <w:b/>
          <w:bCs/>
          <w:color w:val="000000" w:themeColor="text1"/>
          <w:shd w:val="clear" w:color="auto" w:fill="FFFFFF"/>
        </w:rPr>
        <w:t>magnetic resonance imaging</w:t>
      </w:r>
      <w:r>
        <w:rPr>
          <w:rFonts w:ascii="Book Antiqua" w:eastAsia="SimSun" w:hAnsi="Book Antiqua"/>
          <w:b/>
          <w:bCs/>
          <w:color w:val="000000" w:themeColor="text1"/>
        </w:rPr>
        <w:t xml:space="preserve"> </w:t>
      </w:r>
      <w:bookmarkEnd w:id="20"/>
      <w:bookmarkEnd w:id="21"/>
      <w:r>
        <w:rPr>
          <w:rFonts w:ascii="Book Antiqua" w:eastAsia="SimSun" w:hAnsi="Book Antiqua"/>
          <w:b/>
          <w:bCs/>
          <w:color w:val="000000" w:themeColor="text1"/>
        </w:rPr>
        <w:t xml:space="preserve">on </w:t>
      </w:r>
      <w:r>
        <w:rPr>
          <w:rFonts w:ascii="Book Antiqua" w:eastAsia="Times New Roman" w:hAnsi="Book Antiqua"/>
          <w:b/>
          <w:bCs/>
          <w:color w:val="000000" w:themeColor="text1"/>
          <w:kern w:val="24"/>
        </w:rPr>
        <w:t>March 17, 2020 (illness day 7).</w:t>
      </w:r>
      <w:r>
        <w:rPr>
          <w:rFonts w:ascii="Book Antiqua" w:eastAsia="Times New Roman" w:hAnsi="Book Antiqua"/>
          <w:color w:val="000000" w:themeColor="text1"/>
          <w:kern w:val="24"/>
        </w:rPr>
        <w:t xml:space="preserve"> </w:t>
      </w:r>
      <w:r>
        <w:rPr>
          <w:rFonts w:ascii="Book Antiqua" w:eastAsia="SimSun" w:hAnsi="Book Antiqua"/>
          <w:color w:val="000000" w:themeColor="text1"/>
        </w:rPr>
        <w:t xml:space="preserve">Strip-shaped abnormal signal shadow was observed in the medulla and the pathological changes </w:t>
      </w:r>
      <w:r w:rsidR="0019537C">
        <w:rPr>
          <w:rFonts w:ascii="Book Antiqua" w:eastAsia="SimSun" w:hAnsi="Book Antiqua"/>
          <w:color w:val="000000" w:themeColor="text1"/>
        </w:rPr>
        <w:t>in</w:t>
      </w:r>
      <w:r>
        <w:rPr>
          <w:rFonts w:ascii="Book Antiqua" w:eastAsia="SimSun" w:hAnsi="Book Antiqua"/>
          <w:color w:val="000000" w:themeColor="text1"/>
        </w:rPr>
        <w:t xml:space="preserve"> the spinal cord involved more than 3 spinal segments, which were represented </w:t>
      </w:r>
      <w:r w:rsidR="0019537C">
        <w:rPr>
          <w:rFonts w:ascii="Book Antiqua" w:eastAsia="SimSun" w:hAnsi="Book Antiqua"/>
          <w:color w:val="000000" w:themeColor="text1"/>
        </w:rPr>
        <w:t xml:space="preserve">by </w:t>
      </w:r>
      <w:r>
        <w:rPr>
          <w:rFonts w:ascii="Book Antiqua" w:eastAsia="SimSun" w:hAnsi="Book Antiqua"/>
          <w:color w:val="000000" w:themeColor="text1"/>
        </w:rPr>
        <w:t>different signals in different phases of A, B, C, D. A:</w:t>
      </w:r>
      <w:bookmarkStart w:id="22" w:name="OLE_LINK116"/>
      <w:bookmarkStart w:id="23" w:name="OLE_LINK115"/>
      <w:r>
        <w:rPr>
          <w:rFonts w:ascii="Book Antiqua" w:eastAsia="SimSun" w:hAnsi="Book Antiqua"/>
          <w:color w:val="000000" w:themeColor="text1"/>
        </w:rPr>
        <w:t xml:space="preserve"> </w:t>
      </w:r>
      <w:r>
        <w:rPr>
          <w:rFonts w:ascii="Book Antiqua" w:eastAsia="Times New Roman" w:hAnsi="Book Antiqua"/>
          <w:color w:val="000000" w:themeColor="text1"/>
          <w:shd w:val="clear" w:color="auto" w:fill="FFFFFF"/>
        </w:rPr>
        <w:t>T1-weighted image</w:t>
      </w:r>
      <w:r>
        <w:rPr>
          <w:rFonts w:ascii="Book Antiqua" w:eastAsia="SimSun" w:hAnsi="Book Antiqua"/>
          <w:color w:val="000000" w:themeColor="text1"/>
        </w:rPr>
        <w:t xml:space="preserve"> (T1WI</w:t>
      </w:r>
      <w:bookmarkEnd w:id="22"/>
      <w:bookmarkEnd w:id="23"/>
      <w:r>
        <w:rPr>
          <w:rFonts w:ascii="Book Antiqua" w:eastAsia="SimSun" w:hAnsi="Book Antiqua"/>
          <w:color w:val="000000" w:themeColor="text1"/>
        </w:rPr>
        <w:t xml:space="preserve">) was </w:t>
      </w:r>
      <w:r w:rsidR="0019537C">
        <w:rPr>
          <w:rFonts w:ascii="Book Antiqua" w:eastAsia="SimSun" w:hAnsi="Book Antiqua"/>
          <w:color w:val="000000" w:themeColor="text1"/>
        </w:rPr>
        <w:t xml:space="preserve">a </w:t>
      </w:r>
      <w:r>
        <w:rPr>
          <w:rFonts w:ascii="Book Antiqua" w:eastAsia="SimSun" w:hAnsi="Book Antiqua"/>
          <w:color w:val="000000" w:themeColor="text1"/>
        </w:rPr>
        <w:t xml:space="preserve">low signal; B: </w:t>
      </w:r>
      <w:r>
        <w:rPr>
          <w:rFonts w:ascii="Book Antiqua" w:eastAsia="Times New Roman" w:hAnsi="Book Antiqua"/>
          <w:color w:val="000000" w:themeColor="text1"/>
          <w:shd w:val="clear" w:color="auto" w:fill="FFFFFF"/>
        </w:rPr>
        <w:t>T2-weighted image</w:t>
      </w:r>
      <w:r>
        <w:rPr>
          <w:rFonts w:ascii="Book Antiqua" w:eastAsia="SimSun" w:hAnsi="Book Antiqua"/>
          <w:color w:val="000000" w:themeColor="text1"/>
        </w:rPr>
        <w:t xml:space="preserve"> was </w:t>
      </w:r>
      <w:r w:rsidR="0019537C">
        <w:rPr>
          <w:rFonts w:ascii="Book Antiqua" w:eastAsia="SimSun" w:hAnsi="Book Antiqua"/>
          <w:color w:val="000000" w:themeColor="text1"/>
        </w:rPr>
        <w:t xml:space="preserve">a </w:t>
      </w:r>
      <w:r>
        <w:rPr>
          <w:rFonts w:ascii="Book Antiqua" w:eastAsia="SimSun" w:hAnsi="Book Antiqua"/>
          <w:color w:val="000000" w:themeColor="text1"/>
        </w:rPr>
        <w:t>high signal;</w:t>
      </w:r>
      <w:r>
        <w:rPr>
          <w:rFonts w:ascii="Book Antiqua" w:hAnsi="Book Antiqua"/>
          <w:color w:val="000000" w:themeColor="text1"/>
          <w:kern w:val="24"/>
        </w:rPr>
        <w:t xml:space="preserve"> </w:t>
      </w:r>
      <w:r>
        <w:rPr>
          <w:rFonts w:ascii="Book Antiqua" w:eastAsia="SimSun" w:hAnsi="Book Antiqua"/>
          <w:color w:val="000000" w:themeColor="text1"/>
        </w:rPr>
        <w:t>C:</w:t>
      </w:r>
      <w:bookmarkStart w:id="24" w:name="OLE_LINK105"/>
      <w:bookmarkStart w:id="25" w:name="OLE_LINK106"/>
      <w:r>
        <w:rPr>
          <w:rFonts w:ascii="Book Antiqua" w:eastAsia="SimSun" w:hAnsi="Book Antiqua"/>
          <w:color w:val="000000" w:themeColor="text1"/>
        </w:rPr>
        <w:t xml:space="preserve"> </w:t>
      </w:r>
      <w:bookmarkStart w:id="26" w:name="OLE_LINK114"/>
      <w:r>
        <w:rPr>
          <w:rFonts w:ascii="Book Antiqua" w:eastAsia="Times New Roman" w:hAnsi="Book Antiqua"/>
          <w:color w:val="000000" w:themeColor="text1"/>
        </w:rPr>
        <w:t>Short time inversion recovery</w:t>
      </w:r>
      <w:r>
        <w:rPr>
          <w:rFonts w:ascii="Book Antiqua" w:eastAsia="SimSun" w:hAnsi="Book Antiqua"/>
          <w:color w:val="000000" w:themeColor="text1"/>
        </w:rPr>
        <w:t xml:space="preserve"> (STIR) </w:t>
      </w:r>
      <w:bookmarkEnd w:id="26"/>
      <w:r>
        <w:rPr>
          <w:rFonts w:ascii="Book Antiqua" w:eastAsia="SimSun" w:hAnsi="Book Antiqua"/>
          <w:color w:val="000000" w:themeColor="text1"/>
        </w:rPr>
        <w:t>was</w:t>
      </w:r>
      <w:bookmarkStart w:id="27" w:name="OLE_LINK5"/>
      <w:bookmarkStart w:id="28" w:name="OLE_LINK6"/>
      <w:r>
        <w:rPr>
          <w:rFonts w:ascii="Book Antiqua" w:eastAsia="SimSun" w:hAnsi="Book Antiqua"/>
          <w:color w:val="000000" w:themeColor="text1"/>
        </w:rPr>
        <w:t xml:space="preserve"> </w:t>
      </w:r>
      <w:r w:rsidR="0019537C">
        <w:rPr>
          <w:rFonts w:ascii="Book Antiqua" w:eastAsia="SimSun" w:hAnsi="Book Antiqua"/>
          <w:color w:val="000000" w:themeColor="text1"/>
        </w:rPr>
        <w:t xml:space="preserve">a </w:t>
      </w:r>
      <w:r>
        <w:rPr>
          <w:rFonts w:ascii="Book Antiqua" w:eastAsia="SimSun" w:hAnsi="Book Antiqua"/>
          <w:color w:val="000000" w:themeColor="text1"/>
        </w:rPr>
        <w:t>higher signal</w:t>
      </w:r>
      <w:bookmarkEnd w:id="24"/>
      <w:bookmarkEnd w:id="25"/>
      <w:bookmarkEnd w:id="27"/>
      <w:bookmarkEnd w:id="28"/>
      <w:r>
        <w:rPr>
          <w:rFonts w:ascii="Book Antiqua" w:eastAsia="SimSun" w:hAnsi="Book Antiqua"/>
          <w:color w:val="000000" w:themeColor="text1"/>
        </w:rPr>
        <w:t xml:space="preserve">; D: T1WI-STIR enhancement was </w:t>
      </w:r>
      <w:r w:rsidR="0019537C">
        <w:rPr>
          <w:rFonts w:ascii="Book Antiqua" w:eastAsia="SimSun" w:hAnsi="Book Antiqua"/>
          <w:color w:val="000000" w:themeColor="text1"/>
        </w:rPr>
        <w:t xml:space="preserve">a </w:t>
      </w:r>
      <w:r>
        <w:rPr>
          <w:rFonts w:ascii="Book Antiqua" w:eastAsia="SimSun" w:hAnsi="Book Antiqua"/>
          <w:color w:val="000000" w:themeColor="text1"/>
        </w:rPr>
        <w:t xml:space="preserve">higher signal and slight enhancement of </w:t>
      </w:r>
      <w:r w:rsidR="0019537C">
        <w:rPr>
          <w:rFonts w:ascii="Book Antiqua" w:eastAsia="SimSun" w:hAnsi="Book Antiqua"/>
          <w:color w:val="000000" w:themeColor="text1"/>
        </w:rPr>
        <w:t xml:space="preserve">the </w:t>
      </w:r>
      <w:r>
        <w:rPr>
          <w:rFonts w:ascii="Book Antiqua" w:eastAsia="SimSun" w:hAnsi="Book Antiqua"/>
          <w:color w:val="000000" w:themeColor="text1"/>
        </w:rPr>
        <w:t xml:space="preserve">spinal cord margin. </w:t>
      </w:r>
    </w:p>
    <w:p w14:paraId="29CC6A9E"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SimSun" w:hAnsi="Book Antiqua"/>
          <w:color w:val="000000" w:themeColor="text1"/>
        </w:rPr>
        <w:br w:type="page"/>
      </w:r>
      <w:bookmarkEnd w:id="16"/>
      <w:bookmarkEnd w:id="17"/>
      <w:bookmarkEnd w:id="18"/>
      <w:bookmarkEnd w:id="19"/>
      <w:r>
        <w:rPr>
          <w:rFonts w:ascii="Book Antiqua" w:hAnsi="Book Antiqua"/>
          <w:noProof/>
          <w:color w:val="000000" w:themeColor="text1"/>
          <w:lang w:val="en-GB"/>
        </w:rPr>
        <w:lastRenderedPageBreak/>
        <w:drawing>
          <wp:inline distT="0" distB="0" distL="0" distR="0" wp14:anchorId="609FB179" wp14:editId="69684F76">
            <wp:extent cx="5354320" cy="56197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357986" cy="5623234"/>
                    </a:xfrm>
                    <a:prstGeom prst="rect">
                      <a:avLst/>
                    </a:prstGeom>
                    <a:noFill/>
                    <a:ln>
                      <a:noFill/>
                    </a:ln>
                  </pic:spPr>
                </pic:pic>
              </a:graphicData>
            </a:graphic>
          </wp:inline>
        </w:drawing>
      </w:r>
    </w:p>
    <w:p w14:paraId="2222EE0A" w14:textId="77777777" w:rsidR="00C57888" w:rsidRDefault="002A0D66">
      <w:pPr>
        <w:adjustRightInd w:val="0"/>
        <w:snapToGrid w:val="0"/>
        <w:spacing w:line="360" w:lineRule="auto"/>
        <w:jc w:val="both"/>
        <w:rPr>
          <w:rFonts w:ascii="Book Antiqua" w:eastAsia="Times New Roman" w:hAnsi="Book Antiqua"/>
          <w:color w:val="000000" w:themeColor="text1"/>
          <w:kern w:val="24"/>
        </w:rPr>
      </w:pPr>
      <w:bookmarkStart w:id="29" w:name="OLE_LINK147"/>
      <w:bookmarkStart w:id="30" w:name="OLE_LINK144"/>
      <w:bookmarkStart w:id="31" w:name="OLE_LINK148"/>
      <w:r>
        <w:rPr>
          <w:rFonts w:ascii="Book Antiqua" w:eastAsia="SimSun" w:hAnsi="Book Antiqua"/>
          <w:b/>
          <w:bCs/>
          <w:color w:val="000000" w:themeColor="text1"/>
        </w:rPr>
        <w:t xml:space="preserve">Figure 3 </w:t>
      </w:r>
      <w:r>
        <w:rPr>
          <w:rFonts w:ascii="Book Antiqua" w:eastAsia="Times New Roman" w:hAnsi="Book Antiqua"/>
          <w:b/>
          <w:bCs/>
          <w:color w:val="000000" w:themeColor="text1"/>
          <w:kern w:val="24"/>
        </w:rPr>
        <w:t>Rehabilitation treatment.</w:t>
      </w:r>
      <w:r>
        <w:rPr>
          <w:rFonts w:ascii="Book Antiqua" w:hAnsi="Book Antiqua"/>
          <w:b/>
          <w:bCs/>
          <w:color w:val="000000" w:themeColor="text1"/>
          <w:kern w:val="24"/>
        </w:rPr>
        <w:t xml:space="preserve"> </w:t>
      </w:r>
      <w:r>
        <w:rPr>
          <w:rFonts w:ascii="Book Antiqua" w:eastAsia="Times New Roman" w:hAnsi="Book Antiqua"/>
          <w:color w:val="000000" w:themeColor="text1"/>
          <w:kern w:val="24"/>
        </w:rPr>
        <w:t>A: Active strength training of trunk muscles</w:t>
      </w:r>
      <w:r>
        <w:rPr>
          <w:rFonts w:ascii="Book Antiqua" w:eastAsia="MS Mincho" w:hAnsi="Book Antiqua"/>
          <w:color w:val="000000" w:themeColor="text1"/>
          <w:kern w:val="24"/>
        </w:rPr>
        <w:t>;</w:t>
      </w:r>
      <w:r>
        <w:rPr>
          <w:rFonts w:ascii="Book Antiqua" w:hAnsi="Book Antiqua"/>
          <w:b/>
          <w:bCs/>
          <w:color w:val="000000" w:themeColor="text1"/>
          <w:kern w:val="24"/>
        </w:rPr>
        <w:t xml:space="preserve"> </w:t>
      </w:r>
      <w:r>
        <w:rPr>
          <w:rFonts w:ascii="Book Antiqua" w:eastAsia="Times New Roman" w:hAnsi="Book Antiqua"/>
          <w:color w:val="000000" w:themeColor="text1"/>
          <w:kern w:val="24"/>
        </w:rPr>
        <w:t>B-D: Active strength training of lower limb muscles.</w:t>
      </w:r>
    </w:p>
    <w:p w14:paraId="3112C9C7"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Times New Roman" w:hAnsi="Book Antiqua"/>
          <w:color w:val="000000" w:themeColor="text1"/>
          <w:kern w:val="24"/>
        </w:rPr>
        <w:br w:type="page"/>
      </w:r>
      <w:bookmarkEnd w:id="29"/>
      <w:bookmarkEnd w:id="30"/>
      <w:bookmarkEnd w:id="31"/>
      <w:r>
        <w:rPr>
          <w:rFonts w:ascii="Book Antiqua" w:hAnsi="Book Antiqua"/>
          <w:noProof/>
          <w:color w:val="000000" w:themeColor="text1"/>
          <w:lang w:val="en-GB"/>
        </w:rPr>
        <w:lastRenderedPageBreak/>
        <w:drawing>
          <wp:inline distT="0" distB="0" distL="0" distR="0" wp14:anchorId="61BD6045" wp14:editId="39232151">
            <wp:extent cx="4946650" cy="7313295"/>
            <wp:effectExtent l="0" t="0" r="635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952861" cy="7323007"/>
                    </a:xfrm>
                    <a:prstGeom prst="rect">
                      <a:avLst/>
                    </a:prstGeom>
                    <a:noFill/>
                    <a:ln>
                      <a:noFill/>
                    </a:ln>
                  </pic:spPr>
                </pic:pic>
              </a:graphicData>
            </a:graphic>
          </wp:inline>
        </w:drawing>
      </w:r>
    </w:p>
    <w:p w14:paraId="38D3B075" w14:textId="77777777" w:rsidR="00C57888" w:rsidRDefault="002A0D66">
      <w:pPr>
        <w:adjustRightInd w:val="0"/>
        <w:snapToGrid w:val="0"/>
        <w:spacing w:line="360" w:lineRule="auto"/>
        <w:jc w:val="both"/>
        <w:rPr>
          <w:rFonts w:ascii="Book Antiqua" w:eastAsia="SimSun" w:hAnsi="Book Antiqua"/>
          <w:color w:val="000000" w:themeColor="text1"/>
        </w:rPr>
      </w:pPr>
      <w:bookmarkStart w:id="32" w:name="OLE_LINK149"/>
      <w:bookmarkStart w:id="33" w:name="OLE_LINK150"/>
      <w:r>
        <w:rPr>
          <w:rFonts w:ascii="Book Antiqua" w:eastAsia="SimSun" w:hAnsi="Book Antiqua"/>
          <w:b/>
          <w:bCs/>
          <w:color w:val="000000" w:themeColor="text1"/>
        </w:rPr>
        <w:t xml:space="preserve">Figure 4 </w:t>
      </w:r>
      <w:r>
        <w:rPr>
          <w:rFonts w:ascii="Book Antiqua" w:eastAsia="Times New Roman" w:hAnsi="Book Antiqua"/>
          <w:b/>
          <w:bCs/>
          <w:color w:val="000000" w:themeColor="text1"/>
          <w:kern w:val="24"/>
        </w:rPr>
        <w:t>Rehabilitation treatment.</w:t>
      </w:r>
      <w:r>
        <w:rPr>
          <w:rFonts w:ascii="Book Antiqua" w:hAnsi="Book Antiqua"/>
          <w:b/>
          <w:bCs/>
          <w:color w:val="000000" w:themeColor="text1"/>
          <w:kern w:val="24"/>
        </w:rPr>
        <w:t xml:space="preserve"> </w:t>
      </w:r>
      <w:r>
        <w:rPr>
          <w:rFonts w:ascii="Book Antiqua" w:eastAsia="SimSun" w:hAnsi="Book Antiqua"/>
          <w:color w:val="000000" w:themeColor="text1"/>
        </w:rPr>
        <w:t>A and B: Balance training of sitting;</w:t>
      </w:r>
      <w:r>
        <w:rPr>
          <w:rFonts w:ascii="Book Antiqua" w:hAnsi="Book Antiqua"/>
          <w:b/>
          <w:bCs/>
          <w:color w:val="000000" w:themeColor="text1"/>
          <w:kern w:val="24"/>
        </w:rPr>
        <w:t xml:space="preserve"> </w:t>
      </w:r>
      <w:r>
        <w:rPr>
          <w:rFonts w:ascii="Book Antiqua" w:eastAsia="SimSun" w:hAnsi="Book Antiqua"/>
          <w:color w:val="000000" w:themeColor="text1"/>
        </w:rPr>
        <w:t>C and D: Balance training of standing and walking.</w:t>
      </w:r>
    </w:p>
    <w:p w14:paraId="2C255830" w14:textId="77777777" w:rsidR="00C57888" w:rsidRDefault="002A0D66">
      <w:pPr>
        <w:adjustRightInd w:val="0"/>
        <w:snapToGrid w:val="0"/>
        <w:spacing w:line="360" w:lineRule="auto"/>
        <w:jc w:val="both"/>
        <w:rPr>
          <w:rFonts w:ascii="Book Antiqua" w:hAnsi="Book Antiqua"/>
          <w:b/>
          <w:bCs/>
          <w:color w:val="000000" w:themeColor="text1"/>
        </w:rPr>
      </w:pPr>
      <w:r>
        <w:rPr>
          <w:rFonts w:ascii="Book Antiqua" w:eastAsia="SimSun" w:hAnsi="Book Antiqua"/>
          <w:color w:val="000000" w:themeColor="text1"/>
        </w:rPr>
        <w:br w:type="page"/>
      </w:r>
      <w:bookmarkEnd w:id="32"/>
      <w:bookmarkEnd w:id="33"/>
      <w:r>
        <w:rPr>
          <w:rFonts w:ascii="Book Antiqua" w:hAnsi="Book Antiqua"/>
          <w:b/>
          <w:bCs/>
          <w:noProof/>
          <w:color w:val="000000" w:themeColor="text1"/>
          <w:lang w:val="en-GB"/>
        </w:rPr>
        <w:lastRenderedPageBreak/>
        <w:drawing>
          <wp:inline distT="0" distB="0" distL="0" distR="0" wp14:anchorId="13C1E9A2" wp14:editId="112CB117">
            <wp:extent cx="5270500" cy="3987165"/>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0500" cy="3987165"/>
                    </a:xfrm>
                    <a:prstGeom prst="rect">
                      <a:avLst/>
                    </a:prstGeom>
                    <a:noFill/>
                    <a:ln>
                      <a:noFill/>
                    </a:ln>
                  </pic:spPr>
                </pic:pic>
              </a:graphicData>
            </a:graphic>
          </wp:inline>
        </w:drawing>
      </w:r>
    </w:p>
    <w:p w14:paraId="2FB5018E" w14:textId="63810462" w:rsidR="00C57888" w:rsidRDefault="002A0D66">
      <w:pPr>
        <w:adjustRightInd w:val="0"/>
        <w:snapToGrid w:val="0"/>
        <w:spacing w:line="360" w:lineRule="auto"/>
        <w:jc w:val="both"/>
        <w:rPr>
          <w:rFonts w:ascii="Book Antiqua" w:eastAsia="SimSun" w:hAnsi="Book Antiqua"/>
          <w:b/>
          <w:bCs/>
          <w:color w:val="000000" w:themeColor="text1"/>
        </w:rPr>
      </w:pPr>
      <w:bookmarkStart w:id="34" w:name="OLE_LINK151"/>
      <w:bookmarkStart w:id="35" w:name="OLE_LINK3"/>
      <w:bookmarkStart w:id="36" w:name="OLE_LINK154"/>
      <w:r>
        <w:rPr>
          <w:rFonts w:ascii="Book Antiqua" w:eastAsia="SimSun" w:hAnsi="Book Antiqua"/>
          <w:b/>
          <w:bCs/>
          <w:color w:val="000000" w:themeColor="text1"/>
        </w:rPr>
        <w:t xml:space="preserve">Figure 5 </w:t>
      </w:r>
      <w:r>
        <w:rPr>
          <w:rFonts w:ascii="Book Antiqua" w:eastAsia="Times New Roman" w:hAnsi="Book Antiqua"/>
          <w:b/>
          <w:bCs/>
          <w:color w:val="000000" w:themeColor="text1"/>
        </w:rPr>
        <w:t xml:space="preserve">Neuromuscular electrical stimulation of lower limb </w:t>
      </w:r>
      <w:r>
        <w:rPr>
          <w:rFonts w:ascii="Book Antiqua" w:eastAsia="SimSun" w:hAnsi="Book Antiqua"/>
          <w:b/>
          <w:bCs/>
          <w:color w:val="000000" w:themeColor="text1"/>
        </w:rPr>
        <w:t>muscles</w:t>
      </w:r>
      <w:r>
        <w:rPr>
          <w:rFonts w:ascii="Book Antiqua" w:eastAsia="Times New Roman" w:hAnsi="Book Antiqua"/>
          <w:b/>
          <w:bCs/>
          <w:color w:val="000000" w:themeColor="text1"/>
        </w:rPr>
        <w:t>.</w:t>
      </w:r>
      <w:r>
        <w:rPr>
          <w:rFonts w:ascii="Book Antiqua" w:eastAsia="SimSun" w:hAnsi="Book Antiqua"/>
          <w:b/>
          <w:bCs/>
          <w:color w:val="000000" w:themeColor="text1"/>
        </w:rPr>
        <w:t xml:space="preserve"> </w:t>
      </w:r>
      <w:r>
        <w:rPr>
          <w:rFonts w:ascii="Book Antiqua" w:eastAsia="Times New Roman" w:hAnsi="Book Antiqua"/>
          <w:color w:val="000000" w:themeColor="text1"/>
        </w:rPr>
        <w:t xml:space="preserve">A: </w:t>
      </w:r>
      <w:r>
        <w:rPr>
          <w:rFonts w:ascii="Book Antiqua" w:eastAsia="Times New Roman" w:hAnsi="Book Antiqua"/>
          <w:color w:val="000000" w:themeColor="text1"/>
          <w:shd w:val="clear" w:color="auto" w:fill="FFFFFF"/>
        </w:rPr>
        <w:t>Computerized intermediate-frequency therapy apparatus;</w:t>
      </w:r>
      <w:r>
        <w:rPr>
          <w:rFonts w:ascii="Book Antiqua" w:eastAsia="SimSun" w:hAnsi="Book Antiqua"/>
          <w:b/>
          <w:bCs/>
          <w:color w:val="000000" w:themeColor="text1"/>
        </w:rPr>
        <w:t xml:space="preserve"> </w:t>
      </w:r>
      <w:r>
        <w:rPr>
          <w:rFonts w:ascii="Book Antiqua" w:eastAsia="Times New Roman" w:hAnsi="Book Antiqua"/>
          <w:color w:val="000000" w:themeColor="text1"/>
        </w:rPr>
        <w:t xml:space="preserve">B: The electrodes were placed on </w:t>
      </w:r>
      <w:r w:rsidR="008E6264">
        <w:rPr>
          <w:rFonts w:ascii="Book Antiqua" w:eastAsia="Times New Roman" w:hAnsi="Book Antiqua"/>
          <w:color w:val="000000" w:themeColor="text1"/>
        </w:rPr>
        <w:t xml:space="preserve">the </w:t>
      </w:r>
      <w:r>
        <w:rPr>
          <w:rFonts w:ascii="Book Antiqua" w:eastAsia="Times New Roman" w:hAnsi="Book Antiqua"/>
          <w:color w:val="000000" w:themeColor="text1"/>
        </w:rPr>
        <w:t>right calf;</w:t>
      </w:r>
      <w:r>
        <w:rPr>
          <w:rFonts w:ascii="Book Antiqua" w:eastAsia="SimSun" w:hAnsi="Book Antiqua"/>
          <w:b/>
          <w:bCs/>
          <w:color w:val="000000" w:themeColor="text1"/>
        </w:rPr>
        <w:t xml:space="preserve"> </w:t>
      </w:r>
      <w:r>
        <w:rPr>
          <w:rFonts w:ascii="Book Antiqua" w:eastAsia="Times New Roman" w:hAnsi="Book Antiqua"/>
          <w:color w:val="000000" w:themeColor="text1"/>
        </w:rPr>
        <w:t>C</w:t>
      </w:r>
      <w:r>
        <w:rPr>
          <w:rFonts w:ascii="Book Antiqua" w:eastAsia="SimSun" w:hAnsi="Book Antiqua"/>
          <w:color w:val="000000" w:themeColor="text1"/>
        </w:rPr>
        <w:t xml:space="preserve"> and </w:t>
      </w:r>
      <w:r>
        <w:rPr>
          <w:rFonts w:ascii="Book Antiqua" w:eastAsia="Times New Roman" w:hAnsi="Book Antiqua"/>
          <w:color w:val="000000" w:themeColor="text1"/>
        </w:rPr>
        <w:t xml:space="preserve">D: The electrodes were placed on </w:t>
      </w:r>
      <w:r w:rsidR="008E6264">
        <w:rPr>
          <w:rFonts w:ascii="Book Antiqua" w:eastAsia="Times New Roman" w:hAnsi="Book Antiqua"/>
          <w:color w:val="000000" w:themeColor="text1"/>
        </w:rPr>
        <w:t xml:space="preserve">the </w:t>
      </w:r>
      <w:r>
        <w:rPr>
          <w:rFonts w:ascii="Book Antiqua" w:eastAsia="Times New Roman" w:hAnsi="Book Antiqua"/>
          <w:color w:val="000000" w:themeColor="text1"/>
        </w:rPr>
        <w:t>right thigh.</w:t>
      </w:r>
    </w:p>
    <w:bookmarkEnd w:id="34"/>
    <w:bookmarkEnd w:id="35"/>
    <w:bookmarkEnd w:id="36"/>
    <w:p w14:paraId="4E096F70" w14:textId="77777777" w:rsidR="00C57888" w:rsidRDefault="002A0D66">
      <w:pPr>
        <w:adjustRightInd w:val="0"/>
        <w:snapToGrid w:val="0"/>
        <w:spacing w:line="360" w:lineRule="auto"/>
        <w:jc w:val="both"/>
        <w:rPr>
          <w:rFonts w:ascii="Book Antiqua" w:hAnsi="Book Antiqua"/>
          <w:color w:val="000000" w:themeColor="text1"/>
          <w:lang w:val="en"/>
        </w:rPr>
      </w:pPr>
      <w:r>
        <w:rPr>
          <w:rFonts w:ascii="Book Antiqua" w:hAnsi="Book Antiqua"/>
          <w:b/>
          <w:color w:val="000000" w:themeColor="text1"/>
          <w:lang w:val="en"/>
        </w:rPr>
        <w:br w:type="page"/>
      </w:r>
      <w:bookmarkStart w:id="37" w:name="OLE_LINK131"/>
      <w:bookmarkStart w:id="38" w:name="OLE_LINK126"/>
      <w:r>
        <w:rPr>
          <w:rFonts w:ascii="Book Antiqua" w:hAnsi="Book Antiqua"/>
          <w:b/>
          <w:color w:val="000000" w:themeColor="text1"/>
        </w:rPr>
        <w:lastRenderedPageBreak/>
        <w:t>Table 1 Immunological tests of serum</w:t>
      </w:r>
    </w:p>
    <w:tbl>
      <w:tblPr>
        <w:tblStyle w:val="TableGrid"/>
        <w:tblW w:w="8622" w:type="dxa"/>
        <w:tblLook w:val="04A0" w:firstRow="1" w:lastRow="0" w:firstColumn="1" w:lastColumn="0" w:noHBand="0" w:noVBand="1"/>
      </w:tblPr>
      <w:tblGrid>
        <w:gridCol w:w="3085"/>
        <w:gridCol w:w="2311"/>
        <w:gridCol w:w="3226"/>
      </w:tblGrid>
      <w:tr w:rsidR="00C57888" w14:paraId="366A1EE3" w14:textId="77777777">
        <w:trPr>
          <w:trHeight w:val="575"/>
        </w:trPr>
        <w:tc>
          <w:tcPr>
            <w:tcW w:w="3085" w:type="dxa"/>
            <w:tcBorders>
              <w:top w:val="single" w:sz="4" w:space="0" w:color="000000" w:themeColor="text1"/>
              <w:left w:val="nil"/>
              <w:bottom w:val="single" w:sz="4" w:space="0" w:color="auto"/>
              <w:right w:val="nil"/>
            </w:tcBorders>
            <w:shd w:val="clear" w:color="auto" w:fill="auto"/>
            <w:vAlign w:val="center"/>
          </w:tcPr>
          <w:p w14:paraId="5B050722" w14:textId="77777777" w:rsidR="00C57888" w:rsidRDefault="002A0D66">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Immunology</w:t>
            </w:r>
          </w:p>
        </w:tc>
        <w:tc>
          <w:tcPr>
            <w:tcW w:w="2311" w:type="dxa"/>
            <w:tcBorders>
              <w:top w:val="single" w:sz="4" w:space="0" w:color="000000" w:themeColor="text1"/>
              <w:left w:val="nil"/>
              <w:bottom w:val="single" w:sz="4" w:space="0" w:color="auto"/>
              <w:right w:val="nil"/>
            </w:tcBorders>
            <w:shd w:val="clear" w:color="auto" w:fill="auto"/>
            <w:vAlign w:val="center"/>
          </w:tcPr>
          <w:p w14:paraId="6AEF8F52" w14:textId="77777777" w:rsidR="00C57888" w:rsidRDefault="002A0D66">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Patient</w:t>
            </w:r>
          </w:p>
        </w:tc>
        <w:tc>
          <w:tcPr>
            <w:tcW w:w="3226" w:type="dxa"/>
            <w:tcBorders>
              <w:top w:val="single" w:sz="4" w:space="0" w:color="000000" w:themeColor="text1"/>
              <w:left w:val="nil"/>
              <w:bottom w:val="single" w:sz="4" w:space="0" w:color="auto"/>
              <w:right w:val="nil"/>
            </w:tcBorders>
            <w:shd w:val="clear" w:color="auto" w:fill="auto"/>
            <w:vAlign w:val="center"/>
          </w:tcPr>
          <w:p w14:paraId="035A332E" w14:textId="77777777" w:rsidR="00C57888" w:rsidRDefault="002A0D66">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Normal</w:t>
            </w:r>
          </w:p>
        </w:tc>
      </w:tr>
      <w:tr w:rsidR="00C57888" w14:paraId="2300B769" w14:textId="77777777">
        <w:trPr>
          <w:trHeight w:val="489"/>
        </w:trPr>
        <w:tc>
          <w:tcPr>
            <w:tcW w:w="3085" w:type="dxa"/>
            <w:tcBorders>
              <w:top w:val="single" w:sz="4" w:space="0" w:color="auto"/>
              <w:left w:val="nil"/>
              <w:bottom w:val="nil"/>
              <w:right w:val="nil"/>
            </w:tcBorders>
            <w:shd w:val="clear" w:color="auto" w:fill="auto"/>
            <w:vAlign w:val="center"/>
          </w:tcPr>
          <w:p w14:paraId="202FC6A1"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Times New Roman" w:hAnsi="Book Antiqua"/>
                <w:color w:val="000000" w:themeColor="text1"/>
                <w:kern w:val="0"/>
              </w:rPr>
              <w:t>Rheumatoid factor</w:t>
            </w:r>
          </w:p>
        </w:tc>
        <w:tc>
          <w:tcPr>
            <w:tcW w:w="2311" w:type="dxa"/>
            <w:tcBorders>
              <w:top w:val="single" w:sz="4" w:space="0" w:color="auto"/>
              <w:left w:val="nil"/>
              <w:bottom w:val="nil"/>
              <w:right w:val="nil"/>
            </w:tcBorders>
            <w:shd w:val="clear" w:color="auto" w:fill="auto"/>
            <w:vAlign w:val="center"/>
          </w:tcPr>
          <w:p w14:paraId="63E3D1FF"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Times New Roman" w:hAnsi="Book Antiqua"/>
                <w:color w:val="000000" w:themeColor="text1"/>
                <w:kern w:val="0"/>
              </w:rPr>
              <w:t>158.00 IU/mL</w:t>
            </w:r>
          </w:p>
        </w:tc>
        <w:tc>
          <w:tcPr>
            <w:tcW w:w="3226" w:type="dxa"/>
            <w:tcBorders>
              <w:top w:val="single" w:sz="4" w:space="0" w:color="auto"/>
              <w:left w:val="nil"/>
              <w:bottom w:val="nil"/>
              <w:right w:val="nil"/>
            </w:tcBorders>
            <w:shd w:val="clear" w:color="auto" w:fill="auto"/>
            <w:vAlign w:val="center"/>
          </w:tcPr>
          <w:p w14:paraId="35FC16BA" w14:textId="77777777" w:rsidR="00C57888" w:rsidRDefault="002A0D66">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0-20</w:t>
            </w:r>
            <w:r>
              <w:rPr>
                <w:rFonts w:ascii="Book Antiqua" w:eastAsia="Times New Roman" w:hAnsi="Book Antiqua"/>
                <w:color w:val="000000" w:themeColor="text1"/>
                <w:kern w:val="0"/>
              </w:rPr>
              <w:t xml:space="preserve"> IU/mL</w:t>
            </w:r>
          </w:p>
        </w:tc>
      </w:tr>
      <w:tr w:rsidR="00C57888" w14:paraId="77582A4A" w14:textId="77777777">
        <w:trPr>
          <w:trHeight w:val="586"/>
        </w:trPr>
        <w:tc>
          <w:tcPr>
            <w:tcW w:w="3085" w:type="dxa"/>
            <w:tcBorders>
              <w:top w:val="nil"/>
              <w:left w:val="nil"/>
              <w:bottom w:val="nil"/>
              <w:right w:val="nil"/>
            </w:tcBorders>
            <w:shd w:val="clear" w:color="auto" w:fill="auto"/>
            <w:vAlign w:val="center"/>
          </w:tcPr>
          <w:p w14:paraId="6D8908D0" w14:textId="77777777" w:rsidR="00C57888" w:rsidRDefault="002A0D66">
            <w:pPr>
              <w:adjustRightInd w:val="0"/>
              <w:snapToGrid w:val="0"/>
              <w:spacing w:line="360" w:lineRule="auto"/>
              <w:jc w:val="both"/>
              <w:rPr>
                <w:rFonts w:ascii="Book Antiqua" w:hAnsi="Book Antiqua"/>
                <w:color w:val="000000" w:themeColor="text1"/>
              </w:rPr>
            </w:pPr>
            <w:bookmarkStart w:id="39" w:name="OLE_LINK117"/>
            <w:bookmarkStart w:id="40" w:name="OLE_LINK118"/>
            <w:r>
              <w:rPr>
                <w:rFonts w:ascii="Book Antiqua" w:eastAsia="Times New Roman" w:hAnsi="Book Antiqua"/>
                <w:color w:val="000000" w:themeColor="text1"/>
                <w:kern w:val="0"/>
              </w:rPr>
              <w:t xml:space="preserve">SS-A </w:t>
            </w:r>
            <w:bookmarkEnd w:id="39"/>
            <w:bookmarkEnd w:id="40"/>
            <w:r>
              <w:rPr>
                <w:rFonts w:ascii="Book Antiqua" w:eastAsia="Times New Roman" w:hAnsi="Book Antiqua"/>
                <w:color w:val="000000" w:themeColor="text1"/>
                <w:kern w:val="0"/>
              </w:rPr>
              <w:t>antibody</w:t>
            </w:r>
          </w:p>
        </w:tc>
        <w:tc>
          <w:tcPr>
            <w:tcW w:w="2311" w:type="dxa"/>
            <w:tcBorders>
              <w:top w:val="nil"/>
              <w:left w:val="nil"/>
              <w:bottom w:val="nil"/>
              <w:right w:val="nil"/>
            </w:tcBorders>
            <w:shd w:val="clear" w:color="auto" w:fill="auto"/>
            <w:vAlign w:val="center"/>
          </w:tcPr>
          <w:p w14:paraId="3D241351"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Times New Roman" w:hAnsi="Book Antiqua"/>
                <w:color w:val="000000" w:themeColor="text1"/>
                <w:kern w:val="0"/>
              </w:rPr>
              <w:t>&gt; 400.00 RU/mL</w:t>
            </w:r>
          </w:p>
        </w:tc>
        <w:tc>
          <w:tcPr>
            <w:tcW w:w="3226" w:type="dxa"/>
            <w:tcBorders>
              <w:top w:val="nil"/>
              <w:left w:val="nil"/>
              <w:bottom w:val="nil"/>
              <w:right w:val="nil"/>
            </w:tcBorders>
            <w:shd w:val="clear" w:color="auto" w:fill="auto"/>
            <w:vAlign w:val="center"/>
          </w:tcPr>
          <w:p w14:paraId="2C05D8BA" w14:textId="77777777" w:rsidR="00C57888" w:rsidRDefault="002A0D66">
            <w:pPr>
              <w:adjustRightInd w:val="0"/>
              <w:snapToGrid w:val="0"/>
              <w:spacing w:line="360" w:lineRule="auto"/>
              <w:jc w:val="both"/>
              <w:rPr>
                <w:rFonts w:ascii="Book Antiqua" w:hAnsi="Book Antiqua"/>
                <w:color w:val="000000" w:themeColor="text1"/>
              </w:rPr>
            </w:pPr>
            <w:bookmarkStart w:id="41" w:name="OLE_LINK113"/>
            <w:r>
              <w:rPr>
                <w:rFonts w:ascii="Book Antiqua" w:hAnsi="Book Antiqua"/>
                <w:color w:val="000000" w:themeColor="text1"/>
              </w:rPr>
              <w:t>0-20</w:t>
            </w:r>
            <w:r>
              <w:rPr>
                <w:rFonts w:ascii="Book Antiqua" w:eastAsia="Times New Roman" w:hAnsi="Book Antiqua"/>
                <w:color w:val="000000" w:themeColor="text1"/>
                <w:kern w:val="0"/>
              </w:rPr>
              <w:t xml:space="preserve"> </w:t>
            </w:r>
            <w:bookmarkEnd w:id="41"/>
            <w:r>
              <w:rPr>
                <w:rFonts w:ascii="Book Antiqua" w:eastAsia="Times New Roman" w:hAnsi="Book Antiqua"/>
                <w:color w:val="000000" w:themeColor="text1"/>
                <w:kern w:val="0"/>
              </w:rPr>
              <w:t>RU/mL</w:t>
            </w:r>
          </w:p>
        </w:tc>
      </w:tr>
      <w:tr w:rsidR="00C57888" w14:paraId="3D6C6242" w14:textId="77777777">
        <w:trPr>
          <w:trHeight w:val="177"/>
        </w:trPr>
        <w:tc>
          <w:tcPr>
            <w:tcW w:w="3085" w:type="dxa"/>
            <w:tcBorders>
              <w:top w:val="nil"/>
              <w:left w:val="nil"/>
              <w:bottom w:val="nil"/>
              <w:right w:val="nil"/>
            </w:tcBorders>
            <w:shd w:val="clear" w:color="auto" w:fill="auto"/>
            <w:vAlign w:val="center"/>
          </w:tcPr>
          <w:p w14:paraId="0C5B471B" w14:textId="77777777" w:rsidR="00C57888" w:rsidRDefault="002A0D66">
            <w:pPr>
              <w:adjustRightInd w:val="0"/>
              <w:snapToGrid w:val="0"/>
              <w:spacing w:line="360" w:lineRule="auto"/>
              <w:jc w:val="both"/>
              <w:rPr>
                <w:rFonts w:ascii="Book Antiqua" w:eastAsia="Times New Roman" w:hAnsi="Book Antiqua"/>
                <w:color w:val="000000" w:themeColor="text1"/>
                <w:kern w:val="0"/>
              </w:rPr>
            </w:pPr>
            <w:bookmarkStart w:id="42" w:name="OLE_LINK125"/>
            <w:bookmarkStart w:id="43" w:name="OLE_LINK124"/>
            <w:r>
              <w:rPr>
                <w:rFonts w:ascii="Book Antiqua" w:eastAsia="Times New Roman" w:hAnsi="Book Antiqua"/>
                <w:color w:val="000000" w:themeColor="text1"/>
                <w:kern w:val="0"/>
              </w:rPr>
              <w:t>Ro-52</w:t>
            </w:r>
            <w:bookmarkEnd w:id="42"/>
            <w:bookmarkEnd w:id="43"/>
            <w:r>
              <w:rPr>
                <w:rFonts w:ascii="Book Antiqua" w:eastAsia="Times New Roman" w:hAnsi="Book Antiqua"/>
                <w:color w:val="000000" w:themeColor="text1"/>
                <w:kern w:val="0"/>
              </w:rPr>
              <w:t xml:space="preserve"> antibody</w:t>
            </w:r>
          </w:p>
        </w:tc>
        <w:tc>
          <w:tcPr>
            <w:tcW w:w="2311" w:type="dxa"/>
            <w:tcBorders>
              <w:top w:val="nil"/>
              <w:left w:val="nil"/>
              <w:bottom w:val="nil"/>
              <w:right w:val="nil"/>
            </w:tcBorders>
            <w:shd w:val="clear" w:color="auto" w:fill="auto"/>
            <w:vAlign w:val="center"/>
          </w:tcPr>
          <w:p w14:paraId="24C391C7"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Times New Roman" w:hAnsi="Book Antiqua"/>
                <w:color w:val="000000" w:themeColor="text1"/>
                <w:kern w:val="0"/>
              </w:rPr>
              <w:t>&gt;400.00 RU/mL</w:t>
            </w:r>
          </w:p>
        </w:tc>
        <w:tc>
          <w:tcPr>
            <w:tcW w:w="3226" w:type="dxa"/>
            <w:tcBorders>
              <w:top w:val="nil"/>
              <w:left w:val="nil"/>
              <w:bottom w:val="nil"/>
              <w:right w:val="nil"/>
            </w:tcBorders>
            <w:shd w:val="clear" w:color="auto" w:fill="auto"/>
            <w:vAlign w:val="center"/>
          </w:tcPr>
          <w:p w14:paraId="7DBC5741" w14:textId="77777777" w:rsidR="00C57888" w:rsidRDefault="002A0D66">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0-20</w:t>
            </w:r>
            <w:r>
              <w:rPr>
                <w:rFonts w:ascii="Book Antiqua" w:eastAsia="Times New Roman" w:hAnsi="Book Antiqua"/>
                <w:color w:val="000000" w:themeColor="text1"/>
                <w:kern w:val="0"/>
              </w:rPr>
              <w:t xml:space="preserve"> RU/mL</w:t>
            </w:r>
          </w:p>
        </w:tc>
      </w:tr>
      <w:tr w:rsidR="00C57888" w14:paraId="3E9B5007" w14:textId="77777777">
        <w:trPr>
          <w:trHeight w:val="376"/>
        </w:trPr>
        <w:tc>
          <w:tcPr>
            <w:tcW w:w="3085" w:type="dxa"/>
            <w:tcBorders>
              <w:top w:val="nil"/>
              <w:left w:val="nil"/>
              <w:bottom w:val="nil"/>
              <w:right w:val="nil"/>
            </w:tcBorders>
            <w:shd w:val="clear" w:color="auto" w:fill="auto"/>
            <w:vAlign w:val="center"/>
          </w:tcPr>
          <w:p w14:paraId="02024B62" w14:textId="77777777" w:rsidR="00C57888" w:rsidRDefault="002A0D66">
            <w:pPr>
              <w:adjustRightInd w:val="0"/>
              <w:snapToGrid w:val="0"/>
              <w:spacing w:line="360" w:lineRule="auto"/>
              <w:jc w:val="both"/>
              <w:rPr>
                <w:rFonts w:ascii="Book Antiqua" w:eastAsia="Times New Roman" w:hAnsi="Book Antiqua"/>
                <w:color w:val="000000" w:themeColor="text1"/>
                <w:kern w:val="0"/>
              </w:rPr>
            </w:pPr>
            <w:r>
              <w:rPr>
                <w:rFonts w:ascii="Book Antiqua" w:eastAsia="Times New Roman" w:hAnsi="Book Antiqua"/>
                <w:color w:val="000000" w:themeColor="text1"/>
                <w:kern w:val="0"/>
              </w:rPr>
              <w:t>SS-B antibody</w:t>
            </w:r>
          </w:p>
        </w:tc>
        <w:tc>
          <w:tcPr>
            <w:tcW w:w="2311" w:type="dxa"/>
            <w:tcBorders>
              <w:top w:val="nil"/>
              <w:left w:val="nil"/>
              <w:bottom w:val="nil"/>
              <w:right w:val="nil"/>
            </w:tcBorders>
            <w:shd w:val="clear" w:color="auto" w:fill="auto"/>
            <w:vAlign w:val="center"/>
          </w:tcPr>
          <w:p w14:paraId="2D129411"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Times New Roman" w:hAnsi="Book Antiqua"/>
                <w:color w:val="000000" w:themeColor="text1"/>
                <w:kern w:val="0"/>
              </w:rPr>
              <w:t>&gt;400.00 RU/mL</w:t>
            </w:r>
          </w:p>
        </w:tc>
        <w:tc>
          <w:tcPr>
            <w:tcW w:w="3226" w:type="dxa"/>
            <w:tcBorders>
              <w:top w:val="nil"/>
              <w:left w:val="nil"/>
              <w:bottom w:val="nil"/>
              <w:right w:val="nil"/>
            </w:tcBorders>
            <w:shd w:val="clear" w:color="auto" w:fill="auto"/>
            <w:vAlign w:val="center"/>
          </w:tcPr>
          <w:p w14:paraId="3CC72320" w14:textId="77777777" w:rsidR="00C57888" w:rsidRDefault="002A0D66">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0-20</w:t>
            </w:r>
            <w:r>
              <w:rPr>
                <w:rFonts w:ascii="Book Antiqua" w:eastAsia="Times New Roman" w:hAnsi="Book Antiqua"/>
                <w:color w:val="000000" w:themeColor="text1"/>
                <w:kern w:val="0"/>
              </w:rPr>
              <w:t xml:space="preserve"> RU/mL</w:t>
            </w:r>
          </w:p>
        </w:tc>
      </w:tr>
      <w:tr w:rsidR="00C57888" w14:paraId="657305BF" w14:textId="77777777">
        <w:trPr>
          <w:trHeight w:val="517"/>
        </w:trPr>
        <w:tc>
          <w:tcPr>
            <w:tcW w:w="3085" w:type="dxa"/>
            <w:tcBorders>
              <w:top w:val="nil"/>
              <w:left w:val="nil"/>
              <w:bottom w:val="nil"/>
              <w:right w:val="nil"/>
            </w:tcBorders>
            <w:shd w:val="clear" w:color="auto" w:fill="auto"/>
            <w:vAlign w:val="center"/>
          </w:tcPr>
          <w:p w14:paraId="6759E85E" w14:textId="77777777" w:rsidR="00C57888" w:rsidRDefault="002A0D66">
            <w:pPr>
              <w:adjustRightInd w:val="0"/>
              <w:snapToGrid w:val="0"/>
              <w:spacing w:line="360" w:lineRule="auto"/>
              <w:jc w:val="both"/>
              <w:rPr>
                <w:rFonts w:ascii="Book Antiqua" w:eastAsia="Times New Roman" w:hAnsi="Book Antiqua"/>
                <w:color w:val="000000" w:themeColor="text1"/>
                <w:kern w:val="0"/>
              </w:rPr>
            </w:pPr>
            <w:r>
              <w:rPr>
                <w:rFonts w:ascii="Book Antiqua" w:eastAsia="Times New Roman" w:hAnsi="Book Antiqua"/>
                <w:color w:val="000000" w:themeColor="text1"/>
                <w:kern w:val="0"/>
              </w:rPr>
              <w:t>AQP4 antibody IgG</w:t>
            </w:r>
          </w:p>
        </w:tc>
        <w:tc>
          <w:tcPr>
            <w:tcW w:w="2311" w:type="dxa"/>
            <w:tcBorders>
              <w:top w:val="nil"/>
              <w:left w:val="nil"/>
              <w:bottom w:val="nil"/>
              <w:right w:val="nil"/>
            </w:tcBorders>
            <w:shd w:val="clear" w:color="auto" w:fill="auto"/>
            <w:vAlign w:val="center"/>
          </w:tcPr>
          <w:p w14:paraId="7F345774" w14:textId="77777777" w:rsidR="00C57888" w:rsidRDefault="002A0D66">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1:320</w:t>
            </w:r>
          </w:p>
        </w:tc>
        <w:tc>
          <w:tcPr>
            <w:tcW w:w="3226" w:type="dxa"/>
            <w:tcBorders>
              <w:top w:val="nil"/>
              <w:left w:val="nil"/>
              <w:bottom w:val="nil"/>
              <w:right w:val="nil"/>
            </w:tcBorders>
            <w:shd w:val="clear" w:color="auto" w:fill="auto"/>
            <w:vAlign w:val="center"/>
          </w:tcPr>
          <w:p w14:paraId="160C0045" w14:textId="77777777" w:rsidR="00C57888" w:rsidRDefault="002A0D66">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Negative</w:t>
            </w:r>
          </w:p>
        </w:tc>
      </w:tr>
      <w:tr w:rsidR="00C57888" w14:paraId="3327FF90" w14:textId="77777777">
        <w:trPr>
          <w:trHeight w:val="257"/>
        </w:trPr>
        <w:tc>
          <w:tcPr>
            <w:tcW w:w="3085" w:type="dxa"/>
            <w:tcBorders>
              <w:top w:val="nil"/>
              <w:left w:val="nil"/>
              <w:bottom w:val="nil"/>
              <w:right w:val="nil"/>
            </w:tcBorders>
            <w:shd w:val="clear" w:color="auto" w:fill="auto"/>
            <w:vAlign w:val="center"/>
          </w:tcPr>
          <w:p w14:paraId="08B05073" w14:textId="77777777" w:rsidR="00C57888" w:rsidRDefault="002A0D66">
            <w:pPr>
              <w:adjustRightInd w:val="0"/>
              <w:snapToGrid w:val="0"/>
              <w:spacing w:line="360" w:lineRule="auto"/>
              <w:jc w:val="both"/>
              <w:rPr>
                <w:rFonts w:ascii="Book Antiqua" w:eastAsia="Times New Roman" w:hAnsi="Book Antiqua"/>
                <w:color w:val="000000" w:themeColor="text1"/>
                <w:kern w:val="0"/>
              </w:rPr>
            </w:pPr>
            <w:bookmarkStart w:id="44" w:name="OLE_LINK119"/>
            <w:r>
              <w:rPr>
                <w:rFonts w:ascii="Book Antiqua" w:eastAsia="Times New Roman" w:hAnsi="Book Antiqua"/>
                <w:color w:val="000000" w:themeColor="text1"/>
                <w:kern w:val="0"/>
              </w:rPr>
              <w:t>MOG</w:t>
            </w:r>
            <w:bookmarkEnd w:id="44"/>
            <w:r>
              <w:rPr>
                <w:rFonts w:ascii="Book Antiqua" w:eastAsia="Times New Roman" w:hAnsi="Book Antiqua"/>
                <w:color w:val="000000" w:themeColor="text1"/>
                <w:kern w:val="0"/>
              </w:rPr>
              <w:t xml:space="preserve"> antibody IgG</w:t>
            </w:r>
          </w:p>
        </w:tc>
        <w:tc>
          <w:tcPr>
            <w:tcW w:w="2311" w:type="dxa"/>
            <w:tcBorders>
              <w:top w:val="nil"/>
              <w:left w:val="nil"/>
              <w:bottom w:val="nil"/>
              <w:right w:val="nil"/>
            </w:tcBorders>
            <w:shd w:val="clear" w:color="auto" w:fill="auto"/>
            <w:vAlign w:val="center"/>
          </w:tcPr>
          <w:p w14:paraId="6F0AFA01" w14:textId="77777777" w:rsidR="00C57888" w:rsidRDefault="002A0D66">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1:32</w:t>
            </w:r>
          </w:p>
        </w:tc>
        <w:tc>
          <w:tcPr>
            <w:tcW w:w="3226" w:type="dxa"/>
            <w:tcBorders>
              <w:top w:val="nil"/>
              <w:left w:val="nil"/>
              <w:bottom w:val="nil"/>
              <w:right w:val="nil"/>
            </w:tcBorders>
            <w:shd w:val="clear" w:color="auto" w:fill="auto"/>
            <w:vAlign w:val="center"/>
          </w:tcPr>
          <w:p w14:paraId="1325FB57" w14:textId="77777777" w:rsidR="00C57888" w:rsidRDefault="002A0D66">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Negative</w:t>
            </w:r>
          </w:p>
        </w:tc>
      </w:tr>
      <w:tr w:rsidR="00C57888" w14:paraId="34633AC8" w14:textId="77777777">
        <w:trPr>
          <w:trHeight w:val="528"/>
        </w:trPr>
        <w:tc>
          <w:tcPr>
            <w:tcW w:w="3085" w:type="dxa"/>
            <w:tcBorders>
              <w:top w:val="nil"/>
              <w:left w:val="nil"/>
              <w:bottom w:val="single" w:sz="4" w:space="0" w:color="000000" w:themeColor="text1"/>
              <w:right w:val="nil"/>
            </w:tcBorders>
            <w:shd w:val="clear" w:color="auto" w:fill="auto"/>
            <w:vAlign w:val="center"/>
          </w:tcPr>
          <w:p w14:paraId="208411AE"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Times New Roman" w:hAnsi="Book Antiqua"/>
                <w:color w:val="000000" w:themeColor="text1"/>
                <w:kern w:val="0"/>
              </w:rPr>
              <w:t>MBP antibody IgG</w:t>
            </w:r>
          </w:p>
        </w:tc>
        <w:tc>
          <w:tcPr>
            <w:tcW w:w="2311" w:type="dxa"/>
            <w:tcBorders>
              <w:top w:val="nil"/>
              <w:left w:val="nil"/>
              <w:bottom w:val="single" w:sz="4" w:space="0" w:color="000000" w:themeColor="text1"/>
              <w:right w:val="nil"/>
            </w:tcBorders>
            <w:shd w:val="clear" w:color="auto" w:fill="auto"/>
            <w:vAlign w:val="center"/>
          </w:tcPr>
          <w:p w14:paraId="05A6F5F0" w14:textId="77777777" w:rsidR="00C57888" w:rsidRDefault="002A0D66">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Negative</w:t>
            </w:r>
          </w:p>
        </w:tc>
        <w:tc>
          <w:tcPr>
            <w:tcW w:w="3226" w:type="dxa"/>
            <w:tcBorders>
              <w:top w:val="nil"/>
              <w:left w:val="nil"/>
              <w:bottom w:val="single" w:sz="4" w:space="0" w:color="000000" w:themeColor="text1"/>
              <w:right w:val="nil"/>
            </w:tcBorders>
            <w:shd w:val="clear" w:color="auto" w:fill="auto"/>
            <w:vAlign w:val="center"/>
          </w:tcPr>
          <w:p w14:paraId="7135B4BA" w14:textId="77777777" w:rsidR="00C57888" w:rsidRDefault="002A0D66">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Negative</w:t>
            </w:r>
          </w:p>
        </w:tc>
      </w:tr>
    </w:tbl>
    <w:p w14:paraId="5DD2E432" w14:textId="77777777" w:rsidR="00C57888" w:rsidRDefault="002A0D66">
      <w:pPr>
        <w:adjustRightInd w:val="0"/>
        <w:snapToGrid w:val="0"/>
        <w:spacing w:line="360" w:lineRule="auto"/>
        <w:jc w:val="both"/>
        <w:rPr>
          <w:rFonts w:ascii="Book Antiqua" w:eastAsia="Book Antiqua" w:hAnsi="Book Antiqua" w:cs="Book Antiqua"/>
          <w:color w:val="000000" w:themeColor="text1"/>
        </w:rPr>
      </w:pPr>
      <w:r>
        <w:rPr>
          <w:rFonts w:ascii="Book Antiqua" w:eastAsia="Times New Roman" w:hAnsi="Book Antiqua"/>
          <w:color w:val="000000" w:themeColor="text1"/>
        </w:rPr>
        <w:t>SS-A</w:t>
      </w:r>
      <w:r>
        <w:rPr>
          <w:rFonts w:ascii="Book Antiqua" w:eastAsia="Times New Roman" w:hAnsi="Book Antiqua"/>
          <w:color w:val="000000" w:themeColor="text1"/>
          <w:shd w:val="clear" w:color="auto" w:fill="FFFFFF"/>
        </w:rPr>
        <w:t>:</w:t>
      </w:r>
      <w:r>
        <w:rPr>
          <w:rFonts w:ascii="Book Antiqua" w:eastAsia="Book Antiqua" w:hAnsi="Book Antiqua"/>
          <w:color w:val="000000" w:themeColor="text1"/>
        </w:rPr>
        <w:t xml:space="preserve"> </w:t>
      </w:r>
      <w:r>
        <w:rPr>
          <w:rFonts w:ascii="Book Antiqua" w:eastAsia="Book Antiqua" w:hAnsi="Book Antiqua" w:cs="Book Antiqua"/>
          <w:color w:val="000000" w:themeColor="text1"/>
        </w:rPr>
        <w:t>Sjogren's syndrome antigen A</w:t>
      </w:r>
      <w:bookmarkStart w:id="45" w:name="OLE_LINK137"/>
      <w:r>
        <w:rPr>
          <w:rFonts w:ascii="Book Antiqua" w:eastAsia="Times New Roman" w:hAnsi="Book Antiqua"/>
          <w:color w:val="000000" w:themeColor="text1"/>
          <w:shd w:val="clear" w:color="auto" w:fill="FFFFFF"/>
        </w:rPr>
        <w:t>;</w:t>
      </w:r>
      <w:bookmarkStart w:id="46" w:name="OLE_LINK121"/>
      <w:bookmarkStart w:id="47" w:name="OLE_LINK120"/>
      <w:bookmarkStart w:id="48" w:name="OLE_LINK127"/>
      <w:r>
        <w:rPr>
          <w:rFonts w:ascii="Book Antiqua" w:eastAsia="Times New Roman" w:hAnsi="Book Antiqua"/>
          <w:color w:val="000000" w:themeColor="text1"/>
          <w:shd w:val="clear" w:color="auto" w:fill="FFFFFF"/>
        </w:rPr>
        <w:t xml:space="preserve"> </w:t>
      </w:r>
      <w:bookmarkStart w:id="49" w:name="OLE_LINK135"/>
      <w:bookmarkStart w:id="50" w:name="OLE_LINK136"/>
      <w:bookmarkEnd w:id="45"/>
      <w:r>
        <w:rPr>
          <w:rFonts w:ascii="Book Antiqua" w:eastAsia="Book Antiqua" w:hAnsi="Book Antiqua" w:cs="Book Antiqua"/>
          <w:color w:val="000000" w:themeColor="text1"/>
        </w:rPr>
        <w:t>Ro-52</w:t>
      </w:r>
      <w:bookmarkEnd w:id="46"/>
      <w:bookmarkEnd w:id="47"/>
      <w:bookmarkEnd w:id="49"/>
      <w:bookmarkEnd w:id="50"/>
      <w:r>
        <w:rPr>
          <w:rFonts w:ascii="Book Antiqua" w:eastAsia="Book Antiqua" w:hAnsi="Book Antiqua" w:cs="Book Antiqua"/>
          <w:color w:val="000000" w:themeColor="text1"/>
        </w:rPr>
        <w:t>:</w:t>
      </w:r>
      <w:bookmarkEnd w:id="48"/>
      <w:r>
        <w:rPr>
          <w:rFonts w:ascii="Book Antiqua" w:hAnsi="Book Antiqua"/>
          <w:color w:val="000000" w:themeColor="text1"/>
        </w:rPr>
        <w:t xml:space="preserve"> </w:t>
      </w:r>
      <w:bookmarkStart w:id="51" w:name="OLE_LINK139"/>
      <w:bookmarkStart w:id="52" w:name="OLE_LINK138"/>
      <w:r>
        <w:rPr>
          <w:rFonts w:ascii="Book Antiqua" w:eastAsia="Book Antiqua" w:hAnsi="Book Antiqua" w:cs="Book Antiqua"/>
          <w:color w:val="000000" w:themeColor="text1"/>
        </w:rPr>
        <w:t xml:space="preserve">An antinuclear antibody of 52 </w:t>
      </w:r>
      <w:proofErr w:type="spellStart"/>
      <w:r>
        <w:rPr>
          <w:rFonts w:ascii="Book Antiqua" w:eastAsia="Book Antiqua" w:hAnsi="Book Antiqua" w:cs="Book Antiqua"/>
          <w:color w:val="000000" w:themeColor="text1"/>
        </w:rPr>
        <w:t>kDa</w:t>
      </w:r>
      <w:proofErr w:type="spellEnd"/>
      <w:r>
        <w:rPr>
          <w:rFonts w:ascii="Book Antiqua" w:eastAsia="Book Antiqua" w:hAnsi="Book Antiqua" w:cs="Book Antiqua"/>
          <w:color w:val="000000" w:themeColor="text1"/>
        </w:rPr>
        <w:t xml:space="preserve"> peptide fragment</w:t>
      </w:r>
      <w:r>
        <w:rPr>
          <w:rFonts w:ascii="Book Antiqua" w:eastAsia="Times New Roman" w:hAnsi="Book Antiqua"/>
          <w:color w:val="000000" w:themeColor="text1"/>
          <w:shd w:val="clear" w:color="auto" w:fill="FFFFFF"/>
        </w:rPr>
        <w:t>;</w:t>
      </w:r>
      <w:bookmarkEnd w:id="51"/>
      <w:bookmarkEnd w:id="52"/>
      <w:r>
        <w:rPr>
          <w:rFonts w:ascii="Book Antiqua" w:hAnsi="Book Antiqua" w:cs="Book Antiqua" w:hint="eastAsia"/>
          <w:color w:val="000000" w:themeColor="text1"/>
        </w:rPr>
        <w:t xml:space="preserve"> </w:t>
      </w:r>
      <w:r>
        <w:rPr>
          <w:rFonts w:ascii="Book Antiqua" w:eastAsia="Times New Roman" w:hAnsi="Book Antiqua"/>
          <w:color w:val="000000" w:themeColor="text1"/>
        </w:rPr>
        <w:t>SS-B</w:t>
      </w:r>
      <w:r>
        <w:rPr>
          <w:rFonts w:ascii="Book Antiqua" w:eastAsia="Times New Roman" w:hAnsi="Book Antiqua"/>
          <w:color w:val="000000" w:themeColor="text1"/>
          <w:shd w:val="clear" w:color="auto" w:fill="FFFFFF"/>
        </w:rPr>
        <w:t>:</w:t>
      </w:r>
      <w:r>
        <w:rPr>
          <w:rFonts w:ascii="Book Antiqua" w:eastAsia="Book Antiqua" w:hAnsi="Book Antiqua"/>
          <w:color w:val="000000" w:themeColor="text1"/>
        </w:rPr>
        <w:t xml:space="preserve"> </w:t>
      </w:r>
      <w:r>
        <w:rPr>
          <w:rFonts w:ascii="Book Antiqua" w:eastAsia="Book Antiqua" w:hAnsi="Book Antiqua" w:cs="Book Antiqua"/>
          <w:color w:val="000000" w:themeColor="text1"/>
        </w:rPr>
        <w:t>Sjogren's syndrome antigen B</w:t>
      </w:r>
      <w:r>
        <w:rPr>
          <w:rFonts w:ascii="Book Antiqua" w:eastAsia="Times New Roman" w:hAnsi="Book Antiqua"/>
          <w:color w:val="000000" w:themeColor="text1"/>
          <w:shd w:val="clear" w:color="auto" w:fill="FFFFFF"/>
        </w:rPr>
        <w:t xml:space="preserve">; </w:t>
      </w:r>
      <w:r>
        <w:rPr>
          <w:rFonts w:ascii="Book Antiqua" w:eastAsia="Book Antiqua" w:hAnsi="Book Antiqua"/>
          <w:color w:val="000000" w:themeColor="text1"/>
        </w:rPr>
        <w:t xml:space="preserve">AQP4: Aquaporin protein 4; </w:t>
      </w:r>
      <w:r>
        <w:rPr>
          <w:rFonts w:ascii="Book Antiqua" w:eastAsia="Times New Roman" w:hAnsi="Book Antiqua"/>
          <w:color w:val="000000" w:themeColor="text1"/>
        </w:rPr>
        <w:t xml:space="preserve">MOG: </w:t>
      </w:r>
      <w:r>
        <w:rPr>
          <w:rFonts w:ascii="Book Antiqua" w:eastAsia="Book Antiqua" w:hAnsi="Book Antiqua" w:cs="Book Antiqua"/>
          <w:color w:val="000000" w:themeColor="text1"/>
        </w:rPr>
        <w:t>Myelin oligodendrocyte glycoprotein; MBP: Myelin basic protein</w:t>
      </w:r>
      <w:r>
        <w:rPr>
          <w:rFonts w:ascii="Book Antiqua" w:eastAsia="Book Antiqua" w:hAnsi="Book Antiqua"/>
          <w:color w:val="000000" w:themeColor="text1"/>
        </w:rPr>
        <w:t xml:space="preserve">; </w:t>
      </w:r>
      <w:r>
        <w:rPr>
          <w:rFonts w:ascii="Book Antiqua" w:eastAsia="Times New Roman" w:hAnsi="Book Antiqua"/>
          <w:color w:val="000000" w:themeColor="text1"/>
        </w:rPr>
        <w:t xml:space="preserve">IgG: </w:t>
      </w:r>
      <w:r>
        <w:rPr>
          <w:rFonts w:ascii="Book Antiqua" w:eastAsia="STHeiti" w:hAnsi="Book Antiqua"/>
          <w:color w:val="000000" w:themeColor="text1"/>
          <w:shd w:val="clear" w:color="auto" w:fill="FFFFFF"/>
        </w:rPr>
        <w:t>Immunoglobulin G.</w:t>
      </w:r>
    </w:p>
    <w:p w14:paraId="7E892E53" w14:textId="77777777" w:rsidR="00C57888" w:rsidRDefault="002A0D66">
      <w:pPr>
        <w:adjustRightInd w:val="0"/>
        <w:snapToGrid w:val="0"/>
        <w:spacing w:line="360" w:lineRule="auto"/>
        <w:jc w:val="both"/>
        <w:rPr>
          <w:rFonts w:ascii="Book Antiqua" w:hAnsi="Book Antiqua"/>
          <w:color w:val="000000" w:themeColor="text1"/>
          <w:lang w:val="en"/>
        </w:rPr>
      </w:pPr>
      <w:r>
        <w:rPr>
          <w:rFonts w:ascii="Book Antiqua" w:hAnsi="Book Antiqua"/>
          <w:b/>
          <w:color w:val="000000" w:themeColor="text1"/>
        </w:rPr>
        <w:br w:type="page"/>
      </w:r>
      <w:r>
        <w:rPr>
          <w:rFonts w:ascii="Book Antiqua" w:hAnsi="Book Antiqua"/>
          <w:b/>
          <w:color w:val="000000" w:themeColor="text1"/>
        </w:rPr>
        <w:lastRenderedPageBreak/>
        <w:t xml:space="preserve">Table 2 </w:t>
      </w:r>
      <w:r>
        <w:rPr>
          <w:rFonts w:ascii="Book Antiqua" w:eastAsia="Times New Roman" w:hAnsi="Book Antiqua"/>
          <w:b/>
          <w:color w:val="000000" w:themeColor="text1"/>
        </w:rPr>
        <w:t>Cerebrospinal fluid tests</w:t>
      </w:r>
    </w:p>
    <w:tbl>
      <w:tblPr>
        <w:tblStyle w:val="TableGrid"/>
        <w:tblW w:w="8729" w:type="dxa"/>
        <w:tblLook w:val="04A0" w:firstRow="1" w:lastRow="0" w:firstColumn="1" w:lastColumn="0" w:noHBand="0" w:noVBand="1"/>
      </w:tblPr>
      <w:tblGrid>
        <w:gridCol w:w="2908"/>
        <w:gridCol w:w="2908"/>
        <w:gridCol w:w="2913"/>
      </w:tblGrid>
      <w:tr w:rsidR="00C57888" w14:paraId="736900B6" w14:textId="77777777">
        <w:trPr>
          <w:trHeight w:val="487"/>
        </w:trPr>
        <w:tc>
          <w:tcPr>
            <w:tcW w:w="2908" w:type="dxa"/>
            <w:tcBorders>
              <w:left w:val="nil"/>
              <w:bottom w:val="single" w:sz="4" w:space="0" w:color="auto"/>
              <w:right w:val="nil"/>
            </w:tcBorders>
            <w:shd w:val="clear" w:color="auto" w:fill="auto"/>
          </w:tcPr>
          <w:p w14:paraId="6FC31006" w14:textId="77777777" w:rsidR="00C57888" w:rsidRDefault="002A0D66">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CSF</w:t>
            </w:r>
          </w:p>
        </w:tc>
        <w:tc>
          <w:tcPr>
            <w:tcW w:w="2908" w:type="dxa"/>
            <w:tcBorders>
              <w:left w:val="nil"/>
              <w:bottom w:val="single" w:sz="4" w:space="0" w:color="auto"/>
              <w:right w:val="nil"/>
            </w:tcBorders>
            <w:shd w:val="clear" w:color="auto" w:fill="auto"/>
          </w:tcPr>
          <w:p w14:paraId="294AA959" w14:textId="77777777" w:rsidR="00C57888" w:rsidRDefault="002A0D66">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Patient</w:t>
            </w:r>
          </w:p>
        </w:tc>
        <w:tc>
          <w:tcPr>
            <w:tcW w:w="2913" w:type="dxa"/>
            <w:tcBorders>
              <w:left w:val="nil"/>
              <w:bottom w:val="single" w:sz="4" w:space="0" w:color="auto"/>
              <w:right w:val="nil"/>
            </w:tcBorders>
            <w:shd w:val="clear" w:color="auto" w:fill="auto"/>
          </w:tcPr>
          <w:p w14:paraId="304F75DA" w14:textId="77777777" w:rsidR="00C57888" w:rsidRDefault="002A0D66">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Normal</w:t>
            </w:r>
          </w:p>
        </w:tc>
      </w:tr>
      <w:tr w:rsidR="00C57888" w14:paraId="4FCA89BD" w14:textId="77777777">
        <w:trPr>
          <w:trHeight w:val="101"/>
        </w:trPr>
        <w:tc>
          <w:tcPr>
            <w:tcW w:w="2908" w:type="dxa"/>
            <w:tcBorders>
              <w:top w:val="nil"/>
              <w:left w:val="nil"/>
              <w:bottom w:val="nil"/>
              <w:right w:val="nil"/>
            </w:tcBorders>
            <w:shd w:val="clear" w:color="auto" w:fill="auto"/>
          </w:tcPr>
          <w:p w14:paraId="1E4D4220" w14:textId="77777777" w:rsidR="00C57888" w:rsidRDefault="002A0D66">
            <w:pPr>
              <w:adjustRightInd w:val="0"/>
              <w:snapToGrid w:val="0"/>
              <w:spacing w:line="360" w:lineRule="auto"/>
              <w:jc w:val="both"/>
              <w:rPr>
                <w:rFonts w:ascii="Book Antiqua" w:eastAsia="Times New Roman" w:hAnsi="Book Antiqua"/>
                <w:color w:val="000000" w:themeColor="text1"/>
                <w:kern w:val="0"/>
              </w:rPr>
            </w:pPr>
            <w:r>
              <w:rPr>
                <w:rFonts w:ascii="Book Antiqua" w:eastAsia="Times New Roman" w:hAnsi="Book Antiqua"/>
                <w:color w:val="000000" w:themeColor="text1"/>
                <w:kern w:val="0"/>
              </w:rPr>
              <w:t>Leukocyte count</w:t>
            </w:r>
          </w:p>
        </w:tc>
        <w:tc>
          <w:tcPr>
            <w:tcW w:w="2908" w:type="dxa"/>
            <w:tcBorders>
              <w:top w:val="nil"/>
              <w:left w:val="nil"/>
              <w:bottom w:val="nil"/>
              <w:right w:val="nil"/>
            </w:tcBorders>
            <w:shd w:val="clear" w:color="auto" w:fill="auto"/>
          </w:tcPr>
          <w:p w14:paraId="14EE90C8" w14:textId="77777777" w:rsidR="00C57888" w:rsidRDefault="002A0D66">
            <w:pPr>
              <w:adjustRightInd w:val="0"/>
              <w:snapToGrid w:val="0"/>
              <w:spacing w:line="360" w:lineRule="auto"/>
              <w:jc w:val="both"/>
              <w:rPr>
                <w:rFonts w:ascii="Book Antiqua" w:eastAsia="Times New Roman" w:hAnsi="Book Antiqua"/>
                <w:color w:val="000000" w:themeColor="text1"/>
                <w:kern w:val="0"/>
              </w:rPr>
            </w:pPr>
            <w:r>
              <w:rPr>
                <w:rFonts w:ascii="Book Antiqua" w:eastAsia="Times New Roman" w:hAnsi="Book Antiqua"/>
                <w:color w:val="000000" w:themeColor="text1"/>
                <w:kern w:val="0"/>
              </w:rPr>
              <w:t>0.050 × 10</w:t>
            </w:r>
            <w:r>
              <w:rPr>
                <w:rFonts w:ascii="Book Antiqua" w:eastAsia="Times New Roman" w:hAnsi="Book Antiqua"/>
                <w:color w:val="000000" w:themeColor="text1"/>
                <w:kern w:val="0"/>
                <w:vertAlign w:val="superscript"/>
              </w:rPr>
              <w:t>9</w:t>
            </w:r>
            <w:r>
              <w:rPr>
                <w:rFonts w:ascii="Book Antiqua" w:eastAsia="Times New Roman" w:hAnsi="Book Antiqua"/>
                <w:color w:val="000000" w:themeColor="text1"/>
                <w:kern w:val="0"/>
              </w:rPr>
              <w:t>/L</w:t>
            </w:r>
          </w:p>
        </w:tc>
        <w:tc>
          <w:tcPr>
            <w:tcW w:w="2913" w:type="dxa"/>
            <w:tcBorders>
              <w:top w:val="nil"/>
              <w:left w:val="nil"/>
              <w:bottom w:val="nil"/>
              <w:right w:val="nil"/>
            </w:tcBorders>
            <w:shd w:val="clear" w:color="auto" w:fill="auto"/>
          </w:tcPr>
          <w:p w14:paraId="1F350341"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Times New Roman" w:hAnsi="Book Antiqua"/>
                <w:color w:val="000000" w:themeColor="text1"/>
                <w:kern w:val="0"/>
              </w:rPr>
              <w:t>0-0.008 × 10</w:t>
            </w:r>
            <w:r>
              <w:rPr>
                <w:rFonts w:ascii="Book Antiqua" w:eastAsia="Times New Roman" w:hAnsi="Book Antiqua"/>
                <w:color w:val="000000" w:themeColor="text1"/>
                <w:kern w:val="0"/>
                <w:vertAlign w:val="superscript"/>
              </w:rPr>
              <w:t>9</w:t>
            </w:r>
            <w:r>
              <w:rPr>
                <w:rFonts w:ascii="Book Antiqua" w:eastAsia="Times New Roman" w:hAnsi="Book Antiqua"/>
                <w:color w:val="000000" w:themeColor="text1"/>
                <w:kern w:val="0"/>
              </w:rPr>
              <w:t>/L</w:t>
            </w:r>
          </w:p>
        </w:tc>
      </w:tr>
      <w:tr w:rsidR="00C57888" w14:paraId="09A12CBF" w14:textId="77777777">
        <w:trPr>
          <w:trHeight w:val="455"/>
        </w:trPr>
        <w:tc>
          <w:tcPr>
            <w:tcW w:w="2908" w:type="dxa"/>
            <w:tcBorders>
              <w:top w:val="nil"/>
              <w:left w:val="nil"/>
              <w:bottom w:val="nil"/>
              <w:right w:val="nil"/>
            </w:tcBorders>
            <w:shd w:val="clear" w:color="auto" w:fill="auto"/>
          </w:tcPr>
          <w:p w14:paraId="2812E92F" w14:textId="77777777" w:rsidR="00C57888" w:rsidRDefault="002A0D66">
            <w:pPr>
              <w:adjustRightInd w:val="0"/>
              <w:snapToGrid w:val="0"/>
              <w:spacing w:line="360" w:lineRule="auto"/>
              <w:jc w:val="both"/>
              <w:rPr>
                <w:rFonts w:ascii="Book Antiqua" w:eastAsia="Times New Roman" w:hAnsi="Book Antiqua"/>
                <w:color w:val="000000" w:themeColor="text1"/>
                <w:kern w:val="0"/>
              </w:rPr>
            </w:pPr>
            <w:r>
              <w:rPr>
                <w:rFonts w:ascii="Book Antiqua" w:eastAsia="Times New Roman" w:hAnsi="Book Antiqua"/>
                <w:color w:val="000000" w:themeColor="text1"/>
                <w:kern w:val="0"/>
              </w:rPr>
              <w:t>Lactate dehydrogenase</w:t>
            </w:r>
          </w:p>
        </w:tc>
        <w:tc>
          <w:tcPr>
            <w:tcW w:w="2908" w:type="dxa"/>
            <w:tcBorders>
              <w:top w:val="nil"/>
              <w:left w:val="nil"/>
              <w:bottom w:val="nil"/>
              <w:right w:val="nil"/>
            </w:tcBorders>
            <w:shd w:val="clear" w:color="auto" w:fill="auto"/>
          </w:tcPr>
          <w:p w14:paraId="78887B86" w14:textId="77777777" w:rsidR="00C57888" w:rsidRDefault="002A0D66">
            <w:pPr>
              <w:adjustRightInd w:val="0"/>
              <w:snapToGrid w:val="0"/>
              <w:spacing w:line="360" w:lineRule="auto"/>
              <w:jc w:val="both"/>
              <w:rPr>
                <w:rFonts w:ascii="Book Antiqua" w:eastAsia="Times New Roman" w:hAnsi="Book Antiqua"/>
                <w:color w:val="000000" w:themeColor="text1"/>
                <w:kern w:val="0"/>
              </w:rPr>
            </w:pPr>
            <w:r>
              <w:rPr>
                <w:rFonts w:ascii="Book Antiqua" w:eastAsia="Times New Roman" w:hAnsi="Book Antiqua"/>
                <w:color w:val="000000" w:themeColor="text1"/>
                <w:kern w:val="0"/>
              </w:rPr>
              <w:t>61.00 U/L</w:t>
            </w:r>
          </w:p>
        </w:tc>
        <w:tc>
          <w:tcPr>
            <w:tcW w:w="2913" w:type="dxa"/>
            <w:tcBorders>
              <w:top w:val="nil"/>
              <w:left w:val="nil"/>
              <w:bottom w:val="nil"/>
              <w:right w:val="nil"/>
            </w:tcBorders>
            <w:shd w:val="clear" w:color="auto" w:fill="auto"/>
          </w:tcPr>
          <w:p w14:paraId="26F7C083"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Times New Roman" w:hAnsi="Book Antiqua"/>
                <w:color w:val="000000" w:themeColor="text1"/>
                <w:kern w:val="0"/>
              </w:rPr>
              <w:t>120-250 U/L</w:t>
            </w:r>
          </w:p>
        </w:tc>
      </w:tr>
      <w:tr w:rsidR="00C57888" w14:paraId="3D7A312E" w14:textId="77777777">
        <w:trPr>
          <w:trHeight w:val="244"/>
        </w:trPr>
        <w:tc>
          <w:tcPr>
            <w:tcW w:w="2908" w:type="dxa"/>
            <w:tcBorders>
              <w:top w:val="nil"/>
              <w:left w:val="nil"/>
              <w:bottom w:val="nil"/>
              <w:right w:val="nil"/>
            </w:tcBorders>
            <w:shd w:val="clear" w:color="auto" w:fill="auto"/>
          </w:tcPr>
          <w:p w14:paraId="073E55FC" w14:textId="77777777" w:rsidR="00C57888" w:rsidRDefault="002A0D66">
            <w:pPr>
              <w:adjustRightInd w:val="0"/>
              <w:snapToGrid w:val="0"/>
              <w:spacing w:line="360" w:lineRule="auto"/>
              <w:jc w:val="both"/>
              <w:rPr>
                <w:rFonts w:ascii="Book Antiqua" w:eastAsia="Times New Roman" w:hAnsi="Book Antiqua"/>
                <w:color w:val="000000" w:themeColor="text1"/>
                <w:kern w:val="0"/>
              </w:rPr>
            </w:pPr>
            <w:r>
              <w:rPr>
                <w:rFonts w:ascii="Book Antiqua" w:eastAsia="Times New Roman" w:hAnsi="Book Antiqua"/>
                <w:color w:val="000000" w:themeColor="text1"/>
                <w:kern w:val="0"/>
              </w:rPr>
              <w:t>Protein</w:t>
            </w:r>
          </w:p>
        </w:tc>
        <w:tc>
          <w:tcPr>
            <w:tcW w:w="2908" w:type="dxa"/>
            <w:tcBorders>
              <w:top w:val="nil"/>
              <w:left w:val="nil"/>
              <w:bottom w:val="nil"/>
              <w:right w:val="nil"/>
            </w:tcBorders>
            <w:shd w:val="clear" w:color="auto" w:fill="auto"/>
          </w:tcPr>
          <w:p w14:paraId="7D7559AB" w14:textId="77777777" w:rsidR="00C57888" w:rsidRDefault="002A0D66">
            <w:pPr>
              <w:adjustRightInd w:val="0"/>
              <w:snapToGrid w:val="0"/>
              <w:spacing w:line="360" w:lineRule="auto"/>
              <w:jc w:val="both"/>
              <w:rPr>
                <w:rFonts w:ascii="Book Antiqua" w:eastAsia="Times New Roman" w:hAnsi="Book Antiqua"/>
                <w:color w:val="000000" w:themeColor="text1"/>
                <w:kern w:val="0"/>
              </w:rPr>
            </w:pPr>
            <w:r>
              <w:rPr>
                <w:rFonts w:ascii="Book Antiqua" w:eastAsia="Times New Roman" w:hAnsi="Book Antiqua"/>
                <w:color w:val="000000" w:themeColor="text1"/>
                <w:kern w:val="0"/>
              </w:rPr>
              <w:t>1154.80 mg/L</w:t>
            </w:r>
          </w:p>
        </w:tc>
        <w:tc>
          <w:tcPr>
            <w:tcW w:w="2913" w:type="dxa"/>
            <w:tcBorders>
              <w:top w:val="nil"/>
              <w:left w:val="nil"/>
              <w:bottom w:val="nil"/>
              <w:right w:val="nil"/>
            </w:tcBorders>
            <w:shd w:val="clear" w:color="auto" w:fill="auto"/>
          </w:tcPr>
          <w:p w14:paraId="19FDED02"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Times New Roman" w:hAnsi="Book Antiqua"/>
                <w:color w:val="000000" w:themeColor="text1"/>
                <w:kern w:val="0"/>
              </w:rPr>
              <w:t>200-400 mg/L</w:t>
            </w:r>
          </w:p>
        </w:tc>
      </w:tr>
      <w:tr w:rsidR="00C57888" w14:paraId="5AB4043A" w14:textId="77777777">
        <w:trPr>
          <w:trHeight w:val="203"/>
        </w:trPr>
        <w:tc>
          <w:tcPr>
            <w:tcW w:w="2908" w:type="dxa"/>
            <w:tcBorders>
              <w:top w:val="nil"/>
              <w:left w:val="nil"/>
              <w:bottom w:val="nil"/>
              <w:right w:val="nil"/>
            </w:tcBorders>
            <w:shd w:val="clear" w:color="auto" w:fill="auto"/>
            <w:vAlign w:val="center"/>
          </w:tcPr>
          <w:p w14:paraId="13BD882E" w14:textId="77777777" w:rsidR="00C57888" w:rsidRDefault="002A0D66">
            <w:pPr>
              <w:adjustRightInd w:val="0"/>
              <w:snapToGrid w:val="0"/>
              <w:spacing w:line="360" w:lineRule="auto"/>
              <w:jc w:val="both"/>
              <w:rPr>
                <w:rFonts w:ascii="Book Antiqua" w:eastAsia="Times New Roman" w:hAnsi="Book Antiqua"/>
                <w:color w:val="000000" w:themeColor="text1"/>
                <w:kern w:val="0"/>
              </w:rPr>
            </w:pPr>
            <w:r>
              <w:rPr>
                <w:rFonts w:ascii="Book Antiqua" w:eastAsia="Times New Roman" w:hAnsi="Book Antiqua"/>
                <w:color w:val="000000" w:themeColor="text1"/>
                <w:kern w:val="0"/>
              </w:rPr>
              <w:t>APQ4 antibody IgG</w:t>
            </w:r>
          </w:p>
        </w:tc>
        <w:tc>
          <w:tcPr>
            <w:tcW w:w="2908" w:type="dxa"/>
            <w:tcBorders>
              <w:top w:val="nil"/>
              <w:left w:val="nil"/>
              <w:bottom w:val="nil"/>
              <w:right w:val="nil"/>
            </w:tcBorders>
            <w:shd w:val="clear" w:color="auto" w:fill="auto"/>
          </w:tcPr>
          <w:p w14:paraId="691E17B6" w14:textId="77777777" w:rsidR="00C57888" w:rsidRDefault="002A0D66">
            <w:pPr>
              <w:adjustRightInd w:val="0"/>
              <w:snapToGrid w:val="0"/>
              <w:spacing w:line="360" w:lineRule="auto"/>
              <w:jc w:val="both"/>
              <w:rPr>
                <w:rFonts w:ascii="Book Antiqua" w:eastAsia="Times New Roman" w:hAnsi="Book Antiqua"/>
                <w:color w:val="000000" w:themeColor="text1"/>
                <w:kern w:val="0"/>
              </w:rPr>
            </w:pPr>
            <w:r>
              <w:rPr>
                <w:rFonts w:ascii="Book Antiqua" w:hAnsi="Book Antiqua"/>
                <w:color w:val="000000" w:themeColor="text1"/>
              </w:rPr>
              <w:t>Negative</w:t>
            </w:r>
          </w:p>
        </w:tc>
        <w:tc>
          <w:tcPr>
            <w:tcW w:w="2913" w:type="dxa"/>
            <w:tcBorders>
              <w:top w:val="nil"/>
              <w:left w:val="nil"/>
              <w:bottom w:val="nil"/>
              <w:right w:val="nil"/>
            </w:tcBorders>
            <w:shd w:val="clear" w:color="auto" w:fill="auto"/>
          </w:tcPr>
          <w:p w14:paraId="42809A80" w14:textId="77777777" w:rsidR="00C57888" w:rsidRDefault="002A0D66">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Negative</w:t>
            </w:r>
          </w:p>
        </w:tc>
      </w:tr>
      <w:tr w:rsidR="00C57888" w14:paraId="204BBD6F" w14:textId="77777777">
        <w:trPr>
          <w:trHeight w:val="183"/>
        </w:trPr>
        <w:tc>
          <w:tcPr>
            <w:tcW w:w="2908" w:type="dxa"/>
            <w:tcBorders>
              <w:top w:val="nil"/>
              <w:left w:val="nil"/>
              <w:bottom w:val="nil"/>
              <w:right w:val="nil"/>
            </w:tcBorders>
            <w:shd w:val="clear" w:color="auto" w:fill="auto"/>
            <w:vAlign w:val="center"/>
          </w:tcPr>
          <w:p w14:paraId="47131C35" w14:textId="77777777" w:rsidR="00C57888" w:rsidRDefault="002A0D66">
            <w:pPr>
              <w:adjustRightInd w:val="0"/>
              <w:snapToGrid w:val="0"/>
              <w:spacing w:line="360" w:lineRule="auto"/>
              <w:jc w:val="both"/>
              <w:rPr>
                <w:rFonts w:ascii="Book Antiqua" w:eastAsia="Times New Roman" w:hAnsi="Book Antiqua"/>
                <w:color w:val="000000" w:themeColor="text1"/>
                <w:kern w:val="0"/>
              </w:rPr>
            </w:pPr>
            <w:r>
              <w:rPr>
                <w:rFonts w:ascii="Book Antiqua" w:eastAsia="Times New Roman" w:hAnsi="Book Antiqua"/>
                <w:color w:val="000000" w:themeColor="text1"/>
                <w:kern w:val="0"/>
              </w:rPr>
              <w:t>MOG antibody IgG</w:t>
            </w:r>
          </w:p>
        </w:tc>
        <w:tc>
          <w:tcPr>
            <w:tcW w:w="2908" w:type="dxa"/>
            <w:tcBorders>
              <w:top w:val="nil"/>
              <w:left w:val="nil"/>
              <w:bottom w:val="nil"/>
              <w:right w:val="nil"/>
            </w:tcBorders>
            <w:shd w:val="clear" w:color="auto" w:fill="auto"/>
          </w:tcPr>
          <w:p w14:paraId="432DEFC0" w14:textId="77777777" w:rsidR="00C57888" w:rsidRDefault="002A0D66">
            <w:pPr>
              <w:adjustRightInd w:val="0"/>
              <w:snapToGrid w:val="0"/>
              <w:spacing w:line="360" w:lineRule="auto"/>
              <w:jc w:val="both"/>
              <w:rPr>
                <w:rFonts w:ascii="Book Antiqua" w:eastAsia="Times New Roman" w:hAnsi="Book Antiqua"/>
                <w:color w:val="000000" w:themeColor="text1"/>
                <w:kern w:val="0"/>
              </w:rPr>
            </w:pPr>
            <w:r>
              <w:rPr>
                <w:rFonts w:ascii="Book Antiqua" w:hAnsi="Book Antiqua"/>
                <w:color w:val="000000" w:themeColor="text1"/>
              </w:rPr>
              <w:t>Negative</w:t>
            </w:r>
          </w:p>
        </w:tc>
        <w:tc>
          <w:tcPr>
            <w:tcW w:w="2913" w:type="dxa"/>
            <w:tcBorders>
              <w:top w:val="nil"/>
              <w:left w:val="nil"/>
              <w:bottom w:val="nil"/>
              <w:right w:val="nil"/>
            </w:tcBorders>
            <w:shd w:val="clear" w:color="auto" w:fill="auto"/>
          </w:tcPr>
          <w:p w14:paraId="54537210" w14:textId="77777777" w:rsidR="00C57888" w:rsidRDefault="002A0D66">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Negative</w:t>
            </w:r>
          </w:p>
        </w:tc>
      </w:tr>
      <w:tr w:rsidR="00C57888" w14:paraId="759A1A73" w14:textId="77777777">
        <w:trPr>
          <w:trHeight w:val="227"/>
        </w:trPr>
        <w:tc>
          <w:tcPr>
            <w:tcW w:w="2908" w:type="dxa"/>
            <w:tcBorders>
              <w:top w:val="nil"/>
              <w:left w:val="nil"/>
              <w:bottom w:val="single" w:sz="4" w:space="0" w:color="auto"/>
              <w:right w:val="nil"/>
            </w:tcBorders>
            <w:shd w:val="clear" w:color="auto" w:fill="auto"/>
            <w:vAlign w:val="center"/>
          </w:tcPr>
          <w:p w14:paraId="14AF1B33" w14:textId="77777777" w:rsidR="00C57888" w:rsidRDefault="002A0D66">
            <w:pPr>
              <w:adjustRightInd w:val="0"/>
              <w:snapToGrid w:val="0"/>
              <w:spacing w:line="360" w:lineRule="auto"/>
              <w:jc w:val="both"/>
              <w:rPr>
                <w:rFonts w:ascii="Book Antiqua" w:eastAsia="Times New Roman" w:hAnsi="Book Antiqua"/>
                <w:color w:val="000000" w:themeColor="text1"/>
                <w:kern w:val="0"/>
              </w:rPr>
            </w:pPr>
            <w:r>
              <w:rPr>
                <w:rFonts w:ascii="Book Antiqua" w:eastAsia="Times New Roman" w:hAnsi="Book Antiqua"/>
                <w:color w:val="000000" w:themeColor="text1"/>
                <w:kern w:val="0"/>
              </w:rPr>
              <w:t>MBP antibody IgG</w:t>
            </w:r>
          </w:p>
        </w:tc>
        <w:tc>
          <w:tcPr>
            <w:tcW w:w="2908" w:type="dxa"/>
            <w:tcBorders>
              <w:top w:val="nil"/>
              <w:left w:val="nil"/>
              <w:bottom w:val="single" w:sz="4" w:space="0" w:color="auto"/>
              <w:right w:val="nil"/>
            </w:tcBorders>
            <w:shd w:val="clear" w:color="auto" w:fill="auto"/>
          </w:tcPr>
          <w:p w14:paraId="1CB33F22" w14:textId="77777777" w:rsidR="00C57888" w:rsidRDefault="002A0D66">
            <w:pPr>
              <w:adjustRightInd w:val="0"/>
              <w:snapToGrid w:val="0"/>
              <w:spacing w:line="360" w:lineRule="auto"/>
              <w:jc w:val="both"/>
              <w:rPr>
                <w:rFonts w:ascii="Book Antiqua" w:eastAsia="Times New Roman" w:hAnsi="Book Antiqua"/>
                <w:color w:val="000000" w:themeColor="text1"/>
                <w:kern w:val="0"/>
              </w:rPr>
            </w:pPr>
            <w:r>
              <w:rPr>
                <w:rFonts w:ascii="Book Antiqua" w:hAnsi="Book Antiqua"/>
                <w:color w:val="000000" w:themeColor="text1"/>
              </w:rPr>
              <w:t>Negative</w:t>
            </w:r>
          </w:p>
        </w:tc>
        <w:tc>
          <w:tcPr>
            <w:tcW w:w="2913" w:type="dxa"/>
            <w:tcBorders>
              <w:top w:val="nil"/>
              <w:left w:val="nil"/>
              <w:bottom w:val="single" w:sz="4" w:space="0" w:color="auto"/>
              <w:right w:val="nil"/>
            </w:tcBorders>
            <w:shd w:val="clear" w:color="auto" w:fill="auto"/>
          </w:tcPr>
          <w:p w14:paraId="2389B965" w14:textId="77777777" w:rsidR="00C57888" w:rsidRDefault="002A0D66">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Negative</w:t>
            </w:r>
          </w:p>
        </w:tc>
      </w:tr>
    </w:tbl>
    <w:bookmarkEnd w:id="37"/>
    <w:bookmarkEnd w:id="38"/>
    <w:p w14:paraId="33F5A7E9" w14:textId="77777777" w:rsidR="00C57888" w:rsidRDefault="002A0D66">
      <w:pPr>
        <w:adjustRightInd w:val="0"/>
        <w:snapToGrid w:val="0"/>
        <w:spacing w:line="360" w:lineRule="auto"/>
        <w:jc w:val="both"/>
        <w:rPr>
          <w:rFonts w:ascii="Book Antiqua" w:hAnsi="Book Antiqua"/>
          <w:color w:val="000000" w:themeColor="text1"/>
        </w:rPr>
      </w:pPr>
      <w:r>
        <w:rPr>
          <w:rFonts w:ascii="Book Antiqua" w:eastAsia="Book Antiqua" w:hAnsi="Book Antiqua"/>
          <w:color w:val="000000" w:themeColor="text1"/>
        </w:rPr>
        <w:t xml:space="preserve">CSF: Cerebrospinal fluid; AQP4: Aquaporin protein 4; </w:t>
      </w:r>
      <w:r>
        <w:rPr>
          <w:rFonts w:ascii="Book Antiqua" w:eastAsia="Times New Roman" w:hAnsi="Book Antiqua"/>
          <w:color w:val="000000" w:themeColor="text1"/>
        </w:rPr>
        <w:t xml:space="preserve">MOG: </w:t>
      </w:r>
      <w:r>
        <w:rPr>
          <w:rFonts w:ascii="Book Antiqua" w:eastAsia="Book Antiqua" w:hAnsi="Book Antiqua"/>
          <w:color w:val="000000" w:themeColor="text1"/>
        </w:rPr>
        <w:t>Myelin oligodendrocyte glycoprotein; MBP: Myelin basic protein</w:t>
      </w:r>
      <w:bookmarkStart w:id="53" w:name="OLE_LINK133"/>
      <w:bookmarkStart w:id="54" w:name="OLE_LINK134"/>
      <w:r>
        <w:rPr>
          <w:rFonts w:ascii="Book Antiqua" w:eastAsia="Book Antiqua" w:hAnsi="Book Antiqua"/>
          <w:color w:val="000000" w:themeColor="text1"/>
        </w:rPr>
        <w:t xml:space="preserve">; </w:t>
      </w:r>
      <w:r>
        <w:rPr>
          <w:rFonts w:ascii="Book Antiqua" w:eastAsia="Times New Roman" w:hAnsi="Book Antiqua"/>
          <w:color w:val="000000" w:themeColor="text1"/>
        </w:rPr>
        <w:t xml:space="preserve">IgG: </w:t>
      </w:r>
      <w:r>
        <w:rPr>
          <w:rFonts w:ascii="Book Antiqua" w:eastAsia="STHeiti" w:hAnsi="Book Antiqua"/>
          <w:color w:val="000000" w:themeColor="text1"/>
          <w:shd w:val="clear" w:color="auto" w:fill="FFFFFF"/>
        </w:rPr>
        <w:t>Immunoglobulin G.</w:t>
      </w:r>
      <w:bookmarkEnd w:id="53"/>
      <w:bookmarkEnd w:id="54"/>
    </w:p>
    <w:sectPr w:rsidR="00C578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45AF0B" w14:textId="77777777" w:rsidR="0001104C" w:rsidRDefault="0001104C" w:rsidP="002A0D66">
      <w:r>
        <w:separator/>
      </w:r>
    </w:p>
  </w:endnote>
  <w:endnote w:type="continuationSeparator" w:id="0">
    <w:p w14:paraId="6B29F2FD" w14:textId="77777777" w:rsidR="0001104C" w:rsidRDefault="0001104C" w:rsidP="002A0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THeiti">
    <w:altName w:val="STHeiti"/>
    <w:charset w:val="86"/>
    <w:family w:val="auto"/>
    <w:pitch w:val="variable"/>
    <w:sig w:usb0="00000287" w:usb1="080F0000" w:usb2="00000010" w:usb3="00000000" w:csb0="0004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847F5D" w14:textId="77777777" w:rsidR="0001104C" w:rsidRDefault="0001104C" w:rsidP="002A0D66">
      <w:r>
        <w:separator/>
      </w:r>
    </w:p>
  </w:footnote>
  <w:footnote w:type="continuationSeparator" w:id="0">
    <w:p w14:paraId="1466266F" w14:textId="77777777" w:rsidR="0001104C" w:rsidRDefault="0001104C" w:rsidP="002A0D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04C"/>
    <w:rsid w:val="00041579"/>
    <w:rsid w:val="000453A6"/>
    <w:rsid w:val="0006352D"/>
    <w:rsid w:val="00081583"/>
    <w:rsid w:val="001075F3"/>
    <w:rsid w:val="0014115D"/>
    <w:rsid w:val="001465DC"/>
    <w:rsid w:val="00146A59"/>
    <w:rsid w:val="0015070B"/>
    <w:rsid w:val="00157E5D"/>
    <w:rsid w:val="001645A4"/>
    <w:rsid w:val="0019537C"/>
    <w:rsid w:val="001E22E3"/>
    <w:rsid w:val="00206AA7"/>
    <w:rsid w:val="002A0D66"/>
    <w:rsid w:val="002C5436"/>
    <w:rsid w:val="002D20E3"/>
    <w:rsid w:val="00306860"/>
    <w:rsid w:val="003163AD"/>
    <w:rsid w:val="00353EB3"/>
    <w:rsid w:val="003841A2"/>
    <w:rsid w:val="003B2A9D"/>
    <w:rsid w:val="003C1E64"/>
    <w:rsid w:val="003C618C"/>
    <w:rsid w:val="003C648F"/>
    <w:rsid w:val="003D4C75"/>
    <w:rsid w:val="003E05B8"/>
    <w:rsid w:val="003E3B93"/>
    <w:rsid w:val="003E533B"/>
    <w:rsid w:val="003E5852"/>
    <w:rsid w:val="00422448"/>
    <w:rsid w:val="00495E60"/>
    <w:rsid w:val="004B5EC6"/>
    <w:rsid w:val="004E34A9"/>
    <w:rsid w:val="00560C28"/>
    <w:rsid w:val="00570CE2"/>
    <w:rsid w:val="005721DD"/>
    <w:rsid w:val="005B49B7"/>
    <w:rsid w:val="005B4E62"/>
    <w:rsid w:val="005C7F2C"/>
    <w:rsid w:val="005D6B09"/>
    <w:rsid w:val="005E5013"/>
    <w:rsid w:val="005E5D6D"/>
    <w:rsid w:val="005E7DD6"/>
    <w:rsid w:val="00671E01"/>
    <w:rsid w:val="006A0993"/>
    <w:rsid w:val="006A7F8D"/>
    <w:rsid w:val="006B6E51"/>
    <w:rsid w:val="006E53EA"/>
    <w:rsid w:val="006F0071"/>
    <w:rsid w:val="00722472"/>
    <w:rsid w:val="007727E7"/>
    <w:rsid w:val="007D1977"/>
    <w:rsid w:val="007F3897"/>
    <w:rsid w:val="008176A8"/>
    <w:rsid w:val="008218B7"/>
    <w:rsid w:val="008771F0"/>
    <w:rsid w:val="00877BD8"/>
    <w:rsid w:val="00892A14"/>
    <w:rsid w:val="008E5E6A"/>
    <w:rsid w:val="008E6264"/>
    <w:rsid w:val="009A242E"/>
    <w:rsid w:val="009B1C38"/>
    <w:rsid w:val="009C4D3C"/>
    <w:rsid w:val="009D0279"/>
    <w:rsid w:val="00A237D0"/>
    <w:rsid w:val="00A35316"/>
    <w:rsid w:val="00A55910"/>
    <w:rsid w:val="00A77B3E"/>
    <w:rsid w:val="00AA308A"/>
    <w:rsid w:val="00AC1B47"/>
    <w:rsid w:val="00AE5E8C"/>
    <w:rsid w:val="00AF3949"/>
    <w:rsid w:val="00B45351"/>
    <w:rsid w:val="00B563E4"/>
    <w:rsid w:val="00B86B68"/>
    <w:rsid w:val="00BD05D1"/>
    <w:rsid w:val="00BE00AA"/>
    <w:rsid w:val="00BE67A8"/>
    <w:rsid w:val="00BF7B52"/>
    <w:rsid w:val="00C3325A"/>
    <w:rsid w:val="00C450CD"/>
    <w:rsid w:val="00C57888"/>
    <w:rsid w:val="00C71F91"/>
    <w:rsid w:val="00C834D1"/>
    <w:rsid w:val="00C96968"/>
    <w:rsid w:val="00CA2A55"/>
    <w:rsid w:val="00CE71F3"/>
    <w:rsid w:val="00D247BD"/>
    <w:rsid w:val="00D64686"/>
    <w:rsid w:val="00D8521D"/>
    <w:rsid w:val="00D90881"/>
    <w:rsid w:val="00DC28C3"/>
    <w:rsid w:val="00E052E6"/>
    <w:rsid w:val="00E46150"/>
    <w:rsid w:val="00ED313B"/>
    <w:rsid w:val="00FE6954"/>
    <w:rsid w:val="32AA14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0D2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semiHidden="0"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rPr>
      <w:lang w:eastAsia="en-US"/>
    </w:rPr>
  </w:style>
  <w:style w:type="paragraph" w:styleId="BalloonText">
    <w:name w:val="Balloon Text"/>
    <w:basedOn w:val="Normal"/>
    <w:link w:val="BalloonTextChar"/>
    <w:rPr>
      <w:rFonts w:ascii="SimSun" w:eastAsia="SimSun"/>
      <w:sz w:val="18"/>
      <w:szCs w:val="18"/>
      <w:lang w:eastAsia="en-US"/>
    </w:rPr>
  </w:style>
  <w:style w:type="paragraph" w:styleId="Footer">
    <w:name w:val="footer"/>
    <w:basedOn w:val="Normal"/>
    <w:link w:val="FooterChar"/>
    <w:unhideWhenUsed/>
    <w:pPr>
      <w:tabs>
        <w:tab w:val="center" w:pos="4153"/>
        <w:tab w:val="right" w:pos="8306"/>
      </w:tabs>
      <w:snapToGrid w:val="0"/>
    </w:pPr>
    <w:rPr>
      <w:sz w:val="18"/>
      <w:szCs w:val="18"/>
      <w:lang w:eastAsia="en-US"/>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lang w:eastAsia="en-US"/>
    </w:rPr>
  </w:style>
  <w:style w:type="paragraph" w:styleId="NormalWeb">
    <w:name w:val="Normal (Web)"/>
    <w:basedOn w:val="Normal"/>
    <w:uiPriority w:val="99"/>
    <w:semiHidden/>
    <w:unhideWhenUsed/>
    <w:pPr>
      <w:spacing w:before="100" w:beforeAutospacing="1" w:after="100" w:afterAutospacing="1"/>
    </w:pPr>
  </w:style>
  <w:style w:type="paragraph" w:styleId="CommentSubject">
    <w:name w:val="annotation subject"/>
    <w:basedOn w:val="CommentText"/>
    <w:next w:val="CommentText"/>
    <w:link w:val="CommentSubjectChar"/>
    <w:semiHidden/>
    <w:unhideWhenUsed/>
    <w:rPr>
      <w:b/>
      <w:bCs/>
    </w:rPr>
  </w:style>
  <w:style w:type="table" w:styleId="TableGrid">
    <w:name w:val="Table Grid"/>
    <w:basedOn w:val="TableNormal"/>
    <w:uiPriority w:val="39"/>
    <w:rPr>
      <w:rFonts w:asciiTheme="minorHAnsi" w:hAnsiTheme="minorHAnsi" w:cstheme="minorBid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Pr>
      <w:sz w:val="21"/>
      <w:szCs w:val="21"/>
    </w:rPr>
  </w:style>
  <w:style w:type="character" w:customStyle="1" w:styleId="skip">
    <w:name w:val="skip"/>
    <w:basedOn w:val="DefaultParagraphFont"/>
  </w:style>
  <w:style w:type="character" w:customStyle="1" w:styleId="tlid-translation">
    <w:name w:val="tlid-translation"/>
    <w:basedOn w:val="DefaultParagraphFont"/>
  </w:style>
  <w:style w:type="character" w:customStyle="1" w:styleId="MsoCommentReference0">
    <w:name w:val="MsoCommentReference"/>
    <w:basedOn w:val="DefaultParagraphFont"/>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rPr>
      <w:sz w:val="18"/>
      <w:szCs w:val="18"/>
    </w:rPr>
  </w:style>
  <w:style w:type="character" w:customStyle="1" w:styleId="CommentTextChar">
    <w:name w:val="Comment Text Char"/>
    <w:basedOn w:val="DefaultParagraphFont"/>
    <w:link w:val="CommentText"/>
    <w:semiHidden/>
    <w:rPr>
      <w:sz w:val="24"/>
      <w:szCs w:val="24"/>
    </w:rPr>
  </w:style>
  <w:style w:type="character" w:customStyle="1" w:styleId="CommentSubjectChar">
    <w:name w:val="Comment Subject Char"/>
    <w:basedOn w:val="CommentTextChar"/>
    <w:link w:val="CommentSubject"/>
    <w:semiHidden/>
    <w:rPr>
      <w:b/>
      <w:bCs/>
      <w:sz w:val="24"/>
      <w:szCs w:val="24"/>
    </w:rPr>
  </w:style>
  <w:style w:type="character" w:customStyle="1" w:styleId="apple-converted-space">
    <w:name w:val="apple-converted-space"/>
    <w:basedOn w:val="DefaultParagraphFont"/>
  </w:style>
  <w:style w:type="character" w:customStyle="1" w:styleId="BalloonTextChar">
    <w:name w:val="Balloon Text Char"/>
    <w:basedOn w:val="DefaultParagraphFont"/>
    <w:link w:val="BalloonText"/>
    <w:rPr>
      <w:rFonts w:ascii="SimSun" w:eastAsia="SimSu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semiHidden="0"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rPr>
      <w:lang w:eastAsia="en-US"/>
    </w:rPr>
  </w:style>
  <w:style w:type="paragraph" w:styleId="BalloonText">
    <w:name w:val="Balloon Text"/>
    <w:basedOn w:val="Normal"/>
    <w:link w:val="BalloonTextChar"/>
    <w:rPr>
      <w:rFonts w:ascii="SimSun" w:eastAsia="SimSun"/>
      <w:sz w:val="18"/>
      <w:szCs w:val="18"/>
      <w:lang w:eastAsia="en-US"/>
    </w:rPr>
  </w:style>
  <w:style w:type="paragraph" w:styleId="Footer">
    <w:name w:val="footer"/>
    <w:basedOn w:val="Normal"/>
    <w:link w:val="FooterChar"/>
    <w:unhideWhenUsed/>
    <w:pPr>
      <w:tabs>
        <w:tab w:val="center" w:pos="4153"/>
        <w:tab w:val="right" w:pos="8306"/>
      </w:tabs>
      <w:snapToGrid w:val="0"/>
    </w:pPr>
    <w:rPr>
      <w:sz w:val="18"/>
      <w:szCs w:val="18"/>
      <w:lang w:eastAsia="en-US"/>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lang w:eastAsia="en-US"/>
    </w:rPr>
  </w:style>
  <w:style w:type="paragraph" w:styleId="NormalWeb">
    <w:name w:val="Normal (Web)"/>
    <w:basedOn w:val="Normal"/>
    <w:uiPriority w:val="99"/>
    <w:semiHidden/>
    <w:unhideWhenUsed/>
    <w:pPr>
      <w:spacing w:before="100" w:beforeAutospacing="1" w:after="100" w:afterAutospacing="1"/>
    </w:pPr>
  </w:style>
  <w:style w:type="paragraph" w:styleId="CommentSubject">
    <w:name w:val="annotation subject"/>
    <w:basedOn w:val="CommentText"/>
    <w:next w:val="CommentText"/>
    <w:link w:val="CommentSubjectChar"/>
    <w:semiHidden/>
    <w:unhideWhenUsed/>
    <w:rPr>
      <w:b/>
      <w:bCs/>
    </w:rPr>
  </w:style>
  <w:style w:type="table" w:styleId="TableGrid">
    <w:name w:val="Table Grid"/>
    <w:basedOn w:val="TableNormal"/>
    <w:uiPriority w:val="39"/>
    <w:rPr>
      <w:rFonts w:asciiTheme="minorHAnsi" w:hAnsiTheme="minorHAnsi" w:cstheme="minorBid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Pr>
      <w:sz w:val="21"/>
      <w:szCs w:val="21"/>
    </w:rPr>
  </w:style>
  <w:style w:type="character" w:customStyle="1" w:styleId="skip">
    <w:name w:val="skip"/>
    <w:basedOn w:val="DefaultParagraphFont"/>
  </w:style>
  <w:style w:type="character" w:customStyle="1" w:styleId="tlid-translation">
    <w:name w:val="tlid-translation"/>
    <w:basedOn w:val="DefaultParagraphFont"/>
  </w:style>
  <w:style w:type="character" w:customStyle="1" w:styleId="MsoCommentReference0">
    <w:name w:val="MsoCommentReference"/>
    <w:basedOn w:val="DefaultParagraphFont"/>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rPr>
      <w:sz w:val="18"/>
      <w:szCs w:val="18"/>
    </w:rPr>
  </w:style>
  <w:style w:type="character" w:customStyle="1" w:styleId="CommentTextChar">
    <w:name w:val="Comment Text Char"/>
    <w:basedOn w:val="DefaultParagraphFont"/>
    <w:link w:val="CommentText"/>
    <w:semiHidden/>
    <w:rPr>
      <w:sz w:val="24"/>
      <w:szCs w:val="24"/>
    </w:rPr>
  </w:style>
  <w:style w:type="character" w:customStyle="1" w:styleId="CommentSubjectChar">
    <w:name w:val="Comment Subject Char"/>
    <w:basedOn w:val="CommentTextChar"/>
    <w:link w:val="CommentSubject"/>
    <w:semiHidden/>
    <w:rPr>
      <w:b/>
      <w:bCs/>
      <w:sz w:val="24"/>
      <w:szCs w:val="24"/>
    </w:rPr>
  </w:style>
  <w:style w:type="character" w:customStyle="1" w:styleId="apple-converted-space">
    <w:name w:val="apple-converted-space"/>
    <w:basedOn w:val="DefaultParagraphFont"/>
  </w:style>
  <w:style w:type="character" w:customStyle="1" w:styleId="BalloonTextChar">
    <w:name w:val="Balloon Text Char"/>
    <w:basedOn w:val="DefaultParagraphFont"/>
    <w:link w:val="BalloonText"/>
    <w:rPr>
      <w:rFonts w:ascii="SimSun" w:eastAsia="SimSu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BF2349-6348-4BC3-9978-1B8F6BA0C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4216</Words>
  <Characters>24034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Man</dc:creator>
  <cp:lastModifiedBy>jrw</cp:lastModifiedBy>
  <cp:revision>2</cp:revision>
  <dcterms:created xsi:type="dcterms:W3CDTF">2021-04-07T08:58:00Z</dcterms:created>
  <dcterms:modified xsi:type="dcterms:W3CDTF">2021-04-07T08:58:00Z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