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B68" w:rsidRPr="00736FFB" w:rsidRDefault="006F5B68" w:rsidP="00404435">
      <w:pPr>
        <w:spacing w:line="360" w:lineRule="auto"/>
        <w:jc w:val="both"/>
        <w:rPr>
          <w:rFonts w:ascii="Book Antiqua" w:hAnsi="Book Antiqua" w:cs="Tahoma"/>
          <w:b/>
          <w:color w:val="000000"/>
        </w:rPr>
      </w:pPr>
      <w:bookmarkStart w:id="0" w:name="_GoBack"/>
      <w:bookmarkEnd w:id="0"/>
      <w:r w:rsidRPr="00736FFB">
        <w:rPr>
          <w:rFonts w:ascii="Book Antiqua" w:hAnsi="Book Antiqua" w:cs="Tahoma"/>
          <w:b/>
          <w:color w:val="0000FF"/>
        </w:rPr>
        <w:t xml:space="preserve">Name of journal: </w:t>
      </w:r>
      <w:r w:rsidRPr="00736FFB">
        <w:rPr>
          <w:rFonts w:ascii="Book Antiqua" w:hAnsi="Book Antiqua" w:cs="Tahoma"/>
          <w:b/>
          <w:color w:val="000000"/>
        </w:rPr>
        <w:t>World Journal of Gastroenterology</w:t>
      </w:r>
    </w:p>
    <w:p w:rsidR="006F5B68" w:rsidRPr="00736FFB" w:rsidRDefault="006F5B68" w:rsidP="00404435">
      <w:pPr>
        <w:spacing w:line="360" w:lineRule="auto"/>
        <w:jc w:val="both"/>
        <w:rPr>
          <w:rFonts w:ascii="Book Antiqua" w:hAnsi="Book Antiqua" w:cs="Tahoma"/>
          <w:b/>
          <w:color w:val="0000FF"/>
        </w:rPr>
      </w:pPr>
      <w:r w:rsidRPr="00736FFB">
        <w:rPr>
          <w:rFonts w:ascii="Book Antiqua" w:hAnsi="Book Antiqua" w:cs="Tahoma"/>
          <w:b/>
          <w:color w:val="0000FF"/>
        </w:rPr>
        <w:t xml:space="preserve">ESPS Manuscript NO: </w:t>
      </w:r>
      <w:r w:rsidRPr="00736FFB">
        <w:rPr>
          <w:rFonts w:ascii="Book Antiqua" w:hAnsi="Book Antiqua" w:cs="Tahoma"/>
          <w:b/>
        </w:rPr>
        <w:t>6109</w:t>
      </w:r>
    </w:p>
    <w:p w:rsidR="006F5B68" w:rsidRDefault="006F5B68" w:rsidP="00404435">
      <w:pPr>
        <w:spacing w:line="360" w:lineRule="auto"/>
        <w:jc w:val="both"/>
        <w:rPr>
          <w:rFonts w:ascii="Book Antiqua" w:eastAsia="宋体" w:hAnsi="Book Antiqua" w:cs="Tahoma"/>
          <w:b/>
          <w:color w:val="000000"/>
          <w:lang w:eastAsia="zh-CN"/>
        </w:rPr>
      </w:pPr>
      <w:r w:rsidRPr="00736FFB">
        <w:rPr>
          <w:rFonts w:ascii="Book Antiqua" w:hAnsi="Book Antiqua" w:cs="Tahoma"/>
          <w:b/>
          <w:color w:val="0000FF"/>
        </w:rPr>
        <w:t>Columns:</w:t>
      </w:r>
      <w:r w:rsidRPr="00736FFB">
        <w:rPr>
          <w:rFonts w:ascii="Book Antiqua" w:hAnsi="Book Antiqua" w:cs="Tahoma"/>
          <w:b/>
          <w:color w:val="000000"/>
        </w:rPr>
        <w:t xml:space="preserve"> TOPIC HIGHLIGHTS</w:t>
      </w:r>
    </w:p>
    <w:p w:rsidR="006F5B68" w:rsidRPr="00736FFB" w:rsidRDefault="006F5B68" w:rsidP="00404435">
      <w:pPr>
        <w:spacing w:line="360" w:lineRule="auto"/>
        <w:jc w:val="both"/>
        <w:rPr>
          <w:rFonts w:ascii="Book Antiqua" w:eastAsia="宋体" w:hAnsi="Book Antiqua" w:cs="Tahoma"/>
          <w:b/>
          <w:color w:val="000000"/>
          <w:lang w:eastAsia="zh-CN"/>
        </w:rPr>
      </w:pPr>
    </w:p>
    <w:p w:rsidR="006F5B68" w:rsidRPr="00B0503E" w:rsidRDefault="006F5B68" w:rsidP="00404435">
      <w:pPr>
        <w:spacing w:line="360" w:lineRule="auto"/>
        <w:rPr>
          <w:rFonts w:ascii="Book Antiqua" w:hAnsi="Book Antiqua"/>
          <w:color w:val="000000"/>
        </w:rPr>
      </w:pPr>
      <w:r w:rsidRPr="00B0503E">
        <w:rPr>
          <w:rFonts w:ascii="Book Antiqua" w:hAnsi="Book Antiqua" w:cs="TwCenMT-Bold"/>
          <w:bCs/>
          <w:kern w:val="0"/>
        </w:rPr>
        <w:t>WJG 20th Anniversary Special Issues</w:t>
      </w:r>
      <w:r w:rsidRPr="00B0503E">
        <w:rPr>
          <w:rFonts w:ascii="Book Antiqua" w:hAnsi="Book Antiqua"/>
          <w:color w:val="000000"/>
        </w:rPr>
        <w:t xml:space="preserve"> (9): Hepatitis B virus</w:t>
      </w:r>
    </w:p>
    <w:p w:rsidR="006F5B68" w:rsidRPr="00736FFB" w:rsidRDefault="006F5B68" w:rsidP="00404435">
      <w:pPr>
        <w:pStyle w:val="a3"/>
        <w:spacing w:line="360" w:lineRule="auto"/>
        <w:jc w:val="both"/>
        <w:rPr>
          <w:rFonts w:ascii="Book Antiqua" w:eastAsia="宋体" w:hAnsi="Book Antiqua"/>
          <w:lang w:eastAsia="zh-CN"/>
        </w:rPr>
      </w:pPr>
    </w:p>
    <w:p w:rsidR="006F5B68" w:rsidRPr="00736FFB" w:rsidRDefault="006F5B68" w:rsidP="00404435">
      <w:pPr>
        <w:pStyle w:val="a3"/>
        <w:spacing w:line="360" w:lineRule="auto"/>
        <w:jc w:val="both"/>
        <w:rPr>
          <w:rFonts w:ascii="Book Antiqua" w:hAnsi="Book Antiqua"/>
          <w:lang w:eastAsia="zh-CN"/>
        </w:rPr>
      </w:pPr>
      <w:r w:rsidRPr="00736FFB">
        <w:rPr>
          <w:rFonts w:ascii="Book Antiqua" w:hAnsi="Book Antiqua"/>
        </w:rPr>
        <w:t>Risk calculators for hepatocellular carcinoma in patients affected with chronic hepatitis B in Asia</w:t>
      </w:r>
    </w:p>
    <w:p w:rsidR="006F5B68" w:rsidRPr="00736FFB" w:rsidRDefault="006F5B68" w:rsidP="00404435">
      <w:pPr>
        <w:pStyle w:val="a3"/>
        <w:spacing w:line="360" w:lineRule="auto"/>
        <w:jc w:val="both"/>
        <w:rPr>
          <w:rFonts w:ascii="Book Antiqua" w:eastAsia="宋体" w:hAnsi="Book Antiqua"/>
          <w:lang w:eastAsia="zh-CN"/>
        </w:rPr>
      </w:pPr>
    </w:p>
    <w:p w:rsidR="006F5B68" w:rsidRPr="00736FFB" w:rsidRDefault="006F5B68" w:rsidP="00404435">
      <w:pPr>
        <w:spacing w:line="360" w:lineRule="auto"/>
        <w:jc w:val="both"/>
        <w:rPr>
          <w:rFonts w:ascii="Book Antiqua" w:hAnsi="Book Antiqua" w:cs="Arial Unicode MS"/>
          <w:b/>
          <w:lang w:eastAsia="zh-CN"/>
        </w:rPr>
      </w:pPr>
      <w:bookmarkStart w:id="1" w:name="OLE_LINK108"/>
      <w:bookmarkStart w:id="2" w:name="OLE_LINK109"/>
      <w:bookmarkStart w:id="3" w:name="OLE_LINK110"/>
      <w:bookmarkStart w:id="4" w:name="OLE_LINK143"/>
      <w:r w:rsidRPr="00736FFB">
        <w:rPr>
          <w:rFonts w:ascii="Book Antiqua" w:hAnsi="Book Antiqua"/>
        </w:rPr>
        <w:t>Yang</w:t>
      </w:r>
      <w:r w:rsidRPr="00736FFB">
        <w:rPr>
          <w:rFonts w:ascii="Book Antiqua" w:hAnsi="Book Antiqua" w:cs="Arial Unicode MS"/>
          <w:b/>
        </w:rPr>
        <w:t xml:space="preserve"> </w:t>
      </w:r>
      <w:r w:rsidRPr="00736FFB">
        <w:rPr>
          <w:rFonts w:ascii="Book Antiqua" w:eastAsia="宋体" w:hAnsi="Book Antiqua" w:cs="Arial Unicode MS"/>
          <w:lang w:eastAsia="zh-CN"/>
        </w:rPr>
        <w:t xml:space="preserve">HI </w:t>
      </w:r>
      <w:r w:rsidRPr="00736FFB">
        <w:rPr>
          <w:rFonts w:ascii="Book Antiqua" w:eastAsia="宋体" w:hAnsi="Book Antiqua" w:cs="Arial Unicode MS"/>
          <w:i/>
          <w:lang w:eastAsia="zh-CN"/>
        </w:rPr>
        <w:t xml:space="preserve">et al. </w:t>
      </w:r>
      <w:r w:rsidRPr="00736FFB">
        <w:rPr>
          <w:rFonts w:ascii="Book Antiqua" w:hAnsi="Book Antiqua" w:cs="Arial Unicode MS"/>
        </w:rPr>
        <w:t>HCC risk calculator for CHB</w:t>
      </w:r>
      <w:bookmarkEnd w:id="1"/>
      <w:bookmarkEnd w:id="2"/>
      <w:bookmarkEnd w:id="3"/>
      <w:bookmarkEnd w:id="4"/>
    </w:p>
    <w:p w:rsidR="006F5B68" w:rsidRPr="00736FFB" w:rsidRDefault="006F5B68" w:rsidP="00404435">
      <w:pPr>
        <w:spacing w:line="360" w:lineRule="auto"/>
        <w:jc w:val="both"/>
        <w:rPr>
          <w:rFonts w:ascii="Book Antiqua" w:hAnsi="Book Antiqua"/>
          <w:lang w:eastAsia="zh-CN"/>
        </w:rPr>
      </w:pPr>
    </w:p>
    <w:p w:rsidR="006F5B68" w:rsidRPr="00736FFB" w:rsidRDefault="006F5B68" w:rsidP="00404435">
      <w:pPr>
        <w:snapToGrid w:val="0"/>
        <w:spacing w:line="360" w:lineRule="auto"/>
        <w:jc w:val="both"/>
        <w:rPr>
          <w:rFonts w:ascii="Book Antiqua" w:hAnsi="Book Antiqua"/>
        </w:rPr>
      </w:pPr>
      <w:proofErr w:type="spellStart"/>
      <w:r w:rsidRPr="00736FFB">
        <w:rPr>
          <w:rFonts w:ascii="Book Antiqua" w:hAnsi="Book Antiqua"/>
        </w:rPr>
        <w:t>Hwai</w:t>
      </w:r>
      <w:proofErr w:type="spellEnd"/>
      <w:r w:rsidRPr="00736FFB">
        <w:rPr>
          <w:rFonts w:ascii="Book Antiqua" w:hAnsi="Book Antiqua"/>
        </w:rPr>
        <w:t>-I Yang, Mei-</w:t>
      </w:r>
      <w:proofErr w:type="spellStart"/>
      <w:r w:rsidRPr="00736FFB">
        <w:rPr>
          <w:rFonts w:ascii="Book Antiqua" w:hAnsi="Book Antiqua"/>
        </w:rPr>
        <w:t>Hsuan</w:t>
      </w:r>
      <w:proofErr w:type="spellEnd"/>
      <w:r w:rsidRPr="00736FFB">
        <w:rPr>
          <w:rFonts w:ascii="Book Antiqua" w:hAnsi="Book Antiqua"/>
        </w:rPr>
        <w:t xml:space="preserve"> Lee, Jessica Liu, </w:t>
      </w:r>
      <w:proofErr w:type="spellStart"/>
      <w:r w:rsidRPr="00736FFB">
        <w:rPr>
          <w:rFonts w:ascii="Book Antiqua" w:hAnsi="Book Antiqua"/>
        </w:rPr>
        <w:t>Chien</w:t>
      </w:r>
      <w:proofErr w:type="spellEnd"/>
      <w:r w:rsidRPr="00736FFB">
        <w:rPr>
          <w:rFonts w:ascii="Book Antiqua" w:hAnsi="Book Antiqua"/>
        </w:rPr>
        <w:t>-Jen Chen</w:t>
      </w:r>
    </w:p>
    <w:p w:rsidR="006F5B68" w:rsidRPr="00736FFB" w:rsidRDefault="005175D6" w:rsidP="00404435">
      <w:pPr>
        <w:snapToGrid w:val="0"/>
        <w:spacing w:line="360" w:lineRule="auto"/>
        <w:jc w:val="both"/>
        <w:rPr>
          <w:rFonts w:ascii="Book Antiqua" w:hAnsi="Book Antiqua"/>
        </w:rPr>
      </w:pPr>
      <w:r>
        <w:rPr>
          <w:noProof/>
          <w:lang w:eastAsia="zh-CN"/>
        </w:rPr>
        <w:pict>
          <v:line id="_x0000_s1026" style="position:absolute;left:0;text-align:left;z-index:1" from="3.45pt,7.65pt" to="412.65pt,7.65pt" strokecolor="gray" strokeweight="3pt"/>
        </w:pict>
      </w:r>
    </w:p>
    <w:p w:rsidR="006F5B68" w:rsidRPr="00736FFB" w:rsidRDefault="006F5B68" w:rsidP="00404435">
      <w:pPr>
        <w:snapToGrid w:val="0"/>
        <w:spacing w:line="360" w:lineRule="auto"/>
        <w:jc w:val="both"/>
        <w:rPr>
          <w:rFonts w:ascii="Book Antiqua" w:eastAsia="宋体" w:hAnsi="Book Antiqua"/>
          <w:lang w:eastAsia="zh-CN"/>
        </w:rPr>
      </w:pPr>
      <w:proofErr w:type="spellStart"/>
      <w:r w:rsidRPr="00736FFB">
        <w:rPr>
          <w:rFonts w:ascii="Book Antiqua" w:hAnsi="Book Antiqua"/>
          <w:b/>
        </w:rPr>
        <w:t>Hwai</w:t>
      </w:r>
      <w:proofErr w:type="spellEnd"/>
      <w:r w:rsidRPr="00736FFB">
        <w:rPr>
          <w:rFonts w:ascii="Book Antiqua" w:hAnsi="Book Antiqua"/>
          <w:b/>
        </w:rPr>
        <w:t xml:space="preserve">-I Yang, Jessica Liu, </w:t>
      </w:r>
      <w:proofErr w:type="spellStart"/>
      <w:r w:rsidRPr="00736FFB">
        <w:rPr>
          <w:rFonts w:ascii="Book Antiqua" w:hAnsi="Book Antiqua"/>
          <w:b/>
        </w:rPr>
        <w:t>Chien</w:t>
      </w:r>
      <w:proofErr w:type="spellEnd"/>
      <w:r w:rsidRPr="00736FFB">
        <w:rPr>
          <w:rFonts w:ascii="Book Antiqua" w:hAnsi="Book Antiqua"/>
          <w:b/>
        </w:rPr>
        <w:t>-Jen Chen,</w:t>
      </w:r>
      <w:r w:rsidRPr="00736FFB">
        <w:rPr>
          <w:rFonts w:ascii="Book Antiqua" w:hAnsi="Book Antiqua"/>
        </w:rPr>
        <w:t xml:space="preserve"> Genomics Research Center, Academia </w:t>
      </w:r>
      <w:proofErr w:type="spellStart"/>
      <w:r w:rsidRPr="00736FFB">
        <w:rPr>
          <w:rFonts w:ascii="Book Antiqua" w:hAnsi="Book Antiqua"/>
        </w:rPr>
        <w:t>Sinica</w:t>
      </w:r>
      <w:proofErr w:type="spellEnd"/>
      <w:r w:rsidRPr="00736FFB">
        <w:rPr>
          <w:rFonts w:ascii="Book Antiqua" w:hAnsi="Book Antiqua"/>
        </w:rPr>
        <w:t>, Taipei</w:t>
      </w:r>
      <w:r w:rsidRPr="00736FFB">
        <w:rPr>
          <w:rFonts w:ascii="Book Antiqua" w:eastAsia="宋体" w:hAnsi="Book Antiqua"/>
          <w:lang w:eastAsia="zh-CN"/>
        </w:rPr>
        <w:t xml:space="preserve"> </w:t>
      </w:r>
      <w:r w:rsidRPr="00736FFB">
        <w:rPr>
          <w:rFonts w:ascii="Book Antiqua" w:eastAsia="AdvP6EC0" w:hAnsi="Book Antiqua"/>
          <w:kern w:val="0"/>
        </w:rPr>
        <w:t>115</w:t>
      </w:r>
      <w:r w:rsidRPr="00736FFB">
        <w:rPr>
          <w:rFonts w:ascii="Book Antiqua" w:hAnsi="Book Antiqua"/>
        </w:rPr>
        <w:t>, Taiwan</w:t>
      </w:r>
    </w:p>
    <w:p w:rsidR="006F5B68" w:rsidRPr="00736FFB" w:rsidRDefault="006F5B68" w:rsidP="00404435">
      <w:pPr>
        <w:snapToGrid w:val="0"/>
        <w:spacing w:line="360" w:lineRule="auto"/>
        <w:jc w:val="both"/>
        <w:rPr>
          <w:rFonts w:ascii="Book Antiqua" w:eastAsia="宋体" w:hAnsi="Book Antiqua"/>
          <w:lang w:eastAsia="zh-CN"/>
        </w:rPr>
      </w:pPr>
    </w:p>
    <w:p w:rsidR="006F5B68" w:rsidRPr="00736FFB" w:rsidRDefault="006F5B68" w:rsidP="00404435">
      <w:pPr>
        <w:snapToGrid w:val="0"/>
        <w:spacing w:line="360" w:lineRule="auto"/>
        <w:jc w:val="both"/>
        <w:rPr>
          <w:rFonts w:ascii="Book Antiqua" w:eastAsia="宋体" w:hAnsi="Book Antiqua"/>
          <w:lang w:eastAsia="zh-CN"/>
        </w:rPr>
      </w:pPr>
      <w:proofErr w:type="spellStart"/>
      <w:r w:rsidRPr="00736FFB">
        <w:rPr>
          <w:rFonts w:ascii="Book Antiqua" w:hAnsi="Book Antiqua"/>
          <w:b/>
        </w:rPr>
        <w:t>Hwai</w:t>
      </w:r>
      <w:proofErr w:type="spellEnd"/>
      <w:r w:rsidRPr="00736FFB">
        <w:rPr>
          <w:rFonts w:ascii="Book Antiqua" w:hAnsi="Book Antiqua"/>
          <w:b/>
        </w:rPr>
        <w:t>-I Yang,</w:t>
      </w:r>
      <w:r w:rsidRPr="00736FFB">
        <w:rPr>
          <w:rFonts w:ascii="Book Antiqua" w:hAnsi="Book Antiqua"/>
        </w:rPr>
        <w:t xml:space="preserve"> Graduate Institute of Clinical Medical Science, China Medical University, Taichung</w:t>
      </w:r>
      <w:r>
        <w:rPr>
          <w:rFonts w:ascii="Book Antiqua" w:eastAsia="宋体" w:hAnsi="Book Antiqua"/>
          <w:lang w:eastAsia="zh-CN"/>
        </w:rPr>
        <w:t xml:space="preserve"> 401</w:t>
      </w:r>
      <w:r w:rsidRPr="00736FFB">
        <w:rPr>
          <w:rFonts w:ascii="Book Antiqua" w:hAnsi="Book Antiqua"/>
        </w:rPr>
        <w:t>, Taiwan</w:t>
      </w:r>
    </w:p>
    <w:p w:rsidR="006F5B68" w:rsidRPr="00736FFB" w:rsidRDefault="006F5B68" w:rsidP="00404435">
      <w:pPr>
        <w:snapToGrid w:val="0"/>
        <w:spacing w:line="360" w:lineRule="auto"/>
        <w:jc w:val="both"/>
        <w:rPr>
          <w:rFonts w:ascii="Book Antiqua" w:eastAsia="宋体" w:hAnsi="Book Antiqua"/>
          <w:lang w:eastAsia="zh-CN"/>
        </w:rPr>
      </w:pPr>
    </w:p>
    <w:p w:rsidR="006F5B68" w:rsidRPr="00736FFB" w:rsidRDefault="006F5B68" w:rsidP="00404435">
      <w:pPr>
        <w:snapToGrid w:val="0"/>
        <w:spacing w:line="360" w:lineRule="auto"/>
        <w:jc w:val="both"/>
        <w:rPr>
          <w:rFonts w:ascii="Book Antiqua" w:eastAsia="宋体" w:hAnsi="Book Antiqua"/>
          <w:lang w:eastAsia="zh-CN"/>
        </w:rPr>
      </w:pPr>
      <w:proofErr w:type="spellStart"/>
      <w:r w:rsidRPr="00736FFB">
        <w:rPr>
          <w:rFonts w:ascii="Book Antiqua" w:hAnsi="Book Antiqua"/>
          <w:b/>
        </w:rPr>
        <w:t>Hwai</w:t>
      </w:r>
      <w:proofErr w:type="spellEnd"/>
      <w:r w:rsidRPr="00736FFB">
        <w:rPr>
          <w:rFonts w:ascii="Book Antiqua" w:hAnsi="Book Antiqua"/>
          <w:b/>
        </w:rPr>
        <w:t>-I Yang,</w:t>
      </w:r>
      <w:r w:rsidRPr="00736FFB">
        <w:rPr>
          <w:rFonts w:ascii="Book Antiqua" w:hAnsi="Book Antiqua"/>
        </w:rPr>
        <w:t xml:space="preserve"> Molecular and Genomic Epidemiology Center, China Medical University Hospital, Taichung</w:t>
      </w:r>
      <w:r>
        <w:rPr>
          <w:rFonts w:ascii="Book Antiqua" w:eastAsia="宋体" w:hAnsi="Book Antiqua"/>
          <w:lang w:eastAsia="zh-CN"/>
        </w:rPr>
        <w:t xml:space="preserve"> 401</w:t>
      </w:r>
      <w:r w:rsidRPr="00736FFB">
        <w:rPr>
          <w:rFonts w:ascii="Book Antiqua" w:hAnsi="Book Antiqua"/>
        </w:rPr>
        <w:t>, Taiwan</w:t>
      </w:r>
    </w:p>
    <w:p w:rsidR="006F5B68" w:rsidRPr="00736FFB" w:rsidRDefault="006F5B68" w:rsidP="00404435">
      <w:pPr>
        <w:snapToGrid w:val="0"/>
        <w:spacing w:line="360" w:lineRule="auto"/>
        <w:jc w:val="both"/>
        <w:rPr>
          <w:rFonts w:ascii="Book Antiqua" w:eastAsia="宋体" w:hAnsi="Book Antiqua"/>
          <w:lang w:eastAsia="zh-CN"/>
        </w:rPr>
      </w:pPr>
    </w:p>
    <w:p w:rsidR="006F5B68" w:rsidRPr="00736FFB" w:rsidRDefault="006F5B68" w:rsidP="00404435">
      <w:pPr>
        <w:snapToGrid w:val="0"/>
        <w:spacing w:line="360" w:lineRule="auto"/>
        <w:jc w:val="both"/>
        <w:rPr>
          <w:rFonts w:ascii="Book Antiqua" w:eastAsia="宋体" w:hAnsi="Book Antiqua"/>
          <w:lang w:eastAsia="zh-CN"/>
        </w:rPr>
      </w:pPr>
      <w:r w:rsidRPr="00736FFB">
        <w:rPr>
          <w:rFonts w:ascii="Book Antiqua" w:hAnsi="Book Antiqua"/>
          <w:b/>
        </w:rPr>
        <w:t>Mei-</w:t>
      </w:r>
      <w:proofErr w:type="spellStart"/>
      <w:r w:rsidRPr="00736FFB">
        <w:rPr>
          <w:rFonts w:ascii="Book Antiqua" w:hAnsi="Book Antiqua"/>
          <w:b/>
        </w:rPr>
        <w:t>Hsuan</w:t>
      </w:r>
      <w:proofErr w:type="spellEnd"/>
      <w:r w:rsidRPr="00736FFB">
        <w:rPr>
          <w:rFonts w:ascii="Book Antiqua" w:hAnsi="Book Antiqua"/>
          <w:b/>
        </w:rPr>
        <w:t xml:space="preserve"> Lee,</w:t>
      </w:r>
      <w:r w:rsidRPr="00736FFB">
        <w:rPr>
          <w:rFonts w:ascii="Book Antiqua" w:hAnsi="Book Antiqua"/>
        </w:rPr>
        <w:t xml:space="preserve"> Institute of Clinical Medicine, National Yang-Ming University, Taipei</w:t>
      </w:r>
      <w:r w:rsidRPr="00736FFB">
        <w:rPr>
          <w:rFonts w:ascii="Book Antiqua" w:eastAsia="宋体" w:hAnsi="Book Antiqua"/>
          <w:lang w:eastAsia="zh-CN"/>
        </w:rPr>
        <w:t xml:space="preserve"> </w:t>
      </w:r>
      <w:r>
        <w:rPr>
          <w:rFonts w:ascii="Book Antiqua" w:eastAsia="宋体" w:hAnsi="Book Antiqua"/>
          <w:lang w:eastAsia="zh-CN"/>
        </w:rPr>
        <w:t>115</w:t>
      </w:r>
      <w:r w:rsidRPr="00736FFB">
        <w:rPr>
          <w:rFonts w:ascii="Book Antiqua" w:hAnsi="Book Antiqua"/>
        </w:rPr>
        <w:t>, Taiwan</w:t>
      </w:r>
    </w:p>
    <w:p w:rsidR="006F5B68" w:rsidRPr="00736FFB" w:rsidRDefault="006F5B68" w:rsidP="00404435">
      <w:pPr>
        <w:snapToGrid w:val="0"/>
        <w:spacing w:line="360" w:lineRule="auto"/>
        <w:jc w:val="both"/>
        <w:rPr>
          <w:rFonts w:ascii="Book Antiqua" w:eastAsia="宋体" w:hAnsi="Book Antiqua"/>
          <w:lang w:eastAsia="zh-CN"/>
        </w:rPr>
      </w:pPr>
    </w:p>
    <w:p w:rsidR="006F5B68" w:rsidRPr="00736FFB" w:rsidRDefault="006F5B68" w:rsidP="00404435">
      <w:pPr>
        <w:snapToGrid w:val="0"/>
        <w:spacing w:line="360" w:lineRule="auto"/>
        <w:jc w:val="both"/>
        <w:rPr>
          <w:rFonts w:ascii="Book Antiqua" w:hAnsi="Book Antiqua"/>
        </w:rPr>
      </w:pPr>
      <w:proofErr w:type="spellStart"/>
      <w:r w:rsidRPr="00736FFB">
        <w:rPr>
          <w:rFonts w:ascii="Book Antiqua" w:hAnsi="Book Antiqua"/>
          <w:b/>
        </w:rPr>
        <w:t>Chien</w:t>
      </w:r>
      <w:proofErr w:type="spellEnd"/>
      <w:r w:rsidRPr="00736FFB">
        <w:rPr>
          <w:rFonts w:ascii="Book Antiqua" w:hAnsi="Book Antiqua"/>
          <w:b/>
        </w:rPr>
        <w:t>-Jen Chen,</w:t>
      </w:r>
      <w:r w:rsidRPr="00736FFB">
        <w:rPr>
          <w:rFonts w:ascii="Book Antiqua" w:hAnsi="Book Antiqua"/>
        </w:rPr>
        <w:t xml:space="preserve"> Graduate Institute of Epidemiology and Preventive Medicine, College of Public Health, National Taiwan University, Taipei</w:t>
      </w:r>
      <w:r w:rsidRPr="00736FFB">
        <w:rPr>
          <w:rFonts w:ascii="Book Antiqua" w:eastAsia="宋体" w:hAnsi="Book Antiqua"/>
          <w:lang w:eastAsia="zh-CN"/>
        </w:rPr>
        <w:t xml:space="preserve"> </w:t>
      </w:r>
      <w:r>
        <w:rPr>
          <w:rFonts w:ascii="Book Antiqua" w:eastAsia="宋体" w:hAnsi="Book Antiqua"/>
          <w:lang w:eastAsia="zh-CN"/>
        </w:rPr>
        <w:t>115</w:t>
      </w:r>
      <w:r w:rsidRPr="00736FFB">
        <w:rPr>
          <w:rFonts w:ascii="Book Antiqua" w:hAnsi="Book Antiqua"/>
        </w:rPr>
        <w:t>, Taiwan</w:t>
      </w:r>
    </w:p>
    <w:p w:rsidR="006F5B68" w:rsidRPr="00736FFB" w:rsidRDefault="006F5B68" w:rsidP="00404435">
      <w:pPr>
        <w:tabs>
          <w:tab w:val="left" w:pos="1530"/>
        </w:tabs>
        <w:snapToGrid w:val="0"/>
        <w:spacing w:line="360" w:lineRule="auto"/>
        <w:jc w:val="both"/>
        <w:rPr>
          <w:rFonts w:ascii="Book Antiqua" w:eastAsia="AdvP6EC0" w:hAnsi="Book Antiqua"/>
          <w:kern w:val="0"/>
        </w:rPr>
      </w:pPr>
    </w:p>
    <w:p w:rsidR="006F5B68" w:rsidRPr="00736FFB" w:rsidRDefault="006F5B68" w:rsidP="00404435">
      <w:pPr>
        <w:spacing w:line="360" w:lineRule="auto"/>
        <w:jc w:val="both"/>
        <w:rPr>
          <w:rFonts w:ascii="Book Antiqua" w:hAnsi="Book Antiqua"/>
          <w:b/>
        </w:rPr>
      </w:pPr>
      <w:bookmarkStart w:id="5" w:name="OLE_LINK231"/>
      <w:bookmarkStart w:id="6" w:name="OLE_LINK234"/>
      <w:r w:rsidRPr="00736FFB">
        <w:rPr>
          <w:rFonts w:ascii="Book Antiqua" w:eastAsia="MS Mincho" w:hAnsi="Book Antiqua"/>
          <w:b/>
          <w:lang w:eastAsia="ja-JP"/>
        </w:rPr>
        <w:lastRenderedPageBreak/>
        <w:t>Author contributions:</w:t>
      </w:r>
      <w:r w:rsidRPr="00736FFB">
        <w:rPr>
          <w:rFonts w:ascii="Book Antiqua" w:hAnsi="Book Antiqua"/>
          <w:b/>
        </w:rPr>
        <w:t xml:space="preserve"> </w:t>
      </w:r>
      <w:r w:rsidRPr="00736FFB">
        <w:rPr>
          <w:rFonts w:ascii="Book Antiqua" w:hAnsi="Book Antiqua"/>
        </w:rPr>
        <w:t xml:space="preserve">Yang HI contributed to the literature search and review, manuscript drafting, and final revision of the article; Lee MH, Liu J and Chen CJ contributed to the final revision of the article. </w:t>
      </w:r>
    </w:p>
    <w:bookmarkEnd w:id="5"/>
    <w:bookmarkEnd w:id="6"/>
    <w:p w:rsidR="006F5B68" w:rsidRPr="00736FFB" w:rsidRDefault="006F5B68" w:rsidP="00404435">
      <w:pPr>
        <w:snapToGrid w:val="0"/>
        <w:spacing w:line="360" w:lineRule="auto"/>
        <w:jc w:val="both"/>
        <w:rPr>
          <w:rFonts w:ascii="Book Antiqua" w:eastAsia="宋体" w:hAnsi="Book Antiqua"/>
          <w:lang w:eastAsia="zh-CN"/>
        </w:rPr>
      </w:pPr>
    </w:p>
    <w:p w:rsidR="006F5B68" w:rsidRPr="00736FFB" w:rsidRDefault="006F5B68" w:rsidP="00404435">
      <w:pPr>
        <w:snapToGrid w:val="0"/>
        <w:spacing w:line="360" w:lineRule="auto"/>
        <w:jc w:val="both"/>
        <w:rPr>
          <w:rFonts w:ascii="Book Antiqua" w:eastAsia="宋体" w:hAnsi="Book Antiqua"/>
          <w:kern w:val="0"/>
          <w:lang w:eastAsia="zh-CN"/>
        </w:rPr>
      </w:pPr>
      <w:r w:rsidRPr="00736FFB">
        <w:rPr>
          <w:rFonts w:ascii="Book Antiqua" w:hAnsi="Book Antiqua"/>
          <w:b/>
        </w:rPr>
        <w:t xml:space="preserve">Supported by </w:t>
      </w:r>
      <w:r w:rsidRPr="00736FFB">
        <w:rPr>
          <w:rFonts w:ascii="Book Antiqua" w:hAnsi="Book Antiqua"/>
        </w:rPr>
        <w:t xml:space="preserve">The Department of Health, Executive Yuan, Taipei, Taiwan, Bristol-Myers Squibb Co., United States; Academia </w:t>
      </w:r>
      <w:proofErr w:type="spellStart"/>
      <w:r w:rsidRPr="00736FFB">
        <w:rPr>
          <w:rFonts w:ascii="Book Antiqua" w:hAnsi="Book Antiqua"/>
        </w:rPr>
        <w:t>Sinica</w:t>
      </w:r>
      <w:proofErr w:type="spellEnd"/>
      <w:r w:rsidRPr="00736FFB">
        <w:rPr>
          <w:rFonts w:ascii="Book Antiqua" w:hAnsi="Book Antiqua"/>
        </w:rPr>
        <w:t xml:space="preserve">, Taipei, Taiwan; the National Science Council </w:t>
      </w:r>
      <w:r w:rsidRPr="00736FFB">
        <w:rPr>
          <w:rFonts w:ascii="Book Antiqua" w:eastAsia="宋体" w:hAnsi="Book Antiqua"/>
          <w:lang w:eastAsia="zh-CN"/>
        </w:rPr>
        <w:t xml:space="preserve">No. </w:t>
      </w:r>
      <w:r w:rsidRPr="00736FFB">
        <w:rPr>
          <w:rFonts w:ascii="Book Antiqua" w:hAnsi="Book Antiqua"/>
        </w:rPr>
        <w:t xml:space="preserve">NSC101-2314-B-039-029-MY3, Taipei, Taiwan; and the National Health Research Institutes (NHRI-EX98-9806PI), </w:t>
      </w:r>
      <w:proofErr w:type="spellStart"/>
      <w:r w:rsidRPr="00736FFB">
        <w:rPr>
          <w:rFonts w:ascii="Book Antiqua" w:hAnsi="Book Antiqua"/>
        </w:rPr>
        <w:t>Chunan</w:t>
      </w:r>
      <w:proofErr w:type="spellEnd"/>
      <w:r w:rsidRPr="00736FFB">
        <w:rPr>
          <w:rFonts w:ascii="Book Antiqua" w:hAnsi="Book Antiqua"/>
        </w:rPr>
        <w:t>, Taiwan</w:t>
      </w:r>
      <w:r w:rsidRPr="00736FFB">
        <w:rPr>
          <w:rFonts w:ascii="Book Antiqua" w:hAnsi="Book Antiqua"/>
          <w:kern w:val="0"/>
          <w:lang w:eastAsia="en-US"/>
        </w:rPr>
        <w:t>.</w:t>
      </w:r>
    </w:p>
    <w:p w:rsidR="006F5B68" w:rsidRPr="00736FFB" w:rsidRDefault="006F5B68" w:rsidP="00404435">
      <w:pPr>
        <w:snapToGrid w:val="0"/>
        <w:spacing w:line="360" w:lineRule="auto"/>
        <w:jc w:val="both"/>
        <w:rPr>
          <w:rFonts w:ascii="Book Antiqua" w:eastAsia="宋体" w:hAnsi="Book Antiqua"/>
          <w:lang w:eastAsia="zh-CN"/>
        </w:rPr>
      </w:pPr>
    </w:p>
    <w:p w:rsidR="006F5B68" w:rsidRPr="00736FFB" w:rsidRDefault="006F5B68" w:rsidP="00404435">
      <w:pPr>
        <w:spacing w:line="360" w:lineRule="auto"/>
        <w:jc w:val="both"/>
        <w:rPr>
          <w:rStyle w:val="a6"/>
          <w:rFonts w:ascii="Book Antiqua" w:eastAsia="宋体" w:hAnsi="Book Antiqua"/>
          <w:color w:val="auto"/>
          <w:u w:val="none"/>
          <w:lang w:eastAsia="zh-CN"/>
        </w:rPr>
      </w:pPr>
      <w:r w:rsidRPr="00736FFB">
        <w:rPr>
          <w:rFonts w:ascii="Book Antiqua" w:hAnsi="Book Antiqua"/>
          <w:b/>
          <w:color w:val="000000"/>
        </w:rPr>
        <w:t>Correspondence to:</w:t>
      </w:r>
      <w:r w:rsidRPr="00736FFB">
        <w:rPr>
          <w:rFonts w:ascii="Book Antiqua" w:eastAsia="宋体" w:hAnsi="Book Antiqua"/>
          <w:b/>
          <w:color w:val="000000"/>
          <w:lang w:eastAsia="zh-CN"/>
        </w:rPr>
        <w:t xml:space="preserve"> </w:t>
      </w:r>
      <w:proofErr w:type="spellStart"/>
      <w:r w:rsidRPr="00736FFB">
        <w:rPr>
          <w:rFonts w:ascii="Book Antiqua" w:eastAsia="AdvP6EC0" w:hAnsi="Book Antiqua"/>
          <w:b/>
          <w:kern w:val="0"/>
        </w:rPr>
        <w:t>Hwai</w:t>
      </w:r>
      <w:proofErr w:type="spellEnd"/>
      <w:r w:rsidRPr="00736FFB">
        <w:rPr>
          <w:rFonts w:ascii="Book Antiqua" w:eastAsia="AdvP6EC0" w:hAnsi="Book Antiqua"/>
          <w:b/>
          <w:kern w:val="0"/>
        </w:rPr>
        <w:t>-I Yang, PhD,</w:t>
      </w:r>
      <w:r w:rsidRPr="00736FFB">
        <w:rPr>
          <w:rFonts w:ascii="Book Antiqua" w:eastAsia="AdvP6EC0" w:hAnsi="Book Antiqua"/>
          <w:kern w:val="0"/>
        </w:rPr>
        <w:t xml:space="preserve"> Genomics Research Center, Academia </w:t>
      </w:r>
      <w:proofErr w:type="spellStart"/>
      <w:r w:rsidRPr="00736FFB">
        <w:rPr>
          <w:rFonts w:ascii="Book Antiqua" w:eastAsia="AdvP6EC0" w:hAnsi="Book Antiqua"/>
          <w:kern w:val="0"/>
        </w:rPr>
        <w:t>Sinica</w:t>
      </w:r>
      <w:proofErr w:type="spellEnd"/>
      <w:r w:rsidRPr="00736FFB">
        <w:rPr>
          <w:rFonts w:ascii="Book Antiqua" w:eastAsia="AdvP6EC0" w:hAnsi="Book Antiqua"/>
          <w:kern w:val="0"/>
        </w:rPr>
        <w:t xml:space="preserve">, 128 Academia Road Section 2, Taipei 115, Taiwan. </w:t>
      </w:r>
      <w:hyperlink r:id="rId8" w:history="1">
        <w:r w:rsidRPr="00736FFB">
          <w:rPr>
            <w:rStyle w:val="a6"/>
            <w:rFonts w:ascii="Book Antiqua" w:hAnsi="Book Antiqua"/>
            <w:color w:val="auto"/>
            <w:u w:val="none"/>
          </w:rPr>
          <w:t>hiyang@gate.sinica.edu.tw</w:t>
        </w:r>
      </w:hyperlink>
    </w:p>
    <w:p w:rsidR="006F5B68" w:rsidRDefault="006F5B68" w:rsidP="00404435">
      <w:pPr>
        <w:spacing w:line="360" w:lineRule="auto"/>
        <w:jc w:val="both"/>
        <w:rPr>
          <w:rFonts w:ascii="Book Antiqua" w:eastAsia="宋体" w:hAnsi="Book Antiqua"/>
          <w:b/>
          <w:color w:val="000000"/>
          <w:lang w:eastAsia="zh-CN"/>
        </w:rPr>
      </w:pPr>
    </w:p>
    <w:p w:rsidR="006F5B68" w:rsidRPr="00F40176" w:rsidRDefault="006F5B68" w:rsidP="00404435">
      <w:pPr>
        <w:spacing w:line="360" w:lineRule="auto"/>
        <w:jc w:val="both"/>
        <w:rPr>
          <w:rFonts w:ascii="Book Antiqua" w:eastAsia="宋体" w:hAnsi="Book Antiqua"/>
          <w:b/>
          <w:color w:val="000000"/>
          <w:lang w:eastAsia="zh-CN"/>
        </w:rPr>
      </w:pPr>
      <w:r w:rsidRPr="00736FFB">
        <w:rPr>
          <w:rFonts w:ascii="Book Antiqua" w:hAnsi="Book Antiqua"/>
          <w:b/>
          <w:color w:val="000000"/>
        </w:rPr>
        <w:t>Telephone: +</w:t>
      </w:r>
      <w:r w:rsidRPr="00736FFB">
        <w:rPr>
          <w:rFonts w:ascii="Book Antiqua" w:hAnsi="Book Antiqua"/>
          <w:color w:val="000000"/>
        </w:rPr>
        <w:t>886-</w:t>
      </w:r>
      <w:r w:rsidRPr="00736FFB">
        <w:rPr>
          <w:rFonts w:ascii="Book Antiqua" w:hAnsi="Book Antiqua" w:cs="Arial"/>
          <w:color w:val="000000"/>
        </w:rPr>
        <w:t>2-27871308</w:t>
      </w:r>
      <w:r w:rsidRPr="00736FFB">
        <w:rPr>
          <w:rFonts w:ascii="Book Antiqua" w:eastAsia="宋体" w:hAnsi="Book Antiqua"/>
          <w:b/>
          <w:color w:val="000000"/>
          <w:lang w:eastAsia="zh-CN"/>
        </w:rPr>
        <w:tab/>
      </w:r>
      <w:r w:rsidRPr="00736FFB">
        <w:rPr>
          <w:rFonts w:ascii="Book Antiqua" w:eastAsia="宋体" w:hAnsi="Book Antiqua"/>
          <w:b/>
          <w:color w:val="000000"/>
          <w:lang w:eastAsia="zh-CN"/>
        </w:rPr>
        <w:tab/>
      </w:r>
      <w:r w:rsidRPr="00736FFB">
        <w:rPr>
          <w:rFonts w:ascii="Book Antiqua" w:hAnsi="Book Antiqua"/>
          <w:b/>
          <w:color w:val="000000"/>
        </w:rPr>
        <w:t>Fax:</w:t>
      </w:r>
      <w:r w:rsidRPr="00736FFB">
        <w:rPr>
          <w:rFonts w:ascii="Book Antiqua" w:hAnsi="Book Antiqua" w:cs="Arial"/>
          <w:color w:val="000000"/>
        </w:rPr>
        <w:t xml:space="preserve"> +886-2-27898811</w:t>
      </w:r>
    </w:p>
    <w:p w:rsidR="006F5B68" w:rsidRPr="00736FFB" w:rsidRDefault="006F5B68" w:rsidP="00404435">
      <w:pPr>
        <w:spacing w:line="360" w:lineRule="auto"/>
        <w:jc w:val="both"/>
        <w:rPr>
          <w:rFonts w:ascii="Book Antiqua" w:hAnsi="Book Antiqua"/>
          <w:b/>
          <w:color w:val="000000"/>
        </w:rPr>
      </w:pPr>
    </w:p>
    <w:p w:rsidR="006F5B68" w:rsidRPr="00736FFB" w:rsidRDefault="006F5B68" w:rsidP="00404435">
      <w:pPr>
        <w:spacing w:line="360" w:lineRule="auto"/>
        <w:jc w:val="both"/>
        <w:rPr>
          <w:rFonts w:ascii="Book Antiqua" w:eastAsia="宋体" w:hAnsi="Book Antiqua"/>
          <w:b/>
          <w:color w:val="000000"/>
          <w:lang w:eastAsia="zh-CN"/>
        </w:rPr>
      </w:pPr>
      <w:bookmarkStart w:id="7" w:name="OLE_LINK4"/>
      <w:bookmarkStart w:id="8" w:name="OLE_LINK5"/>
      <w:bookmarkStart w:id="9" w:name="OLE_LINK12"/>
      <w:bookmarkStart w:id="10" w:name="OLE_LINK212"/>
      <w:r w:rsidRPr="00736FFB">
        <w:rPr>
          <w:rFonts w:ascii="Book Antiqua" w:hAnsi="Book Antiqua"/>
          <w:b/>
          <w:color w:val="000000"/>
        </w:rPr>
        <w:t>Received:</w:t>
      </w:r>
      <w:r w:rsidRPr="00736FFB">
        <w:rPr>
          <w:rFonts w:ascii="Book Antiqua" w:hAnsi="Book Antiqua"/>
          <w:color w:val="000000"/>
        </w:rPr>
        <w:t xml:space="preserve"> October 2, 2013</w:t>
      </w:r>
      <w:r w:rsidRPr="00736FFB">
        <w:rPr>
          <w:rFonts w:ascii="Book Antiqua" w:eastAsia="宋体" w:hAnsi="Book Antiqua"/>
          <w:color w:val="000000"/>
          <w:lang w:eastAsia="zh-CN"/>
        </w:rPr>
        <w:tab/>
      </w:r>
      <w:r w:rsidRPr="00736FFB">
        <w:rPr>
          <w:rFonts w:ascii="Book Antiqua" w:eastAsia="宋体" w:hAnsi="Book Antiqua"/>
          <w:color w:val="000000"/>
          <w:lang w:eastAsia="zh-CN"/>
        </w:rPr>
        <w:tab/>
      </w:r>
      <w:r w:rsidRPr="00736FFB">
        <w:rPr>
          <w:rFonts w:ascii="Book Antiqua" w:hAnsi="Book Antiqua"/>
          <w:b/>
          <w:color w:val="000000"/>
        </w:rPr>
        <w:t>Revised:</w:t>
      </w:r>
      <w:r>
        <w:rPr>
          <w:rFonts w:ascii="Book Antiqua" w:eastAsia="宋体" w:hAnsi="Book Antiqua"/>
          <w:b/>
          <w:color w:val="000000"/>
          <w:lang w:eastAsia="zh-CN"/>
        </w:rPr>
        <w:t xml:space="preserve"> </w:t>
      </w:r>
      <w:r w:rsidRPr="00736FFB">
        <w:rPr>
          <w:rFonts w:ascii="Book Antiqua" w:eastAsia="宋体" w:hAnsi="Book Antiqua"/>
          <w:color w:val="000000"/>
          <w:lang w:eastAsia="zh-CN"/>
        </w:rPr>
        <w:t>December 30, 2013</w:t>
      </w:r>
    </w:p>
    <w:p w:rsidR="006F5B68" w:rsidRPr="005175D6" w:rsidRDefault="006F5B68" w:rsidP="00404435">
      <w:pPr>
        <w:spacing w:line="360" w:lineRule="auto"/>
        <w:jc w:val="both"/>
        <w:rPr>
          <w:rFonts w:ascii="Book Antiqua" w:eastAsia="宋体" w:hAnsi="Book Antiqua"/>
          <w:b/>
          <w:color w:val="000000"/>
          <w:lang w:eastAsia="zh-CN"/>
        </w:rPr>
      </w:pPr>
      <w:r w:rsidRPr="00736FFB">
        <w:rPr>
          <w:rFonts w:ascii="Book Antiqua" w:hAnsi="Book Antiqua"/>
          <w:b/>
          <w:color w:val="000000"/>
        </w:rPr>
        <w:t xml:space="preserve">Accepted: </w:t>
      </w:r>
      <w:r w:rsidR="00CD49E5" w:rsidRPr="005175D6">
        <w:rPr>
          <w:rFonts w:ascii="Book Antiqua" w:eastAsia="宋体" w:hAnsi="Book Antiqua"/>
          <w:b/>
          <w:color w:val="000000"/>
          <w:lang w:eastAsia="zh-CN"/>
        </w:rPr>
        <w:t>January 20, 2014</w:t>
      </w:r>
    </w:p>
    <w:p w:rsidR="006F5B68" w:rsidRPr="00736FFB" w:rsidRDefault="006F5B68" w:rsidP="00404435">
      <w:pPr>
        <w:spacing w:line="360" w:lineRule="auto"/>
        <w:jc w:val="both"/>
        <w:rPr>
          <w:rFonts w:ascii="Book Antiqua" w:hAnsi="Book Antiqua"/>
          <w:color w:val="000000"/>
        </w:rPr>
      </w:pPr>
      <w:r w:rsidRPr="00736FFB">
        <w:rPr>
          <w:rFonts w:ascii="Book Antiqua" w:hAnsi="Book Antiqua"/>
          <w:b/>
          <w:color w:val="000000"/>
        </w:rPr>
        <w:t xml:space="preserve">Published online: </w:t>
      </w:r>
    </w:p>
    <w:bookmarkEnd w:id="7"/>
    <w:bookmarkEnd w:id="8"/>
    <w:p w:rsidR="006F5B68" w:rsidRPr="00736FFB" w:rsidRDefault="006F5B68" w:rsidP="00404435">
      <w:pPr>
        <w:spacing w:line="360" w:lineRule="auto"/>
        <w:jc w:val="both"/>
        <w:rPr>
          <w:rFonts w:ascii="Book Antiqua" w:hAnsi="Book Antiqua"/>
          <w:color w:val="000000"/>
        </w:rPr>
      </w:pPr>
    </w:p>
    <w:bookmarkEnd w:id="9"/>
    <w:bookmarkEnd w:id="10"/>
    <w:p w:rsidR="006F5B68" w:rsidRPr="00736FFB" w:rsidRDefault="006F5B68" w:rsidP="00404435">
      <w:pPr>
        <w:snapToGrid w:val="0"/>
        <w:spacing w:line="360" w:lineRule="auto"/>
        <w:jc w:val="both"/>
        <w:rPr>
          <w:rFonts w:ascii="Book Antiqua" w:hAnsi="Book Antiqua"/>
          <w:b/>
        </w:rPr>
      </w:pPr>
    </w:p>
    <w:p w:rsidR="006F5B68" w:rsidRPr="00736FFB" w:rsidRDefault="006F5B68" w:rsidP="00F40176">
      <w:pPr>
        <w:widowControl/>
        <w:spacing w:line="360" w:lineRule="auto"/>
        <w:jc w:val="both"/>
        <w:rPr>
          <w:rFonts w:ascii="Book Antiqua" w:hAnsi="Book Antiqua"/>
          <w:b/>
        </w:rPr>
      </w:pPr>
      <w:r w:rsidRPr="00736FFB">
        <w:rPr>
          <w:rFonts w:ascii="Book Antiqua" w:hAnsi="Book Antiqua"/>
          <w:b/>
        </w:rPr>
        <w:br w:type="page"/>
      </w:r>
      <w:r w:rsidRPr="00736FFB">
        <w:rPr>
          <w:rFonts w:ascii="Book Antiqua" w:hAnsi="Book Antiqua"/>
          <w:b/>
        </w:rPr>
        <w:lastRenderedPageBreak/>
        <w:t>Abstract</w:t>
      </w:r>
    </w:p>
    <w:p w:rsidR="006F5B68" w:rsidRPr="00736FFB" w:rsidRDefault="006F5B68" w:rsidP="00404435">
      <w:pPr>
        <w:spacing w:line="360" w:lineRule="auto"/>
        <w:jc w:val="both"/>
        <w:rPr>
          <w:rFonts w:ascii="Book Antiqua" w:eastAsia="宋体" w:hAnsi="Book Antiqua"/>
          <w:lang w:eastAsia="zh-CN"/>
        </w:rPr>
      </w:pPr>
      <w:r w:rsidRPr="00736FFB">
        <w:rPr>
          <w:rFonts w:ascii="Book Antiqua" w:hAnsi="Book Antiqua"/>
        </w:rPr>
        <w:t xml:space="preserve">Risk calculators are widely used in many clinical fields, and integrate several important risk factors through the conversion of a risk function into a single measure of risk. Several studies have been carried out to create risk calculators for the prediction of hepatocellular carcinoma (HCC) in patients with chronic hepatitis B (CHB). Most of them were hospital-based, with limited sample sizes and insufficient external validation. These study groups collaborated to establish the REACH-B risk score, which incorporated five clinical variables to predict HCC risk. This risk score was then validated in international clinical cohorts. </w:t>
      </w:r>
      <w:r w:rsidRPr="00736FFB">
        <w:rPr>
          <w:rFonts w:ascii="Book Antiqua" w:hAnsi="Book Antiqua" w:cs="Calibri"/>
        </w:rPr>
        <w:t xml:space="preserve">Evidence suggests that quantitative serum </w:t>
      </w:r>
      <w:proofErr w:type="spellStart"/>
      <w:r w:rsidRPr="00736FFB">
        <w:rPr>
          <w:rFonts w:ascii="Book Antiqua" w:hAnsi="Book Antiqua" w:cs="Calibri"/>
        </w:rPr>
        <w:t>HBsAg</w:t>
      </w:r>
      <w:proofErr w:type="spellEnd"/>
      <w:r w:rsidRPr="00736FFB">
        <w:rPr>
          <w:rFonts w:ascii="Book Antiqua" w:hAnsi="Book Antiqua" w:cs="Calibri"/>
        </w:rPr>
        <w:t xml:space="preserve"> level provides additional predictability of HCC, especially in patients with low levels of HBV DNA. This novel marker</w:t>
      </w:r>
      <w:r w:rsidRPr="00736FFB">
        <w:rPr>
          <w:rFonts w:ascii="Book Antiqua" w:hAnsi="Book Antiqua"/>
        </w:rPr>
        <w:t xml:space="preserve"> was incorporated into a risk calculator and was internally validated. This tool will hopefully be externally validated in the near future. Risk calculators can be used to support clinical practice, and to establish preventive measures; several "off-label" extension usages have also been implemented. Albeit beneficial, several precautions and discussions should be noted in using the risk calculators. The future development of risk calculators for CHB patients can be extended by applying them to additional CHB-related outcomes, and by incorporating emerging risk parameters.</w:t>
      </w:r>
    </w:p>
    <w:p w:rsidR="006F5B68" w:rsidRPr="00736FFB" w:rsidRDefault="006F5B68" w:rsidP="00404435">
      <w:pPr>
        <w:spacing w:line="360" w:lineRule="auto"/>
        <w:jc w:val="both"/>
        <w:rPr>
          <w:rFonts w:ascii="Book Antiqua" w:eastAsia="宋体" w:hAnsi="Book Antiqua"/>
          <w:lang w:eastAsia="zh-CN"/>
        </w:rPr>
      </w:pPr>
    </w:p>
    <w:p w:rsidR="006F5B68" w:rsidRPr="00736FFB" w:rsidRDefault="006F5B68" w:rsidP="00404435">
      <w:pPr>
        <w:spacing w:line="360" w:lineRule="auto"/>
        <w:jc w:val="both"/>
        <w:rPr>
          <w:rFonts w:ascii="Book Antiqua" w:eastAsia="宋体" w:hAnsi="Book Antiqua"/>
          <w:lang w:eastAsia="zh-CN"/>
        </w:rPr>
      </w:pPr>
      <w:r w:rsidRPr="00736FFB">
        <w:rPr>
          <w:rFonts w:ascii="Book Antiqua" w:hAnsi="Book Antiqua"/>
        </w:rPr>
        <w:t>© 201</w:t>
      </w:r>
      <w:r>
        <w:rPr>
          <w:rFonts w:ascii="Book Antiqua" w:eastAsia="宋体" w:hAnsi="Book Antiqua"/>
          <w:lang w:eastAsia="zh-CN"/>
        </w:rPr>
        <w:t>4</w:t>
      </w:r>
      <w:r w:rsidRPr="00736FFB">
        <w:rPr>
          <w:rFonts w:ascii="Book Antiqua" w:hAnsi="Book Antiqua"/>
        </w:rPr>
        <w:t xml:space="preserve"> </w:t>
      </w:r>
      <w:proofErr w:type="spellStart"/>
      <w:r w:rsidRPr="00736FFB">
        <w:rPr>
          <w:rFonts w:ascii="Book Antiqua" w:hAnsi="Book Antiqua"/>
        </w:rPr>
        <w:t>Baishideng</w:t>
      </w:r>
      <w:proofErr w:type="spellEnd"/>
      <w:r w:rsidRPr="00736FFB">
        <w:rPr>
          <w:rFonts w:ascii="Book Antiqua" w:hAnsi="Book Antiqua"/>
        </w:rPr>
        <w:t xml:space="preserve"> Publishing Group Co., Limited. All rights reserved.</w:t>
      </w:r>
    </w:p>
    <w:p w:rsidR="006F5B68" w:rsidRPr="00736FFB" w:rsidRDefault="006F5B68" w:rsidP="00404435">
      <w:pPr>
        <w:spacing w:line="360" w:lineRule="auto"/>
        <w:jc w:val="both"/>
        <w:rPr>
          <w:rFonts w:ascii="Book Antiqua" w:eastAsia="宋体" w:hAnsi="Book Antiqua"/>
          <w:lang w:eastAsia="zh-CN"/>
        </w:rPr>
      </w:pPr>
    </w:p>
    <w:p w:rsidR="006F5B68" w:rsidRPr="00736FFB" w:rsidRDefault="006F5B68" w:rsidP="00404435">
      <w:pPr>
        <w:snapToGrid w:val="0"/>
        <w:spacing w:line="360" w:lineRule="auto"/>
        <w:jc w:val="both"/>
        <w:rPr>
          <w:rFonts w:ascii="Book Antiqua" w:eastAsia="宋体" w:hAnsi="Book Antiqua"/>
          <w:lang w:eastAsia="zh-CN"/>
        </w:rPr>
      </w:pPr>
      <w:r w:rsidRPr="00736FFB">
        <w:rPr>
          <w:rFonts w:ascii="Book Antiqua" w:hAnsi="Book Antiqua"/>
          <w:b/>
        </w:rPr>
        <w:t xml:space="preserve">Key words: </w:t>
      </w:r>
      <w:r w:rsidRPr="00736FFB">
        <w:rPr>
          <w:rFonts w:ascii="Book Antiqua" w:hAnsi="Book Antiqua"/>
        </w:rPr>
        <w:t>Chronic hepatitis B</w:t>
      </w:r>
      <w:r w:rsidRPr="00736FFB">
        <w:rPr>
          <w:rFonts w:ascii="Book Antiqua" w:eastAsia="宋体" w:hAnsi="Book Antiqua"/>
          <w:lang w:eastAsia="zh-CN"/>
        </w:rPr>
        <w:t>;</w:t>
      </w:r>
      <w:r w:rsidRPr="00736FFB">
        <w:rPr>
          <w:rFonts w:ascii="Book Antiqua" w:hAnsi="Book Antiqua"/>
        </w:rPr>
        <w:t xml:space="preserve"> Hepatocellular carcinoma</w:t>
      </w:r>
      <w:r w:rsidRPr="00736FFB">
        <w:rPr>
          <w:rFonts w:ascii="Book Antiqua" w:eastAsia="宋体" w:hAnsi="Book Antiqua"/>
          <w:lang w:eastAsia="zh-CN"/>
        </w:rPr>
        <w:t>;</w:t>
      </w:r>
      <w:r w:rsidRPr="00736FFB">
        <w:rPr>
          <w:rFonts w:ascii="Book Antiqua" w:hAnsi="Book Antiqua"/>
        </w:rPr>
        <w:t xml:space="preserve"> Risk calculator</w:t>
      </w:r>
    </w:p>
    <w:p w:rsidR="006F5B68" w:rsidRPr="00736FFB" w:rsidRDefault="006F5B68" w:rsidP="00404435">
      <w:pPr>
        <w:snapToGrid w:val="0"/>
        <w:spacing w:line="360" w:lineRule="auto"/>
        <w:jc w:val="both"/>
        <w:rPr>
          <w:rFonts w:ascii="Book Antiqua" w:eastAsia="宋体" w:hAnsi="Book Antiqua"/>
          <w:lang w:eastAsia="zh-CN"/>
        </w:rPr>
      </w:pPr>
    </w:p>
    <w:p w:rsidR="006F5B68" w:rsidRPr="00736FFB" w:rsidRDefault="006F5B68" w:rsidP="00404435">
      <w:pPr>
        <w:spacing w:line="360" w:lineRule="auto"/>
        <w:jc w:val="both"/>
        <w:rPr>
          <w:rFonts w:ascii="Book Antiqua" w:hAnsi="Book Antiqua" w:cs="PMingLiU"/>
          <w:b/>
        </w:rPr>
      </w:pPr>
      <w:bookmarkStart w:id="11" w:name="OLE_LINK101"/>
      <w:bookmarkStart w:id="12" w:name="OLE_LINK107"/>
      <w:r w:rsidRPr="00736FFB">
        <w:rPr>
          <w:rFonts w:ascii="Book Antiqua" w:hAnsi="Book Antiqua" w:cs="Arial Unicode MS"/>
          <w:b/>
        </w:rPr>
        <w:t>Core tip:</w:t>
      </w:r>
      <w:bookmarkEnd w:id="11"/>
      <w:bookmarkEnd w:id="12"/>
      <w:r w:rsidRPr="00736FFB">
        <w:rPr>
          <w:rFonts w:ascii="Book Antiqua" w:hAnsi="Book Antiqua" w:cs="Arial Unicode MS"/>
          <w:b/>
        </w:rPr>
        <w:t xml:space="preserve"> </w:t>
      </w:r>
      <w:r w:rsidRPr="00736FFB">
        <w:rPr>
          <w:rFonts w:ascii="Book Antiqua" w:hAnsi="Book Antiqua" w:cs="Arial Unicode MS"/>
        </w:rPr>
        <w:t xml:space="preserve">The risk calculator is a useful tool in many fields of medicine, </w:t>
      </w:r>
      <w:r w:rsidRPr="00736FFB">
        <w:rPr>
          <w:rFonts w:ascii="Book Antiqua" w:hAnsi="Book Antiqua" w:cs="Arial Unicode MS"/>
        </w:rPr>
        <w:lastRenderedPageBreak/>
        <w:t xml:space="preserve">including </w:t>
      </w:r>
      <w:proofErr w:type="spellStart"/>
      <w:r w:rsidRPr="00736FFB">
        <w:rPr>
          <w:rFonts w:ascii="Book Antiqua" w:hAnsi="Book Antiqua" w:cs="Arial Unicode MS"/>
        </w:rPr>
        <w:t>hepatology</w:t>
      </w:r>
      <w:proofErr w:type="spellEnd"/>
      <w:r w:rsidRPr="00736FFB">
        <w:rPr>
          <w:rFonts w:ascii="Book Antiqua" w:hAnsi="Book Antiqua" w:cs="Arial Unicode MS"/>
        </w:rPr>
        <w:t>. This paper reviews the history of the development and validation of risk calculators of hepatocellular carcinoma (HCC) for patients with chronic hepatitis B (CHB). The rationale for using HCC risk calculators is first given, followed by a description of the course and pathway towards deriving HCC risk estimation tools for treatment-free CHB patients. Examples of the application of HCC risk prediction tools in clinical and public health settings is also shown. The paper also discusses several issues raised by the application of HCC risk scores.</w:t>
      </w:r>
      <w:r w:rsidRPr="00736FFB">
        <w:rPr>
          <w:rFonts w:ascii="Book Antiqua" w:hAnsi="Book Antiqua" w:cs="Arial Unicode MS"/>
          <w:b/>
        </w:rPr>
        <w:t xml:space="preserve"> </w:t>
      </w:r>
    </w:p>
    <w:p w:rsidR="006F5B68" w:rsidRPr="00736FFB" w:rsidRDefault="006F5B68" w:rsidP="00404435">
      <w:pPr>
        <w:adjustRightInd w:val="0"/>
        <w:snapToGrid w:val="0"/>
        <w:spacing w:line="360" w:lineRule="auto"/>
        <w:jc w:val="both"/>
        <w:rPr>
          <w:rFonts w:ascii="Book Antiqua" w:eastAsia="宋体" w:hAnsi="Book Antiqua" w:cs="Tahoma"/>
          <w:lang w:eastAsia="zh-CN"/>
        </w:rPr>
      </w:pPr>
    </w:p>
    <w:p w:rsidR="006F5B68" w:rsidRPr="00736FFB" w:rsidRDefault="006F5B68" w:rsidP="00404435">
      <w:pPr>
        <w:adjustRightInd w:val="0"/>
        <w:snapToGrid w:val="0"/>
        <w:spacing w:line="360" w:lineRule="auto"/>
        <w:jc w:val="both"/>
        <w:rPr>
          <w:rFonts w:ascii="Book Antiqua" w:eastAsia="宋体" w:hAnsi="Book Antiqua" w:cs="Tahoma"/>
          <w:lang w:eastAsia="zh-CN"/>
        </w:rPr>
      </w:pPr>
      <w:bookmarkStart w:id="13" w:name="OLE_LINK130"/>
      <w:bookmarkStart w:id="14" w:name="OLE_LINK134"/>
      <w:r w:rsidRPr="00736FFB">
        <w:rPr>
          <w:rFonts w:ascii="Book Antiqua" w:hAnsi="Book Antiqua" w:cs="Tahoma"/>
        </w:rPr>
        <w:t>Yang HI, Lee MH, Liu J, Chen CJ. Risk calculators for hepatocellular carcinoma in patients affected with chronic hepatitis B in Asia</w:t>
      </w:r>
      <w:r>
        <w:rPr>
          <w:rFonts w:ascii="Book Antiqua" w:eastAsia="宋体" w:hAnsi="Book Antiqua" w:cs="Tahoma"/>
          <w:lang w:eastAsia="zh-CN"/>
        </w:rPr>
        <w:t>.</w:t>
      </w:r>
    </w:p>
    <w:p w:rsidR="006F5B68" w:rsidRPr="00736FFB" w:rsidRDefault="006F5B68" w:rsidP="00404435">
      <w:pPr>
        <w:adjustRightInd w:val="0"/>
        <w:snapToGrid w:val="0"/>
        <w:spacing w:line="360" w:lineRule="auto"/>
        <w:jc w:val="both"/>
        <w:rPr>
          <w:rFonts w:ascii="Book Antiqua" w:hAnsi="Book Antiqua"/>
        </w:rPr>
      </w:pPr>
      <w:r w:rsidRPr="00736FFB">
        <w:rPr>
          <w:rFonts w:ascii="Book Antiqua" w:hAnsi="Book Antiqua"/>
          <w:i/>
        </w:rPr>
        <w:t xml:space="preserve">World J </w:t>
      </w:r>
      <w:proofErr w:type="spellStart"/>
      <w:r w:rsidRPr="00736FFB">
        <w:rPr>
          <w:rFonts w:ascii="Book Antiqua" w:hAnsi="Book Antiqua"/>
          <w:i/>
        </w:rPr>
        <w:t>Gastroenterol</w:t>
      </w:r>
      <w:proofErr w:type="spellEnd"/>
      <w:r w:rsidRPr="00736FFB">
        <w:rPr>
          <w:rFonts w:ascii="Book Antiqua" w:hAnsi="Book Antiqua"/>
        </w:rPr>
        <w:t xml:space="preserve"> 2013;  </w:t>
      </w:r>
    </w:p>
    <w:p w:rsidR="006F5B68" w:rsidRPr="00736FFB" w:rsidRDefault="006F5B68" w:rsidP="00404435">
      <w:pPr>
        <w:pStyle w:val="p0"/>
        <w:adjustRightInd w:val="0"/>
        <w:snapToGrid w:val="0"/>
        <w:spacing w:line="360" w:lineRule="auto"/>
        <w:jc w:val="both"/>
        <w:rPr>
          <w:rFonts w:ascii="Book Antiqua" w:hAnsi="Book Antiqua"/>
          <w:sz w:val="24"/>
          <w:szCs w:val="24"/>
        </w:rPr>
      </w:pPr>
      <w:r w:rsidRPr="00736FFB">
        <w:rPr>
          <w:rFonts w:ascii="Book Antiqua" w:hAnsi="Book Antiqua"/>
          <w:b/>
          <w:bCs/>
          <w:sz w:val="24"/>
          <w:szCs w:val="24"/>
        </w:rPr>
        <w:t>Available from:</w:t>
      </w:r>
    </w:p>
    <w:p w:rsidR="006F5B68" w:rsidRPr="00736FFB" w:rsidRDefault="006F5B68" w:rsidP="00404435">
      <w:pPr>
        <w:pStyle w:val="p0"/>
        <w:adjustRightInd w:val="0"/>
        <w:snapToGrid w:val="0"/>
        <w:spacing w:line="360" w:lineRule="auto"/>
        <w:jc w:val="both"/>
        <w:rPr>
          <w:rFonts w:ascii="Book Antiqua" w:hAnsi="Book Antiqua"/>
          <w:kern w:val="2"/>
          <w:sz w:val="24"/>
          <w:szCs w:val="24"/>
        </w:rPr>
      </w:pPr>
      <w:r w:rsidRPr="00736FFB">
        <w:rPr>
          <w:rFonts w:ascii="Book Antiqua" w:hAnsi="Book Antiqua"/>
          <w:b/>
          <w:kern w:val="2"/>
          <w:sz w:val="24"/>
          <w:szCs w:val="24"/>
        </w:rPr>
        <w:t>DOI:</w:t>
      </w:r>
      <w:r w:rsidRPr="00736FFB">
        <w:rPr>
          <w:rFonts w:ascii="Book Antiqua" w:hAnsi="Book Antiqua"/>
          <w:kern w:val="2"/>
          <w:sz w:val="24"/>
          <w:szCs w:val="24"/>
        </w:rPr>
        <w:t xml:space="preserve"> </w:t>
      </w:r>
    </w:p>
    <w:bookmarkEnd w:id="13"/>
    <w:bookmarkEnd w:id="14"/>
    <w:p w:rsidR="006F5B68" w:rsidRPr="00736FFB" w:rsidRDefault="006F5B68" w:rsidP="00404435">
      <w:pPr>
        <w:pStyle w:val="p0"/>
        <w:adjustRightInd w:val="0"/>
        <w:snapToGrid w:val="0"/>
        <w:spacing w:line="360" w:lineRule="auto"/>
        <w:jc w:val="both"/>
        <w:rPr>
          <w:rFonts w:ascii="Book Antiqua" w:hAnsi="Book Antiqua"/>
          <w:kern w:val="2"/>
          <w:sz w:val="24"/>
          <w:szCs w:val="24"/>
        </w:rPr>
      </w:pPr>
    </w:p>
    <w:p w:rsidR="006F5B68" w:rsidRPr="00736FFB" w:rsidRDefault="006F5B68" w:rsidP="00404435">
      <w:pPr>
        <w:snapToGrid w:val="0"/>
        <w:spacing w:line="360" w:lineRule="auto"/>
        <w:jc w:val="both"/>
        <w:rPr>
          <w:rFonts w:ascii="Book Antiqua" w:eastAsia="宋体" w:hAnsi="Book Antiqua"/>
          <w:lang w:eastAsia="zh-CN"/>
        </w:rPr>
      </w:pPr>
    </w:p>
    <w:p w:rsidR="006F5B68" w:rsidRPr="00736FFB" w:rsidRDefault="006F5B68" w:rsidP="00404435">
      <w:pPr>
        <w:spacing w:line="360" w:lineRule="auto"/>
        <w:jc w:val="both"/>
        <w:rPr>
          <w:rFonts w:ascii="Book Antiqua" w:eastAsia="宋体" w:hAnsi="Book Antiqua"/>
          <w:lang w:eastAsia="zh-CN"/>
        </w:rPr>
      </w:pPr>
      <w:r w:rsidRPr="00736FFB">
        <w:rPr>
          <w:rFonts w:ascii="Book Antiqua" w:hAnsi="Book Antiqua"/>
        </w:rPr>
        <w:br w:type="page"/>
      </w:r>
    </w:p>
    <w:p w:rsidR="006F5B68" w:rsidRPr="00736FFB" w:rsidRDefault="006F5B68" w:rsidP="00404435">
      <w:pPr>
        <w:spacing w:line="360" w:lineRule="auto"/>
        <w:jc w:val="both"/>
        <w:rPr>
          <w:rFonts w:ascii="Book Antiqua" w:eastAsia="宋体" w:hAnsi="Book Antiqua"/>
          <w:b/>
          <w:lang w:eastAsia="zh-CN"/>
        </w:rPr>
      </w:pPr>
      <w:r w:rsidRPr="00736FFB">
        <w:rPr>
          <w:rFonts w:ascii="Book Antiqua" w:eastAsia="宋体" w:hAnsi="Book Antiqua"/>
          <w:b/>
          <w:lang w:eastAsia="zh-CN"/>
        </w:rPr>
        <w:t>INTRODUCTION</w:t>
      </w:r>
    </w:p>
    <w:p w:rsidR="006F5B68" w:rsidRPr="00736FFB" w:rsidRDefault="006F5B68" w:rsidP="00404435">
      <w:pPr>
        <w:spacing w:line="360" w:lineRule="auto"/>
        <w:jc w:val="both"/>
        <w:rPr>
          <w:rFonts w:ascii="Book Antiqua" w:hAnsi="Book Antiqua"/>
        </w:rPr>
      </w:pPr>
      <w:r w:rsidRPr="00736FFB">
        <w:rPr>
          <w:rFonts w:ascii="Book Antiqua" w:hAnsi="Book Antiqua"/>
        </w:rPr>
        <w:t>Hepatocellular carcinoma (HCC) is one of the most important adverse outcomes of chronic hepatitis B virus (HBV) infection, which affects more th</w:t>
      </w:r>
      <w:r>
        <w:rPr>
          <w:rFonts w:ascii="Book Antiqua" w:hAnsi="Book Antiqua"/>
        </w:rPr>
        <w:t>an 350 million people worldwide</w:t>
      </w:r>
      <w:r>
        <w:rPr>
          <w:rFonts w:ascii="Book Antiqua" w:hAnsi="Book Antiqua" w:cs="Calibri"/>
          <w:noProof/>
          <w:color w:val="000000"/>
          <w:vertAlign w:val="superscript"/>
        </w:rPr>
        <w:t>[1,</w:t>
      </w:r>
      <w:r w:rsidRPr="00736FFB">
        <w:rPr>
          <w:rFonts w:ascii="Book Antiqua" w:hAnsi="Book Antiqua" w:cs="Calibri"/>
          <w:noProof/>
          <w:color w:val="000000"/>
          <w:vertAlign w:val="superscript"/>
        </w:rPr>
        <w:t>2]</w:t>
      </w:r>
      <w:r>
        <w:rPr>
          <w:rFonts w:ascii="Book Antiqua" w:eastAsia="宋体" w:hAnsi="Book Antiqua" w:cs="Calibri"/>
          <w:noProof/>
          <w:color w:val="000000"/>
          <w:lang w:eastAsia="zh-CN"/>
        </w:rPr>
        <w:t>.</w:t>
      </w:r>
      <w:r w:rsidRPr="00736FFB">
        <w:rPr>
          <w:rFonts w:ascii="Book Antiqua" w:hAnsi="Book Antiqua"/>
        </w:rPr>
        <w:t xml:space="preserve"> HCC causes poor quality of life and shortened survival, and is thus regarded as a major health challenge. The risk of chronic hepatitis B (CHB) progressing to HCC may </w:t>
      </w:r>
      <w:r>
        <w:rPr>
          <w:rFonts w:ascii="Book Antiqua" w:hAnsi="Book Antiqua"/>
        </w:rPr>
        <w:t>be reduced by antiviral therapy</w:t>
      </w:r>
      <w:r w:rsidRPr="00736FFB">
        <w:rPr>
          <w:rFonts w:ascii="Book Antiqua" w:hAnsi="Book Antiqua"/>
          <w:noProof/>
          <w:vertAlign w:val="superscript"/>
        </w:rPr>
        <w:t>[3]</w:t>
      </w:r>
      <w:r>
        <w:rPr>
          <w:rFonts w:ascii="Book Antiqua" w:eastAsia="宋体" w:hAnsi="Book Antiqua"/>
          <w:noProof/>
          <w:lang w:eastAsia="zh-CN"/>
        </w:rPr>
        <w:t>,</w:t>
      </w:r>
      <w:r w:rsidRPr="00736FFB">
        <w:rPr>
          <w:rFonts w:ascii="Book Antiqua" w:hAnsi="Book Antiqua"/>
        </w:rPr>
        <w:t xml:space="preserve"> and surveillance with abdominal ultrasonography and serum alpha-fetoprotein tests can screen patients for early HCC treatment. Although the global number of individuals infected with chronic hepatitis B is extensive, especially in endemic areas such as Asian-Pacific and sub-Saharan African regions, only a small number of patients develop end-stage liver diseases. Therefore, the identification and triage of patients who are at high risk of HCC development is important. Several factors, such as gender, age, family history of HCC, presence of hepatic inflammation/fibrosis, alcohol consumption, elevated viral load, hepatitis B e antigen (</w:t>
      </w:r>
      <w:proofErr w:type="spellStart"/>
      <w:r w:rsidRPr="00736FFB">
        <w:rPr>
          <w:rFonts w:ascii="Book Antiqua" w:hAnsi="Book Antiqua"/>
        </w:rPr>
        <w:t>HBeAg</w:t>
      </w:r>
      <w:proofErr w:type="spellEnd"/>
      <w:r w:rsidRPr="00736FFB">
        <w:rPr>
          <w:rFonts w:ascii="Book Antiqua" w:hAnsi="Book Antiqua"/>
        </w:rPr>
        <w:t>) positivity, and specific HBV genotypes (</w:t>
      </w:r>
      <w:r w:rsidRPr="00404435">
        <w:rPr>
          <w:rFonts w:ascii="Book Antiqua" w:hAnsi="Book Antiqua"/>
          <w:i/>
        </w:rPr>
        <w:t>e.g.</w:t>
      </w:r>
      <w:r w:rsidRPr="00404435">
        <w:rPr>
          <w:rFonts w:ascii="Book Antiqua" w:eastAsia="宋体" w:hAnsi="Book Antiqua"/>
          <w:i/>
          <w:lang w:eastAsia="zh-CN"/>
        </w:rPr>
        <w:t>,</w:t>
      </w:r>
      <w:r w:rsidRPr="00736FFB">
        <w:rPr>
          <w:rFonts w:ascii="Book Antiqua" w:hAnsi="Book Antiqua"/>
        </w:rPr>
        <w:t xml:space="preserve"> genotype C), have been identified to be independently associated with elevated risk</w:t>
      </w:r>
      <w:r>
        <w:rPr>
          <w:rFonts w:ascii="Book Antiqua" w:hAnsi="Book Antiqua"/>
        </w:rPr>
        <w:t xml:space="preserve"> of HCC development (Figure 1)</w:t>
      </w:r>
      <w:r w:rsidRPr="00736FFB">
        <w:rPr>
          <w:rFonts w:ascii="Book Antiqua" w:hAnsi="Book Antiqua"/>
          <w:noProof/>
          <w:vertAlign w:val="superscript"/>
        </w:rPr>
        <w:t>[4-8]</w:t>
      </w:r>
      <w:r>
        <w:rPr>
          <w:rFonts w:ascii="Book Antiqua" w:eastAsia="宋体" w:hAnsi="Book Antiqua"/>
          <w:noProof/>
          <w:lang w:eastAsia="zh-CN"/>
        </w:rPr>
        <w:t>.</w:t>
      </w:r>
      <w:r w:rsidRPr="00736FFB">
        <w:rPr>
          <w:rFonts w:ascii="Book Antiqua" w:hAnsi="Book Antiqua"/>
        </w:rPr>
        <w:t xml:space="preserve"> These factors, including patient, viral, and environmental factors, interact with one another and lead to HCC development in patients with chronic HBV infection. From the individualized medicine point of view, these factors should be used to reveal the future risk of HCC progression in patients with viral hepatitis so that preventive measures can be applied to those with high risk. Intuitively, a patient who has all of the risk factors for HCC can easily be categorized as very high risk (such as patient A in Table 1), whereas a patient without risk factors can be identified as very low risk (such as </w:t>
      </w:r>
      <w:r w:rsidRPr="00736FFB">
        <w:rPr>
          <w:rFonts w:ascii="Book Antiqua" w:hAnsi="Book Antiqua"/>
        </w:rPr>
        <w:lastRenderedPageBreak/>
        <w:t>patient B in Table 1), despite not knowing the exact risk in these patients. However, the risk in patients with mixed risk profiles (patients C and D in Table 1) cannot easily be determined or compared. Thus, a tool that is evidence based and appropriately weights these risk predictors to provide a simple and accurate risk estimate for the interested outcome (</w:t>
      </w:r>
      <w:r w:rsidRPr="00C86AAE">
        <w:rPr>
          <w:rFonts w:ascii="Book Antiqua" w:hAnsi="Book Antiqua"/>
          <w:i/>
        </w:rPr>
        <w:t>i.e.</w:t>
      </w:r>
      <w:r w:rsidRPr="00736FFB">
        <w:rPr>
          <w:rFonts w:ascii="Book Antiqua" w:hAnsi="Book Antiqua"/>
        </w:rPr>
        <w:t xml:space="preserve"> HCC) would be very helpful. Consequently, some investigators have responded accordingly to this demand.  </w:t>
      </w:r>
    </w:p>
    <w:p w:rsidR="006F5B68" w:rsidRPr="00736FFB" w:rsidRDefault="006F5B68" w:rsidP="00404435">
      <w:pPr>
        <w:spacing w:line="360" w:lineRule="auto"/>
        <w:jc w:val="both"/>
        <w:rPr>
          <w:rFonts w:ascii="Book Antiqua" w:hAnsi="Book Antiqua"/>
        </w:rPr>
      </w:pPr>
    </w:p>
    <w:p w:rsidR="006F5B68" w:rsidRPr="00736FFB" w:rsidRDefault="006F5B68" w:rsidP="00404435">
      <w:pPr>
        <w:spacing w:line="360" w:lineRule="auto"/>
        <w:jc w:val="both"/>
        <w:rPr>
          <w:rFonts w:ascii="Book Antiqua" w:hAnsi="Book Antiqua"/>
          <w:b/>
        </w:rPr>
      </w:pPr>
      <w:r w:rsidRPr="00404435">
        <w:rPr>
          <w:rFonts w:ascii="Book Antiqua" w:hAnsi="Book Antiqua"/>
          <w:b/>
        </w:rPr>
        <w:t>RISK CALCULATORS FOR HEPATOCELLULAR CARCINOMA IN CHB PATIENTS WITHOUT ANTIVIRAL TREATMENT</w:t>
      </w:r>
    </w:p>
    <w:p w:rsidR="006F5B68" w:rsidRPr="00736FFB" w:rsidRDefault="006F5B68" w:rsidP="00404435">
      <w:pPr>
        <w:spacing w:line="360" w:lineRule="auto"/>
        <w:jc w:val="both"/>
        <w:rPr>
          <w:rFonts w:ascii="Book Antiqua" w:hAnsi="Book Antiqua"/>
        </w:rPr>
      </w:pPr>
      <w:r w:rsidRPr="00736FFB">
        <w:rPr>
          <w:rFonts w:ascii="Book Antiqua" w:hAnsi="Book Antiqua"/>
        </w:rPr>
        <w:t xml:space="preserve">By 2011, several study groups had established prediction models that incorporated several clinical variables to estimate HCC risk for CHB patients </w:t>
      </w:r>
      <w:r>
        <w:rPr>
          <w:rFonts w:ascii="Book Antiqua" w:hAnsi="Book Antiqua"/>
        </w:rPr>
        <w:t>(Table 2)</w:t>
      </w:r>
      <w:r w:rsidRPr="00736FFB">
        <w:rPr>
          <w:rFonts w:ascii="Book Antiqua" w:hAnsi="Book Antiqua"/>
          <w:noProof/>
          <w:vertAlign w:val="superscript"/>
        </w:rPr>
        <w:t>[9-12]</w:t>
      </w:r>
      <w:r>
        <w:rPr>
          <w:rFonts w:ascii="Book Antiqua" w:eastAsia="宋体" w:hAnsi="Book Antiqua"/>
          <w:noProof/>
          <w:lang w:eastAsia="zh-CN"/>
        </w:rPr>
        <w:t>.</w:t>
      </w:r>
      <w:r w:rsidRPr="00736FFB">
        <w:rPr>
          <w:rFonts w:ascii="Book Antiqua" w:hAnsi="Book Antiqua"/>
        </w:rPr>
        <w:t xml:space="preserve"> Most of those were hospital-based in study design with limited sample sizes. These HCC prediction models had diverse sets of risk predictors, although some common parameters were used. The most important issue was the lack of external validation to a satisfactory extent, which was common among those tools. To solve this problem, these study groups collaborated to established an HCC risk score (REACH-B) incorporating gender, age, serum ALT concentration, </w:t>
      </w:r>
      <w:proofErr w:type="spellStart"/>
      <w:r w:rsidRPr="00736FFB">
        <w:rPr>
          <w:rFonts w:ascii="Book Antiqua" w:hAnsi="Book Antiqua"/>
        </w:rPr>
        <w:t>HBeAg</w:t>
      </w:r>
      <w:proofErr w:type="spellEnd"/>
      <w:r w:rsidRPr="00736FFB">
        <w:rPr>
          <w:rFonts w:ascii="Book Antiqua" w:hAnsi="Book Antiqua"/>
        </w:rPr>
        <w:t xml:space="preserve"> status, and serum HBV DNA level as the predicti</w:t>
      </w:r>
      <w:r>
        <w:rPr>
          <w:rFonts w:ascii="Book Antiqua" w:hAnsi="Book Antiqua"/>
        </w:rPr>
        <w:t>ng parameters</w:t>
      </w:r>
      <w:r w:rsidRPr="00736FFB">
        <w:rPr>
          <w:rFonts w:ascii="Book Antiqua" w:hAnsi="Book Antiqua"/>
          <w:noProof/>
          <w:vertAlign w:val="superscript"/>
        </w:rPr>
        <w:t>[13]</w:t>
      </w:r>
      <w:r>
        <w:rPr>
          <w:rFonts w:ascii="Book Antiqua" w:eastAsia="宋体" w:hAnsi="Book Antiqua"/>
          <w:noProof/>
          <w:lang w:eastAsia="zh-CN"/>
        </w:rPr>
        <w:t>.</w:t>
      </w:r>
      <w:r w:rsidRPr="00736FFB">
        <w:rPr>
          <w:rFonts w:ascii="Book Antiqua" w:hAnsi="Book Antiqua"/>
        </w:rPr>
        <w:t xml:space="preserve"> This study derived a 17-point risk model from 3,584 treatment- and cirrhosis-free CHB patients in a community-based Taiwanese cohort (REVEAL-HBV), and validated its use in a composite hospital-based cohort (</w:t>
      </w:r>
      <w:r w:rsidRPr="00404435">
        <w:rPr>
          <w:rFonts w:ascii="Book Antiqua" w:eastAsia="宋体" w:hAnsi="Book Antiqua"/>
          <w:i/>
          <w:lang w:eastAsia="zh-CN"/>
        </w:rPr>
        <w:t>n</w:t>
      </w:r>
      <w:r>
        <w:rPr>
          <w:rFonts w:ascii="Book Antiqua" w:eastAsia="宋体" w:hAnsi="Book Antiqua"/>
          <w:lang w:eastAsia="zh-CN"/>
        </w:rPr>
        <w:t xml:space="preserve"> </w:t>
      </w:r>
      <w:r w:rsidRPr="00736FFB">
        <w:rPr>
          <w:rFonts w:ascii="Book Antiqua" w:hAnsi="Book Antiqua"/>
        </w:rPr>
        <w:t>=</w:t>
      </w:r>
      <w:r>
        <w:rPr>
          <w:rFonts w:ascii="Book Antiqua" w:eastAsia="宋体" w:hAnsi="Book Antiqua"/>
          <w:lang w:eastAsia="zh-CN"/>
        </w:rPr>
        <w:t xml:space="preserve"> </w:t>
      </w:r>
      <w:r>
        <w:rPr>
          <w:rFonts w:ascii="Book Antiqua" w:hAnsi="Book Antiqua"/>
        </w:rPr>
        <w:t>1</w:t>
      </w:r>
      <w:r w:rsidRPr="00736FFB">
        <w:rPr>
          <w:rFonts w:ascii="Book Antiqua" w:hAnsi="Book Antiqua"/>
        </w:rPr>
        <w:t xml:space="preserve">505) from Hong Kong and Korea. This risk score could predict HCC with a wide range of risks, ranging from 0.0% to 23.6% at 3 years, 0.0% to 47.4% at 5 years, and 0.0% to 81.6% at 10 years for patients with the lowest through the highest scores. </w:t>
      </w:r>
      <w:r w:rsidRPr="00404435">
        <w:rPr>
          <w:rFonts w:ascii="Book Antiqua" w:hAnsi="Book Antiqua"/>
        </w:rPr>
        <w:t xml:space="preserve">Although the derivation and validation cohorts </w:t>
      </w:r>
      <w:r w:rsidRPr="00404435">
        <w:rPr>
          <w:rFonts w:ascii="Book Antiqua" w:hAnsi="Book Antiqua"/>
        </w:rPr>
        <w:lastRenderedPageBreak/>
        <w:t xml:space="preserve">were quite different in their distributions of sex, age, </w:t>
      </w:r>
      <w:proofErr w:type="spellStart"/>
      <w:r w:rsidRPr="00404435">
        <w:rPr>
          <w:rFonts w:ascii="Book Antiqua" w:hAnsi="Book Antiqua"/>
        </w:rPr>
        <w:t>HBeAg</w:t>
      </w:r>
      <w:proofErr w:type="spellEnd"/>
      <w:r w:rsidRPr="00404435">
        <w:rPr>
          <w:rFonts w:ascii="Book Antiqua" w:hAnsi="Book Antiqua"/>
        </w:rPr>
        <w:t xml:space="preserve"> </w:t>
      </w:r>
      <w:proofErr w:type="spellStart"/>
      <w:r w:rsidRPr="00404435">
        <w:rPr>
          <w:rFonts w:ascii="Book Antiqua" w:hAnsi="Book Antiqua"/>
        </w:rPr>
        <w:t>serostatus</w:t>
      </w:r>
      <w:proofErr w:type="spellEnd"/>
      <w:r w:rsidRPr="00404435">
        <w:rPr>
          <w:rFonts w:ascii="Book Antiqua" w:hAnsi="Book Antiqua"/>
        </w:rPr>
        <w:t>, ALT concentration, HBV DNA level, and cirrhosis, the risk score developed from the derivation cohort accurately and reliably estimated the HCC risk at 3, 5, and 10 years of follow-up in the validation cohort. The area under the receiver operating characteristic curve (AUROC) and the corresponding 95% confidence intervals (CI) were 0.811 (0.790-0.831), 0.796 (0.775-0.816), and 0.769 (0.747-0.790), respectively, in predicting 3-, 5-, and 10-year HCC risk, which indicate a fair discriminatory capability. The performance of the risk score was improved when cirrhotic patients were excluded from the validation cohort</w:t>
      </w:r>
      <w:r w:rsidRPr="00404435">
        <w:rPr>
          <w:rFonts w:ascii="Book Antiqua" w:hAnsi="Book Antiqua"/>
          <w:noProof/>
          <w:vertAlign w:val="superscript"/>
        </w:rPr>
        <w:t>[13]</w:t>
      </w:r>
      <w:r>
        <w:rPr>
          <w:rFonts w:ascii="Book Antiqua" w:eastAsia="宋体" w:hAnsi="Book Antiqua"/>
          <w:noProof/>
          <w:lang w:eastAsia="zh-CN"/>
        </w:rPr>
        <w:t>.</w:t>
      </w:r>
      <w:r w:rsidRPr="00404435">
        <w:rPr>
          <w:rFonts w:ascii="Book Antiqua" w:hAnsi="Book Antiqua"/>
        </w:rPr>
        <w:t xml:space="preserve"> Moreover, the predicted risks</w:t>
      </w:r>
      <w:r w:rsidRPr="00736FFB">
        <w:rPr>
          <w:rFonts w:ascii="Book Antiqua" w:hAnsi="Book Antiqua"/>
        </w:rPr>
        <w:t xml:space="preserve"> were similar to the observed risks as estimated by the Kaplan-Meier method, which indicate good calibration. This is the first study to provide firm external validation of the use of a HCC risk prediction tool in a group of clinical CHB patients. </w:t>
      </w:r>
    </w:p>
    <w:p w:rsidR="006F5B68" w:rsidRPr="0098057C" w:rsidRDefault="006F5B68" w:rsidP="0098057C">
      <w:pPr>
        <w:widowControl/>
        <w:spacing w:line="360" w:lineRule="auto"/>
        <w:ind w:firstLineChars="300" w:firstLine="720"/>
        <w:jc w:val="both"/>
        <w:rPr>
          <w:rFonts w:ascii="Book Antiqua" w:hAnsi="Book Antiqua"/>
        </w:rPr>
      </w:pPr>
      <w:r w:rsidRPr="00736FFB">
        <w:rPr>
          <w:rFonts w:ascii="Book Antiqua" w:hAnsi="Book Antiqua" w:cs="Calibri"/>
        </w:rPr>
        <w:t xml:space="preserve">Recently, several lines of evidence have suggested that quantitative serum </w:t>
      </w:r>
      <w:proofErr w:type="spellStart"/>
      <w:r w:rsidRPr="00736FFB">
        <w:rPr>
          <w:rFonts w:ascii="Book Antiqua" w:hAnsi="Book Antiqua" w:cs="Calibri"/>
        </w:rPr>
        <w:t>HBsAg</w:t>
      </w:r>
      <w:proofErr w:type="spellEnd"/>
      <w:r w:rsidRPr="00736FFB">
        <w:rPr>
          <w:rFonts w:ascii="Book Antiqua" w:hAnsi="Book Antiqua" w:cs="Calibri"/>
        </w:rPr>
        <w:t xml:space="preserve"> levels provide additional predictability of HCC, especially in patients with low levels of</w:t>
      </w:r>
      <w:r>
        <w:rPr>
          <w:rFonts w:ascii="Book Antiqua" w:hAnsi="Book Antiqua" w:cs="Calibri"/>
        </w:rPr>
        <w:t xml:space="preserve"> HBV DNA</w:t>
      </w:r>
      <w:r w:rsidRPr="00736FFB">
        <w:rPr>
          <w:rFonts w:ascii="Book Antiqua" w:hAnsi="Book Antiqua" w:cs="Calibri"/>
          <w:noProof/>
          <w:vertAlign w:val="superscript"/>
        </w:rPr>
        <w:t>[14-16]</w:t>
      </w:r>
      <w:r>
        <w:rPr>
          <w:rFonts w:ascii="Book Antiqua" w:eastAsia="宋体" w:hAnsi="Book Antiqua" w:cs="Calibri"/>
          <w:noProof/>
          <w:lang w:eastAsia="zh-CN"/>
        </w:rPr>
        <w:t>.</w:t>
      </w:r>
      <w:r w:rsidRPr="00736FFB">
        <w:rPr>
          <w:rFonts w:ascii="Book Antiqua" w:hAnsi="Book Antiqua" w:cs="Calibri"/>
        </w:rPr>
        <w:t xml:space="preserve"> This novel marker features high reproducibility and relatively low cost. Thus, the original REVEAL </w:t>
      </w:r>
      <w:proofErr w:type="spellStart"/>
      <w:r w:rsidRPr="00736FFB">
        <w:rPr>
          <w:rFonts w:ascii="Book Antiqua" w:hAnsi="Book Antiqua" w:cs="Calibri"/>
        </w:rPr>
        <w:t>nomograms</w:t>
      </w:r>
      <w:proofErr w:type="spellEnd"/>
      <w:r w:rsidRPr="00736FFB">
        <w:rPr>
          <w:rFonts w:ascii="Book Antiqua" w:hAnsi="Book Antiqua" w:cs="Calibri"/>
        </w:rPr>
        <w:t xml:space="preserve"> were then upgraded by incorporating this novel risk predictor into</w:t>
      </w:r>
      <w:r>
        <w:rPr>
          <w:rFonts w:ascii="Book Antiqua" w:hAnsi="Book Antiqua" w:cs="Calibri"/>
        </w:rPr>
        <w:t xml:space="preserve"> the HCC risk prediction model</w:t>
      </w:r>
      <w:r w:rsidRPr="00736FFB">
        <w:rPr>
          <w:rFonts w:ascii="Book Antiqua" w:hAnsi="Book Antiqua" w:cs="Calibri"/>
          <w:noProof/>
          <w:vertAlign w:val="superscript"/>
        </w:rPr>
        <w:t>[16]</w:t>
      </w:r>
      <w:r>
        <w:rPr>
          <w:rFonts w:ascii="Book Antiqua" w:eastAsia="宋体" w:hAnsi="Book Antiqua" w:cs="Calibri"/>
          <w:noProof/>
          <w:lang w:eastAsia="zh-CN"/>
        </w:rPr>
        <w:t>.</w:t>
      </w:r>
      <w:r w:rsidRPr="00736FFB">
        <w:rPr>
          <w:rFonts w:ascii="Book Antiqua" w:hAnsi="Book Antiqua" w:cs="Calibri"/>
        </w:rPr>
        <w:t xml:space="preserve"> In addition to HCC, this study also provided a prediction model for predicting the long-term development of cirrhosis as well. The risk prediction model for HCC included age, sex, family history of HCC, and a combined variable encompassing </w:t>
      </w:r>
      <w:proofErr w:type="spellStart"/>
      <w:r w:rsidRPr="00736FFB">
        <w:rPr>
          <w:rFonts w:ascii="Book Antiqua" w:hAnsi="Book Antiqua" w:cs="Calibri"/>
        </w:rPr>
        <w:t>HBeAg</w:t>
      </w:r>
      <w:proofErr w:type="spellEnd"/>
      <w:r w:rsidRPr="00736FFB">
        <w:rPr>
          <w:rFonts w:ascii="Book Antiqua" w:hAnsi="Book Antiqua" w:cs="Calibri"/>
        </w:rPr>
        <w:t xml:space="preserve"> </w:t>
      </w:r>
      <w:proofErr w:type="spellStart"/>
      <w:r w:rsidRPr="00736FFB">
        <w:rPr>
          <w:rFonts w:ascii="Book Antiqua" w:hAnsi="Book Antiqua" w:cs="Calibri"/>
        </w:rPr>
        <w:t>serostatus</w:t>
      </w:r>
      <w:proofErr w:type="spellEnd"/>
      <w:r w:rsidRPr="00736FFB">
        <w:rPr>
          <w:rFonts w:ascii="Book Antiqua" w:hAnsi="Book Antiqua" w:cs="Calibri"/>
        </w:rPr>
        <w:t xml:space="preserve">, serum HBV DNA and ALT levels, quantitative serum </w:t>
      </w:r>
      <w:proofErr w:type="spellStart"/>
      <w:r w:rsidRPr="00736FFB">
        <w:rPr>
          <w:rFonts w:ascii="Book Antiqua" w:hAnsi="Book Antiqua" w:cs="Calibri"/>
        </w:rPr>
        <w:t>HBsAg</w:t>
      </w:r>
      <w:proofErr w:type="spellEnd"/>
      <w:r w:rsidRPr="00736FFB">
        <w:rPr>
          <w:rFonts w:ascii="Book Antiqua" w:hAnsi="Book Antiqua" w:cs="Calibri"/>
        </w:rPr>
        <w:t xml:space="preserve"> level, and HBV genotype as the predicting parameters (Table 3</w:t>
      </w:r>
      <w:r w:rsidRPr="0098057C">
        <w:rPr>
          <w:rFonts w:ascii="Book Antiqua" w:hAnsi="Book Antiqua" w:cs="Calibri"/>
        </w:rPr>
        <w:t xml:space="preserve">; all parameters were included in the REVEAL </w:t>
      </w:r>
      <w:proofErr w:type="spellStart"/>
      <w:r w:rsidRPr="0098057C">
        <w:rPr>
          <w:rFonts w:ascii="Book Antiqua" w:hAnsi="Book Antiqua" w:cs="Calibri"/>
        </w:rPr>
        <w:t>nomogram</w:t>
      </w:r>
      <w:proofErr w:type="spellEnd"/>
      <w:r w:rsidRPr="0098057C">
        <w:rPr>
          <w:rFonts w:ascii="Book Antiqua" w:hAnsi="Book Antiqua" w:cs="Calibri"/>
        </w:rPr>
        <w:t xml:space="preserve"> except for quantitative serum </w:t>
      </w:r>
      <w:proofErr w:type="spellStart"/>
      <w:r w:rsidRPr="0098057C">
        <w:rPr>
          <w:rFonts w:ascii="Book Antiqua" w:hAnsi="Book Antiqua" w:cs="Calibri"/>
        </w:rPr>
        <w:t>HBsAg</w:t>
      </w:r>
      <w:proofErr w:type="spellEnd"/>
      <w:r w:rsidRPr="0098057C">
        <w:rPr>
          <w:rFonts w:ascii="Book Antiqua" w:hAnsi="Book Antiqua" w:cs="Calibri"/>
        </w:rPr>
        <w:t xml:space="preserve"> level).</w:t>
      </w:r>
      <w:r w:rsidRPr="00736FFB">
        <w:rPr>
          <w:rFonts w:ascii="Book Antiqua" w:hAnsi="Book Antiqua" w:cs="Calibri"/>
        </w:rPr>
        <w:t xml:space="preserve"> The projected 5-, 10-, and 15-year HCC risk for each score was pre-calculated and </w:t>
      </w:r>
      <w:r w:rsidRPr="00736FFB">
        <w:rPr>
          <w:rFonts w:ascii="Book Antiqua" w:hAnsi="Book Antiqua" w:cs="Calibri"/>
        </w:rPr>
        <w:lastRenderedPageBreak/>
        <w:t xml:space="preserve">depicted in a </w:t>
      </w:r>
      <w:proofErr w:type="spellStart"/>
      <w:r w:rsidRPr="00736FFB">
        <w:rPr>
          <w:rFonts w:ascii="Book Antiqua" w:hAnsi="Book Antiqua" w:cs="Calibri"/>
        </w:rPr>
        <w:t>nomogra</w:t>
      </w:r>
      <w:r w:rsidRPr="00736FFB">
        <w:rPr>
          <w:rFonts w:ascii="Book Antiqua" w:hAnsi="Book Antiqua" w:cs="Calibri"/>
          <w:color w:val="000000"/>
        </w:rPr>
        <w:t>m</w:t>
      </w:r>
      <w:proofErr w:type="spellEnd"/>
      <w:r w:rsidRPr="00736FFB">
        <w:rPr>
          <w:rFonts w:ascii="Book Antiqua" w:hAnsi="Book Antiqua" w:cs="Calibri"/>
          <w:color w:val="000000"/>
        </w:rPr>
        <w:t xml:space="preserve"> (Figure 2). </w:t>
      </w:r>
      <w:r w:rsidRPr="00736FFB">
        <w:rPr>
          <w:rFonts w:ascii="Book Antiqua" w:hAnsi="Book Antiqua" w:cs="Calibri"/>
        </w:rPr>
        <w:t xml:space="preserve">This upgraded HCC risk calculator was internally validated using a third of the population from which the model was derived from, and showed excellent prediction accuracy and discriminatory ability. </w:t>
      </w:r>
      <w:r w:rsidRPr="0098057C">
        <w:rPr>
          <w:rFonts w:ascii="Book Antiqua" w:hAnsi="Book Antiqua" w:cs="Calibri"/>
        </w:rPr>
        <w:t>Taking the REACH-B score as a precedent, thi</w:t>
      </w:r>
      <w:r w:rsidRPr="00736FFB">
        <w:rPr>
          <w:rFonts w:ascii="Book Antiqua" w:hAnsi="Book Antiqua" w:cs="Calibri"/>
        </w:rPr>
        <w:t xml:space="preserve">s upgraded version may hopefully be validated externally using clinical CHB patients to prove its accuracy, reliability, and added predictive capability over the original version in the near future. In addition to this, because testing serum HBV DNA levels is relatively costly compared to all other risk predictors in the risk calculator, a model/score might be generated in which quantitative serum </w:t>
      </w:r>
      <w:proofErr w:type="spellStart"/>
      <w:r w:rsidRPr="00736FFB">
        <w:rPr>
          <w:rFonts w:ascii="Book Antiqua" w:hAnsi="Book Antiqua" w:cs="Calibri"/>
        </w:rPr>
        <w:t>HBsAg</w:t>
      </w:r>
      <w:proofErr w:type="spellEnd"/>
      <w:r w:rsidRPr="00736FFB">
        <w:rPr>
          <w:rFonts w:ascii="Book Antiqua" w:hAnsi="Book Antiqua" w:cs="Calibri"/>
        </w:rPr>
        <w:t xml:space="preserve"> levels can be used in lieu of serum HBV DNA levels. </w:t>
      </w:r>
      <w:r w:rsidRPr="00736FFB">
        <w:rPr>
          <w:rFonts w:ascii="Book Antiqua" w:hAnsi="Book Antiqua" w:cs="Calibri"/>
          <w:color w:val="000000"/>
          <w:kern w:val="0"/>
        </w:rPr>
        <w:t>This score/model, once generated and validated, can be used as a first-line risk prediction instrument by</w:t>
      </w:r>
      <w:r w:rsidRPr="0098057C">
        <w:rPr>
          <w:rFonts w:ascii="Book Antiqua" w:hAnsi="Book Antiqua" w:cs="Calibri"/>
          <w:color w:val="000000"/>
          <w:kern w:val="0"/>
        </w:rPr>
        <w:t xml:space="preserve"> </w:t>
      </w:r>
      <w:r w:rsidRPr="0098057C">
        <w:rPr>
          <w:rFonts w:ascii="Book Antiqua" w:hAnsi="Book Antiqua"/>
          <w:color w:val="000000"/>
        </w:rPr>
        <w:t>general practitioners and CHB patients who are interested in knowing their long-term risk, thereby largely extending the application of this tool into the community.</w:t>
      </w:r>
    </w:p>
    <w:p w:rsidR="006F5B68" w:rsidRPr="00736FFB" w:rsidRDefault="006F5B68" w:rsidP="00404435">
      <w:pPr>
        <w:spacing w:line="360" w:lineRule="auto"/>
        <w:jc w:val="both"/>
        <w:rPr>
          <w:rFonts w:ascii="Book Antiqua" w:hAnsi="Book Antiqua"/>
        </w:rPr>
      </w:pPr>
    </w:p>
    <w:p w:rsidR="006F5B68" w:rsidRPr="00736FFB" w:rsidRDefault="006F5B68" w:rsidP="00404435">
      <w:pPr>
        <w:spacing w:line="360" w:lineRule="auto"/>
        <w:jc w:val="both"/>
        <w:rPr>
          <w:rFonts w:ascii="Book Antiqua" w:hAnsi="Book Antiqua"/>
          <w:b/>
        </w:rPr>
      </w:pPr>
      <w:r w:rsidRPr="00736FFB">
        <w:rPr>
          <w:rFonts w:ascii="Book Antiqua" w:hAnsi="Book Antiqua"/>
          <w:b/>
        </w:rPr>
        <w:t>IMPLICATIONS OF HCC RISK CALCULATORS FOR CLINICS AND PUBLIC HEALTH</w:t>
      </w:r>
    </w:p>
    <w:p w:rsidR="006F5B68" w:rsidRPr="0098057C" w:rsidRDefault="006F5B68" w:rsidP="00404435">
      <w:pPr>
        <w:spacing w:line="360" w:lineRule="auto"/>
        <w:jc w:val="both"/>
        <w:rPr>
          <w:rFonts w:ascii="Book Antiqua" w:eastAsia="宋体" w:hAnsi="Book Antiqua"/>
          <w:lang w:eastAsia="zh-CN"/>
        </w:rPr>
      </w:pPr>
      <w:r w:rsidRPr="00736FFB">
        <w:rPr>
          <w:rFonts w:ascii="Book Antiqua" w:hAnsi="Book Antiqua"/>
        </w:rPr>
        <w:t xml:space="preserve">As a useful risk estimation tool, the HCC risk calculator can be used to support clinical practice as well as derive preventive measures. The risk score helps to create a gauge for HCC risk assessment that can be used for evidence-based decisions during clinical management of chronic HBV carriers. Based on patients’ personalized HCC risks, their follow-up intervals, surveillance patterns, and referral strategies can be tailored. Furthermore, as antiviral therapy has been shown to improve </w:t>
      </w:r>
      <w:r>
        <w:rPr>
          <w:rFonts w:ascii="Book Antiqua" w:hAnsi="Book Antiqua"/>
        </w:rPr>
        <w:t>histology</w:t>
      </w:r>
      <w:r w:rsidRPr="00736FFB">
        <w:rPr>
          <w:rFonts w:ascii="Book Antiqua" w:hAnsi="Book Antiqua"/>
          <w:noProof/>
          <w:vertAlign w:val="superscript"/>
        </w:rPr>
        <w:t>[17]</w:t>
      </w:r>
      <w:r>
        <w:rPr>
          <w:rFonts w:ascii="Book Antiqua" w:eastAsia="宋体" w:hAnsi="Book Antiqua"/>
          <w:noProof/>
          <w:lang w:eastAsia="zh-CN"/>
        </w:rPr>
        <w:t>,</w:t>
      </w:r>
      <w:r w:rsidRPr="00736FFB">
        <w:rPr>
          <w:rFonts w:ascii="Book Antiqua" w:hAnsi="Book Antiqua"/>
        </w:rPr>
        <w:t xml:space="preserve"> timely antiviral therapy in high-HCC-risk patients may lead to improvement in quality of life and prolonged survival. The risk score also provides an appropriate platform </w:t>
      </w:r>
      <w:r w:rsidRPr="00736FFB">
        <w:rPr>
          <w:rFonts w:ascii="Book Antiqua" w:hAnsi="Book Antiqua"/>
        </w:rPr>
        <w:lastRenderedPageBreak/>
        <w:t>for physician-patient communication, which may help to raise patients' awareness of HCC and assist in imparting knowledge to high-risk patients. Patients' willingness to receive antiviral therapies may hopefully be motivated by understanding their own risk. The risk prediction score might also complement clinical practice guidelines by functioning as a risk stratification system. From a public health viewpoint, the risk calculator can bridge the gap between personal risk profiles and population health impact resulting from HCC, and may help in proper allocation of health care resources. For example, by knowing the distributions of scores from community and clinical settings used in the REACH-B paper (shown in Figure 3),</w:t>
      </w:r>
      <w:r w:rsidRPr="00736FFB">
        <w:rPr>
          <w:rFonts w:ascii="Book Antiqua" w:hAnsi="Book Antiqua"/>
          <w:noProof/>
          <w:vertAlign w:val="superscript"/>
        </w:rPr>
        <w:t>[13]</w:t>
      </w:r>
      <w:r w:rsidRPr="00736FFB">
        <w:rPr>
          <w:rFonts w:ascii="Book Antiqua" w:hAnsi="Book Antiqua"/>
        </w:rPr>
        <w:t xml:space="preserve"> one can try to estimate the impact of HCC according to different risk scores in specific time frames. Further analyses on its cost-effectiveness can be conducted in order to guide public health intervention plans.  </w:t>
      </w:r>
    </w:p>
    <w:p w:rsidR="006F5B68" w:rsidRPr="00736FFB" w:rsidRDefault="006F5B68" w:rsidP="0098057C">
      <w:pPr>
        <w:spacing w:line="360" w:lineRule="auto"/>
        <w:ind w:firstLineChars="300" w:firstLine="720"/>
        <w:jc w:val="both"/>
        <w:rPr>
          <w:rFonts w:ascii="Book Antiqua" w:hAnsi="Book Antiqua"/>
        </w:rPr>
      </w:pPr>
      <w:r w:rsidRPr="0098057C">
        <w:rPr>
          <w:rFonts w:ascii="Book Antiqua" w:hAnsi="Book Antiqua"/>
        </w:rPr>
        <w:t>A key question that has been raised about the usage of the risk calculator is, how will patients with diverse predicted risks be managed differently? An argument was also brought up that it may instead be more important to identify a group of patients with a zero risk for HCC within a specific time frame. As</w:t>
      </w:r>
      <w:r w:rsidRPr="0098057C">
        <w:rPr>
          <w:rFonts w:ascii="Book Antiqua" w:hAnsi="Book Antiqua"/>
          <w:b/>
        </w:rPr>
        <w:t xml:space="preserve"> </w:t>
      </w:r>
      <w:r w:rsidRPr="0098057C">
        <w:rPr>
          <w:rFonts w:ascii="Book Antiqua" w:hAnsi="Book Antiqua"/>
        </w:rPr>
        <w:t>Figure 2 shows, the HCC risk that can be predicted by the risk score is a risk continuum. The risk is never zero, even in patients with the lowest scores. The potential cut-off risk and corresponding management strategies is an issue. However, the risk calculator only deals with risk estimation of HCC. The management of CHB patients should take other information into consideration such as benefits, adverse effects, as well as the cost-effectiveness of management strategies. International guideline development committees may integrate all of these factors when setting up threshold scores for beginning various clinical interventions.</w:t>
      </w:r>
    </w:p>
    <w:p w:rsidR="006F5B68" w:rsidRPr="00736FFB" w:rsidRDefault="006F5B68" w:rsidP="00404435">
      <w:pPr>
        <w:spacing w:line="360" w:lineRule="auto"/>
        <w:jc w:val="both"/>
        <w:rPr>
          <w:rFonts w:ascii="Book Antiqua" w:hAnsi="Book Antiqua"/>
        </w:rPr>
      </w:pPr>
    </w:p>
    <w:p w:rsidR="006F5B68" w:rsidRPr="00736FFB" w:rsidRDefault="006F5B68" w:rsidP="00404435">
      <w:pPr>
        <w:spacing w:line="360" w:lineRule="auto"/>
        <w:jc w:val="both"/>
        <w:rPr>
          <w:rFonts w:ascii="Book Antiqua" w:hAnsi="Book Antiqua"/>
          <w:b/>
        </w:rPr>
      </w:pPr>
      <w:r w:rsidRPr="0098057C">
        <w:rPr>
          <w:rFonts w:ascii="Book Antiqua" w:hAnsi="Book Antiqua"/>
          <w:b/>
        </w:rPr>
        <w:t>EXTENDING THE USE OF HCC RISK SCORES IN TREATMENT RESEARCH</w:t>
      </w:r>
    </w:p>
    <w:p w:rsidR="006F5B68" w:rsidRPr="00736FFB" w:rsidRDefault="006F5B68" w:rsidP="00404435">
      <w:pPr>
        <w:autoSpaceDE w:val="0"/>
        <w:autoSpaceDN w:val="0"/>
        <w:adjustRightInd w:val="0"/>
        <w:spacing w:line="360" w:lineRule="auto"/>
        <w:jc w:val="both"/>
        <w:rPr>
          <w:rFonts w:ascii="Book Antiqua" w:hAnsi="Book Antiqua"/>
          <w:kern w:val="0"/>
        </w:rPr>
      </w:pPr>
      <w:r w:rsidRPr="00736FFB">
        <w:rPr>
          <w:rFonts w:ascii="Book Antiqua" w:hAnsi="Book Antiqua"/>
        </w:rPr>
        <w:t>The REACH-B scoring system has been used to classify anti-viral treatment eligibility of CHB patients according to the 2012 Asian Pacific Association for the Study of the Liver (APASL) treatment guidelines.</w:t>
      </w:r>
      <w:r w:rsidRPr="00736FFB">
        <w:rPr>
          <w:rFonts w:ascii="Book Antiqua" w:hAnsi="Book Antiqua"/>
          <w:noProof/>
          <w:vertAlign w:val="superscript"/>
        </w:rPr>
        <w:t>[18]</w:t>
      </w:r>
      <w:r w:rsidRPr="00736FFB">
        <w:rPr>
          <w:rFonts w:ascii="Book Antiqua" w:hAnsi="Book Antiqua"/>
        </w:rPr>
        <w:t xml:space="preserve"> In this study, a total of 904 </w:t>
      </w:r>
      <w:proofErr w:type="spellStart"/>
      <w:r w:rsidRPr="00736FFB">
        <w:rPr>
          <w:rFonts w:ascii="Book Antiqua" w:hAnsi="Book Antiqua"/>
        </w:rPr>
        <w:t>noncirrhotic</w:t>
      </w:r>
      <w:proofErr w:type="spellEnd"/>
      <w:r w:rsidRPr="00736FFB">
        <w:rPr>
          <w:rFonts w:ascii="Book Antiqua" w:hAnsi="Book Antiqua"/>
        </w:rPr>
        <w:t xml:space="preserve"> CHB patients were enrolled, and their age, gender liver biochemistry, </w:t>
      </w:r>
      <w:proofErr w:type="spellStart"/>
      <w:r w:rsidRPr="00736FFB">
        <w:rPr>
          <w:rFonts w:ascii="Book Antiqua" w:hAnsi="Book Antiqua"/>
        </w:rPr>
        <w:t>HBeAg</w:t>
      </w:r>
      <w:proofErr w:type="spellEnd"/>
      <w:r w:rsidRPr="00736FFB">
        <w:rPr>
          <w:rFonts w:ascii="Book Antiqua" w:hAnsi="Book Antiqua"/>
        </w:rPr>
        <w:t xml:space="preserve"> status, and HBV DNA levels were recorded. This study showed that for patients to be eligible for anti-viral treatment, the minimal REACH-B score should be 7 and 6, respectively, for </w:t>
      </w:r>
      <w:proofErr w:type="spellStart"/>
      <w:r w:rsidRPr="00736FFB">
        <w:rPr>
          <w:rFonts w:ascii="Book Antiqua" w:hAnsi="Book Antiqua"/>
        </w:rPr>
        <w:t>HBeAg</w:t>
      </w:r>
      <w:proofErr w:type="spellEnd"/>
      <w:r w:rsidRPr="00736FFB">
        <w:rPr>
          <w:rFonts w:ascii="Book Antiqua" w:hAnsi="Book Antiqua"/>
        </w:rPr>
        <w:t xml:space="preserve">-seropositive and –negative patients. Additionally, in </w:t>
      </w:r>
      <w:proofErr w:type="spellStart"/>
      <w:r w:rsidRPr="00736FFB">
        <w:rPr>
          <w:rFonts w:ascii="Book Antiqua" w:hAnsi="Book Antiqua"/>
        </w:rPr>
        <w:t>HBeAg-seronegative</w:t>
      </w:r>
      <w:proofErr w:type="spellEnd"/>
      <w:r w:rsidRPr="00736FFB">
        <w:rPr>
          <w:rFonts w:ascii="Book Antiqua" w:hAnsi="Book Antiqua"/>
        </w:rPr>
        <w:t xml:space="preserve"> patients, the REACH-B score could predict treatment eligibility, with an</w:t>
      </w:r>
      <w:r>
        <w:rPr>
          <w:rFonts w:ascii="Book Antiqua" w:hAnsi="Book Antiqua"/>
        </w:rPr>
        <w:t xml:space="preserve"> adjusted OR (95%</w:t>
      </w:r>
      <w:r w:rsidRPr="00736FFB">
        <w:rPr>
          <w:rFonts w:ascii="Book Antiqua" w:hAnsi="Book Antiqua"/>
        </w:rPr>
        <w:t xml:space="preserve">CI) of 1.78 (1.61-1.98). In </w:t>
      </w:r>
      <w:proofErr w:type="spellStart"/>
      <w:r w:rsidRPr="00736FFB">
        <w:rPr>
          <w:rFonts w:ascii="Book Antiqua" w:hAnsi="Book Antiqua"/>
        </w:rPr>
        <w:t>HBeAg</w:t>
      </w:r>
      <w:proofErr w:type="spellEnd"/>
      <w:r w:rsidRPr="00736FFB">
        <w:rPr>
          <w:rFonts w:ascii="Book Antiqua" w:hAnsi="Book Antiqua"/>
        </w:rPr>
        <w:t>-seropositive patients, however, this same score-dependent eligibility of treatment was not observed. In this study, the authors also showed that the REACH-B score was excellent in discriminating treatment eligibility for young (&lt;</w:t>
      </w:r>
      <w:r>
        <w:rPr>
          <w:rFonts w:ascii="Book Antiqua" w:eastAsia="宋体" w:hAnsi="Book Antiqua"/>
          <w:lang w:eastAsia="zh-CN"/>
        </w:rPr>
        <w:t xml:space="preserve"> </w:t>
      </w:r>
      <w:r w:rsidRPr="00736FFB">
        <w:rPr>
          <w:rFonts w:ascii="Book Antiqua" w:hAnsi="Book Antiqua"/>
        </w:rPr>
        <w:t xml:space="preserve">40 years) </w:t>
      </w:r>
      <w:proofErr w:type="spellStart"/>
      <w:r w:rsidRPr="00736FFB">
        <w:rPr>
          <w:rFonts w:ascii="Book Antiqua" w:hAnsi="Book Antiqua"/>
        </w:rPr>
        <w:t>HBeAg</w:t>
      </w:r>
      <w:proofErr w:type="spellEnd"/>
      <w:r w:rsidRPr="00736FFB">
        <w:rPr>
          <w:rFonts w:ascii="Book Antiqua" w:hAnsi="Book Antiqua"/>
        </w:rPr>
        <w:t>-seropositive patients (AUC: 0.903) and in both young (&lt;</w:t>
      </w:r>
      <w:r>
        <w:rPr>
          <w:rFonts w:ascii="Book Antiqua" w:eastAsia="宋体" w:hAnsi="Book Antiqua"/>
          <w:lang w:eastAsia="zh-CN"/>
        </w:rPr>
        <w:t xml:space="preserve"> </w:t>
      </w:r>
      <w:r w:rsidRPr="00736FFB">
        <w:rPr>
          <w:rFonts w:ascii="Book Antiqua" w:hAnsi="Book Antiqua"/>
        </w:rPr>
        <w:t>45 years; AUC: 0.907) and older (≥</w:t>
      </w:r>
      <w:r>
        <w:rPr>
          <w:rFonts w:ascii="Book Antiqua" w:eastAsia="宋体" w:hAnsi="Book Antiqua"/>
          <w:lang w:eastAsia="zh-CN"/>
        </w:rPr>
        <w:t xml:space="preserve"> </w:t>
      </w:r>
      <w:r w:rsidRPr="00736FFB">
        <w:rPr>
          <w:rFonts w:ascii="Book Antiqua" w:hAnsi="Book Antiqua"/>
        </w:rPr>
        <w:t xml:space="preserve">45 years; AUC: 0.883) </w:t>
      </w:r>
      <w:proofErr w:type="spellStart"/>
      <w:r w:rsidRPr="00736FFB">
        <w:rPr>
          <w:rFonts w:ascii="Book Antiqua" w:hAnsi="Book Antiqua"/>
        </w:rPr>
        <w:t>HBeAg-seronegative</w:t>
      </w:r>
      <w:proofErr w:type="spellEnd"/>
      <w:r w:rsidRPr="00736FFB">
        <w:rPr>
          <w:rFonts w:ascii="Book Antiqua" w:hAnsi="Book Antiqua"/>
        </w:rPr>
        <w:t xml:space="preserve"> patients; but the discriminatory capability for older (≥</w:t>
      </w:r>
      <w:r>
        <w:rPr>
          <w:rFonts w:ascii="Book Antiqua" w:eastAsia="宋体" w:hAnsi="Book Antiqua"/>
          <w:lang w:eastAsia="zh-CN"/>
        </w:rPr>
        <w:t xml:space="preserve"> </w:t>
      </w:r>
      <w:r w:rsidRPr="00736FFB">
        <w:rPr>
          <w:rFonts w:ascii="Book Antiqua" w:hAnsi="Book Antiqua"/>
        </w:rPr>
        <w:t xml:space="preserve">40 years) </w:t>
      </w:r>
      <w:proofErr w:type="spellStart"/>
      <w:r w:rsidRPr="00736FFB">
        <w:rPr>
          <w:rFonts w:ascii="Book Antiqua" w:hAnsi="Book Antiqua"/>
        </w:rPr>
        <w:t>HBeAg</w:t>
      </w:r>
      <w:proofErr w:type="spellEnd"/>
      <w:r w:rsidRPr="00736FFB">
        <w:rPr>
          <w:rFonts w:ascii="Book Antiqua" w:hAnsi="Book Antiqua"/>
        </w:rPr>
        <w:t xml:space="preserve">-seropositive patients was poor (AUC: 0.664). After an in depth investigation, they found that </w:t>
      </w:r>
      <w:r w:rsidRPr="00736FFB">
        <w:rPr>
          <w:rFonts w:ascii="Book Antiqua" w:hAnsi="Book Antiqua"/>
          <w:kern w:val="0"/>
        </w:rPr>
        <w:t xml:space="preserve">46.4% of </w:t>
      </w:r>
      <w:proofErr w:type="spellStart"/>
      <w:r w:rsidRPr="00736FFB">
        <w:rPr>
          <w:rFonts w:ascii="Book Antiqua" w:hAnsi="Book Antiqua"/>
          <w:kern w:val="0"/>
        </w:rPr>
        <w:t>HBeAg</w:t>
      </w:r>
      <w:proofErr w:type="spellEnd"/>
      <w:r w:rsidRPr="00736FFB">
        <w:rPr>
          <w:rFonts w:ascii="Book Antiqua" w:hAnsi="Book Antiqua"/>
          <w:kern w:val="0"/>
        </w:rPr>
        <w:t>-seropositive patients older than 40 years of age with high risk of HCC, as estimated by a REACH score ≥</w:t>
      </w:r>
      <w:r>
        <w:rPr>
          <w:rFonts w:ascii="Book Antiqua" w:eastAsia="宋体" w:hAnsi="Book Antiqua"/>
          <w:kern w:val="0"/>
          <w:lang w:eastAsia="zh-CN"/>
        </w:rPr>
        <w:t xml:space="preserve"> </w:t>
      </w:r>
      <w:r w:rsidRPr="00736FFB">
        <w:rPr>
          <w:rFonts w:ascii="Book Antiqua" w:hAnsi="Book Antiqua"/>
          <w:kern w:val="0"/>
        </w:rPr>
        <w:t>11, would be erroneously excluded from treatment, mainly because their ALT levels never exceeded 2xULN, even after frequent blood tests during follow up. In other words, these patients were excluded from treatment, despite the fact that all these patients were signi</w:t>
      </w:r>
      <w:r w:rsidRPr="00736FFB">
        <w:rPr>
          <w:rFonts w:ascii="Book Antiqua" w:eastAsia="AdvOT1ef757c0+fb" w:hAnsi="Book Antiqua"/>
          <w:kern w:val="0"/>
        </w:rPr>
        <w:t>fi</w:t>
      </w:r>
      <w:r w:rsidRPr="00736FFB">
        <w:rPr>
          <w:rFonts w:ascii="Book Antiqua" w:hAnsi="Book Antiqua"/>
          <w:kern w:val="0"/>
        </w:rPr>
        <w:t xml:space="preserve">cantly </w:t>
      </w:r>
      <w:proofErr w:type="spellStart"/>
      <w:r w:rsidRPr="00736FFB">
        <w:rPr>
          <w:rFonts w:ascii="Book Antiqua" w:hAnsi="Book Antiqua"/>
          <w:kern w:val="0"/>
        </w:rPr>
        <w:t>viraemic</w:t>
      </w:r>
      <w:proofErr w:type="spellEnd"/>
      <w:r w:rsidRPr="00736FFB">
        <w:rPr>
          <w:rFonts w:ascii="Book Antiqua" w:hAnsi="Book Antiqua"/>
          <w:kern w:val="0"/>
        </w:rPr>
        <w:t xml:space="preserve">. The authors suggested that the severity </w:t>
      </w:r>
      <w:r w:rsidRPr="00736FFB">
        <w:rPr>
          <w:rFonts w:ascii="Book Antiqua" w:hAnsi="Book Antiqua"/>
          <w:kern w:val="0"/>
        </w:rPr>
        <w:lastRenderedPageBreak/>
        <w:t xml:space="preserve">of liver </w:t>
      </w:r>
      <w:r w:rsidRPr="00736FFB">
        <w:rPr>
          <w:rFonts w:ascii="Book Antiqua" w:eastAsia="AdvOT1ef757c0+fb" w:hAnsi="Book Antiqua"/>
          <w:kern w:val="0"/>
        </w:rPr>
        <w:t>fi</w:t>
      </w:r>
      <w:r w:rsidRPr="00736FFB">
        <w:rPr>
          <w:rFonts w:ascii="Book Antiqua" w:hAnsi="Book Antiqua"/>
          <w:kern w:val="0"/>
        </w:rPr>
        <w:t xml:space="preserve">brosis in these high-risk patients be evaluated through liver biopsy or complementary noninvasive tools such as liver stiffness measurements, rather than exclude them from treatment. </w:t>
      </w:r>
    </w:p>
    <w:p w:rsidR="006F5B68" w:rsidRPr="00736FFB" w:rsidRDefault="006F5B68" w:rsidP="0098057C">
      <w:pPr>
        <w:autoSpaceDE w:val="0"/>
        <w:autoSpaceDN w:val="0"/>
        <w:adjustRightInd w:val="0"/>
        <w:spacing w:line="360" w:lineRule="auto"/>
        <w:ind w:firstLineChars="250" w:firstLine="600"/>
        <w:jc w:val="both"/>
        <w:rPr>
          <w:rFonts w:ascii="Book Antiqua" w:hAnsi="Book Antiqua"/>
          <w:kern w:val="0"/>
        </w:rPr>
      </w:pPr>
      <w:r w:rsidRPr="00736FFB">
        <w:rPr>
          <w:rFonts w:ascii="Book Antiqua" w:hAnsi="Book Antiqua"/>
        </w:rPr>
        <w:t>The accuracy of HCC risk scores that were derived from treatment-na</w:t>
      </w:r>
      <w:r w:rsidRPr="00736FFB">
        <w:rPr>
          <w:rFonts w:ascii="Book Antiqua" w:hAnsi="Book Antiqua"/>
          <w:kern w:val="0"/>
        </w:rPr>
        <w:t>ï</w:t>
      </w:r>
      <w:r w:rsidRPr="00736FFB">
        <w:rPr>
          <w:rFonts w:ascii="Book Antiqua" w:hAnsi="Book Antiqua"/>
        </w:rPr>
        <w:t xml:space="preserve">ve CHB patients has been evaluated in 1531 patients treated with </w:t>
      </w:r>
      <w:proofErr w:type="spellStart"/>
      <w:r w:rsidRPr="00736FFB">
        <w:rPr>
          <w:rFonts w:ascii="Book Antiqua" w:hAnsi="Book Antiqua"/>
        </w:rPr>
        <w:t>entecavir</w:t>
      </w:r>
      <w:proofErr w:type="spellEnd"/>
      <w:r w:rsidRPr="00736FFB">
        <w:rPr>
          <w:rFonts w:ascii="Book Antiqua" w:hAnsi="Book Antiqua"/>
          <w:noProof/>
          <w:vertAlign w:val="superscript"/>
        </w:rPr>
        <w:t>[19]</w:t>
      </w:r>
      <w:r>
        <w:rPr>
          <w:rFonts w:ascii="Book Antiqua" w:eastAsia="宋体" w:hAnsi="Book Antiqua"/>
          <w:noProof/>
          <w:lang w:eastAsia="zh-CN"/>
        </w:rPr>
        <w:t>.</w:t>
      </w:r>
      <w:r w:rsidRPr="00736FFB">
        <w:rPr>
          <w:rFonts w:ascii="Book Antiqua" w:hAnsi="Book Antiqua"/>
        </w:rPr>
        <w:t xml:space="preserve"> These patients were treated with </w:t>
      </w:r>
      <w:proofErr w:type="spellStart"/>
      <w:r w:rsidRPr="00736FFB">
        <w:rPr>
          <w:rFonts w:ascii="Book Antiqua" w:hAnsi="Book Antiqua"/>
        </w:rPr>
        <w:t>entecavir</w:t>
      </w:r>
      <w:proofErr w:type="spellEnd"/>
      <w:r w:rsidRPr="00736FFB">
        <w:rPr>
          <w:rFonts w:ascii="Book Antiqua" w:hAnsi="Book Antiqua"/>
        </w:rPr>
        <w:t xml:space="preserve"> 0.5 mg daily for at least 12 months, and were assessed </w:t>
      </w:r>
      <w:r w:rsidRPr="00736FFB">
        <w:rPr>
          <w:rFonts w:ascii="Book Antiqua" w:hAnsi="Book Antiqua"/>
          <w:kern w:val="0"/>
        </w:rPr>
        <w:t>once every 3</w:t>
      </w:r>
      <w:r>
        <w:rPr>
          <w:rFonts w:ascii="Book Antiqua" w:eastAsia="宋体" w:hAnsi="Book Antiqua"/>
          <w:kern w:val="0"/>
          <w:lang w:eastAsia="zh-CN"/>
        </w:rPr>
        <w:t>-</w:t>
      </w:r>
      <w:r w:rsidRPr="00736FFB">
        <w:rPr>
          <w:rFonts w:ascii="Book Antiqua" w:hAnsi="Book Antiqua"/>
          <w:kern w:val="0"/>
        </w:rPr>
        <w:t xml:space="preserve">6 </w:t>
      </w:r>
      <w:proofErr w:type="spellStart"/>
      <w:r w:rsidRPr="00736FFB">
        <w:rPr>
          <w:rFonts w:ascii="Book Antiqua" w:hAnsi="Book Antiqua"/>
          <w:kern w:val="0"/>
        </w:rPr>
        <w:t>mo</w:t>
      </w:r>
      <w:proofErr w:type="spellEnd"/>
      <w:r w:rsidRPr="00736FFB">
        <w:rPr>
          <w:rFonts w:ascii="Book Antiqua" w:hAnsi="Book Antiqua"/>
          <w:kern w:val="0"/>
        </w:rPr>
        <w:t xml:space="preserve"> for symptoms, drug history, and adherence, in addition to collecting blood samples for biochemical analyses. Three HCC risk scores, including the CU-HCC, GAG-HCC, and REACH-B scores were used based on profiles at the start of treatment and 2 years later after treatment. The AUROCs for utilizing the CU-HCC, GAG-HCC, and REACH-B scores for predicting HCC were 0.80 (</w:t>
      </w:r>
      <w:r>
        <w:rPr>
          <w:rFonts w:ascii="Book Antiqua" w:hAnsi="Book Antiqua"/>
          <w:kern w:val="0"/>
        </w:rPr>
        <w:t>95%CI</w:t>
      </w:r>
      <w:r>
        <w:rPr>
          <w:rFonts w:ascii="Book Antiqua" w:eastAsia="宋体" w:hAnsi="Book Antiqua"/>
          <w:kern w:val="0"/>
          <w:lang w:eastAsia="zh-CN"/>
        </w:rPr>
        <w:t>:</w:t>
      </w:r>
      <w:r>
        <w:rPr>
          <w:rFonts w:ascii="Book Antiqua" w:hAnsi="Book Antiqua"/>
          <w:kern w:val="0"/>
        </w:rPr>
        <w:t xml:space="preserve"> 0.75</w:t>
      </w:r>
      <w:r>
        <w:rPr>
          <w:rFonts w:ascii="Book Antiqua" w:eastAsia="宋体" w:hAnsi="Book Antiqua"/>
          <w:kern w:val="0"/>
          <w:lang w:eastAsia="zh-CN"/>
        </w:rPr>
        <w:t>-</w:t>
      </w:r>
      <w:r>
        <w:rPr>
          <w:rFonts w:ascii="Book Antiqua" w:hAnsi="Book Antiqua"/>
          <w:kern w:val="0"/>
        </w:rPr>
        <w:t>0.86), 0.76 (95%</w:t>
      </w:r>
      <w:r w:rsidRPr="00736FFB">
        <w:rPr>
          <w:rFonts w:ascii="Book Antiqua" w:hAnsi="Book Antiqua"/>
          <w:kern w:val="0"/>
        </w:rPr>
        <w:t>CI</w:t>
      </w:r>
      <w:r>
        <w:rPr>
          <w:rFonts w:ascii="Book Antiqua" w:eastAsia="宋体" w:hAnsi="Book Antiqua"/>
          <w:kern w:val="0"/>
          <w:lang w:eastAsia="zh-CN"/>
        </w:rPr>
        <w:t>:</w:t>
      </w:r>
      <w:r w:rsidRPr="00736FFB">
        <w:rPr>
          <w:rFonts w:ascii="Book Antiqua" w:hAnsi="Book Antiqua"/>
          <w:kern w:val="0"/>
        </w:rPr>
        <w:t xml:space="preserve"> 0.70</w:t>
      </w:r>
      <w:r>
        <w:rPr>
          <w:rFonts w:ascii="Book Antiqua" w:eastAsia="宋体" w:hAnsi="Book Antiqua"/>
          <w:kern w:val="0"/>
          <w:lang w:eastAsia="zh-CN"/>
        </w:rPr>
        <w:t>-</w:t>
      </w:r>
      <w:r>
        <w:rPr>
          <w:rFonts w:ascii="Book Antiqua" w:hAnsi="Book Antiqua"/>
          <w:kern w:val="0"/>
        </w:rPr>
        <w:t>0.82), and 0.71 (95%</w:t>
      </w:r>
      <w:r w:rsidRPr="00736FFB">
        <w:rPr>
          <w:rFonts w:ascii="Book Antiqua" w:hAnsi="Book Antiqua"/>
          <w:kern w:val="0"/>
        </w:rPr>
        <w:t>CI</w:t>
      </w:r>
      <w:r>
        <w:rPr>
          <w:rFonts w:ascii="Book Antiqua" w:eastAsia="宋体" w:hAnsi="Book Antiqua"/>
          <w:kern w:val="0"/>
          <w:lang w:eastAsia="zh-CN"/>
        </w:rPr>
        <w:t xml:space="preserve">: </w:t>
      </w:r>
      <w:r w:rsidRPr="00736FFB">
        <w:rPr>
          <w:rFonts w:ascii="Book Antiqua" w:hAnsi="Book Antiqua"/>
          <w:kern w:val="0"/>
        </w:rPr>
        <w:t>0.62</w:t>
      </w:r>
      <w:r>
        <w:rPr>
          <w:rFonts w:ascii="Book Antiqua" w:eastAsia="宋体" w:hAnsi="Book Antiqua"/>
          <w:kern w:val="0"/>
          <w:lang w:eastAsia="zh-CN"/>
        </w:rPr>
        <w:t>-</w:t>
      </w:r>
      <w:r w:rsidRPr="00736FFB">
        <w:rPr>
          <w:rFonts w:ascii="Book Antiqua" w:hAnsi="Book Antiqua"/>
          <w:kern w:val="0"/>
        </w:rPr>
        <w:t xml:space="preserve">0.81), respectively. This study also evaluated the on-treatment performance of HCC risk scores, as well as the change in HCC risk scores from baseline to 2 years after treatment with </w:t>
      </w:r>
      <w:proofErr w:type="spellStart"/>
      <w:r w:rsidRPr="00736FFB">
        <w:rPr>
          <w:rFonts w:ascii="Book Antiqua" w:hAnsi="Book Antiqua"/>
          <w:kern w:val="0"/>
        </w:rPr>
        <w:t>entecavir</w:t>
      </w:r>
      <w:proofErr w:type="spellEnd"/>
      <w:r w:rsidRPr="00736FFB">
        <w:rPr>
          <w:rFonts w:ascii="Book Antiqua" w:hAnsi="Book Antiqua"/>
          <w:kern w:val="0"/>
        </w:rPr>
        <w:t xml:space="preserve">. Interestingly, the CU-HCC, GAG-HCC, and REACH-B scores, which were originally developed in treatment-naïve patients, can be applicable to predict subsequent development of HCC in patients treated with </w:t>
      </w:r>
      <w:proofErr w:type="spellStart"/>
      <w:r w:rsidRPr="00736FFB">
        <w:rPr>
          <w:rFonts w:ascii="Book Antiqua" w:hAnsi="Book Antiqua"/>
          <w:kern w:val="0"/>
        </w:rPr>
        <w:t>entecavir</w:t>
      </w:r>
      <w:proofErr w:type="spellEnd"/>
      <w:r w:rsidRPr="00736FFB">
        <w:rPr>
          <w:rFonts w:ascii="Book Antiqua" w:hAnsi="Book Antiqua"/>
          <w:kern w:val="0"/>
        </w:rPr>
        <w:t xml:space="preserve">. </w:t>
      </w:r>
      <w:r w:rsidRPr="0098057C">
        <w:rPr>
          <w:rFonts w:ascii="Book Antiqua" w:hAnsi="Book Antiqua"/>
          <w:kern w:val="0"/>
        </w:rPr>
        <w:t>However, because all of these scores were derived from and validated in treatment-free cohorts, and many potential predictors related to therapy and responses during and after treatment could not be collected, they may not be the optimal prediction tools for CHB patients under antiviral treatment. A risk calculator derived from treated patients, which includes pre-treatment, on-treatment, and post-treatment parameters, might best fit this purpose.</w:t>
      </w:r>
    </w:p>
    <w:p w:rsidR="006F5B68" w:rsidRPr="0098057C" w:rsidRDefault="006F5B68" w:rsidP="0098057C">
      <w:pPr>
        <w:autoSpaceDE w:val="0"/>
        <w:autoSpaceDN w:val="0"/>
        <w:adjustRightInd w:val="0"/>
        <w:spacing w:line="360" w:lineRule="auto"/>
        <w:ind w:firstLineChars="250" w:firstLine="600"/>
        <w:jc w:val="both"/>
        <w:rPr>
          <w:rStyle w:val="apple-converted-space"/>
          <w:rFonts w:ascii="Book Antiqua" w:eastAsia="宋体" w:hAnsi="Book Antiqua" w:cs="Arial"/>
          <w:color w:val="000000"/>
          <w:shd w:val="clear" w:color="auto" w:fill="FFFFFF"/>
          <w:lang w:eastAsia="zh-CN"/>
        </w:rPr>
      </w:pPr>
      <w:r w:rsidRPr="00736FFB">
        <w:rPr>
          <w:rFonts w:ascii="Book Antiqua" w:hAnsi="Book Antiqua"/>
          <w:kern w:val="0"/>
        </w:rPr>
        <w:t>Recently, the REACH-B score has</w:t>
      </w:r>
      <w:r w:rsidRPr="00736FFB">
        <w:rPr>
          <w:rFonts w:ascii="Book Antiqua" w:hAnsi="Book Antiqua"/>
          <w:color w:val="000000"/>
        </w:rPr>
        <w:t xml:space="preserve"> been used as a natural history </w:t>
      </w:r>
      <w:r w:rsidRPr="0098057C">
        <w:rPr>
          <w:rFonts w:ascii="Book Antiqua" w:hAnsi="Book Antiqua"/>
          <w:color w:val="000000"/>
        </w:rPr>
        <w:lastRenderedPageBreak/>
        <w:t xml:space="preserve">counterpart to </w:t>
      </w:r>
      <w:r w:rsidRPr="0098057C">
        <w:rPr>
          <w:rFonts w:ascii="Book Antiqua" w:hAnsi="Book Antiqua" w:cs="Arial"/>
          <w:color w:val="000000"/>
        </w:rPr>
        <w:t xml:space="preserve">evaluate the long-term effect of antiviral therapy using </w:t>
      </w:r>
      <w:proofErr w:type="spellStart"/>
      <w:r w:rsidRPr="0098057C">
        <w:rPr>
          <w:rFonts w:ascii="Book Antiqua" w:hAnsi="Book Antiqua" w:cs="Arial"/>
          <w:color w:val="000000"/>
        </w:rPr>
        <w:t>tenofovir</w:t>
      </w:r>
      <w:proofErr w:type="spellEnd"/>
      <w:r w:rsidRPr="0098057C">
        <w:rPr>
          <w:rFonts w:ascii="Book Antiqua" w:hAnsi="Book Antiqua" w:cs="Arial"/>
          <w:color w:val="000000"/>
        </w:rPr>
        <w:t xml:space="preserve"> on HCC incidence over time</w:t>
      </w:r>
      <w:r w:rsidRPr="0098057C">
        <w:rPr>
          <w:rStyle w:val="apple-converted-space"/>
          <w:rFonts w:ascii="Book Antiqua" w:hAnsi="Book Antiqua" w:cs="Arial"/>
          <w:color w:val="000000"/>
        </w:rPr>
        <w:t>.</w:t>
      </w:r>
      <w:r w:rsidRPr="0098057C">
        <w:rPr>
          <w:rStyle w:val="apple-converted-space"/>
          <w:rFonts w:ascii="Book Antiqua" w:hAnsi="Book Antiqua" w:cs="Arial"/>
          <w:noProof/>
          <w:color w:val="000000"/>
          <w:vertAlign w:val="superscript"/>
        </w:rPr>
        <w:t>[20]</w:t>
      </w:r>
      <w:r w:rsidRPr="0098057C">
        <w:rPr>
          <w:rStyle w:val="apple-converted-space"/>
          <w:rFonts w:ascii="Book Antiqua" w:hAnsi="Book Antiqua" w:cs="Arial"/>
          <w:color w:val="000000"/>
        </w:rPr>
        <w:t xml:space="preserve"> The analysis included more than 600 patients from two multinational Phase 3, placebo-controlled </w:t>
      </w:r>
      <w:proofErr w:type="spellStart"/>
      <w:r w:rsidRPr="0098057C">
        <w:rPr>
          <w:rStyle w:val="apple-converted-space"/>
          <w:rFonts w:ascii="Book Antiqua" w:hAnsi="Book Antiqua" w:cs="Arial"/>
          <w:color w:val="000000"/>
        </w:rPr>
        <w:t>tenofovir</w:t>
      </w:r>
      <w:proofErr w:type="spellEnd"/>
      <w:r w:rsidRPr="0098057C">
        <w:rPr>
          <w:rStyle w:val="apple-converted-space"/>
          <w:rFonts w:ascii="Book Antiqua" w:hAnsi="Book Antiqua" w:cs="Arial"/>
          <w:color w:val="000000"/>
        </w:rPr>
        <w:t xml:space="preserve"> trials (one for </w:t>
      </w:r>
      <w:proofErr w:type="spellStart"/>
      <w:r w:rsidRPr="0098057C">
        <w:rPr>
          <w:rStyle w:val="apple-converted-space"/>
          <w:rFonts w:ascii="Book Antiqua" w:hAnsi="Book Antiqua" w:cs="Arial"/>
          <w:color w:val="000000"/>
        </w:rPr>
        <w:t>HBeAg-seronegative</w:t>
      </w:r>
      <w:proofErr w:type="spellEnd"/>
      <w:r w:rsidRPr="0098057C">
        <w:rPr>
          <w:rStyle w:val="apple-converted-space"/>
          <w:rFonts w:ascii="Book Antiqua" w:hAnsi="Book Antiqua" w:cs="Arial"/>
          <w:color w:val="000000"/>
        </w:rPr>
        <w:t xml:space="preserve"> patients and the other for </w:t>
      </w:r>
      <w:proofErr w:type="spellStart"/>
      <w:r w:rsidRPr="0098057C">
        <w:rPr>
          <w:rStyle w:val="apple-converted-space"/>
          <w:rFonts w:ascii="Book Antiqua" w:hAnsi="Book Antiqua" w:cs="Arial"/>
          <w:color w:val="000000"/>
        </w:rPr>
        <w:t>HBeAg</w:t>
      </w:r>
      <w:proofErr w:type="spellEnd"/>
      <w:r w:rsidRPr="0098057C">
        <w:rPr>
          <w:rStyle w:val="apple-converted-space"/>
          <w:rFonts w:ascii="Book Antiqua" w:hAnsi="Book Antiqua" w:cs="Arial"/>
          <w:color w:val="000000"/>
        </w:rPr>
        <w:t xml:space="preserve"> positive patients). Participants in both trials were randomly assigned to </w:t>
      </w:r>
      <w:proofErr w:type="spellStart"/>
      <w:r w:rsidRPr="0098057C">
        <w:rPr>
          <w:rStyle w:val="apple-converted-space"/>
          <w:rFonts w:ascii="Book Antiqua" w:hAnsi="Book Antiqua" w:cs="Arial"/>
          <w:color w:val="000000"/>
        </w:rPr>
        <w:t>tenofovir</w:t>
      </w:r>
      <w:proofErr w:type="spellEnd"/>
      <w:r w:rsidRPr="0098057C">
        <w:rPr>
          <w:rStyle w:val="apple-converted-space"/>
          <w:rFonts w:ascii="Book Antiqua" w:hAnsi="Book Antiqua" w:cs="Arial"/>
          <w:color w:val="000000"/>
        </w:rPr>
        <w:t xml:space="preserve"> treatment or placebo for 1 year, after which the patients could opt to continue on open-label </w:t>
      </w:r>
      <w:proofErr w:type="spellStart"/>
      <w:r w:rsidRPr="0098057C">
        <w:rPr>
          <w:rStyle w:val="apple-converted-space"/>
          <w:rFonts w:ascii="Book Antiqua" w:hAnsi="Book Antiqua" w:cs="Arial"/>
          <w:color w:val="000000"/>
        </w:rPr>
        <w:t>tenofovir</w:t>
      </w:r>
      <w:proofErr w:type="spellEnd"/>
      <w:r w:rsidRPr="0098057C">
        <w:rPr>
          <w:rStyle w:val="apple-converted-space"/>
          <w:rFonts w:ascii="Book Antiqua" w:hAnsi="Book Antiqua" w:cs="Arial"/>
          <w:color w:val="000000"/>
        </w:rPr>
        <w:t xml:space="preserve"> for 8 years. The REACH-B scores were estimated using patients' baseline data. The standardized incidence ratio (SIR) of observed versus expected number of HCC cases, which was estimated according to the REACH-B score, was calculated. The analysis showed that by year 6, th</w:t>
      </w:r>
      <w:r>
        <w:rPr>
          <w:rStyle w:val="apple-converted-space"/>
          <w:rFonts w:ascii="Book Antiqua" w:hAnsi="Book Antiqua" w:cs="Arial"/>
          <w:color w:val="000000"/>
        </w:rPr>
        <w:t>e SIR (95%</w:t>
      </w:r>
      <w:r w:rsidRPr="0098057C">
        <w:rPr>
          <w:rStyle w:val="apple-converted-space"/>
          <w:rFonts w:ascii="Book Antiqua" w:hAnsi="Book Antiqua" w:cs="Arial"/>
          <w:color w:val="000000"/>
        </w:rPr>
        <w:t xml:space="preserve">CI) was 0.50 (0.29-0.84), which meant a 50% decrease from the predicted number of HCC cases. The effect of </w:t>
      </w:r>
      <w:proofErr w:type="spellStart"/>
      <w:r w:rsidRPr="0098057C">
        <w:rPr>
          <w:rStyle w:val="apple-converted-space"/>
          <w:rFonts w:ascii="Book Antiqua" w:hAnsi="Book Antiqua" w:cs="Arial"/>
          <w:color w:val="000000"/>
        </w:rPr>
        <w:t>tenofovir</w:t>
      </w:r>
      <w:proofErr w:type="spellEnd"/>
      <w:r w:rsidRPr="0098057C">
        <w:rPr>
          <w:rStyle w:val="apple-converted-space"/>
          <w:rFonts w:ascii="Book Antiqua" w:hAnsi="Book Antiqua" w:cs="Arial"/>
          <w:color w:val="000000"/>
        </w:rPr>
        <w:t xml:space="preserve"> was noticeable in non-cirrhotic patients (75% of study patients)</w:t>
      </w:r>
      <w:r>
        <w:rPr>
          <w:rStyle w:val="apple-converted-space"/>
          <w:rFonts w:ascii="Book Antiqua" w:hAnsi="Book Antiqua" w:cs="Arial"/>
          <w:color w:val="000000"/>
        </w:rPr>
        <w:t>, in which a SIR (95%</w:t>
      </w:r>
      <w:r w:rsidRPr="0098057C">
        <w:rPr>
          <w:rStyle w:val="apple-converted-space"/>
          <w:rFonts w:ascii="Book Antiqua" w:hAnsi="Book Antiqua" w:cs="Arial"/>
          <w:color w:val="000000"/>
        </w:rPr>
        <w:t xml:space="preserve">CI) of 0.45 (0.23-0.91) could be observed at 6 years of therapy. The authors concluded that the incidence of HCC in patients on </w:t>
      </w:r>
      <w:proofErr w:type="spellStart"/>
      <w:r w:rsidRPr="0098057C">
        <w:rPr>
          <w:rStyle w:val="apple-converted-space"/>
          <w:rFonts w:ascii="Book Antiqua" w:hAnsi="Book Antiqua" w:cs="Arial"/>
          <w:color w:val="000000"/>
        </w:rPr>
        <w:t>tenofovir</w:t>
      </w:r>
      <w:proofErr w:type="spellEnd"/>
      <w:r w:rsidRPr="0098057C">
        <w:rPr>
          <w:rStyle w:val="apple-converted-space"/>
          <w:rFonts w:ascii="Book Antiqua" w:hAnsi="Book Antiqua" w:cs="Arial"/>
          <w:color w:val="000000"/>
        </w:rPr>
        <w:t xml:space="preserve"> in both trials was lower than what was predicted by the REACH-B model, and that potent antiviral therapy may reduce the risk of HCC. Of note, among patients with cirrhosis (25% of study patients), the observed numbers of HCC were closer to the curve of expected cases predicted by REACH-B. </w:t>
      </w:r>
      <w:r w:rsidRPr="0098057C">
        <w:rPr>
          <w:rStyle w:val="apple-converted-space"/>
          <w:rFonts w:ascii="Book Antiqua" w:hAnsi="Book Antiqua"/>
        </w:rPr>
        <w:t xml:space="preserve">This result, however, does not necessarily rule out the long-term benefits of </w:t>
      </w:r>
      <w:proofErr w:type="spellStart"/>
      <w:r w:rsidRPr="0098057C">
        <w:rPr>
          <w:rStyle w:val="apple-converted-space"/>
          <w:rFonts w:ascii="Book Antiqua" w:hAnsi="Book Antiqua"/>
        </w:rPr>
        <w:t>tenefovir</w:t>
      </w:r>
      <w:proofErr w:type="spellEnd"/>
      <w:r w:rsidRPr="0098057C">
        <w:rPr>
          <w:rStyle w:val="apple-converted-space"/>
          <w:rFonts w:ascii="Book Antiqua" w:hAnsi="Book Antiqua"/>
        </w:rPr>
        <w:t>, because the REACH-B score was generated from non-cirrhotic patients, which may have underestimated actual HCC risk in cirrhotic patients without treatment.</w:t>
      </w:r>
    </w:p>
    <w:p w:rsidR="006F5B68" w:rsidRPr="0098057C" w:rsidRDefault="006F5B68" w:rsidP="0098057C">
      <w:pPr>
        <w:spacing w:line="360" w:lineRule="auto"/>
        <w:ind w:firstLineChars="250" w:firstLine="600"/>
        <w:jc w:val="both"/>
        <w:rPr>
          <w:rFonts w:ascii="Book Antiqua" w:eastAsia="宋体" w:hAnsi="Book Antiqua"/>
          <w:kern w:val="0"/>
          <w:lang w:eastAsia="zh-CN"/>
        </w:rPr>
      </w:pPr>
      <w:r w:rsidRPr="00736FFB">
        <w:rPr>
          <w:rFonts w:ascii="Book Antiqua" w:hAnsi="Book Antiqua"/>
          <w:kern w:val="0"/>
        </w:rPr>
        <w:t>It has been stated in the conclusion of the National Institutes of Health Consensus Development’s statement on the management of hepatitis B</w:t>
      </w:r>
      <w:r w:rsidRPr="00736FFB">
        <w:rPr>
          <w:rFonts w:ascii="Book Antiqua" w:hAnsi="Book Antiqua"/>
          <w:noProof/>
          <w:kern w:val="0"/>
          <w:vertAlign w:val="superscript"/>
        </w:rPr>
        <w:t>[21]</w:t>
      </w:r>
      <w:r w:rsidRPr="00736FFB">
        <w:rPr>
          <w:rFonts w:ascii="Book Antiqua" w:hAnsi="Book Antiqua"/>
          <w:kern w:val="0"/>
        </w:rPr>
        <w:t xml:space="preserve"> that the major goals of anti-HBV therapy are to prevent the development of progressive disease, specifically cirrhosis and liver failure, as well as HCC </w:t>
      </w:r>
      <w:r w:rsidRPr="00736FFB">
        <w:rPr>
          <w:rFonts w:ascii="Book Antiqua" w:hAnsi="Book Antiqua"/>
          <w:kern w:val="0"/>
        </w:rPr>
        <w:lastRenderedPageBreak/>
        <w:t xml:space="preserve">and subsequent death. However, to date, no randomized clinical trials (RCTs) of anti-HBV therapies have demonstrated a beneficial impact on overall mortality, liver-specific mortality, or development of HCC. Most published reports of hepatitis therapy use changes in short-term </w:t>
      </w:r>
      <w:proofErr w:type="spellStart"/>
      <w:r w:rsidRPr="00736FFB">
        <w:rPr>
          <w:rFonts w:ascii="Book Antiqua" w:hAnsi="Book Antiqua"/>
          <w:kern w:val="0"/>
        </w:rPr>
        <w:t>virologic</w:t>
      </w:r>
      <w:proofErr w:type="spellEnd"/>
      <w:r w:rsidRPr="00736FFB">
        <w:rPr>
          <w:rFonts w:ascii="Book Antiqua" w:hAnsi="Book Antiqua"/>
          <w:kern w:val="0"/>
        </w:rPr>
        <w:t xml:space="preserve">, biochemical, and histologic parameters to infer the likelihood of long-term benefit. Approved therapies are associated with improvements in intermediate biomarkers, including suppressed HBV DNA levels, </w:t>
      </w:r>
      <w:proofErr w:type="spellStart"/>
      <w:r w:rsidRPr="00736FFB">
        <w:rPr>
          <w:rFonts w:ascii="Book Antiqua" w:hAnsi="Book Antiqua"/>
          <w:kern w:val="0"/>
        </w:rPr>
        <w:t>HBeAg</w:t>
      </w:r>
      <w:proofErr w:type="spellEnd"/>
      <w:r w:rsidRPr="00736FFB">
        <w:rPr>
          <w:rFonts w:ascii="Book Antiqua" w:hAnsi="Book Antiqua"/>
          <w:kern w:val="0"/>
        </w:rPr>
        <w:t xml:space="preserve"> loss or </w:t>
      </w:r>
      <w:proofErr w:type="spellStart"/>
      <w:r w:rsidRPr="00736FFB">
        <w:rPr>
          <w:rFonts w:ascii="Book Antiqua" w:hAnsi="Book Antiqua"/>
          <w:kern w:val="0"/>
        </w:rPr>
        <w:t>seroconversion</w:t>
      </w:r>
      <w:proofErr w:type="spellEnd"/>
      <w:r w:rsidRPr="00736FFB">
        <w:rPr>
          <w:rFonts w:ascii="Book Antiqua" w:hAnsi="Book Antiqua"/>
          <w:kern w:val="0"/>
        </w:rPr>
        <w:t>, decreases in ALT levels, and improvement in liver histology. According to this</w:t>
      </w:r>
      <w:r>
        <w:rPr>
          <w:rFonts w:ascii="Book Antiqua" w:hAnsi="Book Antiqua"/>
          <w:kern w:val="0"/>
        </w:rPr>
        <w:t xml:space="preserve"> statement</w:t>
      </w:r>
      <w:r w:rsidRPr="00736FFB">
        <w:rPr>
          <w:rFonts w:ascii="Book Antiqua" w:hAnsi="Book Antiqua"/>
          <w:noProof/>
          <w:kern w:val="0"/>
          <w:vertAlign w:val="superscript"/>
        </w:rPr>
        <w:t>[21]</w:t>
      </w:r>
      <w:r>
        <w:rPr>
          <w:rFonts w:ascii="Book Antiqua" w:eastAsia="宋体" w:hAnsi="Book Antiqua"/>
          <w:noProof/>
          <w:kern w:val="0"/>
          <w:lang w:eastAsia="zh-CN"/>
        </w:rPr>
        <w:t>,</w:t>
      </w:r>
      <w:r w:rsidRPr="00736FFB">
        <w:rPr>
          <w:rFonts w:ascii="Book Antiqua" w:hAnsi="Book Antiqua"/>
          <w:kern w:val="0"/>
        </w:rPr>
        <w:t xml:space="preserve"> the most important research needs include representative prospective cohort studies to define the natural history of the disease, and large RCTs of </w:t>
      </w:r>
      <w:proofErr w:type="spellStart"/>
      <w:r w:rsidRPr="00736FFB">
        <w:rPr>
          <w:rFonts w:ascii="Book Antiqua" w:hAnsi="Book Antiqua"/>
          <w:kern w:val="0"/>
        </w:rPr>
        <w:t>monotherapy</w:t>
      </w:r>
      <w:proofErr w:type="spellEnd"/>
      <w:r w:rsidRPr="00736FFB">
        <w:rPr>
          <w:rFonts w:ascii="Book Antiqua" w:hAnsi="Book Antiqua"/>
          <w:kern w:val="0"/>
        </w:rPr>
        <w:t xml:space="preserve"> and combined therapies, including placebo-controlled trials, that measure the effects on clinical health outcomes.</w:t>
      </w:r>
    </w:p>
    <w:p w:rsidR="006F5B68" w:rsidRPr="00736FFB" w:rsidRDefault="006F5B68" w:rsidP="0098057C">
      <w:pPr>
        <w:spacing w:line="360" w:lineRule="auto"/>
        <w:ind w:firstLineChars="250" w:firstLine="600"/>
        <w:jc w:val="both"/>
        <w:rPr>
          <w:rFonts w:ascii="Book Antiqua" w:hAnsi="Book Antiqua"/>
          <w:kern w:val="0"/>
        </w:rPr>
      </w:pPr>
      <w:r w:rsidRPr="00736FFB">
        <w:rPr>
          <w:rFonts w:ascii="Book Antiqua" w:hAnsi="Book Antiqua"/>
          <w:kern w:val="0"/>
        </w:rPr>
        <w:t xml:space="preserve">The aforementioned study was a good example in using the risk score developed from a natural history cohort as a scale to quantify the effect of antiviral therapy. For the time being, it is no longer feasible to conduct placebo-controlled RCTs to prove the efficacy of antiviral drugs on long-term outcomes, because they need large populations and a very long time to observe enough patients with outcomes. In addition, when treatments began showing their initial benefits, not treating patients for the sake of an arm of a clinical trial was no longer ethical. In this case, comparing outcomes from treatment cohorts with an existing natural history cohort is much more feasible. In adopting this approach, a difficulty may be encountered - CHB patients who are eligible for antiviral treatment should typically have worse risk profiles. When comparing the long-term risk of disease progression between CHB treatment cohorts and CHB natural history cohorts, it is crucial to take patients’ risk profiles (such as gender, age, ALT, </w:t>
      </w:r>
      <w:proofErr w:type="spellStart"/>
      <w:r w:rsidRPr="00736FFB">
        <w:rPr>
          <w:rFonts w:ascii="Book Antiqua" w:hAnsi="Book Antiqua"/>
          <w:kern w:val="0"/>
        </w:rPr>
        <w:t>HBeAg</w:t>
      </w:r>
      <w:proofErr w:type="spellEnd"/>
      <w:r w:rsidRPr="00736FFB">
        <w:rPr>
          <w:rFonts w:ascii="Book Antiqua" w:hAnsi="Book Antiqua"/>
          <w:kern w:val="0"/>
        </w:rPr>
        <w:t xml:space="preserve">, and HBV </w:t>
      </w:r>
      <w:r w:rsidRPr="00736FFB">
        <w:rPr>
          <w:rFonts w:ascii="Book Antiqua" w:hAnsi="Book Antiqua"/>
          <w:kern w:val="0"/>
        </w:rPr>
        <w:lastRenderedPageBreak/>
        <w:t>DNA level) into consideration because these are all important risk predictors of long-term clinical health outcomes. This issue can be overcome by introducing the natural history risk score, as shown by Kim e</w:t>
      </w:r>
      <w:r w:rsidRPr="00A05CB9">
        <w:rPr>
          <w:rFonts w:ascii="Book Antiqua" w:hAnsi="Book Antiqua"/>
          <w:i/>
          <w:kern w:val="0"/>
        </w:rPr>
        <w:t>t al</w:t>
      </w:r>
      <w:r w:rsidRPr="00A05CB9">
        <w:rPr>
          <w:rStyle w:val="apple-converted-space"/>
          <w:rFonts w:ascii="Book Antiqua" w:hAnsi="Book Antiqua" w:cs="Arial"/>
          <w:noProof/>
          <w:color w:val="000000"/>
          <w:vertAlign w:val="superscript"/>
        </w:rPr>
        <w:t>[20]</w:t>
      </w:r>
      <w:r w:rsidRPr="00736FFB">
        <w:rPr>
          <w:rFonts w:ascii="Book Antiqua" w:hAnsi="Book Antiqua"/>
          <w:kern w:val="0"/>
        </w:rPr>
        <w:t xml:space="preserve"> which was used as a risk scale to be contrasted with treatment cohorts. </w:t>
      </w:r>
    </w:p>
    <w:p w:rsidR="006F5B68" w:rsidRPr="00736FFB" w:rsidRDefault="006F5B68" w:rsidP="00404435">
      <w:pPr>
        <w:spacing w:line="360" w:lineRule="auto"/>
        <w:jc w:val="both"/>
        <w:rPr>
          <w:rFonts w:ascii="Book Antiqua" w:hAnsi="Book Antiqua"/>
        </w:rPr>
      </w:pPr>
    </w:p>
    <w:p w:rsidR="006F5B68" w:rsidRPr="00736FFB" w:rsidRDefault="006F5B68" w:rsidP="00404435">
      <w:pPr>
        <w:spacing w:line="360" w:lineRule="auto"/>
        <w:jc w:val="both"/>
        <w:rPr>
          <w:rFonts w:ascii="Book Antiqua" w:hAnsi="Book Antiqua"/>
          <w:b/>
        </w:rPr>
      </w:pPr>
      <w:r w:rsidRPr="00736FFB">
        <w:rPr>
          <w:rFonts w:ascii="Book Antiqua" w:hAnsi="Book Antiqua"/>
          <w:b/>
        </w:rPr>
        <w:t>PRECAUTION AND DISCUSSION OF USING THE RISK SCORES</w:t>
      </w:r>
    </w:p>
    <w:p w:rsidR="006F5B68" w:rsidRPr="0098057C" w:rsidRDefault="006F5B68" w:rsidP="00404435">
      <w:pPr>
        <w:spacing w:line="360" w:lineRule="auto"/>
        <w:jc w:val="both"/>
        <w:rPr>
          <w:rFonts w:ascii="Book Antiqua" w:eastAsia="宋体" w:hAnsi="Book Antiqua"/>
          <w:lang w:eastAsia="zh-CN"/>
        </w:rPr>
      </w:pPr>
      <w:r w:rsidRPr="00736FFB">
        <w:rPr>
          <w:rFonts w:ascii="Book Antiqua" w:hAnsi="Book Antiqua"/>
        </w:rPr>
        <w:t>Although the risk calculators are easy-to-use and the REACH-B predictive score was externally validated to be an applicable tool for HCC risk estimation, several precautions and discussions should be taken. Because surveillance strategies derived from a Taiwanese population might not apply globally, further validation is still needed in patients of different ethnicities, geographical areas, ages at infection, genetic background, HBV genotypes or species, comorbidities, and exposures to environmental factors</w:t>
      </w:r>
      <w:r>
        <w:rPr>
          <w:rFonts w:ascii="Book Antiqua" w:hAnsi="Book Antiqua"/>
        </w:rPr>
        <w:t xml:space="preserve"> such as </w:t>
      </w:r>
      <w:proofErr w:type="spellStart"/>
      <w:r>
        <w:rPr>
          <w:rFonts w:ascii="Book Antiqua" w:hAnsi="Book Antiqua"/>
        </w:rPr>
        <w:t>aflatoxin</w:t>
      </w:r>
      <w:proofErr w:type="spellEnd"/>
      <w:r>
        <w:rPr>
          <w:rFonts w:ascii="Book Antiqua" w:hAnsi="Book Antiqua"/>
        </w:rPr>
        <w:t xml:space="preserve"> and alcohol</w:t>
      </w:r>
      <w:r>
        <w:rPr>
          <w:rFonts w:ascii="Book Antiqua" w:hAnsi="Book Antiqua"/>
          <w:noProof/>
          <w:vertAlign w:val="superscript"/>
        </w:rPr>
        <w:t>[13,22,</w:t>
      </w:r>
      <w:r w:rsidRPr="00736FFB">
        <w:rPr>
          <w:rFonts w:ascii="Book Antiqua" w:hAnsi="Book Antiqua"/>
          <w:noProof/>
          <w:vertAlign w:val="superscript"/>
        </w:rPr>
        <w:t>23]</w:t>
      </w:r>
      <w:r>
        <w:rPr>
          <w:rFonts w:ascii="Book Antiqua" w:eastAsia="宋体" w:hAnsi="Book Antiqua"/>
          <w:noProof/>
          <w:lang w:eastAsia="zh-CN"/>
        </w:rPr>
        <w:t>.</w:t>
      </w:r>
      <w:r w:rsidRPr="00736FFB">
        <w:rPr>
          <w:rFonts w:ascii="Book Antiqua" w:hAnsi="Book Antiqua"/>
        </w:rPr>
        <w:t xml:space="preserve"> </w:t>
      </w:r>
    </w:p>
    <w:p w:rsidR="006F5B68" w:rsidRPr="00736FFB" w:rsidRDefault="006F5B68" w:rsidP="0098057C">
      <w:pPr>
        <w:spacing w:line="360" w:lineRule="auto"/>
        <w:ind w:firstLineChars="300" w:firstLine="720"/>
        <w:jc w:val="both"/>
        <w:rPr>
          <w:rFonts w:ascii="Book Antiqua" w:hAnsi="Book Antiqua"/>
        </w:rPr>
      </w:pPr>
      <w:r w:rsidRPr="00736FFB">
        <w:rPr>
          <w:rFonts w:ascii="Book Antiqua" w:hAnsi="Book Antiqua"/>
        </w:rPr>
        <w:t>Another key question for the REACH-B score is whether this particular risk calculator is suitable for cirrhotic patients. We know that cirrhosis occurs at a relatively late stage in the spectrum of liver disease, and studies indicate that the annual risk of developing HCC among these patients is</w:t>
      </w:r>
      <w:r>
        <w:rPr>
          <w:rFonts w:ascii="Book Antiqua" w:hAnsi="Book Antiqua"/>
        </w:rPr>
        <w:t xml:space="preserve"> extremely high</w:t>
      </w:r>
      <w:r w:rsidRPr="00736FFB">
        <w:rPr>
          <w:rFonts w:ascii="Book Antiqua" w:hAnsi="Book Antiqua"/>
          <w:noProof/>
          <w:vertAlign w:val="superscript"/>
        </w:rPr>
        <w:t>[24]</w:t>
      </w:r>
      <w:r>
        <w:rPr>
          <w:rFonts w:ascii="Book Antiqua" w:eastAsia="宋体" w:hAnsi="Book Antiqua"/>
          <w:noProof/>
          <w:lang w:eastAsia="zh-CN"/>
        </w:rPr>
        <w:t>.</w:t>
      </w:r>
      <w:r w:rsidRPr="00736FFB">
        <w:rPr>
          <w:rFonts w:ascii="Book Antiqua" w:hAnsi="Book Antiqua"/>
        </w:rPr>
        <w:t xml:space="preserve"> However, to date, there is no HCC risk prediction tool for patients with severe fibrosis and cirrhosis. As the carcinogenesis of HCC is a multistage and multi-factorial process, the risk predictors for developing HCC in cirrhotic patients, in which CHB has already progressed to a relatively late stage, should be very different from those patients without cirrhosis. A universal risk prediction tool for the whole spectrum of patients is thus not reasonable. The predictability of the REACH-B risk score in cirrhotic patients is limited because the derivation cohort did not include CHB patients </w:t>
      </w:r>
      <w:r w:rsidRPr="00736FFB">
        <w:rPr>
          <w:rFonts w:ascii="Book Antiqua" w:hAnsi="Book Antiqua"/>
        </w:rPr>
        <w:lastRenderedPageBreak/>
        <w:t>with this complication. The original REACH-B article showed that the accuracy and values of prediction diminished when applying the risk score to cirrhotic carriers</w:t>
      </w:r>
      <w:r w:rsidRPr="00736FFB">
        <w:rPr>
          <w:rFonts w:ascii="Book Antiqua" w:hAnsi="Book Antiqua"/>
          <w:noProof/>
          <w:vertAlign w:val="superscript"/>
        </w:rPr>
        <w:t>[13]</w:t>
      </w:r>
      <w:r>
        <w:rPr>
          <w:rFonts w:ascii="Book Antiqua" w:eastAsia="宋体" w:hAnsi="Book Antiqua"/>
          <w:noProof/>
          <w:lang w:eastAsia="zh-CN"/>
        </w:rPr>
        <w:t>.</w:t>
      </w:r>
      <w:r w:rsidRPr="00736FFB">
        <w:rPr>
          <w:rFonts w:ascii="Book Antiqua" w:hAnsi="Book Antiqua"/>
        </w:rPr>
        <w:t xml:space="preserve"> However, for those in the early stages of liver disease, its accuracy was quite satisfactory. We should also bear in mind that cirrhosis itself is an important predictor for future HCC development. Therefore, patients with existing cirrhosis need close monitoring and timely initiation of antiviral therapy. Risk assessment in this group of patients, or the use of cirrhosis as a variable might therefore be pointless. </w:t>
      </w:r>
    </w:p>
    <w:p w:rsidR="006F5B68" w:rsidRPr="0098057C" w:rsidRDefault="006F5B68" w:rsidP="0098057C">
      <w:pPr>
        <w:spacing w:line="360" w:lineRule="auto"/>
        <w:ind w:firstLineChars="300" w:firstLine="720"/>
        <w:jc w:val="both"/>
        <w:rPr>
          <w:rFonts w:ascii="Book Antiqua" w:eastAsia="宋体" w:hAnsi="Book Antiqua"/>
          <w:lang w:eastAsia="zh-CN"/>
        </w:rPr>
      </w:pPr>
      <w:r w:rsidRPr="00736FFB">
        <w:rPr>
          <w:rFonts w:ascii="Book Antiqua" w:hAnsi="Book Antiqua"/>
        </w:rPr>
        <w:t xml:space="preserve">The concern has been raised on whether the risk score is suitable to be used for changing risk profiles during follow-up, either spontaneously or as a result of antiviral treatment. Because current HCC risk prediction tools were generated from a natural history cohort without history of antiviral therapy, the inference of predicted risks under circumstances of antiviral therapy should theoretically be inappropriate. Furthermore, current HCC prediction tools are based on one-shot baseline measurements; further validation studies are required to evaluate whether this risk score is applicable for changing risk profiles during follow-up, either changing spontaneously or through antiviral therapy. A risk calculator, which incorporates not only the baseline risk parameters but also the repeated measurements of patients’ risk profiles, would be expected to solve this problem, and thus deserves further efforts.  </w:t>
      </w:r>
    </w:p>
    <w:p w:rsidR="006F5B68" w:rsidRPr="00736FFB" w:rsidRDefault="006F5B68" w:rsidP="0098057C">
      <w:pPr>
        <w:spacing w:line="360" w:lineRule="auto"/>
        <w:ind w:firstLineChars="250" w:firstLine="600"/>
        <w:jc w:val="both"/>
        <w:rPr>
          <w:rFonts w:ascii="Book Antiqua" w:hAnsi="Book Antiqua" w:cs="Arial"/>
        </w:rPr>
      </w:pPr>
      <w:r w:rsidRPr="00736FFB">
        <w:rPr>
          <w:rFonts w:ascii="Book Antiqua" w:hAnsi="Book Antiqua"/>
        </w:rPr>
        <w:t xml:space="preserve">The risk calculator is a practical tool for managing various phases of a specific disease. Therefore, several other clinical outcomes and milestones of CHB, such as cirrhosis, liver-related mortality, as well as the </w:t>
      </w:r>
      <w:proofErr w:type="spellStart"/>
      <w:r w:rsidRPr="00736FFB">
        <w:rPr>
          <w:rFonts w:ascii="Book Antiqua" w:hAnsi="Book Antiqua"/>
        </w:rPr>
        <w:t>seroclearance</w:t>
      </w:r>
      <w:proofErr w:type="spellEnd"/>
      <w:r w:rsidRPr="00736FFB">
        <w:rPr>
          <w:rFonts w:ascii="Book Antiqua" w:hAnsi="Book Antiqua"/>
        </w:rPr>
        <w:t xml:space="preserve"> of </w:t>
      </w:r>
      <w:proofErr w:type="spellStart"/>
      <w:r w:rsidRPr="00736FFB">
        <w:rPr>
          <w:rFonts w:ascii="Book Antiqua" w:hAnsi="Book Antiqua"/>
        </w:rPr>
        <w:t>HBeAg</w:t>
      </w:r>
      <w:proofErr w:type="spellEnd"/>
      <w:r w:rsidRPr="00736FFB">
        <w:rPr>
          <w:rFonts w:ascii="Book Antiqua" w:hAnsi="Book Antiqua"/>
        </w:rPr>
        <w:t xml:space="preserve">, </w:t>
      </w:r>
      <w:proofErr w:type="spellStart"/>
      <w:r w:rsidRPr="00736FFB">
        <w:rPr>
          <w:rFonts w:ascii="Book Antiqua" w:hAnsi="Book Antiqua"/>
        </w:rPr>
        <w:t>HBsAg</w:t>
      </w:r>
      <w:proofErr w:type="spellEnd"/>
      <w:r w:rsidRPr="00736FFB">
        <w:rPr>
          <w:rFonts w:ascii="Book Antiqua" w:hAnsi="Book Antiqua"/>
        </w:rPr>
        <w:t xml:space="preserve">, and HBV DNA, can also be suitable for the development of risk or probability prediction tools. One example is a predictive scoring system for the spontaneous </w:t>
      </w:r>
      <w:proofErr w:type="spellStart"/>
      <w:r w:rsidRPr="00736FFB">
        <w:rPr>
          <w:rFonts w:ascii="Book Antiqua" w:hAnsi="Book Antiqua"/>
        </w:rPr>
        <w:t>seroclearance</w:t>
      </w:r>
      <w:proofErr w:type="spellEnd"/>
      <w:r w:rsidRPr="00736FFB">
        <w:rPr>
          <w:rFonts w:ascii="Book Antiqua" w:hAnsi="Book Antiqua"/>
        </w:rPr>
        <w:t xml:space="preserve"> of </w:t>
      </w:r>
      <w:proofErr w:type="spellStart"/>
      <w:r w:rsidRPr="00736FFB">
        <w:rPr>
          <w:rFonts w:ascii="Book Antiqua" w:hAnsi="Book Antiqua"/>
        </w:rPr>
        <w:t>HBsAg</w:t>
      </w:r>
      <w:proofErr w:type="spellEnd"/>
      <w:r w:rsidRPr="00736FFB">
        <w:rPr>
          <w:rFonts w:ascii="Book Antiqua" w:hAnsi="Book Antiqua"/>
        </w:rPr>
        <w:t xml:space="preserve"> in </w:t>
      </w:r>
      <w:proofErr w:type="spellStart"/>
      <w:r>
        <w:rPr>
          <w:rFonts w:ascii="Book Antiqua" w:hAnsi="Book Antiqua"/>
        </w:rPr>
        <w:t>HBeAg-seronegative</w:t>
      </w:r>
      <w:proofErr w:type="spellEnd"/>
      <w:r>
        <w:rPr>
          <w:rFonts w:ascii="Book Antiqua" w:hAnsi="Book Antiqua"/>
        </w:rPr>
        <w:t xml:space="preserve"> </w:t>
      </w:r>
      <w:r>
        <w:rPr>
          <w:rFonts w:ascii="Book Antiqua" w:hAnsi="Book Antiqua"/>
        </w:rPr>
        <w:lastRenderedPageBreak/>
        <w:t>CHB patients</w:t>
      </w:r>
      <w:r w:rsidRPr="00736FFB">
        <w:rPr>
          <w:rFonts w:ascii="Book Antiqua" w:hAnsi="Book Antiqua"/>
          <w:noProof/>
          <w:vertAlign w:val="superscript"/>
        </w:rPr>
        <w:t>[25]</w:t>
      </w:r>
      <w:r>
        <w:rPr>
          <w:rFonts w:ascii="Book Antiqua" w:eastAsia="宋体" w:hAnsi="Book Antiqua"/>
          <w:noProof/>
          <w:lang w:eastAsia="zh-CN"/>
        </w:rPr>
        <w:t>.</w:t>
      </w:r>
      <w:r w:rsidRPr="00736FFB">
        <w:rPr>
          <w:rFonts w:ascii="Book Antiqua" w:hAnsi="Book Antiqua"/>
        </w:rPr>
        <w:t xml:space="preserve"> Besides focusing on outcomes, some emerging clinical parameters might hopefully be incorporated into the </w:t>
      </w:r>
      <w:r>
        <w:rPr>
          <w:rFonts w:ascii="Book Antiqua" w:hAnsi="Book Antiqua"/>
        </w:rPr>
        <w:t>current HCC risk score</w:t>
      </w:r>
      <w:r w:rsidRPr="00736FFB">
        <w:rPr>
          <w:rFonts w:ascii="Book Antiqua" w:hAnsi="Book Antiqua"/>
          <w:noProof/>
          <w:vertAlign w:val="superscript"/>
        </w:rPr>
        <w:t>[26-29]</w:t>
      </w:r>
      <w:r>
        <w:rPr>
          <w:rFonts w:ascii="Book Antiqua" w:eastAsia="宋体" w:hAnsi="Book Antiqua"/>
          <w:noProof/>
          <w:lang w:eastAsia="zh-CN"/>
        </w:rPr>
        <w:t>.</w:t>
      </w:r>
      <w:r w:rsidRPr="00736FFB">
        <w:rPr>
          <w:rFonts w:ascii="Book Antiqua" w:hAnsi="Book Antiqua"/>
        </w:rPr>
        <w:t xml:space="preserve"> The incorporation of serum quantitative </w:t>
      </w:r>
      <w:proofErr w:type="spellStart"/>
      <w:r w:rsidRPr="00736FFB">
        <w:rPr>
          <w:rFonts w:ascii="Book Antiqua" w:hAnsi="Book Antiqua"/>
        </w:rPr>
        <w:t>HBsAg</w:t>
      </w:r>
      <w:proofErr w:type="spellEnd"/>
      <w:r w:rsidRPr="00736FFB">
        <w:rPr>
          <w:rFonts w:ascii="Book Antiqua" w:hAnsi="Book Antiqua"/>
        </w:rPr>
        <w:t xml:space="preserve"> titers is a good example; other factors such as host genetic and immunologic markers might also be candidates once their independent predictability are proved, even after taking known risk predictors into consideration. The realization of these prediction tools may benefit CHB patients by providing comprehensive and individualized management instruments, which have been developed based on scientific evidence of risk.</w:t>
      </w:r>
      <w:r w:rsidRPr="00736FFB">
        <w:rPr>
          <w:rFonts w:ascii="Book Antiqua" w:hAnsi="Book Antiqua" w:cs="Arial"/>
        </w:rPr>
        <w:t xml:space="preserve"> </w:t>
      </w:r>
    </w:p>
    <w:p w:rsidR="006F5B68" w:rsidRPr="00736FFB" w:rsidRDefault="006F5B68" w:rsidP="00404435">
      <w:pPr>
        <w:spacing w:line="360" w:lineRule="auto"/>
        <w:jc w:val="both"/>
        <w:rPr>
          <w:rFonts w:ascii="Book Antiqua" w:hAnsi="Book Antiqua"/>
          <w:b/>
        </w:rPr>
      </w:pPr>
      <w:r w:rsidRPr="00736FFB">
        <w:rPr>
          <w:rFonts w:ascii="Book Antiqua" w:hAnsi="Book Antiqua"/>
        </w:rPr>
        <w:br w:type="page"/>
      </w:r>
      <w:r w:rsidRPr="00736FFB">
        <w:rPr>
          <w:rFonts w:ascii="Book Antiqua" w:hAnsi="Book Antiqua"/>
          <w:b/>
        </w:rPr>
        <w:lastRenderedPageBreak/>
        <w:t>REFERENCES</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 xml:space="preserve">1 </w:t>
      </w:r>
      <w:r w:rsidRPr="00F40176">
        <w:rPr>
          <w:rFonts w:ascii="Book Antiqua" w:eastAsia="宋体" w:hAnsi="Book Antiqua" w:cs="宋体"/>
          <w:b/>
          <w:kern w:val="0"/>
        </w:rPr>
        <w:t>Organization WH</w:t>
      </w:r>
      <w:r w:rsidRPr="00806F74">
        <w:rPr>
          <w:rFonts w:ascii="Book Antiqua" w:eastAsia="宋体" w:hAnsi="Book Antiqua" w:cs="宋体"/>
          <w:kern w:val="0"/>
        </w:rPr>
        <w:t>. Fact Sheet: Hepatitis B. 2008.</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2 </w:t>
      </w:r>
      <w:proofErr w:type="spellStart"/>
      <w:r w:rsidRPr="00806F74">
        <w:rPr>
          <w:rFonts w:ascii="Book Antiqua" w:eastAsia="宋体" w:hAnsi="Book Antiqua" w:cs="宋体"/>
          <w:b/>
          <w:bCs/>
          <w:kern w:val="0"/>
        </w:rPr>
        <w:t>Lavanchy</w:t>
      </w:r>
      <w:proofErr w:type="spellEnd"/>
      <w:r w:rsidRPr="00806F74">
        <w:rPr>
          <w:rFonts w:ascii="Book Antiqua" w:eastAsia="宋体" w:hAnsi="Book Antiqua" w:cs="宋体"/>
          <w:b/>
          <w:bCs/>
          <w:kern w:val="0"/>
        </w:rPr>
        <w:t xml:space="preserve"> D</w:t>
      </w:r>
      <w:r w:rsidRPr="00806F74">
        <w:rPr>
          <w:rFonts w:ascii="Book Antiqua" w:eastAsia="宋体" w:hAnsi="Book Antiqua" w:cs="宋体"/>
          <w:kern w:val="0"/>
        </w:rPr>
        <w:t>. Hepatitis B virus epidemiology, disease burden, treatment, and current and emerging prevention and control measures. </w:t>
      </w:r>
      <w:r w:rsidRPr="00806F74">
        <w:rPr>
          <w:rFonts w:ascii="Book Antiqua" w:eastAsia="宋体" w:hAnsi="Book Antiqua" w:cs="宋体"/>
          <w:i/>
          <w:iCs/>
          <w:kern w:val="0"/>
        </w:rPr>
        <w:t xml:space="preserve">J Viral </w:t>
      </w:r>
      <w:proofErr w:type="spellStart"/>
      <w:r w:rsidRPr="00806F74">
        <w:rPr>
          <w:rFonts w:ascii="Book Antiqua" w:eastAsia="宋体" w:hAnsi="Book Antiqua" w:cs="宋体"/>
          <w:i/>
          <w:iCs/>
          <w:kern w:val="0"/>
        </w:rPr>
        <w:t>Hepat</w:t>
      </w:r>
      <w:proofErr w:type="spellEnd"/>
      <w:r w:rsidRPr="00806F74">
        <w:rPr>
          <w:rFonts w:ascii="Book Antiqua" w:eastAsia="宋体" w:hAnsi="Book Antiqua" w:cs="宋体"/>
          <w:kern w:val="0"/>
        </w:rPr>
        <w:t> 2004; </w:t>
      </w:r>
      <w:r w:rsidRPr="00806F74">
        <w:rPr>
          <w:rFonts w:ascii="Book Antiqua" w:eastAsia="宋体" w:hAnsi="Book Antiqua" w:cs="宋体"/>
          <w:b/>
          <w:bCs/>
          <w:kern w:val="0"/>
        </w:rPr>
        <w:t>11</w:t>
      </w:r>
      <w:r w:rsidRPr="00806F74">
        <w:rPr>
          <w:rFonts w:ascii="Book Antiqua" w:eastAsia="宋体" w:hAnsi="Book Antiqua" w:cs="宋体"/>
          <w:kern w:val="0"/>
        </w:rPr>
        <w:t>: 97-107 [PMID: 14996343 DOI: 10.1046/j.1365-2893.2003.00487.x]</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3 </w:t>
      </w:r>
      <w:r w:rsidRPr="00806F74">
        <w:rPr>
          <w:rFonts w:ascii="Book Antiqua" w:eastAsia="宋体" w:hAnsi="Book Antiqua" w:cs="宋体"/>
          <w:b/>
          <w:bCs/>
          <w:kern w:val="0"/>
        </w:rPr>
        <w:t>Sung JJ</w:t>
      </w:r>
      <w:r w:rsidRPr="00806F74">
        <w:rPr>
          <w:rFonts w:ascii="Book Antiqua" w:eastAsia="宋体" w:hAnsi="Book Antiqua" w:cs="宋体"/>
          <w:kern w:val="0"/>
        </w:rPr>
        <w:t xml:space="preserve">, </w:t>
      </w:r>
      <w:proofErr w:type="spellStart"/>
      <w:r w:rsidRPr="00806F74">
        <w:rPr>
          <w:rFonts w:ascii="Book Antiqua" w:eastAsia="宋体" w:hAnsi="Book Antiqua" w:cs="宋体"/>
          <w:kern w:val="0"/>
        </w:rPr>
        <w:t>Tsoi</w:t>
      </w:r>
      <w:proofErr w:type="spellEnd"/>
      <w:r w:rsidRPr="00806F74">
        <w:rPr>
          <w:rFonts w:ascii="Book Antiqua" w:eastAsia="宋体" w:hAnsi="Book Antiqua" w:cs="宋体"/>
          <w:kern w:val="0"/>
        </w:rPr>
        <w:t xml:space="preserve"> KK, Wong VW, Li KC, Chan HL. Meta-analysis: Treatment of hepatitis B infection reduces risk of hepatocellular carcinoma. </w:t>
      </w:r>
      <w:r w:rsidRPr="00806F74">
        <w:rPr>
          <w:rFonts w:ascii="Book Antiqua" w:eastAsia="宋体" w:hAnsi="Book Antiqua" w:cs="宋体"/>
          <w:i/>
          <w:iCs/>
          <w:kern w:val="0"/>
        </w:rPr>
        <w:t xml:space="preserve">Aliment </w:t>
      </w:r>
      <w:proofErr w:type="spellStart"/>
      <w:r w:rsidRPr="00806F74">
        <w:rPr>
          <w:rFonts w:ascii="Book Antiqua" w:eastAsia="宋体" w:hAnsi="Book Antiqua" w:cs="宋体"/>
          <w:i/>
          <w:iCs/>
          <w:kern w:val="0"/>
        </w:rPr>
        <w:t>Pharmacol</w:t>
      </w:r>
      <w:proofErr w:type="spellEnd"/>
      <w:r w:rsidRPr="00806F74">
        <w:rPr>
          <w:rFonts w:ascii="Book Antiqua" w:eastAsia="宋体" w:hAnsi="Book Antiqua" w:cs="宋体"/>
          <w:i/>
          <w:iCs/>
          <w:kern w:val="0"/>
        </w:rPr>
        <w:t xml:space="preserve"> </w:t>
      </w:r>
      <w:proofErr w:type="spellStart"/>
      <w:r w:rsidRPr="00806F74">
        <w:rPr>
          <w:rFonts w:ascii="Book Antiqua" w:eastAsia="宋体" w:hAnsi="Book Antiqua" w:cs="宋体"/>
          <w:i/>
          <w:iCs/>
          <w:kern w:val="0"/>
        </w:rPr>
        <w:t>Ther</w:t>
      </w:r>
      <w:proofErr w:type="spellEnd"/>
      <w:r w:rsidRPr="00806F74">
        <w:rPr>
          <w:rFonts w:ascii="Book Antiqua" w:eastAsia="宋体" w:hAnsi="Book Antiqua" w:cs="宋体"/>
          <w:kern w:val="0"/>
        </w:rPr>
        <w:t> 2008; </w:t>
      </w:r>
      <w:r w:rsidRPr="00806F74">
        <w:rPr>
          <w:rFonts w:ascii="Book Antiqua" w:eastAsia="宋体" w:hAnsi="Book Antiqua" w:cs="宋体"/>
          <w:b/>
          <w:bCs/>
          <w:kern w:val="0"/>
        </w:rPr>
        <w:t>28</w:t>
      </w:r>
      <w:r w:rsidRPr="00806F74">
        <w:rPr>
          <w:rFonts w:ascii="Book Antiqua" w:eastAsia="宋体" w:hAnsi="Book Antiqua" w:cs="宋体"/>
          <w:kern w:val="0"/>
        </w:rPr>
        <w:t>: 1067-1077 [PMID: 18657133 DOI: 10.1111/j.1365-2036.2008.03816.x]</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4 </w:t>
      </w:r>
      <w:r w:rsidRPr="00806F74">
        <w:rPr>
          <w:rFonts w:ascii="Book Antiqua" w:eastAsia="宋体" w:hAnsi="Book Antiqua" w:cs="宋体"/>
          <w:b/>
          <w:bCs/>
          <w:kern w:val="0"/>
        </w:rPr>
        <w:t>Chen CJ</w:t>
      </w:r>
      <w:r w:rsidRPr="00806F74">
        <w:rPr>
          <w:rFonts w:ascii="Book Antiqua" w:eastAsia="宋体" w:hAnsi="Book Antiqua" w:cs="宋体"/>
          <w:kern w:val="0"/>
        </w:rPr>
        <w:t xml:space="preserve">, Yu MW, </w:t>
      </w:r>
      <w:proofErr w:type="spellStart"/>
      <w:r w:rsidRPr="00806F74">
        <w:rPr>
          <w:rFonts w:ascii="Book Antiqua" w:eastAsia="宋体" w:hAnsi="Book Antiqua" w:cs="宋体"/>
          <w:kern w:val="0"/>
        </w:rPr>
        <w:t>Liaw</w:t>
      </w:r>
      <w:proofErr w:type="spellEnd"/>
      <w:r w:rsidRPr="00806F74">
        <w:rPr>
          <w:rFonts w:ascii="Book Antiqua" w:eastAsia="宋体" w:hAnsi="Book Antiqua" w:cs="宋体"/>
          <w:kern w:val="0"/>
        </w:rPr>
        <w:t xml:space="preserve"> YF. Epidemiological characteristics and risk factors of hepatocellular carcinoma. </w:t>
      </w:r>
      <w:r w:rsidRPr="00806F74">
        <w:rPr>
          <w:rFonts w:ascii="Book Antiqua" w:eastAsia="宋体" w:hAnsi="Book Antiqua" w:cs="宋体"/>
          <w:i/>
          <w:iCs/>
          <w:kern w:val="0"/>
        </w:rPr>
        <w:t xml:space="preserve">J </w:t>
      </w:r>
      <w:proofErr w:type="spellStart"/>
      <w:r w:rsidRPr="00806F74">
        <w:rPr>
          <w:rFonts w:ascii="Book Antiqua" w:eastAsia="宋体" w:hAnsi="Book Antiqua" w:cs="宋体"/>
          <w:i/>
          <w:iCs/>
          <w:kern w:val="0"/>
        </w:rPr>
        <w:t>Gastroenterol</w:t>
      </w:r>
      <w:proofErr w:type="spellEnd"/>
      <w:r w:rsidRPr="00806F74">
        <w:rPr>
          <w:rFonts w:ascii="Book Antiqua" w:eastAsia="宋体" w:hAnsi="Book Antiqua" w:cs="宋体"/>
          <w:i/>
          <w:iCs/>
          <w:kern w:val="0"/>
        </w:rPr>
        <w:t xml:space="preserve"> </w:t>
      </w:r>
      <w:proofErr w:type="spellStart"/>
      <w:r w:rsidRPr="00806F74">
        <w:rPr>
          <w:rFonts w:ascii="Book Antiqua" w:eastAsia="宋体" w:hAnsi="Book Antiqua" w:cs="宋体"/>
          <w:i/>
          <w:iCs/>
          <w:kern w:val="0"/>
        </w:rPr>
        <w:t>Hepatol</w:t>
      </w:r>
      <w:proofErr w:type="spellEnd"/>
      <w:r w:rsidRPr="00806F74">
        <w:rPr>
          <w:rFonts w:ascii="Book Antiqua" w:eastAsia="宋体" w:hAnsi="Book Antiqua" w:cs="宋体"/>
          <w:kern w:val="0"/>
        </w:rPr>
        <w:t> 1997; </w:t>
      </w:r>
      <w:r w:rsidRPr="00806F74">
        <w:rPr>
          <w:rFonts w:ascii="Book Antiqua" w:eastAsia="宋体" w:hAnsi="Book Antiqua" w:cs="宋体"/>
          <w:b/>
          <w:bCs/>
          <w:kern w:val="0"/>
        </w:rPr>
        <w:t>12</w:t>
      </w:r>
      <w:r w:rsidRPr="00806F74">
        <w:rPr>
          <w:rFonts w:ascii="Book Antiqua" w:eastAsia="宋体" w:hAnsi="Book Antiqua" w:cs="宋体"/>
          <w:kern w:val="0"/>
        </w:rPr>
        <w:t>: S294-S308 [PMID: 9407350 DOI: 10.1111/j.1440-1746.1997.tb00513.x]</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5 </w:t>
      </w:r>
      <w:r w:rsidRPr="00806F74">
        <w:rPr>
          <w:rFonts w:ascii="Book Antiqua" w:eastAsia="宋体" w:hAnsi="Book Antiqua" w:cs="宋体"/>
          <w:b/>
          <w:bCs/>
          <w:kern w:val="0"/>
        </w:rPr>
        <w:t>Chen CJ</w:t>
      </w:r>
      <w:r w:rsidRPr="00806F74">
        <w:rPr>
          <w:rFonts w:ascii="Book Antiqua" w:eastAsia="宋体" w:hAnsi="Book Antiqua" w:cs="宋体"/>
          <w:kern w:val="0"/>
        </w:rPr>
        <w:t xml:space="preserve">, Yang HI, Su J, Jen CL, You SL, Lu SN, Huang GT, </w:t>
      </w:r>
      <w:proofErr w:type="spellStart"/>
      <w:r w:rsidRPr="00806F74">
        <w:rPr>
          <w:rFonts w:ascii="Book Antiqua" w:eastAsia="宋体" w:hAnsi="Book Antiqua" w:cs="宋体"/>
          <w:kern w:val="0"/>
        </w:rPr>
        <w:t>Iloeje</w:t>
      </w:r>
      <w:proofErr w:type="spellEnd"/>
      <w:r w:rsidRPr="00806F74">
        <w:rPr>
          <w:rFonts w:ascii="Book Antiqua" w:eastAsia="宋体" w:hAnsi="Book Antiqua" w:cs="宋体"/>
          <w:kern w:val="0"/>
        </w:rPr>
        <w:t xml:space="preserve"> UH. Risk of hepatocellular carcinoma across a biological gradient of serum hepatitis B virus DNA level. </w:t>
      </w:r>
      <w:r w:rsidRPr="00806F74">
        <w:rPr>
          <w:rFonts w:ascii="Book Antiqua" w:eastAsia="宋体" w:hAnsi="Book Antiqua" w:cs="宋体"/>
          <w:i/>
          <w:iCs/>
          <w:kern w:val="0"/>
        </w:rPr>
        <w:t>JAMA</w:t>
      </w:r>
      <w:r w:rsidRPr="00806F74">
        <w:rPr>
          <w:rFonts w:ascii="Book Antiqua" w:eastAsia="宋体" w:hAnsi="Book Antiqua" w:cs="宋体"/>
          <w:kern w:val="0"/>
        </w:rPr>
        <w:t> 2006; </w:t>
      </w:r>
      <w:r w:rsidRPr="00806F74">
        <w:rPr>
          <w:rFonts w:ascii="Book Antiqua" w:eastAsia="宋体" w:hAnsi="Book Antiqua" w:cs="宋体"/>
          <w:b/>
          <w:bCs/>
          <w:kern w:val="0"/>
        </w:rPr>
        <w:t>295</w:t>
      </w:r>
      <w:r w:rsidRPr="00806F74">
        <w:rPr>
          <w:rFonts w:ascii="Book Antiqua" w:eastAsia="宋体" w:hAnsi="Book Antiqua" w:cs="宋体"/>
          <w:kern w:val="0"/>
        </w:rPr>
        <w:t>: 65-73 [PMID: 16391218 DOI: 10.1001/jama.295.1.65]</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6 </w:t>
      </w:r>
      <w:r w:rsidRPr="00806F74">
        <w:rPr>
          <w:rFonts w:ascii="Book Antiqua" w:eastAsia="宋体" w:hAnsi="Book Antiqua" w:cs="宋体"/>
          <w:b/>
          <w:bCs/>
          <w:kern w:val="0"/>
        </w:rPr>
        <w:t>Yang HI</w:t>
      </w:r>
      <w:r w:rsidRPr="00806F74">
        <w:rPr>
          <w:rFonts w:ascii="Book Antiqua" w:eastAsia="宋体" w:hAnsi="Book Antiqua" w:cs="宋体"/>
          <w:kern w:val="0"/>
        </w:rPr>
        <w:t xml:space="preserve">, Lu SN, </w:t>
      </w:r>
      <w:proofErr w:type="spellStart"/>
      <w:r w:rsidRPr="00806F74">
        <w:rPr>
          <w:rFonts w:ascii="Book Antiqua" w:eastAsia="宋体" w:hAnsi="Book Antiqua" w:cs="宋体"/>
          <w:kern w:val="0"/>
        </w:rPr>
        <w:t>Liaw</w:t>
      </w:r>
      <w:proofErr w:type="spellEnd"/>
      <w:r w:rsidRPr="00806F74">
        <w:rPr>
          <w:rFonts w:ascii="Book Antiqua" w:eastAsia="宋体" w:hAnsi="Book Antiqua" w:cs="宋体"/>
          <w:kern w:val="0"/>
        </w:rPr>
        <w:t xml:space="preserve"> YF, You SL, Sun CA, Wang LY, Hsiao CK, Chen PJ, Chen DS, Chen CJ. Hepatitis B e antigen and the risk of hepatocellular carcinoma. </w:t>
      </w:r>
      <w:r w:rsidRPr="00806F74">
        <w:rPr>
          <w:rFonts w:ascii="Book Antiqua" w:eastAsia="宋体" w:hAnsi="Book Antiqua" w:cs="宋体"/>
          <w:i/>
          <w:iCs/>
          <w:kern w:val="0"/>
        </w:rPr>
        <w:t xml:space="preserve">N </w:t>
      </w:r>
      <w:proofErr w:type="spellStart"/>
      <w:r w:rsidRPr="00806F74">
        <w:rPr>
          <w:rFonts w:ascii="Book Antiqua" w:eastAsia="宋体" w:hAnsi="Book Antiqua" w:cs="宋体"/>
          <w:i/>
          <w:iCs/>
          <w:kern w:val="0"/>
        </w:rPr>
        <w:t>Engl</w:t>
      </w:r>
      <w:proofErr w:type="spellEnd"/>
      <w:r w:rsidRPr="00806F74">
        <w:rPr>
          <w:rFonts w:ascii="Book Antiqua" w:eastAsia="宋体" w:hAnsi="Book Antiqua" w:cs="宋体"/>
          <w:i/>
          <w:iCs/>
          <w:kern w:val="0"/>
        </w:rPr>
        <w:t xml:space="preserve"> J Med</w:t>
      </w:r>
      <w:r w:rsidRPr="00806F74">
        <w:rPr>
          <w:rFonts w:ascii="Book Antiqua" w:eastAsia="宋体" w:hAnsi="Book Antiqua" w:cs="宋体"/>
          <w:kern w:val="0"/>
        </w:rPr>
        <w:t> 2002; </w:t>
      </w:r>
      <w:r w:rsidRPr="00806F74">
        <w:rPr>
          <w:rFonts w:ascii="Book Antiqua" w:eastAsia="宋体" w:hAnsi="Book Antiqua" w:cs="宋体"/>
          <w:b/>
          <w:bCs/>
          <w:kern w:val="0"/>
        </w:rPr>
        <w:t>347</w:t>
      </w:r>
      <w:r w:rsidRPr="00806F74">
        <w:rPr>
          <w:rFonts w:ascii="Book Antiqua" w:eastAsia="宋体" w:hAnsi="Book Antiqua" w:cs="宋体"/>
          <w:kern w:val="0"/>
        </w:rPr>
        <w:t>: 168-174 [PMID: 12124405 DOI: 10.1056/NEJM200211213472119]</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7 </w:t>
      </w:r>
      <w:r w:rsidRPr="00806F74">
        <w:rPr>
          <w:rFonts w:ascii="Book Antiqua" w:eastAsia="宋体" w:hAnsi="Book Antiqua" w:cs="宋体"/>
          <w:b/>
          <w:bCs/>
          <w:kern w:val="0"/>
        </w:rPr>
        <w:t>Kao JH</w:t>
      </w:r>
      <w:r w:rsidRPr="00806F74">
        <w:rPr>
          <w:rFonts w:ascii="Book Antiqua" w:eastAsia="宋体" w:hAnsi="Book Antiqua" w:cs="宋体"/>
          <w:kern w:val="0"/>
        </w:rPr>
        <w:t>, Chen PJ, Lai MY, Chen DS. Hepatitis B genotypes correlate with clinical outcomes in patients with chronic hepatitis B. </w:t>
      </w:r>
      <w:r w:rsidRPr="00806F74">
        <w:rPr>
          <w:rFonts w:ascii="Book Antiqua" w:eastAsia="宋体" w:hAnsi="Book Antiqua" w:cs="宋体"/>
          <w:i/>
          <w:iCs/>
          <w:kern w:val="0"/>
        </w:rPr>
        <w:t>Gastroenterology</w:t>
      </w:r>
      <w:r w:rsidRPr="00806F74">
        <w:rPr>
          <w:rFonts w:ascii="Book Antiqua" w:eastAsia="宋体" w:hAnsi="Book Antiqua" w:cs="宋体"/>
          <w:kern w:val="0"/>
        </w:rPr>
        <w:t> 2000; </w:t>
      </w:r>
      <w:r w:rsidRPr="00806F74">
        <w:rPr>
          <w:rFonts w:ascii="Book Antiqua" w:eastAsia="宋体" w:hAnsi="Book Antiqua" w:cs="宋体"/>
          <w:b/>
          <w:bCs/>
          <w:kern w:val="0"/>
        </w:rPr>
        <w:t>118</w:t>
      </w:r>
      <w:r w:rsidRPr="00806F74">
        <w:rPr>
          <w:rFonts w:ascii="Book Antiqua" w:eastAsia="宋体" w:hAnsi="Book Antiqua" w:cs="宋体"/>
          <w:kern w:val="0"/>
        </w:rPr>
        <w:t>: 554-559 [PMID: 10702206]</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8 </w:t>
      </w:r>
      <w:r w:rsidRPr="00806F74">
        <w:rPr>
          <w:rFonts w:ascii="Book Antiqua" w:eastAsia="宋体" w:hAnsi="Book Antiqua" w:cs="宋体"/>
          <w:b/>
          <w:bCs/>
          <w:kern w:val="0"/>
        </w:rPr>
        <w:t>Yang HI</w:t>
      </w:r>
      <w:r w:rsidRPr="00806F74">
        <w:rPr>
          <w:rFonts w:ascii="Book Antiqua" w:eastAsia="宋体" w:hAnsi="Book Antiqua" w:cs="宋体"/>
          <w:kern w:val="0"/>
        </w:rPr>
        <w:t xml:space="preserve">, </w:t>
      </w:r>
      <w:proofErr w:type="spellStart"/>
      <w:r w:rsidRPr="00806F74">
        <w:rPr>
          <w:rFonts w:ascii="Book Antiqua" w:eastAsia="宋体" w:hAnsi="Book Antiqua" w:cs="宋体"/>
          <w:kern w:val="0"/>
        </w:rPr>
        <w:t>Yeh</w:t>
      </w:r>
      <w:proofErr w:type="spellEnd"/>
      <w:r w:rsidRPr="00806F74">
        <w:rPr>
          <w:rFonts w:ascii="Book Antiqua" w:eastAsia="宋体" w:hAnsi="Book Antiqua" w:cs="宋体"/>
          <w:kern w:val="0"/>
        </w:rPr>
        <w:t xml:space="preserve"> SH, Chen PJ, </w:t>
      </w:r>
      <w:proofErr w:type="spellStart"/>
      <w:r w:rsidRPr="00806F74">
        <w:rPr>
          <w:rFonts w:ascii="Book Antiqua" w:eastAsia="宋体" w:hAnsi="Book Antiqua" w:cs="宋体"/>
          <w:kern w:val="0"/>
        </w:rPr>
        <w:t>Iloeje</w:t>
      </w:r>
      <w:proofErr w:type="spellEnd"/>
      <w:r w:rsidRPr="00806F74">
        <w:rPr>
          <w:rFonts w:ascii="Book Antiqua" w:eastAsia="宋体" w:hAnsi="Book Antiqua" w:cs="宋体"/>
          <w:kern w:val="0"/>
        </w:rPr>
        <w:t xml:space="preserve"> UH, Jen CL, Su J, Wang LY, Lu SN, You SL, Chen DS, </w:t>
      </w:r>
      <w:proofErr w:type="spellStart"/>
      <w:r w:rsidRPr="00806F74">
        <w:rPr>
          <w:rFonts w:ascii="Book Antiqua" w:eastAsia="宋体" w:hAnsi="Book Antiqua" w:cs="宋体"/>
          <w:kern w:val="0"/>
        </w:rPr>
        <w:t>Liaw</w:t>
      </w:r>
      <w:proofErr w:type="spellEnd"/>
      <w:r w:rsidRPr="00806F74">
        <w:rPr>
          <w:rFonts w:ascii="Book Antiqua" w:eastAsia="宋体" w:hAnsi="Book Antiqua" w:cs="宋体"/>
          <w:kern w:val="0"/>
        </w:rPr>
        <w:t xml:space="preserve"> YF, Chen CJ. Associations between hepatitis B virus genotype </w:t>
      </w:r>
      <w:r w:rsidRPr="00806F74">
        <w:rPr>
          <w:rFonts w:ascii="Book Antiqua" w:eastAsia="宋体" w:hAnsi="Book Antiqua" w:cs="宋体"/>
          <w:kern w:val="0"/>
        </w:rPr>
        <w:lastRenderedPageBreak/>
        <w:t>and mutants and the risk of hepatocellular carcinoma. </w:t>
      </w:r>
      <w:r w:rsidRPr="00806F74">
        <w:rPr>
          <w:rFonts w:ascii="Book Antiqua" w:eastAsia="宋体" w:hAnsi="Book Antiqua" w:cs="宋体"/>
          <w:i/>
          <w:iCs/>
          <w:kern w:val="0"/>
        </w:rPr>
        <w:t xml:space="preserve">J </w:t>
      </w:r>
      <w:proofErr w:type="spellStart"/>
      <w:r w:rsidRPr="00806F74">
        <w:rPr>
          <w:rFonts w:ascii="Book Antiqua" w:eastAsia="宋体" w:hAnsi="Book Antiqua" w:cs="宋体"/>
          <w:i/>
          <w:iCs/>
          <w:kern w:val="0"/>
        </w:rPr>
        <w:t>Natl</w:t>
      </w:r>
      <w:proofErr w:type="spellEnd"/>
      <w:r w:rsidRPr="00806F74">
        <w:rPr>
          <w:rFonts w:ascii="Book Antiqua" w:eastAsia="宋体" w:hAnsi="Book Antiqua" w:cs="宋体"/>
          <w:i/>
          <w:iCs/>
          <w:kern w:val="0"/>
        </w:rPr>
        <w:t xml:space="preserve"> Cancer </w:t>
      </w:r>
      <w:proofErr w:type="spellStart"/>
      <w:r w:rsidRPr="00806F74">
        <w:rPr>
          <w:rFonts w:ascii="Book Antiqua" w:eastAsia="宋体" w:hAnsi="Book Antiqua" w:cs="宋体"/>
          <w:i/>
          <w:iCs/>
          <w:kern w:val="0"/>
        </w:rPr>
        <w:t>Inst</w:t>
      </w:r>
      <w:proofErr w:type="spellEnd"/>
      <w:r w:rsidRPr="00806F74">
        <w:rPr>
          <w:rFonts w:ascii="Book Antiqua" w:eastAsia="宋体" w:hAnsi="Book Antiqua" w:cs="宋体"/>
          <w:kern w:val="0"/>
        </w:rPr>
        <w:t> 2008; </w:t>
      </w:r>
      <w:r w:rsidRPr="00806F74">
        <w:rPr>
          <w:rFonts w:ascii="Book Antiqua" w:eastAsia="宋体" w:hAnsi="Book Antiqua" w:cs="宋体"/>
          <w:b/>
          <w:bCs/>
          <w:kern w:val="0"/>
        </w:rPr>
        <w:t>100</w:t>
      </w:r>
      <w:r w:rsidRPr="00806F74">
        <w:rPr>
          <w:rFonts w:ascii="Book Antiqua" w:eastAsia="宋体" w:hAnsi="Book Antiqua" w:cs="宋体"/>
          <w:kern w:val="0"/>
        </w:rPr>
        <w:t>: 1134-1143 [PMID: 18695135 DOI: 10.1093/</w:t>
      </w:r>
      <w:proofErr w:type="spellStart"/>
      <w:r w:rsidRPr="00806F74">
        <w:rPr>
          <w:rFonts w:ascii="Book Antiqua" w:eastAsia="宋体" w:hAnsi="Book Antiqua" w:cs="宋体"/>
          <w:kern w:val="0"/>
        </w:rPr>
        <w:t>jnci</w:t>
      </w:r>
      <w:proofErr w:type="spellEnd"/>
      <w:r w:rsidRPr="00806F74">
        <w:rPr>
          <w:rFonts w:ascii="Book Antiqua" w:eastAsia="宋体" w:hAnsi="Book Antiqua" w:cs="宋体"/>
          <w:kern w:val="0"/>
        </w:rPr>
        <w:t>/djn243]</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9 </w:t>
      </w:r>
      <w:r w:rsidRPr="00806F74">
        <w:rPr>
          <w:rFonts w:ascii="Book Antiqua" w:eastAsia="宋体" w:hAnsi="Book Antiqua" w:cs="宋体"/>
          <w:b/>
          <w:bCs/>
          <w:kern w:val="0"/>
        </w:rPr>
        <w:t>Yang HI</w:t>
      </w:r>
      <w:r w:rsidRPr="00806F74">
        <w:rPr>
          <w:rFonts w:ascii="Book Antiqua" w:eastAsia="宋体" w:hAnsi="Book Antiqua" w:cs="宋体"/>
          <w:kern w:val="0"/>
        </w:rPr>
        <w:t xml:space="preserve">, Sherman M, Su J, Chen PJ, </w:t>
      </w:r>
      <w:proofErr w:type="spellStart"/>
      <w:r w:rsidRPr="00806F74">
        <w:rPr>
          <w:rFonts w:ascii="Book Antiqua" w:eastAsia="宋体" w:hAnsi="Book Antiqua" w:cs="宋体"/>
          <w:kern w:val="0"/>
        </w:rPr>
        <w:t>Liaw</w:t>
      </w:r>
      <w:proofErr w:type="spellEnd"/>
      <w:r w:rsidRPr="00806F74">
        <w:rPr>
          <w:rFonts w:ascii="Book Antiqua" w:eastAsia="宋体" w:hAnsi="Book Antiqua" w:cs="宋体"/>
          <w:kern w:val="0"/>
        </w:rPr>
        <w:t xml:space="preserve"> YF, </w:t>
      </w:r>
      <w:proofErr w:type="spellStart"/>
      <w:r w:rsidRPr="00806F74">
        <w:rPr>
          <w:rFonts w:ascii="Book Antiqua" w:eastAsia="宋体" w:hAnsi="Book Antiqua" w:cs="宋体"/>
          <w:kern w:val="0"/>
        </w:rPr>
        <w:t>Iloeje</w:t>
      </w:r>
      <w:proofErr w:type="spellEnd"/>
      <w:r w:rsidRPr="00806F74">
        <w:rPr>
          <w:rFonts w:ascii="Book Antiqua" w:eastAsia="宋体" w:hAnsi="Book Antiqua" w:cs="宋体"/>
          <w:kern w:val="0"/>
        </w:rPr>
        <w:t xml:space="preserve"> UH, Chen CJ. </w:t>
      </w:r>
      <w:proofErr w:type="spellStart"/>
      <w:r w:rsidRPr="00806F74">
        <w:rPr>
          <w:rFonts w:ascii="Book Antiqua" w:eastAsia="宋体" w:hAnsi="Book Antiqua" w:cs="宋体"/>
          <w:kern w:val="0"/>
        </w:rPr>
        <w:t>Nomograms</w:t>
      </w:r>
      <w:proofErr w:type="spellEnd"/>
      <w:r w:rsidRPr="00806F74">
        <w:rPr>
          <w:rFonts w:ascii="Book Antiqua" w:eastAsia="宋体" w:hAnsi="Book Antiqua" w:cs="宋体"/>
          <w:kern w:val="0"/>
        </w:rPr>
        <w:t xml:space="preserve"> for risk of hepatocellular carcinoma in patients with chronic hepatitis B virus infection. </w:t>
      </w:r>
      <w:r w:rsidRPr="00806F74">
        <w:rPr>
          <w:rFonts w:ascii="Book Antiqua" w:eastAsia="宋体" w:hAnsi="Book Antiqua" w:cs="宋体"/>
          <w:i/>
          <w:iCs/>
          <w:kern w:val="0"/>
        </w:rPr>
        <w:t xml:space="preserve">J </w:t>
      </w:r>
      <w:proofErr w:type="spellStart"/>
      <w:r w:rsidRPr="00806F74">
        <w:rPr>
          <w:rFonts w:ascii="Book Antiqua" w:eastAsia="宋体" w:hAnsi="Book Antiqua" w:cs="宋体"/>
          <w:i/>
          <w:iCs/>
          <w:kern w:val="0"/>
        </w:rPr>
        <w:t>Clin</w:t>
      </w:r>
      <w:proofErr w:type="spellEnd"/>
      <w:r w:rsidRPr="00806F74">
        <w:rPr>
          <w:rFonts w:ascii="Book Antiqua" w:eastAsia="宋体" w:hAnsi="Book Antiqua" w:cs="宋体"/>
          <w:i/>
          <w:iCs/>
          <w:kern w:val="0"/>
        </w:rPr>
        <w:t xml:space="preserve"> </w:t>
      </w:r>
      <w:proofErr w:type="spellStart"/>
      <w:r w:rsidRPr="00806F74">
        <w:rPr>
          <w:rFonts w:ascii="Book Antiqua" w:eastAsia="宋体" w:hAnsi="Book Antiqua" w:cs="宋体"/>
          <w:i/>
          <w:iCs/>
          <w:kern w:val="0"/>
        </w:rPr>
        <w:t>Oncol</w:t>
      </w:r>
      <w:proofErr w:type="spellEnd"/>
      <w:r w:rsidRPr="00806F74">
        <w:rPr>
          <w:rFonts w:ascii="Book Antiqua" w:eastAsia="宋体" w:hAnsi="Book Antiqua" w:cs="宋体"/>
          <w:kern w:val="0"/>
        </w:rPr>
        <w:t> 2010; </w:t>
      </w:r>
      <w:r w:rsidRPr="00806F74">
        <w:rPr>
          <w:rFonts w:ascii="Book Antiqua" w:eastAsia="宋体" w:hAnsi="Book Antiqua" w:cs="宋体"/>
          <w:b/>
          <w:bCs/>
          <w:kern w:val="0"/>
        </w:rPr>
        <w:t>28</w:t>
      </w:r>
      <w:r w:rsidRPr="00806F74">
        <w:rPr>
          <w:rFonts w:ascii="Book Antiqua" w:eastAsia="宋体" w:hAnsi="Book Antiqua" w:cs="宋体"/>
          <w:kern w:val="0"/>
        </w:rPr>
        <w:t>: 2437-2444 [PMID: 20368541 DOI: 10.1200/JCO.2009.27.4456]</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10 </w:t>
      </w:r>
      <w:r w:rsidRPr="00806F74">
        <w:rPr>
          <w:rFonts w:ascii="Book Antiqua" w:eastAsia="宋体" w:hAnsi="Book Antiqua" w:cs="宋体"/>
          <w:b/>
          <w:bCs/>
          <w:kern w:val="0"/>
        </w:rPr>
        <w:t>Wong VW</w:t>
      </w:r>
      <w:r w:rsidRPr="00806F74">
        <w:rPr>
          <w:rFonts w:ascii="Book Antiqua" w:eastAsia="宋体" w:hAnsi="Book Antiqua" w:cs="宋体"/>
          <w:kern w:val="0"/>
        </w:rPr>
        <w:t xml:space="preserve">, Chan SL, Mo F, Chan TC, </w:t>
      </w:r>
      <w:proofErr w:type="spellStart"/>
      <w:r w:rsidRPr="00806F74">
        <w:rPr>
          <w:rFonts w:ascii="Book Antiqua" w:eastAsia="宋体" w:hAnsi="Book Antiqua" w:cs="宋体"/>
          <w:kern w:val="0"/>
        </w:rPr>
        <w:t>Loong</w:t>
      </w:r>
      <w:proofErr w:type="spellEnd"/>
      <w:r w:rsidRPr="00806F74">
        <w:rPr>
          <w:rFonts w:ascii="Book Antiqua" w:eastAsia="宋体" w:hAnsi="Book Antiqua" w:cs="宋体"/>
          <w:kern w:val="0"/>
        </w:rPr>
        <w:t xml:space="preserve"> HH, Wong GL, </w:t>
      </w:r>
      <w:proofErr w:type="spellStart"/>
      <w:r w:rsidRPr="00806F74">
        <w:rPr>
          <w:rFonts w:ascii="Book Antiqua" w:eastAsia="宋体" w:hAnsi="Book Antiqua" w:cs="宋体"/>
          <w:kern w:val="0"/>
        </w:rPr>
        <w:t>Lui</w:t>
      </w:r>
      <w:proofErr w:type="spellEnd"/>
      <w:r w:rsidRPr="00806F74">
        <w:rPr>
          <w:rFonts w:ascii="Book Antiqua" w:eastAsia="宋体" w:hAnsi="Book Antiqua" w:cs="宋体"/>
          <w:kern w:val="0"/>
        </w:rPr>
        <w:t xml:space="preserve"> YY, Chan AT, Sung JJ, Yeo W, Chan HL, </w:t>
      </w:r>
      <w:proofErr w:type="spellStart"/>
      <w:r w:rsidRPr="00806F74">
        <w:rPr>
          <w:rFonts w:ascii="Book Antiqua" w:eastAsia="宋体" w:hAnsi="Book Antiqua" w:cs="宋体"/>
          <w:kern w:val="0"/>
        </w:rPr>
        <w:t>Mok</w:t>
      </w:r>
      <w:proofErr w:type="spellEnd"/>
      <w:r w:rsidRPr="00806F74">
        <w:rPr>
          <w:rFonts w:ascii="Book Antiqua" w:eastAsia="宋体" w:hAnsi="Book Antiqua" w:cs="宋体"/>
          <w:kern w:val="0"/>
        </w:rPr>
        <w:t xml:space="preserve"> TS. Clinical scoring system to predict hepatocellular carcinoma in chronic hepatitis B carriers. </w:t>
      </w:r>
      <w:r w:rsidRPr="00806F74">
        <w:rPr>
          <w:rFonts w:ascii="Book Antiqua" w:eastAsia="宋体" w:hAnsi="Book Antiqua" w:cs="宋体"/>
          <w:i/>
          <w:iCs/>
          <w:kern w:val="0"/>
        </w:rPr>
        <w:t xml:space="preserve">J </w:t>
      </w:r>
      <w:proofErr w:type="spellStart"/>
      <w:r w:rsidRPr="00806F74">
        <w:rPr>
          <w:rFonts w:ascii="Book Antiqua" w:eastAsia="宋体" w:hAnsi="Book Antiqua" w:cs="宋体"/>
          <w:i/>
          <w:iCs/>
          <w:kern w:val="0"/>
        </w:rPr>
        <w:t>Clin</w:t>
      </w:r>
      <w:proofErr w:type="spellEnd"/>
      <w:r w:rsidRPr="00806F74">
        <w:rPr>
          <w:rFonts w:ascii="Book Antiqua" w:eastAsia="宋体" w:hAnsi="Book Antiqua" w:cs="宋体"/>
          <w:i/>
          <w:iCs/>
          <w:kern w:val="0"/>
        </w:rPr>
        <w:t xml:space="preserve"> </w:t>
      </w:r>
      <w:proofErr w:type="spellStart"/>
      <w:r w:rsidRPr="00806F74">
        <w:rPr>
          <w:rFonts w:ascii="Book Antiqua" w:eastAsia="宋体" w:hAnsi="Book Antiqua" w:cs="宋体"/>
          <w:i/>
          <w:iCs/>
          <w:kern w:val="0"/>
        </w:rPr>
        <w:t>Oncol</w:t>
      </w:r>
      <w:proofErr w:type="spellEnd"/>
      <w:r w:rsidRPr="00806F74">
        <w:rPr>
          <w:rFonts w:ascii="Book Antiqua" w:eastAsia="宋体" w:hAnsi="Book Antiqua" w:cs="宋体"/>
          <w:kern w:val="0"/>
        </w:rPr>
        <w:t> 2010; </w:t>
      </w:r>
      <w:r w:rsidRPr="00806F74">
        <w:rPr>
          <w:rFonts w:ascii="Book Antiqua" w:eastAsia="宋体" w:hAnsi="Book Antiqua" w:cs="宋体"/>
          <w:b/>
          <w:bCs/>
          <w:kern w:val="0"/>
        </w:rPr>
        <w:t>28</w:t>
      </w:r>
      <w:r w:rsidRPr="00806F74">
        <w:rPr>
          <w:rFonts w:ascii="Book Antiqua" w:eastAsia="宋体" w:hAnsi="Book Antiqua" w:cs="宋体"/>
          <w:kern w:val="0"/>
        </w:rPr>
        <w:t>: 1660-1665 [PMID: 20194845 DOI: 10.1200/JCO.2009.26.2675]</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11 </w:t>
      </w:r>
      <w:r w:rsidRPr="00806F74">
        <w:rPr>
          <w:rFonts w:ascii="Book Antiqua" w:eastAsia="宋体" w:hAnsi="Book Antiqua" w:cs="宋体"/>
          <w:b/>
          <w:bCs/>
          <w:kern w:val="0"/>
        </w:rPr>
        <w:t>Yuen MF</w:t>
      </w:r>
      <w:r w:rsidRPr="00806F74">
        <w:rPr>
          <w:rFonts w:ascii="Book Antiqua" w:eastAsia="宋体" w:hAnsi="Book Antiqua" w:cs="宋体"/>
          <w:kern w:val="0"/>
        </w:rPr>
        <w:t xml:space="preserve">, Tanaka Y, Fong DY, Fung J, Wong DK, Yuen JC, But DY, Chan AO, Wong BC, </w:t>
      </w:r>
      <w:proofErr w:type="spellStart"/>
      <w:r w:rsidRPr="00806F74">
        <w:rPr>
          <w:rFonts w:ascii="Book Antiqua" w:eastAsia="宋体" w:hAnsi="Book Antiqua" w:cs="宋体"/>
          <w:kern w:val="0"/>
        </w:rPr>
        <w:t>Mizokami</w:t>
      </w:r>
      <w:proofErr w:type="spellEnd"/>
      <w:r w:rsidRPr="00806F74">
        <w:rPr>
          <w:rFonts w:ascii="Book Antiqua" w:eastAsia="宋体" w:hAnsi="Book Antiqua" w:cs="宋体"/>
          <w:kern w:val="0"/>
        </w:rPr>
        <w:t xml:space="preserve"> M, Lai CL. Independent risk factors and predictive score for the development of hepatocellular carcinoma in chronic hepatitis B. </w:t>
      </w:r>
      <w:r w:rsidRPr="00806F74">
        <w:rPr>
          <w:rFonts w:ascii="Book Antiqua" w:eastAsia="宋体" w:hAnsi="Book Antiqua" w:cs="宋体"/>
          <w:i/>
          <w:iCs/>
          <w:kern w:val="0"/>
        </w:rPr>
        <w:t xml:space="preserve">J </w:t>
      </w:r>
      <w:proofErr w:type="spellStart"/>
      <w:r w:rsidRPr="00806F74">
        <w:rPr>
          <w:rFonts w:ascii="Book Antiqua" w:eastAsia="宋体" w:hAnsi="Book Antiqua" w:cs="宋体"/>
          <w:i/>
          <w:iCs/>
          <w:kern w:val="0"/>
        </w:rPr>
        <w:t>Hepatol</w:t>
      </w:r>
      <w:proofErr w:type="spellEnd"/>
      <w:r w:rsidRPr="00806F74">
        <w:rPr>
          <w:rFonts w:ascii="Book Antiqua" w:eastAsia="宋体" w:hAnsi="Book Antiqua" w:cs="宋体"/>
          <w:kern w:val="0"/>
        </w:rPr>
        <w:t> 2009; </w:t>
      </w:r>
      <w:r w:rsidRPr="00806F74">
        <w:rPr>
          <w:rFonts w:ascii="Book Antiqua" w:eastAsia="宋体" w:hAnsi="Book Antiqua" w:cs="宋体"/>
          <w:b/>
          <w:bCs/>
          <w:kern w:val="0"/>
        </w:rPr>
        <w:t>50</w:t>
      </w:r>
      <w:r w:rsidRPr="00806F74">
        <w:rPr>
          <w:rFonts w:ascii="Book Antiqua" w:eastAsia="宋体" w:hAnsi="Book Antiqua" w:cs="宋体"/>
          <w:kern w:val="0"/>
        </w:rPr>
        <w:t>: 80-88 [PMID: 18977053 DOI: 10.1016/j.jhep.2008.07.023]</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12 </w:t>
      </w:r>
      <w:r w:rsidRPr="00806F74">
        <w:rPr>
          <w:rFonts w:ascii="Book Antiqua" w:eastAsia="宋体" w:hAnsi="Book Antiqua" w:cs="宋体"/>
          <w:b/>
          <w:bCs/>
          <w:kern w:val="0"/>
        </w:rPr>
        <w:t>Han KH</w:t>
      </w:r>
      <w:r w:rsidRPr="00806F74">
        <w:rPr>
          <w:rFonts w:ascii="Book Antiqua" w:eastAsia="宋体" w:hAnsi="Book Antiqua" w:cs="宋体"/>
          <w:kern w:val="0"/>
        </w:rPr>
        <w:t xml:space="preserve">, </w:t>
      </w:r>
      <w:proofErr w:type="spellStart"/>
      <w:r w:rsidRPr="00806F74">
        <w:rPr>
          <w:rFonts w:ascii="Book Antiqua" w:eastAsia="宋体" w:hAnsi="Book Antiqua" w:cs="宋体"/>
          <w:kern w:val="0"/>
        </w:rPr>
        <w:t>Ahn</w:t>
      </w:r>
      <w:proofErr w:type="spellEnd"/>
      <w:r w:rsidRPr="00806F74">
        <w:rPr>
          <w:rFonts w:ascii="Book Antiqua" w:eastAsia="宋体" w:hAnsi="Book Antiqua" w:cs="宋体"/>
          <w:kern w:val="0"/>
        </w:rPr>
        <w:t xml:space="preserve"> SH. How to predict HCC development in patients with chronic B viral liver disease? </w:t>
      </w:r>
      <w:proofErr w:type="spellStart"/>
      <w:r w:rsidRPr="00806F74">
        <w:rPr>
          <w:rFonts w:ascii="Book Antiqua" w:eastAsia="宋体" w:hAnsi="Book Antiqua" w:cs="宋体"/>
          <w:i/>
          <w:iCs/>
          <w:kern w:val="0"/>
        </w:rPr>
        <w:t>Intervirology</w:t>
      </w:r>
      <w:proofErr w:type="spellEnd"/>
      <w:r w:rsidRPr="00806F74">
        <w:rPr>
          <w:rFonts w:ascii="Book Antiqua" w:eastAsia="宋体" w:hAnsi="Book Antiqua" w:cs="宋体"/>
          <w:kern w:val="0"/>
        </w:rPr>
        <w:t> 2005; </w:t>
      </w:r>
      <w:r w:rsidRPr="00806F74">
        <w:rPr>
          <w:rFonts w:ascii="Book Antiqua" w:eastAsia="宋体" w:hAnsi="Book Antiqua" w:cs="宋体"/>
          <w:b/>
          <w:bCs/>
          <w:kern w:val="0"/>
        </w:rPr>
        <w:t>48</w:t>
      </w:r>
      <w:r w:rsidRPr="00806F74">
        <w:rPr>
          <w:rFonts w:ascii="Book Antiqua" w:eastAsia="宋体" w:hAnsi="Book Antiqua" w:cs="宋体"/>
          <w:kern w:val="0"/>
        </w:rPr>
        <w:t>: 23-28 [PMID: 15785086 DOI: 10.1159/000082091]</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13 </w:t>
      </w:r>
      <w:r w:rsidRPr="00806F74">
        <w:rPr>
          <w:rFonts w:ascii="Book Antiqua" w:eastAsia="宋体" w:hAnsi="Book Antiqua" w:cs="宋体"/>
          <w:b/>
          <w:bCs/>
          <w:kern w:val="0"/>
        </w:rPr>
        <w:t>Yang HI</w:t>
      </w:r>
      <w:r w:rsidRPr="00806F74">
        <w:rPr>
          <w:rFonts w:ascii="Book Antiqua" w:eastAsia="宋体" w:hAnsi="Book Antiqua" w:cs="宋体"/>
          <w:kern w:val="0"/>
        </w:rPr>
        <w:t xml:space="preserve">, Yuen MF, Chan HL, Han KH, Chen PJ, Kim DY, </w:t>
      </w:r>
      <w:proofErr w:type="spellStart"/>
      <w:r w:rsidRPr="00806F74">
        <w:rPr>
          <w:rFonts w:ascii="Book Antiqua" w:eastAsia="宋体" w:hAnsi="Book Antiqua" w:cs="宋体"/>
          <w:kern w:val="0"/>
        </w:rPr>
        <w:t>Ahn</w:t>
      </w:r>
      <w:proofErr w:type="spellEnd"/>
      <w:r w:rsidRPr="00806F74">
        <w:rPr>
          <w:rFonts w:ascii="Book Antiqua" w:eastAsia="宋体" w:hAnsi="Book Antiqua" w:cs="宋体"/>
          <w:kern w:val="0"/>
        </w:rPr>
        <w:t xml:space="preserve"> SH, Chen CJ, Wong VW, </w:t>
      </w:r>
      <w:proofErr w:type="spellStart"/>
      <w:r w:rsidRPr="00806F74">
        <w:rPr>
          <w:rFonts w:ascii="Book Antiqua" w:eastAsia="宋体" w:hAnsi="Book Antiqua" w:cs="宋体"/>
          <w:kern w:val="0"/>
        </w:rPr>
        <w:t>Seto</w:t>
      </w:r>
      <w:proofErr w:type="spellEnd"/>
      <w:r w:rsidRPr="00806F74">
        <w:rPr>
          <w:rFonts w:ascii="Book Antiqua" w:eastAsia="宋体" w:hAnsi="Book Antiqua" w:cs="宋体"/>
          <w:kern w:val="0"/>
        </w:rPr>
        <w:t xml:space="preserve"> WK. Risk estimation for hepatocellular carcinoma in chronic hepatitis B (REACH-B): development and validation of a predictive score. </w:t>
      </w:r>
      <w:r w:rsidRPr="00806F74">
        <w:rPr>
          <w:rFonts w:ascii="Book Antiqua" w:eastAsia="宋体" w:hAnsi="Book Antiqua" w:cs="宋体"/>
          <w:i/>
          <w:iCs/>
          <w:kern w:val="0"/>
        </w:rPr>
        <w:t xml:space="preserve">Lancet </w:t>
      </w:r>
      <w:proofErr w:type="spellStart"/>
      <w:r w:rsidRPr="00806F74">
        <w:rPr>
          <w:rFonts w:ascii="Book Antiqua" w:eastAsia="宋体" w:hAnsi="Book Antiqua" w:cs="宋体"/>
          <w:i/>
          <w:iCs/>
          <w:kern w:val="0"/>
        </w:rPr>
        <w:t>Oncol</w:t>
      </w:r>
      <w:proofErr w:type="spellEnd"/>
      <w:r w:rsidRPr="00806F74">
        <w:rPr>
          <w:rFonts w:ascii="Book Antiqua" w:eastAsia="宋体" w:hAnsi="Book Antiqua" w:cs="宋体"/>
          <w:kern w:val="0"/>
        </w:rPr>
        <w:t> 2011; </w:t>
      </w:r>
      <w:r w:rsidRPr="00806F74">
        <w:rPr>
          <w:rFonts w:ascii="Book Antiqua" w:eastAsia="宋体" w:hAnsi="Book Antiqua" w:cs="宋体"/>
          <w:b/>
          <w:bCs/>
          <w:kern w:val="0"/>
        </w:rPr>
        <w:t>12</w:t>
      </w:r>
      <w:r w:rsidRPr="00806F74">
        <w:rPr>
          <w:rFonts w:ascii="Book Antiqua" w:eastAsia="宋体" w:hAnsi="Book Antiqua" w:cs="宋体"/>
          <w:kern w:val="0"/>
        </w:rPr>
        <w:t>: 568-574 [PMID: 21497551 DOI: 10.1016/S1470-2045(11)70077-8]</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14 </w:t>
      </w:r>
      <w:r w:rsidRPr="00806F74">
        <w:rPr>
          <w:rFonts w:ascii="Book Antiqua" w:eastAsia="宋体" w:hAnsi="Book Antiqua" w:cs="宋体"/>
          <w:b/>
          <w:bCs/>
          <w:kern w:val="0"/>
        </w:rPr>
        <w:t>Tseng TC</w:t>
      </w:r>
      <w:r w:rsidRPr="00806F74">
        <w:rPr>
          <w:rFonts w:ascii="Book Antiqua" w:eastAsia="宋体" w:hAnsi="Book Antiqua" w:cs="宋体"/>
          <w:kern w:val="0"/>
        </w:rPr>
        <w:t xml:space="preserve">, Liu CJ, Yang HC, Su TH, Wang CC, Chen CL, Hsu CA, </w:t>
      </w:r>
      <w:proofErr w:type="spellStart"/>
      <w:r w:rsidRPr="00806F74">
        <w:rPr>
          <w:rFonts w:ascii="Book Antiqua" w:eastAsia="宋体" w:hAnsi="Book Antiqua" w:cs="宋体"/>
          <w:kern w:val="0"/>
        </w:rPr>
        <w:t>Kuo</w:t>
      </w:r>
      <w:proofErr w:type="spellEnd"/>
      <w:r w:rsidRPr="00806F74">
        <w:rPr>
          <w:rFonts w:ascii="Book Antiqua" w:eastAsia="宋体" w:hAnsi="Book Antiqua" w:cs="宋体"/>
          <w:kern w:val="0"/>
        </w:rPr>
        <w:t xml:space="preserve"> SF, Liu CH, Chen PJ, Chen DS, Kao JH. Serum hepatitis B surface antigen levels help predict disease progression in patients with low hepatitis B virus loads. </w:t>
      </w:r>
      <w:proofErr w:type="spellStart"/>
      <w:r w:rsidRPr="00806F74">
        <w:rPr>
          <w:rFonts w:ascii="Book Antiqua" w:eastAsia="宋体" w:hAnsi="Book Antiqua" w:cs="宋体"/>
          <w:i/>
          <w:iCs/>
          <w:kern w:val="0"/>
        </w:rPr>
        <w:t>Hepatology</w:t>
      </w:r>
      <w:proofErr w:type="spellEnd"/>
      <w:r w:rsidRPr="00806F74">
        <w:rPr>
          <w:rFonts w:ascii="Book Antiqua" w:eastAsia="宋体" w:hAnsi="Book Antiqua" w:cs="宋体"/>
          <w:kern w:val="0"/>
        </w:rPr>
        <w:t> 2013; </w:t>
      </w:r>
      <w:r w:rsidRPr="00806F74">
        <w:rPr>
          <w:rFonts w:ascii="Book Antiqua" w:eastAsia="宋体" w:hAnsi="Book Antiqua" w:cs="宋体"/>
          <w:b/>
          <w:bCs/>
          <w:kern w:val="0"/>
        </w:rPr>
        <w:t>57</w:t>
      </w:r>
      <w:r w:rsidRPr="00806F74">
        <w:rPr>
          <w:rFonts w:ascii="Book Antiqua" w:eastAsia="宋体" w:hAnsi="Book Antiqua" w:cs="宋体"/>
          <w:kern w:val="0"/>
        </w:rPr>
        <w:t>: 441-450 [PMID: 22941922 DOI: 10.1002/hep.26041]</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lastRenderedPageBreak/>
        <w:t>15 </w:t>
      </w:r>
      <w:r w:rsidRPr="00806F74">
        <w:rPr>
          <w:rFonts w:ascii="Book Antiqua" w:eastAsia="宋体" w:hAnsi="Book Antiqua" w:cs="宋体"/>
          <w:b/>
          <w:bCs/>
          <w:kern w:val="0"/>
        </w:rPr>
        <w:t>Tseng TC</w:t>
      </w:r>
      <w:r w:rsidRPr="00806F74">
        <w:rPr>
          <w:rFonts w:ascii="Book Antiqua" w:eastAsia="宋体" w:hAnsi="Book Antiqua" w:cs="宋体"/>
          <w:kern w:val="0"/>
        </w:rPr>
        <w:t xml:space="preserve">, Liu CJ, Yang HC, Su TH, Wang CC, Chen CL, </w:t>
      </w:r>
      <w:proofErr w:type="spellStart"/>
      <w:r w:rsidRPr="00806F74">
        <w:rPr>
          <w:rFonts w:ascii="Book Antiqua" w:eastAsia="宋体" w:hAnsi="Book Antiqua" w:cs="宋体"/>
          <w:kern w:val="0"/>
        </w:rPr>
        <w:t>Kuo</w:t>
      </w:r>
      <w:proofErr w:type="spellEnd"/>
      <w:r w:rsidRPr="00806F74">
        <w:rPr>
          <w:rFonts w:ascii="Book Antiqua" w:eastAsia="宋体" w:hAnsi="Book Antiqua" w:cs="宋体"/>
          <w:kern w:val="0"/>
        </w:rPr>
        <w:t xml:space="preserve"> SF, Liu CH, Chen PJ, Chen DS, Kao JH. High levels of hepatitis B surface antigen increase risk of hepatocellular carcinoma in patients with low HBV load. </w:t>
      </w:r>
      <w:r w:rsidRPr="00806F74">
        <w:rPr>
          <w:rFonts w:ascii="Book Antiqua" w:eastAsia="宋体" w:hAnsi="Book Antiqua" w:cs="宋体"/>
          <w:i/>
          <w:iCs/>
          <w:kern w:val="0"/>
        </w:rPr>
        <w:t>Gastroenterology</w:t>
      </w:r>
      <w:r w:rsidRPr="00806F74">
        <w:rPr>
          <w:rFonts w:ascii="Book Antiqua" w:eastAsia="宋体" w:hAnsi="Book Antiqua" w:cs="宋体"/>
          <w:kern w:val="0"/>
        </w:rPr>
        <w:t> 2012; </w:t>
      </w:r>
      <w:r w:rsidRPr="00806F74">
        <w:rPr>
          <w:rFonts w:ascii="Book Antiqua" w:eastAsia="宋体" w:hAnsi="Book Antiqua" w:cs="宋体"/>
          <w:b/>
          <w:bCs/>
          <w:kern w:val="0"/>
        </w:rPr>
        <w:t>142</w:t>
      </w:r>
      <w:r w:rsidRPr="00806F74">
        <w:rPr>
          <w:rFonts w:ascii="Book Antiqua" w:eastAsia="宋体" w:hAnsi="Book Antiqua" w:cs="宋体"/>
          <w:kern w:val="0"/>
        </w:rPr>
        <w:t>: 1140-1149.e3; quiz e13-4 [PMID: 22333950 DOI: 10.1053/j.gastro.2012.02.007]</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16 </w:t>
      </w:r>
      <w:r w:rsidRPr="00806F74">
        <w:rPr>
          <w:rFonts w:ascii="Book Antiqua" w:eastAsia="宋体" w:hAnsi="Book Antiqua" w:cs="宋体"/>
          <w:b/>
          <w:bCs/>
          <w:kern w:val="0"/>
        </w:rPr>
        <w:t>Lee MH</w:t>
      </w:r>
      <w:r w:rsidRPr="00806F74">
        <w:rPr>
          <w:rFonts w:ascii="Book Antiqua" w:eastAsia="宋体" w:hAnsi="Book Antiqua" w:cs="宋体"/>
          <w:kern w:val="0"/>
        </w:rPr>
        <w:t xml:space="preserve">, Yang HI, Liu J, </w:t>
      </w:r>
      <w:proofErr w:type="spellStart"/>
      <w:r w:rsidRPr="00806F74">
        <w:rPr>
          <w:rFonts w:ascii="Book Antiqua" w:eastAsia="宋体" w:hAnsi="Book Antiqua" w:cs="宋体"/>
          <w:kern w:val="0"/>
        </w:rPr>
        <w:t>Batrla-Utermann</w:t>
      </w:r>
      <w:proofErr w:type="spellEnd"/>
      <w:r w:rsidRPr="00806F74">
        <w:rPr>
          <w:rFonts w:ascii="Book Antiqua" w:eastAsia="宋体" w:hAnsi="Book Antiqua" w:cs="宋体"/>
          <w:kern w:val="0"/>
        </w:rPr>
        <w:t xml:space="preserve"> R, Jen CL, </w:t>
      </w:r>
      <w:proofErr w:type="spellStart"/>
      <w:r w:rsidRPr="00806F74">
        <w:rPr>
          <w:rFonts w:ascii="Book Antiqua" w:eastAsia="宋体" w:hAnsi="Book Antiqua" w:cs="宋体"/>
          <w:kern w:val="0"/>
        </w:rPr>
        <w:t>Iloeje</w:t>
      </w:r>
      <w:proofErr w:type="spellEnd"/>
      <w:r w:rsidRPr="00806F74">
        <w:rPr>
          <w:rFonts w:ascii="Book Antiqua" w:eastAsia="宋体" w:hAnsi="Book Antiqua" w:cs="宋体"/>
          <w:kern w:val="0"/>
        </w:rPr>
        <w:t xml:space="preserve"> UH, Lu SN, You SL, Wang LY, Chen CJ. Prediction models of long-term cirrhosis and hepatocellular carcinoma risk in chronic hepatitis B patients: risk scores integrating host and virus profiles. </w:t>
      </w:r>
      <w:proofErr w:type="spellStart"/>
      <w:r w:rsidRPr="00806F74">
        <w:rPr>
          <w:rFonts w:ascii="Book Antiqua" w:eastAsia="宋体" w:hAnsi="Book Antiqua" w:cs="宋体"/>
          <w:i/>
          <w:iCs/>
          <w:kern w:val="0"/>
        </w:rPr>
        <w:t>Hepatology</w:t>
      </w:r>
      <w:proofErr w:type="spellEnd"/>
      <w:r w:rsidRPr="00806F74">
        <w:rPr>
          <w:rFonts w:ascii="Book Antiqua" w:eastAsia="宋体" w:hAnsi="Book Antiqua" w:cs="宋体"/>
          <w:kern w:val="0"/>
        </w:rPr>
        <w:t> 2013; </w:t>
      </w:r>
      <w:r w:rsidRPr="00806F74">
        <w:rPr>
          <w:rFonts w:ascii="Book Antiqua" w:eastAsia="宋体" w:hAnsi="Book Antiqua" w:cs="宋体"/>
          <w:b/>
          <w:bCs/>
          <w:kern w:val="0"/>
        </w:rPr>
        <w:t>58</w:t>
      </w:r>
      <w:r w:rsidRPr="00806F74">
        <w:rPr>
          <w:rFonts w:ascii="Book Antiqua" w:eastAsia="宋体" w:hAnsi="Book Antiqua" w:cs="宋体"/>
          <w:kern w:val="0"/>
        </w:rPr>
        <w:t>: 546-554 [PMID: 23504622 DOI: 10.1002/hep.26385]</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17 </w:t>
      </w:r>
      <w:proofErr w:type="spellStart"/>
      <w:r w:rsidRPr="00806F74">
        <w:rPr>
          <w:rFonts w:ascii="Book Antiqua" w:eastAsia="宋体" w:hAnsi="Book Antiqua" w:cs="宋体"/>
          <w:b/>
          <w:bCs/>
          <w:kern w:val="0"/>
        </w:rPr>
        <w:t>Mommeja</w:t>
      </w:r>
      <w:proofErr w:type="spellEnd"/>
      <w:r w:rsidRPr="00806F74">
        <w:rPr>
          <w:rFonts w:ascii="Book Antiqua" w:eastAsia="宋体" w:hAnsi="Book Antiqua" w:cs="宋体"/>
          <w:b/>
          <w:bCs/>
          <w:kern w:val="0"/>
        </w:rPr>
        <w:t>-Marin H</w:t>
      </w:r>
      <w:r w:rsidRPr="00806F74">
        <w:rPr>
          <w:rFonts w:ascii="Book Antiqua" w:eastAsia="宋体" w:hAnsi="Book Antiqua" w:cs="宋体"/>
          <w:kern w:val="0"/>
        </w:rPr>
        <w:t xml:space="preserve">, </w:t>
      </w:r>
      <w:proofErr w:type="spellStart"/>
      <w:r w:rsidRPr="00806F74">
        <w:rPr>
          <w:rFonts w:ascii="Book Antiqua" w:eastAsia="宋体" w:hAnsi="Book Antiqua" w:cs="宋体"/>
          <w:kern w:val="0"/>
        </w:rPr>
        <w:t>Mondou</w:t>
      </w:r>
      <w:proofErr w:type="spellEnd"/>
      <w:r w:rsidRPr="00806F74">
        <w:rPr>
          <w:rFonts w:ascii="Book Antiqua" w:eastAsia="宋体" w:hAnsi="Book Antiqua" w:cs="宋体"/>
          <w:kern w:val="0"/>
        </w:rPr>
        <w:t xml:space="preserve"> E, Blum MR, Rousseau F. Serum HBV DNA as a marker of efficacy during therapy for chronic HBV infection: analysis and review of the literature. </w:t>
      </w:r>
      <w:proofErr w:type="spellStart"/>
      <w:r w:rsidRPr="00806F74">
        <w:rPr>
          <w:rFonts w:ascii="Book Antiqua" w:eastAsia="宋体" w:hAnsi="Book Antiqua" w:cs="宋体"/>
          <w:i/>
          <w:iCs/>
          <w:kern w:val="0"/>
        </w:rPr>
        <w:t>Hepatology</w:t>
      </w:r>
      <w:proofErr w:type="spellEnd"/>
      <w:r w:rsidRPr="00806F74">
        <w:rPr>
          <w:rFonts w:ascii="Book Antiqua" w:eastAsia="宋体" w:hAnsi="Book Antiqua" w:cs="宋体"/>
          <w:kern w:val="0"/>
        </w:rPr>
        <w:t> 2003; </w:t>
      </w:r>
      <w:r w:rsidRPr="00806F74">
        <w:rPr>
          <w:rFonts w:ascii="Book Antiqua" w:eastAsia="宋体" w:hAnsi="Book Antiqua" w:cs="宋体"/>
          <w:b/>
          <w:bCs/>
          <w:kern w:val="0"/>
        </w:rPr>
        <w:t>37</w:t>
      </w:r>
      <w:r w:rsidRPr="00806F74">
        <w:rPr>
          <w:rFonts w:ascii="Book Antiqua" w:eastAsia="宋体" w:hAnsi="Book Antiqua" w:cs="宋体"/>
          <w:kern w:val="0"/>
        </w:rPr>
        <w:t>: 1309-1319 [PMID: 12774009 DOI: 10.1053/jhep.2003.50208]</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18 </w:t>
      </w:r>
      <w:r w:rsidRPr="00806F74">
        <w:rPr>
          <w:rFonts w:ascii="Book Antiqua" w:eastAsia="宋体" w:hAnsi="Book Antiqua" w:cs="宋体"/>
          <w:b/>
          <w:bCs/>
          <w:kern w:val="0"/>
        </w:rPr>
        <w:t>Chen TM</w:t>
      </w:r>
      <w:r w:rsidRPr="00806F74">
        <w:rPr>
          <w:rFonts w:ascii="Book Antiqua" w:eastAsia="宋体" w:hAnsi="Book Antiqua" w:cs="宋体"/>
          <w:kern w:val="0"/>
        </w:rPr>
        <w:t>, Chang CC, Huang PT, Wen CF, Lin CC. Performance of risk estimation for hepatocellular carcinoma in chronic hepatitis B (REACH-B) score in classifying treatment eligibility under 2012 Asian Pacific Association for the Study of the Liver (APASL) guideline for chronic hepatitis B patients. </w:t>
      </w:r>
      <w:r w:rsidRPr="00806F74">
        <w:rPr>
          <w:rFonts w:ascii="Book Antiqua" w:eastAsia="宋体" w:hAnsi="Book Antiqua" w:cs="宋体"/>
          <w:i/>
          <w:iCs/>
          <w:kern w:val="0"/>
        </w:rPr>
        <w:t xml:space="preserve">Aliment </w:t>
      </w:r>
      <w:proofErr w:type="spellStart"/>
      <w:r w:rsidRPr="00806F74">
        <w:rPr>
          <w:rFonts w:ascii="Book Antiqua" w:eastAsia="宋体" w:hAnsi="Book Antiqua" w:cs="宋体"/>
          <w:i/>
          <w:iCs/>
          <w:kern w:val="0"/>
        </w:rPr>
        <w:t>Pharmacol</w:t>
      </w:r>
      <w:proofErr w:type="spellEnd"/>
      <w:r w:rsidRPr="00806F74">
        <w:rPr>
          <w:rFonts w:ascii="Book Antiqua" w:eastAsia="宋体" w:hAnsi="Book Antiqua" w:cs="宋体"/>
          <w:i/>
          <w:iCs/>
          <w:kern w:val="0"/>
        </w:rPr>
        <w:t xml:space="preserve"> </w:t>
      </w:r>
      <w:proofErr w:type="spellStart"/>
      <w:r w:rsidRPr="00806F74">
        <w:rPr>
          <w:rFonts w:ascii="Book Antiqua" w:eastAsia="宋体" w:hAnsi="Book Antiqua" w:cs="宋体"/>
          <w:i/>
          <w:iCs/>
          <w:kern w:val="0"/>
        </w:rPr>
        <w:t>Ther</w:t>
      </w:r>
      <w:proofErr w:type="spellEnd"/>
      <w:r w:rsidRPr="00806F74">
        <w:rPr>
          <w:rFonts w:ascii="Book Antiqua" w:eastAsia="宋体" w:hAnsi="Book Antiqua" w:cs="宋体"/>
          <w:kern w:val="0"/>
        </w:rPr>
        <w:t> 2013; </w:t>
      </w:r>
      <w:r w:rsidRPr="00806F74">
        <w:rPr>
          <w:rFonts w:ascii="Book Antiqua" w:eastAsia="宋体" w:hAnsi="Book Antiqua" w:cs="宋体"/>
          <w:b/>
          <w:bCs/>
          <w:kern w:val="0"/>
        </w:rPr>
        <w:t>37</w:t>
      </w:r>
      <w:r w:rsidRPr="00806F74">
        <w:rPr>
          <w:rFonts w:ascii="Book Antiqua" w:eastAsia="宋体" w:hAnsi="Book Antiqua" w:cs="宋体"/>
          <w:kern w:val="0"/>
        </w:rPr>
        <w:t>: 243-251 [PMID: 23171385 DOI: 10.1111/apt.12144]</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19 </w:t>
      </w:r>
      <w:r w:rsidRPr="00806F74">
        <w:rPr>
          <w:rFonts w:ascii="Book Antiqua" w:eastAsia="宋体" w:hAnsi="Book Antiqua" w:cs="宋体"/>
          <w:b/>
          <w:bCs/>
          <w:kern w:val="0"/>
        </w:rPr>
        <w:t>Wong GL</w:t>
      </w:r>
      <w:r w:rsidRPr="00806F74">
        <w:rPr>
          <w:rFonts w:ascii="Book Antiqua" w:eastAsia="宋体" w:hAnsi="Book Antiqua" w:cs="宋体"/>
          <w:kern w:val="0"/>
        </w:rPr>
        <w:t xml:space="preserve">, Chan HL, Chan HY, </w:t>
      </w:r>
      <w:proofErr w:type="spellStart"/>
      <w:r w:rsidRPr="00806F74">
        <w:rPr>
          <w:rFonts w:ascii="Book Antiqua" w:eastAsia="宋体" w:hAnsi="Book Antiqua" w:cs="宋体"/>
          <w:kern w:val="0"/>
        </w:rPr>
        <w:t>Tse</w:t>
      </w:r>
      <w:proofErr w:type="spellEnd"/>
      <w:r w:rsidRPr="00806F74">
        <w:rPr>
          <w:rFonts w:ascii="Book Antiqua" w:eastAsia="宋体" w:hAnsi="Book Antiqua" w:cs="宋体"/>
          <w:kern w:val="0"/>
        </w:rPr>
        <w:t xml:space="preserve"> PC, </w:t>
      </w:r>
      <w:proofErr w:type="spellStart"/>
      <w:r w:rsidRPr="00806F74">
        <w:rPr>
          <w:rFonts w:ascii="Book Antiqua" w:eastAsia="宋体" w:hAnsi="Book Antiqua" w:cs="宋体"/>
          <w:kern w:val="0"/>
        </w:rPr>
        <w:t>Tse</w:t>
      </w:r>
      <w:proofErr w:type="spellEnd"/>
      <w:r w:rsidRPr="00806F74">
        <w:rPr>
          <w:rFonts w:ascii="Book Antiqua" w:eastAsia="宋体" w:hAnsi="Book Antiqua" w:cs="宋体"/>
          <w:kern w:val="0"/>
        </w:rPr>
        <w:t xml:space="preserve"> YK, </w:t>
      </w:r>
      <w:proofErr w:type="spellStart"/>
      <w:r w:rsidRPr="00806F74">
        <w:rPr>
          <w:rFonts w:ascii="Book Antiqua" w:eastAsia="宋体" w:hAnsi="Book Antiqua" w:cs="宋体"/>
          <w:kern w:val="0"/>
        </w:rPr>
        <w:t>Mak</w:t>
      </w:r>
      <w:proofErr w:type="spellEnd"/>
      <w:r w:rsidRPr="00806F74">
        <w:rPr>
          <w:rFonts w:ascii="Book Antiqua" w:eastAsia="宋体" w:hAnsi="Book Antiqua" w:cs="宋体"/>
          <w:kern w:val="0"/>
        </w:rPr>
        <w:t xml:space="preserve"> CW, Lee SK, </w:t>
      </w:r>
      <w:proofErr w:type="spellStart"/>
      <w:r w:rsidRPr="00806F74">
        <w:rPr>
          <w:rFonts w:ascii="Book Antiqua" w:eastAsia="宋体" w:hAnsi="Book Antiqua" w:cs="宋体"/>
          <w:kern w:val="0"/>
        </w:rPr>
        <w:t>Ip</w:t>
      </w:r>
      <w:proofErr w:type="spellEnd"/>
      <w:r w:rsidRPr="00806F74">
        <w:rPr>
          <w:rFonts w:ascii="Book Antiqua" w:eastAsia="宋体" w:hAnsi="Book Antiqua" w:cs="宋体"/>
          <w:kern w:val="0"/>
        </w:rPr>
        <w:t xml:space="preserve"> ZM, Lam AT, </w:t>
      </w:r>
      <w:proofErr w:type="spellStart"/>
      <w:r w:rsidRPr="00806F74">
        <w:rPr>
          <w:rFonts w:ascii="Book Antiqua" w:eastAsia="宋体" w:hAnsi="Book Antiqua" w:cs="宋体"/>
          <w:kern w:val="0"/>
        </w:rPr>
        <w:t>Iu</w:t>
      </w:r>
      <w:proofErr w:type="spellEnd"/>
      <w:r w:rsidRPr="00806F74">
        <w:rPr>
          <w:rFonts w:ascii="Book Antiqua" w:eastAsia="宋体" w:hAnsi="Book Antiqua" w:cs="宋体"/>
          <w:kern w:val="0"/>
        </w:rPr>
        <w:t xml:space="preserve"> HW, Leung JM, Wong VW. Accuracy of risk scores for patients with chronic hepatitis B receiving </w:t>
      </w:r>
      <w:proofErr w:type="spellStart"/>
      <w:r w:rsidRPr="00806F74">
        <w:rPr>
          <w:rFonts w:ascii="Book Antiqua" w:eastAsia="宋体" w:hAnsi="Book Antiqua" w:cs="宋体"/>
          <w:kern w:val="0"/>
        </w:rPr>
        <w:t>entecavir</w:t>
      </w:r>
      <w:proofErr w:type="spellEnd"/>
      <w:r w:rsidRPr="00806F74">
        <w:rPr>
          <w:rFonts w:ascii="Book Antiqua" w:eastAsia="宋体" w:hAnsi="Book Antiqua" w:cs="宋体"/>
          <w:kern w:val="0"/>
        </w:rPr>
        <w:t xml:space="preserve"> treatment. </w:t>
      </w:r>
      <w:r w:rsidRPr="00806F74">
        <w:rPr>
          <w:rFonts w:ascii="Book Antiqua" w:eastAsia="宋体" w:hAnsi="Book Antiqua" w:cs="宋体"/>
          <w:i/>
          <w:iCs/>
          <w:kern w:val="0"/>
        </w:rPr>
        <w:t>Gastroenterology</w:t>
      </w:r>
      <w:r w:rsidRPr="00806F74">
        <w:rPr>
          <w:rFonts w:ascii="Book Antiqua" w:eastAsia="宋体" w:hAnsi="Book Antiqua" w:cs="宋体"/>
          <w:kern w:val="0"/>
        </w:rPr>
        <w:t> 2013; </w:t>
      </w:r>
      <w:r w:rsidRPr="00806F74">
        <w:rPr>
          <w:rFonts w:ascii="Book Antiqua" w:eastAsia="宋体" w:hAnsi="Book Antiqua" w:cs="宋体"/>
          <w:b/>
          <w:bCs/>
          <w:kern w:val="0"/>
        </w:rPr>
        <w:t>144</w:t>
      </w:r>
      <w:r w:rsidRPr="00806F74">
        <w:rPr>
          <w:rFonts w:ascii="Book Antiqua" w:eastAsia="宋体" w:hAnsi="Book Antiqua" w:cs="宋体"/>
          <w:kern w:val="0"/>
        </w:rPr>
        <w:t>: 933-944 [PMID: 23415803 DOI: 10.1053/j.gastro.2013.02.002]</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lastRenderedPageBreak/>
        <w:t xml:space="preserve">20 </w:t>
      </w:r>
      <w:r w:rsidRPr="00806F74">
        <w:rPr>
          <w:rFonts w:ascii="Book Antiqua" w:eastAsia="宋体" w:hAnsi="Book Antiqua" w:cs="宋体"/>
          <w:b/>
          <w:kern w:val="0"/>
        </w:rPr>
        <w:t>Kim WR</w:t>
      </w:r>
      <w:r w:rsidRPr="00806F74">
        <w:rPr>
          <w:rFonts w:ascii="Book Antiqua" w:eastAsia="宋体" w:hAnsi="Book Antiqua" w:cs="宋体"/>
          <w:kern w:val="0"/>
        </w:rPr>
        <w:t xml:space="preserve">, Berg T, </w:t>
      </w:r>
      <w:proofErr w:type="spellStart"/>
      <w:r w:rsidRPr="00806F74">
        <w:rPr>
          <w:rFonts w:ascii="Book Antiqua" w:eastAsia="宋体" w:hAnsi="Book Antiqua" w:cs="宋体"/>
          <w:kern w:val="0"/>
        </w:rPr>
        <w:t>Loomba</w:t>
      </w:r>
      <w:proofErr w:type="spellEnd"/>
      <w:r w:rsidRPr="00806F74">
        <w:rPr>
          <w:rFonts w:ascii="Book Antiqua" w:eastAsia="宋体" w:hAnsi="Book Antiqua" w:cs="宋体"/>
          <w:kern w:val="0"/>
        </w:rPr>
        <w:t xml:space="preserve"> R, </w:t>
      </w:r>
      <w:proofErr w:type="spellStart"/>
      <w:r w:rsidRPr="00806F74">
        <w:rPr>
          <w:rFonts w:ascii="Book Antiqua" w:eastAsia="宋体" w:hAnsi="Book Antiqua" w:cs="宋体"/>
          <w:kern w:val="0"/>
        </w:rPr>
        <w:t>Schall</w:t>
      </w:r>
      <w:proofErr w:type="spellEnd"/>
      <w:r w:rsidRPr="00806F74">
        <w:rPr>
          <w:rFonts w:ascii="Book Antiqua" w:eastAsia="宋体" w:hAnsi="Book Antiqua" w:cs="宋体"/>
          <w:kern w:val="0"/>
        </w:rPr>
        <w:t xml:space="preserve"> RA, </w:t>
      </w:r>
      <w:proofErr w:type="spellStart"/>
      <w:r w:rsidRPr="00806F74">
        <w:rPr>
          <w:rFonts w:ascii="Book Antiqua" w:eastAsia="宋体" w:hAnsi="Book Antiqua" w:cs="宋体"/>
          <w:kern w:val="0"/>
        </w:rPr>
        <w:t>Dinh</w:t>
      </w:r>
      <w:proofErr w:type="spellEnd"/>
      <w:r w:rsidRPr="00806F74">
        <w:rPr>
          <w:rFonts w:ascii="Book Antiqua" w:eastAsia="宋体" w:hAnsi="Book Antiqua" w:cs="宋体"/>
          <w:kern w:val="0"/>
        </w:rPr>
        <w:t xml:space="preserve"> P, Yee LJ, Martins EB, Flaherty JF, </w:t>
      </w:r>
      <w:proofErr w:type="spellStart"/>
      <w:r w:rsidRPr="00806F74">
        <w:rPr>
          <w:rFonts w:ascii="Book Antiqua" w:eastAsia="宋体" w:hAnsi="Book Antiqua" w:cs="宋体"/>
          <w:kern w:val="0"/>
        </w:rPr>
        <w:t>Gurel</w:t>
      </w:r>
      <w:proofErr w:type="spellEnd"/>
      <w:r w:rsidRPr="00806F74">
        <w:rPr>
          <w:rFonts w:ascii="Book Antiqua" w:eastAsia="宋体" w:hAnsi="Book Antiqua" w:cs="宋体"/>
          <w:kern w:val="0"/>
        </w:rPr>
        <w:t xml:space="preserve"> S, </w:t>
      </w:r>
      <w:proofErr w:type="spellStart"/>
      <w:r w:rsidRPr="00806F74">
        <w:rPr>
          <w:rFonts w:ascii="Book Antiqua" w:eastAsia="宋体" w:hAnsi="Book Antiqua" w:cs="宋体"/>
          <w:kern w:val="0"/>
        </w:rPr>
        <w:t>Buti</w:t>
      </w:r>
      <w:proofErr w:type="spellEnd"/>
      <w:r w:rsidRPr="00806F74">
        <w:rPr>
          <w:rFonts w:ascii="Book Antiqua" w:eastAsia="宋体" w:hAnsi="Book Antiqua" w:cs="宋体"/>
          <w:kern w:val="0"/>
        </w:rPr>
        <w:t xml:space="preserve"> M, </w:t>
      </w:r>
      <w:proofErr w:type="spellStart"/>
      <w:r w:rsidRPr="00806F74">
        <w:rPr>
          <w:rFonts w:ascii="Book Antiqua" w:eastAsia="宋体" w:hAnsi="Book Antiqua" w:cs="宋体"/>
          <w:kern w:val="0"/>
        </w:rPr>
        <w:t>Marcellin</w:t>
      </w:r>
      <w:proofErr w:type="spellEnd"/>
      <w:r w:rsidRPr="00806F74">
        <w:rPr>
          <w:rFonts w:ascii="Book Antiqua" w:eastAsia="宋体" w:hAnsi="Book Antiqua" w:cs="宋体"/>
          <w:kern w:val="0"/>
        </w:rPr>
        <w:t xml:space="preserve"> P. Long Term </w:t>
      </w:r>
      <w:proofErr w:type="spellStart"/>
      <w:r w:rsidRPr="00806F74">
        <w:rPr>
          <w:rFonts w:ascii="Book Antiqua" w:eastAsia="宋体" w:hAnsi="Book Antiqua" w:cs="宋体"/>
          <w:kern w:val="0"/>
        </w:rPr>
        <w:t>Tenofovir</w:t>
      </w:r>
      <w:proofErr w:type="spellEnd"/>
      <w:r w:rsidRPr="00806F74">
        <w:rPr>
          <w:rFonts w:ascii="Book Antiqua" w:eastAsia="宋体" w:hAnsi="Book Antiqua" w:cs="宋体"/>
          <w:kern w:val="0"/>
        </w:rPr>
        <w:t xml:space="preserve"> </w:t>
      </w:r>
      <w:proofErr w:type="spellStart"/>
      <w:r w:rsidRPr="00806F74">
        <w:rPr>
          <w:rFonts w:ascii="Book Antiqua" w:eastAsia="宋体" w:hAnsi="Book Antiqua" w:cs="宋体"/>
          <w:kern w:val="0"/>
        </w:rPr>
        <w:t>Disoproxil</w:t>
      </w:r>
      <w:proofErr w:type="spellEnd"/>
      <w:r w:rsidRPr="00806F74">
        <w:rPr>
          <w:rFonts w:ascii="Book Antiqua" w:eastAsia="宋体" w:hAnsi="Book Antiqua" w:cs="宋体"/>
          <w:kern w:val="0"/>
        </w:rPr>
        <w:t xml:space="preserve"> </w:t>
      </w:r>
      <w:proofErr w:type="spellStart"/>
      <w:r w:rsidRPr="00806F74">
        <w:rPr>
          <w:rFonts w:ascii="Book Antiqua" w:eastAsia="宋体" w:hAnsi="Book Antiqua" w:cs="宋体"/>
          <w:kern w:val="0"/>
        </w:rPr>
        <w:t>Fumarate</w:t>
      </w:r>
      <w:proofErr w:type="spellEnd"/>
      <w:r w:rsidRPr="00806F74">
        <w:rPr>
          <w:rFonts w:ascii="Book Antiqua" w:eastAsia="宋体" w:hAnsi="Book Antiqua" w:cs="宋体"/>
          <w:kern w:val="0"/>
        </w:rPr>
        <w:t xml:space="preserve"> (</w:t>
      </w:r>
      <w:proofErr w:type="spellStart"/>
      <w:r w:rsidRPr="00806F74">
        <w:rPr>
          <w:rFonts w:ascii="Book Antiqua" w:eastAsia="宋体" w:hAnsi="Book Antiqua" w:cs="宋体"/>
          <w:kern w:val="0"/>
        </w:rPr>
        <w:t>Tdf</w:t>
      </w:r>
      <w:proofErr w:type="spellEnd"/>
      <w:r w:rsidRPr="00806F74">
        <w:rPr>
          <w:rFonts w:ascii="Book Antiqua" w:eastAsia="宋体" w:hAnsi="Book Antiqua" w:cs="宋体"/>
          <w:kern w:val="0"/>
        </w:rPr>
        <w:t xml:space="preserve">) Therapy and the Risk of Hepatocellular Carcinoma. </w:t>
      </w:r>
      <w:r w:rsidRPr="00806F74">
        <w:rPr>
          <w:rFonts w:ascii="Book Antiqua" w:eastAsia="宋体" w:hAnsi="Book Antiqua" w:cs="宋体"/>
          <w:i/>
          <w:kern w:val="0"/>
        </w:rPr>
        <w:t xml:space="preserve">J </w:t>
      </w:r>
      <w:proofErr w:type="spellStart"/>
      <w:r w:rsidRPr="00806F74">
        <w:rPr>
          <w:rFonts w:ascii="Book Antiqua" w:eastAsia="宋体" w:hAnsi="Book Antiqua" w:cs="宋体"/>
          <w:i/>
          <w:kern w:val="0"/>
        </w:rPr>
        <w:t>Hepatol</w:t>
      </w:r>
      <w:proofErr w:type="spellEnd"/>
      <w:r w:rsidRPr="00806F74">
        <w:rPr>
          <w:rFonts w:ascii="Book Antiqua" w:eastAsia="宋体" w:hAnsi="Book Antiqua" w:cs="宋体"/>
          <w:i/>
          <w:kern w:val="0"/>
        </w:rPr>
        <w:t xml:space="preserve"> </w:t>
      </w:r>
      <w:r w:rsidRPr="00806F74">
        <w:rPr>
          <w:rFonts w:ascii="Book Antiqua" w:eastAsia="宋体" w:hAnsi="Book Antiqua" w:cs="宋体"/>
          <w:kern w:val="0"/>
        </w:rPr>
        <w:t xml:space="preserve">2013; </w:t>
      </w:r>
      <w:r w:rsidRPr="00806F74">
        <w:rPr>
          <w:rFonts w:ascii="Book Antiqua" w:eastAsia="宋体" w:hAnsi="Book Antiqua" w:cs="宋体"/>
          <w:b/>
          <w:kern w:val="0"/>
        </w:rPr>
        <w:t>58</w:t>
      </w:r>
      <w:r w:rsidRPr="00806F74">
        <w:rPr>
          <w:rFonts w:ascii="Book Antiqua" w:eastAsia="宋体" w:hAnsi="Book Antiqua" w:cs="宋体"/>
          <w:kern w:val="0"/>
        </w:rPr>
        <w:t>: S19-S19</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21 </w:t>
      </w:r>
      <w:r w:rsidRPr="00806F74">
        <w:rPr>
          <w:rFonts w:ascii="Book Antiqua" w:eastAsia="宋体" w:hAnsi="Book Antiqua" w:cs="宋体"/>
          <w:b/>
          <w:bCs/>
          <w:kern w:val="0"/>
        </w:rPr>
        <w:t>Sorrell MF</w:t>
      </w:r>
      <w:r w:rsidRPr="00806F74">
        <w:rPr>
          <w:rFonts w:ascii="Book Antiqua" w:eastAsia="宋体" w:hAnsi="Book Antiqua" w:cs="宋体"/>
          <w:kern w:val="0"/>
        </w:rPr>
        <w:t xml:space="preserve">, </w:t>
      </w:r>
      <w:proofErr w:type="spellStart"/>
      <w:r w:rsidRPr="00806F74">
        <w:rPr>
          <w:rFonts w:ascii="Book Antiqua" w:eastAsia="宋体" w:hAnsi="Book Antiqua" w:cs="宋体"/>
          <w:kern w:val="0"/>
        </w:rPr>
        <w:t>Belongia</w:t>
      </w:r>
      <w:proofErr w:type="spellEnd"/>
      <w:r w:rsidRPr="00806F74">
        <w:rPr>
          <w:rFonts w:ascii="Book Antiqua" w:eastAsia="宋体" w:hAnsi="Book Antiqua" w:cs="宋体"/>
          <w:kern w:val="0"/>
        </w:rPr>
        <w:t xml:space="preserve"> EA, Costa J, </w:t>
      </w:r>
      <w:proofErr w:type="spellStart"/>
      <w:r w:rsidRPr="00806F74">
        <w:rPr>
          <w:rFonts w:ascii="Book Antiqua" w:eastAsia="宋体" w:hAnsi="Book Antiqua" w:cs="宋体"/>
          <w:kern w:val="0"/>
        </w:rPr>
        <w:t>Gareen</w:t>
      </w:r>
      <w:proofErr w:type="spellEnd"/>
      <w:r w:rsidRPr="00806F74">
        <w:rPr>
          <w:rFonts w:ascii="Book Antiqua" w:eastAsia="宋体" w:hAnsi="Book Antiqua" w:cs="宋体"/>
          <w:kern w:val="0"/>
        </w:rPr>
        <w:t xml:space="preserve"> IF, </w:t>
      </w:r>
      <w:proofErr w:type="spellStart"/>
      <w:r w:rsidRPr="00806F74">
        <w:rPr>
          <w:rFonts w:ascii="Book Antiqua" w:eastAsia="宋体" w:hAnsi="Book Antiqua" w:cs="宋体"/>
          <w:kern w:val="0"/>
        </w:rPr>
        <w:t>Grem</w:t>
      </w:r>
      <w:proofErr w:type="spellEnd"/>
      <w:r w:rsidRPr="00806F74">
        <w:rPr>
          <w:rFonts w:ascii="Book Antiqua" w:eastAsia="宋体" w:hAnsi="Book Antiqua" w:cs="宋体"/>
          <w:kern w:val="0"/>
        </w:rPr>
        <w:t xml:space="preserve"> JL, </w:t>
      </w:r>
      <w:proofErr w:type="spellStart"/>
      <w:r w:rsidRPr="00806F74">
        <w:rPr>
          <w:rFonts w:ascii="Book Antiqua" w:eastAsia="宋体" w:hAnsi="Book Antiqua" w:cs="宋体"/>
          <w:kern w:val="0"/>
        </w:rPr>
        <w:t>Inadomi</w:t>
      </w:r>
      <w:proofErr w:type="spellEnd"/>
      <w:r w:rsidRPr="00806F74">
        <w:rPr>
          <w:rFonts w:ascii="Book Antiqua" w:eastAsia="宋体" w:hAnsi="Book Antiqua" w:cs="宋体"/>
          <w:kern w:val="0"/>
        </w:rPr>
        <w:t xml:space="preserve"> JM, Kern ER, McHugh JA, Petersen GM, Rein MF, </w:t>
      </w:r>
      <w:proofErr w:type="spellStart"/>
      <w:r w:rsidRPr="00806F74">
        <w:rPr>
          <w:rFonts w:ascii="Book Antiqua" w:eastAsia="宋体" w:hAnsi="Book Antiqua" w:cs="宋体"/>
          <w:kern w:val="0"/>
        </w:rPr>
        <w:t>Strader</w:t>
      </w:r>
      <w:proofErr w:type="spellEnd"/>
      <w:r w:rsidRPr="00806F74">
        <w:rPr>
          <w:rFonts w:ascii="Book Antiqua" w:eastAsia="宋体" w:hAnsi="Book Antiqua" w:cs="宋体"/>
          <w:kern w:val="0"/>
        </w:rPr>
        <w:t xml:space="preserve"> DB, Trotter HT. National Institutes of Health consensus development conference statement: management of hepatitis B. </w:t>
      </w:r>
      <w:proofErr w:type="spellStart"/>
      <w:r w:rsidRPr="00806F74">
        <w:rPr>
          <w:rFonts w:ascii="Book Antiqua" w:eastAsia="宋体" w:hAnsi="Book Antiqua" w:cs="宋体"/>
          <w:i/>
          <w:iCs/>
          <w:kern w:val="0"/>
        </w:rPr>
        <w:t>Hepatology</w:t>
      </w:r>
      <w:proofErr w:type="spellEnd"/>
      <w:r w:rsidRPr="00806F74">
        <w:rPr>
          <w:rFonts w:ascii="Book Antiqua" w:eastAsia="宋体" w:hAnsi="Book Antiqua" w:cs="宋体"/>
          <w:kern w:val="0"/>
        </w:rPr>
        <w:t> 2009; </w:t>
      </w:r>
      <w:r w:rsidRPr="00806F74">
        <w:rPr>
          <w:rFonts w:ascii="Book Antiqua" w:eastAsia="宋体" w:hAnsi="Book Antiqua" w:cs="宋体"/>
          <w:b/>
          <w:bCs/>
          <w:kern w:val="0"/>
        </w:rPr>
        <w:t>49</w:t>
      </w:r>
      <w:r w:rsidRPr="00806F74">
        <w:rPr>
          <w:rFonts w:ascii="Book Antiqua" w:eastAsia="宋体" w:hAnsi="Book Antiqua" w:cs="宋体"/>
          <w:kern w:val="0"/>
        </w:rPr>
        <w:t>: S4-S12 [PMID: 19399804 DOI: 10.1002/hep.22946]</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22 </w:t>
      </w:r>
      <w:proofErr w:type="spellStart"/>
      <w:r w:rsidRPr="00806F74">
        <w:rPr>
          <w:rFonts w:ascii="Book Antiqua" w:eastAsia="宋体" w:hAnsi="Book Antiqua" w:cs="宋体"/>
          <w:b/>
          <w:bCs/>
          <w:kern w:val="0"/>
        </w:rPr>
        <w:t>Sarin</w:t>
      </w:r>
      <w:proofErr w:type="spellEnd"/>
      <w:r w:rsidRPr="00806F74">
        <w:rPr>
          <w:rFonts w:ascii="Book Antiqua" w:eastAsia="宋体" w:hAnsi="Book Antiqua" w:cs="宋体"/>
          <w:b/>
          <w:bCs/>
          <w:kern w:val="0"/>
        </w:rPr>
        <w:t xml:space="preserve"> SK</w:t>
      </w:r>
      <w:r w:rsidRPr="00806F74">
        <w:rPr>
          <w:rFonts w:ascii="Book Antiqua" w:eastAsia="宋体" w:hAnsi="Book Antiqua" w:cs="宋体"/>
          <w:kern w:val="0"/>
        </w:rPr>
        <w:t>, Kumar M. Predictive scores for hepatocellular carcinoma development in chronic hepatitis B virus infection: "does one size fit all?". </w:t>
      </w:r>
      <w:r w:rsidRPr="00806F74">
        <w:rPr>
          <w:rFonts w:ascii="Book Antiqua" w:eastAsia="宋体" w:hAnsi="Book Antiqua" w:cs="宋体"/>
          <w:i/>
          <w:iCs/>
          <w:kern w:val="0"/>
        </w:rPr>
        <w:t>Gastroenterology</w:t>
      </w:r>
      <w:r w:rsidRPr="00806F74">
        <w:rPr>
          <w:rFonts w:ascii="Book Antiqua" w:eastAsia="宋体" w:hAnsi="Book Antiqua" w:cs="宋体"/>
          <w:kern w:val="0"/>
        </w:rPr>
        <w:t> 2012; </w:t>
      </w:r>
      <w:r w:rsidRPr="00806F74">
        <w:rPr>
          <w:rFonts w:ascii="Book Antiqua" w:eastAsia="宋体" w:hAnsi="Book Antiqua" w:cs="宋体"/>
          <w:b/>
          <w:bCs/>
          <w:kern w:val="0"/>
        </w:rPr>
        <w:t>142</w:t>
      </w:r>
      <w:r w:rsidRPr="00806F74">
        <w:rPr>
          <w:rFonts w:ascii="Book Antiqua" w:eastAsia="宋体" w:hAnsi="Book Antiqua" w:cs="宋体"/>
          <w:kern w:val="0"/>
        </w:rPr>
        <w:t>: 1038-1040 [PMID: 22361059 DOI: 10.1053/j.gastro.2012.02.024]</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23 </w:t>
      </w:r>
      <w:proofErr w:type="spellStart"/>
      <w:r w:rsidRPr="00806F74">
        <w:rPr>
          <w:rFonts w:ascii="Book Antiqua" w:eastAsia="宋体" w:hAnsi="Book Antiqua" w:cs="宋体"/>
          <w:b/>
          <w:bCs/>
          <w:kern w:val="0"/>
        </w:rPr>
        <w:t>Keeffe</w:t>
      </w:r>
      <w:proofErr w:type="spellEnd"/>
      <w:r w:rsidRPr="00806F74">
        <w:rPr>
          <w:rFonts w:ascii="Book Antiqua" w:eastAsia="宋体" w:hAnsi="Book Antiqua" w:cs="宋体"/>
          <w:b/>
          <w:bCs/>
          <w:kern w:val="0"/>
        </w:rPr>
        <w:t xml:space="preserve"> EB</w:t>
      </w:r>
      <w:r w:rsidRPr="00806F74">
        <w:rPr>
          <w:rFonts w:ascii="Book Antiqua" w:eastAsia="宋体" w:hAnsi="Book Antiqua" w:cs="宋体"/>
          <w:kern w:val="0"/>
        </w:rPr>
        <w:t>. Risk score for development of HCC: ready for use in practice? </w:t>
      </w:r>
      <w:r w:rsidRPr="00806F74">
        <w:rPr>
          <w:rFonts w:ascii="Book Antiqua" w:eastAsia="宋体" w:hAnsi="Book Antiqua" w:cs="宋体"/>
          <w:i/>
          <w:iCs/>
          <w:kern w:val="0"/>
        </w:rPr>
        <w:t xml:space="preserve">Lancet </w:t>
      </w:r>
      <w:proofErr w:type="spellStart"/>
      <w:r w:rsidRPr="00806F74">
        <w:rPr>
          <w:rFonts w:ascii="Book Antiqua" w:eastAsia="宋体" w:hAnsi="Book Antiqua" w:cs="宋体"/>
          <w:i/>
          <w:iCs/>
          <w:kern w:val="0"/>
        </w:rPr>
        <w:t>Oncol</w:t>
      </w:r>
      <w:proofErr w:type="spellEnd"/>
      <w:r w:rsidRPr="00806F74">
        <w:rPr>
          <w:rFonts w:ascii="Book Antiqua" w:eastAsia="宋体" w:hAnsi="Book Antiqua" w:cs="宋体"/>
          <w:kern w:val="0"/>
        </w:rPr>
        <w:t> 2011; </w:t>
      </w:r>
      <w:r w:rsidRPr="00806F74">
        <w:rPr>
          <w:rFonts w:ascii="Book Antiqua" w:eastAsia="宋体" w:hAnsi="Book Antiqua" w:cs="宋体"/>
          <w:b/>
          <w:bCs/>
          <w:kern w:val="0"/>
        </w:rPr>
        <w:t>12</w:t>
      </w:r>
      <w:r w:rsidRPr="00806F74">
        <w:rPr>
          <w:rFonts w:ascii="Book Antiqua" w:eastAsia="宋体" w:hAnsi="Book Antiqua" w:cs="宋体"/>
          <w:kern w:val="0"/>
        </w:rPr>
        <w:t>: 517-58; discussion 517-58; [PMID: 21497552 DOI: 10.1016/S1470-2045(11)70085-7]</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24 </w:t>
      </w:r>
      <w:proofErr w:type="spellStart"/>
      <w:r w:rsidRPr="00806F74">
        <w:rPr>
          <w:rFonts w:ascii="Book Antiqua" w:eastAsia="宋体" w:hAnsi="Book Antiqua" w:cs="宋体"/>
          <w:b/>
          <w:bCs/>
          <w:kern w:val="0"/>
        </w:rPr>
        <w:t>Llovet</w:t>
      </w:r>
      <w:proofErr w:type="spellEnd"/>
      <w:r w:rsidRPr="00806F74">
        <w:rPr>
          <w:rFonts w:ascii="Book Antiqua" w:eastAsia="宋体" w:hAnsi="Book Antiqua" w:cs="宋体"/>
          <w:b/>
          <w:bCs/>
          <w:kern w:val="0"/>
        </w:rPr>
        <w:t xml:space="preserve"> JM</w:t>
      </w:r>
      <w:r w:rsidRPr="00806F74">
        <w:rPr>
          <w:rFonts w:ascii="Book Antiqua" w:eastAsia="宋体" w:hAnsi="Book Antiqua" w:cs="宋体"/>
          <w:kern w:val="0"/>
        </w:rPr>
        <w:t xml:space="preserve">, Burroughs A, </w:t>
      </w:r>
      <w:proofErr w:type="spellStart"/>
      <w:r w:rsidRPr="00806F74">
        <w:rPr>
          <w:rFonts w:ascii="Book Antiqua" w:eastAsia="宋体" w:hAnsi="Book Antiqua" w:cs="宋体"/>
          <w:kern w:val="0"/>
        </w:rPr>
        <w:t>Bruix</w:t>
      </w:r>
      <w:proofErr w:type="spellEnd"/>
      <w:r w:rsidRPr="00806F74">
        <w:rPr>
          <w:rFonts w:ascii="Book Antiqua" w:eastAsia="宋体" w:hAnsi="Book Antiqua" w:cs="宋体"/>
          <w:kern w:val="0"/>
        </w:rPr>
        <w:t xml:space="preserve"> J. Hepatocellular carcinoma. </w:t>
      </w:r>
      <w:r w:rsidRPr="00806F74">
        <w:rPr>
          <w:rFonts w:ascii="Book Antiqua" w:eastAsia="宋体" w:hAnsi="Book Antiqua" w:cs="宋体"/>
          <w:i/>
          <w:iCs/>
          <w:kern w:val="0"/>
        </w:rPr>
        <w:t>Lancet</w:t>
      </w:r>
      <w:r w:rsidRPr="00806F74">
        <w:rPr>
          <w:rFonts w:ascii="Book Antiqua" w:eastAsia="宋体" w:hAnsi="Book Antiqua" w:cs="宋体"/>
          <w:kern w:val="0"/>
        </w:rPr>
        <w:t> 2003; </w:t>
      </w:r>
      <w:r w:rsidRPr="00806F74">
        <w:rPr>
          <w:rFonts w:ascii="Book Antiqua" w:eastAsia="宋体" w:hAnsi="Book Antiqua" w:cs="宋体"/>
          <w:b/>
          <w:bCs/>
          <w:kern w:val="0"/>
        </w:rPr>
        <w:t>362</w:t>
      </w:r>
      <w:r w:rsidRPr="00806F74">
        <w:rPr>
          <w:rFonts w:ascii="Book Antiqua" w:eastAsia="宋体" w:hAnsi="Book Antiqua" w:cs="宋体"/>
          <w:kern w:val="0"/>
        </w:rPr>
        <w:t>: 1907-1917 [PMID: 14667750 DOI: 10.1016/S0140-6736(03)14964-1]</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25 </w:t>
      </w:r>
      <w:r w:rsidRPr="00806F74">
        <w:rPr>
          <w:rFonts w:ascii="Book Antiqua" w:eastAsia="宋体" w:hAnsi="Book Antiqua" w:cs="宋体"/>
          <w:b/>
          <w:bCs/>
          <w:kern w:val="0"/>
        </w:rPr>
        <w:t>Liu J</w:t>
      </w:r>
      <w:r w:rsidRPr="00806F74">
        <w:rPr>
          <w:rFonts w:ascii="Book Antiqua" w:eastAsia="宋体" w:hAnsi="Book Antiqua" w:cs="宋体"/>
          <w:kern w:val="0"/>
        </w:rPr>
        <w:t xml:space="preserve">, Lee MH, </w:t>
      </w:r>
      <w:proofErr w:type="spellStart"/>
      <w:r w:rsidRPr="00806F74">
        <w:rPr>
          <w:rFonts w:ascii="Book Antiqua" w:eastAsia="宋体" w:hAnsi="Book Antiqua" w:cs="宋体"/>
          <w:kern w:val="0"/>
        </w:rPr>
        <w:t>Batrla-Utermann</w:t>
      </w:r>
      <w:proofErr w:type="spellEnd"/>
      <w:r w:rsidRPr="00806F74">
        <w:rPr>
          <w:rFonts w:ascii="Book Antiqua" w:eastAsia="宋体" w:hAnsi="Book Antiqua" w:cs="宋体"/>
          <w:kern w:val="0"/>
        </w:rPr>
        <w:t xml:space="preserve"> R, Jen CL, </w:t>
      </w:r>
      <w:proofErr w:type="spellStart"/>
      <w:r w:rsidRPr="00806F74">
        <w:rPr>
          <w:rFonts w:ascii="Book Antiqua" w:eastAsia="宋体" w:hAnsi="Book Antiqua" w:cs="宋体"/>
          <w:kern w:val="0"/>
        </w:rPr>
        <w:t>Iloeje</w:t>
      </w:r>
      <w:proofErr w:type="spellEnd"/>
      <w:r w:rsidRPr="00806F74">
        <w:rPr>
          <w:rFonts w:ascii="Book Antiqua" w:eastAsia="宋体" w:hAnsi="Book Antiqua" w:cs="宋体"/>
          <w:kern w:val="0"/>
        </w:rPr>
        <w:t xml:space="preserve"> UH, Lu SN, Wang LY, You SL, Hsiao CK, Yang HI, Chen CJ. A predictive scoring system for the </w:t>
      </w:r>
      <w:proofErr w:type="spellStart"/>
      <w:r w:rsidRPr="00806F74">
        <w:rPr>
          <w:rFonts w:ascii="Book Antiqua" w:eastAsia="宋体" w:hAnsi="Book Antiqua" w:cs="宋体"/>
          <w:kern w:val="0"/>
        </w:rPr>
        <w:t>seroclearance</w:t>
      </w:r>
      <w:proofErr w:type="spellEnd"/>
      <w:r w:rsidRPr="00806F74">
        <w:rPr>
          <w:rFonts w:ascii="Book Antiqua" w:eastAsia="宋体" w:hAnsi="Book Antiqua" w:cs="宋体"/>
          <w:kern w:val="0"/>
        </w:rPr>
        <w:t xml:space="preserve"> of </w:t>
      </w:r>
      <w:proofErr w:type="spellStart"/>
      <w:r w:rsidRPr="00806F74">
        <w:rPr>
          <w:rFonts w:ascii="Book Antiqua" w:eastAsia="宋体" w:hAnsi="Book Antiqua" w:cs="宋体"/>
          <w:kern w:val="0"/>
        </w:rPr>
        <w:t>HBsAg</w:t>
      </w:r>
      <w:proofErr w:type="spellEnd"/>
      <w:r w:rsidRPr="00806F74">
        <w:rPr>
          <w:rFonts w:ascii="Book Antiqua" w:eastAsia="宋体" w:hAnsi="Book Antiqua" w:cs="宋体"/>
          <w:kern w:val="0"/>
        </w:rPr>
        <w:t xml:space="preserve"> in </w:t>
      </w:r>
      <w:proofErr w:type="spellStart"/>
      <w:r w:rsidRPr="00806F74">
        <w:rPr>
          <w:rFonts w:ascii="Book Antiqua" w:eastAsia="宋体" w:hAnsi="Book Antiqua" w:cs="宋体"/>
          <w:kern w:val="0"/>
        </w:rPr>
        <w:t>HBeAg-seronegative</w:t>
      </w:r>
      <w:proofErr w:type="spellEnd"/>
      <w:r w:rsidRPr="00806F74">
        <w:rPr>
          <w:rFonts w:ascii="Book Antiqua" w:eastAsia="宋体" w:hAnsi="Book Antiqua" w:cs="宋体"/>
          <w:kern w:val="0"/>
        </w:rPr>
        <w:t xml:space="preserve"> chronic hepatitis B patients with genotype B or C infection. </w:t>
      </w:r>
      <w:r w:rsidRPr="00806F74">
        <w:rPr>
          <w:rFonts w:ascii="Book Antiqua" w:eastAsia="宋体" w:hAnsi="Book Antiqua" w:cs="宋体"/>
          <w:i/>
          <w:iCs/>
          <w:kern w:val="0"/>
        </w:rPr>
        <w:t xml:space="preserve">J </w:t>
      </w:r>
      <w:proofErr w:type="spellStart"/>
      <w:r w:rsidRPr="00806F74">
        <w:rPr>
          <w:rFonts w:ascii="Book Antiqua" w:eastAsia="宋体" w:hAnsi="Book Antiqua" w:cs="宋体"/>
          <w:i/>
          <w:iCs/>
          <w:kern w:val="0"/>
        </w:rPr>
        <w:t>Hepatol</w:t>
      </w:r>
      <w:proofErr w:type="spellEnd"/>
      <w:r w:rsidRPr="00806F74">
        <w:rPr>
          <w:rFonts w:ascii="Book Antiqua" w:eastAsia="宋体" w:hAnsi="Book Antiqua" w:cs="宋体"/>
          <w:kern w:val="0"/>
        </w:rPr>
        <w:t> 2013; </w:t>
      </w:r>
      <w:r w:rsidRPr="00806F74">
        <w:rPr>
          <w:rFonts w:ascii="Book Antiqua" w:eastAsia="宋体" w:hAnsi="Book Antiqua" w:cs="宋体"/>
          <w:b/>
          <w:bCs/>
          <w:kern w:val="0"/>
        </w:rPr>
        <w:t>58</w:t>
      </w:r>
      <w:r w:rsidRPr="00806F74">
        <w:rPr>
          <w:rFonts w:ascii="Book Antiqua" w:eastAsia="宋体" w:hAnsi="Book Antiqua" w:cs="宋体"/>
          <w:kern w:val="0"/>
        </w:rPr>
        <w:t>: 853-860 [PMID: 23246508 DOI: 10.1016/j.jhep.2012.12.006]</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 xml:space="preserve">26 </w:t>
      </w:r>
      <w:r w:rsidRPr="00806F74">
        <w:rPr>
          <w:rFonts w:ascii="Book Antiqua" w:eastAsia="宋体" w:hAnsi="Book Antiqua" w:cs="宋体"/>
          <w:b/>
          <w:kern w:val="0"/>
        </w:rPr>
        <w:t>Zhang HX</w:t>
      </w:r>
      <w:r w:rsidRPr="00806F74">
        <w:rPr>
          <w:rFonts w:ascii="Book Antiqua" w:eastAsia="宋体" w:hAnsi="Book Antiqua" w:cs="宋体"/>
          <w:kern w:val="0"/>
        </w:rPr>
        <w:t xml:space="preserve">, </w:t>
      </w:r>
      <w:proofErr w:type="spellStart"/>
      <w:r w:rsidRPr="00806F74">
        <w:rPr>
          <w:rFonts w:ascii="Book Antiqua" w:eastAsia="宋体" w:hAnsi="Book Antiqua" w:cs="宋体"/>
          <w:kern w:val="0"/>
        </w:rPr>
        <w:t>Zhai</w:t>
      </w:r>
      <w:proofErr w:type="spellEnd"/>
      <w:r w:rsidRPr="00806F74">
        <w:rPr>
          <w:rFonts w:ascii="Book Antiqua" w:eastAsia="宋体" w:hAnsi="Book Antiqua" w:cs="宋体"/>
          <w:kern w:val="0"/>
        </w:rPr>
        <w:t xml:space="preserve"> Y, Hu ZB, Wu C, </w:t>
      </w:r>
      <w:proofErr w:type="spellStart"/>
      <w:r w:rsidRPr="00806F74">
        <w:rPr>
          <w:rFonts w:ascii="Book Antiqua" w:eastAsia="宋体" w:hAnsi="Book Antiqua" w:cs="宋体"/>
          <w:kern w:val="0"/>
        </w:rPr>
        <w:t>Qian</w:t>
      </w:r>
      <w:proofErr w:type="spellEnd"/>
      <w:r w:rsidRPr="00806F74">
        <w:rPr>
          <w:rFonts w:ascii="Book Antiqua" w:eastAsia="宋体" w:hAnsi="Book Antiqua" w:cs="宋体"/>
          <w:kern w:val="0"/>
        </w:rPr>
        <w:t xml:space="preserve"> J, </w:t>
      </w:r>
      <w:proofErr w:type="spellStart"/>
      <w:r w:rsidRPr="00806F74">
        <w:rPr>
          <w:rFonts w:ascii="Book Antiqua" w:eastAsia="宋体" w:hAnsi="Book Antiqua" w:cs="宋体"/>
          <w:kern w:val="0"/>
        </w:rPr>
        <w:t>Jia</w:t>
      </w:r>
      <w:proofErr w:type="spellEnd"/>
      <w:r w:rsidRPr="00806F74">
        <w:rPr>
          <w:rFonts w:ascii="Book Antiqua" w:eastAsia="宋体" w:hAnsi="Book Antiqua" w:cs="宋体"/>
          <w:kern w:val="0"/>
        </w:rPr>
        <w:t xml:space="preserve"> WH, Ma FC, Huang WF, Yu LX, </w:t>
      </w:r>
      <w:proofErr w:type="spellStart"/>
      <w:r w:rsidRPr="00806F74">
        <w:rPr>
          <w:rFonts w:ascii="Book Antiqua" w:eastAsia="宋体" w:hAnsi="Book Antiqua" w:cs="宋体"/>
          <w:kern w:val="0"/>
        </w:rPr>
        <w:t>Yue</w:t>
      </w:r>
      <w:proofErr w:type="spellEnd"/>
      <w:r w:rsidRPr="00806F74">
        <w:rPr>
          <w:rFonts w:ascii="Book Antiqua" w:eastAsia="宋体" w:hAnsi="Book Antiqua" w:cs="宋体"/>
          <w:kern w:val="0"/>
        </w:rPr>
        <w:t xml:space="preserve"> W, Wang ZF, Li PY, Zhang Y, Liang RX, Wei ZL, Cui Y, </w:t>
      </w:r>
      <w:proofErr w:type="spellStart"/>
      <w:r w:rsidRPr="00806F74">
        <w:rPr>
          <w:rFonts w:ascii="Book Antiqua" w:eastAsia="宋体" w:hAnsi="Book Antiqua" w:cs="宋体"/>
          <w:kern w:val="0"/>
        </w:rPr>
        <w:t>Xie</w:t>
      </w:r>
      <w:proofErr w:type="spellEnd"/>
      <w:r w:rsidRPr="00806F74">
        <w:rPr>
          <w:rFonts w:ascii="Book Antiqua" w:eastAsia="宋体" w:hAnsi="Book Antiqua" w:cs="宋体"/>
          <w:kern w:val="0"/>
        </w:rPr>
        <w:t xml:space="preserve"> WM, </w:t>
      </w:r>
      <w:proofErr w:type="spellStart"/>
      <w:r w:rsidRPr="00806F74">
        <w:rPr>
          <w:rFonts w:ascii="Book Antiqua" w:eastAsia="宋体" w:hAnsi="Book Antiqua" w:cs="宋体"/>
          <w:kern w:val="0"/>
        </w:rPr>
        <w:t>Cai</w:t>
      </w:r>
      <w:proofErr w:type="spellEnd"/>
      <w:r w:rsidRPr="00806F74">
        <w:rPr>
          <w:rFonts w:ascii="Book Antiqua" w:eastAsia="宋体" w:hAnsi="Book Antiqua" w:cs="宋体"/>
          <w:kern w:val="0"/>
        </w:rPr>
        <w:t xml:space="preserve"> </w:t>
      </w:r>
      <w:r w:rsidRPr="00806F74">
        <w:rPr>
          <w:rFonts w:ascii="Book Antiqua" w:eastAsia="宋体" w:hAnsi="Book Antiqua" w:cs="宋体"/>
          <w:kern w:val="0"/>
        </w:rPr>
        <w:lastRenderedPageBreak/>
        <w:t xml:space="preserve">M, Yu XS, Yuan YF, Xia X, Zhang XM, Yang H, </w:t>
      </w:r>
      <w:proofErr w:type="spellStart"/>
      <w:r w:rsidRPr="00806F74">
        <w:rPr>
          <w:rFonts w:ascii="Book Antiqua" w:eastAsia="宋体" w:hAnsi="Book Antiqua" w:cs="宋体"/>
          <w:kern w:val="0"/>
        </w:rPr>
        <w:t>Qiu</w:t>
      </w:r>
      <w:proofErr w:type="spellEnd"/>
      <w:r w:rsidRPr="00806F74">
        <w:rPr>
          <w:rFonts w:ascii="Book Antiqua" w:eastAsia="宋体" w:hAnsi="Book Antiqua" w:cs="宋体"/>
          <w:kern w:val="0"/>
        </w:rPr>
        <w:t xml:space="preserve"> W, Yang JM, Gong F, Chen MS, </w:t>
      </w:r>
      <w:proofErr w:type="spellStart"/>
      <w:r w:rsidRPr="00806F74">
        <w:rPr>
          <w:rFonts w:ascii="Book Antiqua" w:eastAsia="宋体" w:hAnsi="Book Antiqua" w:cs="宋体"/>
          <w:kern w:val="0"/>
        </w:rPr>
        <w:t>Shen</w:t>
      </w:r>
      <w:proofErr w:type="spellEnd"/>
      <w:r w:rsidRPr="00806F74">
        <w:rPr>
          <w:rFonts w:ascii="Book Antiqua" w:eastAsia="宋体" w:hAnsi="Book Antiqua" w:cs="宋体"/>
          <w:kern w:val="0"/>
        </w:rPr>
        <w:t xml:space="preserve"> HB, Lin DX, </w:t>
      </w:r>
      <w:proofErr w:type="spellStart"/>
      <w:r w:rsidRPr="00806F74">
        <w:rPr>
          <w:rFonts w:ascii="Book Antiqua" w:eastAsia="宋体" w:hAnsi="Book Antiqua" w:cs="宋体"/>
          <w:kern w:val="0"/>
        </w:rPr>
        <w:t>Zeng</w:t>
      </w:r>
      <w:proofErr w:type="spellEnd"/>
      <w:r w:rsidRPr="00806F74">
        <w:rPr>
          <w:rFonts w:ascii="Book Antiqua" w:eastAsia="宋体" w:hAnsi="Book Antiqua" w:cs="宋体"/>
          <w:kern w:val="0"/>
        </w:rPr>
        <w:t xml:space="preserve"> YX, He FC, Zhou GQ. Genome-wide association study identifies 1p36.22 as a new susceptibility locus for hepatocellular carcinoma in chronic hepatitis B virus carriers. </w:t>
      </w:r>
      <w:r w:rsidRPr="00806F74">
        <w:rPr>
          <w:rFonts w:ascii="Book Antiqua" w:eastAsia="宋体" w:hAnsi="Book Antiqua" w:cs="宋体"/>
          <w:i/>
          <w:kern w:val="0"/>
        </w:rPr>
        <w:t>Nat Genet</w:t>
      </w:r>
      <w:r w:rsidRPr="00806F74">
        <w:rPr>
          <w:rFonts w:ascii="Book Antiqua" w:eastAsia="宋体" w:hAnsi="Book Antiqua" w:cs="宋体"/>
          <w:kern w:val="0"/>
        </w:rPr>
        <w:t xml:space="preserve"> 2010; </w:t>
      </w:r>
      <w:r w:rsidRPr="00806F74">
        <w:rPr>
          <w:rFonts w:ascii="Book Antiqua" w:eastAsia="宋体" w:hAnsi="Book Antiqua" w:cs="宋体"/>
          <w:b/>
          <w:kern w:val="0"/>
        </w:rPr>
        <w:t>42</w:t>
      </w:r>
      <w:r w:rsidRPr="00806F74">
        <w:rPr>
          <w:rFonts w:ascii="Book Antiqua" w:eastAsia="宋体" w:hAnsi="Book Antiqua" w:cs="宋体"/>
          <w:kern w:val="0"/>
        </w:rPr>
        <w:t>: 755-U739 [PMID: WOS: 000281388400009 DOI: 10.1038/Ng.638]</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27 </w:t>
      </w:r>
      <w:proofErr w:type="spellStart"/>
      <w:r w:rsidRPr="00806F74">
        <w:rPr>
          <w:rFonts w:ascii="Book Antiqua" w:eastAsia="宋体" w:hAnsi="Book Antiqua" w:cs="宋体"/>
          <w:b/>
          <w:bCs/>
          <w:kern w:val="0"/>
        </w:rPr>
        <w:t>Mbarek</w:t>
      </w:r>
      <w:proofErr w:type="spellEnd"/>
      <w:r w:rsidRPr="00806F74">
        <w:rPr>
          <w:rFonts w:ascii="Book Antiqua" w:eastAsia="宋体" w:hAnsi="Book Antiqua" w:cs="宋体"/>
          <w:b/>
          <w:bCs/>
          <w:kern w:val="0"/>
        </w:rPr>
        <w:t xml:space="preserve"> H</w:t>
      </w:r>
      <w:r w:rsidRPr="00806F74">
        <w:rPr>
          <w:rFonts w:ascii="Book Antiqua" w:eastAsia="宋体" w:hAnsi="Book Antiqua" w:cs="宋体"/>
          <w:kern w:val="0"/>
        </w:rPr>
        <w:t xml:space="preserve">, Ochi H, Urabe Y, Kumar V, Kubo M, </w:t>
      </w:r>
      <w:proofErr w:type="spellStart"/>
      <w:r w:rsidRPr="00806F74">
        <w:rPr>
          <w:rFonts w:ascii="Book Antiqua" w:eastAsia="宋体" w:hAnsi="Book Antiqua" w:cs="宋体"/>
          <w:kern w:val="0"/>
        </w:rPr>
        <w:t>Hosono</w:t>
      </w:r>
      <w:proofErr w:type="spellEnd"/>
      <w:r w:rsidRPr="00806F74">
        <w:rPr>
          <w:rFonts w:ascii="Book Antiqua" w:eastAsia="宋体" w:hAnsi="Book Antiqua" w:cs="宋体"/>
          <w:kern w:val="0"/>
        </w:rPr>
        <w:t xml:space="preserve"> N, Takahashi A, </w:t>
      </w:r>
      <w:proofErr w:type="spellStart"/>
      <w:r w:rsidRPr="00806F74">
        <w:rPr>
          <w:rFonts w:ascii="Book Antiqua" w:eastAsia="宋体" w:hAnsi="Book Antiqua" w:cs="宋体"/>
          <w:kern w:val="0"/>
        </w:rPr>
        <w:t>Kamatani</w:t>
      </w:r>
      <w:proofErr w:type="spellEnd"/>
      <w:r w:rsidRPr="00806F74">
        <w:rPr>
          <w:rFonts w:ascii="Book Antiqua" w:eastAsia="宋体" w:hAnsi="Book Antiqua" w:cs="宋体"/>
          <w:kern w:val="0"/>
        </w:rPr>
        <w:t xml:space="preserve"> Y, Miki D, Abe H, </w:t>
      </w:r>
      <w:proofErr w:type="spellStart"/>
      <w:r w:rsidRPr="00806F74">
        <w:rPr>
          <w:rFonts w:ascii="Book Antiqua" w:eastAsia="宋体" w:hAnsi="Book Antiqua" w:cs="宋体"/>
          <w:kern w:val="0"/>
        </w:rPr>
        <w:t>Tsunoda</w:t>
      </w:r>
      <w:proofErr w:type="spellEnd"/>
      <w:r w:rsidRPr="00806F74">
        <w:rPr>
          <w:rFonts w:ascii="Book Antiqua" w:eastAsia="宋体" w:hAnsi="Book Antiqua" w:cs="宋体"/>
          <w:kern w:val="0"/>
        </w:rPr>
        <w:t xml:space="preserve"> T, </w:t>
      </w:r>
      <w:proofErr w:type="spellStart"/>
      <w:r w:rsidRPr="00806F74">
        <w:rPr>
          <w:rFonts w:ascii="Book Antiqua" w:eastAsia="宋体" w:hAnsi="Book Antiqua" w:cs="宋体"/>
          <w:kern w:val="0"/>
        </w:rPr>
        <w:t>Kamatani</w:t>
      </w:r>
      <w:proofErr w:type="spellEnd"/>
      <w:r w:rsidRPr="00806F74">
        <w:rPr>
          <w:rFonts w:ascii="Book Antiqua" w:eastAsia="宋体" w:hAnsi="Book Antiqua" w:cs="宋体"/>
          <w:kern w:val="0"/>
        </w:rPr>
        <w:t xml:space="preserve"> N, </w:t>
      </w:r>
      <w:proofErr w:type="spellStart"/>
      <w:r w:rsidRPr="00806F74">
        <w:rPr>
          <w:rFonts w:ascii="Book Antiqua" w:eastAsia="宋体" w:hAnsi="Book Antiqua" w:cs="宋体"/>
          <w:kern w:val="0"/>
        </w:rPr>
        <w:t>Chayama</w:t>
      </w:r>
      <w:proofErr w:type="spellEnd"/>
      <w:r w:rsidRPr="00806F74">
        <w:rPr>
          <w:rFonts w:ascii="Book Antiqua" w:eastAsia="宋体" w:hAnsi="Book Antiqua" w:cs="宋体"/>
          <w:kern w:val="0"/>
        </w:rPr>
        <w:t xml:space="preserve"> K, Nakamura Y, Matsuda K. A genome-wide association study of chronic hepatitis B identified novel risk locus in a Japanese population. </w:t>
      </w:r>
      <w:r w:rsidRPr="00806F74">
        <w:rPr>
          <w:rFonts w:ascii="Book Antiqua" w:eastAsia="宋体" w:hAnsi="Book Antiqua" w:cs="宋体"/>
          <w:i/>
          <w:iCs/>
          <w:kern w:val="0"/>
        </w:rPr>
        <w:t xml:space="preserve">Hum </w:t>
      </w:r>
      <w:proofErr w:type="spellStart"/>
      <w:r w:rsidRPr="00806F74">
        <w:rPr>
          <w:rFonts w:ascii="Book Antiqua" w:eastAsia="宋体" w:hAnsi="Book Antiqua" w:cs="宋体"/>
          <w:i/>
          <w:iCs/>
          <w:kern w:val="0"/>
        </w:rPr>
        <w:t>Mol</w:t>
      </w:r>
      <w:proofErr w:type="spellEnd"/>
      <w:r w:rsidRPr="00806F74">
        <w:rPr>
          <w:rFonts w:ascii="Book Antiqua" w:eastAsia="宋体" w:hAnsi="Book Antiqua" w:cs="宋体"/>
          <w:i/>
          <w:iCs/>
          <w:kern w:val="0"/>
        </w:rPr>
        <w:t xml:space="preserve"> Genet</w:t>
      </w:r>
      <w:r w:rsidRPr="00806F74">
        <w:rPr>
          <w:rFonts w:ascii="Book Antiqua" w:eastAsia="宋体" w:hAnsi="Book Antiqua" w:cs="宋体"/>
          <w:kern w:val="0"/>
        </w:rPr>
        <w:t> 2011; </w:t>
      </w:r>
      <w:r w:rsidRPr="00806F74">
        <w:rPr>
          <w:rFonts w:ascii="Book Antiqua" w:eastAsia="宋体" w:hAnsi="Book Antiqua" w:cs="宋体"/>
          <w:b/>
          <w:bCs/>
          <w:kern w:val="0"/>
        </w:rPr>
        <w:t>20</w:t>
      </w:r>
      <w:r w:rsidRPr="00806F74">
        <w:rPr>
          <w:rFonts w:ascii="Book Antiqua" w:eastAsia="宋体" w:hAnsi="Book Antiqua" w:cs="宋体"/>
          <w:kern w:val="0"/>
        </w:rPr>
        <w:t>: 3884-3892 [PMID: 21750111 DOI: 10.1093/</w:t>
      </w:r>
      <w:proofErr w:type="spellStart"/>
      <w:r w:rsidRPr="00806F74">
        <w:rPr>
          <w:rFonts w:ascii="Book Antiqua" w:eastAsia="宋体" w:hAnsi="Book Antiqua" w:cs="宋体"/>
          <w:kern w:val="0"/>
        </w:rPr>
        <w:t>hmg</w:t>
      </w:r>
      <w:proofErr w:type="spellEnd"/>
      <w:r w:rsidRPr="00806F74">
        <w:rPr>
          <w:rFonts w:ascii="Book Antiqua" w:eastAsia="宋体" w:hAnsi="Book Antiqua" w:cs="宋体"/>
          <w:kern w:val="0"/>
        </w:rPr>
        <w:t>/ddr301]</w:t>
      </w:r>
    </w:p>
    <w:p w:rsidR="006F5B68" w:rsidRPr="00806F74" w:rsidRDefault="006F5B68" w:rsidP="00E36E3D">
      <w:pPr>
        <w:widowControl/>
        <w:spacing w:line="360" w:lineRule="auto"/>
        <w:jc w:val="both"/>
        <w:rPr>
          <w:rFonts w:ascii="Book Antiqua" w:eastAsia="宋体" w:hAnsi="Book Antiqua" w:cs="宋体"/>
          <w:kern w:val="0"/>
        </w:rPr>
      </w:pPr>
      <w:r w:rsidRPr="00806F74">
        <w:rPr>
          <w:rFonts w:ascii="Book Antiqua" w:eastAsia="宋体" w:hAnsi="Book Antiqua" w:cs="宋体"/>
          <w:kern w:val="0"/>
        </w:rPr>
        <w:t>28 </w:t>
      </w:r>
      <w:r w:rsidRPr="00806F74">
        <w:rPr>
          <w:rFonts w:ascii="Book Antiqua" w:eastAsia="宋体" w:hAnsi="Book Antiqua" w:cs="宋体"/>
          <w:b/>
          <w:bCs/>
          <w:kern w:val="0"/>
        </w:rPr>
        <w:t>Jiang DK</w:t>
      </w:r>
      <w:r w:rsidRPr="00806F74">
        <w:rPr>
          <w:rFonts w:ascii="Book Antiqua" w:eastAsia="宋体" w:hAnsi="Book Antiqua" w:cs="宋体"/>
          <w:kern w:val="0"/>
        </w:rPr>
        <w:t xml:space="preserve">, Sun J, Cao G, Liu Y, Lin D, </w:t>
      </w:r>
      <w:proofErr w:type="spellStart"/>
      <w:r w:rsidRPr="00806F74">
        <w:rPr>
          <w:rFonts w:ascii="Book Antiqua" w:eastAsia="宋体" w:hAnsi="Book Antiqua" w:cs="宋体"/>
          <w:kern w:val="0"/>
        </w:rPr>
        <w:t>Gao</w:t>
      </w:r>
      <w:proofErr w:type="spellEnd"/>
      <w:r w:rsidRPr="00806F74">
        <w:rPr>
          <w:rFonts w:ascii="Book Antiqua" w:eastAsia="宋体" w:hAnsi="Book Antiqua" w:cs="宋体"/>
          <w:kern w:val="0"/>
        </w:rPr>
        <w:t xml:space="preserve"> YZ, </w:t>
      </w:r>
      <w:proofErr w:type="spellStart"/>
      <w:r w:rsidRPr="00806F74">
        <w:rPr>
          <w:rFonts w:ascii="Book Antiqua" w:eastAsia="宋体" w:hAnsi="Book Antiqua" w:cs="宋体"/>
          <w:kern w:val="0"/>
        </w:rPr>
        <w:t>Ren</w:t>
      </w:r>
      <w:proofErr w:type="spellEnd"/>
      <w:r w:rsidRPr="00806F74">
        <w:rPr>
          <w:rFonts w:ascii="Book Antiqua" w:eastAsia="宋体" w:hAnsi="Book Antiqua" w:cs="宋体"/>
          <w:kern w:val="0"/>
        </w:rPr>
        <w:t xml:space="preserve"> WH, Long XD, Zhang H, Ma XP, Wang Z, Jiang W, Chen TY, </w:t>
      </w:r>
      <w:proofErr w:type="spellStart"/>
      <w:r w:rsidRPr="00806F74">
        <w:rPr>
          <w:rFonts w:ascii="Book Antiqua" w:eastAsia="宋体" w:hAnsi="Book Antiqua" w:cs="宋体"/>
          <w:kern w:val="0"/>
        </w:rPr>
        <w:t>Gao</w:t>
      </w:r>
      <w:proofErr w:type="spellEnd"/>
      <w:r w:rsidRPr="00806F74">
        <w:rPr>
          <w:rFonts w:ascii="Book Antiqua" w:eastAsia="宋体" w:hAnsi="Book Antiqua" w:cs="宋体"/>
          <w:kern w:val="0"/>
        </w:rPr>
        <w:t xml:space="preserve"> Y, Sun LD, Long JR, Huang HX, Wang D, Yu H, Zhang P, Tang LS, </w:t>
      </w:r>
      <w:proofErr w:type="spellStart"/>
      <w:r w:rsidRPr="00806F74">
        <w:rPr>
          <w:rFonts w:ascii="Book Antiqua" w:eastAsia="宋体" w:hAnsi="Book Antiqua" w:cs="宋体"/>
          <w:kern w:val="0"/>
        </w:rPr>
        <w:t>Peng</w:t>
      </w:r>
      <w:proofErr w:type="spellEnd"/>
      <w:r w:rsidRPr="00806F74">
        <w:rPr>
          <w:rFonts w:ascii="Book Antiqua" w:eastAsia="宋体" w:hAnsi="Book Antiqua" w:cs="宋体"/>
          <w:kern w:val="0"/>
        </w:rPr>
        <w:t xml:space="preserve"> B, </w:t>
      </w:r>
      <w:proofErr w:type="spellStart"/>
      <w:r w:rsidRPr="00806F74">
        <w:rPr>
          <w:rFonts w:ascii="Book Antiqua" w:eastAsia="宋体" w:hAnsi="Book Antiqua" w:cs="宋体"/>
          <w:kern w:val="0"/>
        </w:rPr>
        <w:t>Cai</w:t>
      </w:r>
      <w:proofErr w:type="spellEnd"/>
      <w:r w:rsidRPr="00806F74">
        <w:rPr>
          <w:rFonts w:ascii="Book Antiqua" w:eastAsia="宋体" w:hAnsi="Book Antiqua" w:cs="宋体"/>
          <w:kern w:val="0"/>
        </w:rPr>
        <w:t xml:space="preserve"> H, Liu TT, Zhou P, Liu F, Lin X, Tao S, Wan B, </w:t>
      </w:r>
      <w:proofErr w:type="spellStart"/>
      <w:r w:rsidRPr="00806F74">
        <w:rPr>
          <w:rFonts w:ascii="Book Antiqua" w:eastAsia="宋体" w:hAnsi="Book Antiqua" w:cs="宋体"/>
          <w:kern w:val="0"/>
        </w:rPr>
        <w:t>Sai</w:t>
      </w:r>
      <w:proofErr w:type="spellEnd"/>
      <w:r w:rsidRPr="00806F74">
        <w:rPr>
          <w:rFonts w:ascii="Book Antiqua" w:eastAsia="宋体" w:hAnsi="Book Antiqua" w:cs="宋体"/>
          <w:kern w:val="0"/>
        </w:rPr>
        <w:t xml:space="preserve">-Yin HX, Qin LX, Yin J, Liu L, Wu C, Pei Y, Zhou YF, </w:t>
      </w:r>
      <w:proofErr w:type="spellStart"/>
      <w:r w:rsidRPr="00806F74">
        <w:rPr>
          <w:rFonts w:ascii="Book Antiqua" w:eastAsia="宋体" w:hAnsi="Book Antiqua" w:cs="宋体"/>
          <w:kern w:val="0"/>
        </w:rPr>
        <w:t>Zhai</w:t>
      </w:r>
      <w:proofErr w:type="spellEnd"/>
      <w:r w:rsidRPr="00806F74">
        <w:rPr>
          <w:rFonts w:ascii="Book Antiqua" w:eastAsia="宋体" w:hAnsi="Book Antiqua" w:cs="宋体"/>
          <w:kern w:val="0"/>
        </w:rPr>
        <w:t xml:space="preserve"> Y, Lu PX, Tan A, </w:t>
      </w:r>
      <w:proofErr w:type="spellStart"/>
      <w:r w:rsidRPr="00806F74">
        <w:rPr>
          <w:rFonts w:ascii="Book Antiqua" w:eastAsia="宋体" w:hAnsi="Book Antiqua" w:cs="宋体"/>
          <w:kern w:val="0"/>
        </w:rPr>
        <w:t>Zuo</w:t>
      </w:r>
      <w:proofErr w:type="spellEnd"/>
      <w:r w:rsidRPr="00806F74">
        <w:rPr>
          <w:rFonts w:ascii="Book Antiqua" w:eastAsia="宋体" w:hAnsi="Book Antiqua" w:cs="宋体"/>
          <w:kern w:val="0"/>
        </w:rPr>
        <w:t xml:space="preserve"> XB, Fan J, Chang J, </w:t>
      </w:r>
      <w:proofErr w:type="spellStart"/>
      <w:r w:rsidRPr="00806F74">
        <w:rPr>
          <w:rFonts w:ascii="Book Antiqua" w:eastAsia="宋体" w:hAnsi="Book Antiqua" w:cs="宋体"/>
          <w:kern w:val="0"/>
        </w:rPr>
        <w:t>Gu</w:t>
      </w:r>
      <w:proofErr w:type="spellEnd"/>
      <w:r w:rsidRPr="00806F74">
        <w:rPr>
          <w:rFonts w:ascii="Book Antiqua" w:eastAsia="宋体" w:hAnsi="Book Antiqua" w:cs="宋体"/>
          <w:kern w:val="0"/>
        </w:rPr>
        <w:t xml:space="preserve"> X, Wang NJ, Li Y, Liu YK, </w:t>
      </w:r>
      <w:proofErr w:type="spellStart"/>
      <w:r w:rsidRPr="00806F74">
        <w:rPr>
          <w:rFonts w:ascii="Book Antiqua" w:eastAsia="宋体" w:hAnsi="Book Antiqua" w:cs="宋体"/>
          <w:kern w:val="0"/>
        </w:rPr>
        <w:t>Zhai</w:t>
      </w:r>
      <w:proofErr w:type="spellEnd"/>
      <w:r w:rsidRPr="00806F74">
        <w:rPr>
          <w:rFonts w:ascii="Book Antiqua" w:eastAsia="宋体" w:hAnsi="Book Antiqua" w:cs="宋体"/>
          <w:kern w:val="0"/>
        </w:rPr>
        <w:t xml:space="preserve"> K, Zhang H, Hu Z, Liu J, Yi Q, Xiang Y, Shi R, Ding Q, </w:t>
      </w:r>
      <w:proofErr w:type="spellStart"/>
      <w:r w:rsidRPr="00806F74">
        <w:rPr>
          <w:rFonts w:ascii="Book Antiqua" w:eastAsia="宋体" w:hAnsi="Book Antiqua" w:cs="宋体"/>
          <w:kern w:val="0"/>
        </w:rPr>
        <w:t>Zheng</w:t>
      </w:r>
      <w:proofErr w:type="spellEnd"/>
      <w:r w:rsidRPr="00806F74">
        <w:rPr>
          <w:rFonts w:ascii="Book Antiqua" w:eastAsia="宋体" w:hAnsi="Book Antiqua" w:cs="宋体"/>
          <w:kern w:val="0"/>
        </w:rPr>
        <w:t xml:space="preserve"> W, </w:t>
      </w:r>
      <w:proofErr w:type="spellStart"/>
      <w:r w:rsidRPr="00806F74">
        <w:rPr>
          <w:rFonts w:ascii="Book Antiqua" w:eastAsia="宋体" w:hAnsi="Book Antiqua" w:cs="宋体"/>
          <w:kern w:val="0"/>
        </w:rPr>
        <w:t>Shu</w:t>
      </w:r>
      <w:proofErr w:type="spellEnd"/>
      <w:r w:rsidRPr="00806F74">
        <w:rPr>
          <w:rFonts w:ascii="Book Antiqua" w:eastAsia="宋体" w:hAnsi="Book Antiqua" w:cs="宋体"/>
          <w:kern w:val="0"/>
        </w:rPr>
        <w:t xml:space="preserve"> XO, Mo Z, </w:t>
      </w:r>
      <w:proofErr w:type="spellStart"/>
      <w:r w:rsidRPr="00806F74">
        <w:rPr>
          <w:rFonts w:ascii="Book Antiqua" w:eastAsia="宋体" w:hAnsi="Book Antiqua" w:cs="宋体"/>
          <w:kern w:val="0"/>
        </w:rPr>
        <w:t>Shugart</w:t>
      </w:r>
      <w:proofErr w:type="spellEnd"/>
      <w:r w:rsidRPr="00806F74">
        <w:rPr>
          <w:rFonts w:ascii="Book Antiqua" w:eastAsia="宋体" w:hAnsi="Book Antiqua" w:cs="宋体"/>
          <w:kern w:val="0"/>
        </w:rPr>
        <w:t xml:space="preserve"> YY, Zhang XJ, Zhou G, </w:t>
      </w:r>
      <w:proofErr w:type="spellStart"/>
      <w:r w:rsidRPr="00806F74">
        <w:rPr>
          <w:rFonts w:ascii="Book Antiqua" w:eastAsia="宋体" w:hAnsi="Book Antiqua" w:cs="宋体"/>
          <w:kern w:val="0"/>
        </w:rPr>
        <w:t>Shen</w:t>
      </w:r>
      <w:proofErr w:type="spellEnd"/>
      <w:r w:rsidRPr="00806F74">
        <w:rPr>
          <w:rFonts w:ascii="Book Antiqua" w:eastAsia="宋体" w:hAnsi="Book Antiqua" w:cs="宋体"/>
          <w:kern w:val="0"/>
        </w:rPr>
        <w:t xml:space="preserve"> H, </w:t>
      </w:r>
      <w:proofErr w:type="spellStart"/>
      <w:r w:rsidRPr="00806F74">
        <w:rPr>
          <w:rFonts w:ascii="Book Antiqua" w:eastAsia="宋体" w:hAnsi="Book Antiqua" w:cs="宋体"/>
          <w:kern w:val="0"/>
        </w:rPr>
        <w:t>Zheng</w:t>
      </w:r>
      <w:proofErr w:type="spellEnd"/>
      <w:r w:rsidRPr="00806F74">
        <w:rPr>
          <w:rFonts w:ascii="Book Antiqua" w:eastAsia="宋体" w:hAnsi="Book Antiqua" w:cs="宋体"/>
          <w:kern w:val="0"/>
        </w:rPr>
        <w:t xml:space="preserve"> SL, </w:t>
      </w:r>
      <w:proofErr w:type="spellStart"/>
      <w:r w:rsidRPr="00806F74">
        <w:rPr>
          <w:rFonts w:ascii="Book Antiqua" w:eastAsia="宋体" w:hAnsi="Book Antiqua" w:cs="宋体"/>
          <w:kern w:val="0"/>
        </w:rPr>
        <w:t>Xu</w:t>
      </w:r>
      <w:proofErr w:type="spellEnd"/>
      <w:r w:rsidRPr="00806F74">
        <w:rPr>
          <w:rFonts w:ascii="Book Antiqua" w:eastAsia="宋体" w:hAnsi="Book Antiqua" w:cs="宋体"/>
          <w:kern w:val="0"/>
        </w:rPr>
        <w:t xml:space="preserve"> J, Yu L. Genetic variants in STAT4 and HLA-DQ genes confer risk of hepatitis B virus-related hepatocellular carcinoma. </w:t>
      </w:r>
      <w:r w:rsidRPr="00806F74">
        <w:rPr>
          <w:rFonts w:ascii="Book Antiqua" w:eastAsia="宋体" w:hAnsi="Book Antiqua" w:cs="宋体"/>
          <w:i/>
          <w:iCs/>
          <w:kern w:val="0"/>
        </w:rPr>
        <w:t>Nat Genet</w:t>
      </w:r>
      <w:r w:rsidRPr="00806F74">
        <w:rPr>
          <w:rFonts w:ascii="Book Antiqua" w:eastAsia="宋体" w:hAnsi="Book Antiqua" w:cs="宋体"/>
          <w:kern w:val="0"/>
        </w:rPr>
        <w:t> 2013; </w:t>
      </w:r>
      <w:r w:rsidRPr="00806F74">
        <w:rPr>
          <w:rFonts w:ascii="Book Antiqua" w:eastAsia="宋体" w:hAnsi="Book Antiqua" w:cs="宋体"/>
          <w:b/>
          <w:bCs/>
          <w:kern w:val="0"/>
        </w:rPr>
        <w:t>45</w:t>
      </w:r>
      <w:r w:rsidRPr="00806F74">
        <w:rPr>
          <w:rFonts w:ascii="Book Antiqua" w:eastAsia="宋体" w:hAnsi="Book Antiqua" w:cs="宋体"/>
          <w:kern w:val="0"/>
        </w:rPr>
        <w:t>: 72-75 [PMID: 23242368 DOI: 10.1038/ng.2483]</w:t>
      </w:r>
    </w:p>
    <w:p w:rsidR="006F5B68" w:rsidRPr="00F40176" w:rsidRDefault="006F5B68" w:rsidP="00F40176">
      <w:pPr>
        <w:widowControl/>
        <w:spacing w:line="360" w:lineRule="auto"/>
        <w:jc w:val="both"/>
        <w:rPr>
          <w:rFonts w:ascii="Book Antiqua" w:eastAsia="宋体" w:hAnsi="Book Antiqua" w:cs="宋体"/>
          <w:kern w:val="0"/>
          <w:lang w:eastAsia="zh-CN"/>
        </w:rPr>
      </w:pPr>
      <w:r>
        <w:rPr>
          <w:rFonts w:ascii="Book Antiqua" w:eastAsia="宋体" w:hAnsi="Book Antiqua" w:cs="宋体"/>
          <w:kern w:val="0"/>
        </w:rPr>
        <w:t xml:space="preserve">29 </w:t>
      </w:r>
      <w:r w:rsidRPr="00806F74">
        <w:rPr>
          <w:rFonts w:ascii="Book Antiqua" w:eastAsia="宋体" w:hAnsi="Book Antiqua" w:cs="宋体"/>
          <w:b/>
          <w:kern w:val="0"/>
        </w:rPr>
        <w:t>Li S</w:t>
      </w:r>
      <w:r w:rsidRPr="00806F74">
        <w:rPr>
          <w:rFonts w:ascii="Book Antiqua" w:eastAsia="宋体" w:hAnsi="Book Antiqua" w:cs="宋体"/>
          <w:kern w:val="0"/>
        </w:rPr>
        <w:t xml:space="preserve">, </w:t>
      </w:r>
      <w:proofErr w:type="spellStart"/>
      <w:r w:rsidRPr="00806F74">
        <w:rPr>
          <w:rFonts w:ascii="Book Antiqua" w:eastAsia="宋体" w:hAnsi="Book Antiqua" w:cs="宋体"/>
          <w:kern w:val="0"/>
        </w:rPr>
        <w:t>Qian</w:t>
      </w:r>
      <w:proofErr w:type="spellEnd"/>
      <w:r w:rsidRPr="00806F74">
        <w:rPr>
          <w:rFonts w:ascii="Book Antiqua" w:eastAsia="宋体" w:hAnsi="Book Antiqua" w:cs="宋体"/>
          <w:kern w:val="0"/>
        </w:rPr>
        <w:t xml:space="preserve"> J, Yang Y, Zhao W, Dai J, </w:t>
      </w:r>
      <w:proofErr w:type="spellStart"/>
      <w:r w:rsidRPr="00806F74">
        <w:rPr>
          <w:rFonts w:ascii="Book Antiqua" w:eastAsia="宋体" w:hAnsi="Book Antiqua" w:cs="宋体"/>
          <w:kern w:val="0"/>
        </w:rPr>
        <w:t>Bei</w:t>
      </w:r>
      <w:proofErr w:type="spellEnd"/>
      <w:r w:rsidRPr="00806F74">
        <w:rPr>
          <w:rFonts w:ascii="Book Antiqua" w:eastAsia="宋体" w:hAnsi="Book Antiqua" w:cs="宋体"/>
          <w:kern w:val="0"/>
        </w:rPr>
        <w:t xml:space="preserve"> JX, Foo JN, McLaren PJ, Li Z, Yang J, </w:t>
      </w:r>
      <w:proofErr w:type="spellStart"/>
      <w:r w:rsidRPr="00806F74">
        <w:rPr>
          <w:rFonts w:ascii="Book Antiqua" w:eastAsia="宋体" w:hAnsi="Book Antiqua" w:cs="宋体"/>
          <w:kern w:val="0"/>
        </w:rPr>
        <w:t>Shen</w:t>
      </w:r>
      <w:proofErr w:type="spellEnd"/>
      <w:r w:rsidRPr="00806F74">
        <w:rPr>
          <w:rFonts w:ascii="Book Antiqua" w:eastAsia="宋体" w:hAnsi="Book Antiqua" w:cs="宋体"/>
          <w:kern w:val="0"/>
        </w:rPr>
        <w:t xml:space="preserve"> F, Liu L, Yang J, Li S, Pan S, Wang Y, Li W, </w:t>
      </w:r>
      <w:proofErr w:type="spellStart"/>
      <w:r w:rsidRPr="00806F74">
        <w:rPr>
          <w:rFonts w:ascii="Book Antiqua" w:eastAsia="宋体" w:hAnsi="Book Antiqua" w:cs="宋体"/>
          <w:kern w:val="0"/>
        </w:rPr>
        <w:t>Zhai</w:t>
      </w:r>
      <w:proofErr w:type="spellEnd"/>
      <w:r w:rsidRPr="00806F74">
        <w:rPr>
          <w:rFonts w:ascii="Book Antiqua" w:eastAsia="宋体" w:hAnsi="Book Antiqua" w:cs="宋体"/>
          <w:kern w:val="0"/>
        </w:rPr>
        <w:t xml:space="preserve"> X, Zhou B, Shi L, Chen X, Chu M, Yan Y, Wang J, Cheng S, </w:t>
      </w:r>
      <w:proofErr w:type="spellStart"/>
      <w:r w:rsidRPr="00806F74">
        <w:rPr>
          <w:rFonts w:ascii="Book Antiqua" w:eastAsia="宋体" w:hAnsi="Book Antiqua" w:cs="宋体"/>
          <w:kern w:val="0"/>
        </w:rPr>
        <w:t>Shen</w:t>
      </w:r>
      <w:proofErr w:type="spellEnd"/>
      <w:r w:rsidRPr="00806F74">
        <w:rPr>
          <w:rFonts w:ascii="Book Antiqua" w:eastAsia="宋体" w:hAnsi="Book Antiqua" w:cs="宋体"/>
          <w:kern w:val="0"/>
        </w:rPr>
        <w:t xml:space="preserve"> J, </w:t>
      </w:r>
      <w:proofErr w:type="spellStart"/>
      <w:r w:rsidRPr="00806F74">
        <w:rPr>
          <w:rFonts w:ascii="Book Antiqua" w:eastAsia="宋体" w:hAnsi="Book Antiqua" w:cs="宋体"/>
          <w:kern w:val="0"/>
        </w:rPr>
        <w:t>Jia</w:t>
      </w:r>
      <w:proofErr w:type="spellEnd"/>
      <w:r w:rsidRPr="00806F74">
        <w:rPr>
          <w:rFonts w:ascii="Book Antiqua" w:eastAsia="宋体" w:hAnsi="Book Antiqua" w:cs="宋体"/>
          <w:kern w:val="0"/>
        </w:rPr>
        <w:t xml:space="preserve"> W, Liu J, Yang J, Wen Z, Li A, Zhang Y, Zhang G, </w:t>
      </w:r>
      <w:proofErr w:type="spellStart"/>
      <w:r w:rsidRPr="00806F74">
        <w:rPr>
          <w:rFonts w:ascii="Book Antiqua" w:eastAsia="宋体" w:hAnsi="Book Antiqua" w:cs="宋体"/>
          <w:kern w:val="0"/>
        </w:rPr>
        <w:t>Luo</w:t>
      </w:r>
      <w:proofErr w:type="spellEnd"/>
      <w:r w:rsidRPr="00806F74">
        <w:rPr>
          <w:rFonts w:ascii="Book Antiqua" w:eastAsia="宋体" w:hAnsi="Book Antiqua" w:cs="宋体"/>
          <w:kern w:val="0"/>
        </w:rPr>
        <w:t xml:space="preserve"> X, Qin H, Chen M, Wang H, Jin L, Lin D, </w:t>
      </w:r>
      <w:proofErr w:type="spellStart"/>
      <w:r w:rsidRPr="00806F74">
        <w:rPr>
          <w:rFonts w:ascii="Book Antiqua" w:eastAsia="宋体" w:hAnsi="Book Antiqua" w:cs="宋体"/>
          <w:kern w:val="0"/>
        </w:rPr>
        <w:t>Shen</w:t>
      </w:r>
      <w:proofErr w:type="spellEnd"/>
      <w:r w:rsidRPr="00806F74">
        <w:rPr>
          <w:rFonts w:ascii="Book Antiqua" w:eastAsia="宋体" w:hAnsi="Book Antiqua" w:cs="宋体"/>
          <w:kern w:val="0"/>
        </w:rPr>
        <w:t xml:space="preserve"> H, He L, de Bakker PI, Wang H, </w:t>
      </w:r>
      <w:proofErr w:type="spellStart"/>
      <w:r w:rsidRPr="00806F74">
        <w:rPr>
          <w:rFonts w:ascii="Book Antiqua" w:eastAsia="宋体" w:hAnsi="Book Antiqua" w:cs="宋体"/>
          <w:kern w:val="0"/>
        </w:rPr>
        <w:t>Zeng</w:t>
      </w:r>
      <w:proofErr w:type="spellEnd"/>
      <w:r w:rsidRPr="00806F74">
        <w:rPr>
          <w:rFonts w:ascii="Book Antiqua" w:eastAsia="宋体" w:hAnsi="Book Antiqua" w:cs="宋体"/>
          <w:kern w:val="0"/>
        </w:rPr>
        <w:t xml:space="preserve"> YX, Wu M, Hu Z, Shi Y, Liu J, Zhou W. GWAS identifies novel susceptibility loci on 6p21.32 and 21q21.3 for </w:t>
      </w:r>
      <w:r w:rsidRPr="00806F74">
        <w:rPr>
          <w:rFonts w:ascii="Book Antiqua" w:eastAsia="宋体" w:hAnsi="Book Antiqua" w:cs="宋体"/>
          <w:kern w:val="0"/>
        </w:rPr>
        <w:lastRenderedPageBreak/>
        <w:t xml:space="preserve">hepatocellular carcinoma in chronic hepatitis B virus carriers. </w:t>
      </w:r>
      <w:proofErr w:type="spellStart"/>
      <w:r w:rsidRPr="00806F74">
        <w:rPr>
          <w:rFonts w:ascii="Book Antiqua" w:eastAsia="宋体" w:hAnsi="Book Antiqua" w:cs="宋体"/>
          <w:i/>
          <w:kern w:val="0"/>
        </w:rPr>
        <w:t>PLoS</w:t>
      </w:r>
      <w:proofErr w:type="spellEnd"/>
      <w:r w:rsidRPr="00806F74">
        <w:rPr>
          <w:rFonts w:ascii="Book Antiqua" w:eastAsia="宋体" w:hAnsi="Book Antiqua" w:cs="宋体"/>
          <w:i/>
          <w:kern w:val="0"/>
        </w:rPr>
        <w:t xml:space="preserve"> genetics </w:t>
      </w:r>
      <w:r w:rsidRPr="00806F74">
        <w:rPr>
          <w:rFonts w:ascii="Book Antiqua" w:eastAsia="宋体" w:hAnsi="Book Antiqua" w:cs="宋体"/>
          <w:kern w:val="0"/>
        </w:rPr>
        <w:t xml:space="preserve">2012; </w:t>
      </w:r>
      <w:r w:rsidRPr="00806F74">
        <w:rPr>
          <w:rFonts w:ascii="Book Antiqua" w:eastAsia="宋体" w:hAnsi="Book Antiqua" w:cs="宋体"/>
          <w:b/>
          <w:kern w:val="0"/>
        </w:rPr>
        <w:t>8</w:t>
      </w:r>
      <w:r w:rsidRPr="00806F74">
        <w:rPr>
          <w:rFonts w:ascii="Book Antiqua" w:eastAsia="宋体" w:hAnsi="Book Antiqua" w:cs="宋体"/>
          <w:kern w:val="0"/>
        </w:rPr>
        <w:t>: e1002791 [PMID: 22807686 DOI: 10.1371/journal.pgen.1002791]</w:t>
      </w:r>
    </w:p>
    <w:p w:rsidR="006F5B68" w:rsidRPr="00E36E3D" w:rsidRDefault="006F5B68" w:rsidP="00404435">
      <w:pPr>
        <w:spacing w:line="360" w:lineRule="auto"/>
        <w:ind w:left="425" w:hangingChars="177" w:hanging="425"/>
        <w:jc w:val="both"/>
        <w:rPr>
          <w:rFonts w:ascii="Book Antiqua" w:hAnsi="Book Antiqua"/>
        </w:rPr>
      </w:pPr>
    </w:p>
    <w:p w:rsidR="006F5B68" w:rsidRPr="00E36E3D" w:rsidRDefault="006F5B68" w:rsidP="0098057C">
      <w:pPr>
        <w:pStyle w:val="ac"/>
        <w:spacing w:line="360" w:lineRule="auto"/>
        <w:ind w:firstLineChars="0" w:firstLine="0"/>
        <w:jc w:val="right"/>
        <w:rPr>
          <w:rFonts w:ascii="Book Antiqua" w:eastAsia="宋体" w:hAnsi="Book Antiqua"/>
          <w:b/>
          <w:bCs/>
          <w:color w:val="000000"/>
          <w:lang w:eastAsia="zh-CN"/>
        </w:rPr>
      </w:pPr>
      <w:bookmarkStart w:id="15" w:name="OLE_LINK139"/>
      <w:bookmarkStart w:id="16" w:name="OLE_LINK142"/>
      <w:bookmarkStart w:id="17" w:name="OLE_LINK144"/>
      <w:bookmarkStart w:id="18" w:name="OLE_LINK187"/>
      <w:bookmarkStart w:id="19" w:name="OLE_LINK235"/>
      <w:bookmarkStart w:id="20" w:name="OLE_LINK239"/>
      <w:bookmarkStart w:id="21" w:name="OLE_LINK248"/>
      <w:r w:rsidRPr="00736FFB">
        <w:rPr>
          <w:rStyle w:val="ab"/>
          <w:rFonts w:ascii="Book Antiqua" w:hAnsi="Book Antiqua" w:cs="Arial"/>
          <w:noProof/>
          <w:color w:val="000000"/>
        </w:rPr>
        <w:t>P-Reviewers</w:t>
      </w:r>
      <w:r w:rsidRPr="00736FFB">
        <w:rPr>
          <w:rStyle w:val="ab"/>
          <w:rFonts w:ascii="Book Antiqua" w:eastAsia="宋体" w:hAnsi="Book Antiqua" w:cs="Arial"/>
          <w:noProof/>
          <w:color w:val="000000"/>
          <w:lang w:eastAsia="zh-CN"/>
        </w:rPr>
        <w:t>:</w:t>
      </w:r>
      <w:r w:rsidRPr="00736FFB">
        <w:rPr>
          <w:rFonts w:ascii="Book Antiqua" w:hAnsi="Book Antiqua"/>
          <w:bCs/>
          <w:color w:val="000000"/>
        </w:rPr>
        <w:t xml:space="preserve"> </w:t>
      </w:r>
      <w:r>
        <w:rPr>
          <w:rFonts w:ascii="Book Antiqua" w:hAnsi="Book Antiqua"/>
          <w:bCs/>
          <w:color w:val="000000"/>
        </w:rPr>
        <w:t>Hu</w:t>
      </w:r>
      <w:r w:rsidRPr="00E36E3D">
        <w:rPr>
          <w:rFonts w:ascii="Book Antiqua" w:hAnsi="Book Antiqua"/>
          <w:bCs/>
          <w:color w:val="000000"/>
        </w:rPr>
        <w:t xml:space="preserve"> P</w:t>
      </w:r>
      <w:r>
        <w:rPr>
          <w:rFonts w:ascii="Book Antiqua" w:eastAsia="宋体" w:hAnsi="Book Antiqua"/>
          <w:bCs/>
          <w:color w:val="000000"/>
          <w:lang w:eastAsia="zh-CN"/>
        </w:rPr>
        <w:t>,</w:t>
      </w:r>
      <w:r w:rsidRPr="00E36E3D">
        <w:rPr>
          <w:rFonts w:ascii="Book Antiqua" w:hAnsi="Book Antiqua"/>
          <w:bCs/>
          <w:color w:val="000000"/>
        </w:rPr>
        <w:t xml:space="preserve"> </w:t>
      </w:r>
      <w:r>
        <w:rPr>
          <w:rFonts w:ascii="Book Antiqua" w:hAnsi="Book Antiqua"/>
          <w:bCs/>
          <w:color w:val="000000"/>
        </w:rPr>
        <w:t>Lampertico</w:t>
      </w:r>
      <w:r>
        <w:rPr>
          <w:rFonts w:ascii="Book Antiqua" w:eastAsia="宋体" w:hAnsi="Book Antiqua"/>
          <w:bCs/>
          <w:color w:val="000000"/>
          <w:lang w:eastAsia="zh-CN"/>
        </w:rPr>
        <w:t xml:space="preserve"> </w:t>
      </w:r>
      <w:r w:rsidRPr="00E36E3D">
        <w:rPr>
          <w:rFonts w:ascii="Book Antiqua" w:hAnsi="Book Antiqua"/>
          <w:bCs/>
          <w:color w:val="000000"/>
        </w:rPr>
        <w:t>P</w:t>
      </w:r>
      <w:r>
        <w:rPr>
          <w:rFonts w:ascii="Book Antiqua" w:eastAsia="宋体" w:hAnsi="Book Antiqua"/>
          <w:bCs/>
          <w:color w:val="000000"/>
          <w:lang w:eastAsia="zh-CN"/>
        </w:rPr>
        <w:t xml:space="preserve"> </w:t>
      </w:r>
      <w:r w:rsidRPr="00736FFB">
        <w:rPr>
          <w:rFonts w:ascii="Book Antiqua" w:hAnsi="Book Antiqua"/>
          <w:b/>
          <w:bCs/>
          <w:color w:val="000000"/>
        </w:rPr>
        <w:t>S-Editor</w:t>
      </w:r>
      <w:r w:rsidRPr="00736FFB">
        <w:rPr>
          <w:rFonts w:ascii="Book Antiqua" w:eastAsia="宋体" w:hAnsi="Book Antiqua"/>
          <w:b/>
          <w:bCs/>
          <w:color w:val="000000"/>
          <w:lang w:eastAsia="zh-CN"/>
        </w:rPr>
        <w:t>:</w:t>
      </w:r>
      <w:r w:rsidRPr="00736FFB">
        <w:rPr>
          <w:rFonts w:ascii="Book Antiqua" w:hAnsi="Book Antiqua"/>
          <w:bCs/>
          <w:color w:val="000000"/>
        </w:rPr>
        <w:t xml:space="preserve"> </w:t>
      </w:r>
      <w:r w:rsidRPr="00736FFB">
        <w:rPr>
          <w:rFonts w:ascii="Book Antiqua" w:eastAsia="宋体" w:hAnsi="Book Antiqua"/>
          <w:bCs/>
          <w:color w:val="000000"/>
          <w:lang w:eastAsia="zh-CN"/>
        </w:rPr>
        <w:t>Qi Y</w:t>
      </w:r>
    </w:p>
    <w:p w:rsidR="006F5B68" w:rsidRPr="00736FFB" w:rsidRDefault="006F5B68" w:rsidP="0098057C">
      <w:pPr>
        <w:pStyle w:val="ac"/>
        <w:spacing w:line="360" w:lineRule="auto"/>
        <w:ind w:firstLineChars="0" w:firstLine="0"/>
        <w:jc w:val="right"/>
        <w:rPr>
          <w:rFonts w:ascii="Book Antiqua" w:eastAsia="宋体" w:hAnsi="Book Antiqua"/>
          <w:b/>
          <w:bCs/>
          <w:color w:val="000000"/>
          <w:lang w:eastAsia="zh-CN"/>
        </w:rPr>
      </w:pPr>
      <w:r w:rsidRPr="00736FFB">
        <w:rPr>
          <w:rFonts w:ascii="Book Antiqua" w:hAnsi="Book Antiqua"/>
          <w:b/>
          <w:bCs/>
          <w:color w:val="000000"/>
        </w:rPr>
        <w:t>L-Editor</w:t>
      </w:r>
      <w:r w:rsidRPr="00736FFB">
        <w:rPr>
          <w:rFonts w:ascii="Book Antiqua" w:eastAsia="宋体" w:hAnsi="Book Antiqua"/>
          <w:b/>
          <w:bCs/>
          <w:color w:val="000000"/>
          <w:lang w:eastAsia="zh-CN"/>
        </w:rPr>
        <w:t>:</w:t>
      </w:r>
      <w:r w:rsidRPr="00736FFB">
        <w:rPr>
          <w:rFonts w:ascii="Book Antiqua" w:hAnsi="Book Antiqua"/>
          <w:b/>
          <w:bCs/>
          <w:color w:val="000000"/>
        </w:rPr>
        <w:t xml:space="preserve">   E-Editor</w:t>
      </w:r>
      <w:bookmarkEnd w:id="15"/>
      <w:r w:rsidRPr="00736FFB">
        <w:rPr>
          <w:rFonts w:ascii="Book Antiqua" w:eastAsia="宋体" w:hAnsi="Book Antiqua"/>
          <w:b/>
          <w:bCs/>
          <w:color w:val="000000"/>
          <w:lang w:eastAsia="zh-CN"/>
        </w:rPr>
        <w:t>:</w:t>
      </w:r>
    </w:p>
    <w:bookmarkEnd w:id="16"/>
    <w:bookmarkEnd w:id="17"/>
    <w:bookmarkEnd w:id="18"/>
    <w:bookmarkEnd w:id="19"/>
    <w:bookmarkEnd w:id="20"/>
    <w:bookmarkEnd w:id="21"/>
    <w:p w:rsidR="006F5B68" w:rsidRPr="00736FFB" w:rsidRDefault="006F5B68" w:rsidP="00404435">
      <w:pPr>
        <w:spacing w:line="360" w:lineRule="auto"/>
        <w:jc w:val="both"/>
        <w:rPr>
          <w:rFonts w:ascii="Book Antiqua" w:hAnsi="Book Antiqua"/>
          <w:b/>
        </w:rPr>
      </w:pPr>
      <w:r w:rsidRPr="00736FFB">
        <w:rPr>
          <w:rFonts w:ascii="Book Antiqua" w:hAnsi="Book Antiqua"/>
        </w:rPr>
        <w:br w:type="page"/>
      </w:r>
      <w:r w:rsidRPr="00736FFB">
        <w:rPr>
          <w:rFonts w:ascii="Book Antiqua" w:hAnsi="Book Antiqua"/>
          <w:b/>
        </w:rPr>
        <w:lastRenderedPageBreak/>
        <w:t>Table 1</w:t>
      </w:r>
      <w:r w:rsidRPr="00736FFB">
        <w:rPr>
          <w:rFonts w:ascii="Book Antiqua" w:eastAsia="宋体" w:hAnsi="Book Antiqua"/>
          <w:b/>
          <w:lang w:eastAsia="zh-CN"/>
        </w:rPr>
        <w:t xml:space="preserve"> </w:t>
      </w:r>
      <w:r w:rsidRPr="00736FFB">
        <w:rPr>
          <w:rFonts w:ascii="Book Antiqua" w:hAnsi="Book Antiqua"/>
          <w:b/>
        </w:rPr>
        <w:t>Scenario for chronic hepatitis B patients with various risk profiles</w:t>
      </w:r>
    </w:p>
    <w:tbl>
      <w:tblPr>
        <w:tblW w:w="0" w:type="auto"/>
        <w:tblInd w:w="144" w:type="dxa"/>
        <w:tblBorders>
          <w:top w:val="single" w:sz="4" w:space="0" w:color="auto"/>
          <w:bottom w:val="single" w:sz="4" w:space="0" w:color="auto"/>
        </w:tblBorders>
        <w:tblCellMar>
          <w:left w:w="0" w:type="dxa"/>
          <w:right w:w="0" w:type="dxa"/>
        </w:tblCellMar>
        <w:tblLook w:val="00A0" w:firstRow="1" w:lastRow="0" w:firstColumn="1" w:lastColumn="0" w:noHBand="0" w:noVBand="0"/>
      </w:tblPr>
      <w:tblGrid>
        <w:gridCol w:w="1621"/>
        <w:gridCol w:w="1446"/>
        <w:gridCol w:w="1447"/>
        <w:gridCol w:w="1359"/>
        <w:gridCol w:w="1534"/>
      </w:tblGrid>
      <w:tr w:rsidR="006F5B68" w:rsidRPr="00736FFB" w:rsidTr="0098057C">
        <w:trPr>
          <w:trHeight w:val="20"/>
        </w:trPr>
        <w:tc>
          <w:tcPr>
            <w:tcW w:w="1461" w:type="dxa"/>
            <w:tcBorders>
              <w:top w:val="single" w:sz="4" w:space="0" w:color="auto"/>
              <w:bottom w:val="single" w:sz="4" w:space="0" w:color="auto"/>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p>
          <w:p w:rsidR="006F5B68" w:rsidRPr="00736FFB" w:rsidRDefault="006F5B68" w:rsidP="00404435">
            <w:pPr>
              <w:spacing w:line="360" w:lineRule="auto"/>
              <w:jc w:val="both"/>
              <w:rPr>
                <w:rFonts w:ascii="Book Antiqua" w:hAnsi="Book Antiqua"/>
              </w:rPr>
            </w:pPr>
          </w:p>
        </w:tc>
        <w:tc>
          <w:tcPr>
            <w:tcW w:w="1446" w:type="dxa"/>
            <w:tcBorders>
              <w:top w:val="single" w:sz="4" w:space="0" w:color="auto"/>
              <w:bottom w:val="single" w:sz="4" w:space="0" w:color="auto"/>
            </w:tcBorders>
            <w:tcMar>
              <w:top w:w="72" w:type="dxa"/>
              <w:left w:w="144" w:type="dxa"/>
              <w:bottom w:w="72" w:type="dxa"/>
              <w:right w:w="144" w:type="dxa"/>
            </w:tcMar>
          </w:tcPr>
          <w:p w:rsidR="006F5B68" w:rsidRPr="0098057C" w:rsidRDefault="006F5B68" w:rsidP="00404435">
            <w:pPr>
              <w:spacing w:line="360" w:lineRule="auto"/>
              <w:jc w:val="both"/>
              <w:rPr>
                <w:rFonts w:ascii="Book Antiqua" w:hAnsi="Book Antiqua"/>
                <w:b/>
              </w:rPr>
            </w:pPr>
            <w:r w:rsidRPr="0098057C">
              <w:rPr>
                <w:rFonts w:ascii="Book Antiqua" w:hAnsi="Book Antiqua"/>
                <w:b/>
              </w:rPr>
              <w:t>Patient A</w:t>
            </w:r>
          </w:p>
        </w:tc>
        <w:tc>
          <w:tcPr>
            <w:tcW w:w="1447" w:type="dxa"/>
            <w:tcBorders>
              <w:top w:val="single" w:sz="4" w:space="0" w:color="auto"/>
              <w:bottom w:val="single" w:sz="4" w:space="0" w:color="auto"/>
            </w:tcBorders>
            <w:tcMar>
              <w:top w:w="72" w:type="dxa"/>
              <w:left w:w="144" w:type="dxa"/>
              <w:bottom w:w="72" w:type="dxa"/>
              <w:right w:w="144" w:type="dxa"/>
            </w:tcMar>
          </w:tcPr>
          <w:p w:rsidR="006F5B68" w:rsidRPr="0098057C" w:rsidRDefault="006F5B68" w:rsidP="00404435">
            <w:pPr>
              <w:spacing w:line="360" w:lineRule="auto"/>
              <w:jc w:val="both"/>
              <w:rPr>
                <w:rFonts w:ascii="Book Antiqua" w:hAnsi="Book Antiqua"/>
                <w:b/>
              </w:rPr>
            </w:pPr>
            <w:r w:rsidRPr="0098057C">
              <w:rPr>
                <w:rFonts w:ascii="Book Antiqua" w:hAnsi="Book Antiqua"/>
                <w:b/>
              </w:rPr>
              <w:t xml:space="preserve">Patient B </w:t>
            </w:r>
          </w:p>
        </w:tc>
        <w:tc>
          <w:tcPr>
            <w:tcW w:w="1359" w:type="dxa"/>
            <w:tcBorders>
              <w:top w:val="single" w:sz="4" w:space="0" w:color="auto"/>
              <w:bottom w:val="single" w:sz="4" w:space="0" w:color="auto"/>
            </w:tcBorders>
            <w:tcMar>
              <w:top w:w="72" w:type="dxa"/>
              <w:left w:w="144" w:type="dxa"/>
              <w:bottom w:w="72" w:type="dxa"/>
              <w:right w:w="144" w:type="dxa"/>
            </w:tcMar>
          </w:tcPr>
          <w:p w:rsidR="006F5B68" w:rsidRPr="0098057C" w:rsidRDefault="006F5B68" w:rsidP="00404435">
            <w:pPr>
              <w:spacing w:line="360" w:lineRule="auto"/>
              <w:jc w:val="both"/>
              <w:rPr>
                <w:rFonts w:ascii="Book Antiqua" w:hAnsi="Book Antiqua"/>
                <w:b/>
              </w:rPr>
            </w:pPr>
            <w:r w:rsidRPr="0098057C">
              <w:rPr>
                <w:rFonts w:ascii="Book Antiqua" w:hAnsi="Book Antiqua"/>
                <w:b/>
              </w:rPr>
              <w:t xml:space="preserve">Patient C </w:t>
            </w:r>
          </w:p>
        </w:tc>
        <w:tc>
          <w:tcPr>
            <w:tcW w:w="1534" w:type="dxa"/>
            <w:tcBorders>
              <w:top w:val="single" w:sz="4" w:space="0" w:color="auto"/>
              <w:bottom w:val="single" w:sz="4" w:space="0" w:color="auto"/>
            </w:tcBorders>
            <w:tcMar>
              <w:top w:w="72" w:type="dxa"/>
              <w:left w:w="144" w:type="dxa"/>
              <w:bottom w:w="72" w:type="dxa"/>
              <w:right w:w="144" w:type="dxa"/>
            </w:tcMar>
          </w:tcPr>
          <w:p w:rsidR="006F5B68" w:rsidRPr="0098057C" w:rsidRDefault="006F5B68" w:rsidP="00404435">
            <w:pPr>
              <w:spacing w:line="360" w:lineRule="auto"/>
              <w:jc w:val="both"/>
              <w:rPr>
                <w:rFonts w:ascii="Book Antiqua" w:hAnsi="Book Antiqua"/>
                <w:b/>
              </w:rPr>
            </w:pPr>
            <w:r w:rsidRPr="0098057C">
              <w:rPr>
                <w:rFonts w:ascii="Book Antiqua" w:hAnsi="Book Antiqua"/>
                <w:b/>
              </w:rPr>
              <w:t xml:space="preserve">Patient D </w:t>
            </w:r>
          </w:p>
        </w:tc>
      </w:tr>
      <w:tr w:rsidR="006F5B68" w:rsidRPr="00736FFB" w:rsidTr="0098057C">
        <w:trPr>
          <w:trHeight w:val="20"/>
        </w:trPr>
        <w:tc>
          <w:tcPr>
            <w:tcW w:w="1461" w:type="dxa"/>
            <w:tcBorders>
              <w:top w:val="single" w:sz="4" w:space="0" w:color="auto"/>
              <w:bottom w:val="nil"/>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Gender</w:t>
            </w:r>
          </w:p>
        </w:tc>
        <w:tc>
          <w:tcPr>
            <w:tcW w:w="1446" w:type="dxa"/>
            <w:tcBorders>
              <w:top w:val="single" w:sz="4" w:space="0" w:color="auto"/>
              <w:bottom w:val="nil"/>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Male</w:t>
            </w:r>
          </w:p>
        </w:tc>
        <w:tc>
          <w:tcPr>
            <w:tcW w:w="1447" w:type="dxa"/>
            <w:tcBorders>
              <w:top w:val="single" w:sz="4" w:space="0" w:color="auto"/>
              <w:bottom w:val="nil"/>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Female</w:t>
            </w:r>
          </w:p>
        </w:tc>
        <w:tc>
          <w:tcPr>
            <w:tcW w:w="1359" w:type="dxa"/>
            <w:tcBorders>
              <w:top w:val="single" w:sz="4" w:space="0" w:color="auto"/>
              <w:bottom w:val="nil"/>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Male</w:t>
            </w:r>
          </w:p>
        </w:tc>
        <w:tc>
          <w:tcPr>
            <w:tcW w:w="1534" w:type="dxa"/>
            <w:tcBorders>
              <w:top w:val="single" w:sz="4" w:space="0" w:color="auto"/>
              <w:bottom w:val="nil"/>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Female</w:t>
            </w:r>
          </w:p>
        </w:tc>
      </w:tr>
      <w:tr w:rsidR="006F5B68" w:rsidRPr="00736FFB" w:rsidTr="0098057C">
        <w:trPr>
          <w:trHeight w:val="20"/>
        </w:trPr>
        <w:tc>
          <w:tcPr>
            <w:tcW w:w="1461" w:type="dxa"/>
            <w:tcBorders>
              <w:top w:val="nil"/>
              <w:bottom w:val="nil"/>
            </w:tcBorders>
            <w:tcMar>
              <w:top w:w="72" w:type="dxa"/>
              <w:left w:w="144" w:type="dxa"/>
              <w:bottom w:w="72" w:type="dxa"/>
              <w:right w:w="144" w:type="dxa"/>
            </w:tcMar>
          </w:tcPr>
          <w:p w:rsidR="006F5B68" w:rsidRPr="0098057C" w:rsidRDefault="006F5B68" w:rsidP="0098057C">
            <w:pPr>
              <w:spacing w:line="360" w:lineRule="auto"/>
              <w:jc w:val="both"/>
              <w:rPr>
                <w:rFonts w:ascii="Book Antiqua" w:eastAsia="宋体" w:hAnsi="Book Antiqua"/>
                <w:lang w:eastAsia="zh-CN"/>
              </w:rPr>
            </w:pPr>
            <w:r>
              <w:rPr>
                <w:rFonts w:ascii="Book Antiqua" w:hAnsi="Book Antiqua"/>
              </w:rPr>
              <w:t>Age</w:t>
            </w:r>
            <w:r>
              <w:rPr>
                <w:rFonts w:ascii="Book Antiqua" w:eastAsia="宋体" w:hAnsi="Book Antiqua"/>
                <w:lang w:eastAsia="zh-CN"/>
              </w:rPr>
              <w:t xml:space="preserve"> (</w:t>
            </w:r>
            <w:proofErr w:type="spellStart"/>
            <w:r w:rsidRPr="00736FFB">
              <w:rPr>
                <w:rFonts w:ascii="Book Antiqua" w:hAnsi="Book Antiqua"/>
              </w:rPr>
              <w:t>yr</w:t>
            </w:r>
            <w:proofErr w:type="spellEnd"/>
            <w:r>
              <w:rPr>
                <w:rFonts w:ascii="Book Antiqua" w:eastAsia="宋体" w:hAnsi="Book Antiqua"/>
                <w:lang w:eastAsia="zh-CN"/>
              </w:rPr>
              <w:t>)</w:t>
            </w:r>
          </w:p>
        </w:tc>
        <w:tc>
          <w:tcPr>
            <w:tcW w:w="1446" w:type="dxa"/>
            <w:tcBorders>
              <w:top w:val="nil"/>
              <w:bottom w:val="nil"/>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70</w:t>
            </w:r>
          </w:p>
        </w:tc>
        <w:tc>
          <w:tcPr>
            <w:tcW w:w="1447" w:type="dxa"/>
            <w:tcBorders>
              <w:top w:val="nil"/>
              <w:bottom w:val="nil"/>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30</w:t>
            </w:r>
          </w:p>
        </w:tc>
        <w:tc>
          <w:tcPr>
            <w:tcW w:w="1359" w:type="dxa"/>
            <w:tcBorders>
              <w:top w:val="nil"/>
              <w:bottom w:val="nil"/>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55</w:t>
            </w:r>
          </w:p>
        </w:tc>
        <w:tc>
          <w:tcPr>
            <w:tcW w:w="1534" w:type="dxa"/>
            <w:tcBorders>
              <w:top w:val="nil"/>
              <w:bottom w:val="nil"/>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40</w:t>
            </w:r>
          </w:p>
        </w:tc>
      </w:tr>
      <w:tr w:rsidR="006F5B68" w:rsidRPr="00736FFB" w:rsidTr="0098057C">
        <w:trPr>
          <w:trHeight w:val="20"/>
        </w:trPr>
        <w:tc>
          <w:tcPr>
            <w:tcW w:w="1461" w:type="dxa"/>
            <w:tcBorders>
              <w:top w:val="nil"/>
              <w:bottom w:val="nil"/>
            </w:tcBorders>
            <w:tcMar>
              <w:top w:w="72" w:type="dxa"/>
              <w:left w:w="144" w:type="dxa"/>
              <w:bottom w:w="72" w:type="dxa"/>
              <w:right w:w="144" w:type="dxa"/>
            </w:tcMar>
          </w:tcPr>
          <w:p w:rsidR="006F5B68" w:rsidRPr="005175D6" w:rsidRDefault="006F5B68" w:rsidP="00105689">
            <w:pPr>
              <w:spacing w:line="360" w:lineRule="auto"/>
              <w:jc w:val="both"/>
              <w:rPr>
                <w:rFonts w:ascii="Book Antiqua" w:eastAsia="宋体" w:hAnsi="Book Antiqua"/>
                <w:lang w:eastAsia="zh-CN"/>
              </w:rPr>
            </w:pPr>
            <w:r w:rsidRPr="00736FFB">
              <w:rPr>
                <w:rFonts w:ascii="Book Antiqua" w:hAnsi="Book Antiqua"/>
              </w:rPr>
              <w:t>ALT</w:t>
            </w:r>
            <w:r w:rsidR="00105689" w:rsidRPr="005175D6">
              <w:rPr>
                <w:rFonts w:ascii="Book Antiqua" w:eastAsia="宋体" w:hAnsi="Book Antiqua" w:hint="eastAsia"/>
                <w:lang w:eastAsia="zh-CN"/>
              </w:rPr>
              <w:t xml:space="preserve"> (</w:t>
            </w:r>
            <w:r w:rsidRPr="00736FFB">
              <w:rPr>
                <w:rFonts w:ascii="Book Antiqua" w:hAnsi="Book Antiqua"/>
              </w:rPr>
              <w:t>U/L</w:t>
            </w:r>
            <w:r w:rsidR="00105689" w:rsidRPr="005175D6">
              <w:rPr>
                <w:rFonts w:ascii="Book Antiqua" w:eastAsia="宋体" w:hAnsi="Book Antiqua" w:hint="eastAsia"/>
                <w:lang w:eastAsia="zh-CN"/>
              </w:rPr>
              <w:t>)</w:t>
            </w:r>
          </w:p>
        </w:tc>
        <w:tc>
          <w:tcPr>
            <w:tcW w:w="1446" w:type="dxa"/>
            <w:tcBorders>
              <w:top w:val="nil"/>
              <w:bottom w:val="nil"/>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100</w:t>
            </w:r>
          </w:p>
        </w:tc>
        <w:tc>
          <w:tcPr>
            <w:tcW w:w="1447" w:type="dxa"/>
            <w:tcBorders>
              <w:top w:val="nil"/>
              <w:bottom w:val="nil"/>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15</w:t>
            </w:r>
          </w:p>
        </w:tc>
        <w:tc>
          <w:tcPr>
            <w:tcW w:w="1359" w:type="dxa"/>
            <w:tcBorders>
              <w:top w:val="nil"/>
              <w:bottom w:val="nil"/>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25 </w:t>
            </w:r>
          </w:p>
        </w:tc>
        <w:tc>
          <w:tcPr>
            <w:tcW w:w="1534" w:type="dxa"/>
            <w:tcBorders>
              <w:top w:val="nil"/>
              <w:bottom w:val="nil"/>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40</w:t>
            </w:r>
          </w:p>
        </w:tc>
      </w:tr>
      <w:tr w:rsidR="006F5B68" w:rsidRPr="00736FFB" w:rsidTr="0098057C">
        <w:trPr>
          <w:trHeight w:val="20"/>
        </w:trPr>
        <w:tc>
          <w:tcPr>
            <w:tcW w:w="1461" w:type="dxa"/>
            <w:tcBorders>
              <w:top w:val="nil"/>
              <w:bottom w:val="nil"/>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proofErr w:type="spellStart"/>
            <w:r w:rsidRPr="00736FFB">
              <w:rPr>
                <w:rFonts w:ascii="Book Antiqua" w:hAnsi="Book Antiqua"/>
              </w:rPr>
              <w:t>HBeAg</w:t>
            </w:r>
            <w:proofErr w:type="spellEnd"/>
          </w:p>
        </w:tc>
        <w:tc>
          <w:tcPr>
            <w:tcW w:w="1446" w:type="dxa"/>
            <w:tcBorders>
              <w:top w:val="nil"/>
              <w:bottom w:val="nil"/>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Positive</w:t>
            </w:r>
          </w:p>
        </w:tc>
        <w:tc>
          <w:tcPr>
            <w:tcW w:w="1447" w:type="dxa"/>
            <w:tcBorders>
              <w:top w:val="nil"/>
              <w:bottom w:val="nil"/>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Negative</w:t>
            </w:r>
          </w:p>
        </w:tc>
        <w:tc>
          <w:tcPr>
            <w:tcW w:w="1359" w:type="dxa"/>
            <w:tcBorders>
              <w:top w:val="nil"/>
              <w:bottom w:val="nil"/>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Negative  </w:t>
            </w:r>
          </w:p>
        </w:tc>
        <w:tc>
          <w:tcPr>
            <w:tcW w:w="1534" w:type="dxa"/>
            <w:tcBorders>
              <w:top w:val="nil"/>
              <w:bottom w:val="nil"/>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Negative</w:t>
            </w:r>
          </w:p>
        </w:tc>
      </w:tr>
      <w:tr w:rsidR="006F5B68" w:rsidRPr="00736FFB" w:rsidTr="0098057C">
        <w:trPr>
          <w:trHeight w:val="20"/>
        </w:trPr>
        <w:tc>
          <w:tcPr>
            <w:tcW w:w="1461" w:type="dxa"/>
            <w:tcBorders>
              <w:top w:val="nil"/>
              <w:bottom w:val="nil"/>
            </w:tcBorders>
            <w:tcMar>
              <w:top w:w="72" w:type="dxa"/>
              <w:left w:w="144" w:type="dxa"/>
              <w:bottom w:w="72" w:type="dxa"/>
              <w:right w:w="144" w:type="dxa"/>
            </w:tcMar>
          </w:tcPr>
          <w:p w:rsidR="006F5B68" w:rsidRPr="005175D6" w:rsidRDefault="006F5B68" w:rsidP="00105689">
            <w:pPr>
              <w:spacing w:line="360" w:lineRule="auto"/>
              <w:jc w:val="both"/>
              <w:rPr>
                <w:rFonts w:ascii="Book Antiqua" w:eastAsia="宋体" w:hAnsi="Book Antiqua"/>
                <w:lang w:eastAsia="zh-CN"/>
              </w:rPr>
            </w:pPr>
            <w:r w:rsidRPr="00736FFB">
              <w:rPr>
                <w:rFonts w:ascii="Book Antiqua" w:hAnsi="Book Antiqua"/>
              </w:rPr>
              <w:t>HBV DNA</w:t>
            </w:r>
            <w:r w:rsidR="00105689" w:rsidRPr="005175D6">
              <w:rPr>
                <w:rFonts w:ascii="Book Antiqua" w:eastAsia="宋体" w:hAnsi="Book Antiqua" w:hint="eastAsia"/>
                <w:lang w:eastAsia="zh-CN"/>
              </w:rPr>
              <w:t xml:space="preserve"> (</w:t>
            </w:r>
            <w:r w:rsidRPr="00736FFB">
              <w:rPr>
                <w:rFonts w:ascii="Book Antiqua" w:hAnsi="Book Antiqua"/>
              </w:rPr>
              <w:t>copies/mL</w:t>
            </w:r>
            <w:r w:rsidR="00105689" w:rsidRPr="005175D6">
              <w:rPr>
                <w:rFonts w:ascii="Book Antiqua" w:eastAsia="宋体" w:hAnsi="Book Antiqua" w:hint="eastAsia"/>
                <w:lang w:eastAsia="zh-CN"/>
              </w:rPr>
              <w:t>)</w:t>
            </w:r>
          </w:p>
        </w:tc>
        <w:tc>
          <w:tcPr>
            <w:tcW w:w="1446" w:type="dxa"/>
            <w:tcBorders>
              <w:top w:val="nil"/>
              <w:bottom w:val="nil"/>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&gt;</w:t>
            </w:r>
            <w:r>
              <w:rPr>
                <w:rFonts w:ascii="Book Antiqua" w:eastAsia="宋体" w:hAnsi="Book Antiqua"/>
                <w:lang w:eastAsia="zh-CN"/>
              </w:rPr>
              <w:t xml:space="preserve"> </w:t>
            </w:r>
            <w:r w:rsidRPr="00736FFB">
              <w:rPr>
                <w:rFonts w:ascii="Book Antiqua" w:hAnsi="Book Antiqua"/>
              </w:rPr>
              <w:t>10</w:t>
            </w:r>
            <w:r w:rsidRPr="00736FFB">
              <w:rPr>
                <w:rFonts w:ascii="Book Antiqua" w:hAnsi="Book Antiqua"/>
                <w:vertAlign w:val="superscript"/>
              </w:rPr>
              <w:t>6</w:t>
            </w:r>
          </w:p>
        </w:tc>
        <w:tc>
          <w:tcPr>
            <w:tcW w:w="1447" w:type="dxa"/>
            <w:tcBorders>
              <w:top w:val="nil"/>
              <w:bottom w:val="nil"/>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&lt;</w:t>
            </w:r>
            <w:r>
              <w:rPr>
                <w:rFonts w:ascii="Book Antiqua" w:eastAsia="宋体" w:hAnsi="Book Antiqua"/>
                <w:lang w:eastAsia="zh-CN"/>
              </w:rPr>
              <w:t xml:space="preserve"> </w:t>
            </w:r>
            <w:r w:rsidRPr="00736FFB">
              <w:rPr>
                <w:rFonts w:ascii="Book Antiqua" w:hAnsi="Book Antiqua"/>
              </w:rPr>
              <w:t>300</w:t>
            </w:r>
          </w:p>
        </w:tc>
        <w:tc>
          <w:tcPr>
            <w:tcW w:w="1359" w:type="dxa"/>
            <w:tcBorders>
              <w:top w:val="nil"/>
              <w:bottom w:val="nil"/>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10</w:t>
            </w:r>
            <w:r w:rsidRPr="00736FFB">
              <w:rPr>
                <w:rFonts w:ascii="Book Antiqua" w:hAnsi="Book Antiqua"/>
                <w:vertAlign w:val="superscript"/>
              </w:rPr>
              <w:t xml:space="preserve">4         </w:t>
            </w:r>
          </w:p>
        </w:tc>
        <w:tc>
          <w:tcPr>
            <w:tcW w:w="1534" w:type="dxa"/>
            <w:tcBorders>
              <w:top w:val="nil"/>
              <w:bottom w:val="nil"/>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10</w:t>
            </w:r>
            <w:r w:rsidRPr="00736FFB">
              <w:rPr>
                <w:rFonts w:ascii="Book Antiqua" w:hAnsi="Book Antiqua"/>
                <w:vertAlign w:val="superscript"/>
              </w:rPr>
              <w:t>5</w:t>
            </w:r>
          </w:p>
        </w:tc>
      </w:tr>
      <w:tr w:rsidR="006F5B68" w:rsidRPr="00736FFB" w:rsidTr="0098057C">
        <w:trPr>
          <w:trHeight w:val="20"/>
        </w:trPr>
        <w:tc>
          <w:tcPr>
            <w:tcW w:w="1461" w:type="dxa"/>
            <w:tcBorders>
              <w:top w:val="nil"/>
              <w:bottom w:val="single" w:sz="4" w:space="0" w:color="auto"/>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Risk of HCC </w:t>
            </w:r>
          </w:p>
        </w:tc>
        <w:tc>
          <w:tcPr>
            <w:tcW w:w="1446" w:type="dxa"/>
            <w:tcBorders>
              <w:top w:val="nil"/>
              <w:bottom w:val="single" w:sz="4" w:space="0" w:color="auto"/>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Very high</w:t>
            </w:r>
          </w:p>
          <w:p w:rsidR="006F5B68" w:rsidRPr="00736FFB" w:rsidRDefault="006F5B68" w:rsidP="00404435">
            <w:pPr>
              <w:spacing w:line="360" w:lineRule="auto"/>
              <w:jc w:val="both"/>
              <w:rPr>
                <w:rFonts w:ascii="Book Antiqua" w:hAnsi="Book Antiqua"/>
              </w:rPr>
            </w:pPr>
            <w:r w:rsidRPr="00736FFB">
              <w:rPr>
                <w:rFonts w:ascii="Book Antiqua" w:hAnsi="Book Antiqua"/>
              </w:rPr>
              <w:t>(but the exact risk is unknown)</w:t>
            </w:r>
          </w:p>
        </w:tc>
        <w:tc>
          <w:tcPr>
            <w:tcW w:w="1447" w:type="dxa"/>
            <w:tcBorders>
              <w:top w:val="nil"/>
              <w:bottom w:val="single" w:sz="4" w:space="0" w:color="auto"/>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Very low</w:t>
            </w:r>
          </w:p>
          <w:p w:rsidR="006F5B68" w:rsidRPr="00736FFB" w:rsidRDefault="006F5B68" w:rsidP="00404435">
            <w:pPr>
              <w:spacing w:line="360" w:lineRule="auto"/>
              <w:jc w:val="both"/>
              <w:rPr>
                <w:rFonts w:ascii="Book Antiqua" w:hAnsi="Book Antiqua"/>
              </w:rPr>
            </w:pPr>
            <w:r w:rsidRPr="00736FFB">
              <w:rPr>
                <w:rFonts w:ascii="Book Antiqua" w:hAnsi="Book Antiqua"/>
              </w:rPr>
              <w:t>(but the exact risk is unknown)</w:t>
            </w:r>
          </w:p>
        </w:tc>
        <w:tc>
          <w:tcPr>
            <w:tcW w:w="1359" w:type="dxa"/>
            <w:tcBorders>
              <w:top w:val="nil"/>
              <w:bottom w:val="single" w:sz="4" w:space="0" w:color="auto"/>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Unknown</w:t>
            </w:r>
          </w:p>
        </w:tc>
        <w:tc>
          <w:tcPr>
            <w:tcW w:w="1534" w:type="dxa"/>
            <w:tcBorders>
              <w:top w:val="nil"/>
              <w:bottom w:val="single" w:sz="4" w:space="0" w:color="auto"/>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Unknown</w:t>
            </w:r>
          </w:p>
        </w:tc>
      </w:tr>
    </w:tbl>
    <w:p w:rsidR="006F5B68" w:rsidRPr="00736FFB" w:rsidRDefault="006F5B68" w:rsidP="00404435">
      <w:pPr>
        <w:spacing w:line="360" w:lineRule="auto"/>
        <w:jc w:val="both"/>
        <w:rPr>
          <w:rFonts w:ascii="Book Antiqua" w:hAnsi="Book Antiqua"/>
        </w:rPr>
      </w:pPr>
    </w:p>
    <w:p w:rsidR="006F5B68" w:rsidRPr="00736FFB" w:rsidRDefault="006F5B68" w:rsidP="00404435">
      <w:pPr>
        <w:spacing w:line="360" w:lineRule="auto"/>
        <w:jc w:val="both"/>
        <w:rPr>
          <w:rFonts w:ascii="Book Antiqua" w:hAnsi="Book Antiqua"/>
          <w:b/>
        </w:rPr>
      </w:pPr>
      <w:r w:rsidRPr="00736FFB">
        <w:rPr>
          <w:rFonts w:ascii="Book Antiqua" w:hAnsi="Book Antiqua"/>
        </w:rPr>
        <w:br w:type="page"/>
      </w:r>
      <w:r w:rsidRPr="00736FFB">
        <w:rPr>
          <w:rFonts w:ascii="Book Antiqua" w:hAnsi="Book Antiqua"/>
          <w:b/>
        </w:rPr>
        <w:lastRenderedPageBreak/>
        <w:t>Table 2</w:t>
      </w:r>
      <w:r w:rsidRPr="00736FFB">
        <w:rPr>
          <w:rFonts w:ascii="Book Antiqua" w:eastAsia="宋体" w:hAnsi="Book Antiqua"/>
          <w:b/>
          <w:lang w:eastAsia="zh-CN"/>
        </w:rPr>
        <w:t xml:space="preserve"> </w:t>
      </w:r>
      <w:r w:rsidRPr="00736FFB">
        <w:rPr>
          <w:rFonts w:ascii="Book Antiqua" w:hAnsi="Book Antiqua"/>
          <w:b/>
        </w:rPr>
        <w:t>The hepatocellular carcinoma risk calculators for patients with chronic hepatitis B which have been developed before 2011</w:t>
      </w:r>
    </w:p>
    <w:tbl>
      <w:tblPr>
        <w:tblW w:w="10056" w:type="dxa"/>
        <w:tblInd w:w="-565" w:type="dxa"/>
        <w:tblBorders>
          <w:top w:val="single" w:sz="4" w:space="0" w:color="auto"/>
          <w:bottom w:val="single" w:sz="4" w:space="0" w:color="auto"/>
        </w:tblBorders>
        <w:tblLayout w:type="fixed"/>
        <w:tblCellMar>
          <w:left w:w="0" w:type="dxa"/>
          <w:right w:w="0" w:type="dxa"/>
        </w:tblCellMar>
        <w:tblLook w:val="00A0" w:firstRow="1" w:lastRow="0" w:firstColumn="1" w:lastColumn="0" w:noHBand="0" w:noVBand="0"/>
      </w:tblPr>
      <w:tblGrid>
        <w:gridCol w:w="2011"/>
        <w:gridCol w:w="2011"/>
        <w:gridCol w:w="2011"/>
        <w:gridCol w:w="1906"/>
        <w:gridCol w:w="2117"/>
      </w:tblGrid>
      <w:tr w:rsidR="006F5B68" w:rsidRPr="00736FFB" w:rsidTr="00D23011">
        <w:trPr>
          <w:trHeight w:val="213"/>
        </w:trPr>
        <w:tc>
          <w:tcPr>
            <w:tcW w:w="2011" w:type="dxa"/>
            <w:tcBorders>
              <w:top w:val="single" w:sz="4" w:space="0" w:color="auto"/>
              <w:bottom w:val="single" w:sz="4" w:space="0" w:color="auto"/>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p>
        </w:tc>
        <w:tc>
          <w:tcPr>
            <w:tcW w:w="2011" w:type="dxa"/>
            <w:tcBorders>
              <w:top w:val="single" w:sz="4" w:space="0" w:color="auto"/>
              <w:bottom w:val="single" w:sz="4" w:space="0" w:color="auto"/>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b/>
                <w:bCs/>
              </w:rPr>
              <w:t>IPM</w:t>
            </w:r>
            <w:r w:rsidRPr="00736FFB">
              <w:rPr>
                <w:rFonts w:ascii="Book Antiqua" w:hAnsi="Book Antiqua"/>
                <w:b/>
                <w:bCs/>
                <w:noProof/>
                <w:vertAlign w:val="superscript"/>
              </w:rPr>
              <w:t>[12]</w:t>
            </w:r>
          </w:p>
        </w:tc>
        <w:tc>
          <w:tcPr>
            <w:tcW w:w="2011" w:type="dxa"/>
            <w:tcBorders>
              <w:top w:val="single" w:sz="4" w:space="0" w:color="auto"/>
              <w:bottom w:val="single" w:sz="4" w:space="0" w:color="auto"/>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b/>
                <w:bCs/>
              </w:rPr>
              <w:t>GAG-HCC Risk Score</w:t>
            </w:r>
            <w:r w:rsidRPr="00736FFB">
              <w:rPr>
                <w:rFonts w:ascii="Book Antiqua" w:hAnsi="Book Antiqua"/>
                <w:b/>
                <w:bCs/>
                <w:noProof/>
                <w:vertAlign w:val="superscript"/>
              </w:rPr>
              <w:t>[11]</w:t>
            </w:r>
          </w:p>
        </w:tc>
        <w:tc>
          <w:tcPr>
            <w:tcW w:w="1906" w:type="dxa"/>
            <w:tcBorders>
              <w:top w:val="single" w:sz="4" w:space="0" w:color="auto"/>
              <w:bottom w:val="single" w:sz="4" w:space="0" w:color="auto"/>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b/>
                <w:bCs/>
              </w:rPr>
              <w:t>CUHK Clinical Scoring System</w:t>
            </w:r>
            <w:r w:rsidRPr="00736FFB">
              <w:rPr>
                <w:rFonts w:ascii="Book Antiqua" w:hAnsi="Book Antiqua"/>
                <w:b/>
                <w:bCs/>
                <w:noProof/>
                <w:vertAlign w:val="superscript"/>
              </w:rPr>
              <w:t>[10]</w:t>
            </w:r>
          </w:p>
        </w:tc>
        <w:tc>
          <w:tcPr>
            <w:tcW w:w="2117" w:type="dxa"/>
            <w:tcBorders>
              <w:top w:val="single" w:sz="4" w:space="0" w:color="auto"/>
              <w:bottom w:val="single" w:sz="4" w:space="0" w:color="auto"/>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b/>
                <w:bCs/>
              </w:rPr>
              <w:t xml:space="preserve">REVEAL </w:t>
            </w:r>
            <w:proofErr w:type="spellStart"/>
            <w:r w:rsidRPr="00736FFB">
              <w:rPr>
                <w:rFonts w:ascii="Book Antiqua" w:hAnsi="Book Antiqua"/>
                <w:b/>
                <w:bCs/>
              </w:rPr>
              <w:t>Nomograms</w:t>
            </w:r>
            <w:proofErr w:type="spellEnd"/>
            <w:r w:rsidRPr="00736FFB">
              <w:rPr>
                <w:rFonts w:ascii="Book Antiqua" w:hAnsi="Book Antiqua"/>
                <w:b/>
                <w:bCs/>
                <w:noProof/>
                <w:vertAlign w:val="superscript"/>
              </w:rPr>
              <w:t>[9]</w:t>
            </w:r>
          </w:p>
        </w:tc>
      </w:tr>
      <w:tr w:rsidR="006F5B68" w:rsidRPr="00736FFB" w:rsidTr="00D23011">
        <w:tc>
          <w:tcPr>
            <w:tcW w:w="2011" w:type="dxa"/>
            <w:tcBorders>
              <w:top w:val="single" w:sz="4" w:space="0" w:color="auto"/>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Area</w:t>
            </w:r>
          </w:p>
        </w:tc>
        <w:tc>
          <w:tcPr>
            <w:tcW w:w="2011" w:type="dxa"/>
            <w:tcBorders>
              <w:top w:val="single" w:sz="4" w:space="0" w:color="auto"/>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Korea</w:t>
            </w:r>
          </w:p>
        </w:tc>
        <w:tc>
          <w:tcPr>
            <w:tcW w:w="2011" w:type="dxa"/>
            <w:tcBorders>
              <w:top w:val="single" w:sz="4" w:space="0" w:color="auto"/>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Hong Kong</w:t>
            </w:r>
          </w:p>
        </w:tc>
        <w:tc>
          <w:tcPr>
            <w:tcW w:w="1906" w:type="dxa"/>
            <w:tcBorders>
              <w:top w:val="single" w:sz="4" w:space="0" w:color="auto"/>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Hong Kong</w:t>
            </w:r>
          </w:p>
        </w:tc>
        <w:tc>
          <w:tcPr>
            <w:tcW w:w="2117" w:type="dxa"/>
            <w:tcBorders>
              <w:top w:val="single" w:sz="4" w:space="0" w:color="auto"/>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Taiwan</w:t>
            </w:r>
          </w:p>
        </w:tc>
      </w:tr>
      <w:tr w:rsidR="006F5B68" w:rsidRPr="00736FFB" w:rsidTr="00D23011">
        <w:tc>
          <w:tcPr>
            <w:tcW w:w="2011"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Origin of subjects</w:t>
            </w:r>
          </w:p>
        </w:tc>
        <w:tc>
          <w:tcPr>
            <w:tcW w:w="2011"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Hospital-based</w:t>
            </w:r>
          </w:p>
        </w:tc>
        <w:tc>
          <w:tcPr>
            <w:tcW w:w="2011"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Hospital-based</w:t>
            </w:r>
          </w:p>
        </w:tc>
        <w:tc>
          <w:tcPr>
            <w:tcW w:w="1906"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Hospital-based</w:t>
            </w:r>
          </w:p>
        </w:tc>
        <w:tc>
          <w:tcPr>
            <w:tcW w:w="2117"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Community-based</w:t>
            </w:r>
          </w:p>
        </w:tc>
      </w:tr>
      <w:tr w:rsidR="006F5B68" w:rsidRPr="00736FFB" w:rsidTr="00D23011">
        <w:trPr>
          <w:trHeight w:val="213"/>
        </w:trPr>
        <w:tc>
          <w:tcPr>
            <w:tcW w:w="2011"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No. of subjects for derivation</w:t>
            </w:r>
          </w:p>
        </w:tc>
        <w:tc>
          <w:tcPr>
            <w:tcW w:w="2011"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Pr>
                <w:rFonts w:ascii="Book Antiqua" w:hAnsi="Book Antiqua"/>
              </w:rPr>
              <w:t>2</w:t>
            </w:r>
            <w:r w:rsidRPr="00736FFB">
              <w:rPr>
                <w:rFonts w:ascii="Book Antiqua" w:hAnsi="Book Antiqua"/>
              </w:rPr>
              <w:t>020</w:t>
            </w:r>
          </w:p>
        </w:tc>
        <w:tc>
          <w:tcPr>
            <w:tcW w:w="2011"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820</w:t>
            </w:r>
          </w:p>
        </w:tc>
        <w:tc>
          <w:tcPr>
            <w:tcW w:w="1906"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Pr>
                <w:rFonts w:ascii="Book Antiqua" w:hAnsi="Book Antiqua"/>
              </w:rPr>
              <w:t>1</w:t>
            </w:r>
            <w:r w:rsidRPr="00736FFB">
              <w:rPr>
                <w:rFonts w:ascii="Book Antiqua" w:hAnsi="Book Antiqua"/>
              </w:rPr>
              <w:t>005</w:t>
            </w:r>
          </w:p>
        </w:tc>
        <w:tc>
          <w:tcPr>
            <w:tcW w:w="2117"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Pr>
                <w:rFonts w:ascii="Book Antiqua" w:hAnsi="Book Antiqua"/>
              </w:rPr>
              <w:t>2</w:t>
            </w:r>
            <w:r w:rsidRPr="00736FFB">
              <w:rPr>
                <w:rFonts w:ascii="Book Antiqua" w:hAnsi="Book Antiqua"/>
              </w:rPr>
              <w:t>435</w:t>
            </w:r>
          </w:p>
        </w:tc>
      </w:tr>
      <w:tr w:rsidR="006F5B68" w:rsidRPr="00736FFB" w:rsidTr="00D23011">
        <w:trPr>
          <w:trHeight w:val="213"/>
        </w:trPr>
        <w:tc>
          <w:tcPr>
            <w:tcW w:w="2011"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Feature of subjects</w:t>
            </w:r>
          </w:p>
        </w:tc>
        <w:tc>
          <w:tcPr>
            <w:tcW w:w="2011"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Not limited to CHB</w:t>
            </w:r>
          </w:p>
        </w:tc>
        <w:tc>
          <w:tcPr>
            <w:tcW w:w="2011"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CHB</w:t>
            </w:r>
          </w:p>
        </w:tc>
        <w:tc>
          <w:tcPr>
            <w:tcW w:w="1906"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CHB</w:t>
            </w:r>
          </w:p>
        </w:tc>
        <w:tc>
          <w:tcPr>
            <w:tcW w:w="2117"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CHB</w:t>
            </w:r>
          </w:p>
        </w:tc>
      </w:tr>
      <w:tr w:rsidR="006F5B68" w:rsidRPr="00736FFB" w:rsidTr="00D23011">
        <w:trPr>
          <w:trHeight w:val="213"/>
        </w:trPr>
        <w:tc>
          <w:tcPr>
            <w:tcW w:w="2011"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No. of Model</w:t>
            </w:r>
          </w:p>
        </w:tc>
        <w:tc>
          <w:tcPr>
            <w:tcW w:w="2011"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1</w:t>
            </w:r>
          </w:p>
        </w:tc>
        <w:tc>
          <w:tcPr>
            <w:tcW w:w="2011"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1</w:t>
            </w:r>
          </w:p>
        </w:tc>
        <w:tc>
          <w:tcPr>
            <w:tcW w:w="1906"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1</w:t>
            </w:r>
          </w:p>
        </w:tc>
        <w:tc>
          <w:tcPr>
            <w:tcW w:w="2117"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3</w:t>
            </w:r>
          </w:p>
        </w:tc>
      </w:tr>
      <w:tr w:rsidR="006F5B68" w:rsidRPr="00736FFB" w:rsidTr="00D23011">
        <w:trPr>
          <w:trHeight w:val="583"/>
        </w:trPr>
        <w:tc>
          <w:tcPr>
            <w:tcW w:w="2011"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Risk predictors</w:t>
            </w:r>
          </w:p>
        </w:tc>
        <w:tc>
          <w:tcPr>
            <w:tcW w:w="2011" w:type="dxa"/>
            <w:tcMar>
              <w:top w:w="72" w:type="dxa"/>
              <w:left w:w="144" w:type="dxa"/>
              <w:bottom w:w="72" w:type="dxa"/>
              <w:right w:w="144" w:type="dxa"/>
            </w:tcMar>
          </w:tcPr>
          <w:p w:rsidR="006F5B68" w:rsidRPr="00736FFB" w:rsidRDefault="006F5B68" w:rsidP="00404435">
            <w:pPr>
              <w:numPr>
                <w:ilvl w:val="0"/>
                <w:numId w:val="2"/>
              </w:numPr>
              <w:tabs>
                <w:tab w:val="clear" w:pos="720"/>
                <w:tab w:val="num" w:pos="114"/>
              </w:tabs>
              <w:spacing w:line="360" w:lineRule="auto"/>
              <w:ind w:left="0" w:hanging="142"/>
              <w:jc w:val="both"/>
              <w:rPr>
                <w:rFonts w:ascii="Book Antiqua" w:hAnsi="Book Antiqua"/>
              </w:rPr>
            </w:pPr>
            <w:r w:rsidRPr="00736FFB">
              <w:rPr>
                <w:rFonts w:ascii="Book Antiqua" w:hAnsi="Book Antiqua"/>
              </w:rPr>
              <w:t>Gender</w:t>
            </w:r>
          </w:p>
          <w:p w:rsidR="006F5B68" w:rsidRPr="00736FFB" w:rsidRDefault="006F5B68" w:rsidP="00404435">
            <w:pPr>
              <w:numPr>
                <w:ilvl w:val="0"/>
                <w:numId w:val="2"/>
              </w:numPr>
              <w:tabs>
                <w:tab w:val="clear" w:pos="720"/>
                <w:tab w:val="num" w:pos="114"/>
              </w:tabs>
              <w:spacing w:line="360" w:lineRule="auto"/>
              <w:ind w:left="0" w:hanging="142"/>
              <w:jc w:val="both"/>
              <w:rPr>
                <w:rFonts w:ascii="Book Antiqua" w:hAnsi="Book Antiqua"/>
              </w:rPr>
            </w:pPr>
            <w:r w:rsidRPr="00736FFB">
              <w:rPr>
                <w:rFonts w:ascii="Book Antiqua" w:hAnsi="Book Antiqua"/>
              </w:rPr>
              <w:t>Age</w:t>
            </w:r>
          </w:p>
          <w:p w:rsidR="006F5B68" w:rsidRPr="00736FFB" w:rsidRDefault="006F5B68" w:rsidP="00404435">
            <w:pPr>
              <w:numPr>
                <w:ilvl w:val="0"/>
                <w:numId w:val="2"/>
              </w:numPr>
              <w:tabs>
                <w:tab w:val="clear" w:pos="720"/>
                <w:tab w:val="num" w:pos="114"/>
              </w:tabs>
              <w:spacing w:line="360" w:lineRule="auto"/>
              <w:ind w:left="0" w:hanging="142"/>
              <w:jc w:val="both"/>
              <w:rPr>
                <w:rFonts w:ascii="Book Antiqua" w:hAnsi="Book Antiqua"/>
              </w:rPr>
            </w:pPr>
            <w:r w:rsidRPr="00736FFB">
              <w:rPr>
                <w:rFonts w:ascii="Book Antiqua" w:hAnsi="Book Antiqua"/>
              </w:rPr>
              <w:t>HCV infection</w:t>
            </w:r>
          </w:p>
          <w:p w:rsidR="006F5B68" w:rsidRPr="00736FFB" w:rsidRDefault="006F5B68" w:rsidP="00404435">
            <w:pPr>
              <w:numPr>
                <w:ilvl w:val="0"/>
                <w:numId w:val="2"/>
              </w:numPr>
              <w:tabs>
                <w:tab w:val="clear" w:pos="720"/>
                <w:tab w:val="num" w:pos="114"/>
              </w:tabs>
              <w:spacing w:line="360" w:lineRule="auto"/>
              <w:ind w:left="0" w:hanging="142"/>
              <w:jc w:val="both"/>
              <w:rPr>
                <w:rFonts w:ascii="Book Antiqua" w:hAnsi="Book Antiqua"/>
              </w:rPr>
            </w:pPr>
            <w:r w:rsidRPr="00736FFB">
              <w:rPr>
                <w:rFonts w:ascii="Book Antiqua" w:hAnsi="Book Antiqua"/>
              </w:rPr>
              <w:t>HBV infection</w:t>
            </w:r>
          </w:p>
          <w:p w:rsidR="006F5B68" w:rsidRPr="00736FFB" w:rsidRDefault="006F5B68" w:rsidP="00404435">
            <w:pPr>
              <w:numPr>
                <w:ilvl w:val="0"/>
                <w:numId w:val="2"/>
              </w:numPr>
              <w:tabs>
                <w:tab w:val="clear" w:pos="720"/>
                <w:tab w:val="num" w:pos="114"/>
              </w:tabs>
              <w:spacing w:line="360" w:lineRule="auto"/>
              <w:ind w:left="0" w:hanging="142"/>
              <w:jc w:val="both"/>
              <w:rPr>
                <w:rFonts w:ascii="Book Antiqua" w:hAnsi="Book Antiqua"/>
              </w:rPr>
            </w:pPr>
            <w:r w:rsidRPr="00736FFB">
              <w:rPr>
                <w:rFonts w:ascii="Book Antiqua" w:hAnsi="Book Antiqua"/>
              </w:rPr>
              <w:t>AFP level</w:t>
            </w:r>
          </w:p>
          <w:p w:rsidR="006F5B68" w:rsidRPr="00736FFB" w:rsidRDefault="006F5B68" w:rsidP="00404435">
            <w:pPr>
              <w:numPr>
                <w:ilvl w:val="0"/>
                <w:numId w:val="2"/>
              </w:numPr>
              <w:tabs>
                <w:tab w:val="clear" w:pos="720"/>
                <w:tab w:val="num" w:pos="114"/>
              </w:tabs>
              <w:spacing w:line="360" w:lineRule="auto"/>
              <w:ind w:left="0" w:hanging="142"/>
              <w:jc w:val="both"/>
              <w:rPr>
                <w:rFonts w:ascii="Book Antiqua" w:hAnsi="Book Antiqua"/>
              </w:rPr>
            </w:pPr>
            <w:r w:rsidRPr="00736FFB">
              <w:rPr>
                <w:rFonts w:ascii="Book Antiqua" w:hAnsi="Book Antiqua"/>
              </w:rPr>
              <w:t>Chronic hepatitis</w:t>
            </w:r>
          </w:p>
          <w:p w:rsidR="006F5B68" w:rsidRPr="00736FFB" w:rsidRDefault="006F5B68" w:rsidP="00404435">
            <w:pPr>
              <w:numPr>
                <w:ilvl w:val="0"/>
                <w:numId w:val="2"/>
              </w:numPr>
              <w:tabs>
                <w:tab w:val="clear" w:pos="720"/>
                <w:tab w:val="num" w:pos="114"/>
              </w:tabs>
              <w:spacing w:line="360" w:lineRule="auto"/>
              <w:ind w:left="0" w:hanging="142"/>
              <w:jc w:val="both"/>
              <w:rPr>
                <w:rFonts w:ascii="Book Antiqua" w:hAnsi="Book Antiqua"/>
              </w:rPr>
            </w:pPr>
            <w:r w:rsidRPr="00736FFB">
              <w:rPr>
                <w:rFonts w:ascii="Book Antiqua" w:hAnsi="Book Antiqua"/>
              </w:rPr>
              <w:t>Cirrhosis</w:t>
            </w:r>
          </w:p>
          <w:p w:rsidR="006F5B68" w:rsidRPr="00736FFB" w:rsidRDefault="006F5B68" w:rsidP="00404435">
            <w:pPr>
              <w:numPr>
                <w:ilvl w:val="0"/>
                <w:numId w:val="2"/>
              </w:numPr>
              <w:tabs>
                <w:tab w:val="clear" w:pos="720"/>
                <w:tab w:val="num" w:pos="114"/>
              </w:tabs>
              <w:spacing w:line="360" w:lineRule="auto"/>
              <w:ind w:left="0" w:hanging="142"/>
              <w:jc w:val="both"/>
              <w:rPr>
                <w:rFonts w:ascii="Book Antiqua" w:hAnsi="Book Antiqua"/>
              </w:rPr>
            </w:pPr>
            <w:r w:rsidRPr="00736FFB">
              <w:rPr>
                <w:rFonts w:ascii="Book Antiqua" w:hAnsi="Book Antiqua"/>
              </w:rPr>
              <w:t xml:space="preserve">Heavy </w:t>
            </w:r>
            <w:r w:rsidRPr="00736FFB">
              <w:rPr>
                <w:rFonts w:ascii="Book Antiqua" w:hAnsi="Book Antiqua"/>
              </w:rPr>
              <w:lastRenderedPageBreak/>
              <w:t>alcoholics</w:t>
            </w:r>
          </w:p>
          <w:p w:rsidR="006F5B68" w:rsidRPr="00736FFB" w:rsidRDefault="006F5B68" w:rsidP="00404435">
            <w:pPr>
              <w:numPr>
                <w:ilvl w:val="0"/>
                <w:numId w:val="2"/>
              </w:numPr>
              <w:tabs>
                <w:tab w:val="clear" w:pos="720"/>
                <w:tab w:val="num" w:pos="114"/>
              </w:tabs>
              <w:spacing w:line="360" w:lineRule="auto"/>
              <w:ind w:left="0" w:hanging="142"/>
              <w:jc w:val="both"/>
              <w:rPr>
                <w:rFonts w:ascii="Book Antiqua" w:hAnsi="Book Antiqua"/>
              </w:rPr>
            </w:pPr>
            <w:r w:rsidRPr="00736FFB">
              <w:rPr>
                <w:rFonts w:ascii="Book Antiqua" w:hAnsi="Book Antiqua"/>
              </w:rPr>
              <w:t>ALT level</w:t>
            </w:r>
          </w:p>
        </w:tc>
        <w:tc>
          <w:tcPr>
            <w:tcW w:w="2011" w:type="dxa"/>
            <w:tcMar>
              <w:top w:w="72" w:type="dxa"/>
              <w:left w:w="144" w:type="dxa"/>
              <w:bottom w:w="72" w:type="dxa"/>
              <w:right w:w="144" w:type="dxa"/>
            </w:tcMar>
          </w:tcPr>
          <w:p w:rsidR="006F5B68" w:rsidRPr="00736FFB" w:rsidRDefault="006F5B68" w:rsidP="00404435">
            <w:pPr>
              <w:numPr>
                <w:ilvl w:val="0"/>
                <w:numId w:val="2"/>
              </w:numPr>
              <w:tabs>
                <w:tab w:val="clear" w:pos="720"/>
                <w:tab w:val="num" w:pos="87"/>
              </w:tabs>
              <w:spacing w:line="360" w:lineRule="auto"/>
              <w:ind w:left="0" w:hanging="142"/>
              <w:jc w:val="both"/>
              <w:rPr>
                <w:rFonts w:ascii="Book Antiqua" w:hAnsi="Book Antiqua"/>
              </w:rPr>
            </w:pPr>
            <w:r w:rsidRPr="00736FFB">
              <w:rPr>
                <w:rFonts w:ascii="Book Antiqua" w:hAnsi="Book Antiqua"/>
              </w:rPr>
              <w:lastRenderedPageBreak/>
              <w:t>Gender</w:t>
            </w:r>
          </w:p>
          <w:p w:rsidR="006F5B68" w:rsidRPr="00736FFB" w:rsidRDefault="006F5B68" w:rsidP="00404435">
            <w:pPr>
              <w:numPr>
                <w:ilvl w:val="0"/>
                <w:numId w:val="2"/>
              </w:numPr>
              <w:tabs>
                <w:tab w:val="clear" w:pos="720"/>
                <w:tab w:val="num" w:pos="87"/>
              </w:tabs>
              <w:spacing w:line="360" w:lineRule="auto"/>
              <w:ind w:left="0" w:hanging="142"/>
              <w:jc w:val="both"/>
              <w:rPr>
                <w:rFonts w:ascii="Book Antiqua" w:hAnsi="Book Antiqua"/>
              </w:rPr>
            </w:pPr>
            <w:r w:rsidRPr="00736FFB">
              <w:rPr>
                <w:rFonts w:ascii="Book Antiqua" w:hAnsi="Book Antiqua"/>
              </w:rPr>
              <w:t>Age</w:t>
            </w:r>
          </w:p>
          <w:p w:rsidR="006F5B68" w:rsidRPr="00736FFB" w:rsidRDefault="006F5B68" w:rsidP="00404435">
            <w:pPr>
              <w:numPr>
                <w:ilvl w:val="0"/>
                <w:numId w:val="2"/>
              </w:numPr>
              <w:tabs>
                <w:tab w:val="clear" w:pos="720"/>
                <w:tab w:val="num" w:pos="87"/>
              </w:tabs>
              <w:spacing w:line="360" w:lineRule="auto"/>
              <w:ind w:left="0" w:hanging="142"/>
              <w:jc w:val="both"/>
              <w:rPr>
                <w:rFonts w:ascii="Book Antiqua" w:hAnsi="Book Antiqua"/>
              </w:rPr>
            </w:pPr>
            <w:r w:rsidRPr="00736FFB">
              <w:rPr>
                <w:rFonts w:ascii="Book Antiqua" w:hAnsi="Book Antiqua"/>
              </w:rPr>
              <w:t>HBV DNA level</w:t>
            </w:r>
          </w:p>
          <w:p w:rsidR="006F5B68" w:rsidRPr="00736FFB" w:rsidRDefault="006F5B68" w:rsidP="00404435">
            <w:pPr>
              <w:numPr>
                <w:ilvl w:val="0"/>
                <w:numId w:val="2"/>
              </w:numPr>
              <w:tabs>
                <w:tab w:val="clear" w:pos="720"/>
                <w:tab w:val="num" w:pos="87"/>
              </w:tabs>
              <w:spacing w:line="360" w:lineRule="auto"/>
              <w:ind w:left="0" w:hanging="142"/>
              <w:jc w:val="both"/>
              <w:rPr>
                <w:rFonts w:ascii="Book Antiqua" w:hAnsi="Book Antiqua"/>
              </w:rPr>
            </w:pPr>
            <w:r w:rsidRPr="00736FFB">
              <w:rPr>
                <w:rFonts w:ascii="Book Antiqua" w:hAnsi="Book Antiqua"/>
              </w:rPr>
              <w:t>CP mutations</w:t>
            </w:r>
          </w:p>
          <w:p w:rsidR="006F5B68" w:rsidRPr="00736FFB" w:rsidRDefault="006F5B68" w:rsidP="00404435">
            <w:pPr>
              <w:numPr>
                <w:ilvl w:val="0"/>
                <w:numId w:val="2"/>
              </w:numPr>
              <w:tabs>
                <w:tab w:val="clear" w:pos="720"/>
                <w:tab w:val="num" w:pos="87"/>
              </w:tabs>
              <w:spacing w:line="360" w:lineRule="auto"/>
              <w:ind w:left="0" w:hanging="142"/>
              <w:jc w:val="both"/>
              <w:rPr>
                <w:rFonts w:ascii="Book Antiqua" w:hAnsi="Book Antiqua"/>
              </w:rPr>
            </w:pPr>
            <w:r w:rsidRPr="00736FFB">
              <w:rPr>
                <w:rFonts w:ascii="Book Antiqua" w:hAnsi="Book Antiqua"/>
              </w:rPr>
              <w:t>Cirrhosis</w:t>
            </w:r>
          </w:p>
        </w:tc>
        <w:tc>
          <w:tcPr>
            <w:tcW w:w="1906" w:type="dxa"/>
            <w:tcMar>
              <w:top w:w="72" w:type="dxa"/>
              <w:left w:w="144" w:type="dxa"/>
              <w:bottom w:w="72" w:type="dxa"/>
              <w:right w:w="144" w:type="dxa"/>
            </w:tcMar>
          </w:tcPr>
          <w:p w:rsidR="006F5B68" w:rsidRPr="00736FFB" w:rsidRDefault="006F5B68" w:rsidP="00404435">
            <w:pPr>
              <w:numPr>
                <w:ilvl w:val="0"/>
                <w:numId w:val="2"/>
              </w:numPr>
              <w:tabs>
                <w:tab w:val="clear" w:pos="720"/>
                <w:tab w:val="num" w:pos="61"/>
              </w:tabs>
              <w:spacing w:line="360" w:lineRule="auto"/>
              <w:ind w:left="0" w:hanging="142"/>
              <w:jc w:val="both"/>
              <w:rPr>
                <w:rFonts w:ascii="Book Antiqua" w:hAnsi="Book Antiqua"/>
              </w:rPr>
            </w:pPr>
            <w:r w:rsidRPr="00736FFB">
              <w:rPr>
                <w:rFonts w:ascii="Book Antiqua" w:hAnsi="Book Antiqua"/>
              </w:rPr>
              <w:t>Age</w:t>
            </w:r>
          </w:p>
          <w:p w:rsidR="006F5B68" w:rsidRPr="00736FFB" w:rsidRDefault="006F5B68" w:rsidP="00404435">
            <w:pPr>
              <w:numPr>
                <w:ilvl w:val="0"/>
                <w:numId w:val="2"/>
              </w:numPr>
              <w:tabs>
                <w:tab w:val="clear" w:pos="720"/>
                <w:tab w:val="num" w:pos="61"/>
              </w:tabs>
              <w:spacing w:line="360" w:lineRule="auto"/>
              <w:ind w:left="0" w:hanging="142"/>
              <w:jc w:val="both"/>
              <w:rPr>
                <w:rFonts w:ascii="Book Antiqua" w:hAnsi="Book Antiqua"/>
              </w:rPr>
            </w:pPr>
            <w:r w:rsidRPr="00736FFB">
              <w:rPr>
                <w:rFonts w:ascii="Book Antiqua" w:hAnsi="Book Antiqua"/>
              </w:rPr>
              <w:t>Albumin</w:t>
            </w:r>
          </w:p>
          <w:p w:rsidR="006F5B68" w:rsidRPr="00736FFB" w:rsidRDefault="006F5B68" w:rsidP="00404435">
            <w:pPr>
              <w:numPr>
                <w:ilvl w:val="0"/>
                <w:numId w:val="2"/>
              </w:numPr>
              <w:tabs>
                <w:tab w:val="clear" w:pos="720"/>
                <w:tab w:val="num" w:pos="61"/>
              </w:tabs>
              <w:spacing w:line="360" w:lineRule="auto"/>
              <w:ind w:left="0" w:hanging="142"/>
              <w:jc w:val="both"/>
              <w:rPr>
                <w:rFonts w:ascii="Book Antiqua" w:hAnsi="Book Antiqua"/>
              </w:rPr>
            </w:pPr>
            <w:r w:rsidRPr="00736FFB">
              <w:rPr>
                <w:rFonts w:ascii="Book Antiqua" w:hAnsi="Book Antiqua"/>
              </w:rPr>
              <w:t xml:space="preserve">Bilirubin </w:t>
            </w:r>
          </w:p>
          <w:p w:rsidR="006F5B68" w:rsidRPr="00736FFB" w:rsidRDefault="006F5B68" w:rsidP="00404435">
            <w:pPr>
              <w:numPr>
                <w:ilvl w:val="0"/>
                <w:numId w:val="2"/>
              </w:numPr>
              <w:tabs>
                <w:tab w:val="clear" w:pos="720"/>
                <w:tab w:val="num" w:pos="61"/>
              </w:tabs>
              <w:spacing w:line="360" w:lineRule="auto"/>
              <w:ind w:left="0" w:hanging="142"/>
              <w:jc w:val="both"/>
              <w:rPr>
                <w:rFonts w:ascii="Book Antiqua" w:hAnsi="Book Antiqua"/>
              </w:rPr>
            </w:pPr>
            <w:r w:rsidRPr="00736FFB">
              <w:rPr>
                <w:rFonts w:ascii="Book Antiqua" w:hAnsi="Book Antiqua"/>
              </w:rPr>
              <w:t>HBV DNA level</w:t>
            </w:r>
          </w:p>
          <w:p w:rsidR="006F5B68" w:rsidRPr="00736FFB" w:rsidRDefault="006F5B68" w:rsidP="00404435">
            <w:pPr>
              <w:numPr>
                <w:ilvl w:val="0"/>
                <w:numId w:val="2"/>
              </w:numPr>
              <w:tabs>
                <w:tab w:val="clear" w:pos="720"/>
                <w:tab w:val="num" w:pos="61"/>
              </w:tabs>
              <w:spacing w:line="360" w:lineRule="auto"/>
              <w:ind w:left="0" w:hanging="142"/>
              <w:jc w:val="both"/>
              <w:rPr>
                <w:rFonts w:ascii="Book Antiqua" w:hAnsi="Book Antiqua"/>
              </w:rPr>
            </w:pPr>
            <w:r w:rsidRPr="00736FFB">
              <w:rPr>
                <w:rFonts w:ascii="Book Antiqua" w:hAnsi="Book Antiqua"/>
              </w:rPr>
              <w:t>Cirrhosis</w:t>
            </w:r>
          </w:p>
        </w:tc>
        <w:tc>
          <w:tcPr>
            <w:tcW w:w="2117" w:type="dxa"/>
            <w:tcMar>
              <w:top w:w="72" w:type="dxa"/>
              <w:left w:w="144" w:type="dxa"/>
              <w:bottom w:w="72" w:type="dxa"/>
              <w:right w:w="144" w:type="dxa"/>
            </w:tcMar>
          </w:tcPr>
          <w:p w:rsidR="006F5B68" w:rsidRPr="00736FFB" w:rsidRDefault="006F5B68" w:rsidP="00404435">
            <w:pPr>
              <w:numPr>
                <w:ilvl w:val="0"/>
                <w:numId w:val="2"/>
              </w:numPr>
              <w:tabs>
                <w:tab w:val="clear" w:pos="720"/>
                <w:tab w:val="num" w:pos="139"/>
              </w:tabs>
              <w:spacing w:line="360" w:lineRule="auto"/>
              <w:ind w:left="0" w:hanging="142"/>
              <w:jc w:val="both"/>
              <w:rPr>
                <w:rFonts w:ascii="Book Antiqua" w:hAnsi="Book Antiqua"/>
              </w:rPr>
            </w:pPr>
            <w:r w:rsidRPr="00736FFB">
              <w:rPr>
                <w:rFonts w:ascii="Book Antiqua" w:hAnsi="Book Antiqua"/>
              </w:rPr>
              <w:t>Gender</w:t>
            </w:r>
          </w:p>
          <w:p w:rsidR="006F5B68" w:rsidRPr="00736FFB" w:rsidRDefault="006F5B68" w:rsidP="00404435">
            <w:pPr>
              <w:numPr>
                <w:ilvl w:val="0"/>
                <w:numId w:val="2"/>
              </w:numPr>
              <w:tabs>
                <w:tab w:val="clear" w:pos="720"/>
                <w:tab w:val="num" w:pos="139"/>
              </w:tabs>
              <w:spacing w:line="360" w:lineRule="auto"/>
              <w:ind w:left="0" w:hanging="142"/>
              <w:jc w:val="both"/>
              <w:rPr>
                <w:rFonts w:ascii="Book Antiqua" w:hAnsi="Book Antiqua"/>
              </w:rPr>
            </w:pPr>
            <w:r w:rsidRPr="00736FFB">
              <w:rPr>
                <w:rFonts w:ascii="Book Antiqua" w:hAnsi="Book Antiqua"/>
              </w:rPr>
              <w:t>Age</w:t>
            </w:r>
          </w:p>
          <w:p w:rsidR="006F5B68" w:rsidRPr="00736FFB" w:rsidRDefault="006F5B68" w:rsidP="00404435">
            <w:pPr>
              <w:numPr>
                <w:ilvl w:val="0"/>
                <w:numId w:val="2"/>
              </w:numPr>
              <w:tabs>
                <w:tab w:val="clear" w:pos="720"/>
                <w:tab w:val="num" w:pos="139"/>
              </w:tabs>
              <w:spacing w:line="360" w:lineRule="auto"/>
              <w:ind w:left="0" w:hanging="142"/>
              <w:jc w:val="both"/>
              <w:rPr>
                <w:rFonts w:ascii="Book Antiqua" w:hAnsi="Book Antiqua"/>
              </w:rPr>
            </w:pPr>
            <w:r w:rsidRPr="00736FFB">
              <w:rPr>
                <w:rFonts w:ascii="Book Antiqua" w:hAnsi="Book Antiqua"/>
              </w:rPr>
              <w:t>ALT level</w:t>
            </w:r>
          </w:p>
          <w:p w:rsidR="006F5B68" w:rsidRPr="00736FFB" w:rsidRDefault="006F5B68" w:rsidP="00404435">
            <w:pPr>
              <w:numPr>
                <w:ilvl w:val="0"/>
                <w:numId w:val="2"/>
              </w:numPr>
              <w:tabs>
                <w:tab w:val="clear" w:pos="720"/>
                <w:tab w:val="num" w:pos="139"/>
              </w:tabs>
              <w:spacing w:line="360" w:lineRule="auto"/>
              <w:ind w:left="0" w:hanging="142"/>
              <w:jc w:val="both"/>
              <w:rPr>
                <w:rFonts w:ascii="Book Antiqua" w:hAnsi="Book Antiqua"/>
              </w:rPr>
            </w:pPr>
            <w:r w:rsidRPr="00736FFB">
              <w:rPr>
                <w:rFonts w:ascii="Book Antiqua" w:hAnsi="Book Antiqua"/>
              </w:rPr>
              <w:t>Family history of HCC</w:t>
            </w:r>
          </w:p>
          <w:p w:rsidR="006F5B68" w:rsidRPr="00736FFB" w:rsidRDefault="006F5B68" w:rsidP="00404435">
            <w:pPr>
              <w:numPr>
                <w:ilvl w:val="0"/>
                <w:numId w:val="2"/>
              </w:numPr>
              <w:tabs>
                <w:tab w:val="clear" w:pos="720"/>
                <w:tab w:val="num" w:pos="139"/>
              </w:tabs>
              <w:spacing w:line="360" w:lineRule="auto"/>
              <w:ind w:left="0" w:hanging="142"/>
              <w:jc w:val="both"/>
              <w:rPr>
                <w:rFonts w:ascii="Book Antiqua" w:hAnsi="Book Antiqua"/>
              </w:rPr>
            </w:pPr>
            <w:r w:rsidRPr="00736FFB">
              <w:rPr>
                <w:rFonts w:ascii="Book Antiqua" w:hAnsi="Book Antiqua"/>
              </w:rPr>
              <w:t>Alcohol consumption</w:t>
            </w:r>
          </w:p>
          <w:p w:rsidR="006F5B68" w:rsidRPr="00736FFB" w:rsidRDefault="006F5B68" w:rsidP="00404435">
            <w:pPr>
              <w:numPr>
                <w:ilvl w:val="0"/>
                <w:numId w:val="2"/>
              </w:numPr>
              <w:tabs>
                <w:tab w:val="clear" w:pos="720"/>
                <w:tab w:val="num" w:pos="139"/>
              </w:tabs>
              <w:spacing w:line="360" w:lineRule="auto"/>
              <w:ind w:left="0" w:hanging="142"/>
              <w:jc w:val="both"/>
              <w:rPr>
                <w:rFonts w:ascii="Book Antiqua" w:hAnsi="Book Antiqua"/>
              </w:rPr>
            </w:pPr>
            <w:proofErr w:type="spellStart"/>
            <w:r w:rsidRPr="00736FFB">
              <w:rPr>
                <w:rFonts w:ascii="Book Antiqua" w:hAnsi="Book Antiqua"/>
              </w:rPr>
              <w:t>HBeAg</w:t>
            </w:r>
            <w:proofErr w:type="spellEnd"/>
          </w:p>
          <w:p w:rsidR="006F5B68" w:rsidRPr="00736FFB" w:rsidRDefault="006F5B68" w:rsidP="00404435">
            <w:pPr>
              <w:numPr>
                <w:ilvl w:val="0"/>
                <w:numId w:val="2"/>
              </w:numPr>
              <w:tabs>
                <w:tab w:val="clear" w:pos="720"/>
                <w:tab w:val="num" w:pos="139"/>
              </w:tabs>
              <w:spacing w:line="360" w:lineRule="auto"/>
              <w:ind w:left="0" w:hanging="142"/>
              <w:jc w:val="both"/>
              <w:rPr>
                <w:rFonts w:ascii="Book Antiqua" w:hAnsi="Book Antiqua"/>
              </w:rPr>
            </w:pPr>
            <w:r w:rsidRPr="00736FFB">
              <w:rPr>
                <w:rFonts w:ascii="Book Antiqua" w:hAnsi="Book Antiqua"/>
              </w:rPr>
              <w:t xml:space="preserve">HBV DNA </w:t>
            </w:r>
            <w:r w:rsidRPr="00736FFB">
              <w:rPr>
                <w:rFonts w:ascii="Book Antiqua" w:hAnsi="Book Antiqua"/>
              </w:rPr>
              <w:lastRenderedPageBreak/>
              <w:t>level</w:t>
            </w:r>
          </w:p>
          <w:p w:rsidR="006F5B68" w:rsidRPr="00736FFB" w:rsidRDefault="006F5B68" w:rsidP="00404435">
            <w:pPr>
              <w:numPr>
                <w:ilvl w:val="0"/>
                <w:numId w:val="2"/>
              </w:numPr>
              <w:tabs>
                <w:tab w:val="clear" w:pos="720"/>
                <w:tab w:val="num" w:pos="139"/>
              </w:tabs>
              <w:spacing w:line="360" w:lineRule="auto"/>
              <w:ind w:left="0" w:hanging="142"/>
              <w:jc w:val="both"/>
              <w:rPr>
                <w:rFonts w:ascii="Book Antiqua" w:hAnsi="Book Antiqua"/>
              </w:rPr>
            </w:pPr>
            <w:r w:rsidRPr="00736FFB">
              <w:rPr>
                <w:rFonts w:ascii="Book Antiqua" w:hAnsi="Book Antiqua"/>
              </w:rPr>
              <w:t>HBV genotype</w:t>
            </w:r>
          </w:p>
        </w:tc>
      </w:tr>
      <w:tr w:rsidR="006F5B68" w:rsidRPr="00736FFB" w:rsidTr="00D23011">
        <w:tc>
          <w:tcPr>
            <w:tcW w:w="2011"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lastRenderedPageBreak/>
              <w:t>Risk function</w:t>
            </w:r>
          </w:p>
        </w:tc>
        <w:tc>
          <w:tcPr>
            <w:tcW w:w="2011"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Logistic regression</w:t>
            </w:r>
          </w:p>
        </w:tc>
        <w:tc>
          <w:tcPr>
            <w:tcW w:w="2011"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Cox regression</w:t>
            </w:r>
          </w:p>
        </w:tc>
        <w:tc>
          <w:tcPr>
            <w:tcW w:w="1906"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Cox regression</w:t>
            </w:r>
          </w:p>
        </w:tc>
        <w:tc>
          <w:tcPr>
            <w:tcW w:w="2117"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Cox regression</w:t>
            </w:r>
          </w:p>
        </w:tc>
      </w:tr>
      <w:tr w:rsidR="006F5B68" w:rsidRPr="00736FFB" w:rsidTr="00D23011">
        <w:trPr>
          <w:trHeight w:val="213"/>
        </w:trPr>
        <w:tc>
          <w:tcPr>
            <w:tcW w:w="2011"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Predicted outcomes</w:t>
            </w:r>
          </w:p>
        </w:tc>
        <w:tc>
          <w:tcPr>
            <w:tcW w:w="2011"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HCC risk</w:t>
            </w:r>
          </w:p>
        </w:tc>
        <w:tc>
          <w:tcPr>
            <w:tcW w:w="2011"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5-yr and 10-yr HCC risk</w:t>
            </w:r>
          </w:p>
        </w:tc>
        <w:tc>
          <w:tcPr>
            <w:tcW w:w="1906"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5-yr and 10-yr HCC risk</w:t>
            </w:r>
          </w:p>
        </w:tc>
        <w:tc>
          <w:tcPr>
            <w:tcW w:w="2117" w:type="dxa"/>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5-yr and 10-yr HCC risk</w:t>
            </w:r>
          </w:p>
        </w:tc>
      </w:tr>
      <w:tr w:rsidR="006F5B68" w:rsidRPr="00736FFB" w:rsidTr="00D23011">
        <w:trPr>
          <w:trHeight w:val="213"/>
        </w:trPr>
        <w:tc>
          <w:tcPr>
            <w:tcW w:w="2011" w:type="dxa"/>
            <w:tcBorders>
              <w:bottom w:val="single" w:sz="4" w:space="0" w:color="auto"/>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Validation (no. of subjects for validation)</w:t>
            </w:r>
          </w:p>
        </w:tc>
        <w:tc>
          <w:tcPr>
            <w:tcW w:w="2011" w:type="dxa"/>
            <w:tcBorders>
              <w:bottom w:val="single" w:sz="4" w:space="0" w:color="auto"/>
            </w:tcBorders>
            <w:tcMar>
              <w:top w:w="72" w:type="dxa"/>
              <w:left w:w="144" w:type="dxa"/>
              <w:bottom w:w="72" w:type="dxa"/>
              <w:right w:w="144" w:type="dxa"/>
            </w:tcMar>
          </w:tcPr>
          <w:p w:rsidR="006F5B68" w:rsidRPr="00736FFB" w:rsidRDefault="006F5B68" w:rsidP="0098057C">
            <w:pPr>
              <w:spacing w:line="360" w:lineRule="auto"/>
              <w:jc w:val="both"/>
              <w:rPr>
                <w:rFonts w:ascii="Book Antiqua" w:hAnsi="Book Antiqua"/>
              </w:rPr>
            </w:pPr>
            <w:r w:rsidRPr="00736FFB">
              <w:rPr>
                <w:rFonts w:ascii="Book Antiqua" w:hAnsi="Book Antiqua"/>
              </w:rPr>
              <w:t>2-yr prospective validation (</w:t>
            </w:r>
            <w:r w:rsidRPr="0098057C">
              <w:rPr>
                <w:rFonts w:ascii="Book Antiqua" w:eastAsia="宋体" w:hAnsi="Book Antiqua"/>
                <w:i/>
                <w:lang w:eastAsia="zh-CN"/>
              </w:rPr>
              <w:t>n</w:t>
            </w:r>
            <w:r>
              <w:rPr>
                <w:rFonts w:ascii="Book Antiqua" w:eastAsia="宋体" w:hAnsi="Book Antiqua"/>
                <w:lang w:eastAsia="zh-CN"/>
              </w:rPr>
              <w:t xml:space="preserve"> </w:t>
            </w:r>
            <w:r w:rsidRPr="00736FFB">
              <w:rPr>
                <w:rFonts w:ascii="Book Antiqua" w:hAnsi="Book Antiqua"/>
              </w:rPr>
              <w:t>=</w:t>
            </w:r>
            <w:r>
              <w:rPr>
                <w:rFonts w:ascii="Book Antiqua" w:eastAsia="宋体" w:hAnsi="Book Antiqua"/>
                <w:lang w:eastAsia="zh-CN"/>
              </w:rPr>
              <w:t xml:space="preserve"> </w:t>
            </w:r>
            <w:r w:rsidRPr="00736FFB">
              <w:rPr>
                <w:rFonts w:ascii="Book Antiqua" w:hAnsi="Book Antiqua"/>
              </w:rPr>
              <w:t>833)</w:t>
            </w:r>
          </w:p>
        </w:tc>
        <w:tc>
          <w:tcPr>
            <w:tcW w:w="2011" w:type="dxa"/>
            <w:tcBorders>
              <w:bottom w:val="single" w:sz="4" w:space="0" w:color="auto"/>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Leave-one-out cross-validation</w:t>
            </w:r>
          </w:p>
        </w:tc>
        <w:tc>
          <w:tcPr>
            <w:tcW w:w="1906" w:type="dxa"/>
            <w:tcBorders>
              <w:bottom w:val="single" w:sz="4" w:space="0" w:color="auto"/>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External validation (</w:t>
            </w:r>
            <w:r w:rsidRPr="0098057C">
              <w:rPr>
                <w:rFonts w:ascii="Book Antiqua" w:eastAsia="宋体" w:hAnsi="Book Antiqua"/>
                <w:i/>
                <w:lang w:eastAsia="zh-CN"/>
              </w:rPr>
              <w:t>n</w:t>
            </w:r>
            <w:r w:rsidRPr="00736FFB">
              <w:rPr>
                <w:rFonts w:ascii="Book Antiqua" w:hAnsi="Book Antiqua"/>
              </w:rPr>
              <w:t xml:space="preserve"> =</w:t>
            </w:r>
            <w:r>
              <w:rPr>
                <w:rFonts w:ascii="Book Antiqua" w:eastAsia="宋体" w:hAnsi="Book Antiqua"/>
                <w:lang w:eastAsia="zh-CN"/>
              </w:rPr>
              <w:t xml:space="preserve"> </w:t>
            </w:r>
            <w:r w:rsidRPr="00736FFB">
              <w:rPr>
                <w:rFonts w:ascii="Book Antiqua" w:hAnsi="Book Antiqua"/>
              </w:rPr>
              <w:t>424)</w:t>
            </w:r>
          </w:p>
        </w:tc>
        <w:tc>
          <w:tcPr>
            <w:tcW w:w="2117" w:type="dxa"/>
            <w:tcBorders>
              <w:bottom w:val="single" w:sz="4" w:space="0" w:color="auto"/>
            </w:tcBorders>
            <w:tcMar>
              <w:top w:w="72" w:type="dxa"/>
              <w:left w:w="144" w:type="dxa"/>
              <w:bottom w:w="72" w:type="dxa"/>
              <w:right w:w="144" w:type="dxa"/>
            </w:tcMar>
          </w:tcPr>
          <w:p w:rsidR="006F5B68" w:rsidRPr="00736FFB" w:rsidRDefault="006F5B68" w:rsidP="00404435">
            <w:pPr>
              <w:spacing w:line="360" w:lineRule="auto"/>
              <w:jc w:val="both"/>
              <w:rPr>
                <w:rFonts w:ascii="Book Antiqua" w:hAnsi="Book Antiqua"/>
              </w:rPr>
            </w:pPr>
            <w:r w:rsidRPr="00736FFB">
              <w:rPr>
                <w:rFonts w:ascii="Book Antiqua" w:hAnsi="Book Antiqua"/>
              </w:rPr>
              <w:t>External validation with data splitting (</w:t>
            </w:r>
            <w:r w:rsidRPr="0098057C">
              <w:rPr>
                <w:rFonts w:ascii="Book Antiqua" w:eastAsia="宋体" w:hAnsi="Book Antiqua"/>
                <w:i/>
                <w:lang w:eastAsia="zh-CN"/>
              </w:rPr>
              <w:t>n</w:t>
            </w:r>
            <w:r w:rsidRPr="00736FFB">
              <w:rPr>
                <w:rFonts w:ascii="Book Antiqua" w:hAnsi="Book Antiqua"/>
              </w:rPr>
              <w:t xml:space="preserve"> =</w:t>
            </w:r>
            <w:r>
              <w:rPr>
                <w:rFonts w:ascii="Book Antiqua" w:eastAsia="宋体" w:hAnsi="Book Antiqua"/>
                <w:lang w:eastAsia="zh-CN"/>
              </w:rPr>
              <w:t xml:space="preserve"> </w:t>
            </w:r>
            <w:r>
              <w:rPr>
                <w:rFonts w:ascii="Book Antiqua" w:hAnsi="Book Antiqua"/>
              </w:rPr>
              <w:t>1</w:t>
            </w:r>
            <w:r w:rsidRPr="00736FFB">
              <w:rPr>
                <w:rFonts w:ascii="Book Antiqua" w:hAnsi="Book Antiqua"/>
              </w:rPr>
              <w:t>218)</w:t>
            </w:r>
          </w:p>
        </w:tc>
      </w:tr>
    </w:tbl>
    <w:p w:rsidR="006F5B68" w:rsidRPr="00736FFB" w:rsidRDefault="006F5B68" w:rsidP="00404435">
      <w:pPr>
        <w:spacing w:line="360" w:lineRule="auto"/>
        <w:jc w:val="both"/>
        <w:rPr>
          <w:rFonts w:ascii="Book Antiqua" w:hAnsi="Book Antiqua"/>
          <w:b/>
        </w:rPr>
      </w:pPr>
      <w:r w:rsidRPr="00736FFB">
        <w:rPr>
          <w:rFonts w:ascii="Book Antiqua" w:hAnsi="Book Antiqua"/>
        </w:rPr>
        <w:br w:type="page"/>
      </w:r>
      <w:r w:rsidRPr="00736FFB">
        <w:rPr>
          <w:rFonts w:ascii="Book Antiqua" w:hAnsi="Book Antiqua"/>
          <w:b/>
        </w:rPr>
        <w:lastRenderedPageBreak/>
        <w:t xml:space="preserve">Table 3 The most updated hepatocellular carcinoma risk score for </w:t>
      </w:r>
      <w:r w:rsidRPr="00747FA3">
        <w:rPr>
          <w:rFonts w:ascii="Book Antiqua" w:hAnsi="Book Antiqua"/>
          <w:b/>
        </w:rPr>
        <w:t xml:space="preserve">chronic hepatitis B </w:t>
      </w:r>
      <w:r w:rsidRPr="00736FFB">
        <w:rPr>
          <w:rFonts w:ascii="Book Antiqua" w:hAnsi="Book Antiqua"/>
          <w:b/>
        </w:rPr>
        <w:t>pa</w:t>
      </w:r>
      <w:r w:rsidRPr="0098057C">
        <w:rPr>
          <w:rFonts w:ascii="Book Antiqua" w:hAnsi="Book Antiqua"/>
          <w:b/>
        </w:rPr>
        <w:t xml:space="preserve">tients upgraded from the REVEAL </w:t>
      </w:r>
      <w:proofErr w:type="spellStart"/>
      <w:r w:rsidRPr="0098057C">
        <w:rPr>
          <w:rFonts w:ascii="Book Antiqua" w:hAnsi="Book Antiqua"/>
          <w:b/>
        </w:rPr>
        <w:t>nomogram</w:t>
      </w:r>
      <w:proofErr w:type="spellEnd"/>
    </w:p>
    <w:tbl>
      <w:tblPr>
        <w:tblW w:w="0" w:type="auto"/>
        <w:tblCellMar>
          <w:left w:w="0" w:type="dxa"/>
          <w:right w:w="0" w:type="dxa"/>
        </w:tblCellMar>
        <w:tblLook w:val="00A0" w:firstRow="1" w:lastRow="0" w:firstColumn="1" w:lastColumn="0" w:noHBand="0" w:noVBand="0"/>
      </w:tblPr>
      <w:tblGrid>
        <w:gridCol w:w="4690"/>
        <w:gridCol w:w="1418"/>
      </w:tblGrid>
      <w:tr w:rsidR="006F5B68" w:rsidRPr="00736FFB" w:rsidTr="00D23011">
        <w:trPr>
          <w:trHeight w:val="20"/>
        </w:trPr>
        <w:tc>
          <w:tcPr>
            <w:tcW w:w="4690" w:type="dxa"/>
            <w:tcBorders>
              <w:top w:val="single" w:sz="8" w:space="0" w:color="000000"/>
              <w:left w:val="nil"/>
              <w:bottom w:val="single" w:sz="8" w:space="0" w:color="000000"/>
              <w:right w:val="nil"/>
            </w:tcBorders>
            <w:tcMar>
              <w:top w:w="17" w:type="dxa"/>
              <w:left w:w="12" w:type="dxa"/>
              <w:bottom w:w="17" w:type="dxa"/>
              <w:right w:w="12"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bCs/>
              </w:rPr>
              <w:t xml:space="preserve">Baseline hepatocellular carcinoma predictor </w:t>
            </w:r>
          </w:p>
        </w:tc>
        <w:tc>
          <w:tcPr>
            <w:tcW w:w="1418" w:type="dxa"/>
            <w:tcBorders>
              <w:top w:val="single" w:sz="8" w:space="0" w:color="000000"/>
              <w:left w:val="nil"/>
              <w:bottom w:val="single" w:sz="8" w:space="0" w:color="000000"/>
              <w:right w:val="nil"/>
            </w:tcBorders>
            <w:tcMar>
              <w:top w:w="17" w:type="dxa"/>
              <w:left w:w="12" w:type="dxa"/>
              <w:bottom w:w="17" w:type="dxa"/>
              <w:right w:w="12"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bCs/>
              </w:rPr>
              <w:t>Risk score</w:t>
            </w:r>
          </w:p>
        </w:tc>
      </w:tr>
      <w:tr w:rsidR="006F5B68" w:rsidRPr="00736FFB" w:rsidTr="00D23011">
        <w:trPr>
          <w:trHeight w:val="20"/>
        </w:trPr>
        <w:tc>
          <w:tcPr>
            <w:tcW w:w="4690" w:type="dxa"/>
            <w:tcBorders>
              <w:top w:val="single" w:sz="8" w:space="0" w:color="000000"/>
              <w:left w:val="nil"/>
              <w:right w:val="nil"/>
            </w:tcBorders>
            <w:tcMar>
              <w:top w:w="12" w:type="dxa"/>
              <w:left w:w="6" w:type="dxa"/>
              <w:bottom w:w="0" w:type="dxa"/>
              <w:right w:w="6" w:type="dxa"/>
            </w:tcMar>
            <w:vAlign w:val="center"/>
          </w:tcPr>
          <w:p w:rsidR="006F5B68" w:rsidRPr="0098057C" w:rsidRDefault="006F5B68" w:rsidP="0098057C">
            <w:pPr>
              <w:spacing w:line="360" w:lineRule="auto"/>
              <w:jc w:val="both"/>
              <w:rPr>
                <w:rFonts w:ascii="Book Antiqua" w:eastAsia="宋体" w:hAnsi="Book Antiqua"/>
                <w:lang w:eastAsia="zh-CN"/>
              </w:rPr>
            </w:pPr>
            <w:r w:rsidRPr="00736FFB">
              <w:rPr>
                <w:rFonts w:ascii="Book Antiqua" w:hAnsi="Book Antiqua"/>
              </w:rPr>
              <w:t>Age</w:t>
            </w:r>
            <w:r>
              <w:rPr>
                <w:rFonts w:ascii="Book Antiqua" w:eastAsia="宋体" w:hAnsi="Book Antiqua"/>
                <w:lang w:eastAsia="zh-CN"/>
              </w:rPr>
              <w:t xml:space="preserve"> (</w:t>
            </w:r>
            <w:proofErr w:type="spellStart"/>
            <w:r w:rsidRPr="00736FFB">
              <w:rPr>
                <w:rFonts w:ascii="Book Antiqua" w:hAnsi="Book Antiqua"/>
              </w:rPr>
              <w:t>y</w:t>
            </w:r>
            <w:r>
              <w:rPr>
                <w:rFonts w:ascii="Book Antiqua" w:hAnsi="Book Antiqua"/>
              </w:rPr>
              <w:t>r</w:t>
            </w:r>
            <w:proofErr w:type="spellEnd"/>
            <w:r>
              <w:rPr>
                <w:rFonts w:ascii="Book Antiqua" w:eastAsia="宋体" w:hAnsi="Book Antiqua"/>
                <w:lang w:eastAsia="zh-CN"/>
              </w:rPr>
              <w:t>)</w:t>
            </w:r>
          </w:p>
        </w:tc>
        <w:tc>
          <w:tcPr>
            <w:tcW w:w="1418" w:type="dxa"/>
            <w:tcBorders>
              <w:top w:val="single" w:sz="8" w:space="0" w:color="000000"/>
              <w:left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p>
        </w:tc>
      </w:tr>
      <w:tr w:rsidR="006F5B68" w:rsidRPr="00736FFB" w:rsidTr="00D23011">
        <w:trPr>
          <w:trHeight w:val="20"/>
        </w:trPr>
        <w:tc>
          <w:tcPr>
            <w:tcW w:w="4690" w:type="dxa"/>
            <w:tcBorders>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  30-34</w:t>
            </w:r>
          </w:p>
        </w:tc>
        <w:tc>
          <w:tcPr>
            <w:tcW w:w="1418" w:type="dxa"/>
            <w:tcBorders>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0</w:t>
            </w:r>
          </w:p>
        </w:tc>
      </w:tr>
      <w:tr w:rsidR="006F5B68" w:rsidRPr="00736FFB" w:rsidTr="00D23011">
        <w:trPr>
          <w:trHeight w:val="20"/>
        </w:trPr>
        <w:tc>
          <w:tcPr>
            <w:tcW w:w="4690" w:type="dxa"/>
            <w:tcBorders>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  35-39</w:t>
            </w:r>
          </w:p>
        </w:tc>
        <w:tc>
          <w:tcPr>
            <w:tcW w:w="1418" w:type="dxa"/>
            <w:tcBorders>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1</w:t>
            </w:r>
          </w:p>
        </w:tc>
      </w:tr>
      <w:tr w:rsidR="006F5B68" w:rsidRPr="00736FFB" w:rsidTr="00D23011">
        <w:trPr>
          <w:trHeight w:val="20"/>
        </w:trPr>
        <w:tc>
          <w:tcPr>
            <w:tcW w:w="4690" w:type="dxa"/>
            <w:tcBorders>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  40-44</w:t>
            </w:r>
          </w:p>
        </w:tc>
        <w:tc>
          <w:tcPr>
            <w:tcW w:w="1418" w:type="dxa"/>
            <w:tcBorders>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2</w:t>
            </w:r>
          </w:p>
        </w:tc>
      </w:tr>
      <w:tr w:rsidR="006F5B68" w:rsidRPr="00736FFB" w:rsidTr="00D23011">
        <w:trPr>
          <w:trHeight w:val="20"/>
        </w:trPr>
        <w:tc>
          <w:tcPr>
            <w:tcW w:w="4690" w:type="dxa"/>
            <w:tcBorders>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  45-49</w:t>
            </w:r>
          </w:p>
        </w:tc>
        <w:tc>
          <w:tcPr>
            <w:tcW w:w="1418" w:type="dxa"/>
            <w:tcBorders>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3</w:t>
            </w:r>
          </w:p>
        </w:tc>
      </w:tr>
      <w:tr w:rsidR="006F5B68" w:rsidRPr="00736FFB" w:rsidTr="00D23011">
        <w:trPr>
          <w:trHeight w:val="20"/>
        </w:trPr>
        <w:tc>
          <w:tcPr>
            <w:tcW w:w="4690" w:type="dxa"/>
            <w:tcBorders>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  50-54</w:t>
            </w:r>
          </w:p>
        </w:tc>
        <w:tc>
          <w:tcPr>
            <w:tcW w:w="1418" w:type="dxa"/>
            <w:tcBorders>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4</w:t>
            </w:r>
          </w:p>
        </w:tc>
      </w:tr>
      <w:tr w:rsidR="006F5B68" w:rsidRPr="00736FFB" w:rsidTr="00D23011">
        <w:trPr>
          <w:trHeight w:val="20"/>
        </w:trPr>
        <w:tc>
          <w:tcPr>
            <w:tcW w:w="4690" w:type="dxa"/>
            <w:tcBorders>
              <w:left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  55-59</w:t>
            </w:r>
          </w:p>
        </w:tc>
        <w:tc>
          <w:tcPr>
            <w:tcW w:w="1418" w:type="dxa"/>
            <w:tcBorders>
              <w:left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5</w:t>
            </w:r>
          </w:p>
        </w:tc>
      </w:tr>
      <w:tr w:rsidR="006F5B68" w:rsidRPr="00736FFB" w:rsidTr="00D23011">
        <w:trPr>
          <w:trHeight w:val="20"/>
        </w:trPr>
        <w:tc>
          <w:tcPr>
            <w:tcW w:w="4690" w:type="dxa"/>
            <w:tcBorders>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  60-65</w:t>
            </w:r>
          </w:p>
        </w:tc>
        <w:tc>
          <w:tcPr>
            <w:tcW w:w="1418" w:type="dxa"/>
            <w:tcBorders>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6</w:t>
            </w:r>
          </w:p>
        </w:tc>
      </w:tr>
      <w:tr w:rsidR="006F5B68" w:rsidRPr="00736FFB" w:rsidTr="00D23011">
        <w:trPr>
          <w:trHeight w:val="20"/>
        </w:trPr>
        <w:tc>
          <w:tcPr>
            <w:tcW w:w="4690"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Sex </w:t>
            </w:r>
          </w:p>
        </w:tc>
        <w:tc>
          <w:tcPr>
            <w:tcW w:w="1418"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p>
        </w:tc>
      </w:tr>
      <w:tr w:rsidR="006F5B68" w:rsidRPr="00736FFB" w:rsidTr="00D23011">
        <w:trPr>
          <w:trHeight w:val="20"/>
        </w:trPr>
        <w:tc>
          <w:tcPr>
            <w:tcW w:w="4690"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  Female </w:t>
            </w:r>
          </w:p>
        </w:tc>
        <w:tc>
          <w:tcPr>
            <w:tcW w:w="1418"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0</w:t>
            </w:r>
          </w:p>
        </w:tc>
      </w:tr>
      <w:tr w:rsidR="006F5B68" w:rsidRPr="00736FFB" w:rsidTr="00D23011">
        <w:trPr>
          <w:trHeight w:val="20"/>
        </w:trPr>
        <w:tc>
          <w:tcPr>
            <w:tcW w:w="4690"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  Male </w:t>
            </w:r>
          </w:p>
        </w:tc>
        <w:tc>
          <w:tcPr>
            <w:tcW w:w="1418"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2</w:t>
            </w:r>
          </w:p>
        </w:tc>
      </w:tr>
      <w:tr w:rsidR="006F5B68" w:rsidRPr="00736FFB" w:rsidTr="00D23011">
        <w:trPr>
          <w:trHeight w:val="20"/>
        </w:trPr>
        <w:tc>
          <w:tcPr>
            <w:tcW w:w="4690"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Levels of ALT (IU/L) </w:t>
            </w:r>
          </w:p>
        </w:tc>
        <w:tc>
          <w:tcPr>
            <w:tcW w:w="1418"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p>
        </w:tc>
      </w:tr>
      <w:tr w:rsidR="006F5B68" w:rsidRPr="00736FFB" w:rsidTr="00D23011">
        <w:trPr>
          <w:trHeight w:val="20"/>
        </w:trPr>
        <w:tc>
          <w:tcPr>
            <w:tcW w:w="4690"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  &lt; 15 </w:t>
            </w:r>
          </w:p>
        </w:tc>
        <w:tc>
          <w:tcPr>
            <w:tcW w:w="1418"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0</w:t>
            </w:r>
          </w:p>
        </w:tc>
      </w:tr>
      <w:tr w:rsidR="006F5B68" w:rsidRPr="00736FFB" w:rsidTr="00D23011">
        <w:trPr>
          <w:trHeight w:val="20"/>
        </w:trPr>
        <w:tc>
          <w:tcPr>
            <w:tcW w:w="4690"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  15-44 </w:t>
            </w:r>
          </w:p>
        </w:tc>
        <w:tc>
          <w:tcPr>
            <w:tcW w:w="1418"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1</w:t>
            </w:r>
          </w:p>
        </w:tc>
      </w:tr>
      <w:tr w:rsidR="006F5B68" w:rsidRPr="00736FFB" w:rsidTr="00D23011">
        <w:trPr>
          <w:trHeight w:val="20"/>
        </w:trPr>
        <w:tc>
          <w:tcPr>
            <w:tcW w:w="4690"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  </w:t>
            </w:r>
            <w:r w:rsidRPr="00736FFB">
              <w:rPr>
                <w:rFonts w:ascii="Book Antiqua" w:hAnsi="Book Antiqua"/>
              </w:rPr>
              <w:sym w:font="Symbol" w:char="F0B3"/>
            </w:r>
            <w:r w:rsidRPr="00736FFB">
              <w:rPr>
                <w:rFonts w:ascii="Book Antiqua" w:hAnsi="Book Antiqua"/>
              </w:rPr>
              <w:t xml:space="preserve"> 45 </w:t>
            </w:r>
          </w:p>
        </w:tc>
        <w:tc>
          <w:tcPr>
            <w:tcW w:w="1418"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2</w:t>
            </w:r>
          </w:p>
        </w:tc>
      </w:tr>
      <w:tr w:rsidR="006F5B68" w:rsidRPr="00736FFB" w:rsidTr="00D23011">
        <w:trPr>
          <w:trHeight w:val="20"/>
        </w:trPr>
        <w:tc>
          <w:tcPr>
            <w:tcW w:w="4690"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Family history of hepatocellular carcinoma </w:t>
            </w:r>
          </w:p>
        </w:tc>
        <w:tc>
          <w:tcPr>
            <w:tcW w:w="1418"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p>
        </w:tc>
      </w:tr>
      <w:tr w:rsidR="006F5B68" w:rsidRPr="00736FFB" w:rsidTr="00D23011">
        <w:trPr>
          <w:trHeight w:val="20"/>
        </w:trPr>
        <w:tc>
          <w:tcPr>
            <w:tcW w:w="4690"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  No </w:t>
            </w:r>
          </w:p>
        </w:tc>
        <w:tc>
          <w:tcPr>
            <w:tcW w:w="1418"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0</w:t>
            </w:r>
          </w:p>
        </w:tc>
      </w:tr>
      <w:tr w:rsidR="006F5B68" w:rsidRPr="00736FFB" w:rsidTr="00D23011">
        <w:trPr>
          <w:trHeight w:val="20"/>
        </w:trPr>
        <w:tc>
          <w:tcPr>
            <w:tcW w:w="4690"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  Yes </w:t>
            </w:r>
          </w:p>
        </w:tc>
        <w:tc>
          <w:tcPr>
            <w:tcW w:w="1418"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2</w:t>
            </w:r>
          </w:p>
        </w:tc>
      </w:tr>
      <w:tr w:rsidR="006F5B68" w:rsidRPr="00736FFB" w:rsidTr="00D23011">
        <w:trPr>
          <w:trHeight w:val="20"/>
        </w:trPr>
        <w:tc>
          <w:tcPr>
            <w:tcW w:w="4690"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lang w:val="nl-NL"/>
              </w:rPr>
              <w:t>HBeAg/HBV DNA/HBsAg/Genotype</w:t>
            </w:r>
            <w:r w:rsidRPr="00736FFB">
              <w:rPr>
                <w:rFonts w:ascii="Book Antiqua" w:hAnsi="Book Antiqua"/>
              </w:rPr>
              <w:t xml:space="preserve"> </w:t>
            </w:r>
          </w:p>
        </w:tc>
        <w:tc>
          <w:tcPr>
            <w:tcW w:w="1418"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p>
        </w:tc>
      </w:tr>
      <w:tr w:rsidR="006F5B68" w:rsidRPr="00736FFB" w:rsidTr="00D23011">
        <w:trPr>
          <w:trHeight w:val="20"/>
        </w:trPr>
        <w:tc>
          <w:tcPr>
            <w:tcW w:w="4690"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  Negative/&lt;10</w:t>
            </w:r>
            <w:r w:rsidRPr="00736FFB">
              <w:rPr>
                <w:rFonts w:ascii="Book Antiqua" w:hAnsi="Book Antiqua"/>
                <w:vertAlign w:val="superscript"/>
              </w:rPr>
              <w:t>4</w:t>
            </w:r>
            <w:r w:rsidRPr="00736FFB">
              <w:rPr>
                <w:rFonts w:ascii="Book Antiqua" w:hAnsi="Book Antiqua"/>
              </w:rPr>
              <w:t xml:space="preserve">/&lt;100/any type </w:t>
            </w:r>
          </w:p>
        </w:tc>
        <w:tc>
          <w:tcPr>
            <w:tcW w:w="1418"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0</w:t>
            </w:r>
          </w:p>
        </w:tc>
      </w:tr>
      <w:tr w:rsidR="006F5B68" w:rsidRPr="00736FFB" w:rsidTr="00D23011">
        <w:trPr>
          <w:trHeight w:val="20"/>
        </w:trPr>
        <w:tc>
          <w:tcPr>
            <w:tcW w:w="4690"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  Negative/&lt;10</w:t>
            </w:r>
            <w:r w:rsidRPr="00736FFB">
              <w:rPr>
                <w:rFonts w:ascii="Book Antiqua" w:hAnsi="Book Antiqua"/>
                <w:vertAlign w:val="superscript"/>
              </w:rPr>
              <w:t>4</w:t>
            </w:r>
            <w:r w:rsidRPr="00736FFB">
              <w:rPr>
                <w:rFonts w:ascii="Book Antiqua" w:hAnsi="Book Antiqua"/>
              </w:rPr>
              <w:t xml:space="preserve">/100-999/any type </w:t>
            </w:r>
          </w:p>
        </w:tc>
        <w:tc>
          <w:tcPr>
            <w:tcW w:w="1418"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2</w:t>
            </w:r>
          </w:p>
        </w:tc>
      </w:tr>
      <w:tr w:rsidR="006F5B68" w:rsidRPr="00736FFB" w:rsidTr="00D23011">
        <w:trPr>
          <w:trHeight w:val="20"/>
        </w:trPr>
        <w:tc>
          <w:tcPr>
            <w:tcW w:w="4690"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  Negative/&lt;10</w:t>
            </w:r>
            <w:r w:rsidRPr="00736FFB">
              <w:rPr>
                <w:rFonts w:ascii="Book Antiqua" w:hAnsi="Book Antiqua"/>
                <w:vertAlign w:val="superscript"/>
              </w:rPr>
              <w:t>4</w:t>
            </w:r>
            <w:r w:rsidRPr="00736FFB">
              <w:rPr>
                <w:rFonts w:ascii="Book Antiqua" w:hAnsi="Book Antiqua"/>
              </w:rPr>
              <w:t>/</w:t>
            </w:r>
            <w:r w:rsidRPr="00736FFB">
              <w:rPr>
                <w:rFonts w:ascii="Book Antiqua" w:hAnsi="Book Antiqua"/>
              </w:rPr>
              <w:sym w:font="Symbol" w:char="F0B3"/>
            </w:r>
            <w:r w:rsidRPr="00736FFB">
              <w:rPr>
                <w:rFonts w:ascii="Book Antiqua" w:hAnsi="Book Antiqua"/>
              </w:rPr>
              <w:t xml:space="preserve">1000/any type </w:t>
            </w:r>
          </w:p>
        </w:tc>
        <w:tc>
          <w:tcPr>
            <w:tcW w:w="1418"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2</w:t>
            </w:r>
          </w:p>
        </w:tc>
      </w:tr>
      <w:tr w:rsidR="006F5B68" w:rsidRPr="00736FFB" w:rsidTr="00D23011">
        <w:trPr>
          <w:trHeight w:val="20"/>
        </w:trPr>
        <w:tc>
          <w:tcPr>
            <w:tcW w:w="4690"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lastRenderedPageBreak/>
              <w:t xml:space="preserve">  Negative/10</w:t>
            </w:r>
            <w:r w:rsidRPr="00736FFB">
              <w:rPr>
                <w:rFonts w:ascii="Book Antiqua" w:hAnsi="Book Antiqua"/>
                <w:vertAlign w:val="superscript"/>
              </w:rPr>
              <w:t>4</w:t>
            </w:r>
            <w:r w:rsidRPr="00736FFB">
              <w:rPr>
                <w:rFonts w:ascii="Book Antiqua" w:hAnsi="Book Antiqua"/>
              </w:rPr>
              <w:t>-10</w:t>
            </w:r>
            <w:r w:rsidRPr="00736FFB">
              <w:rPr>
                <w:rFonts w:ascii="Book Antiqua" w:hAnsi="Book Antiqua"/>
                <w:vertAlign w:val="superscript"/>
              </w:rPr>
              <w:t>6</w:t>
            </w:r>
            <w:r w:rsidRPr="00736FFB">
              <w:rPr>
                <w:rFonts w:ascii="Book Antiqua" w:hAnsi="Book Antiqua"/>
              </w:rPr>
              <w:t xml:space="preserve">/&lt;100/any type </w:t>
            </w:r>
          </w:p>
        </w:tc>
        <w:tc>
          <w:tcPr>
            <w:tcW w:w="1418"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3</w:t>
            </w:r>
          </w:p>
        </w:tc>
      </w:tr>
      <w:tr w:rsidR="006F5B68" w:rsidRPr="00736FFB" w:rsidTr="00D23011">
        <w:trPr>
          <w:trHeight w:val="20"/>
        </w:trPr>
        <w:tc>
          <w:tcPr>
            <w:tcW w:w="4690"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  Negative/10</w:t>
            </w:r>
            <w:r w:rsidRPr="00736FFB">
              <w:rPr>
                <w:rFonts w:ascii="Book Antiqua" w:hAnsi="Book Antiqua"/>
                <w:vertAlign w:val="superscript"/>
              </w:rPr>
              <w:t>4</w:t>
            </w:r>
            <w:r w:rsidRPr="00736FFB">
              <w:rPr>
                <w:rFonts w:ascii="Book Antiqua" w:hAnsi="Book Antiqua"/>
              </w:rPr>
              <w:t>-10</w:t>
            </w:r>
            <w:r w:rsidRPr="00736FFB">
              <w:rPr>
                <w:rFonts w:ascii="Book Antiqua" w:hAnsi="Book Antiqua"/>
                <w:vertAlign w:val="superscript"/>
              </w:rPr>
              <w:t>6</w:t>
            </w:r>
            <w:r w:rsidRPr="00736FFB">
              <w:rPr>
                <w:rFonts w:ascii="Book Antiqua" w:hAnsi="Book Antiqua"/>
              </w:rPr>
              <w:t xml:space="preserve">/100-999/any type </w:t>
            </w:r>
          </w:p>
        </w:tc>
        <w:tc>
          <w:tcPr>
            <w:tcW w:w="1418"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3</w:t>
            </w:r>
          </w:p>
        </w:tc>
      </w:tr>
      <w:tr w:rsidR="006F5B68" w:rsidRPr="00736FFB" w:rsidTr="00D23011">
        <w:trPr>
          <w:trHeight w:val="20"/>
        </w:trPr>
        <w:tc>
          <w:tcPr>
            <w:tcW w:w="4690"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  Negative/10</w:t>
            </w:r>
            <w:r w:rsidRPr="00736FFB">
              <w:rPr>
                <w:rFonts w:ascii="Book Antiqua" w:hAnsi="Book Antiqua"/>
                <w:vertAlign w:val="superscript"/>
              </w:rPr>
              <w:t>4</w:t>
            </w:r>
            <w:r w:rsidRPr="00736FFB">
              <w:rPr>
                <w:rFonts w:ascii="Book Antiqua" w:hAnsi="Book Antiqua"/>
              </w:rPr>
              <w:t>-10</w:t>
            </w:r>
            <w:r w:rsidRPr="00736FFB">
              <w:rPr>
                <w:rFonts w:ascii="Book Antiqua" w:hAnsi="Book Antiqua"/>
                <w:vertAlign w:val="superscript"/>
              </w:rPr>
              <w:t>6</w:t>
            </w:r>
            <w:r w:rsidRPr="00736FFB">
              <w:rPr>
                <w:rFonts w:ascii="Book Antiqua" w:hAnsi="Book Antiqua"/>
              </w:rPr>
              <w:t>/</w:t>
            </w:r>
            <w:r w:rsidRPr="00736FFB">
              <w:rPr>
                <w:rFonts w:ascii="Book Antiqua" w:hAnsi="Book Antiqua"/>
              </w:rPr>
              <w:sym w:font="Symbol" w:char="F0B3"/>
            </w:r>
            <w:r w:rsidRPr="00736FFB">
              <w:rPr>
                <w:rFonts w:ascii="Book Antiqua" w:hAnsi="Book Antiqua"/>
              </w:rPr>
              <w:t xml:space="preserve">1000/any type </w:t>
            </w:r>
          </w:p>
        </w:tc>
        <w:tc>
          <w:tcPr>
            <w:tcW w:w="1418"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4</w:t>
            </w:r>
          </w:p>
        </w:tc>
      </w:tr>
      <w:tr w:rsidR="006F5B68" w:rsidRPr="00736FFB" w:rsidTr="00D23011">
        <w:trPr>
          <w:trHeight w:val="20"/>
        </w:trPr>
        <w:tc>
          <w:tcPr>
            <w:tcW w:w="4690"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  Negative/</w:t>
            </w:r>
            <w:r w:rsidRPr="00736FFB">
              <w:rPr>
                <w:rFonts w:ascii="Book Antiqua" w:hAnsi="Book Antiqua"/>
              </w:rPr>
              <w:sym w:font="Symbol" w:char="F0B3"/>
            </w:r>
            <w:r w:rsidRPr="00736FFB">
              <w:rPr>
                <w:rFonts w:ascii="Book Antiqua" w:hAnsi="Book Antiqua"/>
              </w:rPr>
              <w:t>10</w:t>
            </w:r>
            <w:r w:rsidRPr="00736FFB">
              <w:rPr>
                <w:rFonts w:ascii="Book Antiqua" w:hAnsi="Book Antiqua"/>
                <w:vertAlign w:val="superscript"/>
              </w:rPr>
              <w:t>6</w:t>
            </w:r>
            <w:r w:rsidRPr="00736FFB">
              <w:rPr>
                <w:rFonts w:ascii="Book Antiqua" w:hAnsi="Book Antiqua"/>
              </w:rPr>
              <w:t xml:space="preserve">/any level/B or B+ C </w:t>
            </w:r>
          </w:p>
        </w:tc>
        <w:tc>
          <w:tcPr>
            <w:tcW w:w="1418"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5</w:t>
            </w:r>
          </w:p>
        </w:tc>
      </w:tr>
      <w:tr w:rsidR="006F5B68" w:rsidRPr="00736FFB" w:rsidTr="00D23011">
        <w:trPr>
          <w:trHeight w:val="20"/>
        </w:trPr>
        <w:tc>
          <w:tcPr>
            <w:tcW w:w="4690"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  Negative/</w:t>
            </w:r>
            <w:r w:rsidRPr="00736FFB">
              <w:rPr>
                <w:rFonts w:ascii="Book Antiqua" w:hAnsi="Book Antiqua"/>
              </w:rPr>
              <w:sym w:font="Symbol" w:char="F0B3"/>
            </w:r>
            <w:r w:rsidRPr="00736FFB">
              <w:rPr>
                <w:rFonts w:ascii="Book Antiqua" w:hAnsi="Book Antiqua"/>
              </w:rPr>
              <w:t>10</w:t>
            </w:r>
            <w:r w:rsidRPr="00736FFB">
              <w:rPr>
                <w:rFonts w:ascii="Book Antiqua" w:hAnsi="Book Antiqua"/>
                <w:vertAlign w:val="superscript"/>
              </w:rPr>
              <w:t>6</w:t>
            </w:r>
            <w:r w:rsidRPr="00736FFB">
              <w:rPr>
                <w:rFonts w:ascii="Book Antiqua" w:hAnsi="Book Antiqua"/>
              </w:rPr>
              <w:t xml:space="preserve">/any level/C </w:t>
            </w:r>
          </w:p>
        </w:tc>
        <w:tc>
          <w:tcPr>
            <w:tcW w:w="1418"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7</w:t>
            </w:r>
          </w:p>
        </w:tc>
      </w:tr>
      <w:tr w:rsidR="006F5B68" w:rsidRPr="00736FFB" w:rsidTr="00D23011">
        <w:trPr>
          <w:trHeight w:val="20"/>
        </w:trPr>
        <w:tc>
          <w:tcPr>
            <w:tcW w:w="4690"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  Positive/any level/any level /B or B+C </w:t>
            </w:r>
          </w:p>
        </w:tc>
        <w:tc>
          <w:tcPr>
            <w:tcW w:w="1418" w:type="dxa"/>
            <w:tcBorders>
              <w:top w:val="nil"/>
              <w:left w:val="nil"/>
              <w:bottom w:val="nil"/>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6</w:t>
            </w:r>
          </w:p>
        </w:tc>
      </w:tr>
      <w:tr w:rsidR="006F5B68" w:rsidRPr="00736FFB" w:rsidTr="00D23011">
        <w:trPr>
          <w:trHeight w:val="20"/>
        </w:trPr>
        <w:tc>
          <w:tcPr>
            <w:tcW w:w="4690" w:type="dxa"/>
            <w:tcBorders>
              <w:top w:val="nil"/>
              <w:left w:val="nil"/>
              <w:bottom w:val="single" w:sz="8" w:space="0" w:color="000000"/>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 xml:space="preserve">  Positive/any level/any level /C </w:t>
            </w:r>
          </w:p>
        </w:tc>
        <w:tc>
          <w:tcPr>
            <w:tcW w:w="1418" w:type="dxa"/>
            <w:tcBorders>
              <w:top w:val="nil"/>
              <w:left w:val="nil"/>
              <w:bottom w:val="single" w:sz="8" w:space="0" w:color="000000"/>
              <w:right w:val="nil"/>
            </w:tcBorders>
            <w:tcMar>
              <w:top w:w="12" w:type="dxa"/>
              <w:left w:w="6" w:type="dxa"/>
              <w:bottom w:w="0" w:type="dxa"/>
              <w:right w:w="6" w:type="dxa"/>
            </w:tcMar>
            <w:vAlign w:val="center"/>
          </w:tcPr>
          <w:p w:rsidR="006F5B68" w:rsidRPr="00736FFB" w:rsidRDefault="006F5B68" w:rsidP="00404435">
            <w:pPr>
              <w:spacing w:line="360" w:lineRule="auto"/>
              <w:jc w:val="both"/>
              <w:rPr>
                <w:rFonts w:ascii="Book Antiqua" w:hAnsi="Book Antiqua"/>
              </w:rPr>
            </w:pPr>
            <w:r w:rsidRPr="00736FFB">
              <w:rPr>
                <w:rFonts w:ascii="Book Antiqua" w:hAnsi="Book Antiqua"/>
              </w:rPr>
              <w:t>7</w:t>
            </w:r>
          </w:p>
        </w:tc>
      </w:tr>
    </w:tbl>
    <w:p w:rsidR="006F5B68" w:rsidRPr="00736FFB" w:rsidRDefault="006F5B68" w:rsidP="00404435">
      <w:pPr>
        <w:spacing w:line="360" w:lineRule="auto"/>
        <w:jc w:val="both"/>
        <w:rPr>
          <w:rFonts w:ascii="Book Antiqua" w:hAnsi="Book Antiqua"/>
        </w:rPr>
      </w:pPr>
      <w:r w:rsidRPr="00736FFB">
        <w:rPr>
          <w:rFonts w:ascii="Book Antiqua" w:hAnsi="Book Antiqua"/>
        </w:rPr>
        <w:t xml:space="preserve"> </w:t>
      </w:r>
      <w:r w:rsidRPr="00736FFB">
        <w:rPr>
          <w:rFonts w:ascii="Book Antiqua" w:hAnsi="Book Antiqua"/>
        </w:rPr>
        <w:br w:type="page"/>
      </w:r>
      <w:r w:rsidR="00C86AAE">
        <w:rPr>
          <w:rFonts w:ascii="Book Antiqua" w:hAnsi="Book Antiqu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1pt;height:307.4pt">
            <v:imagedata r:id="rId9" o:title=""/>
          </v:shape>
        </w:pict>
      </w:r>
    </w:p>
    <w:p w:rsidR="006F5B68" w:rsidRPr="0098057C" w:rsidRDefault="006F5B68" w:rsidP="00404435">
      <w:pPr>
        <w:autoSpaceDE w:val="0"/>
        <w:autoSpaceDN w:val="0"/>
        <w:adjustRightInd w:val="0"/>
        <w:spacing w:line="360" w:lineRule="auto"/>
        <w:jc w:val="both"/>
        <w:rPr>
          <w:rFonts w:ascii="Book Antiqua" w:eastAsia="宋体" w:hAnsi="Book Antiqua"/>
          <w:b/>
          <w:kern w:val="0"/>
          <w:lang w:eastAsia="zh-CN"/>
        </w:rPr>
      </w:pPr>
      <w:r w:rsidRPr="00736FFB">
        <w:rPr>
          <w:rFonts w:ascii="Book Antiqua" w:hAnsi="Book Antiqua"/>
          <w:b/>
          <w:kern w:val="0"/>
        </w:rPr>
        <w:t>Figure 1</w:t>
      </w:r>
      <w:r w:rsidRPr="00736FFB">
        <w:rPr>
          <w:rFonts w:ascii="Book Antiqua" w:eastAsia="宋体" w:hAnsi="Book Antiqua"/>
          <w:b/>
          <w:kern w:val="0"/>
          <w:lang w:eastAsia="zh-CN"/>
        </w:rPr>
        <w:t xml:space="preserve"> </w:t>
      </w:r>
      <w:r w:rsidRPr="00736FFB">
        <w:rPr>
          <w:rFonts w:ascii="Book Antiqua" w:hAnsi="Book Antiqua"/>
          <w:b/>
          <w:kern w:val="0"/>
        </w:rPr>
        <w:t xml:space="preserve">Known risk factors for </w:t>
      </w:r>
      <w:r w:rsidRPr="0098057C">
        <w:rPr>
          <w:rFonts w:ascii="Book Antiqua" w:hAnsi="Book Antiqua"/>
          <w:b/>
          <w:kern w:val="0"/>
        </w:rPr>
        <w:t xml:space="preserve">hepatocellular carcinoma </w:t>
      </w:r>
      <w:r w:rsidRPr="00736FFB">
        <w:rPr>
          <w:rFonts w:ascii="Book Antiqua" w:hAnsi="Book Antiqua"/>
          <w:b/>
          <w:kern w:val="0"/>
        </w:rPr>
        <w:t>disease progression for chronic hepatitis B</w:t>
      </w:r>
      <w:r>
        <w:rPr>
          <w:rFonts w:ascii="Book Antiqua" w:eastAsia="宋体" w:hAnsi="Book Antiqua"/>
          <w:b/>
          <w:kern w:val="0"/>
          <w:lang w:eastAsia="zh-CN"/>
        </w:rPr>
        <w:t>.</w:t>
      </w:r>
    </w:p>
    <w:p w:rsidR="006F5B68" w:rsidRPr="00736FFB" w:rsidRDefault="006F5B68" w:rsidP="00404435">
      <w:pPr>
        <w:autoSpaceDE w:val="0"/>
        <w:autoSpaceDN w:val="0"/>
        <w:adjustRightInd w:val="0"/>
        <w:spacing w:line="360" w:lineRule="auto"/>
        <w:jc w:val="both"/>
        <w:rPr>
          <w:rFonts w:ascii="Book Antiqua" w:hAnsi="Book Antiqua"/>
          <w:kern w:val="0"/>
        </w:rPr>
      </w:pPr>
    </w:p>
    <w:p w:rsidR="006F5B68" w:rsidRPr="00736FFB" w:rsidRDefault="006F5B68" w:rsidP="00404435">
      <w:pPr>
        <w:autoSpaceDE w:val="0"/>
        <w:autoSpaceDN w:val="0"/>
        <w:adjustRightInd w:val="0"/>
        <w:spacing w:line="360" w:lineRule="auto"/>
        <w:jc w:val="both"/>
        <w:rPr>
          <w:rFonts w:ascii="Book Antiqua" w:hAnsi="Book Antiqua"/>
          <w:kern w:val="0"/>
        </w:rPr>
      </w:pPr>
      <w:r w:rsidRPr="00736FFB">
        <w:rPr>
          <w:rFonts w:ascii="Book Antiqua" w:hAnsi="Book Antiqua"/>
          <w:kern w:val="0"/>
        </w:rPr>
        <w:br w:type="page"/>
      </w:r>
    </w:p>
    <w:p w:rsidR="006F5B68" w:rsidRPr="00736FFB" w:rsidRDefault="00C86AAE" w:rsidP="00404435">
      <w:pPr>
        <w:autoSpaceDE w:val="0"/>
        <w:autoSpaceDN w:val="0"/>
        <w:adjustRightInd w:val="0"/>
        <w:spacing w:line="360" w:lineRule="auto"/>
        <w:jc w:val="both"/>
        <w:rPr>
          <w:rFonts w:ascii="Book Antiqua" w:hAnsi="Book Antiqua"/>
          <w:color w:val="FF0000"/>
          <w:kern w:val="0"/>
        </w:rPr>
      </w:pPr>
      <w:r>
        <w:rPr>
          <w:rFonts w:ascii="Book Antiqua" w:hAnsi="Book Antiqua"/>
          <w:noProof/>
          <w:color w:val="FF0000"/>
          <w:kern w:val="0"/>
          <w:lang w:eastAsia="zh-CN"/>
        </w:rPr>
        <w:pict>
          <v:shape id="圖片 9" o:spid="_x0000_i1026" type="#_x0000_t75" style="width:415.7pt;height:279.85pt;visibility:visible">
            <v:imagedata r:id="rId10" o:title=""/>
          </v:shape>
        </w:pict>
      </w:r>
    </w:p>
    <w:p w:rsidR="006F5B68" w:rsidRPr="00736FFB" w:rsidRDefault="006F5B68" w:rsidP="00404435">
      <w:pPr>
        <w:autoSpaceDE w:val="0"/>
        <w:autoSpaceDN w:val="0"/>
        <w:adjustRightInd w:val="0"/>
        <w:spacing w:line="360" w:lineRule="auto"/>
        <w:jc w:val="both"/>
        <w:rPr>
          <w:rFonts w:ascii="Book Antiqua" w:hAnsi="Book Antiqua"/>
          <w:kern w:val="0"/>
        </w:rPr>
      </w:pPr>
      <w:r w:rsidRPr="0098057C">
        <w:rPr>
          <w:rFonts w:ascii="Book Antiqua" w:hAnsi="Book Antiqua"/>
          <w:b/>
          <w:kern w:val="0"/>
        </w:rPr>
        <w:t>Figure 2</w:t>
      </w:r>
      <w:r w:rsidRPr="0098057C">
        <w:rPr>
          <w:rFonts w:ascii="Book Antiqua" w:eastAsia="宋体" w:hAnsi="Book Antiqua"/>
          <w:b/>
          <w:kern w:val="0"/>
          <w:lang w:eastAsia="zh-CN"/>
        </w:rPr>
        <w:t xml:space="preserve"> </w:t>
      </w:r>
      <w:proofErr w:type="gramStart"/>
      <w:r w:rsidRPr="0098057C">
        <w:rPr>
          <w:rFonts w:ascii="Book Antiqua" w:hAnsi="Book Antiqua"/>
          <w:b/>
          <w:kern w:val="0"/>
        </w:rPr>
        <w:t>The</w:t>
      </w:r>
      <w:proofErr w:type="gramEnd"/>
      <w:r w:rsidRPr="0098057C">
        <w:rPr>
          <w:rFonts w:ascii="Book Antiqua" w:hAnsi="Book Antiqua"/>
          <w:b/>
          <w:kern w:val="0"/>
        </w:rPr>
        <w:t xml:space="preserve"> updated REVEAL </w:t>
      </w:r>
      <w:proofErr w:type="spellStart"/>
      <w:r w:rsidRPr="0098057C">
        <w:rPr>
          <w:rFonts w:ascii="Book Antiqua" w:hAnsi="Book Antiqua"/>
          <w:b/>
          <w:kern w:val="0"/>
        </w:rPr>
        <w:t>nomogram</w:t>
      </w:r>
      <w:proofErr w:type="spellEnd"/>
      <w:r w:rsidRPr="0098057C">
        <w:rPr>
          <w:rFonts w:ascii="Book Antiqua" w:hAnsi="Book Antiqua"/>
          <w:b/>
          <w:kern w:val="0"/>
        </w:rPr>
        <w:t xml:space="preserve"> for the prediction of hepatocellular carcinoma risk.</w:t>
      </w:r>
      <w:r w:rsidRPr="00736FFB">
        <w:rPr>
          <w:rFonts w:ascii="Book Antiqua" w:hAnsi="Book Antiqua"/>
          <w:kern w:val="0"/>
        </w:rPr>
        <w:br w:type="page"/>
      </w:r>
      <w:r w:rsidR="00C86AAE">
        <w:rPr>
          <w:rFonts w:ascii="Book Antiqua" w:hAnsi="Book Antiqua"/>
          <w:kern w:val="0"/>
        </w:rPr>
        <w:lastRenderedPageBreak/>
        <w:pict>
          <v:shape id="_x0000_i1027" type="#_x0000_t75" style="width:412.6pt;height:273.6pt">
            <v:imagedata r:id="rId11" o:title=""/>
          </v:shape>
        </w:pict>
      </w:r>
    </w:p>
    <w:p w:rsidR="006F5B68" w:rsidRPr="0098057C" w:rsidRDefault="006F5B68" w:rsidP="00404435">
      <w:pPr>
        <w:autoSpaceDE w:val="0"/>
        <w:autoSpaceDN w:val="0"/>
        <w:adjustRightInd w:val="0"/>
        <w:spacing w:line="360" w:lineRule="auto"/>
        <w:jc w:val="both"/>
        <w:rPr>
          <w:rFonts w:ascii="Book Antiqua" w:eastAsia="宋体" w:hAnsi="Book Antiqua"/>
          <w:b/>
          <w:kern w:val="0"/>
          <w:lang w:eastAsia="zh-CN"/>
        </w:rPr>
      </w:pPr>
      <w:r w:rsidRPr="00736FFB">
        <w:rPr>
          <w:rFonts w:ascii="Book Antiqua" w:hAnsi="Book Antiqua"/>
          <w:b/>
          <w:kern w:val="0"/>
        </w:rPr>
        <w:t xml:space="preserve">Figure 3 </w:t>
      </w:r>
      <w:r w:rsidRPr="00736FFB">
        <w:rPr>
          <w:rFonts w:ascii="Book Antiqua" w:hAnsi="Book Antiqua"/>
          <w:b/>
        </w:rPr>
        <w:t>The distributions of score in the derivation cohort (from community) and the validation cohort (from clinical sett</w:t>
      </w:r>
      <w:r>
        <w:rPr>
          <w:rFonts w:ascii="Book Antiqua" w:hAnsi="Book Antiqua"/>
          <w:b/>
        </w:rPr>
        <w:t>ings) used in the REACH-B study</w:t>
      </w:r>
      <w:r w:rsidRPr="00736FFB">
        <w:rPr>
          <w:rFonts w:ascii="Book Antiqua" w:hAnsi="Book Antiqua"/>
          <w:b/>
          <w:noProof/>
          <w:vertAlign w:val="superscript"/>
        </w:rPr>
        <w:t>[13]</w:t>
      </w:r>
      <w:r>
        <w:rPr>
          <w:rFonts w:ascii="Book Antiqua" w:eastAsia="宋体" w:hAnsi="Book Antiqua"/>
          <w:b/>
          <w:noProof/>
          <w:lang w:eastAsia="zh-CN"/>
        </w:rPr>
        <w:t>.</w:t>
      </w:r>
    </w:p>
    <w:p w:rsidR="006F5B68" w:rsidRPr="00736FFB" w:rsidRDefault="006F5B68" w:rsidP="00404435">
      <w:pPr>
        <w:autoSpaceDE w:val="0"/>
        <w:autoSpaceDN w:val="0"/>
        <w:adjustRightInd w:val="0"/>
        <w:spacing w:line="360" w:lineRule="auto"/>
        <w:jc w:val="both"/>
        <w:rPr>
          <w:rFonts w:ascii="Book Antiqua" w:hAnsi="Book Antiqua"/>
          <w:kern w:val="0"/>
        </w:rPr>
      </w:pPr>
    </w:p>
    <w:p w:rsidR="006F5B68" w:rsidRPr="00736FFB" w:rsidRDefault="006F5B68" w:rsidP="00404435">
      <w:pPr>
        <w:spacing w:line="360" w:lineRule="auto"/>
        <w:jc w:val="both"/>
        <w:rPr>
          <w:rFonts w:ascii="Book Antiqua" w:hAnsi="Book Antiqua"/>
        </w:rPr>
      </w:pPr>
    </w:p>
    <w:sectPr w:rsidR="006F5B68" w:rsidRPr="00736FFB" w:rsidSect="00F22F5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D6" w:rsidRDefault="005175D6" w:rsidP="007617F4">
      <w:r>
        <w:separator/>
      </w:r>
    </w:p>
  </w:endnote>
  <w:endnote w:type="continuationSeparator" w:id="0">
    <w:p w:rsidR="005175D6" w:rsidRDefault="005175D6" w:rsidP="0076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dvP6EC0">
    <w:altName w:val="MingLiU"/>
    <w:panose1 w:val="00000000000000000000"/>
    <w:charset w:val="88"/>
    <w:family w:val="auto"/>
    <w:notTrueType/>
    <w:pitch w:val="default"/>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AdvOT1ef757c0+fb">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D6" w:rsidRDefault="005175D6" w:rsidP="007617F4">
      <w:r>
        <w:separator/>
      </w:r>
    </w:p>
  </w:footnote>
  <w:footnote w:type="continuationSeparator" w:id="0">
    <w:p w:rsidR="005175D6" w:rsidRDefault="005175D6" w:rsidP="00761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8CFEB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77177D"/>
    <w:multiLevelType w:val="hybridMultilevel"/>
    <w:tmpl w:val="50CC17AE"/>
    <w:lvl w:ilvl="0" w:tplc="E1B68F30">
      <w:start w:val="1"/>
      <w:numFmt w:val="bullet"/>
      <w:lvlText w:val="•"/>
      <w:lvlJc w:val="left"/>
      <w:pPr>
        <w:tabs>
          <w:tab w:val="num" w:pos="720"/>
        </w:tabs>
        <w:ind w:left="720" w:hanging="360"/>
      </w:pPr>
      <w:rPr>
        <w:rFonts w:ascii="Arial" w:hAnsi="Arial" w:hint="default"/>
      </w:rPr>
    </w:lvl>
    <w:lvl w:ilvl="1" w:tplc="AD844B9C" w:tentative="1">
      <w:start w:val="1"/>
      <w:numFmt w:val="bullet"/>
      <w:lvlText w:val="•"/>
      <w:lvlJc w:val="left"/>
      <w:pPr>
        <w:tabs>
          <w:tab w:val="num" w:pos="1440"/>
        </w:tabs>
        <w:ind w:left="1440" w:hanging="360"/>
      </w:pPr>
      <w:rPr>
        <w:rFonts w:ascii="Arial" w:hAnsi="Arial" w:hint="default"/>
      </w:rPr>
    </w:lvl>
    <w:lvl w:ilvl="2" w:tplc="0B10BABE" w:tentative="1">
      <w:start w:val="1"/>
      <w:numFmt w:val="bullet"/>
      <w:lvlText w:val="•"/>
      <w:lvlJc w:val="left"/>
      <w:pPr>
        <w:tabs>
          <w:tab w:val="num" w:pos="2160"/>
        </w:tabs>
        <w:ind w:left="2160" w:hanging="360"/>
      </w:pPr>
      <w:rPr>
        <w:rFonts w:ascii="Arial" w:hAnsi="Arial" w:hint="default"/>
      </w:rPr>
    </w:lvl>
    <w:lvl w:ilvl="3" w:tplc="980693CE" w:tentative="1">
      <w:start w:val="1"/>
      <w:numFmt w:val="bullet"/>
      <w:lvlText w:val="•"/>
      <w:lvlJc w:val="left"/>
      <w:pPr>
        <w:tabs>
          <w:tab w:val="num" w:pos="2880"/>
        </w:tabs>
        <w:ind w:left="2880" w:hanging="360"/>
      </w:pPr>
      <w:rPr>
        <w:rFonts w:ascii="Arial" w:hAnsi="Arial" w:hint="default"/>
      </w:rPr>
    </w:lvl>
    <w:lvl w:ilvl="4" w:tplc="C3E26238" w:tentative="1">
      <w:start w:val="1"/>
      <w:numFmt w:val="bullet"/>
      <w:lvlText w:val="•"/>
      <w:lvlJc w:val="left"/>
      <w:pPr>
        <w:tabs>
          <w:tab w:val="num" w:pos="3600"/>
        </w:tabs>
        <w:ind w:left="3600" w:hanging="360"/>
      </w:pPr>
      <w:rPr>
        <w:rFonts w:ascii="Arial" w:hAnsi="Arial" w:hint="default"/>
      </w:rPr>
    </w:lvl>
    <w:lvl w:ilvl="5" w:tplc="80BE9F08" w:tentative="1">
      <w:start w:val="1"/>
      <w:numFmt w:val="bullet"/>
      <w:lvlText w:val="•"/>
      <w:lvlJc w:val="left"/>
      <w:pPr>
        <w:tabs>
          <w:tab w:val="num" w:pos="4320"/>
        </w:tabs>
        <w:ind w:left="4320" w:hanging="360"/>
      </w:pPr>
      <w:rPr>
        <w:rFonts w:ascii="Arial" w:hAnsi="Arial" w:hint="default"/>
      </w:rPr>
    </w:lvl>
    <w:lvl w:ilvl="6" w:tplc="A10248A0" w:tentative="1">
      <w:start w:val="1"/>
      <w:numFmt w:val="bullet"/>
      <w:lvlText w:val="•"/>
      <w:lvlJc w:val="left"/>
      <w:pPr>
        <w:tabs>
          <w:tab w:val="num" w:pos="5040"/>
        </w:tabs>
        <w:ind w:left="5040" w:hanging="360"/>
      </w:pPr>
      <w:rPr>
        <w:rFonts w:ascii="Arial" w:hAnsi="Arial" w:hint="default"/>
      </w:rPr>
    </w:lvl>
    <w:lvl w:ilvl="7" w:tplc="8F682BFC" w:tentative="1">
      <w:start w:val="1"/>
      <w:numFmt w:val="bullet"/>
      <w:lvlText w:val="•"/>
      <w:lvlJc w:val="left"/>
      <w:pPr>
        <w:tabs>
          <w:tab w:val="num" w:pos="5760"/>
        </w:tabs>
        <w:ind w:left="5760" w:hanging="360"/>
      </w:pPr>
      <w:rPr>
        <w:rFonts w:ascii="Arial" w:hAnsi="Arial" w:hint="default"/>
      </w:rPr>
    </w:lvl>
    <w:lvl w:ilvl="8" w:tplc="BB7281E4" w:tentative="1">
      <w:start w:val="1"/>
      <w:numFmt w:val="bullet"/>
      <w:lvlText w:val="•"/>
      <w:lvlJc w:val="left"/>
      <w:pPr>
        <w:tabs>
          <w:tab w:val="num" w:pos="6480"/>
        </w:tabs>
        <w:ind w:left="6480" w:hanging="360"/>
      </w:pPr>
      <w:rPr>
        <w:rFonts w:ascii="Arial" w:hAnsi="Arial" w:hint="default"/>
      </w:rPr>
    </w:lvl>
  </w:abstractNum>
  <w:abstractNum w:abstractNumId="2">
    <w:nsid w:val="54F45B4A"/>
    <w:multiLevelType w:val="hybridMultilevel"/>
    <w:tmpl w:val="DCE041E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oNotTrackMoves/>
  <w:defaultTabStop w:val="48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0&lt;/ScanUnformatted&gt;&lt;ScanChanges&gt;0&lt;/ScanChanges&gt;&lt;Suspended&gt;1&lt;/Suspended&gt;&lt;/ENInstantFormat&gt;"/>
  </w:docVars>
  <w:rsids>
    <w:rsidRoot w:val="003F73B9"/>
    <w:rsid w:val="00025936"/>
    <w:rsid w:val="000356C1"/>
    <w:rsid w:val="00047046"/>
    <w:rsid w:val="00057DFB"/>
    <w:rsid w:val="000707F5"/>
    <w:rsid w:val="00094675"/>
    <w:rsid w:val="000B13F0"/>
    <w:rsid w:val="000B6F56"/>
    <w:rsid w:val="000E704E"/>
    <w:rsid w:val="00105689"/>
    <w:rsid w:val="00111344"/>
    <w:rsid w:val="001323A7"/>
    <w:rsid w:val="0014352F"/>
    <w:rsid w:val="00150CA0"/>
    <w:rsid w:val="001E6361"/>
    <w:rsid w:val="001F20B3"/>
    <w:rsid w:val="002557FE"/>
    <w:rsid w:val="0026167C"/>
    <w:rsid w:val="002A70A3"/>
    <w:rsid w:val="002C271E"/>
    <w:rsid w:val="002E1AB3"/>
    <w:rsid w:val="002E6A26"/>
    <w:rsid w:val="00310037"/>
    <w:rsid w:val="00363A52"/>
    <w:rsid w:val="003D3A99"/>
    <w:rsid w:val="003F14AF"/>
    <w:rsid w:val="003F73B9"/>
    <w:rsid w:val="00404435"/>
    <w:rsid w:val="004767CE"/>
    <w:rsid w:val="004F3FFF"/>
    <w:rsid w:val="00515290"/>
    <w:rsid w:val="005175D6"/>
    <w:rsid w:val="00544146"/>
    <w:rsid w:val="00576EBF"/>
    <w:rsid w:val="00576F94"/>
    <w:rsid w:val="00582D23"/>
    <w:rsid w:val="005973DC"/>
    <w:rsid w:val="005F0462"/>
    <w:rsid w:val="005F7ECE"/>
    <w:rsid w:val="006749F2"/>
    <w:rsid w:val="00692817"/>
    <w:rsid w:val="006F15A2"/>
    <w:rsid w:val="006F53A1"/>
    <w:rsid w:val="006F5B68"/>
    <w:rsid w:val="00736FFB"/>
    <w:rsid w:val="00744DD9"/>
    <w:rsid w:val="00747977"/>
    <w:rsid w:val="00747FA3"/>
    <w:rsid w:val="007617F4"/>
    <w:rsid w:val="00770095"/>
    <w:rsid w:val="00775C19"/>
    <w:rsid w:val="00776E77"/>
    <w:rsid w:val="007B32F1"/>
    <w:rsid w:val="007B78D6"/>
    <w:rsid w:val="007C5C6B"/>
    <w:rsid w:val="007D47C2"/>
    <w:rsid w:val="007E34EA"/>
    <w:rsid w:val="007E4143"/>
    <w:rsid w:val="00806F74"/>
    <w:rsid w:val="008074DC"/>
    <w:rsid w:val="0081380A"/>
    <w:rsid w:val="00821BA4"/>
    <w:rsid w:val="00867CBA"/>
    <w:rsid w:val="0089678D"/>
    <w:rsid w:val="008C02CF"/>
    <w:rsid w:val="008C586E"/>
    <w:rsid w:val="008E41EA"/>
    <w:rsid w:val="00905C80"/>
    <w:rsid w:val="00907CE5"/>
    <w:rsid w:val="00911E9B"/>
    <w:rsid w:val="009251A9"/>
    <w:rsid w:val="00931C36"/>
    <w:rsid w:val="009678E6"/>
    <w:rsid w:val="00974E57"/>
    <w:rsid w:val="0098057C"/>
    <w:rsid w:val="00985A36"/>
    <w:rsid w:val="009A34B8"/>
    <w:rsid w:val="009A6C0C"/>
    <w:rsid w:val="009B17B6"/>
    <w:rsid w:val="00A05CB9"/>
    <w:rsid w:val="00A15C6E"/>
    <w:rsid w:val="00A16A5E"/>
    <w:rsid w:val="00A42673"/>
    <w:rsid w:val="00A50A7A"/>
    <w:rsid w:val="00A5183A"/>
    <w:rsid w:val="00A7419D"/>
    <w:rsid w:val="00A90DA6"/>
    <w:rsid w:val="00AF1D8E"/>
    <w:rsid w:val="00AF5A8F"/>
    <w:rsid w:val="00B0503E"/>
    <w:rsid w:val="00B4312B"/>
    <w:rsid w:val="00B709B6"/>
    <w:rsid w:val="00B81331"/>
    <w:rsid w:val="00C06095"/>
    <w:rsid w:val="00C160DF"/>
    <w:rsid w:val="00C42720"/>
    <w:rsid w:val="00C56922"/>
    <w:rsid w:val="00C701E8"/>
    <w:rsid w:val="00C86AAE"/>
    <w:rsid w:val="00C962CD"/>
    <w:rsid w:val="00CA756D"/>
    <w:rsid w:val="00CB0352"/>
    <w:rsid w:val="00CD49E5"/>
    <w:rsid w:val="00CD6AD2"/>
    <w:rsid w:val="00D23011"/>
    <w:rsid w:val="00D24938"/>
    <w:rsid w:val="00D3182F"/>
    <w:rsid w:val="00D45A87"/>
    <w:rsid w:val="00D477A0"/>
    <w:rsid w:val="00D84B59"/>
    <w:rsid w:val="00D85C89"/>
    <w:rsid w:val="00DA196F"/>
    <w:rsid w:val="00DA230C"/>
    <w:rsid w:val="00DB1C7B"/>
    <w:rsid w:val="00DE50DB"/>
    <w:rsid w:val="00E31CCD"/>
    <w:rsid w:val="00E36E3D"/>
    <w:rsid w:val="00E452B9"/>
    <w:rsid w:val="00E771B9"/>
    <w:rsid w:val="00E94E47"/>
    <w:rsid w:val="00EE4C51"/>
    <w:rsid w:val="00F22F5B"/>
    <w:rsid w:val="00F3005B"/>
    <w:rsid w:val="00F40176"/>
    <w:rsid w:val="00F5071F"/>
    <w:rsid w:val="00F85D95"/>
    <w:rsid w:val="00FA69A5"/>
    <w:rsid w:val="00FF1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B9"/>
    <w:pPr>
      <w:widowControl w:val="0"/>
    </w:pPr>
    <w:rPr>
      <w:rFonts w:ascii="Times New Roman" w:hAnsi="Times New Roman"/>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3F73B9"/>
    <w:rPr>
      <w:b/>
      <w:bCs/>
    </w:rPr>
  </w:style>
  <w:style w:type="character" w:customStyle="1" w:styleId="Char">
    <w:name w:val="正文文本 Char"/>
    <w:link w:val="a3"/>
    <w:uiPriority w:val="99"/>
    <w:semiHidden/>
    <w:locked/>
    <w:rsid w:val="003F73B9"/>
    <w:rPr>
      <w:rFonts w:ascii="Times New Roman" w:eastAsia="PMingLiU" w:hAnsi="Times New Roman" w:cs="Times New Roman"/>
      <w:b/>
      <w:bCs/>
      <w:sz w:val="24"/>
      <w:szCs w:val="24"/>
    </w:rPr>
  </w:style>
  <w:style w:type="paragraph" w:styleId="a4">
    <w:name w:val="header"/>
    <w:basedOn w:val="a"/>
    <w:link w:val="Char0"/>
    <w:uiPriority w:val="99"/>
    <w:rsid w:val="003F73B9"/>
    <w:pPr>
      <w:tabs>
        <w:tab w:val="center" w:pos="4153"/>
        <w:tab w:val="right" w:pos="8306"/>
      </w:tabs>
      <w:snapToGrid w:val="0"/>
    </w:pPr>
    <w:rPr>
      <w:kern w:val="0"/>
      <w:sz w:val="20"/>
      <w:szCs w:val="20"/>
      <w:lang w:eastAsia="zh-CN"/>
    </w:rPr>
  </w:style>
  <w:style w:type="character" w:customStyle="1" w:styleId="Char0">
    <w:name w:val="页眉 Char"/>
    <w:link w:val="a4"/>
    <w:uiPriority w:val="99"/>
    <w:locked/>
    <w:rsid w:val="003F73B9"/>
    <w:rPr>
      <w:rFonts w:ascii="Times New Roman" w:eastAsia="PMingLiU" w:hAnsi="Times New Roman"/>
      <w:sz w:val="20"/>
    </w:rPr>
  </w:style>
  <w:style w:type="paragraph" w:styleId="a5">
    <w:name w:val="footer"/>
    <w:basedOn w:val="a"/>
    <w:link w:val="Char1"/>
    <w:uiPriority w:val="99"/>
    <w:rsid w:val="003F73B9"/>
    <w:pPr>
      <w:tabs>
        <w:tab w:val="center" w:pos="4153"/>
        <w:tab w:val="right" w:pos="8306"/>
      </w:tabs>
      <w:snapToGrid w:val="0"/>
    </w:pPr>
    <w:rPr>
      <w:kern w:val="0"/>
      <w:sz w:val="20"/>
      <w:szCs w:val="20"/>
      <w:lang w:eastAsia="zh-CN"/>
    </w:rPr>
  </w:style>
  <w:style w:type="character" w:customStyle="1" w:styleId="Char1">
    <w:name w:val="页脚 Char"/>
    <w:link w:val="a5"/>
    <w:uiPriority w:val="99"/>
    <w:locked/>
    <w:rsid w:val="003F73B9"/>
    <w:rPr>
      <w:rFonts w:ascii="Times New Roman" w:eastAsia="PMingLiU" w:hAnsi="Times New Roman"/>
      <w:sz w:val="20"/>
    </w:rPr>
  </w:style>
  <w:style w:type="character" w:customStyle="1" w:styleId="apple-converted-space">
    <w:name w:val="apple-converted-space"/>
    <w:uiPriority w:val="99"/>
    <w:rsid w:val="003F73B9"/>
    <w:rPr>
      <w:rFonts w:cs="Times New Roman"/>
    </w:rPr>
  </w:style>
  <w:style w:type="character" w:styleId="a6">
    <w:name w:val="Hyperlink"/>
    <w:uiPriority w:val="99"/>
    <w:rsid w:val="003F73B9"/>
    <w:rPr>
      <w:rFonts w:ascii="Times New Roman" w:hAnsi="Times New Roman" w:cs="Times New Roman"/>
      <w:color w:val="0000FF"/>
      <w:u w:val="single"/>
    </w:rPr>
  </w:style>
  <w:style w:type="paragraph" w:customStyle="1" w:styleId="EndNoteBibliographyTitle">
    <w:name w:val="EndNote Bibliography Title"/>
    <w:basedOn w:val="a"/>
    <w:link w:val="EndNoteBibliographyTitle0"/>
    <w:uiPriority w:val="99"/>
    <w:rsid w:val="003F73B9"/>
    <w:pPr>
      <w:jc w:val="center"/>
    </w:pPr>
    <w:rPr>
      <w:rFonts w:ascii="Calibri" w:hAnsi="Calibri"/>
      <w:noProof/>
      <w:kern w:val="0"/>
      <w:szCs w:val="20"/>
    </w:rPr>
  </w:style>
  <w:style w:type="character" w:customStyle="1" w:styleId="EndNoteBibliographyTitle0">
    <w:name w:val="EndNote Bibliography Title 字元"/>
    <w:link w:val="EndNoteBibliographyTitle"/>
    <w:uiPriority w:val="99"/>
    <w:locked/>
    <w:rsid w:val="003F73B9"/>
    <w:rPr>
      <w:rFonts w:ascii="Calibri" w:eastAsia="PMingLiU" w:hAnsi="Calibri"/>
      <w:noProof/>
      <w:sz w:val="24"/>
    </w:rPr>
  </w:style>
  <w:style w:type="paragraph" w:customStyle="1" w:styleId="EndNoteBibliography">
    <w:name w:val="EndNote Bibliography"/>
    <w:basedOn w:val="a"/>
    <w:link w:val="EndNoteBibliography0"/>
    <w:uiPriority w:val="99"/>
    <w:rsid w:val="003F73B9"/>
    <w:rPr>
      <w:rFonts w:ascii="Calibri" w:hAnsi="Calibri"/>
      <w:noProof/>
      <w:kern w:val="0"/>
      <w:szCs w:val="20"/>
    </w:rPr>
  </w:style>
  <w:style w:type="character" w:customStyle="1" w:styleId="EndNoteBibliography0">
    <w:name w:val="EndNote Bibliography 字元"/>
    <w:link w:val="EndNoteBibliography"/>
    <w:uiPriority w:val="99"/>
    <w:locked/>
    <w:rsid w:val="003F73B9"/>
    <w:rPr>
      <w:rFonts w:ascii="Calibri" w:eastAsia="PMingLiU" w:hAnsi="Calibri"/>
      <w:noProof/>
      <w:sz w:val="24"/>
    </w:rPr>
  </w:style>
  <w:style w:type="character" w:styleId="a7">
    <w:name w:val="annotation reference"/>
    <w:uiPriority w:val="99"/>
    <w:rsid w:val="007617F4"/>
    <w:rPr>
      <w:rFonts w:cs="Times New Roman"/>
      <w:sz w:val="21"/>
      <w:szCs w:val="21"/>
    </w:rPr>
  </w:style>
  <w:style w:type="paragraph" w:styleId="a8">
    <w:name w:val="annotation text"/>
    <w:basedOn w:val="a"/>
    <w:link w:val="Char2"/>
    <w:uiPriority w:val="99"/>
    <w:rsid w:val="007617F4"/>
  </w:style>
  <w:style w:type="character" w:customStyle="1" w:styleId="Char2">
    <w:name w:val="批注文字 Char"/>
    <w:link w:val="a8"/>
    <w:uiPriority w:val="99"/>
    <w:locked/>
    <w:rsid w:val="007617F4"/>
    <w:rPr>
      <w:rFonts w:ascii="Times New Roman" w:eastAsia="PMingLiU" w:hAnsi="Times New Roman" w:cs="Times New Roman"/>
      <w:sz w:val="24"/>
      <w:szCs w:val="24"/>
    </w:rPr>
  </w:style>
  <w:style w:type="paragraph" w:styleId="a9">
    <w:name w:val="annotation subject"/>
    <w:basedOn w:val="a8"/>
    <w:next w:val="a8"/>
    <w:link w:val="Char3"/>
    <w:uiPriority w:val="99"/>
    <w:semiHidden/>
    <w:rsid w:val="007617F4"/>
    <w:rPr>
      <w:b/>
      <w:bCs/>
    </w:rPr>
  </w:style>
  <w:style w:type="character" w:customStyle="1" w:styleId="Char3">
    <w:name w:val="批注主题 Char"/>
    <w:link w:val="a9"/>
    <w:uiPriority w:val="99"/>
    <w:semiHidden/>
    <w:locked/>
    <w:rsid w:val="007617F4"/>
    <w:rPr>
      <w:rFonts w:ascii="Times New Roman" w:eastAsia="PMingLiU" w:hAnsi="Times New Roman" w:cs="Times New Roman"/>
      <w:b/>
      <w:bCs/>
      <w:sz w:val="24"/>
      <w:szCs w:val="24"/>
    </w:rPr>
  </w:style>
  <w:style w:type="paragraph" w:styleId="aa">
    <w:name w:val="Balloon Text"/>
    <w:basedOn w:val="a"/>
    <w:link w:val="Char4"/>
    <w:uiPriority w:val="99"/>
    <w:semiHidden/>
    <w:rsid w:val="007617F4"/>
    <w:rPr>
      <w:sz w:val="18"/>
      <w:szCs w:val="18"/>
    </w:rPr>
  </w:style>
  <w:style w:type="character" w:customStyle="1" w:styleId="Char4">
    <w:name w:val="批注框文本 Char"/>
    <w:link w:val="aa"/>
    <w:uiPriority w:val="99"/>
    <w:semiHidden/>
    <w:locked/>
    <w:rsid w:val="007617F4"/>
    <w:rPr>
      <w:rFonts w:ascii="Times New Roman" w:eastAsia="PMingLiU" w:hAnsi="Times New Roman" w:cs="Times New Roman"/>
      <w:sz w:val="18"/>
      <w:szCs w:val="18"/>
    </w:rPr>
  </w:style>
  <w:style w:type="character" w:styleId="ab">
    <w:name w:val="Strong"/>
    <w:uiPriority w:val="99"/>
    <w:qFormat/>
    <w:rsid w:val="007617F4"/>
    <w:rPr>
      <w:rFonts w:cs="Times New Roman"/>
      <w:b/>
    </w:rPr>
  </w:style>
  <w:style w:type="paragraph" w:customStyle="1" w:styleId="p0">
    <w:name w:val="p0"/>
    <w:basedOn w:val="a"/>
    <w:uiPriority w:val="99"/>
    <w:rsid w:val="007617F4"/>
    <w:pPr>
      <w:widowControl/>
      <w:spacing w:line="240" w:lineRule="atLeast"/>
    </w:pPr>
    <w:rPr>
      <w:rFonts w:ascii="Century" w:eastAsia="宋体" w:hAnsi="Century" w:cs="宋体"/>
      <w:kern w:val="0"/>
      <w:sz w:val="21"/>
      <w:szCs w:val="21"/>
      <w:lang w:eastAsia="zh-CN"/>
    </w:rPr>
  </w:style>
  <w:style w:type="paragraph" w:styleId="ac">
    <w:name w:val="List Paragraph"/>
    <w:basedOn w:val="a"/>
    <w:uiPriority w:val="99"/>
    <w:qFormat/>
    <w:rsid w:val="007617F4"/>
    <w:pPr>
      <w:widowControl/>
      <w:suppressAutoHyphens/>
      <w:ind w:firstLineChars="200" w:firstLine="420"/>
    </w:pPr>
    <w:rPr>
      <w:rFonts w:cs="Mangal"/>
      <w:kern w:val="1"/>
      <w:szCs w:val="21"/>
      <w:lang w:val="it-IT" w:eastAsia="hi-IN" w:bidi="hi-IN"/>
    </w:rPr>
  </w:style>
  <w:style w:type="character" w:customStyle="1" w:styleId="highlight">
    <w:name w:val="highlight"/>
    <w:uiPriority w:val="99"/>
    <w:rsid w:val="009B17B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40114">
      <w:marLeft w:val="0"/>
      <w:marRight w:val="0"/>
      <w:marTop w:val="0"/>
      <w:marBottom w:val="0"/>
      <w:divBdr>
        <w:top w:val="none" w:sz="0" w:space="0" w:color="auto"/>
        <w:left w:val="none" w:sz="0" w:space="0" w:color="auto"/>
        <w:bottom w:val="none" w:sz="0" w:space="0" w:color="auto"/>
        <w:right w:val="none" w:sz="0" w:space="0" w:color="auto"/>
      </w:divBdr>
    </w:div>
    <w:div w:id="1433940115">
      <w:marLeft w:val="0"/>
      <w:marRight w:val="0"/>
      <w:marTop w:val="0"/>
      <w:marBottom w:val="0"/>
      <w:divBdr>
        <w:top w:val="none" w:sz="0" w:space="0" w:color="auto"/>
        <w:left w:val="none" w:sz="0" w:space="0" w:color="auto"/>
        <w:bottom w:val="none" w:sz="0" w:space="0" w:color="auto"/>
        <w:right w:val="none" w:sz="0" w:space="0" w:color="auto"/>
      </w:divBdr>
    </w:div>
    <w:div w:id="1433940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ncj@gate.sinica.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30</Pages>
  <Words>5425</Words>
  <Characters>30923</Characters>
  <Application>Microsoft Office Word</Application>
  <DocSecurity>0</DocSecurity>
  <Lines>257</Lines>
  <Paragraphs>72</Paragraphs>
  <ScaleCrop>false</ScaleCrop>
  <Company/>
  <LinksUpToDate>false</LinksUpToDate>
  <CharactersWithSpaces>36276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Qi Y</cp:lastModifiedBy>
  <cp:revision>17</cp:revision>
  <dcterms:created xsi:type="dcterms:W3CDTF">2013-12-30T03:26:00Z</dcterms:created>
  <dcterms:modified xsi:type="dcterms:W3CDTF">2014-01-20T08:34:00Z</dcterms:modified>
</cp:coreProperties>
</file>